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6848D" w14:textId="25E8A6DE" w:rsidR="005A19D3" w:rsidRPr="00DC66CD" w:rsidRDefault="005A19D3" w:rsidP="0056365F">
      <w:pPr>
        <w:spacing w:after="0" w:line="240" w:lineRule="auto"/>
        <w:ind w:firstLine="284"/>
        <w:jc w:val="center"/>
        <w:rPr>
          <w:rFonts w:ascii="Garamond" w:hAnsi="Garamond"/>
          <w:b/>
          <w:sz w:val="24"/>
          <w:szCs w:val="24"/>
        </w:rPr>
      </w:pPr>
      <w:r w:rsidRPr="00DC66CD">
        <w:rPr>
          <w:rFonts w:ascii="Garamond" w:hAnsi="Garamond"/>
          <w:b/>
          <w:noProof/>
          <w:sz w:val="24"/>
          <w:szCs w:val="24"/>
          <w:lang w:val="en-US" w:eastAsia="en-US"/>
        </w:rPr>
        <mc:AlternateContent>
          <mc:Choice Requires="wps">
            <w:drawing>
              <wp:anchor distT="4294967286" distB="4294967286" distL="114290" distR="114290" simplePos="0" relativeHeight="251648000" behindDoc="1" locked="0" layoutInCell="0" allowOverlap="1" wp14:anchorId="545684B6" wp14:editId="545684B7">
                <wp:simplePos x="0" y="0"/>
                <wp:positionH relativeFrom="page">
                  <wp:posOffset>3363594</wp:posOffset>
                </wp:positionH>
                <wp:positionV relativeFrom="page">
                  <wp:posOffset>941704</wp:posOffset>
                </wp:positionV>
                <wp:extent cx="0" cy="0"/>
                <wp:effectExtent l="0" t="0" r="0" b="0"/>
                <wp:wrapNone/>
                <wp:docPr id="1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06E64D" id="Freeform 4" o:spid="_x0000_s1026" style="position:absolute;z-index:-251668480;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" o:allowincell="f" filled="f" strokecolor="#363435" strokeweight=".1pt">
                <v:path arrowok="t" o:connecttype="custom" o:connectlocs="0,0;0,0" o:connectangles="0,0"/>
                <w10:wrap anchorx="page" anchory="page"/>
              </v:polyline>
            </w:pict>
          </mc:Fallback>
        </mc:AlternateContent>
      </w:r>
      <w:r w:rsidRPr="00DC66CD">
        <w:rPr>
          <w:rFonts w:ascii="Garamond" w:hAnsi="Garamond"/>
          <w:b/>
          <w:noProof/>
          <w:sz w:val="24"/>
          <w:szCs w:val="24"/>
          <w:lang w:val="en-US" w:eastAsia="en-US"/>
        </w:rPr>
        <mc:AlternateContent>
          <mc:Choice Requires="wps">
            <w:drawing>
              <wp:anchor distT="4294967286" distB="4294967286" distL="114290" distR="114290" simplePos="0" relativeHeight="251650048" behindDoc="1" locked="0" layoutInCell="0" allowOverlap="1" wp14:anchorId="545684B8" wp14:editId="545684B9">
                <wp:simplePos x="0" y="0"/>
                <wp:positionH relativeFrom="page">
                  <wp:posOffset>3363594</wp:posOffset>
                </wp:positionH>
                <wp:positionV relativeFrom="page">
                  <wp:posOffset>941704</wp:posOffset>
                </wp:positionV>
                <wp:extent cx="0" cy="0"/>
                <wp:effectExtent l="0" t="0" r="0" b="0"/>
                <wp:wrapNone/>
                <wp:docPr id="1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03A33F" id="Freeform 3" o:spid="_x0000_s1026" style="position:absolute;z-index:-251666432;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" o:allowincell="f" filled="f" strokecolor="#363435" strokeweight=".1pt">
                <v:path arrowok="t" o:connecttype="custom" o:connectlocs="0,0;0,0" o:connectangles="0,0"/>
                <w10:wrap anchorx="page" anchory="page"/>
              </v:polyline>
            </w:pict>
          </mc:Fallback>
        </mc:AlternateContent>
      </w:r>
      <w:r w:rsidRPr="00DC66CD">
        <w:rPr>
          <w:rFonts w:ascii="Garamond" w:hAnsi="Garamond"/>
          <w:b/>
          <w:noProof/>
          <w:sz w:val="24"/>
          <w:szCs w:val="24"/>
          <w:lang w:val="en-US" w:eastAsia="en-US"/>
        </w:rPr>
        <mc:AlternateContent>
          <mc:Choice Requires="wps">
            <w:drawing>
              <wp:anchor distT="4294967286" distB="4294967286" distL="114290" distR="114290" simplePos="0" relativeHeight="251652096" behindDoc="1" locked="0" layoutInCell="0" allowOverlap="1" wp14:anchorId="545684BA" wp14:editId="545684BB">
                <wp:simplePos x="0" y="0"/>
                <wp:positionH relativeFrom="page">
                  <wp:posOffset>3363594</wp:posOffset>
                </wp:positionH>
                <wp:positionV relativeFrom="page">
                  <wp:posOffset>941704</wp:posOffset>
                </wp:positionV>
                <wp:extent cx="0" cy="0"/>
                <wp:effectExtent l="0" t="0" r="0" b="0"/>
                <wp:wrapNone/>
                <wp:docPr id="1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A95FD7" id="Freeform 2" o:spid="_x0000_s1026" style="position:absolute;z-index:-251664384;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" o:allowincell="f" filled="f" strokecolor="#363435" strokeweight=".1pt">
                <v:path arrowok="t" o:connecttype="custom" o:connectlocs="0,0;0,0" o:connectangles="0,0"/>
                <w10:wrap anchorx="page" anchory="page"/>
              </v:polyline>
            </w:pict>
          </mc:Fallback>
        </mc:AlternateContent>
      </w:r>
      <w:r w:rsidR="00BD0B0D" w:rsidRPr="00DC66CD">
        <w:rPr>
          <w:rFonts w:ascii="Garamond" w:hAnsi="Garamond"/>
          <w:b/>
          <w:sz w:val="24"/>
          <w:szCs w:val="24"/>
        </w:rPr>
        <w:t>V</w:t>
      </w:r>
      <w:r w:rsidR="001B2298" w:rsidRPr="00DC66CD">
        <w:rPr>
          <w:rFonts w:ascii="Garamond" w:hAnsi="Garamond"/>
          <w:b/>
          <w:sz w:val="24"/>
          <w:szCs w:val="24"/>
        </w:rPr>
        <w:t>ENDI</w:t>
      </w:r>
      <w:r w:rsidR="00E1786C" w:rsidRPr="00DC66CD">
        <w:rPr>
          <w:rFonts w:ascii="Garamond" w:hAnsi="Garamond"/>
          <w:b/>
          <w:sz w:val="24"/>
          <w:szCs w:val="24"/>
        </w:rPr>
        <w:t>M</w:t>
      </w:r>
    </w:p>
    <w:p w14:paraId="54568490" w14:textId="01AF2CF9" w:rsidR="002E6AA0" w:rsidRPr="00DC66CD" w:rsidRDefault="00343B9D" w:rsidP="0056365F">
      <w:pPr>
        <w:pStyle w:val="Style5"/>
        <w:ind w:firstLine="284"/>
        <w:rPr>
          <w:rFonts w:ascii="Garamond" w:hAnsi="Garamond"/>
          <w:szCs w:val="24"/>
          <w:lang w:val="sq-AL"/>
        </w:rPr>
      </w:pPr>
      <w:r w:rsidRPr="00DC66CD">
        <w:rPr>
          <w:rFonts w:ascii="Garamond" w:hAnsi="Garamond"/>
          <w:szCs w:val="24"/>
          <w:lang w:val="sq-AL"/>
        </w:rPr>
        <w:t>Nr.</w:t>
      </w:r>
      <w:r w:rsidR="0072211B" w:rsidRPr="00DC66CD">
        <w:rPr>
          <w:rFonts w:ascii="Garamond" w:hAnsi="Garamond"/>
          <w:szCs w:val="24"/>
          <w:lang w:val="sq-AL"/>
        </w:rPr>
        <w:t xml:space="preserve"> </w:t>
      </w:r>
      <w:r w:rsidR="00121E6D" w:rsidRPr="00DC66CD">
        <w:rPr>
          <w:rFonts w:ascii="Garamond" w:hAnsi="Garamond"/>
          <w:szCs w:val="24"/>
          <w:lang w:val="sq-AL"/>
        </w:rPr>
        <w:t>92</w:t>
      </w:r>
      <w:r w:rsidRPr="00DC66CD">
        <w:rPr>
          <w:rFonts w:ascii="Garamond" w:hAnsi="Garamond"/>
          <w:szCs w:val="24"/>
          <w:lang w:val="sq-AL"/>
        </w:rPr>
        <w:t xml:space="preserve">, </w:t>
      </w:r>
      <w:r w:rsidR="00BD0B0D" w:rsidRPr="00DC66CD">
        <w:rPr>
          <w:rFonts w:ascii="Garamond" w:hAnsi="Garamond"/>
          <w:szCs w:val="24"/>
          <w:lang w:val="sq-AL"/>
        </w:rPr>
        <w:t xml:space="preserve">datë </w:t>
      </w:r>
      <w:r w:rsidR="00121E6D" w:rsidRPr="00DC66CD">
        <w:rPr>
          <w:rFonts w:ascii="Garamond" w:hAnsi="Garamond"/>
          <w:szCs w:val="24"/>
          <w:lang w:val="sq-AL"/>
        </w:rPr>
        <w:t>5.2.2020</w:t>
      </w:r>
    </w:p>
    <w:p w14:paraId="54568491" w14:textId="77777777" w:rsidR="005A19D3" w:rsidRPr="00DC66CD" w:rsidRDefault="005A19D3" w:rsidP="0056365F">
      <w:pPr>
        <w:pStyle w:val="Style5"/>
        <w:ind w:firstLine="284"/>
        <w:rPr>
          <w:rFonts w:ascii="Garamond" w:hAnsi="Garamond"/>
          <w:b w:val="0"/>
          <w:szCs w:val="24"/>
          <w:lang w:val="sq-AL"/>
        </w:rPr>
      </w:pPr>
    </w:p>
    <w:p w14:paraId="54568495" w14:textId="0D6A5042" w:rsidR="002E6AA0" w:rsidRPr="00DC66CD" w:rsidRDefault="002E6AA0" w:rsidP="0056365F">
      <w:pPr>
        <w:spacing w:after="0" w:line="240" w:lineRule="auto"/>
        <w:ind w:firstLine="284"/>
        <w:jc w:val="center"/>
        <w:rPr>
          <w:rFonts w:ascii="Garamond" w:hAnsi="Garamond"/>
          <w:b/>
          <w:sz w:val="24"/>
          <w:szCs w:val="24"/>
        </w:rPr>
      </w:pPr>
      <w:r w:rsidRPr="00DC66CD">
        <w:rPr>
          <w:rFonts w:ascii="Garamond" w:hAnsi="Garamond"/>
          <w:b/>
          <w:sz w:val="24"/>
          <w:szCs w:val="24"/>
        </w:rPr>
        <w:t>PËR</w:t>
      </w:r>
      <w:r w:rsidR="001B2298" w:rsidRPr="00DC66CD">
        <w:rPr>
          <w:rFonts w:ascii="Garamond" w:hAnsi="Garamond"/>
          <w:b/>
          <w:sz w:val="24"/>
          <w:szCs w:val="24"/>
        </w:rPr>
        <w:t xml:space="preserve"> </w:t>
      </w:r>
      <w:r w:rsidR="00343B9D" w:rsidRPr="00DC66CD">
        <w:rPr>
          <w:rFonts w:ascii="Garamond" w:hAnsi="Garamond"/>
          <w:b/>
          <w:sz w:val="24"/>
          <w:szCs w:val="24"/>
        </w:rPr>
        <w:t>MIRATIMIN E PROGRAMIT T</w:t>
      </w:r>
      <w:r w:rsidRPr="00DC66CD">
        <w:rPr>
          <w:rFonts w:ascii="Garamond" w:hAnsi="Garamond"/>
          <w:b/>
          <w:sz w:val="24"/>
          <w:szCs w:val="24"/>
        </w:rPr>
        <w:t>Ë</w:t>
      </w:r>
      <w:r w:rsidR="00343B9D" w:rsidRPr="00DC66CD">
        <w:rPr>
          <w:rFonts w:ascii="Garamond" w:hAnsi="Garamond"/>
          <w:b/>
          <w:sz w:val="24"/>
          <w:szCs w:val="24"/>
        </w:rPr>
        <w:t xml:space="preserve"> REFORMAVE EKONOMIKE (ERP)</w:t>
      </w:r>
      <w:r w:rsidR="0072211B" w:rsidRPr="00DC66CD">
        <w:rPr>
          <w:rFonts w:ascii="Garamond" w:hAnsi="Garamond"/>
          <w:b/>
          <w:sz w:val="24"/>
          <w:szCs w:val="24"/>
        </w:rPr>
        <w:t>,</w:t>
      </w:r>
      <w:r w:rsidR="00343B9D" w:rsidRPr="00DC66CD">
        <w:rPr>
          <w:rFonts w:ascii="Garamond" w:hAnsi="Garamond"/>
          <w:b/>
          <w:sz w:val="24"/>
          <w:szCs w:val="24"/>
        </w:rPr>
        <w:t xml:space="preserve"> 2020</w:t>
      </w:r>
      <w:r w:rsidR="0072211B" w:rsidRPr="00DC66CD">
        <w:rPr>
          <w:rFonts w:ascii="Garamond" w:hAnsi="Garamond"/>
          <w:b/>
          <w:sz w:val="24"/>
          <w:szCs w:val="24"/>
        </w:rPr>
        <w:t>–</w:t>
      </w:r>
      <w:r w:rsidR="00343B9D" w:rsidRPr="00DC66CD">
        <w:rPr>
          <w:rFonts w:ascii="Garamond" w:hAnsi="Garamond"/>
          <w:b/>
          <w:sz w:val="24"/>
          <w:szCs w:val="24"/>
        </w:rPr>
        <w:t>2022</w:t>
      </w:r>
    </w:p>
    <w:p w14:paraId="54568496" w14:textId="77777777" w:rsidR="002E6AA0" w:rsidRPr="00DC66CD" w:rsidRDefault="002E6AA0" w:rsidP="0056365F">
      <w:pPr>
        <w:spacing w:after="0" w:line="240" w:lineRule="auto"/>
        <w:ind w:firstLine="284"/>
        <w:jc w:val="center"/>
        <w:rPr>
          <w:rFonts w:ascii="Garamond" w:hAnsi="Garamond"/>
          <w:b/>
          <w:sz w:val="24"/>
          <w:szCs w:val="24"/>
          <w:u w:val="single"/>
        </w:rPr>
      </w:pPr>
    </w:p>
    <w:p w14:paraId="54568497" w14:textId="77777777" w:rsidR="002E6AA0" w:rsidRPr="00DC66CD" w:rsidRDefault="002E6AA0" w:rsidP="0056365F">
      <w:pPr>
        <w:spacing w:after="0" w:line="240" w:lineRule="auto"/>
        <w:ind w:firstLine="284"/>
        <w:jc w:val="both"/>
        <w:rPr>
          <w:rFonts w:ascii="Garamond" w:hAnsi="Garamond"/>
          <w:sz w:val="24"/>
          <w:szCs w:val="24"/>
        </w:rPr>
      </w:pPr>
      <w:r w:rsidRPr="00DC66CD">
        <w:rPr>
          <w:rFonts w:ascii="Garamond" w:hAnsi="Garamond"/>
          <w:sz w:val="24"/>
          <w:szCs w:val="24"/>
        </w:rPr>
        <w:t xml:space="preserve">Në mbështetje të nenit 100 </w:t>
      </w:r>
      <w:r w:rsidR="001C50FF" w:rsidRPr="00DC66CD">
        <w:rPr>
          <w:rFonts w:ascii="Garamond" w:hAnsi="Garamond"/>
          <w:sz w:val="24"/>
          <w:szCs w:val="24"/>
        </w:rPr>
        <w:t xml:space="preserve">të Kushtetutës, </w:t>
      </w:r>
      <w:r w:rsidRPr="00DC66CD">
        <w:rPr>
          <w:rFonts w:ascii="Garamond" w:hAnsi="Garamond"/>
          <w:sz w:val="24"/>
          <w:szCs w:val="24"/>
        </w:rPr>
        <w:t>me propozim</w:t>
      </w:r>
      <w:r w:rsidR="00357691" w:rsidRPr="00DC66CD">
        <w:rPr>
          <w:rFonts w:ascii="Garamond" w:hAnsi="Garamond"/>
          <w:sz w:val="24"/>
          <w:szCs w:val="24"/>
        </w:rPr>
        <w:t>in</w:t>
      </w:r>
      <w:r w:rsidRPr="00DC66CD">
        <w:rPr>
          <w:rFonts w:ascii="Garamond" w:hAnsi="Garamond"/>
          <w:sz w:val="24"/>
          <w:szCs w:val="24"/>
        </w:rPr>
        <w:t xml:space="preserve"> </w:t>
      </w:r>
      <w:r w:rsidR="00357691" w:rsidRPr="00DC66CD">
        <w:rPr>
          <w:rFonts w:ascii="Garamond" w:hAnsi="Garamond"/>
          <w:sz w:val="24"/>
          <w:szCs w:val="24"/>
        </w:rPr>
        <w:t>e</w:t>
      </w:r>
      <w:r w:rsidRPr="00DC66CD">
        <w:rPr>
          <w:rFonts w:ascii="Garamond" w:hAnsi="Garamond"/>
          <w:sz w:val="24"/>
          <w:szCs w:val="24"/>
        </w:rPr>
        <w:t xml:space="preserve"> </w:t>
      </w:r>
      <w:r w:rsidR="00BD0B0D" w:rsidRPr="00DC66CD">
        <w:rPr>
          <w:rFonts w:ascii="Garamond" w:hAnsi="Garamond"/>
          <w:sz w:val="24"/>
          <w:szCs w:val="24"/>
        </w:rPr>
        <w:t>m</w:t>
      </w:r>
      <w:r w:rsidRPr="00DC66CD">
        <w:rPr>
          <w:rFonts w:ascii="Garamond" w:hAnsi="Garamond"/>
          <w:sz w:val="24"/>
          <w:szCs w:val="24"/>
        </w:rPr>
        <w:t>in</w:t>
      </w:r>
      <w:r w:rsidR="0081055A" w:rsidRPr="00DC66CD">
        <w:rPr>
          <w:rFonts w:ascii="Garamond" w:hAnsi="Garamond"/>
          <w:sz w:val="24"/>
          <w:szCs w:val="24"/>
        </w:rPr>
        <w:t>istrit të Financave</w:t>
      </w:r>
      <w:r w:rsidRPr="00DC66CD">
        <w:rPr>
          <w:rFonts w:ascii="Garamond" w:hAnsi="Garamond"/>
          <w:sz w:val="24"/>
          <w:szCs w:val="24"/>
        </w:rPr>
        <w:t xml:space="preserve"> dhe Ekonomisë, Këshilli i Ministrave</w:t>
      </w:r>
    </w:p>
    <w:p w14:paraId="54568498" w14:textId="77777777" w:rsidR="002E6AA0" w:rsidRPr="00DC66CD" w:rsidRDefault="002E6AA0" w:rsidP="0056365F">
      <w:pPr>
        <w:spacing w:after="0" w:line="240" w:lineRule="auto"/>
        <w:ind w:firstLine="284"/>
        <w:jc w:val="both"/>
        <w:rPr>
          <w:rFonts w:ascii="Garamond" w:hAnsi="Garamond"/>
          <w:sz w:val="24"/>
          <w:szCs w:val="24"/>
        </w:rPr>
      </w:pPr>
    </w:p>
    <w:p w14:paraId="5456849A" w14:textId="40846589" w:rsidR="002E6AA0" w:rsidRPr="00DC66CD" w:rsidRDefault="00A81C4F" w:rsidP="0056365F">
      <w:pPr>
        <w:spacing w:after="0" w:line="240" w:lineRule="auto"/>
        <w:ind w:firstLine="284"/>
        <w:jc w:val="center"/>
        <w:rPr>
          <w:rFonts w:ascii="Garamond" w:hAnsi="Garamond"/>
          <w:sz w:val="24"/>
          <w:szCs w:val="24"/>
        </w:rPr>
      </w:pPr>
      <w:r w:rsidRPr="00DC66CD">
        <w:rPr>
          <w:rFonts w:ascii="Garamond" w:hAnsi="Garamond"/>
          <w:sz w:val="24"/>
          <w:szCs w:val="24"/>
        </w:rPr>
        <w:t>VENDOSI</w:t>
      </w:r>
      <w:r w:rsidR="002E6AA0" w:rsidRPr="00DC66CD">
        <w:rPr>
          <w:rFonts w:ascii="Garamond" w:hAnsi="Garamond"/>
          <w:sz w:val="24"/>
          <w:szCs w:val="24"/>
        </w:rPr>
        <w:t>:</w:t>
      </w:r>
    </w:p>
    <w:p w14:paraId="5456849B" w14:textId="77777777" w:rsidR="009468B5" w:rsidRPr="00DC66CD" w:rsidRDefault="009468B5" w:rsidP="0056365F">
      <w:pPr>
        <w:spacing w:after="0" w:line="240" w:lineRule="auto"/>
        <w:ind w:firstLine="284"/>
        <w:jc w:val="both"/>
        <w:rPr>
          <w:rFonts w:ascii="Garamond" w:hAnsi="Garamond"/>
          <w:sz w:val="24"/>
          <w:szCs w:val="24"/>
        </w:rPr>
      </w:pPr>
    </w:p>
    <w:p w14:paraId="5456849D" w14:textId="3D89BA15" w:rsidR="00343B9D" w:rsidRPr="00DC66CD" w:rsidRDefault="00343B9D" w:rsidP="00783D17">
      <w:pPr>
        <w:pStyle w:val="TEKSTIIII"/>
      </w:pPr>
      <w:r w:rsidRPr="00DC66CD">
        <w:t xml:space="preserve">Miratimin e </w:t>
      </w:r>
      <w:r w:rsidR="00A0760C" w:rsidRPr="00DC66CD">
        <w:t>p</w:t>
      </w:r>
      <w:r w:rsidRPr="00DC66CD">
        <w:t xml:space="preserve">rogramit të </w:t>
      </w:r>
      <w:r w:rsidR="00A0760C" w:rsidRPr="00DC66CD">
        <w:t>r</w:t>
      </w:r>
      <w:r w:rsidRPr="00DC66CD">
        <w:t xml:space="preserve">eformave </w:t>
      </w:r>
      <w:r w:rsidR="00A0760C" w:rsidRPr="00DC66CD">
        <w:t>e</w:t>
      </w:r>
      <w:r w:rsidRPr="00DC66CD">
        <w:t>konomike (ERP)</w:t>
      </w:r>
      <w:r w:rsidR="0072211B" w:rsidRPr="00DC66CD">
        <w:t>,</w:t>
      </w:r>
      <w:r w:rsidRPr="00DC66CD">
        <w:t xml:space="preserve"> 2020</w:t>
      </w:r>
      <w:r w:rsidR="0072211B" w:rsidRPr="00DC66CD">
        <w:t>–</w:t>
      </w:r>
      <w:r w:rsidRPr="00DC66CD">
        <w:t>2022, sipas tekstit bashkëlidhur këtij vendimi.</w:t>
      </w:r>
    </w:p>
    <w:p w14:paraId="5456849F" w14:textId="33CADBD7" w:rsidR="00343B9D" w:rsidRPr="00DC66CD" w:rsidRDefault="00343B9D" w:rsidP="0056365F">
      <w:pPr>
        <w:spacing w:after="0" w:line="240" w:lineRule="auto"/>
        <w:ind w:firstLine="284"/>
        <w:jc w:val="both"/>
        <w:rPr>
          <w:rFonts w:ascii="Garamond" w:hAnsi="Garamond"/>
          <w:color w:val="000000"/>
          <w:sz w:val="24"/>
          <w:szCs w:val="24"/>
        </w:rPr>
      </w:pPr>
      <w:r w:rsidRPr="00DC66CD">
        <w:rPr>
          <w:rFonts w:ascii="Garamond" w:hAnsi="Garamond"/>
          <w:color w:val="000000"/>
          <w:sz w:val="24"/>
          <w:szCs w:val="24"/>
        </w:rPr>
        <w:t>Ky vendim hyn në fuqi pas botimit në Fletore</w:t>
      </w:r>
      <w:r w:rsidR="00A0760C" w:rsidRPr="00DC66CD">
        <w:rPr>
          <w:rFonts w:ascii="Garamond" w:hAnsi="Garamond"/>
          <w:color w:val="000000"/>
          <w:sz w:val="24"/>
          <w:szCs w:val="24"/>
        </w:rPr>
        <w:t>n</w:t>
      </w:r>
      <w:r w:rsidRPr="00DC66CD">
        <w:rPr>
          <w:rFonts w:ascii="Garamond" w:hAnsi="Garamond"/>
          <w:color w:val="000000"/>
          <w:sz w:val="24"/>
          <w:szCs w:val="24"/>
        </w:rPr>
        <w:t xml:space="preserve"> </w:t>
      </w:r>
      <w:r w:rsidR="004C7D34" w:rsidRPr="00DC66CD">
        <w:rPr>
          <w:rFonts w:ascii="Garamond" w:hAnsi="Garamond"/>
          <w:color w:val="000000"/>
          <w:sz w:val="24"/>
          <w:szCs w:val="24"/>
        </w:rPr>
        <w:t>Zyrtare</w:t>
      </w:r>
      <w:r w:rsidRPr="00DC66CD">
        <w:rPr>
          <w:rFonts w:ascii="Garamond" w:hAnsi="Garamond"/>
          <w:color w:val="000000"/>
          <w:sz w:val="24"/>
          <w:szCs w:val="24"/>
        </w:rPr>
        <w:t>.</w:t>
      </w:r>
    </w:p>
    <w:p w14:paraId="545684A6" w14:textId="77777777" w:rsidR="00245E24" w:rsidRPr="00DC66CD" w:rsidRDefault="00245E24" w:rsidP="0056365F">
      <w:pPr>
        <w:pStyle w:val="Autoriteti"/>
        <w:keepNext w:val="0"/>
        <w:ind w:firstLine="284"/>
        <w:jc w:val="left"/>
        <w:rPr>
          <w:rFonts w:ascii="Garamond" w:hAnsi="Garamond"/>
          <w:sz w:val="24"/>
          <w:szCs w:val="24"/>
          <w:lang w:val="sq-AL"/>
        </w:rPr>
      </w:pPr>
    </w:p>
    <w:p w14:paraId="545684A8" w14:textId="13604FBD" w:rsidR="00245E24" w:rsidRPr="00DC66CD" w:rsidRDefault="00245E24" w:rsidP="0056365F">
      <w:pPr>
        <w:spacing w:after="0" w:line="240" w:lineRule="auto"/>
        <w:ind w:firstLine="284"/>
        <w:jc w:val="right"/>
        <w:rPr>
          <w:rFonts w:ascii="Garamond" w:hAnsi="Garamond"/>
          <w:sz w:val="24"/>
          <w:szCs w:val="24"/>
        </w:rPr>
      </w:pPr>
      <w:r w:rsidRPr="00DC66CD">
        <w:rPr>
          <w:rFonts w:ascii="Garamond" w:hAnsi="Garamond"/>
          <w:sz w:val="24"/>
          <w:szCs w:val="24"/>
        </w:rPr>
        <w:t>ZËVENDËSKRYEMINIST</w:t>
      </w:r>
      <w:r w:rsidR="0072211B" w:rsidRPr="00DC66CD">
        <w:rPr>
          <w:rFonts w:ascii="Garamond" w:hAnsi="Garamond"/>
          <w:sz w:val="24"/>
          <w:szCs w:val="24"/>
        </w:rPr>
        <w:t>Ë</w:t>
      </w:r>
      <w:r w:rsidRPr="00DC66CD">
        <w:rPr>
          <w:rFonts w:ascii="Garamond" w:hAnsi="Garamond"/>
          <w:sz w:val="24"/>
          <w:szCs w:val="24"/>
        </w:rPr>
        <w:t>R</w:t>
      </w:r>
    </w:p>
    <w:p w14:paraId="545684A9" w14:textId="10421A0E" w:rsidR="00245E24" w:rsidRPr="00DC66CD" w:rsidRDefault="001B2298" w:rsidP="0056365F">
      <w:pPr>
        <w:spacing w:after="0" w:line="240" w:lineRule="auto"/>
        <w:ind w:firstLine="284"/>
        <w:jc w:val="right"/>
        <w:rPr>
          <w:rFonts w:ascii="Garamond" w:hAnsi="Garamond"/>
          <w:b/>
          <w:sz w:val="24"/>
          <w:szCs w:val="24"/>
        </w:rPr>
      </w:pPr>
      <w:r w:rsidRPr="00DC66CD">
        <w:rPr>
          <w:rFonts w:ascii="Garamond" w:hAnsi="Garamond"/>
          <w:b/>
          <w:sz w:val="24"/>
          <w:szCs w:val="24"/>
        </w:rPr>
        <w:t>Erion Braçe</w:t>
      </w:r>
    </w:p>
    <w:p w14:paraId="545684AF" w14:textId="77777777" w:rsidR="009468B5" w:rsidRPr="00DC66CD" w:rsidRDefault="009468B5" w:rsidP="00A0760C">
      <w:pPr>
        <w:jc w:val="center"/>
        <w:rPr>
          <w:rFonts w:ascii="Times New Roman" w:hAnsi="Times New Roman" w:cs="Times New Roman"/>
          <w:b/>
          <w:sz w:val="28"/>
          <w:szCs w:val="28"/>
        </w:rPr>
      </w:pPr>
    </w:p>
    <w:p w14:paraId="2C00C5FB" w14:textId="70DFB23D" w:rsidR="00783D17" w:rsidRPr="00DC66CD" w:rsidRDefault="00783D17" w:rsidP="00783D17">
      <w:pPr>
        <w:pStyle w:val="TEKSTIIII"/>
        <w:jc w:val="center"/>
        <w:rPr>
          <w:rFonts w:eastAsia="Arial Narrow"/>
          <w:b/>
        </w:rPr>
      </w:pPr>
      <w:r w:rsidRPr="00DC66CD">
        <w:rPr>
          <w:rFonts w:eastAsia="Arial Narrow"/>
          <w:b/>
        </w:rPr>
        <w:t>PROGRAMI I REFORMAVE EKONOMIKE</w:t>
      </w:r>
      <w:r w:rsidR="0072211B" w:rsidRPr="00DC66CD">
        <w:rPr>
          <w:rFonts w:eastAsia="Arial Narrow"/>
          <w:b/>
        </w:rPr>
        <w:t>,</w:t>
      </w:r>
    </w:p>
    <w:p w14:paraId="34B7FFA2" w14:textId="134FA9C6" w:rsidR="00783D17" w:rsidRPr="00DC66CD" w:rsidRDefault="00783D17" w:rsidP="00783D17">
      <w:pPr>
        <w:pStyle w:val="TEKSTIIII"/>
        <w:jc w:val="center"/>
        <w:rPr>
          <w:rFonts w:eastAsia="Arial Narrow"/>
          <w:b/>
        </w:rPr>
      </w:pPr>
      <w:r w:rsidRPr="00DC66CD">
        <w:rPr>
          <w:rFonts w:eastAsia="Arial Narrow"/>
          <w:b/>
        </w:rPr>
        <w:t>2020</w:t>
      </w:r>
      <w:r w:rsidR="0072211B" w:rsidRPr="00DC66CD">
        <w:rPr>
          <w:rFonts w:eastAsia="Arial Narrow"/>
          <w:b/>
        </w:rPr>
        <w:t>–</w:t>
      </w:r>
      <w:r w:rsidRPr="00DC66CD">
        <w:rPr>
          <w:rFonts w:eastAsia="Arial Narrow"/>
          <w:b/>
        </w:rPr>
        <w:t>2022</w:t>
      </w:r>
    </w:p>
    <w:p w14:paraId="1A723FA8" w14:textId="77777777" w:rsidR="00783D17" w:rsidRPr="00DC66CD" w:rsidRDefault="00783D17" w:rsidP="00783D17">
      <w:pPr>
        <w:pStyle w:val="TEKSTIIII"/>
        <w:jc w:val="center"/>
        <w:rPr>
          <w:b/>
        </w:rPr>
      </w:pPr>
    </w:p>
    <w:p w14:paraId="2711AD8E" w14:textId="77777777" w:rsidR="009D0B23" w:rsidRPr="00DC66CD" w:rsidRDefault="009D0B23" w:rsidP="009D0B23">
      <w:pPr>
        <w:pStyle w:val="TEKSTIIII"/>
      </w:pPr>
      <w:r w:rsidRPr="00DC66CD">
        <w:t>Tabela e përmbajtjes</w:t>
      </w:r>
    </w:p>
    <w:p w14:paraId="6C3BED29" w14:textId="124A3329" w:rsidR="009D0B23" w:rsidRPr="00DC66CD" w:rsidRDefault="009D0B23" w:rsidP="009D0B23">
      <w:pPr>
        <w:pStyle w:val="TEKSTIIII"/>
      </w:pPr>
      <w:r w:rsidRPr="00DC66CD">
        <w:t xml:space="preserve">1. KUADRI I PËRGJITHSHËM I POLITIKAVE DHE OBJEKTIVAT </w:t>
      </w:r>
    </w:p>
    <w:p w14:paraId="52063029" w14:textId="43997972" w:rsidR="009D0B23" w:rsidRPr="00DC66CD" w:rsidRDefault="009D0B23" w:rsidP="009D0B23">
      <w:pPr>
        <w:pStyle w:val="TEKSTIIII"/>
      </w:pPr>
      <w:r w:rsidRPr="00DC66CD">
        <w:t xml:space="preserve">2. ZBATIMI I REKOMANDIMEVE </w:t>
      </w:r>
    </w:p>
    <w:p w14:paraId="52726EE2" w14:textId="77270E79" w:rsidR="009D0B23" w:rsidRPr="00DC66CD" w:rsidRDefault="009D0B23" w:rsidP="009D0B23">
      <w:pPr>
        <w:pStyle w:val="TEKSTIIII"/>
      </w:pPr>
      <w:r w:rsidRPr="00DC66CD">
        <w:t xml:space="preserve">3. KUADRI MAKROEKONOMIK </w:t>
      </w:r>
    </w:p>
    <w:p w14:paraId="0B14B3B7" w14:textId="50C5D149" w:rsidR="009D0B23" w:rsidRPr="00DC66CD" w:rsidRDefault="009D0B23" w:rsidP="009D0B23">
      <w:pPr>
        <w:pStyle w:val="TEKSTIIII"/>
        <w:rPr>
          <w:i/>
        </w:rPr>
      </w:pPr>
      <w:r w:rsidRPr="00DC66CD">
        <w:rPr>
          <w:i/>
        </w:rPr>
        <w:t xml:space="preserve">3.1 Recent economic developments </w:t>
      </w:r>
    </w:p>
    <w:p w14:paraId="343F1E44" w14:textId="4FFAB290" w:rsidR="009D0B23" w:rsidRPr="00DC66CD" w:rsidRDefault="009D0B23" w:rsidP="009D0B23">
      <w:pPr>
        <w:pStyle w:val="TEKSTIIII"/>
        <w:rPr>
          <w:i/>
        </w:rPr>
      </w:pPr>
      <w:r w:rsidRPr="00DC66CD">
        <w:rPr>
          <w:i/>
        </w:rPr>
        <w:t xml:space="preserve">3.2 Medium-term macroeconomic scenario </w:t>
      </w:r>
    </w:p>
    <w:p w14:paraId="7478E5AD" w14:textId="5FA11E5E" w:rsidR="009D0B23" w:rsidRPr="00DC66CD" w:rsidRDefault="009D0B23" w:rsidP="009D0B23">
      <w:pPr>
        <w:pStyle w:val="TEKSTIIII"/>
        <w:rPr>
          <w:i/>
        </w:rPr>
      </w:pPr>
      <w:r w:rsidRPr="00DC66CD">
        <w:rPr>
          <w:i/>
        </w:rPr>
        <w:t xml:space="preserve">3.3 Alternative scenarios and risks </w:t>
      </w:r>
    </w:p>
    <w:p w14:paraId="04560C3C" w14:textId="2C3D2222" w:rsidR="009D0B23" w:rsidRPr="00DC66CD" w:rsidRDefault="009D0B23" w:rsidP="009D0B23">
      <w:pPr>
        <w:pStyle w:val="TEKSTIIII"/>
      </w:pPr>
      <w:r w:rsidRPr="00DC66CD">
        <w:t xml:space="preserve">4. KUADRI FISKAL </w:t>
      </w:r>
    </w:p>
    <w:p w14:paraId="4B330EF0" w14:textId="4316F71B" w:rsidR="009D0B23" w:rsidRPr="00DC66CD" w:rsidRDefault="009D0B23" w:rsidP="009D0B23">
      <w:pPr>
        <w:pStyle w:val="TEKSTIIII"/>
        <w:rPr>
          <w:i/>
        </w:rPr>
      </w:pPr>
      <w:r w:rsidRPr="00DC66CD">
        <w:rPr>
          <w:i/>
        </w:rPr>
        <w:t xml:space="preserve">4.1 Policy strategy and medium-term objectives </w:t>
      </w:r>
    </w:p>
    <w:p w14:paraId="00D0F8CA" w14:textId="6312A36B" w:rsidR="009D0B23" w:rsidRPr="00DC66CD" w:rsidRDefault="009D0B23" w:rsidP="009D0B23">
      <w:pPr>
        <w:pStyle w:val="TEKSTIIII"/>
        <w:rPr>
          <w:i/>
        </w:rPr>
      </w:pPr>
      <w:r w:rsidRPr="00DC66CD">
        <w:rPr>
          <w:i/>
        </w:rPr>
        <w:t xml:space="preserve">4.2 Budget implementation in 2019 </w:t>
      </w:r>
    </w:p>
    <w:p w14:paraId="6BE50A90" w14:textId="5D142D31" w:rsidR="009D0B23" w:rsidRPr="00DC66CD" w:rsidRDefault="009D0B23" w:rsidP="009D0B23">
      <w:pPr>
        <w:pStyle w:val="TEKSTIIII"/>
        <w:rPr>
          <w:i/>
        </w:rPr>
      </w:pPr>
      <w:r w:rsidRPr="00DC66CD">
        <w:rPr>
          <w:i/>
        </w:rPr>
        <w:t xml:space="preserve">4.3 Budget plans for the ERP submission year </w:t>
      </w:r>
    </w:p>
    <w:p w14:paraId="4CD32475" w14:textId="6A168B29" w:rsidR="009D0B23" w:rsidRPr="00DC66CD" w:rsidRDefault="009D0B23" w:rsidP="009D0B23">
      <w:pPr>
        <w:pStyle w:val="TEKSTIIII"/>
        <w:rPr>
          <w:i/>
        </w:rPr>
      </w:pPr>
      <w:r w:rsidRPr="00DC66CD">
        <w:rPr>
          <w:i/>
        </w:rPr>
        <w:t xml:space="preserve">4.4 Medium-term budgetary outlook </w:t>
      </w:r>
    </w:p>
    <w:p w14:paraId="5B2A8255" w14:textId="7DE5A657" w:rsidR="009D0B23" w:rsidRPr="00DC66CD" w:rsidRDefault="009D0B23" w:rsidP="009D0B23">
      <w:pPr>
        <w:pStyle w:val="TEKSTIIII"/>
        <w:rPr>
          <w:i/>
        </w:rPr>
      </w:pPr>
      <w:r w:rsidRPr="00DC66CD">
        <w:rPr>
          <w:i/>
        </w:rPr>
        <w:t xml:space="preserve">4.5 Structural balance (cyclical component of the deficit, one-off and temporary measures, fiscal stance) </w:t>
      </w:r>
    </w:p>
    <w:p w14:paraId="08D6CAF4" w14:textId="6E2B60DF" w:rsidR="009D0B23" w:rsidRPr="00DC66CD" w:rsidRDefault="009D0B23" w:rsidP="009D0B23">
      <w:pPr>
        <w:pStyle w:val="TEKSTIIII"/>
        <w:rPr>
          <w:i/>
        </w:rPr>
      </w:pPr>
      <w:r w:rsidRPr="00DC66CD">
        <w:rPr>
          <w:i/>
        </w:rPr>
        <w:t xml:space="preserve">4.6 Debt levels and developments, analysis of below-the-line operations and stock-flow adjustments </w:t>
      </w:r>
    </w:p>
    <w:p w14:paraId="33349E7A" w14:textId="1130423A" w:rsidR="009D0B23" w:rsidRPr="00DC66CD" w:rsidRDefault="009D0B23" w:rsidP="009D0B23">
      <w:pPr>
        <w:pStyle w:val="TEKSTIIII"/>
        <w:rPr>
          <w:i/>
        </w:rPr>
      </w:pPr>
      <w:r w:rsidRPr="00DC66CD">
        <w:rPr>
          <w:i/>
        </w:rPr>
        <w:t xml:space="preserve">4.7 Sensitivity analysis and comparison with the previous program </w:t>
      </w:r>
    </w:p>
    <w:p w14:paraId="04B06BC4" w14:textId="03695E40" w:rsidR="009D0B23" w:rsidRPr="00DC66CD" w:rsidRDefault="009D0B23" w:rsidP="009D0B23">
      <w:pPr>
        <w:pStyle w:val="TEKSTIIII"/>
        <w:rPr>
          <w:i/>
        </w:rPr>
      </w:pPr>
      <w:r w:rsidRPr="00DC66CD">
        <w:rPr>
          <w:i/>
        </w:rPr>
        <w:t xml:space="preserve">4.8 Fiscal governance and budgetary frameworks </w:t>
      </w:r>
    </w:p>
    <w:p w14:paraId="7F22EF94" w14:textId="7C51730C" w:rsidR="009D0B23" w:rsidRPr="00DC66CD" w:rsidRDefault="009D0B23" w:rsidP="009D0B23">
      <w:pPr>
        <w:pStyle w:val="TEKSTIIII"/>
        <w:rPr>
          <w:i/>
        </w:rPr>
      </w:pPr>
      <w:r w:rsidRPr="00DC66CD">
        <w:rPr>
          <w:i/>
        </w:rPr>
        <w:t xml:space="preserve">4.9 Sustainability of public finances </w:t>
      </w:r>
    </w:p>
    <w:p w14:paraId="7A4DF580" w14:textId="4239A195" w:rsidR="009D0B23" w:rsidRPr="00DC66CD" w:rsidRDefault="009D0B23" w:rsidP="009D0B23">
      <w:pPr>
        <w:pStyle w:val="TEKSTIIII"/>
      </w:pPr>
      <w:r w:rsidRPr="00DC66CD">
        <w:t xml:space="preserve">5. REFORMAT STRUKTURORE PARËSORE </w:t>
      </w:r>
      <w:r w:rsidR="0072211B" w:rsidRPr="00DC66CD">
        <w:t>M</w:t>
      </w:r>
      <w:r w:rsidRPr="00DC66CD">
        <w:t>Ë 2020</w:t>
      </w:r>
      <w:r w:rsidR="0072211B" w:rsidRPr="00DC66CD">
        <w:t>–</w:t>
      </w:r>
      <w:r w:rsidRPr="00DC66CD">
        <w:t xml:space="preserve">2022 </w:t>
      </w:r>
    </w:p>
    <w:p w14:paraId="1BD02FB4" w14:textId="5BB77D3B" w:rsidR="009D0B23" w:rsidRPr="00DC66CD" w:rsidRDefault="009D0B23" w:rsidP="009D0B23">
      <w:pPr>
        <w:pStyle w:val="TEKSTIIII"/>
      </w:pPr>
      <w:r w:rsidRPr="00DC66CD">
        <w:t xml:space="preserve">5.1 Identifikimi i pengesave kyçe për zhvillim dhe konkurrueshmëri dhe rritje përfshirëse </w:t>
      </w:r>
    </w:p>
    <w:p w14:paraId="1CC2DE24" w14:textId="166E9003" w:rsidR="009D0B23" w:rsidRPr="00DC66CD" w:rsidRDefault="009D0B23" w:rsidP="009D0B23">
      <w:pPr>
        <w:pStyle w:val="TEKSTIIII"/>
      </w:pPr>
      <w:r w:rsidRPr="00DC66CD">
        <w:t>5.2 Përmbledhje e masave t</w:t>
      </w:r>
      <w:r w:rsidR="0072211B" w:rsidRPr="00DC66CD">
        <w:t>ë</w:t>
      </w:r>
      <w:r w:rsidRPr="00DC66CD">
        <w:t xml:space="preserve"> reformave </w:t>
      </w:r>
    </w:p>
    <w:p w14:paraId="7AD0C512" w14:textId="03821FFA" w:rsidR="009D0B23" w:rsidRPr="00DC66CD" w:rsidRDefault="009D0B23" w:rsidP="009D0B23">
      <w:pPr>
        <w:pStyle w:val="TEKSTIIII"/>
      </w:pPr>
      <w:r w:rsidRPr="00DC66CD">
        <w:t xml:space="preserve">5.3. Analiza sipas fushave dhe masave të masave të reformave </w:t>
      </w:r>
    </w:p>
    <w:p w14:paraId="36253402" w14:textId="5D5CA0AC" w:rsidR="009D0B23" w:rsidRPr="00DC66CD" w:rsidRDefault="009D0B23" w:rsidP="009D0B23">
      <w:pPr>
        <w:pStyle w:val="TEKSTIIII"/>
      </w:pPr>
      <w:r w:rsidRPr="00DC66CD">
        <w:t xml:space="preserve">5.3.1 Reformat në tregun e energjisë dhe </w:t>
      </w:r>
      <w:r w:rsidR="0072211B" w:rsidRPr="00DC66CD">
        <w:t xml:space="preserve">të </w:t>
      </w:r>
      <w:r w:rsidRPr="00DC66CD">
        <w:t xml:space="preserve">transportit </w:t>
      </w:r>
    </w:p>
    <w:p w14:paraId="4C48FCEE" w14:textId="032CAAE2" w:rsidR="009D0B23" w:rsidRPr="00DC66CD" w:rsidRDefault="009D0B23" w:rsidP="009D0B23">
      <w:pPr>
        <w:pStyle w:val="TEKSTIIII"/>
      </w:pPr>
      <w:r w:rsidRPr="00DC66CD">
        <w:t xml:space="preserve">5.3.2 Bujqësia, industria dhe shërbimet </w:t>
      </w:r>
    </w:p>
    <w:p w14:paraId="271C05E3" w14:textId="63A45393" w:rsidR="009D0B23" w:rsidRPr="00DC66CD" w:rsidRDefault="009D0B23" w:rsidP="009D0B23">
      <w:pPr>
        <w:pStyle w:val="TEKSTIIII"/>
      </w:pPr>
      <w:r w:rsidRPr="00DC66CD">
        <w:t xml:space="preserve">5.3.3 Mjedisi i biznesit dhe zvogëlimi i ekonomisë informale </w:t>
      </w:r>
    </w:p>
    <w:p w14:paraId="791A9D9E" w14:textId="32272671" w:rsidR="009D0B23" w:rsidRPr="00DC66CD" w:rsidRDefault="009D0B23" w:rsidP="009D0B23">
      <w:pPr>
        <w:pStyle w:val="TEKSTIIII"/>
      </w:pPr>
      <w:r w:rsidRPr="00DC66CD">
        <w:t xml:space="preserve">5.3.4 Kërkim, zhvillim dhe inovacion, dhe ekonomia digjitale </w:t>
      </w:r>
    </w:p>
    <w:p w14:paraId="0D1DB388" w14:textId="22FA8715" w:rsidR="009D0B23" w:rsidRPr="00DC66CD" w:rsidRDefault="009D0B23" w:rsidP="009D0B23">
      <w:pPr>
        <w:pStyle w:val="TEKSTIIII"/>
      </w:pPr>
      <w:r w:rsidRPr="00DC66CD">
        <w:t xml:space="preserve">5.3.5 Reformat e tregtisë </w:t>
      </w:r>
    </w:p>
    <w:p w14:paraId="477D2912" w14:textId="001CF5CB" w:rsidR="009D0B23" w:rsidRPr="00DC66CD" w:rsidRDefault="009D0B23" w:rsidP="009D0B23">
      <w:pPr>
        <w:pStyle w:val="TEKSTIIII"/>
      </w:pPr>
      <w:r w:rsidRPr="00DC66CD">
        <w:t xml:space="preserve">5.3.6 Arsimi dhe aftësimi </w:t>
      </w:r>
    </w:p>
    <w:p w14:paraId="279D6804" w14:textId="720E12F5" w:rsidR="009D0B23" w:rsidRPr="00DC66CD" w:rsidRDefault="009D0B23" w:rsidP="009D0B23">
      <w:pPr>
        <w:pStyle w:val="TEKSTIIII"/>
      </w:pPr>
      <w:r w:rsidRPr="00DC66CD">
        <w:t xml:space="preserve">5.3.7 Punësimi dhe tregu i punës </w:t>
      </w:r>
    </w:p>
    <w:p w14:paraId="5CAC1813" w14:textId="20FA3346" w:rsidR="009D0B23" w:rsidRPr="00DC66CD" w:rsidRDefault="009D0B23" w:rsidP="009D0B23">
      <w:pPr>
        <w:pStyle w:val="TEKSTIIII"/>
      </w:pPr>
      <w:r w:rsidRPr="00DC66CD">
        <w:lastRenderedPageBreak/>
        <w:t xml:space="preserve">5.3.8 Përfshirja sociale, ulja e varfërisë dhe shanset e barabarta </w:t>
      </w:r>
    </w:p>
    <w:p w14:paraId="51247AB3" w14:textId="398DC671" w:rsidR="009D0B23" w:rsidRPr="00DC66CD" w:rsidRDefault="009D0B23" w:rsidP="009D0B23">
      <w:pPr>
        <w:pStyle w:val="TEKSTIIII"/>
      </w:pPr>
      <w:r w:rsidRPr="00DC66CD">
        <w:t>6. KOSTO</w:t>
      </w:r>
      <w:r w:rsidR="0072211B" w:rsidRPr="00DC66CD">
        <w:t>JA</w:t>
      </w:r>
      <w:r w:rsidRPr="00DC66CD">
        <w:t xml:space="preserve"> DHE FINANCIMI I REFORMAVE STRUKTURORE </w:t>
      </w:r>
    </w:p>
    <w:p w14:paraId="7F841125" w14:textId="5429D348" w:rsidR="009D0B23" w:rsidRPr="00DC66CD" w:rsidRDefault="009D0B23" w:rsidP="009D0B23">
      <w:pPr>
        <w:pStyle w:val="TEKSTIIII"/>
      </w:pPr>
      <w:r w:rsidRPr="00DC66CD">
        <w:t xml:space="preserve">7. ÇËSHTJET INSTITUCIONALE DHE PËRFSHIRJA E GRUPEVE </w:t>
      </w:r>
      <w:r w:rsidRPr="007777D4">
        <w:t>TË</w:t>
      </w:r>
      <w:r w:rsidRPr="00DC66CD">
        <w:t xml:space="preserve"> </w:t>
      </w:r>
    </w:p>
    <w:p w14:paraId="0892BCC5" w14:textId="1DDF3C7E" w:rsidR="009D0B23" w:rsidRPr="00DC66CD" w:rsidRDefault="009D0B23" w:rsidP="009D0B23">
      <w:pPr>
        <w:pStyle w:val="TEKSTIIII"/>
      </w:pPr>
      <w:r w:rsidRPr="00DC66CD">
        <w:t xml:space="preserve">SHTOJCA I </w:t>
      </w:r>
    </w:p>
    <w:p w14:paraId="00607CA8" w14:textId="12F72F0B" w:rsidR="009D0B23" w:rsidRPr="00DC66CD" w:rsidRDefault="009D0B23" w:rsidP="009D0B23">
      <w:pPr>
        <w:pStyle w:val="TEKSTIIII"/>
      </w:pPr>
      <w:r w:rsidRPr="00DC66CD">
        <w:t xml:space="preserve">Tabela 1a: Perspektivat makroekonomike </w:t>
      </w:r>
    </w:p>
    <w:p w14:paraId="109AD728" w14:textId="0E82825F" w:rsidR="009D0B23" w:rsidRPr="00DC66CD" w:rsidRDefault="009D0B23" w:rsidP="009D0B23">
      <w:pPr>
        <w:pStyle w:val="TEKSTIIII"/>
      </w:pPr>
      <w:r w:rsidRPr="00DC66CD">
        <w:t xml:space="preserve">Tabela 1b: Zhvillime të çmimeve </w:t>
      </w:r>
    </w:p>
    <w:p w14:paraId="1F3CCDC3" w14:textId="4C3CB3E5" w:rsidR="009D0B23" w:rsidRPr="00DC66CD" w:rsidRDefault="009D0B23" w:rsidP="009D0B23">
      <w:pPr>
        <w:pStyle w:val="TEKSTIIII"/>
      </w:pPr>
      <w:r w:rsidRPr="00DC66CD">
        <w:t xml:space="preserve">Tabela 1c: Zhvillimet në tregun e punës </w:t>
      </w:r>
    </w:p>
    <w:p w14:paraId="7AAE6478" w14:textId="7A059FFE" w:rsidR="009D0B23" w:rsidRPr="00DC66CD" w:rsidRDefault="009D0B23" w:rsidP="009D0B23">
      <w:pPr>
        <w:pStyle w:val="TEKSTIIII"/>
      </w:pPr>
      <w:r w:rsidRPr="00DC66CD">
        <w:t xml:space="preserve">Tabela 1d: Bilancet sektoriale </w:t>
      </w:r>
    </w:p>
    <w:p w14:paraId="0F514F93" w14:textId="4F49829E" w:rsidR="009D0B23" w:rsidRPr="00DC66CD" w:rsidRDefault="009D0B23" w:rsidP="009D0B23">
      <w:pPr>
        <w:pStyle w:val="TEKSTIIII"/>
      </w:pPr>
      <w:r w:rsidRPr="00DC66CD">
        <w:t xml:space="preserve">Tabela 1e: PBB, investime dhe vlera e shtuar bruto </w:t>
      </w:r>
    </w:p>
    <w:p w14:paraId="3D66772B" w14:textId="1BC3A735" w:rsidR="009D0B23" w:rsidRPr="00DC66CD" w:rsidRDefault="009D0B23" w:rsidP="009D0B23">
      <w:pPr>
        <w:pStyle w:val="TEKSTIIII"/>
      </w:pPr>
      <w:r w:rsidRPr="00DC66CD">
        <w:t xml:space="preserve">Tabela 1f: Zhvillime të sektorit të jashtëm </w:t>
      </w:r>
    </w:p>
    <w:p w14:paraId="1EF69260" w14:textId="44677A11" w:rsidR="009D0B23" w:rsidRPr="00DC66CD" w:rsidRDefault="009D0B23" w:rsidP="009D0B23">
      <w:pPr>
        <w:pStyle w:val="TEKSTIIII"/>
      </w:pPr>
      <w:r w:rsidRPr="00DC66CD">
        <w:t>Tabela 1g: Indikatorët e qëndrueshmërisë</w:t>
      </w:r>
      <w:r w:rsidR="0072211B" w:rsidRPr="00DC66CD">
        <w:t xml:space="preserve"> </w:t>
      </w:r>
      <w:r w:rsidR="0072211B" w:rsidRPr="00DC66CD">
        <w:rPr>
          <w:i/>
        </w:rPr>
        <w:t>(</w:t>
      </w:r>
      <w:r w:rsidRPr="00DC66CD">
        <w:rPr>
          <w:i/>
        </w:rPr>
        <w:t>Sustainability indicators</w:t>
      </w:r>
      <w:r w:rsidR="0072211B" w:rsidRPr="00DC66CD">
        <w:rPr>
          <w:i/>
        </w:rPr>
        <w:t>)</w:t>
      </w:r>
      <w:r w:rsidRPr="00DC66CD">
        <w:t xml:space="preserve"> </w:t>
      </w:r>
    </w:p>
    <w:p w14:paraId="745A39F9" w14:textId="21ABDA78" w:rsidR="009D0B23" w:rsidRPr="00DC66CD" w:rsidRDefault="009D0B23" w:rsidP="009D0B23">
      <w:pPr>
        <w:pStyle w:val="TEKSTIIII"/>
      </w:pPr>
      <w:r w:rsidRPr="00DC66CD">
        <w:t xml:space="preserve">Tabela 2a: Perspektivat e </w:t>
      </w:r>
      <w:r w:rsidR="0072211B" w:rsidRPr="00DC66CD">
        <w:t>përgjithshme</w:t>
      </w:r>
      <w:r w:rsidRPr="00DC66CD">
        <w:t xml:space="preserve"> buxhetore të qeverisë </w:t>
      </w:r>
    </w:p>
    <w:p w14:paraId="446F0223" w14:textId="040232E7" w:rsidR="009D0B23" w:rsidRPr="00DC66CD" w:rsidRDefault="009D0B23" w:rsidP="009D0B23">
      <w:pPr>
        <w:pStyle w:val="TEKSTIIII"/>
      </w:pPr>
      <w:r w:rsidRPr="00DC66CD">
        <w:t xml:space="preserve">Tabela 2b: Perspektivat e përgjithshme buxhetore të qeverisë </w:t>
      </w:r>
    </w:p>
    <w:p w14:paraId="71B1DC24" w14:textId="50C2A67B" w:rsidR="009D0B23" w:rsidRPr="00DC66CD" w:rsidRDefault="009D0B23" w:rsidP="009D0B23">
      <w:pPr>
        <w:pStyle w:val="TEKSTIIII"/>
      </w:pPr>
      <w:r w:rsidRPr="00DC66CD">
        <w:t>Tabela 3: Shpenzimet e përgjithshme të qeverisë</w:t>
      </w:r>
      <w:r w:rsidR="0072211B" w:rsidRPr="00DC66CD">
        <w:t>,</w:t>
      </w:r>
      <w:r w:rsidRPr="00DC66CD">
        <w:t xml:space="preserve"> sipas funksionit </w:t>
      </w:r>
    </w:p>
    <w:p w14:paraId="4F5752B4" w14:textId="100EBAC0" w:rsidR="009D0B23" w:rsidRPr="00DC66CD" w:rsidRDefault="009D0B23" w:rsidP="009D0B23">
      <w:pPr>
        <w:pStyle w:val="TEKSTIIII"/>
      </w:pPr>
      <w:r w:rsidRPr="00DC66CD">
        <w:t xml:space="preserve">Tabela 4: Zhvillime të përgjithshme të borxhit të qeverisë </w:t>
      </w:r>
    </w:p>
    <w:p w14:paraId="640CA685" w14:textId="0F075245" w:rsidR="009D0B23" w:rsidRPr="00DC66CD" w:rsidRDefault="009D0B23" w:rsidP="009D0B23">
      <w:pPr>
        <w:pStyle w:val="TEKSTIIII"/>
      </w:pPr>
      <w:r w:rsidRPr="00DC66CD">
        <w:t xml:space="preserve">Tabela 5: Zhvillime ciklike </w:t>
      </w:r>
    </w:p>
    <w:p w14:paraId="545D2211" w14:textId="4DA40E2E" w:rsidR="009D0B23" w:rsidRPr="00DC66CD" w:rsidRDefault="009D0B23" w:rsidP="009D0B23">
      <w:pPr>
        <w:pStyle w:val="TEKSTIIII"/>
      </w:pPr>
      <w:r w:rsidRPr="00DC66CD">
        <w:t xml:space="preserve">Tabela 6: Divergjenca nga programi i mëparshëm </w:t>
      </w:r>
    </w:p>
    <w:p w14:paraId="13F0D9A5" w14:textId="23AA3967" w:rsidR="009D0B23" w:rsidRPr="00DC66CD" w:rsidRDefault="009D0B23" w:rsidP="009D0B23">
      <w:pPr>
        <w:pStyle w:val="TEKSTIIII"/>
        <w:rPr>
          <w:i/>
        </w:rPr>
      </w:pPr>
      <w:r w:rsidRPr="00DC66CD">
        <w:t xml:space="preserve">Tabela 7a: </w:t>
      </w:r>
      <w:r w:rsidRPr="00DC66CD">
        <w:rPr>
          <w:i/>
        </w:rPr>
        <w:t xml:space="preserve">Contingent liabilities </w:t>
      </w:r>
    </w:p>
    <w:p w14:paraId="19DA3EE6" w14:textId="5A7DAFB4" w:rsidR="009D0B23" w:rsidRPr="00DC66CD" w:rsidRDefault="009D0B23" w:rsidP="009D0B23">
      <w:pPr>
        <w:pStyle w:val="TEKSTIIII"/>
      </w:pPr>
      <w:r w:rsidRPr="00DC66CD">
        <w:t xml:space="preserve">Tabela 9: Tregues të përzgjedhur punësimi dhe socialë </w:t>
      </w:r>
    </w:p>
    <w:p w14:paraId="64ABBA9F" w14:textId="089AB63E" w:rsidR="009D0B23" w:rsidRPr="00DC66CD" w:rsidRDefault="009D0B23" w:rsidP="009D0B23">
      <w:pPr>
        <w:pStyle w:val="TEKSTIIII"/>
      </w:pPr>
      <w:r w:rsidRPr="00DC66CD">
        <w:t xml:space="preserve">Tabela 10a: Kostot e masave të reformave strukturore </w:t>
      </w:r>
    </w:p>
    <w:p w14:paraId="2B234107" w14:textId="2A5D89FE" w:rsidR="009D0B23" w:rsidRPr="00DC66CD" w:rsidRDefault="009D0B23" w:rsidP="009D0B23">
      <w:pPr>
        <w:pStyle w:val="TEKSTIIII"/>
      </w:pPr>
      <w:r w:rsidRPr="00DC66CD">
        <w:t xml:space="preserve">Tabela 10b: Financimi i masave të reformave strukturore </w:t>
      </w:r>
    </w:p>
    <w:p w14:paraId="0282662A" w14:textId="6148A43B" w:rsidR="009D0B23" w:rsidRPr="00DC66CD" w:rsidRDefault="009D0B23" w:rsidP="009D0B23">
      <w:pPr>
        <w:pStyle w:val="TEKSTIIII"/>
      </w:pPr>
      <w:r w:rsidRPr="00DC66CD">
        <w:t>Tabela 11: Raportimi mbi zbatimin e masave të reformave strukturore të ERP</w:t>
      </w:r>
      <w:r w:rsidR="0072211B" w:rsidRPr="00DC66CD">
        <w:t>-së,</w:t>
      </w:r>
      <w:r w:rsidRPr="00DC66CD">
        <w:t xml:space="preserve"> 2019</w:t>
      </w:r>
      <w:r w:rsidR="0072211B" w:rsidRPr="00DC66CD">
        <w:t>–</w:t>
      </w:r>
      <w:r w:rsidRPr="00DC66CD">
        <w:t xml:space="preserve">2021 </w:t>
      </w:r>
    </w:p>
    <w:p w14:paraId="16CE184A" w14:textId="6F4C00BD" w:rsidR="001913E2" w:rsidRPr="00DC66CD" w:rsidRDefault="008E6B27" w:rsidP="001913E2">
      <w:pPr>
        <w:pStyle w:val="TEKSTIIII"/>
      </w:pPr>
      <w:bookmarkStart w:id="0" w:name="_Toc484076167"/>
      <w:bookmarkStart w:id="1" w:name="_Toc30661210"/>
      <w:r w:rsidRPr="00DC66CD">
        <w:t xml:space="preserve">1. </w:t>
      </w:r>
      <w:r w:rsidR="001913E2" w:rsidRPr="00DC66CD">
        <w:t>KUADRI I PËRGJITHSHËM I POLITIKAVE DHE OBJEKTIVAT</w:t>
      </w:r>
      <w:bookmarkEnd w:id="0"/>
      <w:bookmarkEnd w:id="1"/>
    </w:p>
    <w:p w14:paraId="7B868700" w14:textId="36D4E28E" w:rsidR="001913E2" w:rsidRPr="00DC66CD" w:rsidRDefault="001913E2" w:rsidP="001913E2">
      <w:pPr>
        <w:pStyle w:val="TEKSTIIII"/>
      </w:pPr>
      <w:r w:rsidRPr="00DC66CD">
        <w:t>Hartimi dhe përgatitja e Programit të Reformave Ekonomike (ERP)</w:t>
      </w:r>
      <w:r w:rsidR="0015685E" w:rsidRPr="00DC66CD">
        <w:t>,</w:t>
      </w:r>
      <w:r w:rsidRPr="00DC66CD">
        <w:t xml:space="preserve"> 2020</w:t>
      </w:r>
      <w:r w:rsidR="0075119E" w:rsidRPr="00DC66CD">
        <w:t>–</w:t>
      </w:r>
      <w:r w:rsidRPr="00DC66CD">
        <w:t>2022</w:t>
      </w:r>
      <w:r w:rsidR="0015685E" w:rsidRPr="00DC66CD">
        <w:t>,</w:t>
      </w:r>
      <w:r w:rsidRPr="00DC66CD">
        <w:t xml:space="preserve"> u bë e mundur përmes bashkëpunimit ndërinstitucional midis Ministrisë së Financave dhe Ekonomisë në cilësinë e Koordinatorit Kombëtar të ERP</w:t>
      </w:r>
      <w:r w:rsidR="004C3DF2" w:rsidRPr="00DC66CD">
        <w:t>-së</w:t>
      </w:r>
      <w:r w:rsidRPr="00DC66CD">
        <w:t>, dhe ministrive të ndryshme të linjës dhe Bankës së Shqipërisë, të cilët kanë kontribuar me masat e tyre të reformës.</w:t>
      </w:r>
    </w:p>
    <w:p w14:paraId="64607854" w14:textId="101CE486" w:rsidR="001913E2" w:rsidRPr="00DC66CD" w:rsidRDefault="001913E2" w:rsidP="001913E2">
      <w:pPr>
        <w:pStyle w:val="TEKSTIIII"/>
      </w:pPr>
      <w:r w:rsidRPr="00DC66CD">
        <w:t xml:space="preserve">Programi </w:t>
      </w:r>
      <w:r w:rsidR="0075119E" w:rsidRPr="00DC66CD">
        <w:t>i Reformës Ekonomike</w:t>
      </w:r>
      <w:r w:rsidR="00327423" w:rsidRPr="00DC66CD">
        <w:t>,</w:t>
      </w:r>
      <w:r w:rsidR="0075119E" w:rsidRPr="00DC66CD">
        <w:t xml:space="preserve"> 2020–</w:t>
      </w:r>
      <w:r w:rsidRPr="00DC66CD">
        <w:t>2022</w:t>
      </w:r>
      <w:r w:rsidR="00327423" w:rsidRPr="00DC66CD">
        <w:t>,</w:t>
      </w:r>
      <w:r w:rsidRPr="00DC66CD">
        <w:t xml:space="preserve"> paraqet politikat kryesore makroekonomike dhe fiskale</w:t>
      </w:r>
      <w:r w:rsidR="00327423" w:rsidRPr="00DC66CD">
        <w:t>,</w:t>
      </w:r>
      <w:r w:rsidRPr="00DC66CD">
        <w:t xml:space="preserve"> që synojnë të vendosin një ekuilibër të qartë midis forcave të brendshme dhe kërcënimeve të jashtme, me qëllim që të mundësojnë zhvillim të qëndrueshëm, rritje të punësimit dhe uljen e borxhit publik. Për më tepër, ERP</w:t>
      </w:r>
      <w:r w:rsidR="00327423" w:rsidRPr="00DC66CD">
        <w:t>-ja</w:t>
      </w:r>
      <w:r w:rsidRPr="00DC66CD">
        <w:t xml:space="preserve"> përmbledh masat e reformave prioritare të </w:t>
      </w:r>
      <w:r w:rsidR="00637183" w:rsidRPr="00DC66CD">
        <w:t xml:space="preserve">qeverisë </w:t>
      </w:r>
      <w:r w:rsidRPr="00DC66CD">
        <w:t>së Shqipërisë</w:t>
      </w:r>
      <w:r w:rsidR="00637183" w:rsidRPr="00DC66CD">
        <w:t>,</w:t>
      </w:r>
      <w:r w:rsidRPr="00DC66CD">
        <w:t xml:space="preserve"> për periudhën afatshkurtër</w:t>
      </w:r>
      <w:r w:rsidR="00637183" w:rsidRPr="00DC66CD">
        <w:t>,</w:t>
      </w:r>
      <w:r w:rsidRPr="00DC66CD">
        <w:t xml:space="preserve"> me qëllim rritjen e prodhimit </w:t>
      </w:r>
      <w:r w:rsidR="00637183" w:rsidRPr="00DC66CD">
        <w:t>vendës</w:t>
      </w:r>
      <w:r w:rsidRPr="00DC66CD">
        <w:t>, nxitjen e investimeve të reja dhe sigurimin e një zhvillimi të qëndrueshme dhe rritjen e konkurrueshmërisë.</w:t>
      </w:r>
    </w:p>
    <w:p w14:paraId="4C0EC88E" w14:textId="5BFA2AE2" w:rsidR="001913E2" w:rsidRPr="00DC66CD" w:rsidRDefault="001913E2" w:rsidP="001913E2">
      <w:pPr>
        <w:pStyle w:val="TEKSTIIII"/>
      </w:pPr>
      <w:r w:rsidRPr="00DC66CD">
        <w:t>ERP</w:t>
      </w:r>
      <w:r w:rsidR="00637183" w:rsidRPr="00DC66CD">
        <w:t>-ja</w:t>
      </w:r>
      <w:r w:rsidRPr="00DC66CD">
        <w:t xml:space="preserve"> 2020</w:t>
      </w:r>
      <w:r w:rsidR="00637183" w:rsidRPr="00DC66CD">
        <w:t>–</w:t>
      </w:r>
      <w:r w:rsidRPr="00DC66CD">
        <w:t>2022</w:t>
      </w:r>
      <w:r w:rsidR="00637183" w:rsidRPr="00DC66CD">
        <w:t>,</w:t>
      </w:r>
      <w:r w:rsidRPr="00DC66CD">
        <w:t xml:space="preserve"> gjithashtu</w:t>
      </w:r>
      <w:r w:rsidR="00637183" w:rsidRPr="00DC66CD">
        <w:t>,</w:t>
      </w:r>
      <w:r w:rsidRPr="00DC66CD">
        <w:t xml:space="preserve"> përfshin ato reforma strukturore prioritare që janë mbështjellë nga ERP</w:t>
      </w:r>
      <w:r w:rsidR="00637183" w:rsidRPr="00DC66CD">
        <w:t>-ja</w:t>
      </w:r>
      <w:r w:rsidRPr="00DC66CD">
        <w:t xml:space="preserve"> e mëparshme, së bashku me shtesat e reja të përfshira në këtë cikël. Qëllimi kryesor i kësaj qasje</w:t>
      </w:r>
      <w:r w:rsidR="00637183" w:rsidRPr="00DC66CD">
        <w:t>je</w:t>
      </w:r>
      <w:r w:rsidRPr="00DC66CD">
        <w:t xml:space="preserve"> është të sigurojë një përfaqësim të vazhdueshëm të atyre reformave që janë ende në zbatim, duke siguruar kështu qëndrueshmëri në a</w:t>
      </w:r>
      <w:r w:rsidR="0075119E" w:rsidRPr="00DC66CD">
        <w:t>gj</w:t>
      </w:r>
      <w:r w:rsidRPr="00DC66CD">
        <w:t>endën e reformës prioritare. Krahas kësaj, në një mënyrë më të detajuar</w:t>
      </w:r>
      <w:r w:rsidR="0072211B" w:rsidRPr="00DC66CD">
        <w:t xml:space="preserve"> </w:t>
      </w:r>
      <w:r w:rsidRPr="00DC66CD">
        <w:t>se</w:t>
      </w:r>
      <w:r w:rsidR="00637183" w:rsidRPr="00DC66CD">
        <w:t xml:space="preserve"> </w:t>
      </w:r>
      <w:r w:rsidRPr="00DC66CD">
        <w:t>sa ERP</w:t>
      </w:r>
      <w:r w:rsidR="00637183" w:rsidRPr="00DC66CD">
        <w:t>-ja</w:t>
      </w:r>
      <w:r w:rsidRPr="00DC66CD">
        <w:t xml:space="preserve"> </w:t>
      </w:r>
      <w:r w:rsidR="00637183" w:rsidRPr="00DC66CD">
        <w:t>e</w:t>
      </w:r>
      <w:r w:rsidRPr="00DC66CD">
        <w:t xml:space="preserve"> vitit të kaluar, kapitulli 2 i këtij dokumenti paraqet statusin e zbatimit të rekomandimeve për Shqipërinë nga Konkluzionet e Përbashkëta të Dialogut Ekonomik dhe Financiar midis BE-së dhe Ballkanit Perëndimor</w:t>
      </w:r>
      <w:r w:rsidR="00637183" w:rsidRPr="00DC66CD">
        <w:t>,</w:t>
      </w:r>
      <w:r w:rsidRPr="00DC66CD">
        <w:t xml:space="preserve"> dhe Turqisë të </w:t>
      </w:r>
      <w:r w:rsidR="00637183" w:rsidRPr="00DC66CD">
        <w:t xml:space="preserve">majit </w:t>
      </w:r>
      <w:r w:rsidRPr="00DC66CD">
        <w:t>2019.</w:t>
      </w:r>
    </w:p>
    <w:p w14:paraId="61FF5D02" w14:textId="6AA130FD" w:rsidR="001913E2" w:rsidRPr="00DC66CD" w:rsidRDefault="001913E2" w:rsidP="001913E2">
      <w:pPr>
        <w:pStyle w:val="TEKSTIIII"/>
      </w:pPr>
      <w:r w:rsidRPr="00DC66CD">
        <w:t>Programi i Reformës Ekonomike</w:t>
      </w:r>
      <w:r w:rsidR="007206A4" w:rsidRPr="00DC66CD">
        <w:t>,</w:t>
      </w:r>
      <w:r w:rsidRPr="00DC66CD">
        <w:t xml:space="preserve"> 2020</w:t>
      </w:r>
      <w:r w:rsidR="007206A4" w:rsidRPr="00DC66CD">
        <w:t>–</w:t>
      </w:r>
      <w:r w:rsidRPr="00DC66CD">
        <w:t>2022</w:t>
      </w:r>
      <w:r w:rsidR="007206A4" w:rsidRPr="00DC66CD">
        <w:t>,</w:t>
      </w:r>
      <w:r w:rsidRPr="00DC66CD">
        <w:t xml:space="preserve"> është ndarë përmes një procesi konsultimi publik me grupe të ndryshme të interesit, siç janë shoqëria civile, organizatat e biznesit, part</w:t>
      </w:r>
      <w:r w:rsidR="007206A4" w:rsidRPr="00DC66CD">
        <w:t>nerët për zhvillim dhe integrim</w:t>
      </w:r>
      <w:r w:rsidRPr="00DC66CD">
        <w:t xml:space="preserve"> etj. Reagimet e marra nga ky proces konsultimi kanë qenë kurdoherë </w:t>
      </w:r>
      <w:r w:rsidR="008A3D17" w:rsidRPr="00DC66CD">
        <w:t>të</w:t>
      </w:r>
      <w:r w:rsidRPr="00DC66CD">
        <w:t xml:space="preserve"> mundur</w:t>
      </w:r>
      <w:r w:rsidR="008A3D17" w:rsidRPr="00DC66CD">
        <w:t>a</w:t>
      </w:r>
      <w:r w:rsidRPr="00DC66CD">
        <w:t xml:space="preserve"> dhe në bashkëpunim me institucionin përgjegjës të linjës, të pasqyruar ose </w:t>
      </w:r>
      <w:r w:rsidR="008A3D17" w:rsidRPr="00DC66CD">
        <w:t xml:space="preserve">të </w:t>
      </w:r>
      <w:r w:rsidRPr="00DC66CD">
        <w:t>shtuar në këtë dokument.</w:t>
      </w:r>
    </w:p>
    <w:p w14:paraId="1C9FFB8E" w14:textId="59464212" w:rsidR="001913E2" w:rsidRPr="00DC66CD" w:rsidRDefault="001913E2" w:rsidP="001913E2">
      <w:pPr>
        <w:pStyle w:val="TEKSTIIII"/>
      </w:pPr>
      <w:r w:rsidRPr="00DC66CD">
        <w:t>ERP</w:t>
      </w:r>
      <w:r w:rsidR="008A3D17" w:rsidRPr="00DC66CD">
        <w:t>-ja,</w:t>
      </w:r>
      <w:r w:rsidRPr="00DC66CD">
        <w:t xml:space="preserve"> 2020</w:t>
      </w:r>
      <w:r w:rsidR="008A3D17" w:rsidRPr="00DC66CD">
        <w:t>–</w:t>
      </w:r>
      <w:r w:rsidRPr="00DC66CD">
        <w:t>2022</w:t>
      </w:r>
      <w:r w:rsidR="008A3D17" w:rsidRPr="00DC66CD">
        <w:t>,</w:t>
      </w:r>
      <w:r w:rsidRPr="00DC66CD">
        <w:t xml:space="preserve"> do të miratohet me vendim të Këshillit të Ministrave.</w:t>
      </w:r>
    </w:p>
    <w:p w14:paraId="03876A06" w14:textId="008CE74C" w:rsidR="001913E2" w:rsidRPr="00DC66CD" w:rsidRDefault="001913E2" w:rsidP="001913E2">
      <w:pPr>
        <w:pStyle w:val="TEKSTIIII"/>
        <w:rPr>
          <w:i/>
        </w:rPr>
      </w:pPr>
      <w:r w:rsidRPr="00DC66CD">
        <w:rPr>
          <w:i/>
        </w:rPr>
        <w:t>Politika fiskale në periudhën afatmesme do të mbetet e orientuar drejt konsolidimit fiskal</w:t>
      </w:r>
      <w:r w:rsidR="005E6738" w:rsidRPr="00DC66CD">
        <w:rPr>
          <w:i/>
        </w:rPr>
        <w:t>,</w:t>
      </w:r>
      <w:r w:rsidRPr="00DC66CD">
        <w:rPr>
          <w:i/>
        </w:rPr>
        <w:t xml:space="preserve"> në përputhje me rregullat fiskale të përcaktuara në </w:t>
      </w:r>
      <w:r w:rsidR="005E6738" w:rsidRPr="00DC66CD">
        <w:rPr>
          <w:i/>
        </w:rPr>
        <w:t xml:space="preserve">ligjin e buxhetit organik, </w:t>
      </w:r>
      <w:r w:rsidRPr="00DC66CD">
        <w:rPr>
          <w:i/>
        </w:rPr>
        <w:t>si dhe rekomandimet e dhëna nga KE</w:t>
      </w:r>
      <w:r w:rsidR="005E6738" w:rsidRPr="00DC66CD">
        <w:rPr>
          <w:i/>
        </w:rPr>
        <w:t>-ja</w:t>
      </w:r>
      <w:r w:rsidRPr="00DC66CD">
        <w:rPr>
          <w:i/>
        </w:rPr>
        <w:t xml:space="preserve"> dhe të konkluduara në </w:t>
      </w:r>
      <w:r w:rsidR="005E6738" w:rsidRPr="00DC66CD">
        <w:rPr>
          <w:i/>
        </w:rPr>
        <w:t xml:space="preserve">përfundimet e përbashkëta të dialogut ekonomik dhe financiar </w:t>
      </w:r>
      <w:r w:rsidRPr="00DC66CD">
        <w:rPr>
          <w:i/>
        </w:rPr>
        <w:t>midis BE</w:t>
      </w:r>
      <w:r w:rsidR="005E6738" w:rsidRPr="00DC66CD">
        <w:rPr>
          <w:i/>
        </w:rPr>
        <w:t>-së</w:t>
      </w:r>
      <w:r w:rsidRPr="00DC66CD">
        <w:rPr>
          <w:i/>
        </w:rPr>
        <w:t xml:space="preserve"> dhe Ballkani</w:t>
      </w:r>
      <w:r w:rsidR="005E6738" w:rsidRPr="00DC66CD">
        <w:rPr>
          <w:i/>
        </w:rPr>
        <w:t>t</w:t>
      </w:r>
      <w:r w:rsidRPr="00DC66CD">
        <w:rPr>
          <w:i/>
        </w:rPr>
        <w:t xml:space="preserve"> Perëndimor në maj 2019.</w:t>
      </w:r>
    </w:p>
    <w:p w14:paraId="4A4697D9" w14:textId="03A0EB45" w:rsidR="001913E2" w:rsidRPr="00DC66CD" w:rsidRDefault="001913E2" w:rsidP="001913E2">
      <w:pPr>
        <w:pStyle w:val="TEKSTIIII"/>
      </w:pPr>
      <w:r w:rsidRPr="00DC66CD">
        <w:lastRenderedPageBreak/>
        <w:t>Politika fiskale konsoliduese synon të mbajë trajektoren rën</w:t>
      </w:r>
      <w:r w:rsidR="005E6738" w:rsidRPr="00DC66CD">
        <w:t>ë</w:t>
      </w:r>
      <w:r w:rsidRPr="00DC66CD">
        <w:t>se të borxhit publik n</w:t>
      </w:r>
      <w:r w:rsidR="005E6738" w:rsidRPr="00DC66CD">
        <w:t>ë</w:t>
      </w:r>
      <w:r w:rsidRPr="00DC66CD">
        <w:t xml:space="preserve"> raport me PBB</w:t>
      </w:r>
      <w:r w:rsidR="005E6738" w:rsidRPr="00DC66CD">
        <w:t>-në</w:t>
      </w:r>
      <w:r w:rsidRPr="00DC66CD">
        <w:t xml:space="preserve"> që nga viti 2016. Borxhi publik pritet të bjerë në rreth 65.4% të PBB-së në vitin 2020; 62.3% e PBB-së në vitin 2021 dhe 62.0% në vitin 2022. Nd</w:t>
      </w:r>
      <w:r w:rsidR="005E6738" w:rsidRPr="00DC66CD">
        <w:t>ë</w:t>
      </w:r>
      <w:r w:rsidRPr="00DC66CD">
        <w:t>rkoh</w:t>
      </w:r>
      <w:r w:rsidR="005E6738" w:rsidRPr="00DC66CD">
        <w:t>ë</w:t>
      </w:r>
      <w:r w:rsidR="005E5213" w:rsidRPr="00DC66CD">
        <w:t>,</w:t>
      </w:r>
      <w:r w:rsidRPr="00DC66CD">
        <w:t xml:space="preserve"> borxhi publik neto nga asetet likuide të qeverisë (depozita në para të qeverisë që mbahen n</w:t>
      </w:r>
      <w:r w:rsidR="005E5213" w:rsidRPr="00DC66CD">
        <w:t>ë bankën qendrore)</w:t>
      </w:r>
      <w:r w:rsidRPr="00DC66CD">
        <w:t xml:space="preserve"> pritet t</w:t>
      </w:r>
      <w:r w:rsidR="005E6738" w:rsidRPr="00DC66CD">
        <w:t>ë</w:t>
      </w:r>
      <w:r w:rsidRPr="00DC66CD">
        <w:t xml:space="preserve"> reduktohet në 60.5% në vitin 2022. Për të arritur k</w:t>
      </w:r>
      <w:r w:rsidR="005E6738" w:rsidRPr="00DC66CD">
        <w:t>ë</w:t>
      </w:r>
      <w:r w:rsidRPr="00DC66CD">
        <w:t>t</w:t>
      </w:r>
      <w:r w:rsidR="005E6738" w:rsidRPr="00DC66CD">
        <w:t>ë</w:t>
      </w:r>
      <w:r w:rsidRPr="00DC66CD">
        <w:t xml:space="preserve"> objektiv të politikës fiskale afatmesme mbi borxhin publik, skenari fiskal bazë synon një deficit fiskal në nivelin 2.2% të PBB-së </w:t>
      </w:r>
      <w:r w:rsidR="005E5213" w:rsidRPr="00DC66CD">
        <w:t>m</w:t>
      </w:r>
      <w:r w:rsidRPr="00DC66CD">
        <w:t>ë 2020</w:t>
      </w:r>
      <w:r w:rsidR="005E5213" w:rsidRPr="00DC66CD">
        <w:t>-ën</w:t>
      </w:r>
      <w:r w:rsidRPr="00DC66CD">
        <w:t>, një nivel prej 2.0% të PBB-së në vitin 2021 dhe synon ulje të mëtejshme në 1.7% në vitin 2022. Në të njëjtën kohë, synohet një bilanc primar pozitiv në vitet 2020</w:t>
      </w:r>
      <w:r w:rsidR="005E5213" w:rsidRPr="00DC66CD">
        <w:t>–</w:t>
      </w:r>
      <w:r w:rsidRPr="00DC66CD">
        <w:t>2022, respektivisht 0.1% të PBB-së në vitin 2020; 0.5% në vitin 2021; dhe 0.8 për</w:t>
      </w:r>
      <w:r w:rsidR="005E5213" w:rsidRPr="00DC66CD">
        <w:t xml:space="preserve"> </w:t>
      </w:r>
      <w:r w:rsidRPr="00DC66CD">
        <w:t xml:space="preserve">qind në vitin 2022. </w:t>
      </w:r>
      <w:r w:rsidRPr="00DC66CD">
        <w:rPr>
          <w:iCs/>
        </w:rPr>
        <w:t>Edhe p</w:t>
      </w:r>
      <w:r w:rsidR="005E6738" w:rsidRPr="00DC66CD">
        <w:rPr>
          <w:iCs/>
        </w:rPr>
        <w:t>ë</w:t>
      </w:r>
      <w:r w:rsidRPr="00DC66CD">
        <w:rPr>
          <w:iCs/>
        </w:rPr>
        <w:t>r periudh</w:t>
      </w:r>
      <w:r w:rsidR="005E6738" w:rsidRPr="00DC66CD">
        <w:rPr>
          <w:iCs/>
        </w:rPr>
        <w:t>ë</w:t>
      </w:r>
      <w:r w:rsidRPr="00DC66CD">
        <w:rPr>
          <w:iCs/>
        </w:rPr>
        <w:t>n afatgjat</w:t>
      </w:r>
      <w:r w:rsidR="005E6738" w:rsidRPr="00DC66CD">
        <w:rPr>
          <w:iCs/>
        </w:rPr>
        <w:t>ë</w:t>
      </w:r>
      <w:r w:rsidR="005E5213" w:rsidRPr="00DC66CD">
        <w:rPr>
          <w:iCs/>
        </w:rPr>
        <w:t>,</w:t>
      </w:r>
      <w:r w:rsidRPr="00DC66CD">
        <w:rPr>
          <w:iCs/>
        </w:rPr>
        <w:t xml:space="preserve"> politika fiskale do t</w:t>
      </w:r>
      <w:r w:rsidR="005E6738" w:rsidRPr="00DC66CD">
        <w:rPr>
          <w:iCs/>
        </w:rPr>
        <w:t>ë</w:t>
      </w:r>
      <w:r w:rsidRPr="00DC66CD">
        <w:rPr>
          <w:iCs/>
        </w:rPr>
        <w:t xml:space="preserve"> vijoj</w:t>
      </w:r>
      <w:r w:rsidR="005E6738" w:rsidRPr="00DC66CD">
        <w:rPr>
          <w:iCs/>
        </w:rPr>
        <w:t>ë</w:t>
      </w:r>
      <w:r w:rsidRPr="00DC66CD">
        <w:rPr>
          <w:iCs/>
        </w:rPr>
        <w:t xml:space="preserve"> t</w:t>
      </w:r>
      <w:r w:rsidR="005E6738" w:rsidRPr="00DC66CD">
        <w:rPr>
          <w:iCs/>
        </w:rPr>
        <w:t>ë</w:t>
      </w:r>
      <w:r w:rsidRPr="00DC66CD">
        <w:rPr>
          <w:iCs/>
        </w:rPr>
        <w:t xml:space="preserve"> mbetet qart</w:t>
      </w:r>
      <w:r w:rsidR="005E6738" w:rsidRPr="00DC66CD">
        <w:rPr>
          <w:iCs/>
        </w:rPr>
        <w:t>ë</w:t>
      </w:r>
      <w:r w:rsidRPr="00DC66CD">
        <w:rPr>
          <w:iCs/>
        </w:rPr>
        <w:t>sisht e orientuar drejt konsolidimit fiskal, duke synuar nj</w:t>
      </w:r>
      <w:r w:rsidR="005E6738" w:rsidRPr="00DC66CD">
        <w:rPr>
          <w:iCs/>
        </w:rPr>
        <w:t>ë</w:t>
      </w:r>
      <w:r w:rsidRPr="00DC66CD">
        <w:rPr>
          <w:iCs/>
        </w:rPr>
        <w:t xml:space="preserve"> ulje t</w:t>
      </w:r>
      <w:r w:rsidR="005E6738" w:rsidRPr="00DC66CD">
        <w:rPr>
          <w:iCs/>
        </w:rPr>
        <w:t>ë</w:t>
      </w:r>
      <w:r w:rsidRPr="00DC66CD">
        <w:rPr>
          <w:iCs/>
        </w:rPr>
        <w:t xml:space="preserve"> borxhit publik</w:t>
      </w:r>
      <w:r w:rsidR="005E5213" w:rsidRPr="00DC66CD">
        <w:rPr>
          <w:iCs/>
        </w:rPr>
        <w:t>,</w:t>
      </w:r>
      <w:r w:rsidRPr="00DC66CD">
        <w:rPr>
          <w:iCs/>
        </w:rPr>
        <w:t xml:space="preserve"> me t</w:t>
      </w:r>
      <w:r w:rsidR="005E6738" w:rsidRPr="00DC66CD">
        <w:rPr>
          <w:iCs/>
        </w:rPr>
        <w:t>ë</w:t>
      </w:r>
      <w:r w:rsidRPr="00DC66CD">
        <w:rPr>
          <w:iCs/>
        </w:rPr>
        <w:t xml:space="preserve"> pakt</w:t>
      </w:r>
      <w:r w:rsidR="005E6738" w:rsidRPr="00DC66CD">
        <w:rPr>
          <w:iCs/>
        </w:rPr>
        <w:t>ë</w:t>
      </w:r>
      <w:r w:rsidRPr="00DC66CD">
        <w:rPr>
          <w:iCs/>
        </w:rPr>
        <w:t>n mesatarisht 1.5 pik</w:t>
      </w:r>
      <w:r w:rsidR="005E6738" w:rsidRPr="00DC66CD">
        <w:rPr>
          <w:iCs/>
        </w:rPr>
        <w:t>ë</w:t>
      </w:r>
      <w:r w:rsidRPr="00DC66CD">
        <w:rPr>
          <w:iCs/>
        </w:rPr>
        <w:t xml:space="preserve"> p</w:t>
      </w:r>
      <w:r w:rsidR="005E6738" w:rsidRPr="00DC66CD">
        <w:rPr>
          <w:iCs/>
        </w:rPr>
        <w:t>ë</w:t>
      </w:r>
      <w:r w:rsidRPr="00DC66CD">
        <w:rPr>
          <w:iCs/>
        </w:rPr>
        <w:t>rqindje</w:t>
      </w:r>
      <w:r w:rsidR="005E5213" w:rsidRPr="00DC66CD">
        <w:rPr>
          <w:iCs/>
        </w:rPr>
        <w:t>je</w:t>
      </w:r>
      <w:r w:rsidRPr="00DC66CD">
        <w:rPr>
          <w:iCs/>
        </w:rPr>
        <w:t xml:space="preserve"> t</w:t>
      </w:r>
      <w:r w:rsidR="005E6738" w:rsidRPr="00DC66CD">
        <w:rPr>
          <w:iCs/>
        </w:rPr>
        <w:t>ë</w:t>
      </w:r>
      <w:r w:rsidRPr="00DC66CD">
        <w:rPr>
          <w:iCs/>
        </w:rPr>
        <w:t xml:space="preserve"> PBB</w:t>
      </w:r>
      <w:r w:rsidR="005E5213" w:rsidRPr="00DC66CD">
        <w:rPr>
          <w:iCs/>
        </w:rPr>
        <w:t>-së</w:t>
      </w:r>
      <w:r w:rsidRPr="00DC66CD">
        <w:rPr>
          <w:iCs/>
        </w:rPr>
        <w:t xml:space="preserve"> n</w:t>
      </w:r>
      <w:r w:rsidR="005E6738" w:rsidRPr="00DC66CD">
        <w:rPr>
          <w:iCs/>
        </w:rPr>
        <w:t>ë</w:t>
      </w:r>
      <w:r w:rsidRPr="00DC66CD">
        <w:rPr>
          <w:iCs/>
        </w:rPr>
        <w:t xml:space="preserve"> çdo vit, deri sa niveli i tij t</w:t>
      </w:r>
      <w:r w:rsidR="005E6738" w:rsidRPr="00DC66CD">
        <w:rPr>
          <w:iCs/>
        </w:rPr>
        <w:t>ë</w:t>
      </w:r>
      <w:r w:rsidRPr="00DC66CD">
        <w:rPr>
          <w:iCs/>
        </w:rPr>
        <w:t xml:space="preserve"> arrij</w:t>
      </w:r>
      <w:r w:rsidR="005E6738" w:rsidRPr="00DC66CD">
        <w:rPr>
          <w:iCs/>
        </w:rPr>
        <w:t>ë</w:t>
      </w:r>
      <w:r w:rsidRPr="00DC66CD">
        <w:rPr>
          <w:iCs/>
        </w:rPr>
        <w:t xml:space="preserve"> objektivin afatgjat</w:t>
      </w:r>
      <w:r w:rsidR="005E6738" w:rsidRPr="00DC66CD">
        <w:rPr>
          <w:iCs/>
        </w:rPr>
        <w:t>ë</w:t>
      </w:r>
      <w:r w:rsidRPr="00DC66CD">
        <w:rPr>
          <w:iCs/>
        </w:rPr>
        <w:t xml:space="preserve"> prej 45% t</w:t>
      </w:r>
      <w:r w:rsidR="005E6738" w:rsidRPr="00DC66CD">
        <w:rPr>
          <w:iCs/>
        </w:rPr>
        <w:t>ë</w:t>
      </w:r>
      <w:r w:rsidRPr="00DC66CD">
        <w:rPr>
          <w:iCs/>
        </w:rPr>
        <w:t xml:space="preserve"> PBB</w:t>
      </w:r>
      <w:r w:rsidR="005E5213" w:rsidRPr="00DC66CD">
        <w:rPr>
          <w:iCs/>
        </w:rPr>
        <w:t>-së,</w:t>
      </w:r>
      <w:r w:rsidRPr="00DC66CD">
        <w:rPr>
          <w:iCs/>
        </w:rPr>
        <w:t xml:space="preserve"> t</w:t>
      </w:r>
      <w:r w:rsidR="005E6738" w:rsidRPr="00DC66CD">
        <w:rPr>
          <w:iCs/>
        </w:rPr>
        <w:t>ë</w:t>
      </w:r>
      <w:r w:rsidRPr="00DC66CD">
        <w:rPr>
          <w:iCs/>
        </w:rPr>
        <w:t xml:space="preserve"> p</w:t>
      </w:r>
      <w:r w:rsidR="005E6738" w:rsidRPr="00DC66CD">
        <w:rPr>
          <w:iCs/>
        </w:rPr>
        <w:t>ë</w:t>
      </w:r>
      <w:r w:rsidRPr="00DC66CD">
        <w:rPr>
          <w:iCs/>
        </w:rPr>
        <w:t>rcaktuar n</w:t>
      </w:r>
      <w:r w:rsidR="005E6738" w:rsidRPr="00DC66CD">
        <w:rPr>
          <w:iCs/>
        </w:rPr>
        <w:t>ë</w:t>
      </w:r>
      <w:r w:rsidRPr="00DC66CD">
        <w:rPr>
          <w:iCs/>
        </w:rPr>
        <w:t xml:space="preserve"> rregullat fiskal</w:t>
      </w:r>
      <w:r w:rsidR="005E5213" w:rsidRPr="00DC66CD">
        <w:rPr>
          <w:iCs/>
        </w:rPr>
        <w:t>e</w:t>
      </w:r>
      <w:r w:rsidRPr="00DC66CD">
        <w:rPr>
          <w:iCs/>
        </w:rPr>
        <w:t xml:space="preserve"> t</w:t>
      </w:r>
      <w:r w:rsidR="005E6738" w:rsidRPr="00DC66CD">
        <w:rPr>
          <w:iCs/>
        </w:rPr>
        <w:t>ë</w:t>
      </w:r>
      <w:r w:rsidRPr="00DC66CD">
        <w:rPr>
          <w:iCs/>
        </w:rPr>
        <w:t xml:space="preserve"> ligjit organik t</w:t>
      </w:r>
      <w:r w:rsidR="005E6738" w:rsidRPr="00DC66CD">
        <w:rPr>
          <w:iCs/>
        </w:rPr>
        <w:t>ë</w:t>
      </w:r>
      <w:r w:rsidRPr="00DC66CD">
        <w:rPr>
          <w:iCs/>
        </w:rPr>
        <w:t xml:space="preserve"> buxhetit.</w:t>
      </w:r>
    </w:p>
    <w:p w14:paraId="40824AA8" w14:textId="46BD722D" w:rsidR="001913E2" w:rsidRPr="00DC66CD" w:rsidRDefault="001913E2" w:rsidP="001913E2">
      <w:pPr>
        <w:pStyle w:val="TEKSTIIII"/>
      </w:pPr>
      <w:r w:rsidRPr="00DC66CD">
        <w:t>Nj</w:t>
      </w:r>
      <w:r w:rsidR="005E6738" w:rsidRPr="00DC66CD">
        <w:t>ë</w:t>
      </w:r>
      <w:r w:rsidRPr="00DC66CD">
        <w:t>koh</w:t>
      </w:r>
      <w:r w:rsidR="005E6738" w:rsidRPr="00DC66CD">
        <w:t>ë</w:t>
      </w:r>
      <w:r w:rsidRPr="00DC66CD">
        <w:t>sisht, ky kuadër fiskal p</w:t>
      </w:r>
      <w:r w:rsidR="005E6738" w:rsidRPr="00DC66CD">
        <w:t>ë</w:t>
      </w:r>
      <w:r w:rsidRPr="00DC66CD">
        <w:t>rshtat politikat buxhetore që mbështesin rritjen ekonomike. Investimet publike të qeverisë qendrore në afat të shkurtër dhe të mesëm ruhen me një mesatare prej mbi 4.5% të PBB-së, e cila është e rëndësishme për të nxitur kërkesën agregate në afat të shkurtër dhe për të zhvendosur rritjen potenciale në periudhën afatmesme dhe afatgjat</w:t>
      </w:r>
      <w:r w:rsidR="005E5213" w:rsidRPr="00DC66CD">
        <w:t>e</w:t>
      </w:r>
      <w:r w:rsidRPr="00DC66CD">
        <w:t>. Vazhdimi i reformave të menaxhimit financiar publik është thelbësor për rritjen e efikasitetit të shpenzimeve buxhetore</w:t>
      </w:r>
      <w:r w:rsidR="00453C96" w:rsidRPr="00DC66CD">
        <w:t>,</w:t>
      </w:r>
      <w:r w:rsidRPr="00DC66CD">
        <w:t xml:space="preserve"> si dhe p</w:t>
      </w:r>
      <w:r w:rsidR="005E6738" w:rsidRPr="00DC66CD">
        <w:t>ë</w:t>
      </w:r>
      <w:r w:rsidRPr="00DC66CD">
        <w:t>r krijimin e hapësirave për shpenzime më produktive në periudhën afatmesme dhe afatgjat</w:t>
      </w:r>
      <w:r w:rsidR="00453C96" w:rsidRPr="00DC66CD">
        <w:t>e</w:t>
      </w:r>
      <w:r w:rsidRPr="00DC66CD">
        <w:t>.</w:t>
      </w:r>
    </w:p>
    <w:p w14:paraId="42D53398" w14:textId="13C93A01" w:rsidR="00D94F59" w:rsidRPr="00DC66CD" w:rsidRDefault="00D94F59" w:rsidP="00D94F59">
      <w:pPr>
        <w:pStyle w:val="TEKSTIIII"/>
      </w:pPr>
      <w:bookmarkStart w:id="2" w:name="_Toc30661211"/>
      <w:r w:rsidRPr="00DC66CD">
        <w:t>2. ZBATIMI I REKOMANDIMEVE</w:t>
      </w:r>
      <w:bookmarkEnd w:id="2"/>
    </w:p>
    <w:p w14:paraId="302E9F63" w14:textId="4D8E556C" w:rsidR="00D94F59" w:rsidRPr="00DC66CD" w:rsidRDefault="00D94F59" w:rsidP="00D94F59">
      <w:pPr>
        <w:pStyle w:val="TEKSTIIII"/>
        <w:rPr>
          <w:b/>
          <w:i/>
        </w:rPr>
      </w:pPr>
      <w:r w:rsidRPr="00DC66CD">
        <w:rPr>
          <w:b/>
          <w:i/>
        </w:rPr>
        <w:t>1. Kapitalizoni ritmin e pritshëm të rritjes për të çuar përpara konsolidimin fiskal në vitin 2019. Hartoni një plan konsolidimi afatmesëm për të ulur raportin e borxhit nën kufirin e përcaktuar në ligjin organik të buxhetit. Krijoni një strategji gjithëpërfshirëse të mobilizimit afatmesëm të të ardhurave për të udhëhequr në mënyrë efektive një rritje të të ardhurave, ndër të tjera</w:t>
      </w:r>
      <w:r w:rsidR="00453C96" w:rsidRPr="00DC66CD">
        <w:rPr>
          <w:b/>
          <w:i/>
        </w:rPr>
        <w:t>,</w:t>
      </w:r>
      <w:r w:rsidRPr="00DC66CD">
        <w:rPr>
          <w:b/>
          <w:i/>
        </w:rPr>
        <w:t xml:space="preserve"> duke adresuar informalitetin dhe evazionin e taksave</w:t>
      </w:r>
      <w:r w:rsidR="00453C96" w:rsidRPr="00DC66CD">
        <w:rPr>
          <w:b/>
          <w:i/>
        </w:rPr>
        <w:t>.</w:t>
      </w:r>
    </w:p>
    <w:p w14:paraId="6EF6143E" w14:textId="13BE66D3" w:rsidR="00D94F59" w:rsidRPr="00DC66CD" w:rsidRDefault="00D94F59" w:rsidP="00D94F59">
      <w:pPr>
        <w:pStyle w:val="TEKSTIIII"/>
      </w:pPr>
      <w:r w:rsidRPr="00DC66CD">
        <w:t>Në kuadër të Reformës në Menaxhimin e Financave Publike, k</w:t>
      </w:r>
      <w:r w:rsidR="001A0E92" w:rsidRPr="00DC66CD">
        <w:t>y</w:t>
      </w:r>
      <w:r w:rsidRPr="00DC66CD">
        <w:t xml:space="preserve"> rekomandim do të adresohet përmes </w:t>
      </w:r>
      <w:r w:rsidR="001A0E92" w:rsidRPr="00DC66CD">
        <w:t xml:space="preserve">strategjisë </w:t>
      </w:r>
      <w:r w:rsidRPr="00DC66CD">
        <w:t>së MFP</w:t>
      </w:r>
      <w:r w:rsidR="001A0E92" w:rsidRPr="00DC66CD">
        <w:t>-së,</w:t>
      </w:r>
      <w:r w:rsidRPr="00DC66CD">
        <w:t xml:space="preserve"> 2019</w:t>
      </w:r>
      <w:r w:rsidR="001A0E92" w:rsidRPr="00DC66CD">
        <w:t>–</w:t>
      </w:r>
      <w:r w:rsidRPr="00DC66CD">
        <w:t xml:space="preserve">2022. </w:t>
      </w:r>
      <w:r w:rsidR="001A0E92" w:rsidRPr="00DC66CD">
        <w:t>Ë</w:t>
      </w:r>
      <w:r w:rsidRPr="00DC66CD">
        <w:t>shtë përgatitur një strategji e re për MFP</w:t>
      </w:r>
      <w:r w:rsidR="001A0E92" w:rsidRPr="00DC66CD">
        <w:t>-në</w:t>
      </w:r>
      <w:r w:rsidRPr="00DC66CD">
        <w:t xml:space="preserve"> (aktualisht); masat e reja janë duke u konsideruar për periudhën e ardhshme</w:t>
      </w:r>
      <w:r w:rsidR="001A0E92" w:rsidRPr="00DC66CD">
        <w:t>,</w:t>
      </w:r>
      <w:r w:rsidRPr="00DC66CD">
        <w:t xml:space="preserve"> 2019</w:t>
      </w:r>
      <w:r w:rsidR="001A0E92" w:rsidRPr="00DC66CD">
        <w:t>–</w:t>
      </w:r>
      <w:r w:rsidRPr="00DC66CD">
        <w:t xml:space="preserve">2022, si pjesë e rishikimit të </w:t>
      </w:r>
      <w:r w:rsidR="001A0E92" w:rsidRPr="00DC66CD">
        <w:t xml:space="preserve">strategjisë </w:t>
      </w:r>
      <w:r w:rsidRPr="00DC66CD">
        <w:t>së PFM</w:t>
      </w:r>
      <w:r w:rsidR="001A0E92" w:rsidRPr="00DC66CD">
        <w:t>-së</w:t>
      </w:r>
      <w:r w:rsidRPr="00DC66CD">
        <w:t xml:space="preserve">. Në këtë drejtim, objektivi kryesor i </w:t>
      </w:r>
      <w:r w:rsidR="001A0E92" w:rsidRPr="00DC66CD">
        <w:t xml:space="preserve">qeverisë </w:t>
      </w:r>
      <w:r w:rsidRPr="00DC66CD">
        <w:t>do të vazhdojë të jetë përforcimi i kornizës afatmesme makrofiskale</w:t>
      </w:r>
      <w:r w:rsidR="001A0E92" w:rsidRPr="00DC66CD">
        <w:t>,</w:t>
      </w:r>
      <w:r w:rsidRPr="00DC66CD">
        <w:t xml:space="preserve"> duke përmirësuar rregullat procedurale që do të kërkojnë të eliminojnë rrezikun e paragjykimeve sistematike optimiste në parashikimet e PBB-së dhe të ardhurave nga buxheti. Zhvillimi i një kornize të besueshme makrofiskale afatmesme që mbështet përgatitjen e PBA</w:t>
      </w:r>
      <w:r w:rsidR="00EA7130" w:rsidRPr="00DC66CD">
        <w:t>-së</w:t>
      </w:r>
      <w:r w:rsidRPr="00DC66CD">
        <w:t xml:space="preserve"> do të jetë rezultati i synuar. Për këtë qëllim, MFE</w:t>
      </w:r>
      <w:r w:rsidR="00EA7130" w:rsidRPr="00DC66CD">
        <w:t>-ja</w:t>
      </w:r>
      <w:r w:rsidRPr="00DC66CD">
        <w:t xml:space="preserve"> do të shqyrtojë rregullat dhe objektivat shtesë</w:t>
      </w:r>
      <w:r w:rsidR="00EA7130" w:rsidRPr="00DC66CD">
        <w:t>,</w:t>
      </w:r>
      <w:r w:rsidRPr="00DC66CD">
        <w:t xml:space="preserve"> fiskalë dhe procesin e monitorimit të rregullt për rregullat fiskale.</w:t>
      </w:r>
    </w:p>
    <w:p w14:paraId="7173765F" w14:textId="2DA49593" w:rsidR="00D94F59" w:rsidRPr="00DC66CD" w:rsidRDefault="00D94F59" w:rsidP="00D94F59">
      <w:pPr>
        <w:pStyle w:val="TEKSTIIII"/>
      </w:pPr>
      <w:r w:rsidRPr="00DC66CD">
        <w:t>Për të vendosur një administrim efektiv, efikas dhe transparent të të ardhurave tatimore, që rrit efikasitetin në mbledhjen e detyrimeve tatimore, një nga masat e reja është</w:t>
      </w:r>
      <w:r w:rsidR="00EA7130" w:rsidRPr="00DC66CD">
        <w:t xml:space="preserve">: </w:t>
      </w:r>
      <w:r w:rsidRPr="00DC66CD">
        <w:t>Përgatitja e një strategjie gjithëpërfshirëse të të ardhurave afatmesme deri në vitin 2022. Drejtoria e Përgji</w:t>
      </w:r>
      <w:r w:rsidR="00EA7130" w:rsidRPr="00DC66CD">
        <w:t>thshme e Tatimeve do të përgatit</w:t>
      </w:r>
      <w:r w:rsidRPr="00DC66CD">
        <w:t>ë një strategji gjithëpërfshirëse të të ardhurave afatmesme, kështu që përpara se të njoftojë çdo ndryshim tatimor, një analizë të fortë të politikave, për të vlerësuar ndikimin e të ardhurave, ekonomike dhe shpërndarëse të tyre.</w:t>
      </w:r>
    </w:p>
    <w:p w14:paraId="5CEC370F" w14:textId="45C4ABDC" w:rsidR="00D94F59" w:rsidRPr="00DC66CD" w:rsidRDefault="00D94F59" w:rsidP="00D94F59">
      <w:pPr>
        <w:pStyle w:val="TEKSTIIII"/>
        <w:rPr>
          <w:b/>
          <w:i/>
        </w:rPr>
      </w:pPr>
      <w:r w:rsidRPr="00DC66CD">
        <w:rPr>
          <w:b/>
          <w:i/>
        </w:rPr>
        <w:t xml:space="preserve">2. Siguroni një regjistrim sistematik dhe të plotë të detyrimeve fiskale që rrjedhin nga </w:t>
      </w:r>
      <w:r w:rsidR="00EA7130" w:rsidRPr="00DC66CD">
        <w:rPr>
          <w:b/>
          <w:i/>
        </w:rPr>
        <w:t xml:space="preserve">partneritetet publike-private </w:t>
      </w:r>
      <w:r w:rsidRPr="00DC66CD">
        <w:rPr>
          <w:b/>
          <w:i/>
        </w:rPr>
        <w:t xml:space="preserve">dhe borxheve në të gjitha nivelet e qeverisë në raportet e rregullta fiskale dhe </w:t>
      </w:r>
      <w:r w:rsidR="00EA7130" w:rsidRPr="00DC66CD">
        <w:rPr>
          <w:b/>
          <w:i/>
        </w:rPr>
        <w:t>kornizën makrofiskale</w:t>
      </w:r>
      <w:r w:rsidRPr="00DC66CD">
        <w:rPr>
          <w:b/>
          <w:i/>
        </w:rPr>
        <w:t>. Përmirësoni planifikimin dhe ekzekutimin e investimeve publike. Rritni shpenzimet për arsim dhe kërkim në përqindje të PBB-së</w:t>
      </w:r>
      <w:r w:rsidR="00EA7130" w:rsidRPr="00DC66CD">
        <w:rPr>
          <w:b/>
          <w:i/>
        </w:rPr>
        <w:t>,</w:t>
      </w:r>
      <w:r w:rsidRPr="00DC66CD">
        <w:rPr>
          <w:b/>
          <w:i/>
        </w:rPr>
        <w:t xml:space="preserve"> në përputhje me objektivat e politikave të qeverisë.</w:t>
      </w:r>
    </w:p>
    <w:p w14:paraId="13952771" w14:textId="110707E2" w:rsidR="00D94F59" w:rsidRPr="00DC66CD" w:rsidRDefault="00D94F59" w:rsidP="00D94F59">
      <w:pPr>
        <w:pStyle w:val="TEKSTIIII"/>
      </w:pPr>
      <w:r w:rsidRPr="00DC66CD">
        <w:t xml:space="preserve">Rekomandimi do të adresohet përmes </w:t>
      </w:r>
      <w:r w:rsidR="00656629" w:rsidRPr="00DC66CD">
        <w:t xml:space="preserve">strategjisë </w:t>
      </w:r>
      <w:r w:rsidRPr="00DC66CD">
        <w:t>së MFP</w:t>
      </w:r>
      <w:r w:rsidR="00656629" w:rsidRPr="00DC66CD">
        <w:t>-së,</w:t>
      </w:r>
      <w:r w:rsidRPr="00DC66CD">
        <w:t xml:space="preserve"> 2019</w:t>
      </w:r>
      <w:r w:rsidR="00656629" w:rsidRPr="00DC66CD">
        <w:t>–</w:t>
      </w:r>
      <w:r w:rsidRPr="00DC66CD">
        <w:t>2022. Në komponentin 1.2</w:t>
      </w:r>
      <w:r w:rsidR="00656629" w:rsidRPr="00DC66CD">
        <w:t>,</w:t>
      </w:r>
      <w:r w:rsidRPr="00DC66CD">
        <w:t xml:space="preserve"> </w:t>
      </w:r>
      <w:r w:rsidR="002A29AD" w:rsidRPr="00DC66CD">
        <w:t>“</w:t>
      </w:r>
      <w:r w:rsidRPr="00DC66CD">
        <w:t xml:space="preserve">Menaxhimi i rrezikut fiskal </w:t>
      </w:r>
      <w:r w:rsidR="00656629" w:rsidRPr="00DC66CD">
        <w:t>të</w:t>
      </w:r>
      <w:r w:rsidRPr="00DC66CD">
        <w:t xml:space="preserve"> strategjisë</w:t>
      </w:r>
      <w:r w:rsidR="002A29AD" w:rsidRPr="00DC66CD">
        <w:t>”</w:t>
      </w:r>
      <w:r w:rsidRPr="00DC66CD">
        <w:t>, objektivi do të jetë forcimi i mbikëqyrjes financiare dhe menaxhimi i rreziqeve fiskale. Analiza e rreziqeve fiskale, për sa i përket Deklaratës së Rreziqeve Fiskale</w:t>
      </w:r>
      <w:r w:rsidR="002A29AD" w:rsidRPr="00DC66CD">
        <w:t>,</w:t>
      </w:r>
      <w:r w:rsidRPr="00DC66CD">
        <w:t xml:space="preserve"> u finalizua në një raport të vetëm, i cili si pasojë u përfshi si një </w:t>
      </w:r>
      <w:r w:rsidR="002A29AD" w:rsidRPr="00DC66CD">
        <w:t xml:space="preserve">kapitull </w:t>
      </w:r>
      <w:r w:rsidRPr="00DC66CD">
        <w:t xml:space="preserve">i </w:t>
      </w:r>
      <w:r w:rsidRPr="00DC66CD">
        <w:lastRenderedPageBreak/>
        <w:t>veçantë (Ch.</w:t>
      </w:r>
      <w:r w:rsidR="002A29AD" w:rsidRPr="00DC66CD">
        <w:t xml:space="preserve"> </w:t>
      </w:r>
      <w:r w:rsidRPr="00DC66CD">
        <w:t>8</w:t>
      </w:r>
      <w:r w:rsidR="002A29AD" w:rsidRPr="00DC66CD">
        <w:t>,</w:t>
      </w:r>
      <w:r w:rsidRPr="00DC66CD">
        <w:t xml:space="preserve"> </w:t>
      </w:r>
      <w:r w:rsidR="002A29AD" w:rsidRPr="00DC66CD">
        <w:t>“</w:t>
      </w:r>
      <w:r w:rsidRPr="00DC66CD">
        <w:t xml:space="preserve">Rreziqet </w:t>
      </w:r>
      <w:r w:rsidR="002A29AD" w:rsidRPr="00DC66CD">
        <w:t>fiskale dhe masat parandaluese”</w:t>
      </w:r>
      <w:r w:rsidRPr="00DC66CD">
        <w:t>) në projektligjin për</w:t>
      </w:r>
      <w:r w:rsidR="002A29AD" w:rsidRPr="00DC66CD">
        <w:t xml:space="preserve"> buxhetin vjetor të </w:t>
      </w:r>
      <w:r w:rsidRPr="00DC66CD">
        <w:t xml:space="preserve">vitit 2019, miratuar në </w:t>
      </w:r>
      <w:r w:rsidR="002A29AD" w:rsidRPr="00DC66CD">
        <w:t xml:space="preserve">tetor </w:t>
      </w:r>
      <w:r w:rsidRPr="00DC66CD">
        <w:t xml:space="preserve">2019. Vlerësimi i probabilitetit dhe </w:t>
      </w:r>
      <w:r w:rsidR="002A29AD" w:rsidRPr="00DC66CD">
        <w:t xml:space="preserve">i </w:t>
      </w:r>
      <w:r w:rsidRPr="00DC66CD">
        <w:t xml:space="preserve">ndikimit të rreziqeve fiskale kryhet në bazë të analizave të hollësishme dhe parashikimeve brenda </w:t>
      </w:r>
      <w:r w:rsidR="002A29AD" w:rsidRPr="00DC66CD">
        <w:t>buxhetit afatmesëm</w:t>
      </w:r>
      <w:r w:rsidRPr="00DC66CD">
        <w:t>. Me respekt, vlerësohen dy kategori të rrezikut:</w:t>
      </w:r>
    </w:p>
    <w:p w14:paraId="5C16D3AB" w14:textId="24C6D365" w:rsidR="00D94F59" w:rsidRPr="00DC66CD" w:rsidRDefault="00D94F59" w:rsidP="00D94F59">
      <w:pPr>
        <w:pStyle w:val="TEKSTIIII"/>
      </w:pPr>
      <w:r w:rsidRPr="00DC66CD">
        <w:t xml:space="preserve">- </w:t>
      </w:r>
      <w:r w:rsidR="002A29AD" w:rsidRPr="00DC66CD">
        <w:t>“e</w:t>
      </w:r>
      <w:r w:rsidRPr="00DC66CD">
        <w:t xml:space="preserve"> qartë</w:t>
      </w:r>
      <w:r w:rsidR="002A29AD" w:rsidRPr="00DC66CD">
        <w:t>”</w:t>
      </w:r>
      <w:r w:rsidRPr="00DC66CD">
        <w:t xml:space="preserve"> ose rreziqet që lidhen me supozimet dhe zhvillimet makroekonomike, të ardhurat e qeverisë, shpenzi</w:t>
      </w:r>
      <w:r w:rsidR="007206A4" w:rsidRPr="00DC66CD">
        <w:t>met dhe administrimin e borxhit</w:t>
      </w:r>
      <w:r w:rsidRPr="00DC66CD">
        <w:t xml:space="preserve"> etj.</w:t>
      </w:r>
    </w:p>
    <w:p w14:paraId="72C33B1B" w14:textId="458515DC" w:rsidR="00D94F59" w:rsidRPr="00DC66CD" w:rsidRDefault="00D94F59" w:rsidP="00D94F59">
      <w:pPr>
        <w:pStyle w:val="TEKSTIIII"/>
        <w:rPr>
          <w:rFonts w:eastAsia="Times New Roman"/>
        </w:rPr>
      </w:pPr>
      <w:r w:rsidRPr="00DC66CD">
        <w:rPr>
          <w:rFonts w:eastAsia="Times New Roman"/>
        </w:rPr>
        <w:t xml:space="preserve">- </w:t>
      </w:r>
      <w:r w:rsidR="002A29AD" w:rsidRPr="00DC66CD">
        <w:rPr>
          <w:rFonts w:eastAsia="Times New Roman"/>
        </w:rPr>
        <w:t>detyrime “</w:t>
      </w:r>
      <w:r w:rsidRPr="00DC66CD">
        <w:rPr>
          <w:rFonts w:eastAsia="Times New Roman"/>
        </w:rPr>
        <w:t>të nënkuptuara</w:t>
      </w:r>
      <w:r w:rsidR="002A29AD" w:rsidRPr="00DC66CD">
        <w:rPr>
          <w:rFonts w:eastAsia="Times New Roman"/>
        </w:rPr>
        <w:t>”</w:t>
      </w:r>
      <w:r w:rsidRPr="00DC66CD">
        <w:rPr>
          <w:rFonts w:eastAsia="Times New Roman"/>
        </w:rPr>
        <w:t xml:space="preserve"> ose të kushtëzuara, PPP, ato të vetëqeverisjes lokale, ndërmarrjeve publike në pronësi të shtetit, rreziqe të tjera siç janë vendimet gjyqësore, katastrofat natyrore dhe sektori financiar ose rreziqet afatgjata.</w:t>
      </w:r>
    </w:p>
    <w:p w14:paraId="46BF81E7" w14:textId="4AEFC9DB" w:rsidR="00D94F59" w:rsidRPr="00DC66CD" w:rsidRDefault="00D94F59" w:rsidP="00D94F59">
      <w:pPr>
        <w:pStyle w:val="TEKSTIIII"/>
        <w:rPr>
          <w:rFonts w:eastAsia="Times New Roman"/>
        </w:rPr>
      </w:pPr>
      <w:r w:rsidRPr="00DC66CD">
        <w:rPr>
          <w:rFonts w:eastAsia="Times New Roman"/>
        </w:rPr>
        <w:t>MEF</w:t>
      </w:r>
      <w:r w:rsidR="00DD61B4" w:rsidRPr="00DC66CD">
        <w:rPr>
          <w:rFonts w:eastAsia="Times New Roman"/>
        </w:rPr>
        <w:t>-ja</w:t>
      </w:r>
      <w:r w:rsidRPr="00DC66CD">
        <w:rPr>
          <w:rFonts w:eastAsia="Times New Roman"/>
        </w:rPr>
        <w:t xml:space="preserve"> do të vazhdojë të adresojë boshllëqet dhe të thellojë analizën në mënyrë që mbikëqyrja e rreziqeve fiskale të menaxhohet dhe kontrollohet siç duhet. Çështjet specifike të përmendura në këtë rekomandim do të adresohen përmes masave monitoruese</w:t>
      </w:r>
      <w:r w:rsidR="00A81430" w:rsidRPr="00DC66CD">
        <w:rPr>
          <w:rFonts w:eastAsia="Times New Roman"/>
        </w:rPr>
        <w:t>:</w:t>
      </w:r>
      <w:r w:rsidRPr="00DC66CD">
        <w:rPr>
          <w:rFonts w:eastAsia="Times New Roman"/>
        </w:rPr>
        <w:t xml:space="preserve"> </w:t>
      </w:r>
      <w:r w:rsidR="00A81430" w:rsidRPr="00DC66CD">
        <w:rPr>
          <w:rFonts w:eastAsia="Times New Roman"/>
        </w:rPr>
        <w:t xml:space="preserve">monitorimi </w:t>
      </w:r>
      <w:r w:rsidRPr="00DC66CD">
        <w:rPr>
          <w:rFonts w:eastAsia="Times New Roman"/>
        </w:rPr>
        <w:t>i ngushtë i</w:t>
      </w:r>
      <w:r w:rsidR="00034B33" w:rsidRPr="00DC66CD">
        <w:rPr>
          <w:rFonts w:eastAsia="Times New Roman"/>
        </w:rPr>
        <w:t xml:space="preserve"> borxheve të qeverisë qendrore dhe</w:t>
      </w:r>
      <w:r w:rsidRPr="00DC66CD">
        <w:rPr>
          <w:rFonts w:eastAsia="Times New Roman"/>
        </w:rPr>
        <w:t xml:space="preserve"> </w:t>
      </w:r>
      <w:r w:rsidR="00034B33" w:rsidRPr="00DC66CD">
        <w:rPr>
          <w:rFonts w:eastAsia="Times New Roman"/>
        </w:rPr>
        <w:t xml:space="preserve">përmirësimi </w:t>
      </w:r>
      <w:r w:rsidRPr="00DC66CD">
        <w:rPr>
          <w:rFonts w:eastAsia="Times New Roman"/>
        </w:rPr>
        <w:t>i deklaratës së rreziqeve fiska</w:t>
      </w:r>
      <w:r w:rsidR="00034B33" w:rsidRPr="00DC66CD">
        <w:rPr>
          <w:rFonts w:eastAsia="Times New Roman"/>
        </w:rPr>
        <w:t>le në lidhje me kontratat e PPP-së</w:t>
      </w:r>
      <w:r w:rsidRPr="00DC66CD">
        <w:rPr>
          <w:rFonts w:eastAsia="Times New Roman"/>
        </w:rPr>
        <w:t>.</w:t>
      </w:r>
    </w:p>
    <w:p w14:paraId="3BE767F0" w14:textId="201BBAFD" w:rsidR="00D94F59" w:rsidRPr="00DC66CD" w:rsidRDefault="00D94F59" w:rsidP="00D94F59">
      <w:pPr>
        <w:pStyle w:val="TEKSTIIII"/>
        <w:rPr>
          <w:rFonts w:eastAsia="Times New Roman"/>
        </w:rPr>
      </w:pPr>
      <w:r w:rsidRPr="00DC66CD">
        <w:rPr>
          <w:rFonts w:eastAsia="Times New Roman"/>
        </w:rPr>
        <w:t>Një komponent tjetër do të jetë 2.3</w:t>
      </w:r>
      <w:r w:rsidR="00145805" w:rsidRPr="00DC66CD">
        <w:rPr>
          <w:rFonts w:eastAsia="Times New Roman"/>
        </w:rPr>
        <w:t>,</w:t>
      </w:r>
      <w:r w:rsidRPr="00DC66CD">
        <w:rPr>
          <w:rFonts w:eastAsia="Times New Roman"/>
        </w:rPr>
        <w:t xml:space="preserve"> </w:t>
      </w:r>
      <w:r w:rsidR="00145805" w:rsidRPr="00DC66CD">
        <w:rPr>
          <w:rFonts w:eastAsia="Times New Roman"/>
        </w:rPr>
        <w:t>“</w:t>
      </w:r>
      <w:r w:rsidRPr="00DC66CD">
        <w:rPr>
          <w:rFonts w:eastAsia="Times New Roman"/>
        </w:rPr>
        <w:t xml:space="preserve">Planifikimi </w:t>
      </w:r>
      <w:r w:rsidR="00145805" w:rsidRPr="00DC66CD">
        <w:rPr>
          <w:rFonts w:eastAsia="Times New Roman"/>
        </w:rPr>
        <w:t>dhe mbikëqyrja e investimeve publike”</w:t>
      </w:r>
      <w:r w:rsidRPr="00DC66CD">
        <w:rPr>
          <w:rFonts w:eastAsia="Times New Roman"/>
        </w:rPr>
        <w:t xml:space="preserve">, për të forcuar proceset dhe aftësinë institucionale për inicimin, vlerësimin, prioritizimin dhe aprovimin e të gjitha projekteve të investimeve publike. Në këtë mënyrë përfshihen masa specifike: të zhvillohet dhe </w:t>
      </w:r>
      <w:r w:rsidR="00145805" w:rsidRPr="00DC66CD">
        <w:rPr>
          <w:rFonts w:eastAsia="Times New Roman"/>
        </w:rPr>
        <w:t xml:space="preserve">të </w:t>
      </w:r>
      <w:r w:rsidRPr="00DC66CD">
        <w:rPr>
          <w:rFonts w:eastAsia="Times New Roman"/>
        </w:rPr>
        <w:t xml:space="preserve">mirëmbahet një tubacion i vetëm projekti për të gjitha projektet, pavarësisht nga burimi i financimit; për të rritur cilësinë e propozimeve më të mëdha të </w:t>
      </w:r>
      <w:r w:rsidR="00145805" w:rsidRPr="00DC66CD">
        <w:rPr>
          <w:rFonts w:eastAsia="Times New Roman"/>
        </w:rPr>
        <w:t xml:space="preserve">investimeve publike </w:t>
      </w:r>
      <w:r w:rsidRPr="00DC66CD">
        <w:rPr>
          <w:rFonts w:eastAsia="Times New Roman"/>
        </w:rPr>
        <w:t>të paraqitura për miratim; për të përmirësuar monitorimin e investimeve publike</w:t>
      </w:r>
      <w:r w:rsidR="00145805" w:rsidRPr="00DC66CD">
        <w:rPr>
          <w:rFonts w:eastAsia="Times New Roman"/>
        </w:rPr>
        <w:t>,</w:t>
      </w:r>
      <w:r w:rsidRPr="00DC66CD">
        <w:rPr>
          <w:rFonts w:eastAsia="Times New Roman"/>
        </w:rPr>
        <w:t xml:space="preserve"> përfshirë projektet PPP dhe koncesionet. Përgatitja dhe botimi i një raporti gjithëpërfshirës për investimet publike (përfshirë PPP).</w:t>
      </w:r>
    </w:p>
    <w:p w14:paraId="7C1FA74B" w14:textId="01067615" w:rsidR="00D94F59" w:rsidRPr="00DC66CD" w:rsidRDefault="00D94F59" w:rsidP="00D94F59">
      <w:pPr>
        <w:pStyle w:val="TEKSTIIII"/>
        <w:rPr>
          <w:b/>
          <w:i/>
        </w:rPr>
      </w:pPr>
      <w:r w:rsidRPr="00DC66CD">
        <w:rPr>
          <w:b/>
          <w:i/>
        </w:rPr>
        <w:t>3. Eksploroni masat e mundshme për zhvillimin e tregut për derivatet e monedhës që do të mundësojnë agjentët ekonomikë të mbrohen nga rreziku i kursit të këmbimit. Siguroni zbatimin operacional të plotë të masave të mbetura të strategjisë për zgjidhjen e kredi</w:t>
      </w:r>
      <w:r w:rsidR="003746B9" w:rsidRPr="00DC66CD">
        <w:rPr>
          <w:b/>
          <w:i/>
        </w:rPr>
        <w:t>ve</w:t>
      </w:r>
      <w:r w:rsidRPr="00DC66CD">
        <w:rPr>
          <w:b/>
          <w:i/>
        </w:rPr>
        <w:t xml:space="preserve"> të këqija, gjithashtu</w:t>
      </w:r>
      <w:r w:rsidR="003746B9" w:rsidRPr="00DC66CD">
        <w:rPr>
          <w:b/>
          <w:i/>
        </w:rPr>
        <w:t>,</w:t>
      </w:r>
      <w:r w:rsidRPr="00DC66CD">
        <w:rPr>
          <w:b/>
          <w:i/>
        </w:rPr>
        <w:t xml:space="preserve"> me qëllim sigurimin e një aksesi të përmirësuar në financa për korporatat. Zbatoni masa në fushën e qeverisë</w:t>
      </w:r>
      <w:r w:rsidR="003746B9" w:rsidRPr="00DC66CD">
        <w:rPr>
          <w:b/>
          <w:i/>
        </w:rPr>
        <w:t>,</w:t>
      </w:r>
      <w:r w:rsidRPr="00DC66CD">
        <w:rPr>
          <w:b/>
          <w:i/>
        </w:rPr>
        <w:t xml:space="preserve"> në përputhje me Memorandumin e Bashkëpunimit</w:t>
      </w:r>
      <w:r w:rsidR="003746B9" w:rsidRPr="00DC66CD">
        <w:rPr>
          <w:b/>
          <w:i/>
        </w:rPr>
        <w:t>,</w:t>
      </w:r>
      <w:r w:rsidRPr="00DC66CD">
        <w:rPr>
          <w:b/>
          <w:i/>
        </w:rPr>
        <w:t xml:space="preserve"> për të rritur përdorimin e monedhës kombëtare.</w:t>
      </w:r>
    </w:p>
    <w:p w14:paraId="78E2CCBA" w14:textId="4FC4674D" w:rsidR="00D94F59" w:rsidRPr="00DC66CD" w:rsidRDefault="00D94F59" w:rsidP="00D94F59">
      <w:pPr>
        <w:pStyle w:val="TEKSTIIII"/>
        <w:rPr>
          <w:i/>
        </w:rPr>
      </w:pPr>
      <w:r w:rsidRPr="00DC66CD">
        <w:rPr>
          <w:i/>
        </w:rPr>
        <w:t>Përmirësimi i aksesit n</w:t>
      </w:r>
      <w:r w:rsidR="003746B9" w:rsidRPr="00DC66CD">
        <w:rPr>
          <w:i/>
        </w:rPr>
        <w:t>ë</w:t>
      </w:r>
      <w:r w:rsidRPr="00DC66CD">
        <w:rPr>
          <w:i/>
        </w:rPr>
        <w:t xml:space="preserve"> financ</w:t>
      </w:r>
      <w:r w:rsidR="003746B9" w:rsidRPr="00DC66CD">
        <w:rPr>
          <w:i/>
        </w:rPr>
        <w:t>ë</w:t>
      </w:r>
      <w:r w:rsidRPr="00DC66CD">
        <w:rPr>
          <w:i/>
        </w:rPr>
        <w:t xml:space="preserve"> nga këndvësht</w:t>
      </w:r>
      <w:r w:rsidR="003746B9" w:rsidRPr="00DC66CD">
        <w:rPr>
          <w:i/>
        </w:rPr>
        <w:t>rimi i pagesave</w:t>
      </w:r>
    </w:p>
    <w:p w14:paraId="2FD4F69B" w14:textId="0629E55B" w:rsidR="00D94F59" w:rsidRPr="00DC66CD" w:rsidRDefault="00D94F59" w:rsidP="00D94F59">
      <w:pPr>
        <w:pStyle w:val="TEKSTIIII"/>
      </w:pPr>
      <w:r w:rsidRPr="00DC66CD">
        <w:t>Me qëllim rritjen e përfshirjes financiare në Shqipëri, e cila duket se ësh</w:t>
      </w:r>
      <w:r w:rsidR="003746B9" w:rsidRPr="00DC66CD">
        <w:t>të në një nivel shumë të ulët</w:t>
      </w:r>
      <w:r w:rsidRPr="00DC66CD">
        <w:t xml:space="preserve"> krahasuar me vendet e tjera të rajoneve dhe </w:t>
      </w:r>
      <w:r w:rsidR="003746B9" w:rsidRPr="00DC66CD">
        <w:t xml:space="preserve">të </w:t>
      </w:r>
      <w:r w:rsidRPr="00DC66CD">
        <w:t>BE-së (</w:t>
      </w:r>
      <w:r w:rsidR="00264C56" w:rsidRPr="00DC66CD">
        <w:t xml:space="preserve">dikur </w:t>
      </w:r>
      <w:r w:rsidRPr="00DC66CD">
        <w:t>40% e popullsisë mbi 15 vjeç)</w:t>
      </w:r>
      <w:r w:rsidRPr="00DC66CD">
        <w:rPr>
          <w:rStyle w:val="FootnoteReference"/>
        </w:rPr>
        <w:footnoteReference w:id="2"/>
      </w:r>
      <w:r w:rsidR="00264C56" w:rsidRPr="00DC66CD">
        <w:t>, Banka e Shqipërisë</w:t>
      </w:r>
      <w:r w:rsidRPr="00DC66CD">
        <w:t xml:space="preserve"> ka realizuar disa studime dhe analiza</w:t>
      </w:r>
      <w:r w:rsidRPr="00DC66CD">
        <w:rPr>
          <w:rStyle w:val="FootnoteReference"/>
        </w:rPr>
        <w:footnoteReference w:id="3"/>
      </w:r>
      <w:r w:rsidRPr="00DC66CD">
        <w:t>, që u përmbyll</w:t>
      </w:r>
      <w:r w:rsidR="00264C56" w:rsidRPr="00DC66CD">
        <w:t>ën</w:t>
      </w:r>
      <w:r w:rsidRPr="00DC66CD">
        <w:t xml:space="preserve"> me Strategjinë Kombëtare të Shqipërisë për Pagesat</w:t>
      </w:r>
      <w:r w:rsidR="005C0774" w:rsidRPr="00DC66CD">
        <w:t>,</w:t>
      </w:r>
      <w:r w:rsidRPr="00DC66CD">
        <w:t xml:space="preserve"> </w:t>
      </w:r>
      <w:r w:rsidRPr="00DC66CD">
        <w:rPr>
          <w:i/>
        </w:rPr>
        <w:t>Retail</w:t>
      </w:r>
      <w:r w:rsidR="005C0774" w:rsidRPr="00DC66CD">
        <w:t xml:space="preserve"> </w:t>
      </w:r>
      <w:r w:rsidRPr="00DC66CD">
        <w:t>(2018</w:t>
      </w:r>
      <w:r w:rsidR="00264C56" w:rsidRPr="00DC66CD">
        <w:t>–</w:t>
      </w:r>
      <w:r w:rsidRPr="00DC66CD">
        <w:t>2023).</w:t>
      </w:r>
    </w:p>
    <w:p w14:paraId="180555AD" w14:textId="512AAD10" w:rsidR="00D94F59" w:rsidRPr="00DC66CD" w:rsidRDefault="00D94F59" w:rsidP="00D94F59">
      <w:pPr>
        <w:pStyle w:val="TEKSTIIII"/>
      </w:pPr>
      <w:r w:rsidRPr="00DC66CD">
        <w:t>Vizioni i strategjisë është</w:t>
      </w:r>
      <w:r w:rsidR="00C51B97" w:rsidRPr="00DC66CD">
        <w:t>:</w:t>
      </w:r>
      <w:r w:rsidRPr="00DC66CD">
        <w:t xml:space="preserve"> </w:t>
      </w:r>
      <w:r w:rsidR="00C51B97" w:rsidRPr="00DC66CD">
        <w:t xml:space="preserve">Krijimi </w:t>
      </w:r>
      <w:r w:rsidRPr="00DC66CD">
        <w:t xml:space="preserve">i një tregu modern dhe gjithëpërfshirës </w:t>
      </w:r>
      <w:r w:rsidR="00C51B97" w:rsidRPr="00DC66CD">
        <w:t>i</w:t>
      </w:r>
      <w:r w:rsidRPr="00DC66CD">
        <w:t xml:space="preserve"> pagesave me pakicë në Shqipëri, i mbështetur nga infrastrukturat e sigurta dhe efikase të pagesave, dhe një gamë e gjerë instrumentesh dhe shërbimesh pagese që plotësojnë nevojat e përdoruesve të shërbimeve të pagesave të afta financiare në të gjithë vendin. Duke mbështetur objektivin e përfshirjes më të gjerë financiare, qëllimi kryesor është që përmirësimet në tregun e pagesave me pakicë do t</w:t>
      </w:r>
      <w:r w:rsidR="002C582E" w:rsidRPr="00DC66CD">
        <w:t>’</w:t>
      </w:r>
      <w:r w:rsidRPr="00DC66CD">
        <w:t>u japin qytetarëve më shumë zgjedhje në më shumë vende për kryerjen e transaksioneve të tyre të përditshme në një mënyrë të përs</w:t>
      </w:r>
      <w:r w:rsidR="00C51B97" w:rsidRPr="00DC66CD">
        <w:t>htatshme dhe me kosto efektive.</w:t>
      </w:r>
    </w:p>
    <w:p w14:paraId="1FB49E9F" w14:textId="77777777" w:rsidR="00D94F59" w:rsidRPr="00DC66CD" w:rsidRDefault="00D94F59" w:rsidP="00D94F59">
      <w:pPr>
        <w:pStyle w:val="TEKSTIIII"/>
      </w:pPr>
      <w:r w:rsidRPr="00DC66CD">
        <w:t xml:space="preserve">Qëllimi kryesor i Strategjisë Kombëtare të Pagesave për Shitje me pakicë është të promovojë përdorimin intensiv të instrumenteve moderne të pagesave me pakicë në të gjithë vendin, me qëllimin për të arritur 10 pagesa pa para për frymë deri në fund të vitit 2022. Zgjerimi i aksesit në llogaritë e transaksionit është një kusht i domosdoshëm për të arritur objektivin kryesor. Në këtë </w:t>
      </w:r>
      <w:r w:rsidRPr="00DC66CD">
        <w:lastRenderedPageBreak/>
        <w:t>drejtim, Shqipëria synon të arrijë një raport të pronësisë së llogarisë së të rriturve prej 70% deri në vitin 2022.</w:t>
      </w:r>
    </w:p>
    <w:p w14:paraId="6F360C41" w14:textId="3F3B02DE" w:rsidR="00D94F59" w:rsidRPr="00DC66CD" w:rsidRDefault="00D94F59" w:rsidP="00D94F59">
      <w:pPr>
        <w:pStyle w:val="TEKSTIIII"/>
        <w:rPr>
          <w:rFonts w:eastAsia="SimSun"/>
        </w:rPr>
      </w:pPr>
      <w:r w:rsidRPr="00DC66CD">
        <w:t>Një strategji gjithëpërfshirëse afatmesme është hartuar nga Banka e Shqipërisë</w:t>
      </w:r>
      <w:r w:rsidRPr="00DC66CD">
        <w:rPr>
          <w:rFonts w:eastAsia="SimSun"/>
        </w:rPr>
        <w:t xml:space="preserve">, me ndihmën e BB-së dhe </w:t>
      </w:r>
      <w:r w:rsidR="00D15CAB" w:rsidRPr="00DC66CD">
        <w:rPr>
          <w:rFonts w:eastAsia="SimSun"/>
        </w:rPr>
        <w:t xml:space="preserve">është </w:t>
      </w:r>
      <w:r w:rsidRPr="00DC66CD">
        <w:rPr>
          <w:rFonts w:eastAsia="SimSun"/>
        </w:rPr>
        <w:t>aprovuar nga të gjithë palët e interesuara</w:t>
      </w:r>
      <w:r w:rsidR="00D15CAB" w:rsidRPr="00DC66CD">
        <w:rPr>
          <w:rFonts w:eastAsia="SimSun"/>
        </w:rPr>
        <w:t>,</w:t>
      </w:r>
      <w:r w:rsidRPr="00DC66CD">
        <w:rPr>
          <w:rFonts w:eastAsia="SimSun"/>
        </w:rPr>
        <w:t xml:space="preserve"> anëtarët e Komitetit Kombëtar të Sistemeve të Pagesave në mbledhjen e IV</w:t>
      </w:r>
      <w:r w:rsidR="00D15CAB" w:rsidRPr="00DC66CD">
        <w:rPr>
          <w:rFonts w:eastAsia="SimSun"/>
        </w:rPr>
        <w:t>-së</w:t>
      </w:r>
      <w:r w:rsidRPr="00DC66CD">
        <w:rPr>
          <w:rFonts w:eastAsia="SimSun"/>
        </w:rPr>
        <w:t xml:space="preserve"> </w:t>
      </w:r>
      <w:r w:rsidR="00D15CAB" w:rsidRPr="00DC66CD">
        <w:rPr>
          <w:rFonts w:eastAsia="SimSun"/>
        </w:rPr>
        <w:t>s</w:t>
      </w:r>
      <w:r w:rsidRPr="00DC66CD">
        <w:rPr>
          <w:rFonts w:eastAsia="SimSun"/>
        </w:rPr>
        <w:t>ë NPSC</w:t>
      </w:r>
      <w:r w:rsidR="00D15CAB" w:rsidRPr="00DC66CD">
        <w:rPr>
          <w:rFonts w:eastAsia="SimSun"/>
        </w:rPr>
        <w:t>-së,</w:t>
      </w:r>
      <w:r w:rsidRPr="00DC66CD">
        <w:rPr>
          <w:rFonts w:eastAsia="SimSun"/>
        </w:rPr>
        <w:t xml:space="preserve"> në qershor 2018. Do të zbatohet deri </w:t>
      </w:r>
      <w:r w:rsidR="00782935" w:rsidRPr="00DC66CD">
        <w:rPr>
          <w:rFonts w:eastAsia="SimSun"/>
        </w:rPr>
        <w:t>m</w:t>
      </w:r>
      <w:r w:rsidRPr="00DC66CD">
        <w:rPr>
          <w:rFonts w:eastAsia="SimSun"/>
        </w:rPr>
        <w:t>ë 2019</w:t>
      </w:r>
      <w:r w:rsidR="00782935" w:rsidRPr="00DC66CD">
        <w:rPr>
          <w:rFonts w:eastAsia="SimSun"/>
        </w:rPr>
        <w:t>–</w:t>
      </w:r>
      <w:r w:rsidRPr="00DC66CD">
        <w:rPr>
          <w:rFonts w:eastAsia="SimSun"/>
        </w:rPr>
        <w:t>2013 dhe do të kërkojë përfshirjen aktive të të gjith</w:t>
      </w:r>
      <w:r w:rsidR="00782935" w:rsidRPr="00DC66CD">
        <w:rPr>
          <w:rFonts w:eastAsia="SimSun"/>
        </w:rPr>
        <w:t>a</w:t>
      </w:r>
      <w:r w:rsidRPr="00DC66CD">
        <w:rPr>
          <w:rFonts w:eastAsia="SimSun"/>
        </w:rPr>
        <w:t xml:space="preserve"> palëve të interesuara. Kjo strategji përfshin ndryshime ligjore, rregullatore dhe infrastrukturore</w:t>
      </w:r>
      <w:r w:rsidR="00782935" w:rsidRPr="00DC66CD">
        <w:rPr>
          <w:rFonts w:eastAsia="SimSun"/>
        </w:rPr>
        <w:t>,</w:t>
      </w:r>
      <w:r w:rsidRPr="00DC66CD">
        <w:rPr>
          <w:rFonts w:eastAsia="SimSun"/>
        </w:rPr>
        <w:t xml:space="preserve"> që synojnë synimet si: i</w:t>
      </w:r>
      <w:r w:rsidR="00782935" w:rsidRPr="00DC66CD">
        <w:rPr>
          <w:rFonts w:eastAsia="SimSun"/>
        </w:rPr>
        <w:t>.</w:t>
      </w:r>
      <w:r w:rsidRPr="00DC66CD">
        <w:rPr>
          <w:rFonts w:eastAsia="SimSun"/>
        </w:rPr>
        <w:t xml:space="preserve"> </w:t>
      </w:r>
      <w:r w:rsidR="00782935" w:rsidRPr="00DC66CD">
        <w:rPr>
          <w:rFonts w:eastAsia="SimSun"/>
        </w:rPr>
        <w:t xml:space="preserve">angazhim </w:t>
      </w:r>
      <w:r w:rsidRPr="00DC66CD">
        <w:rPr>
          <w:rFonts w:eastAsia="SimSun"/>
        </w:rPr>
        <w:t>më i fortë i palëve të interesuara; ii</w:t>
      </w:r>
      <w:r w:rsidR="00782935" w:rsidRPr="00DC66CD">
        <w:rPr>
          <w:rFonts w:eastAsia="SimSun"/>
        </w:rPr>
        <w:t>.</w:t>
      </w:r>
      <w:r w:rsidRPr="00DC66CD">
        <w:rPr>
          <w:rFonts w:eastAsia="SimSun"/>
        </w:rPr>
        <w:t xml:space="preserve"> </w:t>
      </w:r>
      <w:r w:rsidR="00782935" w:rsidRPr="00DC66CD">
        <w:rPr>
          <w:rFonts w:eastAsia="SimSun"/>
        </w:rPr>
        <w:t xml:space="preserve">konsolidimi </w:t>
      </w:r>
      <w:r w:rsidRPr="00DC66CD">
        <w:rPr>
          <w:rFonts w:eastAsia="SimSun"/>
        </w:rPr>
        <w:t>i një mjedisi rregullator të favorshëm për pagesa me pakicë; iii</w:t>
      </w:r>
      <w:r w:rsidR="00782935" w:rsidRPr="00DC66CD">
        <w:rPr>
          <w:rFonts w:eastAsia="SimSun"/>
        </w:rPr>
        <w:t>.</w:t>
      </w:r>
      <w:r w:rsidRPr="00DC66CD">
        <w:rPr>
          <w:rFonts w:eastAsia="SimSun"/>
        </w:rPr>
        <w:t xml:space="preserve"> </w:t>
      </w:r>
      <w:r w:rsidR="00782935" w:rsidRPr="00DC66CD">
        <w:rPr>
          <w:rFonts w:eastAsia="SimSun"/>
        </w:rPr>
        <w:t xml:space="preserve">përmirësime </w:t>
      </w:r>
      <w:r w:rsidRPr="00DC66CD">
        <w:rPr>
          <w:rFonts w:eastAsia="SimSun"/>
        </w:rPr>
        <w:t>në pagesa dhe mbështetje të tjera; infrastrukturat; iv</w:t>
      </w:r>
      <w:r w:rsidR="00782935" w:rsidRPr="00DC66CD">
        <w:rPr>
          <w:rFonts w:eastAsia="SimSun"/>
        </w:rPr>
        <w:t>.</w:t>
      </w:r>
      <w:r w:rsidRPr="00DC66CD">
        <w:rPr>
          <w:rFonts w:eastAsia="SimSun"/>
        </w:rPr>
        <w:t xml:space="preserve"> </w:t>
      </w:r>
      <w:r w:rsidR="00782935" w:rsidRPr="00DC66CD">
        <w:rPr>
          <w:rFonts w:eastAsia="SimSun"/>
        </w:rPr>
        <w:t xml:space="preserve">shërbime </w:t>
      </w:r>
      <w:r w:rsidRPr="00DC66CD">
        <w:rPr>
          <w:rFonts w:eastAsia="SimSun"/>
        </w:rPr>
        <w:t>pagese në qendër të klientit dhe të përballueshme në bazë të llogarive; v</w:t>
      </w:r>
      <w:r w:rsidR="00782935" w:rsidRPr="00DC66CD">
        <w:rPr>
          <w:rFonts w:eastAsia="SimSun"/>
        </w:rPr>
        <w:t>.</w:t>
      </w:r>
      <w:r w:rsidRPr="00DC66CD">
        <w:rPr>
          <w:rFonts w:eastAsia="SimSun"/>
        </w:rPr>
        <w:t xml:space="preserve"> </w:t>
      </w:r>
      <w:r w:rsidR="00782935" w:rsidRPr="00DC66CD">
        <w:rPr>
          <w:rFonts w:eastAsia="SimSun"/>
        </w:rPr>
        <w:t xml:space="preserve">zgjerimi </w:t>
      </w:r>
      <w:r w:rsidRPr="00DC66CD">
        <w:rPr>
          <w:rFonts w:eastAsia="SimSun"/>
        </w:rPr>
        <w:t xml:space="preserve">i pikave të hyrjes dhe </w:t>
      </w:r>
      <w:r w:rsidR="00782935" w:rsidRPr="00DC66CD">
        <w:rPr>
          <w:rFonts w:eastAsia="SimSun"/>
        </w:rPr>
        <w:t xml:space="preserve">i </w:t>
      </w:r>
      <w:r w:rsidRPr="00DC66CD">
        <w:rPr>
          <w:rFonts w:eastAsia="SimSun"/>
        </w:rPr>
        <w:t>rrjeteve për pagesa; vi</w:t>
      </w:r>
      <w:r w:rsidR="00782935" w:rsidRPr="00DC66CD">
        <w:rPr>
          <w:rFonts w:eastAsia="SimSun"/>
        </w:rPr>
        <w:t>.</w:t>
      </w:r>
      <w:r w:rsidRPr="00DC66CD">
        <w:rPr>
          <w:rFonts w:eastAsia="SimSun"/>
        </w:rPr>
        <w:t xml:space="preserve"> </w:t>
      </w:r>
      <w:r w:rsidR="00782935" w:rsidRPr="00DC66CD">
        <w:rPr>
          <w:rFonts w:eastAsia="SimSun"/>
        </w:rPr>
        <w:t xml:space="preserve">përpjekje </w:t>
      </w:r>
      <w:r w:rsidRPr="00DC66CD">
        <w:rPr>
          <w:rFonts w:eastAsia="SimSun"/>
        </w:rPr>
        <w:t>efektive për arsimimin financiar; vii</w:t>
      </w:r>
      <w:r w:rsidR="00782935" w:rsidRPr="00DC66CD">
        <w:rPr>
          <w:rFonts w:eastAsia="SimSun"/>
        </w:rPr>
        <w:t>.</w:t>
      </w:r>
      <w:r w:rsidRPr="00DC66CD">
        <w:rPr>
          <w:rFonts w:eastAsia="SimSun"/>
        </w:rPr>
        <w:t xml:space="preserve"> </w:t>
      </w:r>
      <w:r w:rsidR="00782935" w:rsidRPr="00DC66CD">
        <w:rPr>
          <w:rFonts w:eastAsia="SimSun"/>
        </w:rPr>
        <w:t xml:space="preserve">ekonomitë </w:t>
      </w:r>
      <w:r w:rsidRPr="00DC66CD">
        <w:rPr>
          <w:rFonts w:eastAsia="SimSun"/>
        </w:rPr>
        <w:t>e shkallës në SHPK</w:t>
      </w:r>
      <w:r w:rsidR="00782935" w:rsidRPr="00DC66CD">
        <w:rPr>
          <w:rFonts w:eastAsia="SimSun"/>
        </w:rPr>
        <w:t>,</w:t>
      </w:r>
      <w:r w:rsidRPr="00DC66CD">
        <w:rPr>
          <w:rFonts w:eastAsia="SimSun"/>
        </w:rPr>
        <w:t xml:space="preserve"> duke përdorur rastet e përdorimit të masave të mëdha të pagesës; viii</w:t>
      </w:r>
      <w:r w:rsidR="00782935" w:rsidRPr="00DC66CD">
        <w:rPr>
          <w:rFonts w:eastAsia="SimSun"/>
        </w:rPr>
        <w:t>.</w:t>
      </w:r>
      <w:r w:rsidRPr="00DC66CD">
        <w:rPr>
          <w:rFonts w:eastAsia="SimSun"/>
        </w:rPr>
        <w:t xml:space="preserve"> </w:t>
      </w:r>
      <w:r w:rsidR="00782935" w:rsidRPr="00DC66CD">
        <w:rPr>
          <w:rFonts w:eastAsia="SimSun"/>
        </w:rPr>
        <w:t xml:space="preserve">mbikëqyrje </w:t>
      </w:r>
      <w:r w:rsidRPr="00DC66CD">
        <w:rPr>
          <w:rFonts w:eastAsia="SimSun"/>
        </w:rPr>
        <w:t>efektive e Bankës së Shqipërisë mbi tregun e pagesave me pakicë.</w:t>
      </w:r>
    </w:p>
    <w:p w14:paraId="0781194B" w14:textId="77777777" w:rsidR="00D94F59" w:rsidRPr="00DC66CD" w:rsidRDefault="00D94F59" w:rsidP="00D94F59">
      <w:pPr>
        <w:pStyle w:val="TEKSTIIII"/>
      </w:pPr>
      <w:r w:rsidRPr="00DC66CD">
        <w:t>Dy hapat më të rëndësishëm në zbatimin e Strategjisë janë:</w:t>
      </w:r>
    </w:p>
    <w:p w14:paraId="7EB41980" w14:textId="06654D9F" w:rsidR="00D94F59" w:rsidRPr="00DC66CD" w:rsidRDefault="00D94F59" w:rsidP="00D94F59">
      <w:pPr>
        <w:pStyle w:val="TEKSTIIII"/>
      </w:pPr>
      <w:r w:rsidRPr="00DC66CD">
        <w:t>1</w:t>
      </w:r>
      <w:r w:rsidR="00782935" w:rsidRPr="00DC66CD">
        <w:t>.</w:t>
      </w:r>
      <w:r w:rsidRPr="00DC66CD">
        <w:t xml:space="preserve"> Përmirësimet e kornizës ligjore dhe rregullatore:</w:t>
      </w:r>
    </w:p>
    <w:p w14:paraId="5E4339BC" w14:textId="52332AF4" w:rsidR="00D94F59" w:rsidRPr="00DC66CD" w:rsidRDefault="00D94F59" w:rsidP="00D94F59">
      <w:pPr>
        <w:pStyle w:val="TEKSTIIII"/>
      </w:pPr>
      <w:r w:rsidRPr="00DC66CD">
        <w:t xml:space="preserve">a) </w:t>
      </w:r>
      <w:r w:rsidR="00782935" w:rsidRPr="00DC66CD">
        <w:t xml:space="preserve">miratimi </w:t>
      </w:r>
      <w:r w:rsidRPr="00DC66CD">
        <w:t xml:space="preserve">i projektligjit </w:t>
      </w:r>
      <w:r w:rsidR="002A29AD" w:rsidRPr="00DC66CD">
        <w:t>“</w:t>
      </w:r>
      <w:r w:rsidRPr="00DC66CD">
        <w:t>Për shërbimet e pagesave</w:t>
      </w:r>
      <w:r w:rsidR="002A29AD" w:rsidRPr="00DC66CD">
        <w:t>”</w:t>
      </w:r>
      <w:r w:rsidR="00782935" w:rsidRPr="00DC66CD">
        <w:t>,</w:t>
      </w:r>
      <w:r w:rsidRPr="00DC66CD">
        <w:t xml:space="preserve"> që transpozon </w:t>
      </w:r>
      <w:r w:rsidR="00782935" w:rsidRPr="00DC66CD">
        <w:t xml:space="preserve">direktivën </w:t>
      </w:r>
      <w:r w:rsidRPr="00DC66CD">
        <w:t>e rishikuar të BE-së 2015/2366 deri në fund të vitit 2019.</w:t>
      </w:r>
    </w:p>
    <w:p w14:paraId="540AD369" w14:textId="3E3ED9C2" w:rsidR="00D94F59" w:rsidRPr="00DC66CD" w:rsidRDefault="00D94F59" w:rsidP="00D94F59">
      <w:pPr>
        <w:pStyle w:val="TEKSTIIII"/>
      </w:pPr>
      <w:r w:rsidRPr="00DC66CD">
        <w:t xml:space="preserve">Miratimi dhe zbatimi i këtij projektligji pritet të ketë një ndikim të drejtpërdrejtë në promovimin e konkurrencës dhe </w:t>
      </w:r>
      <w:r w:rsidR="00782935" w:rsidRPr="00DC66CD">
        <w:t xml:space="preserve">të </w:t>
      </w:r>
      <w:r w:rsidRPr="00DC66CD">
        <w:t xml:space="preserve">inovacionit në fushën e pagesave me pakicë, duke promovuar kështu efikasitetin e tyre dhe </w:t>
      </w:r>
      <w:r w:rsidR="000A2C7E" w:rsidRPr="00DC66CD">
        <w:t xml:space="preserve">duke </w:t>
      </w:r>
      <w:r w:rsidRPr="00DC66CD">
        <w:t>zvogëluar kostot e përdorimit të tyre. Ky projektligj synon të balancojë hapësirat për shërbimet e pagesave që ofrojnë midis bankave dhe institucioneve financiare jobankare, duke lejuar që më vonë të hapen llogari pagese dhe të lëshojnë instrumente të pagesave elektronike. Projektligji pritet të rrisë transparencën e shërbimeve të ofruara nga tregu dhe të krijojë një kornizë të konsoliduar për mbrojtjen e konsumatorit. Banka e Shqipërisë ka finalizuar hartimin e këtij ligji dhe procesin e konsultimit me aktorët e tregut. Në fakt, projektligji është në MFP</w:t>
      </w:r>
      <w:r w:rsidR="000A2C7E" w:rsidRPr="00DC66CD">
        <w:t>,</w:t>
      </w:r>
      <w:r w:rsidRPr="00DC66CD">
        <w:t xml:space="preserve"> për konsultim përfundimtar me institucionet përkatëse publike</w:t>
      </w:r>
      <w:r w:rsidR="000A2C7E" w:rsidRPr="00DC66CD">
        <w:t>;</w:t>
      </w:r>
    </w:p>
    <w:p w14:paraId="3E5D557C" w14:textId="229A8318" w:rsidR="00D94F59" w:rsidRPr="00DC66CD" w:rsidRDefault="00D94F59" w:rsidP="00D94F59">
      <w:pPr>
        <w:pStyle w:val="TEKSTIIII"/>
      </w:pPr>
      <w:r w:rsidRPr="00DC66CD">
        <w:t xml:space="preserve">b) </w:t>
      </w:r>
      <w:r w:rsidR="000A2C7E" w:rsidRPr="00DC66CD">
        <w:t xml:space="preserve">hartimi </w:t>
      </w:r>
      <w:r w:rsidRPr="00DC66CD">
        <w:t>i një ligji që do të transpozojë direktivën e Bashkimit Evropian</w:t>
      </w:r>
      <w:r w:rsidR="000A2C7E" w:rsidRPr="00DC66CD">
        <w:t>,</w:t>
      </w:r>
      <w:r w:rsidRPr="00DC66CD">
        <w:t xml:space="preserve"> </w:t>
      </w:r>
      <w:r w:rsidR="002A29AD" w:rsidRPr="00DC66CD">
        <w:t>“</w:t>
      </w:r>
      <w:r w:rsidRPr="00DC66CD">
        <w:t>Për llogarinë e pagesës</w:t>
      </w:r>
      <w:r w:rsidR="002A29AD" w:rsidRPr="00DC66CD">
        <w:t>”</w:t>
      </w:r>
      <w:r w:rsidR="000A2C7E" w:rsidRPr="00DC66CD">
        <w:t>,</w:t>
      </w:r>
      <w:r w:rsidRPr="00DC66CD">
        <w:t xml:space="preserve"> brenda vitit 2021.</w:t>
      </w:r>
    </w:p>
    <w:p w14:paraId="1DA556EE" w14:textId="5A51F8AA" w:rsidR="00D94F59" w:rsidRPr="00DC66CD" w:rsidRDefault="00D94F59" w:rsidP="00D94F59">
      <w:pPr>
        <w:pStyle w:val="TEKSTIIII"/>
      </w:pPr>
      <w:r w:rsidRPr="00DC66CD">
        <w:t>2</w:t>
      </w:r>
      <w:r w:rsidR="000A2C7E" w:rsidRPr="00DC66CD">
        <w:t>.</w:t>
      </w:r>
      <w:r w:rsidRPr="00DC66CD">
        <w:t xml:space="preserve"> Infrastruktura dhe përmirësimet teknologjike si:</w:t>
      </w:r>
    </w:p>
    <w:p w14:paraId="6B04BCFA" w14:textId="1690A6C2" w:rsidR="00D94F59" w:rsidRPr="00DC66CD" w:rsidRDefault="00D94F59" w:rsidP="00D94F59">
      <w:pPr>
        <w:pStyle w:val="TEKSTIIII"/>
      </w:pPr>
      <w:r w:rsidRPr="00DC66CD">
        <w:t>a</w:t>
      </w:r>
      <w:r w:rsidR="000A2C7E" w:rsidRPr="00DC66CD">
        <w:t>)</w:t>
      </w:r>
      <w:r w:rsidRPr="00DC66CD">
        <w:t xml:space="preserve"> Mundësia e implementimit të një platforme kombëtare për përpunimin </w:t>
      </w:r>
      <w:r w:rsidR="000A2C7E" w:rsidRPr="00DC66CD">
        <w:t>e kartave (SWITCH)/“</w:t>
      </w:r>
      <w:r w:rsidRPr="00DC66CD">
        <w:t>pagesa e menjëhershme</w:t>
      </w:r>
      <w:r w:rsidR="000A2C7E" w:rsidRPr="00DC66CD">
        <w:t>”</w:t>
      </w:r>
      <w:r w:rsidR="009405E3" w:rsidRPr="00DC66CD">
        <w:t>;</w:t>
      </w:r>
    </w:p>
    <w:p w14:paraId="2FD2BED4" w14:textId="329CB07F" w:rsidR="00D94F59" w:rsidRPr="00DC66CD" w:rsidRDefault="00D94F59" w:rsidP="00D94F59">
      <w:pPr>
        <w:pStyle w:val="TEKSTIIII"/>
      </w:pPr>
      <w:r w:rsidRPr="00DC66CD">
        <w:t>b</w:t>
      </w:r>
      <w:r w:rsidR="009405E3" w:rsidRPr="00DC66CD">
        <w:t>)</w:t>
      </w:r>
      <w:r w:rsidRPr="00DC66CD">
        <w:t xml:space="preserve"> </w:t>
      </w:r>
      <w:r w:rsidR="009405E3" w:rsidRPr="00DC66CD">
        <w:t>z</w:t>
      </w:r>
      <w:r w:rsidRPr="00DC66CD">
        <w:t>batimi i skemave ndërbankare të debitit direkt.</w:t>
      </w:r>
    </w:p>
    <w:p w14:paraId="42EF962B" w14:textId="02E1728D" w:rsidR="00D94F59" w:rsidRPr="00DC66CD" w:rsidRDefault="00D94F59" w:rsidP="00D94F59">
      <w:pPr>
        <w:pStyle w:val="TEKSTIIII"/>
      </w:pPr>
      <w:r w:rsidRPr="00DC66CD">
        <w:t>c</w:t>
      </w:r>
      <w:r w:rsidR="009405E3" w:rsidRPr="00DC66CD">
        <w:t>)</w:t>
      </w:r>
      <w:r w:rsidRPr="00DC66CD">
        <w:t xml:space="preserve"> </w:t>
      </w:r>
      <w:r w:rsidR="009405E3" w:rsidRPr="00DC66CD">
        <w:t>v</w:t>
      </w:r>
      <w:r w:rsidRPr="00DC66CD">
        <w:t>endosja e një sistemi për shlyerjen e transfertave euro për pagesa të brendshme.</w:t>
      </w:r>
    </w:p>
    <w:p w14:paraId="7C60D093" w14:textId="3D279570" w:rsidR="00D94F59" w:rsidRPr="00DC66CD" w:rsidRDefault="00D94F59" w:rsidP="00D94F59">
      <w:pPr>
        <w:pStyle w:val="TEKSTIIII"/>
      </w:pPr>
      <w:r w:rsidRPr="00DC66CD">
        <w:t>d</w:t>
      </w:r>
      <w:r w:rsidR="009405E3" w:rsidRPr="00DC66CD">
        <w:t>)</w:t>
      </w:r>
      <w:r w:rsidRPr="00DC66CD">
        <w:t xml:space="preserve"> </w:t>
      </w:r>
      <w:r w:rsidR="009405E3" w:rsidRPr="00DC66CD">
        <w:t>o</w:t>
      </w:r>
      <w:r w:rsidRPr="00DC66CD">
        <w:t xml:space="preserve">peracionalizimi i kategorisë së </w:t>
      </w:r>
      <w:r w:rsidR="002A29AD" w:rsidRPr="00DC66CD">
        <w:t>“</w:t>
      </w:r>
      <w:r w:rsidRPr="00DC66CD">
        <w:t>pjesëmarrjes indirekte</w:t>
      </w:r>
      <w:r w:rsidR="002A29AD" w:rsidRPr="00DC66CD">
        <w:t>”</w:t>
      </w:r>
      <w:r w:rsidRPr="00DC66CD">
        <w:t xml:space="preserve"> në AECH.</w:t>
      </w:r>
    </w:p>
    <w:p w14:paraId="2F0BFE0A" w14:textId="0213B28B" w:rsidR="00D94F59" w:rsidRPr="00DC66CD" w:rsidRDefault="00D94F59" w:rsidP="00D94F59">
      <w:pPr>
        <w:pStyle w:val="TEKSTIIII"/>
        <w:rPr>
          <w:b/>
          <w:i/>
        </w:rPr>
      </w:pPr>
      <w:r w:rsidRPr="00DC66CD">
        <w:rPr>
          <w:b/>
          <w:i/>
        </w:rPr>
        <w:t>4. Me qëllim përmirësimin e klimës së investimeve, vazhdoni të forconi sistemin e drejtësisë</w:t>
      </w:r>
      <w:r w:rsidR="009405E3" w:rsidRPr="00DC66CD">
        <w:rPr>
          <w:b/>
          <w:i/>
        </w:rPr>
        <w:t>,</w:t>
      </w:r>
      <w:r w:rsidRPr="00DC66CD">
        <w:rPr>
          <w:b/>
          <w:i/>
        </w:rPr>
        <w:t xml:space="preserve"> duke zbatuar reformën në drejtësi dhe të përmirësoni ofrimin e shërbimeve të ndihmës teknike për ndërmarrjet mikro, të vogla dhe të mesme, përfshirë zhvillimin e një rrjeti mbështetës për t</w:t>
      </w:r>
      <w:r w:rsidR="002C582E" w:rsidRPr="00DC66CD">
        <w:rPr>
          <w:b/>
          <w:i/>
        </w:rPr>
        <w:t>’</w:t>
      </w:r>
      <w:r w:rsidRPr="00DC66CD">
        <w:rPr>
          <w:b/>
          <w:i/>
        </w:rPr>
        <w:t xml:space="preserve">i ndihmuar ata të rriten lartësinë e tyre, investoni, </w:t>
      </w:r>
      <w:r w:rsidRPr="0044525F">
        <w:rPr>
          <w:b/>
          <w:i/>
        </w:rPr>
        <w:t>inovoni,</w:t>
      </w:r>
      <w:r w:rsidRPr="00DC66CD">
        <w:rPr>
          <w:b/>
          <w:i/>
        </w:rPr>
        <w:t xml:space="preserve"> di</w:t>
      </w:r>
      <w:r w:rsidR="009405E3" w:rsidRPr="00DC66CD">
        <w:rPr>
          <w:b/>
          <w:i/>
        </w:rPr>
        <w:t>gj</w:t>
      </w:r>
      <w:r w:rsidRPr="00DC66CD">
        <w:rPr>
          <w:b/>
          <w:i/>
        </w:rPr>
        <w:t>italizoni dhe eksportoni. Për të rritur investimet në turizëm</w:t>
      </w:r>
      <w:r w:rsidR="009405E3" w:rsidRPr="00DC66CD">
        <w:rPr>
          <w:b/>
          <w:i/>
        </w:rPr>
        <w:t>,</w:t>
      </w:r>
      <w:r w:rsidRPr="00DC66CD">
        <w:rPr>
          <w:b/>
          <w:i/>
        </w:rPr>
        <w:t xml:space="preserve"> në veçanti, miratoni strategjinë e turizmit dhe filloni zbatimin e saj, duke u përqendruar në qëndrueshmërinë përmes menaxhimit të burimeve natyrore. Siguroni arsim dhe aftësim profesional në përputhje me nevojat për investime të NVM-ve dhe </w:t>
      </w:r>
      <w:r w:rsidR="009405E3" w:rsidRPr="00DC66CD">
        <w:rPr>
          <w:b/>
          <w:i/>
        </w:rPr>
        <w:t xml:space="preserve">të </w:t>
      </w:r>
      <w:r w:rsidRPr="00DC66CD">
        <w:rPr>
          <w:b/>
          <w:i/>
        </w:rPr>
        <w:t>sektorit të turizmit.</w:t>
      </w:r>
    </w:p>
    <w:p w14:paraId="5C5C438F" w14:textId="77777777" w:rsidR="00D94F59" w:rsidRPr="00DC66CD" w:rsidRDefault="00D94F59" w:rsidP="00D94F59">
      <w:pPr>
        <w:pStyle w:val="TEKSTIIII"/>
        <w:rPr>
          <w:i/>
        </w:rPr>
      </w:pPr>
      <w:r w:rsidRPr="00DC66CD">
        <w:rPr>
          <w:i/>
        </w:rPr>
        <w:t>Turizmi</w:t>
      </w:r>
    </w:p>
    <w:p w14:paraId="5A98BAF6" w14:textId="72E72AFA" w:rsidR="00D94F59" w:rsidRPr="00DC66CD" w:rsidRDefault="00D94F59" w:rsidP="00D94F59">
      <w:pPr>
        <w:pStyle w:val="TEKSTIIII"/>
      </w:pPr>
      <w:r w:rsidRPr="00DC66CD">
        <w:t>Në lidhje me zbatimin e udhëzimit të politikave, në planin e veprimit të Strategjisë Kombëtare për Zhvillimin e Qëndrueshëm të Turizmit</w:t>
      </w:r>
      <w:r w:rsidR="009C3A83" w:rsidRPr="00DC66CD">
        <w:t>,</w:t>
      </w:r>
      <w:r w:rsidRPr="00DC66CD">
        <w:t xml:space="preserve"> 2019</w:t>
      </w:r>
      <w:r w:rsidR="009C3A83" w:rsidRPr="00DC66CD">
        <w:t>–</w:t>
      </w:r>
      <w:r w:rsidRPr="00DC66CD">
        <w:t>2023</w:t>
      </w:r>
      <w:r w:rsidR="009C3A83" w:rsidRPr="00DC66CD">
        <w:t>,</w:t>
      </w:r>
      <w:r w:rsidRPr="00DC66CD">
        <w:t xml:space="preserve"> parashikohen veprimtari të ndryshme</w:t>
      </w:r>
      <w:r w:rsidR="009C3A83" w:rsidRPr="00DC66CD">
        <w:t>,</w:t>
      </w:r>
      <w:r w:rsidRPr="00DC66CD">
        <w:t xml:space="preserve"> në përputhje me objektivat strategjikë dhe nënobjektivat. Konkretisht</w:t>
      </w:r>
      <w:r w:rsidR="009C3A83" w:rsidRPr="00DC66CD">
        <w:t>,</w:t>
      </w:r>
      <w:r w:rsidRPr="00DC66CD">
        <w:t xml:space="preserve"> për pjesën e investimeve: i</w:t>
      </w:r>
      <w:r w:rsidR="009C3A83" w:rsidRPr="00DC66CD">
        <w:t>.</w:t>
      </w:r>
      <w:r w:rsidRPr="00DC66CD">
        <w:t xml:space="preserve"> </w:t>
      </w:r>
      <w:r w:rsidR="009C3A83" w:rsidRPr="00DC66CD">
        <w:t xml:space="preserve">krijimi </w:t>
      </w:r>
      <w:r w:rsidRPr="00DC66CD">
        <w:t>i një kornize rregullatore miqësore për biznesin</w:t>
      </w:r>
      <w:r w:rsidR="009C3A83" w:rsidRPr="00DC66CD">
        <w:t>,</w:t>
      </w:r>
      <w:r w:rsidRPr="00DC66CD">
        <w:t xml:space="preserve"> për të përshpejtuar zhvillimin e sektorit; ii</w:t>
      </w:r>
      <w:r w:rsidR="009C3A83" w:rsidRPr="00DC66CD">
        <w:t>.</w:t>
      </w:r>
      <w:r w:rsidRPr="00DC66CD">
        <w:t xml:space="preserve"> </w:t>
      </w:r>
      <w:r w:rsidR="009C3A83" w:rsidRPr="00DC66CD">
        <w:t xml:space="preserve">bashkëpunim </w:t>
      </w:r>
      <w:r w:rsidRPr="00DC66CD">
        <w:t xml:space="preserve">në hartimin e planeve të detajuara të zhvillimit dhe </w:t>
      </w:r>
      <w:r w:rsidR="009C3A83" w:rsidRPr="00DC66CD">
        <w:t xml:space="preserve">të </w:t>
      </w:r>
      <w:r w:rsidRPr="00DC66CD">
        <w:t>veprimit</w:t>
      </w:r>
      <w:r w:rsidR="009C3A83" w:rsidRPr="00DC66CD">
        <w:t>,</w:t>
      </w:r>
      <w:r w:rsidRPr="00DC66CD">
        <w:t xml:space="preserve"> për fushat me përparësi turizmin në zbatim të Planit Sektorial Kombëtar të Turizmit; </w:t>
      </w:r>
      <w:r w:rsidR="009C3A83" w:rsidRPr="00DC66CD">
        <w:t>iii.</w:t>
      </w:r>
      <w:r w:rsidRPr="00DC66CD">
        <w:t xml:space="preserve"> </w:t>
      </w:r>
      <w:r w:rsidR="009C3A83" w:rsidRPr="00DC66CD">
        <w:t xml:space="preserve">nënzonimi </w:t>
      </w:r>
      <w:r w:rsidRPr="00DC66CD">
        <w:t>i zonave me përparësi zhvillimin e turizmit dhe përcaktimi i modelit ekonomik të zhvillimit për secilën nënzonë.</w:t>
      </w:r>
    </w:p>
    <w:p w14:paraId="30494C6E" w14:textId="08FEF6FD" w:rsidR="00D94F59" w:rsidRPr="00DC66CD" w:rsidRDefault="00D94F59" w:rsidP="00D45E90">
      <w:pPr>
        <w:pStyle w:val="TEKSTIIII"/>
      </w:pPr>
      <w:r w:rsidRPr="00DC66CD">
        <w:t xml:space="preserve">Sa </w:t>
      </w:r>
      <w:r w:rsidR="00D45E90" w:rsidRPr="00DC66CD">
        <w:t>u</w:t>
      </w:r>
      <w:r w:rsidRPr="00DC66CD">
        <w:t xml:space="preserve"> përket arsimit dhe aftësimit profesional ka aktivitete të planifikuara</w:t>
      </w:r>
      <w:r w:rsidR="00D45E90" w:rsidRPr="00DC66CD">
        <w:t>,</w:t>
      </w:r>
      <w:r w:rsidRPr="00DC66CD">
        <w:t xml:space="preserve"> siç janë: i</w:t>
      </w:r>
      <w:r w:rsidR="00D45E90" w:rsidRPr="00DC66CD">
        <w:t>.</w:t>
      </w:r>
      <w:r w:rsidRPr="00DC66CD">
        <w:t xml:space="preserve"> </w:t>
      </w:r>
      <w:r w:rsidR="00D45E90" w:rsidRPr="00DC66CD">
        <w:t xml:space="preserve">identifikimi </w:t>
      </w:r>
      <w:r w:rsidRPr="00DC66CD">
        <w:t>i nevojave, promovimi dhe mbështetja e trajnimeve për të punësuarit në shërbime dhe në nivelin menaxherial; ii</w:t>
      </w:r>
      <w:r w:rsidR="00D45E90" w:rsidRPr="00DC66CD">
        <w:t>.</w:t>
      </w:r>
      <w:r w:rsidRPr="00DC66CD">
        <w:t xml:space="preserve"> </w:t>
      </w:r>
      <w:r w:rsidR="00D45E90" w:rsidRPr="00DC66CD">
        <w:t xml:space="preserve">hartimi </w:t>
      </w:r>
      <w:r w:rsidRPr="00DC66CD">
        <w:t>i një plani vjetor të trajnimit për zhvillimin e burimeve njerëzore</w:t>
      </w:r>
      <w:r w:rsidR="00D45E90" w:rsidRPr="00DC66CD">
        <w:t>,</w:t>
      </w:r>
      <w:r w:rsidRPr="00DC66CD">
        <w:t xml:space="preserve"> bazuar në nevo</w:t>
      </w:r>
      <w:r w:rsidR="00D45E90" w:rsidRPr="00DC66CD">
        <w:t>jat e identifikuara të tregut; iii.</w:t>
      </w:r>
      <w:r w:rsidRPr="00DC66CD">
        <w:t xml:space="preserve"> </w:t>
      </w:r>
      <w:r w:rsidR="00D45E90" w:rsidRPr="00DC66CD">
        <w:t xml:space="preserve">akreditimi </w:t>
      </w:r>
      <w:r w:rsidRPr="00DC66CD">
        <w:t>i institucioneve që ofrojnë arsim dhe aftësim pro</w:t>
      </w:r>
      <w:r w:rsidR="00D45E90" w:rsidRPr="00DC66CD">
        <w:t xml:space="preserve">fesional në fushën e turizmit; </w:t>
      </w:r>
      <w:r w:rsidRPr="00DC66CD">
        <w:t>i</w:t>
      </w:r>
      <w:r w:rsidR="00D45E90" w:rsidRPr="00DC66CD">
        <w:t>v.</w:t>
      </w:r>
      <w:r w:rsidRPr="00DC66CD">
        <w:t xml:space="preserve"> </w:t>
      </w:r>
      <w:r w:rsidR="00D45E90" w:rsidRPr="00DC66CD">
        <w:t xml:space="preserve">bashkëpunim </w:t>
      </w:r>
      <w:r w:rsidRPr="00DC66CD">
        <w:t>me bizneset për punësimin e studentëve të kualifikuar në fushën e turizmit.</w:t>
      </w:r>
    </w:p>
    <w:p w14:paraId="0705E25E" w14:textId="77777777" w:rsidR="00D94F59" w:rsidRPr="00DC66CD" w:rsidRDefault="00D94F59" w:rsidP="00D45E90">
      <w:pPr>
        <w:pStyle w:val="TEKSTIIII"/>
      </w:pPr>
      <w:r w:rsidRPr="00DC66CD">
        <w:t>Këto aktivitete mbulojnë periudhën në fjalë (deri në qershor 2020), por shtrihen përtej gjithë kornizës kohore të strategjisë.</w:t>
      </w:r>
    </w:p>
    <w:p w14:paraId="694D8A5A" w14:textId="77777777" w:rsidR="00D94F59" w:rsidRPr="00DC66CD" w:rsidRDefault="00D94F59" w:rsidP="00D45E90">
      <w:pPr>
        <w:pStyle w:val="TEKSTIIII"/>
        <w:rPr>
          <w:i/>
        </w:rPr>
      </w:pPr>
      <w:r w:rsidRPr="00DC66CD">
        <w:rPr>
          <w:i/>
        </w:rPr>
        <w:t>Drejtësia</w:t>
      </w:r>
    </w:p>
    <w:p w14:paraId="5EC192D5" w14:textId="39581AA9" w:rsidR="00D94F59" w:rsidRPr="00DC66CD" w:rsidRDefault="00D94F59" w:rsidP="00D94F59">
      <w:pPr>
        <w:pStyle w:val="TEKSTIIII"/>
      </w:pPr>
      <w:r w:rsidRPr="00DC66CD">
        <w:t>Sistemi i drejtësisë në Shqipëri kohët e fundit ka kaluar një seri reformash të thella</w:t>
      </w:r>
      <w:r w:rsidR="0061652B" w:rsidRPr="00DC66CD">
        <w:t>,</w:t>
      </w:r>
      <w:r w:rsidRPr="00DC66CD">
        <w:t xml:space="preserve"> me qëllim përmbushjen e standardeve evropiane në këtë sistem. Përmes zbatimit të ligjit</w:t>
      </w:r>
      <w:r w:rsidR="00E33D88" w:rsidRPr="00DC66CD">
        <w:t xml:space="preserve"> nr. </w:t>
      </w:r>
      <w:r w:rsidRPr="00DC66CD">
        <w:t>76/2016</w:t>
      </w:r>
      <w:r w:rsidR="0061652B" w:rsidRPr="00DC66CD">
        <w:t>,</w:t>
      </w:r>
      <w:r w:rsidRPr="00DC66CD">
        <w:t xml:space="preserve"> </w:t>
      </w:r>
      <w:r w:rsidR="002A29AD" w:rsidRPr="00DC66CD">
        <w:t>“</w:t>
      </w:r>
      <w:r w:rsidRPr="00DC66CD">
        <w:t>Për disa shtesa dhe ndryshime në ligjin</w:t>
      </w:r>
      <w:r w:rsidR="00E33D88" w:rsidRPr="00DC66CD">
        <w:t xml:space="preserve"> nr. </w:t>
      </w:r>
      <w:r w:rsidRPr="00DC66CD">
        <w:t>8417/1998</w:t>
      </w:r>
      <w:r w:rsidR="0061652B" w:rsidRPr="00DC66CD">
        <w:t>, “</w:t>
      </w:r>
      <w:r w:rsidRPr="00DC66CD">
        <w:t>Kushtetuta e Republikës së Shqipërisë</w:t>
      </w:r>
      <w:r w:rsidR="0061652B" w:rsidRPr="00DC66CD">
        <w:t>”</w:t>
      </w:r>
      <w:r w:rsidRPr="00DC66CD">
        <w:t xml:space="preserve">, </w:t>
      </w:r>
      <w:r w:rsidR="0061652B" w:rsidRPr="00DC66CD">
        <w:t>të</w:t>
      </w:r>
      <w:r w:rsidRPr="00DC66CD">
        <w:t xml:space="preserve"> ndryshuar, Shqipëria nisi zbatimin e reformës në drejtësi. Ndryshimet kushtetuese dhe pakoja  organike</w:t>
      </w:r>
      <w:r w:rsidR="0061652B" w:rsidRPr="00DC66CD">
        <w:t>,</w:t>
      </w:r>
      <w:r w:rsidRPr="00DC66CD">
        <w:t xml:space="preserve"> ligjet e miratuara në kuadrin e reformës në drejtësi</w:t>
      </w:r>
      <w:r w:rsidR="0061652B" w:rsidRPr="00DC66CD">
        <w:t>,</w:t>
      </w:r>
      <w:r w:rsidRPr="00DC66CD">
        <w:t xml:space="preserve"> përmbajnë dispozita të përcaktuara qartë që garantojnë pavarësinë, paanshmërinë, profesionalizmin, integritetin e sistemit gjyqësor dhe përmirësojnë llogaridhënien dhe mekanizmat e monitorimit të funksionimit të tij. Përparim i mirë është arritur përmes zbatimit të vazhdueshëm të reformës në drejtësi.</w:t>
      </w:r>
    </w:p>
    <w:p w14:paraId="432AE40C" w14:textId="693CBB49" w:rsidR="00D94F59" w:rsidRPr="00DC66CD" w:rsidRDefault="00D94F59" w:rsidP="00D94F59">
      <w:pPr>
        <w:pStyle w:val="TEKSTIIII"/>
      </w:pPr>
      <w:r w:rsidRPr="00DC66CD">
        <w:t xml:space="preserve">Reformat thelbësore për përmirësimin e mjedisit të biznesit </w:t>
      </w:r>
      <w:r w:rsidR="00A16805" w:rsidRPr="00DC66CD">
        <w:t>ka</w:t>
      </w:r>
      <w:r w:rsidRPr="00DC66CD">
        <w:t xml:space="preserve"> përparuar</w:t>
      </w:r>
      <w:r w:rsidR="007D636E" w:rsidRPr="00DC66CD">
        <w:t>,</w:t>
      </w:r>
      <w:r w:rsidRPr="00DC66CD">
        <w:t xml:space="preserve"> por kërkojnë përpjekje të mëtejshme. Reforma gjithëpërfshirëse gjyqësore përparoi, por duhet të zbatohet plotësisht. Ligji i ri i falimentimit ka hyrë në fuqi dhe do të forcojë regjimin e falimentimit. Niveli i papunësisë dhe </w:t>
      </w:r>
      <w:r w:rsidR="0061652B" w:rsidRPr="00DC66CD">
        <w:t xml:space="preserve">i </w:t>
      </w:r>
      <w:r w:rsidRPr="00DC66CD">
        <w:t>punësimit joformal mbetet i lartë. Në përputhje me rekomandimet e Programit të Reformave Ekonomike (ERP) dhe për të mbështetur rritjen afatgjatë, në vitin e ardhshëm Shqipëria duhet t</w:t>
      </w:r>
      <w:r w:rsidR="002C582E" w:rsidRPr="00DC66CD">
        <w:t>’</w:t>
      </w:r>
      <w:r w:rsidR="0061652B" w:rsidRPr="00DC66CD">
        <w:t>u</w:t>
      </w:r>
      <w:r w:rsidRPr="00DC66CD">
        <w:t xml:space="preserve"> kushtojë vëmendje të veçantë: i</w:t>
      </w:r>
      <w:r w:rsidR="0061652B" w:rsidRPr="00DC66CD">
        <w:t>.</w:t>
      </w:r>
      <w:r w:rsidRPr="00DC66CD">
        <w:t xml:space="preserve"> mbajtjes së konsolidimit fiskal dhe </w:t>
      </w:r>
      <w:r w:rsidR="00756840" w:rsidRPr="00DC66CD">
        <w:t xml:space="preserve">të </w:t>
      </w:r>
      <w:r w:rsidRPr="00DC66CD">
        <w:t>forcimit të kornizës së menaxhimit të buxhetit; ii</w:t>
      </w:r>
      <w:r w:rsidR="0061652B" w:rsidRPr="00DC66CD">
        <w:t xml:space="preserve">. </w:t>
      </w:r>
      <w:r w:rsidRPr="00DC66CD">
        <w:t>trajtimi</w:t>
      </w:r>
      <w:r w:rsidR="00756840" w:rsidRPr="00DC66CD">
        <w:t>t</w:t>
      </w:r>
      <w:r w:rsidRPr="00DC66CD">
        <w:t xml:space="preserve"> </w:t>
      </w:r>
      <w:r w:rsidR="00756840" w:rsidRPr="00DC66CD">
        <w:t xml:space="preserve">të </w:t>
      </w:r>
      <w:r w:rsidRPr="00DC66CD">
        <w:t>nivelit të lartë të kredive me probleme; iii</w:t>
      </w:r>
      <w:r w:rsidR="0061652B" w:rsidRPr="00DC66CD">
        <w:t>.</w:t>
      </w:r>
      <w:r w:rsidRPr="00DC66CD">
        <w:t xml:space="preserve"> përmirësimin e mjedisit të biznesit</w:t>
      </w:r>
      <w:r w:rsidR="00F737B9" w:rsidRPr="00DC66CD">
        <w:t>,</w:t>
      </w:r>
      <w:r w:rsidRPr="00DC66CD">
        <w:t xml:space="preserve"> duke zbatuar ligjin e ri të falimentimit; dhe iv</w:t>
      </w:r>
      <w:r w:rsidR="0061652B" w:rsidRPr="00DC66CD">
        <w:t>.</w:t>
      </w:r>
      <w:r w:rsidRPr="00DC66CD">
        <w:t xml:space="preserve"> zvogël</w:t>
      </w:r>
      <w:r w:rsidR="002E4339" w:rsidRPr="00DC66CD">
        <w:t>imit</w:t>
      </w:r>
      <w:r w:rsidRPr="00DC66CD">
        <w:t xml:space="preserve"> </w:t>
      </w:r>
      <w:r w:rsidR="002E4339" w:rsidRPr="00DC66CD">
        <w:t>të</w:t>
      </w:r>
      <w:r w:rsidR="00BD323D" w:rsidRPr="00DC66CD">
        <w:t xml:space="preserve"> </w:t>
      </w:r>
      <w:r w:rsidRPr="00DC66CD">
        <w:t>ekonomi</w:t>
      </w:r>
      <w:r w:rsidR="002E4339" w:rsidRPr="00DC66CD">
        <w:t>s</w:t>
      </w:r>
      <w:r w:rsidRPr="00DC66CD">
        <w:t>ë joformale, përfshirë punën e padeklaruar.</w:t>
      </w:r>
    </w:p>
    <w:p w14:paraId="20AC9573" w14:textId="77777777" w:rsidR="00D94F59" w:rsidRPr="00DC66CD" w:rsidRDefault="00D94F59" w:rsidP="00D94F59">
      <w:pPr>
        <w:pStyle w:val="TEKSTIIII"/>
        <w:rPr>
          <w:i/>
          <w:iCs/>
        </w:rPr>
      </w:pPr>
      <w:r w:rsidRPr="00DC66CD">
        <w:rPr>
          <w:i/>
          <w:iCs/>
        </w:rPr>
        <w:t>Ligji i falimentimit</w:t>
      </w:r>
    </w:p>
    <w:p w14:paraId="17EE2011" w14:textId="77777777" w:rsidR="00D94F59" w:rsidRPr="00DC66CD" w:rsidRDefault="00D94F59" w:rsidP="00D94F59">
      <w:pPr>
        <w:pStyle w:val="TEKSTIIII"/>
      </w:pPr>
      <w:r w:rsidRPr="00DC66CD">
        <w:t>- Statusi i harmonizimit ligjor</w:t>
      </w:r>
    </w:p>
    <w:p w14:paraId="2550E400" w14:textId="17E14AEA" w:rsidR="00D94F59" w:rsidRPr="00DC66CD" w:rsidRDefault="00D94F59" w:rsidP="00D94F59">
      <w:pPr>
        <w:pStyle w:val="TEKSTIIII"/>
      </w:pPr>
      <w:r w:rsidRPr="00DC66CD">
        <w:t>Ligji</w:t>
      </w:r>
      <w:r w:rsidR="00E33D88" w:rsidRPr="00DC66CD">
        <w:t xml:space="preserve"> nr. </w:t>
      </w:r>
      <w:r w:rsidRPr="00DC66CD">
        <w:t xml:space="preserve">110, datë 27.10.2016, </w:t>
      </w:r>
      <w:r w:rsidR="002A29AD" w:rsidRPr="00DC66CD">
        <w:t>“</w:t>
      </w:r>
      <w:r w:rsidRPr="00DC66CD">
        <w:t xml:space="preserve">Për </w:t>
      </w:r>
      <w:r w:rsidR="008F40CD" w:rsidRPr="00DC66CD">
        <w:t>falimentimin</w:t>
      </w:r>
      <w:r w:rsidR="002A29AD" w:rsidRPr="00DC66CD">
        <w:t>”</w:t>
      </w:r>
      <w:r w:rsidRPr="00DC66CD">
        <w:t xml:space="preserve">, miratohet nga </w:t>
      </w:r>
      <w:r w:rsidR="008F40CD" w:rsidRPr="00DC66CD">
        <w:t xml:space="preserve">Parlamenti </w:t>
      </w:r>
      <w:r w:rsidRPr="00DC66CD">
        <w:t>i Shqipërisë dhe hyri në fuqi më 22 maj 2017.</w:t>
      </w:r>
    </w:p>
    <w:p w14:paraId="2B4793D7" w14:textId="48719036" w:rsidR="00D94F59" w:rsidRPr="00DC66CD" w:rsidRDefault="00D94F59" w:rsidP="00D94F59">
      <w:pPr>
        <w:pStyle w:val="TEKSTIIII"/>
      </w:pPr>
      <w:r w:rsidRPr="00DC66CD">
        <w:t xml:space="preserve">Disa nga risitë kryesore të ligjit kanë të bëjnë me subjektet që </w:t>
      </w:r>
      <w:r w:rsidR="008F40CD" w:rsidRPr="00DC66CD">
        <w:t>u</w:t>
      </w:r>
      <w:r w:rsidRPr="00DC66CD">
        <w:t xml:space="preserve"> nënshtrohen procedurave të falimentimit, duke zgjeruar rrethin e subjekteve monitoruese, rendin e përparësive, gjobat, falimentimin ndërkufitar.</w:t>
      </w:r>
    </w:p>
    <w:p w14:paraId="73FF6FA7" w14:textId="34A3E691" w:rsidR="00D94F59" w:rsidRPr="00DC66CD" w:rsidRDefault="00D94F59" w:rsidP="00D94F59">
      <w:pPr>
        <w:pStyle w:val="TEKSTIIII"/>
      </w:pPr>
      <w:r w:rsidRPr="00DC66CD">
        <w:t xml:space="preserve">Sa </w:t>
      </w:r>
      <w:r w:rsidR="008F40CD" w:rsidRPr="00DC66CD">
        <w:t>u</w:t>
      </w:r>
      <w:r w:rsidRPr="00DC66CD">
        <w:t xml:space="preserve"> përket rregullave ligjore për marrjen e pasurive nga bankat, ligji synon të zgjidhë një problem të vazhdueshëm në sistemin bankar në Shqipëri, problemin e kredive me probleme.</w:t>
      </w:r>
    </w:p>
    <w:p w14:paraId="296B3DA0" w14:textId="7F542AAB" w:rsidR="00D94F59" w:rsidRPr="00DC66CD" w:rsidRDefault="00D94F59" w:rsidP="00D94F59">
      <w:pPr>
        <w:pStyle w:val="TEKSTIIII"/>
      </w:pPr>
      <w:r w:rsidRPr="00DC66CD">
        <w:t>Detyrimet e biznesit që</w:t>
      </w:r>
      <w:r w:rsidR="006C35A4" w:rsidRPr="00DC66CD">
        <w:t xml:space="preserve"> shkon në falimentim dhe që ka</w:t>
      </w:r>
      <w:r w:rsidR="00863619" w:rsidRPr="00DC66CD">
        <w:t>në</w:t>
      </w:r>
      <w:r w:rsidRPr="00DC66CD">
        <w:t xml:space="preserve"> kredi për banka të llojeve të ndryshme, janë kredi të siguruara, të cilat do të jenë të parat në rendin e përparësive në shlyerje. Mekanizmi kryesor që siguron që të gjithë kreditorët të trajtohen të barabartë është rendi i përparësive. Ligji ekzistues i falimentimit parashikon një hierarki të kreditorëve</w:t>
      </w:r>
      <w:r w:rsidR="00863619" w:rsidRPr="00DC66CD">
        <w:t>,</w:t>
      </w:r>
      <w:r w:rsidRPr="00DC66CD">
        <w:t xml:space="preserve"> si: kreditorët e pasurive, kreditorët e falimentimit dhe kreditorët vartës. Ajo</w:t>
      </w:r>
      <w:r w:rsidR="00863619" w:rsidRPr="00DC66CD">
        <w:t>,</w:t>
      </w:r>
      <w:r w:rsidRPr="00DC66CD">
        <w:t xml:space="preserve"> gjithashtu</w:t>
      </w:r>
      <w:r w:rsidR="00863619" w:rsidRPr="00DC66CD">
        <w:t>,</w:t>
      </w:r>
      <w:r w:rsidRPr="00DC66CD">
        <w:t xml:space="preserve"> njeh pozicionin e veçantë të zënë nga kreditorët e siguruar. Neni 605 i Kodit Civil përmban një skemë që </w:t>
      </w:r>
      <w:r w:rsidR="00527657" w:rsidRPr="00DC66CD">
        <w:t>u</w:t>
      </w:r>
      <w:r w:rsidRPr="00DC66CD">
        <w:t xml:space="preserve"> jep përparësi kërkesave të kreditorëve të siguruar dhe të pasigurt bazuar në konsideratat e politikave të miratuara nga Parlamenti </w:t>
      </w:r>
      <w:r w:rsidR="00527657" w:rsidRPr="00DC66CD">
        <w:t>Shqiptar</w:t>
      </w:r>
      <w:r w:rsidRPr="00DC66CD">
        <w:t xml:space="preserve">. Neni 150§(3) i </w:t>
      </w:r>
      <w:r w:rsidR="00527657" w:rsidRPr="00DC66CD">
        <w:t xml:space="preserve">ligjit të falimentimit </w:t>
      </w:r>
      <w:r w:rsidRPr="00DC66CD">
        <w:t>përfshin skemën e parashikuar në nenin 605</w:t>
      </w:r>
      <w:r w:rsidR="00527657" w:rsidRPr="00DC66CD">
        <w:t>,</w:t>
      </w:r>
      <w:r w:rsidRPr="00DC66CD">
        <w:t xml:space="preserve"> duke sjellë në këtë mënyrë ligjin e falimentimit, konsideratat e politikës të mishëruara në të. Ligji i </w:t>
      </w:r>
      <w:r w:rsidR="00527657" w:rsidRPr="00DC66CD">
        <w:t xml:space="preserve">falimentimit </w:t>
      </w:r>
      <w:r w:rsidRPr="00DC66CD">
        <w:t>parashikon një hierarki të re për kërkesat e kreditorëve dhe duke mos referuar më nenin 605 të Kodit Civil.</w:t>
      </w:r>
    </w:p>
    <w:p w14:paraId="1227E298" w14:textId="0C767230" w:rsidR="00D94F59" w:rsidRPr="00DC66CD" w:rsidRDefault="00D94F59" w:rsidP="00D94F59">
      <w:pPr>
        <w:pStyle w:val="TEKSTIIII"/>
      </w:pPr>
      <w:r w:rsidRPr="00DC66CD">
        <w:t>Kjo hierarki e re përfshin: a) pretendime të siguruara</w:t>
      </w:r>
      <w:r w:rsidR="00527657" w:rsidRPr="00DC66CD">
        <w:t>;</w:t>
      </w:r>
      <w:r w:rsidRPr="00DC66CD">
        <w:t xml:space="preserve"> b) pretendime të preferuara të kreditorëve (duhet të lexoni përkufizimin e kreditorit të preferuar në nenin 3</w:t>
      </w:r>
      <w:r w:rsidR="00527657" w:rsidRPr="00DC66CD">
        <w:t>;</w:t>
      </w:r>
      <w:r w:rsidRPr="00DC66CD">
        <w:t xml:space="preserve"> c) pretendime të pasigurta të kreditorëve</w:t>
      </w:r>
      <w:r w:rsidR="00527657" w:rsidRPr="00DC66CD">
        <w:t>;</w:t>
      </w:r>
      <w:r w:rsidRPr="00DC66CD">
        <w:t xml:space="preserve"> ç) duke përfunduar pretendimet e kreditorëve (ju duhet të lexoni përkufizimin të kreditorit të preferuar në neni</w:t>
      </w:r>
      <w:r w:rsidR="0044525F">
        <w:t>n 3</w:t>
      </w:r>
      <w:r w:rsidR="00527657" w:rsidRPr="00DC66CD">
        <w:t>;</w:t>
      </w:r>
      <w:r w:rsidR="00CE5124" w:rsidRPr="00DC66CD">
        <w:t xml:space="preserve"> d) pretendimet e ortakëve</w:t>
      </w:r>
      <w:r w:rsidRPr="00DC66CD">
        <w:t>/</w:t>
      </w:r>
      <w:r w:rsidR="00527657" w:rsidRPr="00DC66CD">
        <w:t xml:space="preserve">të </w:t>
      </w:r>
      <w:r w:rsidRPr="00DC66CD">
        <w:t>pronarëve. Rregull</w:t>
      </w:r>
      <w:r w:rsidR="00CE5124" w:rsidRPr="00DC66CD">
        <w:t>a</w:t>
      </w:r>
      <w:r w:rsidRPr="00DC66CD">
        <w:t xml:space="preserve"> kryesor</w:t>
      </w:r>
      <w:r w:rsidR="00527657" w:rsidRPr="00DC66CD">
        <w:t>e</w:t>
      </w:r>
      <w:r w:rsidRPr="00DC66CD">
        <w:t xml:space="preserve"> është që çdo kreditor i së njëjtës klasë të trajtohet ekonomikisht i barabartë me kategorinë e tij të kërkesave.</w:t>
      </w:r>
    </w:p>
    <w:p w14:paraId="1F2C8EED" w14:textId="1FFB0C58" w:rsidR="00D94F59" w:rsidRPr="00DC66CD" w:rsidRDefault="00D94F59" w:rsidP="00D94F59">
      <w:pPr>
        <w:pStyle w:val="TEKSTIIII"/>
      </w:pPr>
      <w:r w:rsidRPr="00DC66CD">
        <w:t xml:space="preserve">Në </w:t>
      </w:r>
      <w:r w:rsidR="00527657" w:rsidRPr="00DC66CD">
        <w:t xml:space="preserve">shtator </w:t>
      </w:r>
      <w:r w:rsidRPr="00DC66CD">
        <w:t>të vitit 2018 u miratuan:</w:t>
      </w:r>
    </w:p>
    <w:p w14:paraId="0B73EC4C" w14:textId="5DC30173" w:rsidR="00D94F59" w:rsidRPr="00DC66CD" w:rsidRDefault="00D94F59" w:rsidP="00D94F59">
      <w:pPr>
        <w:pStyle w:val="TEKSTIIII"/>
      </w:pPr>
      <w:r w:rsidRPr="00DC66CD">
        <w:t xml:space="preserve">- </w:t>
      </w:r>
      <w:r w:rsidR="00527657" w:rsidRPr="00DC66CD">
        <w:t>v</w:t>
      </w:r>
      <w:r w:rsidRPr="00DC66CD">
        <w:t>endimi i Këshillit</w:t>
      </w:r>
      <w:r w:rsidR="00527657" w:rsidRPr="00DC66CD">
        <w:t xml:space="preserve"> të Ministrit</w:t>
      </w:r>
      <w:r w:rsidR="00E33D88" w:rsidRPr="00DC66CD">
        <w:t xml:space="preserve"> nr. </w:t>
      </w:r>
      <w:r w:rsidR="00527657" w:rsidRPr="00DC66CD">
        <w:t>542, datë 19.</w:t>
      </w:r>
      <w:r w:rsidRPr="00DC66CD">
        <w:t>9.2018</w:t>
      </w:r>
      <w:r w:rsidR="00527657" w:rsidRPr="00DC66CD">
        <w:t>,</w:t>
      </w:r>
      <w:r w:rsidRPr="00DC66CD">
        <w:t xml:space="preserve"> </w:t>
      </w:r>
      <w:r w:rsidR="002A29AD" w:rsidRPr="00DC66CD">
        <w:t>“</w:t>
      </w:r>
      <w:r w:rsidRPr="00DC66CD">
        <w:t>Për organizimin dhe funksionimin e Agjencisë Kombëtare të Falimentimit</w:t>
      </w:r>
      <w:r w:rsidR="002A29AD" w:rsidRPr="00DC66CD">
        <w:t>”</w:t>
      </w:r>
      <w:r w:rsidR="00527657" w:rsidRPr="00DC66CD">
        <w:t>;</w:t>
      </w:r>
    </w:p>
    <w:p w14:paraId="793CDD0C" w14:textId="40EF0A3C" w:rsidR="00D94F59" w:rsidRPr="00DC66CD" w:rsidRDefault="00D94F59" w:rsidP="00D94F59">
      <w:pPr>
        <w:pStyle w:val="TEKSTIIII"/>
      </w:pPr>
      <w:r w:rsidRPr="00DC66CD">
        <w:t xml:space="preserve">- </w:t>
      </w:r>
      <w:r w:rsidR="00527657" w:rsidRPr="00DC66CD">
        <w:t>v</w:t>
      </w:r>
      <w:r w:rsidRPr="00DC66CD">
        <w:t>endimi i Këshillit</w:t>
      </w:r>
      <w:r w:rsidR="00527657" w:rsidRPr="00DC66CD">
        <w:t xml:space="preserve"> të Ministrit</w:t>
      </w:r>
      <w:r w:rsidR="00E33D88" w:rsidRPr="00DC66CD">
        <w:t xml:space="preserve"> nr. </w:t>
      </w:r>
      <w:r w:rsidR="00527657" w:rsidRPr="00DC66CD">
        <w:t>543, datë 19.</w:t>
      </w:r>
      <w:r w:rsidRPr="00DC66CD">
        <w:t xml:space="preserve">9.2018, </w:t>
      </w:r>
      <w:r w:rsidR="002A29AD" w:rsidRPr="00DC66CD">
        <w:t>“</w:t>
      </w:r>
      <w:r w:rsidRPr="00DC66CD">
        <w:t xml:space="preserve">Kodi i Etikës për </w:t>
      </w:r>
      <w:r w:rsidR="00527657" w:rsidRPr="00DC66CD">
        <w:t xml:space="preserve">Administratorët </w:t>
      </w:r>
      <w:r w:rsidRPr="00DC66CD">
        <w:t xml:space="preserve">e </w:t>
      </w:r>
      <w:r w:rsidR="00527657" w:rsidRPr="00DC66CD">
        <w:t>Falimentimit</w:t>
      </w:r>
      <w:r w:rsidR="002A29AD" w:rsidRPr="00DC66CD">
        <w:t>”</w:t>
      </w:r>
      <w:r w:rsidR="00527657" w:rsidRPr="00DC66CD">
        <w:t>.</w:t>
      </w:r>
    </w:p>
    <w:p w14:paraId="2EF91377" w14:textId="6CFAF18C" w:rsidR="00D94F59" w:rsidRPr="00DC66CD" w:rsidRDefault="00D94F59" w:rsidP="00D94F59">
      <w:pPr>
        <w:pStyle w:val="TEKSTIIII"/>
      </w:pPr>
      <w:r w:rsidRPr="00DC66CD">
        <w:t xml:space="preserve">- </w:t>
      </w:r>
      <w:r w:rsidR="00527657" w:rsidRPr="00DC66CD">
        <w:t xml:space="preserve">Aktet </w:t>
      </w:r>
      <w:r w:rsidRPr="00DC66CD">
        <w:t>nënligjore që pritet të miratohen në dhjetor 2019 janë si më poshtë:</w:t>
      </w:r>
    </w:p>
    <w:p w14:paraId="246C8AAF" w14:textId="6862F57F" w:rsidR="00D94F59" w:rsidRPr="00DC66CD" w:rsidRDefault="00D94F59" w:rsidP="00D94F59">
      <w:pPr>
        <w:pStyle w:val="TEKSTIIII"/>
      </w:pPr>
      <w:r w:rsidRPr="00DC66CD">
        <w:t xml:space="preserve">- </w:t>
      </w:r>
      <w:r w:rsidR="00527657" w:rsidRPr="00DC66CD">
        <w:t>p</w:t>
      </w:r>
      <w:r w:rsidRPr="00DC66CD">
        <w:t>ërcaktimi i rregullave për shpërblimin e administratorit të falimentimit</w:t>
      </w:r>
      <w:r w:rsidR="00527657" w:rsidRPr="00DC66CD">
        <w:t>;</w:t>
      </w:r>
    </w:p>
    <w:p w14:paraId="731115DE" w14:textId="36A52241" w:rsidR="00D94F59" w:rsidRPr="00DC66CD" w:rsidRDefault="00D94F59" w:rsidP="00D94F59">
      <w:pPr>
        <w:pStyle w:val="TEKSTIIII"/>
      </w:pPr>
      <w:r w:rsidRPr="00DC66CD">
        <w:t xml:space="preserve">- </w:t>
      </w:r>
      <w:r w:rsidR="00527657" w:rsidRPr="00DC66CD">
        <w:t>p</w:t>
      </w:r>
      <w:r w:rsidRPr="00DC66CD">
        <w:t>ër miratimin e standardeve kombëtare për administrimin e procedurave të falimentimit.</w:t>
      </w:r>
    </w:p>
    <w:p w14:paraId="75109B34" w14:textId="77777777" w:rsidR="00D94F59" w:rsidRPr="00DC66CD" w:rsidRDefault="00D94F59" w:rsidP="00D94F59">
      <w:pPr>
        <w:pStyle w:val="TEKSTIIII"/>
        <w:rPr>
          <w:bCs/>
          <w:i/>
          <w:lang w:eastAsia="en-GB"/>
        </w:rPr>
      </w:pPr>
      <w:r w:rsidRPr="00DC66CD">
        <w:rPr>
          <w:bCs/>
          <w:i/>
          <w:lang w:eastAsia="en-GB"/>
        </w:rPr>
        <w:t>Shërbimi i Përmbarimit Shtetëror</w:t>
      </w:r>
    </w:p>
    <w:p w14:paraId="191F1141" w14:textId="4D03B191" w:rsidR="00D94F59" w:rsidRPr="00DC66CD" w:rsidRDefault="00D94F59" w:rsidP="00D94F59">
      <w:pPr>
        <w:pStyle w:val="TEKSTIIII"/>
      </w:pPr>
      <w:r w:rsidRPr="00DC66CD">
        <w:rPr>
          <w:lang w:eastAsia="en-GB"/>
        </w:rPr>
        <w:t xml:space="preserve">- Shërbimi i Përmbarimit Shtetëror ka njohur plotësisht dhe </w:t>
      </w:r>
      <w:r w:rsidR="00527657" w:rsidRPr="00DC66CD">
        <w:rPr>
          <w:lang w:eastAsia="en-GB"/>
        </w:rPr>
        <w:t xml:space="preserve">ka </w:t>
      </w:r>
      <w:r w:rsidRPr="00DC66CD">
        <w:rPr>
          <w:lang w:eastAsia="en-GB"/>
        </w:rPr>
        <w:t xml:space="preserve">zbatuar </w:t>
      </w:r>
      <w:r w:rsidR="00527657" w:rsidRPr="00DC66CD">
        <w:rPr>
          <w:lang w:eastAsia="en-GB"/>
        </w:rPr>
        <w:t xml:space="preserve">udhëzimin </w:t>
      </w:r>
      <w:r w:rsidRPr="00DC66CD">
        <w:rPr>
          <w:lang w:eastAsia="en-GB"/>
        </w:rPr>
        <w:t xml:space="preserve">e </w:t>
      </w:r>
      <w:r w:rsidR="00527657" w:rsidRPr="00DC66CD">
        <w:rPr>
          <w:lang w:eastAsia="en-GB"/>
        </w:rPr>
        <w:t>përbashkët</w:t>
      </w:r>
      <w:r w:rsidR="00E33D88" w:rsidRPr="00DC66CD">
        <w:rPr>
          <w:lang w:eastAsia="en-GB"/>
        </w:rPr>
        <w:t xml:space="preserve"> nr. </w:t>
      </w:r>
      <w:r w:rsidR="00527657" w:rsidRPr="00DC66CD">
        <w:rPr>
          <w:lang w:eastAsia="en-GB"/>
        </w:rPr>
        <w:t>32, datë 30.</w:t>
      </w:r>
      <w:r w:rsidRPr="00DC66CD">
        <w:rPr>
          <w:lang w:eastAsia="en-GB"/>
        </w:rPr>
        <w:t>8.2018</w:t>
      </w:r>
      <w:r w:rsidR="00527657" w:rsidRPr="00DC66CD">
        <w:rPr>
          <w:lang w:eastAsia="en-GB"/>
        </w:rPr>
        <w:t>,</w:t>
      </w:r>
      <w:r w:rsidRPr="00DC66CD">
        <w:rPr>
          <w:lang w:eastAsia="en-GB"/>
        </w:rPr>
        <w:t xml:space="preserve"> </w:t>
      </w:r>
      <w:r w:rsidR="002A29AD" w:rsidRPr="00DC66CD">
        <w:rPr>
          <w:lang w:eastAsia="en-GB"/>
        </w:rPr>
        <w:t>“</w:t>
      </w:r>
      <w:r w:rsidRPr="00DC66CD">
        <w:rPr>
          <w:lang w:eastAsia="en-GB"/>
        </w:rPr>
        <w:t xml:space="preserve">Për disa ndryshime në </w:t>
      </w:r>
      <w:r w:rsidR="00527657" w:rsidRPr="00DC66CD">
        <w:rPr>
          <w:lang w:eastAsia="en-GB"/>
        </w:rPr>
        <w:t>udhëzimin e përbashkët</w:t>
      </w:r>
      <w:r w:rsidR="00E33D88" w:rsidRPr="00DC66CD">
        <w:rPr>
          <w:lang w:eastAsia="en-GB"/>
        </w:rPr>
        <w:t xml:space="preserve"> nr. </w:t>
      </w:r>
      <w:r w:rsidR="00527657" w:rsidRPr="00DC66CD">
        <w:rPr>
          <w:lang w:eastAsia="en-GB"/>
        </w:rPr>
        <w:t>385/7, datë 28.</w:t>
      </w:r>
      <w:r w:rsidRPr="00DC66CD">
        <w:rPr>
          <w:lang w:eastAsia="en-GB"/>
        </w:rPr>
        <w:t>6.2017</w:t>
      </w:r>
      <w:r w:rsidR="00527657" w:rsidRPr="00DC66CD">
        <w:rPr>
          <w:lang w:eastAsia="en-GB"/>
        </w:rPr>
        <w:t>,</w:t>
      </w:r>
      <w:r w:rsidRPr="00DC66CD">
        <w:rPr>
          <w:lang w:eastAsia="en-GB"/>
        </w:rPr>
        <w:t xml:space="preserve"> </w:t>
      </w:r>
      <w:r w:rsidR="002A29AD" w:rsidRPr="00DC66CD">
        <w:rPr>
          <w:lang w:eastAsia="en-GB"/>
        </w:rPr>
        <w:t>“</w:t>
      </w:r>
      <w:r w:rsidRPr="00DC66CD">
        <w:rPr>
          <w:lang w:eastAsia="en-GB"/>
        </w:rPr>
        <w:t>Për miratimin e tarifave për shërbimet e ofruara nga Shërbimi i Përmbarimit Shtetëror</w:t>
      </w:r>
      <w:r w:rsidR="002A29AD" w:rsidRPr="00DC66CD">
        <w:rPr>
          <w:lang w:eastAsia="en-GB"/>
        </w:rPr>
        <w:t>”</w:t>
      </w:r>
      <w:r w:rsidRPr="00DC66CD">
        <w:rPr>
          <w:lang w:eastAsia="en-GB"/>
        </w:rPr>
        <w:t xml:space="preserve">, dhe </w:t>
      </w:r>
      <w:r w:rsidR="00527657" w:rsidRPr="00DC66CD">
        <w:rPr>
          <w:lang w:eastAsia="en-GB"/>
        </w:rPr>
        <w:t>udhëzimi i përbashkët</w:t>
      </w:r>
      <w:r w:rsidR="00E33D88" w:rsidRPr="00DC66CD">
        <w:rPr>
          <w:lang w:eastAsia="en-GB"/>
        </w:rPr>
        <w:t xml:space="preserve"> nr. </w:t>
      </w:r>
      <w:r w:rsidRPr="00DC66CD">
        <w:rPr>
          <w:lang w:eastAsia="en-GB"/>
        </w:rPr>
        <w:t>33, datë 30.8.2018</w:t>
      </w:r>
      <w:r w:rsidR="00527657" w:rsidRPr="00DC66CD">
        <w:rPr>
          <w:lang w:eastAsia="en-GB"/>
        </w:rPr>
        <w:t>,</w:t>
      </w:r>
      <w:r w:rsidRPr="00DC66CD">
        <w:rPr>
          <w:lang w:eastAsia="en-GB"/>
        </w:rPr>
        <w:t xml:space="preserve"> </w:t>
      </w:r>
      <w:r w:rsidR="00527657" w:rsidRPr="00DC66CD">
        <w:rPr>
          <w:lang w:eastAsia="en-GB"/>
        </w:rPr>
        <w:t>“</w:t>
      </w:r>
      <w:r w:rsidRPr="00DC66CD">
        <w:rPr>
          <w:lang w:eastAsia="en-GB"/>
        </w:rPr>
        <w:t xml:space="preserve">Për disa shtesa dhe ndryshime </w:t>
      </w:r>
      <w:r w:rsidRPr="00DC66CD">
        <w:t xml:space="preserve">në </w:t>
      </w:r>
      <w:r w:rsidR="00527657" w:rsidRPr="00DC66CD">
        <w:t>udhëzimin e përbashkët</w:t>
      </w:r>
      <w:r w:rsidR="00E33D88" w:rsidRPr="00DC66CD">
        <w:t xml:space="preserve"> nr. </w:t>
      </w:r>
      <w:r w:rsidR="00527657" w:rsidRPr="00DC66CD">
        <w:t>1276/6, datë 27.</w:t>
      </w:r>
      <w:r w:rsidRPr="00DC66CD">
        <w:t>7.2017</w:t>
      </w:r>
      <w:r w:rsidR="00527657" w:rsidRPr="00DC66CD">
        <w:t>,</w:t>
      </w:r>
      <w:r w:rsidRPr="00DC66CD">
        <w:t xml:space="preserve"> </w:t>
      </w:r>
      <w:r w:rsidR="002C582E" w:rsidRPr="00DC66CD">
        <w:t>‘</w:t>
      </w:r>
      <w:r w:rsidRPr="00DC66CD">
        <w:t>Për përcaktimin e nivelit minimal dhe maksimal të vlerës së tarifës së suksesit për veprimet përmbarimore të parashikuara nga Shërbimi i Përmbarimit Shtetëror</w:t>
      </w:r>
      <w:r w:rsidR="002C582E" w:rsidRPr="00DC66CD">
        <w:t>’</w:t>
      </w:r>
      <w:r w:rsidR="00527657" w:rsidRPr="00DC66CD">
        <w:t xml:space="preserve">”, </w:t>
      </w:r>
      <w:r w:rsidRPr="00DC66CD">
        <w:t xml:space="preserve">i </w:t>
      </w:r>
      <w:r w:rsidR="00527657" w:rsidRPr="00DC66CD">
        <w:t xml:space="preserve">ministrit </w:t>
      </w:r>
      <w:r w:rsidRPr="00DC66CD">
        <w:t xml:space="preserve">të Drejtësisë dhe </w:t>
      </w:r>
      <w:r w:rsidR="00527657" w:rsidRPr="00DC66CD">
        <w:t xml:space="preserve">i ministrit </w:t>
      </w:r>
      <w:r w:rsidRPr="00DC66CD">
        <w:t>të Financave.</w:t>
      </w:r>
    </w:p>
    <w:p w14:paraId="57E5ABBA" w14:textId="5B99DB56" w:rsidR="00D94F59" w:rsidRPr="00DC66CD" w:rsidRDefault="00D94F59" w:rsidP="00D94F59">
      <w:pPr>
        <w:pStyle w:val="TEKSTIIII"/>
      </w:pPr>
      <w:r w:rsidRPr="00DC66CD">
        <w:t>- Për gja</w:t>
      </w:r>
      <w:r w:rsidR="00180A02" w:rsidRPr="00DC66CD">
        <w:t>shtë muajt e parë të vitit 2019</w:t>
      </w:r>
      <w:r w:rsidRPr="00DC66CD">
        <w:t xml:space="preserve"> janë regjistruar gjithsej 40 674 raste për ekzekutim (përjashtuar </w:t>
      </w:r>
      <w:r w:rsidR="002A29AD" w:rsidRPr="00DC66CD">
        <w:t>“</w:t>
      </w:r>
      <w:r w:rsidRPr="00DC66CD">
        <w:t>kujdesin e fëmijëve</w:t>
      </w:r>
      <w:r w:rsidR="002A29AD" w:rsidRPr="00DC66CD">
        <w:t>”</w:t>
      </w:r>
      <w:r w:rsidRPr="00DC66CD">
        <w:t xml:space="preserve"> dhe </w:t>
      </w:r>
      <w:r w:rsidR="002A29AD" w:rsidRPr="00DC66CD">
        <w:t>“</w:t>
      </w:r>
      <w:r w:rsidRPr="00DC66CD">
        <w:t>pensionet e ushqimit</w:t>
      </w:r>
      <w:r w:rsidR="002A29AD" w:rsidRPr="00DC66CD">
        <w:t>”</w:t>
      </w:r>
      <w:r w:rsidR="00180A02" w:rsidRPr="00DC66CD">
        <w:t>,</w:t>
      </w:r>
      <w:r w:rsidRPr="00DC66CD">
        <w:t xml:space="preserve"> në total 6858), ekzekutuar gjithsej 5092 (pesëqind e nëntëdhjetë e dy) raste dhe shprehur si përqindje, ekzekutimi i titujve ekzekutiv</w:t>
      </w:r>
      <w:r w:rsidR="00180A02" w:rsidRPr="00DC66CD">
        <w:t>ë</w:t>
      </w:r>
      <w:r w:rsidRPr="00DC66CD">
        <w:t xml:space="preserve"> është 100% (llogaritur, duke iu referuar sasisë së titujve </w:t>
      </w:r>
      <w:r w:rsidR="00BC44E2" w:rsidRPr="00DC66CD">
        <w:t>ekzekutivë të planifikuar për t</w:t>
      </w:r>
      <w:r w:rsidR="002C582E" w:rsidRPr="00DC66CD">
        <w:t>’</w:t>
      </w:r>
      <w:r w:rsidRPr="00DC66CD">
        <w:t>u ekzekutuar për periudhën 6-mujore, të theksuar në politikën e programit të Shërbimit Përmbarimor Shtetëror) dhe 6922 raste u dhanë mjete juridike.</w:t>
      </w:r>
    </w:p>
    <w:p w14:paraId="20F9D27E" w14:textId="25370C7D" w:rsidR="00D94F59" w:rsidRPr="00DC66CD" w:rsidRDefault="00D94F59" w:rsidP="00D94F59">
      <w:pPr>
        <w:pStyle w:val="TEKSTIIII"/>
      </w:pPr>
      <w:r w:rsidRPr="00DC66CD">
        <w:t xml:space="preserve">- Ushtrimi i kontrolleve periodike në zyrat e përmbarimit për të konstatuar dhe </w:t>
      </w:r>
      <w:r w:rsidR="00242E6E" w:rsidRPr="00DC66CD">
        <w:t xml:space="preserve">për të </w:t>
      </w:r>
      <w:r w:rsidRPr="00DC66CD">
        <w:t>monitoruar procesin e ekzekutimit të titujve ekzekutiv</w:t>
      </w:r>
      <w:r w:rsidR="001E4B28" w:rsidRPr="00DC66CD">
        <w:t>ë</w:t>
      </w:r>
      <w:r w:rsidRPr="00DC66CD">
        <w:t xml:space="preserve"> është pjesë e planit vjetor në vazhdim nga Drejtoria e Përgjithshme e Shërbimit Përmbarimor Shtetëror</w:t>
      </w:r>
      <w:r w:rsidR="006031B6" w:rsidRPr="00DC66CD">
        <w:t>.</w:t>
      </w:r>
      <w:r w:rsidRPr="00DC66CD">
        <w:t xml:space="preserve"> Kontrollet kanë për qëllim sigurimin e arritjes së objektivit të shërbimit për ekzekutimin e ekzekutivit tituj, ligjshmëria e veprimtarisë përmbarimore dhe</w:t>
      </w:r>
      <w:r w:rsidR="006031B6" w:rsidRPr="00DC66CD">
        <w:t>,</w:t>
      </w:r>
      <w:r w:rsidRPr="00DC66CD">
        <w:t xml:space="preserve"> veçanërisht</w:t>
      </w:r>
      <w:r w:rsidR="006031B6" w:rsidRPr="00DC66CD">
        <w:t>,</w:t>
      </w:r>
      <w:r w:rsidRPr="00DC66CD">
        <w:t xml:space="preserve"> identifikimi në vend i çdo ankese nga qytetarët në lidhje me veprimtarinë përmbarimore.</w:t>
      </w:r>
    </w:p>
    <w:p w14:paraId="2B0CF009" w14:textId="57966F79" w:rsidR="00D94F59" w:rsidRPr="00DC66CD" w:rsidRDefault="00D94F59" w:rsidP="00D94F59">
      <w:pPr>
        <w:pStyle w:val="TEKSTIIII"/>
      </w:pPr>
      <w:r w:rsidRPr="00DC66CD">
        <w:t xml:space="preserve">- Për periudhën </w:t>
      </w:r>
      <w:r w:rsidR="006031B6" w:rsidRPr="00DC66CD">
        <w:t xml:space="preserve">janar-qershor </w:t>
      </w:r>
      <w:r w:rsidRPr="00DC66CD">
        <w:t>2019 janë rekomanduar kontrolle periodike dhe të bazuara në ankesa dhe janë marrë masa disiplinore:</w:t>
      </w:r>
    </w:p>
    <w:p w14:paraId="2A614EF4" w14:textId="454ECA2D" w:rsidR="00D94F59" w:rsidRPr="00DC66CD" w:rsidRDefault="00D94F59" w:rsidP="00D94F59">
      <w:pPr>
        <w:pStyle w:val="TEKSTIIII"/>
      </w:pPr>
      <w:r w:rsidRPr="00DC66CD">
        <w:t xml:space="preserve">- </w:t>
      </w:r>
      <w:r w:rsidR="002A29AD" w:rsidRPr="00DC66CD">
        <w:t>“</w:t>
      </w:r>
      <w:r w:rsidRPr="00DC66CD">
        <w:t>pushim nga detyra</w:t>
      </w:r>
      <w:r w:rsidR="002A29AD" w:rsidRPr="00DC66CD">
        <w:t>”</w:t>
      </w:r>
      <w:r w:rsidRPr="00DC66CD">
        <w:t xml:space="preserve"> për 2 </w:t>
      </w:r>
      <w:r w:rsidR="006031B6" w:rsidRPr="00DC66CD">
        <w:t>kryetarë të zyrave, përkatësisht</w:t>
      </w:r>
      <w:r w:rsidRPr="00DC66CD">
        <w:t xml:space="preserve">, kundër </w:t>
      </w:r>
      <w:r w:rsidR="006031B6" w:rsidRPr="00DC66CD">
        <w:t xml:space="preserve">kryetarit të Zyrës </w:t>
      </w:r>
      <w:r w:rsidRPr="00DC66CD">
        <w:t xml:space="preserve">së Përmbarimit Fier dhe </w:t>
      </w:r>
      <w:r w:rsidR="006031B6" w:rsidRPr="00DC66CD">
        <w:t xml:space="preserve">kryetarit </w:t>
      </w:r>
      <w:r w:rsidRPr="00DC66CD">
        <w:t>të Zyrës së Përmbarimit Tiranë;</w:t>
      </w:r>
    </w:p>
    <w:p w14:paraId="721EBDA1" w14:textId="03011B44" w:rsidR="00D94F59" w:rsidRPr="00DC66CD" w:rsidRDefault="00D94F59" w:rsidP="00D94F59">
      <w:pPr>
        <w:pStyle w:val="TEKSTIIII"/>
      </w:pPr>
      <w:r w:rsidRPr="00DC66CD">
        <w:t xml:space="preserve">- 6 (gjashtë) masa administrative </w:t>
      </w:r>
      <w:r w:rsidR="002A29AD" w:rsidRPr="00DC66CD">
        <w:t>“</w:t>
      </w:r>
      <w:r w:rsidRPr="00DC66CD">
        <w:t>paralajmërim me shkrim</w:t>
      </w:r>
      <w:r w:rsidR="002A29AD" w:rsidRPr="00DC66CD">
        <w:t>”</w:t>
      </w:r>
      <w:r w:rsidRPr="00DC66CD">
        <w:t xml:space="preserve"> dhe </w:t>
      </w:r>
      <w:r w:rsidR="002A29AD" w:rsidRPr="00DC66CD">
        <w:t>“</w:t>
      </w:r>
      <w:r w:rsidRPr="00DC66CD">
        <w:t>paralajmërim me paralajmërim për pushimin nga puna</w:t>
      </w:r>
      <w:r w:rsidR="002A29AD" w:rsidRPr="00DC66CD">
        <w:t>”</w:t>
      </w:r>
      <w:r w:rsidRPr="00DC66CD">
        <w:t xml:space="preserve"> kundër përmbaruesve të konstatuar për shkelje të gjetura në veprimtarinë procedurale të zbatimit të titujve ekzekutiv</w:t>
      </w:r>
      <w:r w:rsidR="001E4B28" w:rsidRPr="00DC66CD">
        <w:t>ë</w:t>
      </w:r>
      <w:r w:rsidRPr="00DC66CD">
        <w:t>;</w:t>
      </w:r>
    </w:p>
    <w:p w14:paraId="205DC546" w14:textId="3388FE2D" w:rsidR="00D94F59" w:rsidRPr="00DC66CD" w:rsidRDefault="00D94F59" w:rsidP="00D94F59">
      <w:pPr>
        <w:pStyle w:val="TEKSTIIII"/>
      </w:pPr>
      <w:r w:rsidRPr="00DC66CD">
        <w:t xml:space="preserve">- 1 (një) veprim administrativ </w:t>
      </w:r>
      <w:r w:rsidR="002A29AD" w:rsidRPr="00DC66CD">
        <w:t>“</w:t>
      </w:r>
      <w:r w:rsidRPr="00DC66CD">
        <w:t>pushim nga puna</w:t>
      </w:r>
      <w:r w:rsidR="002A29AD" w:rsidRPr="00DC66CD">
        <w:t>”</w:t>
      </w:r>
      <w:r w:rsidRPr="00DC66CD">
        <w:t xml:space="preserve"> ndaj një punonjësi të administratës së shërbimit dhe 1 (një) masë administrative </w:t>
      </w:r>
      <w:r w:rsidR="002A29AD" w:rsidRPr="00DC66CD">
        <w:t>“</w:t>
      </w:r>
      <w:r w:rsidRPr="00DC66CD">
        <w:t>paralajmërim me shkrim</w:t>
      </w:r>
      <w:r w:rsidR="002A29AD" w:rsidRPr="00DC66CD">
        <w:t>”</w:t>
      </w:r>
      <w:r w:rsidRPr="00DC66CD">
        <w:t xml:space="preserve"> kundër një punonjësi të administratës.</w:t>
      </w:r>
    </w:p>
    <w:p w14:paraId="4865C49A" w14:textId="77777777" w:rsidR="00D94F59" w:rsidRPr="00DC66CD" w:rsidRDefault="00D94F59" w:rsidP="00D94F59">
      <w:pPr>
        <w:pStyle w:val="TEKSTIIII"/>
      </w:pPr>
      <w:r w:rsidRPr="00DC66CD">
        <w:t>- Po ashtu, gjatë kësaj periudhe është propozuar që të fillojë procedurë disiplinore për 10 (dhjetë) përmbarues që gjenden në shkelje. Masat e propozimit janë në proces të shqyrtimit nga Këshilli i Përmbarimit.</w:t>
      </w:r>
    </w:p>
    <w:p w14:paraId="03342E4D" w14:textId="7FF41A55" w:rsidR="00D94F59" w:rsidRPr="00DC66CD" w:rsidRDefault="00D94F59" w:rsidP="00D94F59">
      <w:pPr>
        <w:pStyle w:val="TEKSTIIII"/>
      </w:pPr>
      <w:r w:rsidRPr="00DC66CD">
        <w:t xml:space="preserve">Gjatë periudhës </w:t>
      </w:r>
      <w:r w:rsidR="00AE2598" w:rsidRPr="00DC66CD">
        <w:t xml:space="preserve">janar–qershor </w:t>
      </w:r>
      <w:r w:rsidRPr="00DC66CD">
        <w:t xml:space="preserve">2019, Drejtoria e Përgjithshme e Shërbimit të Përmbarimit Shtetëror, si organi qendror i këtij shërbimi, ka trajtuar saktë dhe brenda afateve ligjore: 193 ankesa të parashtruara dhe të regjistruara në protokollin e institucionit. 133 prej këtyre ankesave u përcollën përmes platformës së qeverisë së përbashkët </w:t>
      </w:r>
      <w:r w:rsidRPr="00E41F99">
        <w:t>shqip</w:t>
      </w:r>
      <w:r w:rsidR="00845A70" w:rsidRPr="00E41F99">
        <w:t>e</w:t>
      </w:r>
      <w:r w:rsidRPr="00E41F99">
        <w:t>riaq</w:t>
      </w:r>
      <w:r w:rsidR="00845A70" w:rsidRPr="00E41F99">
        <w:t>e</w:t>
      </w:r>
      <w:r w:rsidRPr="00E41F99">
        <w:t>duam.al.</w:t>
      </w:r>
      <w:r w:rsidR="00AE2598" w:rsidRPr="00DC66CD">
        <w:t xml:space="preserve"> </w:t>
      </w:r>
      <w:r w:rsidRPr="00DC66CD">
        <w:t>Gjithashtu, në kontekstin e forcimit të mëtutjeshëm të programit të transparencës për shërbimin përmbarimor dhe rritjen e efikasitetit të tij ndaj qytetarëve, personat që paraqitën ankesat u sqaruan në të gjitha rastet për veprimet procedurale të ndjekura dhe për procedurat e zgjidhjes së problemeve të tyre, dhe u udhëzuan në raste specifike.</w:t>
      </w:r>
    </w:p>
    <w:p w14:paraId="689A8C6E" w14:textId="77777777" w:rsidR="00D94F59" w:rsidRPr="00DC66CD" w:rsidRDefault="00D94F59" w:rsidP="00D94F59">
      <w:pPr>
        <w:pStyle w:val="TEKSTIIII"/>
        <w:rPr>
          <w:i/>
        </w:rPr>
      </w:pPr>
      <w:r w:rsidRPr="00DC66CD">
        <w:rPr>
          <w:i/>
        </w:rPr>
        <w:t>Përmirësimi i mjedisit operacional për NVM-të</w:t>
      </w:r>
    </w:p>
    <w:p w14:paraId="0C0A5563" w14:textId="2BF0B5C9" w:rsidR="00D94F59" w:rsidRPr="00DC66CD" w:rsidRDefault="00D94F59" w:rsidP="00D94F59">
      <w:pPr>
        <w:pStyle w:val="TEKSTIIII"/>
      </w:pPr>
      <w:r w:rsidRPr="00DC66CD">
        <w:t xml:space="preserve">Portali </w:t>
      </w:r>
      <w:r w:rsidRPr="00DC66CD">
        <w:rPr>
          <w:i/>
        </w:rPr>
        <w:t>e-Albania</w:t>
      </w:r>
      <w:r w:rsidRPr="00DC66CD">
        <w:t xml:space="preserve"> u krijua në parimin e Partneritetit të Qeverisë së Hapur dhe drejtohet nga shërbimet për qytetarin. Ka rritur ndjeshëm numrin e shërbimeve elektronike, me më shumë se 1.600 shërbime nga të cilat pothuajse 600 shërbime elektronike. Janë 3.585.299 përdorime të shërbimeve elektronike për gjashtë muajt e parë të </w:t>
      </w:r>
      <w:r w:rsidR="00276B1A" w:rsidRPr="00DC66CD">
        <w:t>2019-ës</w:t>
      </w:r>
      <w:r w:rsidRPr="00DC66CD">
        <w:t>. Numri i përdoruesve të regjistruar në portal është rritur. Aktualisht, numri i përdoruesve të regjistruar është më shumë se 899,000 ose 18 herë më i lartë se 2013.</w:t>
      </w:r>
    </w:p>
    <w:p w14:paraId="037A5DB5" w14:textId="1B330429" w:rsidR="00D94F59" w:rsidRPr="00DC66CD" w:rsidRDefault="00D94F59" w:rsidP="00D94F59">
      <w:pPr>
        <w:pStyle w:val="TEKSTIIII"/>
      </w:pPr>
      <w:r w:rsidRPr="00DC66CD">
        <w:t>Më shumë se 1.3 milion</w:t>
      </w:r>
      <w:r w:rsidR="00845A70" w:rsidRPr="00DC66CD">
        <w:t>ë</w:t>
      </w:r>
      <w:r w:rsidRPr="00DC66CD">
        <w:t xml:space="preserve"> dokumente me nënshkrim elektronik u krijuan në gjashtë muajt e parë të </w:t>
      </w:r>
      <w:r w:rsidR="00433A3A" w:rsidRPr="00DC66CD">
        <w:t>2019</w:t>
      </w:r>
      <w:r w:rsidR="00310FDE" w:rsidRPr="00DC66CD">
        <w:t>-</w:t>
      </w:r>
      <w:r w:rsidR="00845A70" w:rsidRPr="00DC66CD">
        <w:t>s</w:t>
      </w:r>
      <w:r w:rsidRPr="00DC66CD">
        <w:t xml:space="preserve">, duke shmangur korrupsionin dhe vonesat. Vetëm </w:t>
      </w:r>
      <w:r w:rsidR="00845A70" w:rsidRPr="00DC66CD">
        <w:t>certifikatat</w:t>
      </w:r>
      <w:r w:rsidRPr="00DC66CD">
        <w:t xml:space="preserve"> e gjendjes civile kanë shpëtuar qytetarët mbi 1 milion euro</w:t>
      </w:r>
      <w:r w:rsidR="00845A70" w:rsidRPr="00DC66CD">
        <w:t>,</w:t>
      </w:r>
      <w:r w:rsidRPr="00DC66CD">
        <w:t xml:space="preserve"> pasi ato ofrohen falas në versionin e tyre elektronik. Sigurimi i dokumenteve me vulë elektronike ka shpëtuar qytetarët dhe bizneset rreth 100 vjet pritje</w:t>
      </w:r>
      <w:r w:rsidR="00845A70" w:rsidRPr="00DC66CD">
        <w:t>je</w:t>
      </w:r>
      <w:r w:rsidRPr="00DC66CD">
        <w:t xml:space="preserve"> në radhë në 18 muaj.</w:t>
      </w:r>
    </w:p>
    <w:p w14:paraId="086998B6" w14:textId="30BE824E" w:rsidR="00D94F59" w:rsidRPr="00DC66CD" w:rsidRDefault="00D94F59" w:rsidP="00D94F59">
      <w:pPr>
        <w:pStyle w:val="TEKSTIIII"/>
      </w:pPr>
      <w:r w:rsidRPr="00DC66CD">
        <w:t xml:space="preserve">Bizneset janë një përparësi në shërbimet e ofruara në </w:t>
      </w:r>
      <w:r w:rsidR="00845A70" w:rsidRPr="00DC66CD">
        <w:t xml:space="preserve">portalin </w:t>
      </w:r>
      <w:r w:rsidRPr="00DC66CD">
        <w:rPr>
          <w:i/>
        </w:rPr>
        <w:t>e-Albania</w:t>
      </w:r>
      <w:r w:rsidRPr="00DC66CD">
        <w:t>, i cili siguron gjithsej 298 shërbime elektronike për bizneset</w:t>
      </w:r>
      <w:r w:rsidR="00845A70" w:rsidRPr="00DC66CD">
        <w:t>,</w:t>
      </w:r>
      <w:r w:rsidRPr="00DC66CD">
        <w:t xml:space="preserve"> siç janë taksat elektronike, lejet elektronike, inspektimet elektronike, noteri elektronik, kadastri elektronik, e-pagesës; dhe rreth 60% e formularëve të aplikimit për shërbimet elektronike janë të plotësuara, duke lehtësuar procedurat e aplikimit falë Platformës Qeveritare të Ndërveprimit. 304.572 dokumente të</w:t>
      </w:r>
      <w:r w:rsidRPr="00DC66CD">
        <w:rPr>
          <w:rFonts w:ascii="Times New Roman" w:hAnsi="Times New Roman"/>
        </w:rPr>
        <w:t xml:space="preserve"> </w:t>
      </w:r>
      <w:r w:rsidRPr="00DC66CD">
        <w:t xml:space="preserve">biznesit të mbyllur me </w:t>
      </w:r>
      <w:r w:rsidRPr="00DC66CD">
        <w:rPr>
          <w:i/>
        </w:rPr>
        <w:t xml:space="preserve">email </w:t>
      </w:r>
      <w:r w:rsidRPr="00DC66CD">
        <w:t>u</w:t>
      </w:r>
      <w:r w:rsidRPr="00DC66CD">
        <w:rPr>
          <w:rFonts w:ascii="Times New Roman" w:hAnsi="Times New Roman"/>
        </w:rPr>
        <w:t xml:space="preserve"> </w:t>
      </w:r>
      <w:r w:rsidR="00845A70" w:rsidRPr="00DC66CD">
        <w:t>shkarkuan në vitin 2018</w:t>
      </w:r>
      <w:r w:rsidRPr="00DC66CD">
        <w:t xml:space="preserve"> dhe 97.634 dokumente të biznesit të mbyllur me </w:t>
      </w:r>
      <w:r w:rsidRPr="00DC66CD">
        <w:rPr>
          <w:i/>
        </w:rPr>
        <w:t xml:space="preserve">email </w:t>
      </w:r>
      <w:r w:rsidRPr="00DC66CD">
        <w:t>u shkarkuan në gjysmën e parë të 2019, duke kursyer bizneset 10 vjet kohë pritjeje në radhë.</w:t>
      </w:r>
    </w:p>
    <w:p w14:paraId="612F5556" w14:textId="77777777" w:rsidR="00D94F59" w:rsidRPr="00DC66CD" w:rsidRDefault="00D94F59" w:rsidP="00D94F59">
      <w:pPr>
        <w:pStyle w:val="TEKSTIIII"/>
        <w:rPr>
          <w:i/>
        </w:rPr>
      </w:pPr>
      <w:r w:rsidRPr="00DC66CD">
        <w:rPr>
          <w:i/>
        </w:rPr>
        <w:t>Projektligji për investimet</w:t>
      </w:r>
    </w:p>
    <w:p w14:paraId="6FE9A738" w14:textId="037F7FB1" w:rsidR="00D94F59" w:rsidRPr="00DC66CD" w:rsidRDefault="00D94F59" w:rsidP="00D94F59">
      <w:pPr>
        <w:pStyle w:val="TEKSTIIII"/>
      </w:pPr>
      <w:r w:rsidRPr="00DC66CD">
        <w:t xml:space="preserve">Projektligji </w:t>
      </w:r>
      <w:r w:rsidR="002A29AD" w:rsidRPr="00DC66CD">
        <w:t>“</w:t>
      </w:r>
      <w:r w:rsidRPr="00DC66CD">
        <w:t xml:space="preserve">Për </w:t>
      </w:r>
      <w:r w:rsidR="0088716F" w:rsidRPr="00DC66CD">
        <w:t>investimet</w:t>
      </w:r>
      <w:r w:rsidR="002A29AD" w:rsidRPr="00DC66CD">
        <w:t>”</w:t>
      </w:r>
      <w:r w:rsidRPr="00DC66CD">
        <w:t xml:space="preserve"> synon të azhurnojë legjislacionin ekzistues të investimeve me standardet më të mira ndërkombëtare; të krijojë një skemë të re ligjore, të unifikuar dhe konkurruese ligjore për të tërhequr investime të reja </w:t>
      </w:r>
      <w:r w:rsidR="00637183" w:rsidRPr="00DC66CD">
        <w:t>vendës</w:t>
      </w:r>
      <w:r w:rsidRPr="00DC66CD">
        <w:t xml:space="preserve">e dhe të huaja, si dhe për të garantuar respektimin e legjislacionit </w:t>
      </w:r>
      <w:r w:rsidR="00637183" w:rsidRPr="00DC66CD">
        <w:t>vendës</w:t>
      </w:r>
      <w:r w:rsidRPr="00DC66CD">
        <w:t xml:space="preserve"> dhe marrëveshjeve ndërkombëtare.</w:t>
      </w:r>
    </w:p>
    <w:p w14:paraId="71C10D85" w14:textId="28F9245F" w:rsidR="00D94F59" w:rsidRPr="00DC66CD" w:rsidRDefault="00D94F59" w:rsidP="00D94F59">
      <w:pPr>
        <w:pStyle w:val="TEKSTIIII"/>
      </w:pPr>
      <w:r w:rsidRPr="00DC66CD">
        <w:t xml:space="preserve">Miratimi i </w:t>
      </w:r>
      <w:r w:rsidR="0088716F" w:rsidRPr="00DC66CD">
        <w:t xml:space="preserve">projektligjit </w:t>
      </w:r>
      <w:r w:rsidR="002A29AD" w:rsidRPr="00DC66CD">
        <w:t>“</w:t>
      </w:r>
      <w:r w:rsidRPr="00DC66CD">
        <w:t xml:space="preserve">Për </w:t>
      </w:r>
      <w:r w:rsidR="0088716F" w:rsidRPr="00DC66CD">
        <w:t>investimet</w:t>
      </w:r>
      <w:r w:rsidR="002A29AD" w:rsidRPr="00DC66CD">
        <w:t>”</w:t>
      </w:r>
      <w:r w:rsidRPr="00DC66CD">
        <w:t xml:space="preserve"> lindi si një domosdoshmëri, pasi legjislacioni në fuqi në Republikën e Shqipërisë u dha mbrojtje shtesë investimeve të huaja, por jo të brendshme, ndërsa u krijua një organ i ri juridik për investime strategjike. Risia e projektligjit është miratimi i një mekanizmi të shpejtë brenda pushtetit ekzekutiv për zgjidhjen e mosmarrëveshjeve që rrjedhin nga një investitor me institucionet shtetërore, duke u përpjekur kështu të shmangni gjykatat shtesë ose kostot e tjera.</w:t>
      </w:r>
    </w:p>
    <w:p w14:paraId="62EAF2D2" w14:textId="77777777" w:rsidR="00D94F59" w:rsidRPr="00DC66CD" w:rsidRDefault="00D94F59" w:rsidP="00D94F59">
      <w:pPr>
        <w:pStyle w:val="TEKSTIIII"/>
        <w:rPr>
          <w:i/>
        </w:rPr>
      </w:pPr>
      <w:r w:rsidRPr="00DC66CD">
        <w:rPr>
          <w:i/>
        </w:rPr>
        <w:t>Projektligji për start-up inovative</w:t>
      </w:r>
    </w:p>
    <w:p w14:paraId="6A7253BA" w14:textId="0D48D8D5" w:rsidR="00D94F59" w:rsidRPr="00DC66CD" w:rsidRDefault="0088716F" w:rsidP="00D94F59">
      <w:pPr>
        <w:pStyle w:val="TEKSTIIII"/>
      </w:pPr>
      <w:r w:rsidRPr="00DC66CD">
        <w:t>Sipërmarrja</w:t>
      </w:r>
      <w:r w:rsidR="00D94F59" w:rsidRPr="00DC66CD">
        <w:t xml:space="preserve"> dhe politikat e fillimit mund të inkurajojnë shfaqjen dhe rritjen e ndërmarrjeve inovative fillestare duke siguruar një mjedis miqësor për ndërmarrësi (p.sh.</w:t>
      </w:r>
      <w:r w:rsidRPr="00DC66CD">
        <w:t>,</w:t>
      </w:r>
      <w:r w:rsidR="00D94F59" w:rsidRPr="00DC66CD">
        <w:t xml:space="preserve"> përmes lehtësimit të </w:t>
      </w:r>
      <w:r w:rsidR="00D94F59" w:rsidRPr="00BE7D85">
        <w:t>barr</w:t>
      </w:r>
      <w:r w:rsidR="00BE7D85" w:rsidRPr="00BE7D85">
        <w:t>ë</w:t>
      </w:r>
      <w:r w:rsidR="00D94F59" w:rsidRPr="00BE7D85">
        <w:t>ve</w:t>
      </w:r>
      <w:r w:rsidR="00D94F59" w:rsidRPr="00DC66CD">
        <w:t xml:space="preserve"> financiare për fillimin e ndërmarrjeve). Legjislacioni aktual shqiptar nuk ka ligj specifik për fillimin e ndërmarrjeve.</w:t>
      </w:r>
    </w:p>
    <w:p w14:paraId="3F0306EC" w14:textId="75865E34" w:rsidR="00D94F59" w:rsidRPr="00DC66CD" w:rsidRDefault="00D94F59" w:rsidP="00D94F59">
      <w:pPr>
        <w:pStyle w:val="TEKSTIIII"/>
      </w:pPr>
      <w:r w:rsidRPr="00DC66CD">
        <w:t xml:space="preserve">Sidoqoftë, </w:t>
      </w:r>
      <w:r w:rsidR="0088716F" w:rsidRPr="00DC66CD">
        <w:t xml:space="preserve">qeveria </w:t>
      </w:r>
      <w:r w:rsidRPr="00DC66CD">
        <w:t xml:space="preserve">e Shqipërisë (QSH), përkatësisht Ministria e Financave dhe Ekonomisë dhe </w:t>
      </w:r>
      <w:r w:rsidR="0088716F" w:rsidRPr="00DC66CD">
        <w:t xml:space="preserve">ministri </w:t>
      </w:r>
      <w:r w:rsidRPr="00DC66CD">
        <w:t xml:space="preserve">i Shtetit për Mbrojtjen e Sipërmarrjes, tregojnë angazhim të fortë për të krijuar një kornizë të favorshme legjislative për fillimin e ndërmarrjeve. Qëllimi i </w:t>
      </w:r>
      <w:r w:rsidR="0088716F" w:rsidRPr="00DC66CD">
        <w:t>“</w:t>
      </w:r>
      <w:r w:rsidRPr="00DC66CD">
        <w:t xml:space="preserve">BE për </w:t>
      </w:r>
      <w:r w:rsidR="0088716F" w:rsidRPr="00DC66CD">
        <w:t>inovacion</w:t>
      </w:r>
      <w:r w:rsidR="002A29AD" w:rsidRPr="00DC66CD">
        <w:t>”</w:t>
      </w:r>
      <w:r w:rsidRPr="00DC66CD">
        <w:t xml:space="preserve"> në këtë detyrë është të fitojë një kuptim tërësor të mjedisit legjislativ për fillimin e ndërmarrjeve në Shqipëri dhe të këshillojë </w:t>
      </w:r>
      <w:r w:rsidR="0088716F" w:rsidRPr="00DC66CD">
        <w:t xml:space="preserve">qeverinë </w:t>
      </w:r>
      <w:r w:rsidRPr="00DC66CD">
        <w:t>e Shqipërisë për mënyrat e mundshme për të krijuar një kornizë politike mbështetëse për fillimin e ndërmarrjeve.</w:t>
      </w:r>
    </w:p>
    <w:p w14:paraId="722D6B57" w14:textId="3ED8EE05" w:rsidR="00D94F59" w:rsidRPr="00DC66CD" w:rsidRDefault="00D94F59" w:rsidP="00D94F59">
      <w:pPr>
        <w:pStyle w:val="TEKSTIIII"/>
      </w:pPr>
      <w:r w:rsidRPr="00DC66CD">
        <w:t>Në fazën e parë të konsulencës, një ekip ekspertësh do të vlerësojë situatën ekzistuese legjislative dhe do të identifikojë mundësitë dhe nevojat për të përmirësuar kornizën legjislative që ndikon në fillimet në Shqipëri. Faza e dytë e konsulencës do të përfshijë hapa</w:t>
      </w:r>
      <w:r w:rsidR="0088716F" w:rsidRPr="00DC66CD">
        <w:t>,</w:t>
      </w:r>
      <w:r w:rsidRPr="00DC66CD">
        <w:t xml:space="preserve"> si këshillimi i ministrive partnere për përmbajtjen, fokusin dhe specifikimet e dispozitave ligjore të propozuara.</w:t>
      </w:r>
    </w:p>
    <w:p w14:paraId="228B0EF5" w14:textId="38E0AC8A" w:rsidR="00D94F59" w:rsidRPr="00DC66CD" w:rsidRDefault="00D94F59" w:rsidP="00D94F59">
      <w:pPr>
        <w:pStyle w:val="TEKSTIIII"/>
        <w:rPr>
          <w:b/>
          <w:i/>
        </w:rPr>
      </w:pPr>
      <w:r w:rsidRPr="00DC66CD">
        <w:rPr>
          <w:b/>
          <w:i/>
        </w:rPr>
        <w:t>5. Siguroni një liberalizim efektiv të tregut të energjisë, me një ndarje të plotë dhe një bursë të energjisë funksionuese. Përfundoni zbatimin e ligjit për burimet e rinovueshme të energjisë për të siguruar integrimin e tyre në treg. Miratimi i legjislacionit dytësor për ligjet mbi efikasitetin e energjisë dhe performancën e energjisë së ndërtesave, përfshirë krijimin e Fondit të Efi</w:t>
      </w:r>
      <w:r w:rsidR="0088716F" w:rsidRPr="00DC66CD">
        <w:rPr>
          <w:b/>
          <w:i/>
        </w:rPr>
        <w:t>ci</w:t>
      </w:r>
      <w:r w:rsidRPr="00DC66CD">
        <w:rPr>
          <w:b/>
          <w:i/>
        </w:rPr>
        <w:t>encës së Energjisë.</w:t>
      </w:r>
    </w:p>
    <w:p w14:paraId="0EF36219" w14:textId="0CD8F21F" w:rsidR="00D94F59" w:rsidRPr="00DC66CD" w:rsidRDefault="00D94F59" w:rsidP="00D94F59">
      <w:pPr>
        <w:pStyle w:val="TEKSTIIII"/>
      </w:pPr>
      <w:r w:rsidRPr="00DC66CD">
        <w:t>Shqipëria është shumë e angazhuar nga njëra anë për të rritur kapacitetin e prodhimit përmes diversifikimit të burimeve të energjisë dhe</w:t>
      </w:r>
      <w:r w:rsidR="00E805C2" w:rsidRPr="00DC66CD">
        <w:t>,</w:t>
      </w:r>
      <w:r w:rsidRPr="00DC66CD">
        <w:t xml:space="preserve"> nga ana tjetër, për të siguruar furnizimin e vazhdueshëm të energjisë në vend</w:t>
      </w:r>
      <w:r w:rsidR="00E805C2" w:rsidRPr="00DC66CD">
        <w:t>,</w:t>
      </w:r>
      <w:r w:rsidRPr="00DC66CD">
        <w:t xml:space="preserve"> për sa </w:t>
      </w:r>
      <w:r w:rsidR="00E805C2" w:rsidRPr="00DC66CD">
        <w:t>u</w:t>
      </w:r>
      <w:r w:rsidRPr="00DC66CD">
        <w:t xml:space="preserve"> përket sigurisë dhe cilësisë së furnizimit. Kuadri i ri ligjor dhe rregullator synon të adresojë një gamë të gjerë të çështjeve të sektorit të energjisë, përfshirë reformat institucionale, incentivat, rritjen e efi</w:t>
      </w:r>
      <w:r w:rsidR="007568B1" w:rsidRPr="00DC66CD">
        <w:t>ci</w:t>
      </w:r>
      <w:r w:rsidRPr="00DC66CD">
        <w:t xml:space="preserve">encës dhe </w:t>
      </w:r>
      <w:r w:rsidR="007568B1" w:rsidRPr="00DC66CD">
        <w:t xml:space="preserve">të </w:t>
      </w:r>
      <w:r w:rsidRPr="00DC66CD">
        <w:t>kapacitetit prodhues të energjisë nga burimet e rinovueshme në Shqipëri, krijimin e një sistemi të ri të tarifave, krijimin dhe zhvillimin e një tregu të organizuar të energjisë elektrike dhe integrimin e tregu</w:t>
      </w:r>
      <w:r w:rsidR="007568B1" w:rsidRPr="00DC66CD">
        <w:t>t</w:t>
      </w:r>
      <w:r w:rsidRPr="00DC66CD">
        <w:t xml:space="preserve"> shqiptar të energjisë elektrike me tregjet më të gjera rajonale të energjisë dhe më në fund tregun e brendshëm të energjisë në BE. </w:t>
      </w:r>
    </w:p>
    <w:p w14:paraId="2A0706DD" w14:textId="2ECDDDF7" w:rsidR="00D94F59" w:rsidRPr="00DC66CD" w:rsidRDefault="00D94F59" w:rsidP="00D94F59">
      <w:pPr>
        <w:pStyle w:val="TEKSTIIII"/>
      </w:pPr>
      <w:r w:rsidRPr="00DC66CD">
        <w:t>Qëllimi është krijimi i një tregu që gjeneron, transmeton dhe konsumon energji elektrike në mënyrë efikase, si dhe një treg që çon në fitimet më të larta, të organizuar sipas modelit të BE-së, i cili udhëhiqet nga parimet e të qenit transparent, jodiskriminues dhe i qëndrueshëm</w:t>
      </w:r>
      <w:r w:rsidR="0072211B" w:rsidRPr="00DC66CD">
        <w:t xml:space="preserve"> </w:t>
      </w:r>
      <w:r w:rsidRPr="00DC66CD">
        <w:t>n</w:t>
      </w:r>
      <w:r w:rsidR="007568B1" w:rsidRPr="00DC66CD">
        <w:t>ë</w:t>
      </w:r>
      <w:r w:rsidRPr="00DC66CD">
        <w:t xml:space="preserve"> terma afatgjatë, bazuar në çmime konkurruese. Në përputhje me dispozitat e ndryshimeve të bëra në ligjin për sektorin e energjisë, miratimi i VKM</w:t>
      </w:r>
      <w:r w:rsidR="007568B1" w:rsidRPr="00DC66CD">
        <w:t>-së</w:t>
      </w:r>
      <w:r w:rsidR="00E33D88" w:rsidRPr="00DC66CD">
        <w:t xml:space="preserve"> nr. </w:t>
      </w:r>
      <w:r w:rsidRPr="00DC66CD">
        <w:t>322, datë 15.5.2019</w:t>
      </w:r>
      <w:r w:rsidR="007568B1" w:rsidRPr="00DC66CD">
        <w:t>,</w:t>
      </w:r>
      <w:r w:rsidRPr="00DC66CD">
        <w:t xml:space="preserve"> </w:t>
      </w:r>
      <w:r w:rsidR="002A29AD" w:rsidRPr="00DC66CD">
        <w:t>“</w:t>
      </w:r>
      <w:r w:rsidRPr="00DC66CD">
        <w:t xml:space="preserve">Për krijimin dhe përcaktimin e formës ligjore dhe të strukturës së pronësisë së kapitalit të </w:t>
      </w:r>
      <w:r w:rsidR="007568B1" w:rsidRPr="00DC66CD">
        <w:t>operatorit të tregut</w:t>
      </w:r>
      <w:r w:rsidR="002A29AD" w:rsidRPr="00DC66CD">
        <w:t>”</w:t>
      </w:r>
      <w:r w:rsidRPr="00DC66CD">
        <w:t xml:space="preserve"> dhe VKM</w:t>
      </w:r>
      <w:r w:rsidR="007568B1" w:rsidRPr="00DC66CD">
        <w:t>-së</w:t>
      </w:r>
      <w:r w:rsidR="00E33D88" w:rsidRPr="00DC66CD">
        <w:t xml:space="preserve"> nr. </w:t>
      </w:r>
      <w:r w:rsidRPr="00DC66CD">
        <w:t>609, datë 11.9.2019</w:t>
      </w:r>
      <w:r w:rsidR="007568B1" w:rsidRPr="00DC66CD">
        <w:t>,</w:t>
      </w:r>
      <w:r w:rsidRPr="00DC66CD">
        <w:t xml:space="preserve"> </w:t>
      </w:r>
      <w:r w:rsidR="002A29AD" w:rsidRPr="00DC66CD">
        <w:t>“</w:t>
      </w:r>
      <w:r w:rsidRPr="00DC66CD">
        <w:t>Për përcaktimin e kritereve dhe procedurave të përzgjedhjes së pjesëmarrësve në kapitalin e operatorit të tregut</w:t>
      </w:r>
      <w:r w:rsidR="002A29AD" w:rsidRPr="00DC66CD">
        <w:t>”</w:t>
      </w:r>
      <w:r w:rsidRPr="00DC66CD">
        <w:t xml:space="preserve">, ka përmbyllur kuadrin e nevojshëm ligjor për krijimin e </w:t>
      </w:r>
      <w:r w:rsidR="007568B1" w:rsidRPr="00DC66CD">
        <w:t xml:space="preserve">operatorit të tregut </w:t>
      </w:r>
      <w:r w:rsidRPr="00DC66CD">
        <w:t xml:space="preserve">në Shqipëri. Gjithashtu, duke filluar nga 1 janari 2020, për klientët e lidhur në rrjetin 35 kV, OSHEE </w:t>
      </w:r>
      <w:r w:rsidR="007568B1" w:rsidRPr="00DC66CD">
        <w:t>sh.a.</w:t>
      </w:r>
      <w:r w:rsidRPr="00DC66CD">
        <w:t xml:space="preserve"> nuk do t</w:t>
      </w:r>
      <w:r w:rsidR="002C582E" w:rsidRPr="00DC66CD">
        <w:t>’</w:t>
      </w:r>
      <w:r w:rsidRPr="00DC66CD">
        <w:t>u sigurojë energji elektrike si Furnizues i Mundësisë së Fundit, sikurse</w:t>
      </w:r>
      <w:r w:rsidR="0072211B" w:rsidRPr="00DC66CD">
        <w:t xml:space="preserve"> </w:t>
      </w:r>
      <w:r w:rsidRPr="00DC66CD">
        <w:t>ndarja efektive e OSHEE</w:t>
      </w:r>
      <w:r w:rsidR="007568B1" w:rsidRPr="00DC66CD">
        <w:t>-së</w:t>
      </w:r>
      <w:r w:rsidRPr="00DC66CD">
        <w:t xml:space="preserve"> do të ndodhë sipas këtij afati, duke treguar angazhimin tonë në kuadër të liberalizimit të tregut të energjisë në Shqipëri, me gjithë problemet dhe vështirësitë e këtij sektori.</w:t>
      </w:r>
    </w:p>
    <w:p w14:paraId="6A9F2573" w14:textId="24ED90F7" w:rsidR="00D94F59" w:rsidRPr="00DC66CD" w:rsidRDefault="00D94F59" w:rsidP="00D94F59">
      <w:pPr>
        <w:pStyle w:val="TEKSTIIII"/>
      </w:pPr>
      <w:r w:rsidRPr="00DC66CD">
        <w:t>MIE po punon për krijimin e një kornize të plotë ligjore dhe institucionale për të përfunduar zbatimin e ligjit për burimet e rinovueshme të energjisë për të siguruar integrimin e tyre në treg. Rregullorja sa m</w:t>
      </w:r>
      <w:r w:rsidR="00D17AC1" w:rsidRPr="00DC66CD">
        <w:t>ë</w:t>
      </w:r>
      <w:r w:rsidRPr="00DC66CD">
        <w:t xml:space="preserve"> poshtë është n</w:t>
      </w:r>
      <w:r w:rsidR="00D17AC1" w:rsidRPr="00DC66CD">
        <w:t>ë</w:t>
      </w:r>
      <w:r w:rsidRPr="00DC66CD">
        <w:t xml:space="preserve"> proces përgatitje</w:t>
      </w:r>
      <w:r w:rsidR="00D17AC1" w:rsidRPr="00DC66CD">
        <w:t>je</w:t>
      </w:r>
      <w:r w:rsidR="00B32C18" w:rsidRPr="00DC66CD">
        <w:t>.</w:t>
      </w:r>
    </w:p>
    <w:p w14:paraId="766C8C75" w14:textId="0CAD0D63" w:rsidR="00D94F59" w:rsidRPr="00DC66CD" w:rsidRDefault="002A29AD" w:rsidP="00D94F59">
      <w:pPr>
        <w:pStyle w:val="TEKSTIIII"/>
      </w:pPr>
      <w:r w:rsidRPr="00DC66CD">
        <w:t>“</w:t>
      </w:r>
      <w:r w:rsidR="00D94F59" w:rsidRPr="00DC66CD">
        <w:t xml:space="preserve">Metodologjia për llogaritjen e çmimit </w:t>
      </w:r>
      <w:r w:rsidR="00B32C18" w:rsidRPr="00DC66CD">
        <w:t>të energjisë elektrike për vetë</w:t>
      </w:r>
      <w:r w:rsidR="00D94F59" w:rsidRPr="00DC66CD">
        <w:t xml:space="preserve">prodhuesit që përfitojnë nga </w:t>
      </w:r>
      <w:r w:rsidR="00B32C18" w:rsidRPr="00DC66CD">
        <w:t>skema e matjes neto</w:t>
      </w:r>
      <w:r w:rsidRPr="00DC66CD">
        <w:t>”</w:t>
      </w:r>
      <w:r w:rsidR="00D94F59" w:rsidRPr="00DC66CD">
        <w:t xml:space="preserve">, bazuar në urdhrin e </w:t>
      </w:r>
      <w:r w:rsidR="00B32C18" w:rsidRPr="00DC66CD">
        <w:t xml:space="preserve">ministrit </w:t>
      </w:r>
      <w:r w:rsidR="00D94F59" w:rsidRPr="00DC66CD">
        <w:t>të Infrastrukturës dhe Energjisë</w:t>
      </w:r>
      <w:r w:rsidR="00E33D88" w:rsidRPr="00DC66CD">
        <w:t xml:space="preserve"> nr. </w:t>
      </w:r>
      <w:r w:rsidR="00B32C18" w:rsidRPr="00DC66CD">
        <w:t>3, datë 20.</w:t>
      </w:r>
      <w:r w:rsidR="00D94F59" w:rsidRPr="00DC66CD">
        <w:t>6.2019</w:t>
      </w:r>
      <w:r w:rsidR="00B32C18" w:rsidRPr="00DC66CD">
        <w:t>,</w:t>
      </w:r>
      <w:r w:rsidR="00D94F59" w:rsidRPr="00DC66CD">
        <w:t xml:space="preserve"> </w:t>
      </w:r>
      <w:r w:rsidRPr="00DC66CD">
        <w:t>“</w:t>
      </w:r>
      <w:r w:rsidR="00D94F59" w:rsidRPr="00DC66CD">
        <w:t>Për miratimin e procedurës së autorizimit lidhja me rrjetin shpërndarës të vetëprodhuesve të rinovueshëm nga dielli</w:t>
      </w:r>
      <w:r w:rsidR="00B32C18" w:rsidRPr="00DC66CD">
        <w:t>”</w:t>
      </w:r>
      <w:r w:rsidR="00D94F59" w:rsidRPr="00DC66CD">
        <w:t>, është në përgatitje e sipër (parashikohet të miratohet brenda vitit 2020).</w:t>
      </w:r>
    </w:p>
    <w:p w14:paraId="3D5562FC" w14:textId="7CAFF278" w:rsidR="00D94F59" w:rsidRPr="00DC66CD" w:rsidRDefault="00D94F59" w:rsidP="00D94F59">
      <w:pPr>
        <w:pStyle w:val="TEKSTIIII"/>
      </w:pPr>
      <w:r w:rsidRPr="00DC66CD">
        <w:t>MIE</w:t>
      </w:r>
      <w:r w:rsidR="00B32C18" w:rsidRPr="00DC66CD">
        <w:t>,</w:t>
      </w:r>
      <w:r w:rsidRPr="00DC66CD">
        <w:t xml:space="preserve"> me ndihmën e Bankës Evropiane për Rindërtim dhe Zhvillim (BERZH) po rishikon </w:t>
      </w:r>
      <w:r w:rsidR="00B32C18" w:rsidRPr="00DC66CD">
        <w:t xml:space="preserve">ligjin </w:t>
      </w:r>
      <w:r w:rsidRPr="00DC66CD">
        <w:t>ekzistues</w:t>
      </w:r>
      <w:r w:rsidR="00B32C18" w:rsidRPr="00DC66CD">
        <w:t>,</w:t>
      </w:r>
      <w:r w:rsidRPr="00DC66CD">
        <w:t xml:space="preserve"> duke synuar përafrimin e tij të plotë me dispozitat e </w:t>
      </w:r>
      <w:r w:rsidR="00B32C18" w:rsidRPr="00DC66CD">
        <w:t xml:space="preserve">direktivës </w:t>
      </w:r>
      <w:r w:rsidRPr="00DC66CD">
        <w:t>2012/27</w:t>
      </w:r>
      <w:r w:rsidR="00B32C18" w:rsidRPr="00DC66CD">
        <w:t>/</w:t>
      </w:r>
      <w:r w:rsidRPr="00DC66CD">
        <w:t xml:space="preserve">BE. Ndryshimet do të përfshijnë përfshirjen e elementeve që aktualisht mungojnë nga </w:t>
      </w:r>
      <w:r w:rsidR="00B32C18" w:rsidRPr="00DC66CD">
        <w:t xml:space="preserve">ligji </w:t>
      </w:r>
      <w:r w:rsidRPr="00DC66CD">
        <w:t>124/2015</w:t>
      </w:r>
      <w:r w:rsidR="00B32C18" w:rsidRPr="00DC66CD">
        <w:t>,</w:t>
      </w:r>
      <w:r w:rsidRPr="00DC66CD">
        <w:t xml:space="preserve"> </w:t>
      </w:r>
      <w:r w:rsidR="006251BF" w:rsidRPr="00DC66CD">
        <w:t xml:space="preserve">datë </w:t>
      </w:r>
      <w:r w:rsidRPr="00DC66CD">
        <w:t>12.11.2015, por është duke u diskutuar për të përjashtuar nenet në lidhje me Fondin e Efi</w:t>
      </w:r>
      <w:r w:rsidR="00B32C18" w:rsidRPr="00DC66CD">
        <w:t>c</w:t>
      </w:r>
      <w:r w:rsidRPr="00DC66CD">
        <w:t xml:space="preserve">iencës së Energjisë. Ligji i rishikuar për </w:t>
      </w:r>
      <w:r w:rsidR="00B32C18" w:rsidRPr="00DC66CD">
        <w:t xml:space="preserve">eficiencën e energjisë pritet </w:t>
      </w:r>
      <w:r w:rsidRPr="00DC66CD">
        <w:t xml:space="preserve">të miratohet në tremujorin e dytë të vitit 2020. Ndryshimet do të përfshijnë përfshirjen e elementeve që aktualisht mungojnë nga </w:t>
      </w:r>
      <w:r w:rsidR="00B32C18" w:rsidRPr="00DC66CD">
        <w:t>ligji</w:t>
      </w:r>
      <w:r w:rsidR="00E33D88" w:rsidRPr="00DC66CD">
        <w:t xml:space="preserve"> nr. </w:t>
      </w:r>
      <w:r w:rsidRPr="00DC66CD">
        <w:t>124/2015</w:t>
      </w:r>
      <w:r w:rsidR="00B32C18" w:rsidRPr="00DC66CD">
        <w:t>,</w:t>
      </w:r>
      <w:r w:rsidRPr="00DC66CD">
        <w:t xml:space="preserve"> </w:t>
      </w:r>
      <w:r w:rsidR="00B32C18" w:rsidRPr="00DC66CD">
        <w:t xml:space="preserve">datë </w:t>
      </w:r>
      <w:r w:rsidRPr="00DC66CD">
        <w:t>12.11.2015, përfshirë nenin 4</w:t>
      </w:r>
      <w:r w:rsidR="00215151" w:rsidRPr="00DC66CD">
        <w:t>,</w:t>
      </w:r>
      <w:r w:rsidRPr="00DC66CD">
        <w:t xml:space="preserve"> </w:t>
      </w:r>
      <w:r w:rsidR="002A29AD" w:rsidRPr="00DC66CD">
        <w:t>“</w:t>
      </w:r>
      <w:r w:rsidRPr="00DC66CD">
        <w:t xml:space="preserve">Rinovimi i </w:t>
      </w:r>
      <w:r w:rsidR="00215151" w:rsidRPr="00DC66CD">
        <w:t>ndërtesës</w:t>
      </w:r>
      <w:r w:rsidR="002A29AD" w:rsidRPr="00DC66CD">
        <w:t>”</w:t>
      </w:r>
      <w:r w:rsidRPr="00DC66CD">
        <w:t>, neni</w:t>
      </w:r>
      <w:r w:rsidR="00215151" w:rsidRPr="00DC66CD">
        <w:t>n</w:t>
      </w:r>
      <w:r w:rsidRPr="00DC66CD">
        <w:t xml:space="preserve"> 7</w:t>
      </w:r>
      <w:r w:rsidR="00215151" w:rsidRPr="00DC66CD">
        <w:t>,</w:t>
      </w:r>
      <w:r w:rsidRPr="00DC66CD">
        <w:t xml:space="preserve"> </w:t>
      </w:r>
      <w:r w:rsidR="002A29AD" w:rsidRPr="00DC66CD">
        <w:t>“</w:t>
      </w:r>
      <w:r w:rsidRPr="00DC66CD">
        <w:t>Skemat e detyrimit të efikasitetit të energjisë</w:t>
      </w:r>
      <w:r w:rsidR="002A29AD" w:rsidRPr="00DC66CD">
        <w:t>”</w:t>
      </w:r>
      <w:r w:rsidRPr="00DC66CD">
        <w:t>, neni</w:t>
      </w:r>
      <w:r w:rsidR="00215151" w:rsidRPr="00DC66CD">
        <w:t>n</w:t>
      </w:r>
      <w:r w:rsidRPr="00DC66CD">
        <w:t xml:space="preserve"> 14</w:t>
      </w:r>
      <w:r w:rsidR="00215151" w:rsidRPr="00DC66CD">
        <w:t>,</w:t>
      </w:r>
      <w:r w:rsidRPr="00DC66CD">
        <w:t xml:space="preserve"> </w:t>
      </w:r>
      <w:r w:rsidR="002A29AD" w:rsidRPr="00DC66CD">
        <w:t>“</w:t>
      </w:r>
      <w:r w:rsidRPr="00DC66CD">
        <w:t>Promovimi i efikasitetit në ngrohje dhe ftohje</w:t>
      </w:r>
      <w:r w:rsidR="002A29AD" w:rsidRPr="00DC66CD">
        <w:t>”</w:t>
      </w:r>
      <w:r w:rsidRPr="00DC66CD">
        <w:t>, neni</w:t>
      </w:r>
      <w:r w:rsidR="00215151" w:rsidRPr="00DC66CD">
        <w:t>n</w:t>
      </w:r>
      <w:r w:rsidRPr="00DC66CD">
        <w:t xml:space="preserve"> 15</w:t>
      </w:r>
      <w:r w:rsidR="00215151" w:rsidRPr="00DC66CD">
        <w:t>,</w:t>
      </w:r>
      <w:r w:rsidRPr="00DC66CD">
        <w:t xml:space="preserve"> </w:t>
      </w:r>
      <w:r w:rsidR="002A29AD" w:rsidRPr="00DC66CD">
        <w:t>“</w:t>
      </w:r>
      <w:r w:rsidRPr="00DC66CD">
        <w:t>Transformimi i energjisë, transmetimi dhe shpërndarja</w:t>
      </w:r>
      <w:r w:rsidR="002A29AD" w:rsidRPr="00DC66CD">
        <w:t>”</w:t>
      </w:r>
      <w:r w:rsidRPr="00DC66CD">
        <w:t xml:space="preserve"> dhe neni</w:t>
      </w:r>
      <w:r w:rsidR="00215151" w:rsidRPr="00DC66CD">
        <w:t>n</w:t>
      </w:r>
      <w:r w:rsidRPr="00DC66CD">
        <w:t xml:space="preserve"> 24</w:t>
      </w:r>
      <w:r w:rsidR="00215151" w:rsidRPr="00DC66CD">
        <w:t>,</w:t>
      </w:r>
      <w:r w:rsidRPr="00DC66CD">
        <w:t xml:space="preserve"> </w:t>
      </w:r>
      <w:r w:rsidR="002A29AD" w:rsidRPr="00DC66CD">
        <w:t>“</w:t>
      </w:r>
      <w:r w:rsidRPr="00DC66CD">
        <w:t>Rishikimi dhe monitorimi i zbatimit</w:t>
      </w:r>
      <w:r w:rsidR="002A29AD" w:rsidRPr="00DC66CD">
        <w:t>”</w:t>
      </w:r>
      <w:r w:rsidRPr="00DC66CD">
        <w:t xml:space="preserve">. Në përputhje me </w:t>
      </w:r>
      <w:r w:rsidR="00215151" w:rsidRPr="00DC66CD">
        <w:t>ligjin</w:t>
      </w:r>
      <w:r w:rsidR="00E33D88" w:rsidRPr="00DC66CD">
        <w:t xml:space="preserve"> nr. </w:t>
      </w:r>
      <w:r w:rsidRPr="00DC66CD">
        <w:t>124/2015</w:t>
      </w:r>
      <w:r w:rsidR="00215151" w:rsidRPr="00DC66CD">
        <w:t>,</w:t>
      </w:r>
      <w:r w:rsidRPr="00DC66CD">
        <w:t xml:space="preserve"> </w:t>
      </w:r>
      <w:r w:rsidR="002A29AD" w:rsidRPr="00DC66CD">
        <w:t>“</w:t>
      </w:r>
      <w:r w:rsidRPr="00DC66CD">
        <w:t xml:space="preserve">Për </w:t>
      </w:r>
      <w:r w:rsidR="00215151" w:rsidRPr="00DC66CD">
        <w:t>eficiencën e energjisë” dhe ligjin</w:t>
      </w:r>
      <w:r w:rsidR="00E33D88" w:rsidRPr="00DC66CD">
        <w:t xml:space="preserve"> nr. </w:t>
      </w:r>
      <w:r w:rsidRPr="00DC66CD">
        <w:t>116/2016</w:t>
      </w:r>
      <w:r w:rsidR="00215151" w:rsidRPr="00DC66CD">
        <w:t>,</w:t>
      </w:r>
      <w:r w:rsidRPr="00DC66CD">
        <w:t xml:space="preserve"> </w:t>
      </w:r>
      <w:r w:rsidR="00215151" w:rsidRPr="00DC66CD">
        <w:t>“Për performancën e energjisë së ndërtesave</w:t>
      </w:r>
      <w:r w:rsidR="002A29AD" w:rsidRPr="00DC66CD">
        <w:t>”</w:t>
      </w:r>
      <w:r w:rsidRPr="00DC66CD">
        <w:t xml:space="preserve">, ekzistojnë rregullore që përcaktojnë procedurën, kategoritë, kushtet dhe kërkesat e kualifikimit dhe </w:t>
      </w:r>
      <w:r w:rsidR="00215151" w:rsidRPr="00DC66CD">
        <w:t>të përvojës profesionale</w:t>
      </w:r>
      <w:r w:rsidRPr="00DC66CD">
        <w:t xml:space="preserve"> të auditimeve të energjisë dhe </w:t>
      </w:r>
      <w:r w:rsidR="00215151" w:rsidRPr="00DC66CD">
        <w:t xml:space="preserve">të </w:t>
      </w:r>
      <w:r w:rsidRPr="00DC66CD">
        <w:t>menaxherëve të energjisë, në mënyrë që të krijojnë kushte të favorshme (ekonomike, teknike dhe ligjore) për zbatimin e proceseve që do të kontribuojnë në uljen e konsumit të energjisë në vend.</w:t>
      </w:r>
    </w:p>
    <w:p w14:paraId="0FC32867" w14:textId="66361D6B" w:rsidR="00D94F59" w:rsidRPr="00DC66CD" w:rsidRDefault="00D94F59" w:rsidP="00D94F59">
      <w:pPr>
        <w:pStyle w:val="TEKSTIIII"/>
      </w:pPr>
      <w:r w:rsidRPr="00DC66CD">
        <w:t>Ministria e Infrastrukturës dhe Energjisë</w:t>
      </w:r>
      <w:r w:rsidR="00215151" w:rsidRPr="00DC66CD">
        <w:t>,</w:t>
      </w:r>
      <w:r w:rsidRPr="00DC66CD">
        <w:t xml:space="preserve"> me ndihmën e Bankës Evropiane për Rindërtim dhe Zhvillim (BERZH)</w:t>
      </w:r>
      <w:r w:rsidR="00215151" w:rsidRPr="00DC66CD">
        <w:t>,</w:t>
      </w:r>
      <w:r w:rsidRPr="00DC66CD">
        <w:t xml:space="preserve"> është në proces të rishikimit të </w:t>
      </w:r>
      <w:r w:rsidR="00215151" w:rsidRPr="00DC66CD">
        <w:t xml:space="preserve">ligjit </w:t>
      </w:r>
      <w:r w:rsidRPr="00DC66CD">
        <w:t>ekzistues</w:t>
      </w:r>
      <w:r w:rsidR="00E33D88" w:rsidRPr="00DC66CD">
        <w:t xml:space="preserve"> nr. </w:t>
      </w:r>
      <w:r w:rsidRPr="00DC66CD">
        <w:t>124 të 12.11.2015</w:t>
      </w:r>
      <w:r w:rsidR="00215151" w:rsidRPr="00DC66CD">
        <w:t>,</w:t>
      </w:r>
      <w:r w:rsidRPr="00DC66CD">
        <w:t xml:space="preserve"> </w:t>
      </w:r>
      <w:r w:rsidR="002A29AD" w:rsidRPr="00DC66CD">
        <w:t>“</w:t>
      </w:r>
      <w:r w:rsidRPr="00DC66CD">
        <w:t xml:space="preserve">Për </w:t>
      </w:r>
      <w:r w:rsidR="00215151" w:rsidRPr="00DC66CD">
        <w:t>Eficiencën</w:t>
      </w:r>
      <w:r w:rsidRPr="00DC66CD">
        <w:t xml:space="preserve"> e Energjisë</w:t>
      </w:r>
      <w:r w:rsidR="002A29AD" w:rsidRPr="00DC66CD">
        <w:t>”</w:t>
      </w:r>
      <w:r w:rsidRPr="00DC66CD">
        <w:t xml:space="preserve">, duke synuar të transpozojë plotësisht dispozitat të </w:t>
      </w:r>
      <w:r w:rsidR="00215151" w:rsidRPr="00DC66CD">
        <w:t xml:space="preserve">direktivës </w:t>
      </w:r>
      <w:r w:rsidRPr="00DC66CD">
        <w:t xml:space="preserve">2012/27/BE. Draftdokumentet për Fondin e </w:t>
      </w:r>
      <w:r w:rsidR="00215151" w:rsidRPr="00DC66CD">
        <w:t>Eficiencës</w:t>
      </w:r>
      <w:r w:rsidRPr="00DC66CD">
        <w:t xml:space="preserve"> së Energjisë janë zhvilluar</w:t>
      </w:r>
      <w:r w:rsidR="00215151" w:rsidRPr="00DC66CD">
        <w:t>,</w:t>
      </w:r>
      <w:r w:rsidRPr="00DC66CD">
        <w:t xml:space="preserve"> por kohët e fundit ky proces është në konsultim dhe do të vendoset nëse do të themelohet Fondi i Efikasitetit të Energjisë ose është e nevojshme të krijohen mekanizma të tjerë financiarë për investime në fushën e efikasitetit të energjisë. Aktualisht është vlerësuar paraprakisht se nuk ka kushte të favorshme për të krijuar Fondin e </w:t>
      </w:r>
      <w:r w:rsidR="00215151" w:rsidRPr="00DC66CD">
        <w:t>Eficiencës</w:t>
      </w:r>
      <w:r w:rsidRPr="00DC66CD">
        <w:t xml:space="preserve"> së Energjisë për Shqipërinë</w:t>
      </w:r>
      <w:r w:rsidR="00215151" w:rsidRPr="00DC66CD">
        <w:t>,</w:t>
      </w:r>
      <w:r w:rsidRPr="00DC66CD">
        <w:t xml:space="preserve"> për shkak të telasheve me të cilat u përballën që nga fillimi i këtij procesi (2017), për disa arsye themelore</w:t>
      </w:r>
      <w:r w:rsidR="00215151" w:rsidRPr="00DC66CD">
        <w:t>,</w:t>
      </w:r>
      <w:r w:rsidRPr="00DC66CD">
        <w:t xml:space="preserve"> të tilla si: </w:t>
      </w:r>
      <w:r w:rsidR="00215151" w:rsidRPr="00DC66CD">
        <w:t xml:space="preserve">mungesa </w:t>
      </w:r>
      <w:r w:rsidRPr="00DC66CD">
        <w:t xml:space="preserve">e potencialit financiar; </w:t>
      </w:r>
      <w:r w:rsidR="00215151" w:rsidRPr="00DC66CD">
        <w:t xml:space="preserve">përvoja </w:t>
      </w:r>
      <w:r w:rsidRPr="00DC66CD">
        <w:t>e pasuksesshme e vendeve të rajonit</w:t>
      </w:r>
      <w:r w:rsidR="00215151" w:rsidRPr="00DC66CD">
        <w:t>,</w:t>
      </w:r>
      <w:r w:rsidRPr="00DC66CD">
        <w:t xml:space="preserve"> në lidhje me funksionimin e saj; </w:t>
      </w:r>
      <w:r w:rsidR="00215151" w:rsidRPr="00DC66CD">
        <w:t xml:space="preserve">mungesa </w:t>
      </w:r>
      <w:r w:rsidRPr="00DC66CD">
        <w:t xml:space="preserve">e mekanizmave të kapaciteteve si rezultat i hendekut në legjislacion dhe </w:t>
      </w:r>
      <w:r w:rsidR="00215151" w:rsidRPr="00DC66CD">
        <w:t xml:space="preserve">në </w:t>
      </w:r>
      <w:r w:rsidR="00FB6A1E" w:rsidRPr="00DC66CD">
        <w:t xml:space="preserve">strukturë </w:t>
      </w:r>
      <w:r w:rsidRPr="00DC66CD">
        <w:t xml:space="preserve">zbatuese; </w:t>
      </w:r>
      <w:r w:rsidR="00FB6A1E" w:rsidRPr="00DC66CD">
        <w:t xml:space="preserve">ekzistojnë </w:t>
      </w:r>
      <w:r w:rsidRPr="00DC66CD">
        <w:t>mekanizma të tjerë</w:t>
      </w:r>
      <w:r w:rsidR="00FB6A1E" w:rsidRPr="00DC66CD">
        <w:t>,</w:t>
      </w:r>
      <w:r w:rsidRPr="00DC66CD">
        <w:t xml:space="preserve"> siç janë donatorët, të cilët vlerësohen sa më shumë të jetë e mundur. Kjo çështje është në </w:t>
      </w:r>
      <w:r w:rsidR="00FB6A1E" w:rsidRPr="00DC66CD">
        <w:t>proces</w:t>
      </w:r>
      <w:r w:rsidR="0072211B" w:rsidRPr="00DC66CD">
        <w:t xml:space="preserve"> </w:t>
      </w:r>
      <w:r w:rsidRPr="00DC66CD">
        <w:t>konsultimi, ende nuk ka një vendim në fuqi.</w:t>
      </w:r>
    </w:p>
    <w:p w14:paraId="70D96678" w14:textId="15F5FBB5" w:rsidR="00D94F59" w:rsidRPr="00DC66CD" w:rsidRDefault="00D94F59" w:rsidP="00D94F59">
      <w:pPr>
        <w:pStyle w:val="TEKSTIIII"/>
      </w:pPr>
      <w:r w:rsidRPr="00DC66CD">
        <w:t xml:space="preserve">Bazuar në </w:t>
      </w:r>
      <w:r w:rsidR="00FB6A1E" w:rsidRPr="00DC66CD">
        <w:t>ligjin</w:t>
      </w:r>
      <w:r w:rsidR="00E33D88" w:rsidRPr="00DC66CD">
        <w:t xml:space="preserve"> nr. </w:t>
      </w:r>
      <w:r w:rsidRPr="00DC66CD">
        <w:t>116/2016, datë 10.11.2016</w:t>
      </w:r>
      <w:r w:rsidR="00FB6A1E" w:rsidRPr="00DC66CD">
        <w:t>,</w:t>
      </w:r>
      <w:r w:rsidRPr="00DC66CD">
        <w:t xml:space="preserve"> </w:t>
      </w:r>
      <w:r w:rsidR="002A29AD" w:rsidRPr="00DC66CD">
        <w:t>“</w:t>
      </w:r>
      <w:r w:rsidRPr="00DC66CD">
        <w:t xml:space="preserve">Për </w:t>
      </w:r>
      <w:r w:rsidR="00FB6A1E" w:rsidRPr="00DC66CD">
        <w:t>performancën e energjisë në ndërtes</w:t>
      </w:r>
      <w:r w:rsidRPr="00DC66CD">
        <w:t>a</w:t>
      </w:r>
      <w:r w:rsidR="002A29AD" w:rsidRPr="00DC66CD">
        <w:t>”</w:t>
      </w:r>
      <w:r w:rsidRPr="00DC66CD">
        <w:t xml:space="preserve">, </w:t>
      </w:r>
      <w:r w:rsidR="00FB6A1E" w:rsidRPr="00DC66CD">
        <w:t>me urdhrin e ministrit</w:t>
      </w:r>
      <w:r w:rsidRPr="00DC66CD">
        <w:t xml:space="preserve"> të Infrastrukturës dhe Energjisë</w:t>
      </w:r>
      <w:r w:rsidR="00E33D88" w:rsidRPr="00DC66CD">
        <w:t xml:space="preserve"> nr. </w:t>
      </w:r>
      <w:r w:rsidRPr="00DC66CD">
        <w:t>92</w:t>
      </w:r>
      <w:r w:rsidR="00FB6A1E" w:rsidRPr="00DC66CD">
        <w:t>,</w:t>
      </w:r>
      <w:r w:rsidRPr="00DC66CD">
        <w:t xml:space="preserve"> të datës 13.10.2017, u krijua një grup teknik pune për të përgatitur legjislacionin zbatues për performancën e energjisë në ndërtesa. Grupi i punës, i ndihmuar nga BERZH</w:t>
      </w:r>
      <w:r w:rsidR="00783BE1" w:rsidRPr="00DC66CD">
        <w:t>-i</w:t>
      </w:r>
      <w:r w:rsidRPr="00DC66CD">
        <w:t xml:space="preserve"> është duke përgatitur aktet zbatuese:</w:t>
      </w:r>
    </w:p>
    <w:p w14:paraId="5F3CFFFB" w14:textId="098B4470" w:rsidR="00D94F59" w:rsidRPr="00DC66CD" w:rsidRDefault="00783BE1" w:rsidP="00D94F59">
      <w:pPr>
        <w:pStyle w:val="TEKSTIIII"/>
      </w:pPr>
      <w:r w:rsidRPr="00DC66CD">
        <w:t xml:space="preserve">- </w:t>
      </w:r>
      <w:r w:rsidR="00D94F59" w:rsidRPr="00DC66CD">
        <w:t xml:space="preserve">Drafti i VKM-së </w:t>
      </w:r>
      <w:r w:rsidR="002A29AD" w:rsidRPr="00DC66CD">
        <w:t>“</w:t>
      </w:r>
      <w:r w:rsidR="00D94F59" w:rsidRPr="00DC66CD">
        <w:t>Për metodologjinë e llogaritjes për performancën e energjisë në ndërtesë</w:t>
      </w:r>
      <w:r w:rsidR="002A29AD" w:rsidRPr="00DC66CD">
        <w:t>”</w:t>
      </w:r>
      <w:r w:rsidR="00D94F59" w:rsidRPr="00DC66CD">
        <w:t xml:space="preserve"> po përgatitet dhe parashikohet të miratohet brenda vitit 2020.</w:t>
      </w:r>
    </w:p>
    <w:p w14:paraId="423519B9" w14:textId="061BE357" w:rsidR="00D94F59" w:rsidRPr="00DC66CD" w:rsidRDefault="00783BE1" w:rsidP="00D94F59">
      <w:pPr>
        <w:pStyle w:val="TEKSTIIII"/>
      </w:pPr>
      <w:r w:rsidRPr="00DC66CD">
        <w:t>- p</w:t>
      </w:r>
      <w:r w:rsidR="00D94F59" w:rsidRPr="00DC66CD">
        <w:t>rojekt</w:t>
      </w:r>
      <w:r w:rsidR="00D504B4" w:rsidRPr="00DC66CD">
        <w:t xml:space="preserve">vendimi i </w:t>
      </w:r>
      <w:r w:rsidR="00D94F59" w:rsidRPr="00DC66CD">
        <w:t>KM</w:t>
      </w:r>
      <w:r w:rsidR="00D504B4" w:rsidRPr="00DC66CD">
        <w:t>-së</w:t>
      </w:r>
      <w:r w:rsidR="00D94F59" w:rsidRPr="00DC66CD">
        <w:t xml:space="preserve"> </w:t>
      </w:r>
      <w:r w:rsidR="002A29AD" w:rsidRPr="00DC66CD">
        <w:t>“</w:t>
      </w:r>
      <w:r w:rsidR="00D94F59" w:rsidRPr="00DC66CD">
        <w:t>Për kërkesat minimale të performancës së energjisë në ndërtesa dhe element</w:t>
      </w:r>
      <w:r w:rsidR="00D504B4" w:rsidRPr="00DC66CD">
        <w:t>e</w:t>
      </w:r>
      <w:r w:rsidR="00D94F59" w:rsidRPr="00DC66CD">
        <w:t>t e ndërtesës</w:t>
      </w:r>
      <w:r w:rsidR="002A29AD" w:rsidRPr="00DC66CD">
        <w:t>”</w:t>
      </w:r>
      <w:r w:rsidR="00D94F59" w:rsidRPr="00DC66CD">
        <w:t xml:space="preserve"> (rregullimi i MEPS</w:t>
      </w:r>
      <w:r w:rsidR="00D504B4" w:rsidRPr="00DC66CD">
        <w:t>-së</w:t>
      </w:r>
      <w:r w:rsidR="00A167B9" w:rsidRPr="00DC66CD">
        <w:t>)</w:t>
      </w:r>
      <w:r w:rsidR="00D94F59" w:rsidRPr="00DC66CD">
        <w:t xml:space="preserve"> është duke u përgatitur dhe ai parashikohet të miratohet brenda vitit 2020</w:t>
      </w:r>
      <w:r w:rsidR="00D504B4" w:rsidRPr="00DC66CD">
        <w:t>;</w:t>
      </w:r>
    </w:p>
    <w:p w14:paraId="0A28AA5F" w14:textId="06715B16" w:rsidR="00D94F59" w:rsidRPr="00DC66CD" w:rsidRDefault="00783BE1" w:rsidP="00D94F59">
      <w:pPr>
        <w:pStyle w:val="TEKSTIIII"/>
      </w:pPr>
      <w:r w:rsidRPr="00DC66CD">
        <w:t xml:space="preserve">- </w:t>
      </w:r>
      <w:r w:rsidR="00D504B4" w:rsidRPr="00DC66CD">
        <w:t xml:space="preserve">projektvendimi i KM-së </w:t>
      </w:r>
      <w:r w:rsidR="002A29AD" w:rsidRPr="00DC66CD">
        <w:t>“</w:t>
      </w:r>
      <w:r w:rsidR="00D94F59" w:rsidRPr="00DC66CD">
        <w:t>Për standardin minimal të performancës së energjisë</w:t>
      </w:r>
      <w:r w:rsidR="002A29AD" w:rsidRPr="00DC66CD">
        <w:t>”</w:t>
      </w:r>
      <w:r w:rsidR="00D94F59" w:rsidRPr="00DC66CD">
        <w:t xml:space="preserve"> është përgatitur drafti i parë i rregullores së MEPS</w:t>
      </w:r>
      <w:r w:rsidR="00A167B9" w:rsidRPr="00DC66CD">
        <w:t>-së</w:t>
      </w:r>
      <w:r w:rsidR="00D94F59" w:rsidRPr="00DC66CD">
        <w:t>;</w:t>
      </w:r>
    </w:p>
    <w:p w14:paraId="551CC205" w14:textId="73E983E9" w:rsidR="00D94F59" w:rsidRPr="00DC66CD" w:rsidRDefault="00783BE1" w:rsidP="00D94F59">
      <w:pPr>
        <w:pStyle w:val="TEKSTIIII"/>
      </w:pPr>
      <w:r w:rsidRPr="00DC66CD">
        <w:t>- p</w:t>
      </w:r>
      <w:r w:rsidR="00D94F59" w:rsidRPr="00DC66CD">
        <w:t xml:space="preserve">rojektrregullorja </w:t>
      </w:r>
      <w:r w:rsidR="002A29AD" w:rsidRPr="00DC66CD">
        <w:t>“</w:t>
      </w:r>
      <w:r w:rsidR="00D94F59" w:rsidRPr="00DC66CD">
        <w:t xml:space="preserve">Për </w:t>
      </w:r>
      <w:r w:rsidR="00A167B9" w:rsidRPr="00DC66CD">
        <w:t>certifikimin</w:t>
      </w:r>
      <w:r w:rsidR="00D94F59" w:rsidRPr="00DC66CD">
        <w:t xml:space="preserve"> e performancës së energjisë</w:t>
      </w:r>
      <w:r w:rsidR="002A29AD" w:rsidRPr="00DC66CD">
        <w:t>”</w:t>
      </w:r>
      <w:r w:rsidR="00D94F59" w:rsidRPr="00DC66CD">
        <w:t xml:space="preserve"> (EPC) është në përgatitje (parashikohet të miratohet brenda vitit 2020).</w:t>
      </w:r>
    </w:p>
    <w:p w14:paraId="44639A1F" w14:textId="0831FF28" w:rsidR="00D94F59" w:rsidRPr="00DC66CD" w:rsidRDefault="00D94F59" w:rsidP="00D94F59">
      <w:pPr>
        <w:pStyle w:val="TEKSTIIII"/>
      </w:pPr>
      <w:r w:rsidRPr="00DC66CD">
        <w:t xml:space="preserve">Plani i </w:t>
      </w:r>
      <w:r w:rsidR="00A167B9" w:rsidRPr="00DC66CD">
        <w:t xml:space="preserve">veprimit </w:t>
      </w:r>
      <w:r w:rsidRPr="00DC66CD">
        <w:t>të BRE-së</w:t>
      </w:r>
      <w:r w:rsidR="00A167B9" w:rsidRPr="00DC66CD">
        <w:t>,</w:t>
      </w:r>
      <w:r w:rsidRPr="00DC66CD">
        <w:t xml:space="preserve"> 2019</w:t>
      </w:r>
      <w:r w:rsidR="00A167B9" w:rsidRPr="00DC66CD">
        <w:t>–</w:t>
      </w:r>
      <w:r w:rsidRPr="00DC66CD">
        <w:t>2020</w:t>
      </w:r>
      <w:r w:rsidR="00A167B9" w:rsidRPr="00DC66CD">
        <w:t>,</w:t>
      </w:r>
      <w:r w:rsidRPr="00DC66CD">
        <w:t xml:space="preserve"> u rishikua dhe përcakton objektiva të r</w:t>
      </w:r>
      <w:r w:rsidR="00A167B9" w:rsidRPr="00DC66CD">
        <w:t>inj</w:t>
      </w:r>
      <w:r w:rsidRPr="00DC66CD">
        <w:t xml:space="preserve"> sasior</w:t>
      </w:r>
      <w:r w:rsidR="00A167B9" w:rsidRPr="00DC66CD">
        <w:t>ë</w:t>
      </w:r>
      <w:r w:rsidRPr="00DC66CD">
        <w:t xml:space="preserve"> dhe specifik</w:t>
      </w:r>
      <w:r w:rsidR="00A167B9" w:rsidRPr="00DC66CD">
        <w:t>ë</w:t>
      </w:r>
      <w:r w:rsidRPr="00DC66CD">
        <w:t xml:space="preserve"> për kapacitetet e instaluara të energjisë. Parashikon zgjerimin e kapaciteteve të instaluara të PV</w:t>
      </w:r>
      <w:r w:rsidR="00A167B9" w:rsidRPr="00DC66CD">
        <w:t>-së</w:t>
      </w:r>
      <w:r w:rsidRPr="00DC66CD">
        <w:t xml:space="preserve"> nga 120 </w:t>
      </w:r>
      <w:r w:rsidR="00A167B9" w:rsidRPr="00DC66CD">
        <w:t>mw</w:t>
      </w:r>
      <w:r w:rsidRPr="00DC66CD">
        <w:t xml:space="preserve"> në 490 </w:t>
      </w:r>
      <w:r w:rsidR="00A167B9" w:rsidRPr="00DC66CD">
        <w:t>mw</w:t>
      </w:r>
      <w:r w:rsidRPr="00DC66CD">
        <w:t xml:space="preserve"> dhe uljen e kapaciteteve të </w:t>
      </w:r>
      <w:r w:rsidR="00FB3C84" w:rsidRPr="00DC66CD">
        <w:t xml:space="preserve">hidrocentralit </w:t>
      </w:r>
      <w:r w:rsidRPr="00DC66CD">
        <w:t xml:space="preserve">të instaluar nga 600 </w:t>
      </w:r>
      <w:r w:rsidR="00A167B9" w:rsidRPr="00DC66CD">
        <w:t>mw</w:t>
      </w:r>
      <w:r w:rsidRPr="00DC66CD">
        <w:t xml:space="preserve"> në 57 </w:t>
      </w:r>
      <w:r w:rsidR="00A167B9" w:rsidRPr="00DC66CD">
        <w:t>mw</w:t>
      </w:r>
      <w:r w:rsidRPr="00DC66CD">
        <w:t xml:space="preserve">. </w:t>
      </w:r>
    </w:p>
    <w:p w14:paraId="3C1C68EF" w14:textId="0027F969" w:rsidR="00D94F59" w:rsidRPr="00DC66CD" w:rsidRDefault="00D94F59" w:rsidP="00D94F59">
      <w:pPr>
        <w:pStyle w:val="TEKSTIIII"/>
      </w:pPr>
      <w:r w:rsidRPr="00DC66CD">
        <w:t>Bazuar në vendimin e Këshillit të Ministrave</w:t>
      </w:r>
      <w:r w:rsidR="00E33D88" w:rsidRPr="00DC66CD">
        <w:t xml:space="preserve"> nr. </w:t>
      </w:r>
      <w:r w:rsidRPr="00DC66CD">
        <w:t>349</w:t>
      </w:r>
      <w:r w:rsidR="000E6E46" w:rsidRPr="00DC66CD">
        <w:t>,</w:t>
      </w:r>
      <w:r w:rsidRPr="00DC66CD">
        <w:t xml:space="preserve"> të </w:t>
      </w:r>
      <w:r w:rsidR="000E6E46" w:rsidRPr="00DC66CD">
        <w:t>datës 12.</w:t>
      </w:r>
      <w:r w:rsidRPr="00DC66CD">
        <w:t>6.2018</w:t>
      </w:r>
      <w:r w:rsidR="000E6E46" w:rsidRPr="00DC66CD">
        <w:t>,</w:t>
      </w:r>
      <w:r w:rsidRPr="00DC66CD">
        <w:t xml:space="preserve"> dhe objektivave të Planit Kombëtar </w:t>
      </w:r>
      <w:r w:rsidR="000E6E46" w:rsidRPr="00DC66CD">
        <w:t>të Veprimit të Rinovueshëm, 2019–</w:t>
      </w:r>
      <w:r w:rsidRPr="00DC66CD">
        <w:t>2020, Ministria e Infrastrukturës dhe Energjisë ka hapur një procedurë tjetër të tenderimit për zgjedhjen e zhvilluesit të projektit për ndërtimin e një impianti fotovoltaik</w:t>
      </w:r>
      <w:r w:rsidR="000E6E46" w:rsidRPr="00DC66CD">
        <w:t>,</w:t>
      </w:r>
      <w:r w:rsidRPr="00DC66CD">
        <w:t xml:space="preserve"> me një kapacitet të instaluar prej 70 </w:t>
      </w:r>
      <w:r w:rsidR="000E6E46" w:rsidRPr="00DC66CD">
        <w:t>mw</w:t>
      </w:r>
      <w:r w:rsidRPr="00DC66CD">
        <w:t xml:space="preserve">, si pjesë e Masave Mbështetëse, në Remas-Karavasta (afër </w:t>
      </w:r>
      <w:r w:rsidR="000E6E46" w:rsidRPr="00DC66CD">
        <w:t xml:space="preserve">zonës </w:t>
      </w:r>
      <w:r w:rsidRPr="00DC66CD">
        <w:t>së Lushnjës) dhe Libofsh</w:t>
      </w:r>
      <w:r w:rsidR="000E6E46" w:rsidRPr="00DC66CD">
        <w:t>ë</w:t>
      </w:r>
      <w:r w:rsidRPr="00DC66CD">
        <w:t xml:space="preserve"> (afër </w:t>
      </w:r>
      <w:r w:rsidR="000E6E46" w:rsidRPr="00DC66CD">
        <w:t xml:space="preserve">zonës </w:t>
      </w:r>
      <w:r w:rsidRPr="00DC66CD">
        <w:t>Fier)</w:t>
      </w:r>
      <w:r w:rsidR="000E6E46" w:rsidRPr="00DC66CD">
        <w:t>,</w:t>
      </w:r>
      <w:r w:rsidRPr="00DC66CD">
        <w:t xml:space="preserve"> si dhe ndërtimin e një kapaciteti shtesë prej 70 </w:t>
      </w:r>
      <w:r w:rsidR="000E6E46" w:rsidRPr="00DC66CD">
        <w:t>mw</w:t>
      </w:r>
      <w:r w:rsidRPr="00DC66CD">
        <w:t xml:space="preserve">, i cili nuk do të jetë pjesë e </w:t>
      </w:r>
      <w:r w:rsidR="000E6E46" w:rsidRPr="00DC66CD">
        <w:t>masave mbështetëse</w:t>
      </w:r>
      <w:r w:rsidRPr="00DC66CD">
        <w:t xml:space="preserve">. Afati i </w:t>
      </w:r>
      <w:r w:rsidR="000E6E46" w:rsidRPr="00DC66CD">
        <w:t xml:space="preserve">dorëzimit të ofertave </w:t>
      </w:r>
      <w:r w:rsidRPr="00DC66CD">
        <w:t xml:space="preserve">është deri më 16 </w:t>
      </w:r>
      <w:r w:rsidR="000E6E46" w:rsidRPr="00DC66CD">
        <w:t xml:space="preserve">mars </w:t>
      </w:r>
      <w:r w:rsidRPr="00DC66CD">
        <w:t>2020, 12</w:t>
      </w:r>
      <w:r w:rsidR="000E6E46" w:rsidRPr="00DC66CD">
        <w:t>:00,</w:t>
      </w:r>
      <w:r w:rsidRPr="00DC66CD">
        <w:t xml:space="preserve"> pasdite (</w:t>
      </w:r>
      <w:r w:rsidR="000E6E46" w:rsidRPr="00DC66CD">
        <w:t xml:space="preserve">ora </w:t>
      </w:r>
      <w:r w:rsidRPr="00DC66CD">
        <w:t xml:space="preserve">e Evropës Qendrore). Ofertat duhet të jenë të vlefshme për një periudhë prej 180 ditësh nga afati i fundit për dorëzimin e ofertave. Informacion shtesë mbi dokumentet e procesit të tenderimit mund të gjenden në faqen e internetit të </w:t>
      </w:r>
      <w:r w:rsidR="000E6E46" w:rsidRPr="00DC66CD">
        <w:t>autoritetit kontraktues</w:t>
      </w:r>
      <w:r w:rsidRPr="00DC66CD">
        <w:t xml:space="preserve">: </w:t>
      </w:r>
      <w:hyperlink r:id="rId14" w:history="1">
        <w:r w:rsidR="000E6E46" w:rsidRPr="00DC66CD">
          <w:rPr>
            <w:rStyle w:val="Hyperlink"/>
          </w:rPr>
          <w:t>http://infrastruktura.gov.al</w:t>
        </w:r>
      </w:hyperlink>
      <w:r w:rsidR="000E6E46" w:rsidRPr="00DC66CD">
        <w:t>.</w:t>
      </w:r>
    </w:p>
    <w:p w14:paraId="44079B02" w14:textId="750C3D53" w:rsidR="00D94F59" w:rsidRPr="00DC66CD" w:rsidRDefault="00D94F59" w:rsidP="00D94F59">
      <w:pPr>
        <w:pStyle w:val="TEKSTIIII"/>
        <w:rPr>
          <w:b/>
          <w:i/>
        </w:rPr>
      </w:pPr>
      <w:r w:rsidRPr="00DC66CD">
        <w:rPr>
          <w:b/>
          <w:i/>
        </w:rPr>
        <w:t xml:space="preserve">6. </w:t>
      </w:r>
      <w:r w:rsidRPr="00DF7B6F">
        <w:rPr>
          <w:b/>
          <w:i/>
        </w:rPr>
        <w:t>Përmirësoni shënjestrimin</w:t>
      </w:r>
      <w:r w:rsidRPr="00DC66CD">
        <w:rPr>
          <w:b/>
          <w:i/>
        </w:rPr>
        <w:t xml:space="preserve"> e politikave aktive të tregut të punës dhe zbatoni paketën e përgatitur të arsimit dhe </w:t>
      </w:r>
      <w:r w:rsidR="00881BB2" w:rsidRPr="00DC66CD">
        <w:rPr>
          <w:b/>
          <w:i/>
        </w:rPr>
        <w:t xml:space="preserve">të </w:t>
      </w:r>
      <w:r w:rsidRPr="00DC66CD">
        <w:rPr>
          <w:b/>
          <w:i/>
        </w:rPr>
        <w:t>aftësimit profesional. Nën drejtimin dhe me mbështetje financiare nga qeveria qendrore, krijoni kapacitete në nivelin e të gjitha njësive të qeverisjes vendore për vlerësimin e nevojave të kujdesit shoqëror dhe përgatitjen e planeve të kujdesit shoqëror. Rritni investimet në edukimin dhe kujdesin e fëmijërisë së hershme, veçanërisht për rritjen e regjistrimit të fëmijëve nga familje të cenueshme.</w:t>
      </w:r>
    </w:p>
    <w:p w14:paraId="0CE42526" w14:textId="117143C0" w:rsidR="00D94F59" w:rsidRPr="00DC66CD" w:rsidRDefault="00D94F59" w:rsidP="00D94F59">
      <w:pPr>
        <w:pStyle w:val="TEKSTIIII"/>
      </w:pPr>
      <w:r w:rsidRPr="00DC66CD">
        <w:t>Regjistrimi për fëmijët romë dhe egjiptianë të moshës 3</w:t>
      </w:r>
      <w:r w:rsidR="00B7340E" w:rsidRPr="00DC66CD">
        <w:t>–</w:t>
      </w:r>
      <w:r w:rsidRPr="00DC66CD">
        <w:t xml:space="preserve">6 vjeç në kopshtin e fëmijëve u rrit nga 2.570 </w:t>
      </w:r>
      <w:r w:rsidR="00B7340E" w:rsidRPr="00DC66CD">
        <w:t>m</w:t>
      </w:r>
      <w:r w:rsidRPr="00DC66CD">
        <w:t xml:space="preserve">ë </w:t>
      </w:r>
      <w:r w:rsidR="00433A3A" w:rsidRPr="00DC66CD">
        <w:t>2018–</w:t>
      </w:r>
      <w:r w:rsidR="00B7340E" w:rsidRPr="00DC66CD">
        <w:t>ën,</w:t>
      </w:r>
      <w:r w:rsidRPr="00DC66CD">
        <w:t xml:space="preserve"> në 2,679 </w:t>
      </w:r>
      <w:r w:rsidR="00B7340E" w:rsidRPr="00DC66CD">
        <w:t>m</w:t>
      </w:r>
      <w:r w:rsidRPr="00DC66CD">
        <w:t>ë 2019 në arsimin publik dhe privat. Investimet parashkollore janë pjesë e investimeve arsimore bazë. Ndërsa</w:t>
      </w:r>
      <w:r w:rsidR="00B7340E" w:rsidRPr="00DC66CD">
        <w:t>,</w:t>
      </w:r>
      <w:r w:rsidRPr="00DC66CD">
        <w:t xml:space="preserve"> çdo vit është planifikuar një fond i veçantë për burimet didaktike vetëm për arsimin parashkollor.</w:t>
      </w:r>
    </w:p>
    <w:p w14:paraId="2771CCFE" w14:textId="5E67E157" w:rsidR="00D94F59" w:rsidRPr="00DC66CD" w:rsidRDefault="00D94F59" w:rsidP="00D94F59">
      <w:pPr>
        <w:pStyle w:val="TEKSTIIII"/>
      </w:pPr>
      <w:r w:rsidRPr="00DC66CD">
        <w:t xml:space="preserve">Bazuar në iniciativën </w:t>
      </w:r>
      <w:r w:rsidR="002A29AD" w:rsidRPr="00DC66CD">
        <w:t>“</w:t>
      </w:r>
      <w:r w:rsidR="00B7340E" w:rsidRPr="00DC66CD">
        <w:t>Ç</w:t>
      </w:r>
      <w:r w:rsidRPr="00DC66CD">
        <w:t xml:space="preserve">do fëmijë </w:t>
      </w:r>
      <w:r w:rsidR="00B7340E" w:rsidRPr="00DC66CD">
        <w:t>rom në kopshtin e f</w:t>
      </w:r>
      <w:r w:rsidRPr="00DC66CD">
        <w:t>ëmijëve</w:t>
      </w:r>
      <w:r w:rsidR="002A29AD" w:rsidRPr="00DC66CD">
        <w:t>”</w:t>
      </w:r>
      <w:r w:rsidRPr="00DC66CD">
        <w:t xml:space="preserve">, e rregulluar nga </w:t>
      </w:r>
      <w:r w:rsidR="00B7340E" w:rsidRPr="00DC66CD">
        <w:t xml:space="preserve">ministri </w:t>
      </w:r>
      <w:r w:rsidRPr="00DC66CD">
        <w:t xml:space="preserve">i </w:t>
      </w:r>
      <w:r w:rsidRPr="00E30CC6">
        <w:t>MESY</w:t>
      </w:r>
      <w:r w:rsidR="00B7340E" w:rsidRPr="00DC66CD">
        <w:t>,</w:t>
      </w:r>
      <w:r w:rsidRPr="00DC66CD">
        <w:t xml:space="preserve"> </w:t>
      </w:r>
      <w:r w:rsidR="00B7340E" w:rsidRPr="00DC66CD">
        <w:t>udhëzimi</w:t>
      </w:r>
      <w:r w:rsidR="00E33D88" w:rsidRPr="00DC66CD">
        <w:t xml:space="preserve"> nr. </w:t>
      </w:r>
      <w:r w:rsidRPr="00DC66CD">
        <w:t xml:space="preserve">21, datë </w:t>
      </w:r>
      <w:r w:rsidR="00B7340E" w:rsidRPr="00DC66CD">
        <w:t>8.</w:t>
      </w:r>
      <w:r w:rsidRPr="00DC66CD">
        <w:t>8.2014</w:t>
      </w:r>
      <w:r w:rsidR="00B7340E" w:rsidRPr="00DC66CD">
        <w:t>,</w:t>
      </w:r>
      <w:r w:rsidRPr="00DC66CD">
        <w:t xml:space="preserve"> </w:t>
      </w:r>
      <w:r w:rsidR="002A29AD" w:rsidRPr="00DC66CD">
        <w:t>“</w:t>
      </w:r>
      <w:r w:rsidRPr="00DC66CD">
        <w:t>Për rritjen e frekuentimit të arsimit parashkollor nga fëmijët romë</w:t>
      </w:r>
      <w:r w:rsidR="002A29AD" w:rsidRPr="00DC66CD">
        <w:t>”</w:t>
      </w:r>
      <w:r w:rsidRPr="00DC66CD">
        <w:t>, përparësi u jepet fëmijëve romë, veçanërisht</w:t>
      </w:r>
      <w:r w:rsidR="00B7340E" w:rsidRPr="00DC66CD">
        <w:t>,</w:t>
      </w:r>
      <w:r w:rsidRPr="00DC66CD">
        <w:t xml:space="preserve"> në rastet kur kopshti nuk ka aftësi për të përmbushur nevojat e komunitetit pranë. Në krahasim me vitin studiues 2013</w:t>
      </w:r>
      <w:r w:rsidR="00B7340E" w:rsidRPr="00DC66CD">
        <w:t>–</w:t>
      </w:r>
      <w:r w:rsidRPr="00DC66CD">
        <w:t>2014</w:t>
      </w:r>
      <w:r w:rsidR="00B7340E" w:rsidRPr="00DC66CD">
        <w:t>,</w:t>
      </w:r>
      <w:r w:rsidRPr="00DC66CD">
        <w:t xml:space="preserve"> kur janë regjistruar 619 fëmijë romë në arsimin parashkollor, </w:t>
      </w:r>
      <w:r w:rsidR="00B7340E" w:rsidRPr="00DC66CD">
        <w:t>m</w:t>
      </w:r>
      <w:r w:rsidRPr="00DC66CD">
        <w:t>ë 2018</w:t>
      </w:r>
      <w:r w:rsidR="00B7340E" w:rsidRPr="00DC66CD">
        <w:t xml:space="preserve">– </w:t>
      </w:r>
      <w:r w:rsidR="00433A3A" w:rsidRPr="00DC66CD">
        <w:t>2019–</w:t>
      </w:r>
      <w:r w:rsidR="00B7340E" w:rsidRPr="00DC66CD">
        <w:t>ën</w:t>
      </w:r>
      <w:r w:rsidRPr="00DC66CD">
        <w:t xml:space="preserve"> janë regjistruar 889. Në vitin studiues 2016</w:t>
      </w:r>
      <w:r w:rsidR="00B7340E" w:rsidRPr="00DC66CD">
        <w:t>–</w:t>
      </w:r>
      <w:r w:rsidRPr="00DC66CD">
        <w:t>2017 janë regjistruar 1567 fëmijë egjiptianë në krahasim me 1725 të regjistruar në 2018</w:t>
      </w:r>
      <w:r w:rsidR="00B7340E" w:rsidRPr="00DC66CD">
        <w:t>–</w:t>
      </w:r>
      <w:r w:rsidRPr="00DC66CD">
        <w:t>2019.</w:t>
      </w:r>
    </w:p>
    <w:p w14:paraId="187EAB23" w14:textId="10400C23" w:rsidR="0054487D" w:rsidRPr="00DC66CD" w:rsidRDefault="0054487D" w:rsidP="0054487D">
      <w:pPr>
        <w:pStyle w:val="TEKSTIIII"/>
        <w:rPr>
          <w:b/>
        </w:rPr>
      </w:pPr>
      <w:bookmarkStart w:id="3" w:name="_Toc30661212"/>
      <w:r w:rsidRPr="00DC66CD">
        <w:rPr>
          <w:b/>
        </w:rPr>
        <w:t>3. KUADRI MAKROEKONOMIK</w:t>
      </w:r>
      <w:bookmarkEnd w:id="3"/>
    </w:p>
    <w:p w14:paraId="7368863B" w14:textId="041E4EF2" w:rsidR="0054487D" w:rsidRPr="00DC66CD" w:rsidRDefault="0054487D" w:rsidP="0054487D">
      <w:pPr>
        <w:pStyle w:val="TEKSTIIII"/>
        <w:rPr>
          <w:b/>
        </w:rPr>
      </w:pPr>
      <w:bookmarkStart w:id="4" w:name="_Toc30661213"/>
      <w:r w:rsidRPr="00DC66CD">
        <w:rPr>
          <w:b/>
        </w:rPr>
        <w:t>3.1 Zhvillimet e fundit ekonomike</w:t>
      </w:r>
      <w:bookmarkEnd w:id="4"/>
    </w:p>
    <w:p w14:paraId="0BF28291" w14:textId="409EB99C" w:rsidR="0054487D" w:rsidRPr="00DC66CD" w:rsidRDefault="0054487D" w:rsidP="0054487D">
      <w:pPr>
        <w:pStyle w:val="TEKSTIIII"/>
      </w:pPr>
      <w:r w:rsidRPr="00DC66CD">
        <w:t>Rritja ekonomike në Shqipëri u ngadalësua gjatë tre tremujorëve të parë të vitit 2019, duke reflektuar kryesisht zhvillimet në sektorin e energjisë, hyrjen e projektit TAP në fazën e tij përfundimtare dhe mbylljen e aktiviteteve të lojërave të fatit. Megjithatë, rritja e konsumit e nxitur nga kostoja e ulët e financimit dhe zhvillimet pozitive në tregun e punës, si dhe të ardhurat më të larta që lidhen me aktivitetin e turizmit vazhdojnë të mbështe</w:t>
      </w:r>
      <w:r w:rsidR="00793DA7" w:rsidRPr="00DC66CD">
        <w:t>t</w:t>
      </w:r>
      <w:r w:rsidRPr="00DC66CD">
        <w:t>in rritjen ekonomike. Vlerësimet sugjerojnë një pakësim të kapaciteteve të lira, por ekonomia vijon të operojë nën potencialin e saj.</w:t>
      </w:r>
    </w:p>
    <w:p w14:paraId="681989D3" w14:textId="77777777" w:rsidR="003E0F8E" w:rsidRPr="00DC66CD" w:rsidRDefault="003E0F8E" w:rsidP="0054487D">
      <w:pPr>
        <w:pStyle w:val="TEKSTIIII"/>
      </w:pPr>
    </w:p>
    <w:p w14:paraId="7E449B13" w14:textId="7D84A8D2" w:rsidR="0054487D" w:rsidRPr="00DF7B6F" w:rsidRDefault="0054487D" w:rsidP="0054487D">
      <w:pPr>
        <w:pStyle w:val="TEKSTIIII"/>
        <w:rPr>
          <w:i/>
        </w:rPr>
      </w:pPr>
      <w:r w:rsidRPr="00DF7B6F">
        <w:rPr>
          <w:i/>
        </w:rPr>
        <w:t>Grafik 3.1.1 Rritja vjetore e PBB-së reale gjatë 2010–</w:t>
      </w:r>
      <w:r w:rsidR="00433A3A" w:rsidRPr="00DF7B6F">
        <w:rPr>
          <w:i/>
        </w:rPr>
        <w:t>2019–</w:t>
      </w:r>
      <w:r w:rsidRPr="00DF7B6F">
        <w:rPr>
          <w:i/>
        </w:rPr>
        <w:t>9M</w:t>
      </w:r>
    </w:p>
    <w:p w14:paraId="545684B1" w14:textId="5E16A052" w:rsidR="00F13FD9" w:rsidRPr="00DC66CD" w:rsidRDefault="00C97294" w:rsidP="00793DA7">
      <w:pPr>
        <w:pStyle w:val="TEKSTIIII"/>
        <w:jc w:val="center"/>
      </w:pPr>
      <w:r w:rsidRPr="00DC66CD">
        <w:rPr>
          <w:rFonts w:ascii="Times New Roman" w:hAnsi="Times New Roman"/>
          <w:noProof/>
          <w:lang w:val="en-US" w:eastAsia="en-US"/>
        </w:rPr>
        <w:drawing>
          <wp:inline distT="0" distB="0" distL="0" distR="0" wp14:anchorId="25114EB8" wp14:editId="2405B606">
            <wp:extent cx="4286250" cy="197416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35029" cy="1996632"/>
                    </a:xfrm>
                    <a:prstGeom prst="rect">
                      <a:avLst/>
                    </a:prstGeom>
                    <a:noFill/>
                    <a:ln>
                      <a:noFill/>
                    </a:ln>
                  </pic:spPr>
                </pic:pic>
              </a:graphicData>
            </a:graphic>
          </wp:inline>
        </w:drawing>
      </w:r>
    </w:p>
    <w:p w14:paraId="38FC2F48" w14:textId="49902C1E" w:rsidR="00793DA7" w:rsidRPr="00DF7B6F" w:rsidRDefault="00793DA7" w:rsidP="00793DA7">
      <w:pPr>
        <w:pStyle w:val="TEKSTIIII"/>
        <w:rPr>
          <w:i/>
        </w:rPr>
      </w:pPr>
      <w:r w:rsidRPr="00DF7B6F">
        <w:rPr>
          <w:i/>
        </w:rPr>
        <w:t>Burimi: INSTAT *Të dhënat janë gjysmëpërfundimtare. **Një vlerësim i parë.</w:t>
      </w:r>
    </w:p>
    <w:p w14:paraId="1CA82B4E" w14:textId="77777777" w:rsidR="00793DA7" w:rsidRPr="00DC66CD" w:rsidRDefault="00793DA7" w:rsidP="0054487D">
      <w:pPr>
        <w:pStyle w:val="TEKSTIIII"/>
      </w:pPr>
    </w:p>
    <w:p w14:paraId="0D2337CF" w14:textId="369853DB" w:rsidR="00A90FA6" w:rsidRPr="00DC66CD" w:rsidRDefault="00A90FA6" w:rsidP="00A90FA6">
      <w:pPr>
        <w:pStyle w:val="TEKSTIIII"/>
      </w:pPr>
      <w:r w:rsidRPr="00DC66CD">
        <w:t xml:space="preserve">Ritmi më i ulët i rritjes ekonomike, rreth 2.9% në terma vjetorë gjatë tre tremujorëve të parë të vitit 2019, reflekton kryesisht nivelin më të ulët të prodhimit të energjisë elektrike krahasuar me një vit më parë dhe tkurrjen e aktivitetit në degën </w:t>
      </w:r>
      <w:r w:rsidR="002A29AD" w:rsidRPr="00DC66CD">
        <w:t>“</w:t>
      </w:r>
      <w:r w:rsidRPr="00DC66CD">
        <w:t>Arte, argëtim, çlodhje dhe aktivitete të tjera të shërbimit</w:t>
      </w:r>
      <w:r w:rsidR="002A29AD" w:rsidRPr="00DC66CD">
        <w:t>”</w:t>
      </w:r>
      <w:r w:rsidRPr="00DC66CD">
        <w:t xml:space="preserve">. Kjo e fundit pasqyron mbylljen e aktiviteteve të lojërave të fatit dhe </w:t>
      </w:r>
      <w:r w:rsidR="00793DA7" w:rsidRPr="00DC66CD">
        <w:t xml:space="preserve">të </w:t>
      </w:r>
      <w:r w:rsidRPr="00DC66CD">
        <w:t>basteve në vend, të ndërmarrë në fillimin e vitit 2019. Aktiviteti në sektorin e ndërtimit vazhdoi të ngadalësohej dhe si rezultat kontribuoi në një masë më të ulët në rritjen e PBB-së (0.1 nga 0.3 pp në vitin 2018). Zhvillimet më të dobëta në sektorin e ndërtimit reflektuan kryesisht përfundimin e pjesës më të madhe të punës së lidhur me projektin TAP.</w:t>
      </w:r>
    </w:p>
    <w:p w14:paraId="1B20B76D" w14:textId="77777777" w:rsidR="00A90FA6" w:rsidRPr="00DC66CD" w:rsidRDefault="00A90FA6" w:rsidP="00A90FA6">
      <w:pPr>
        <w:pStyle w:val="TEKSTIIII"/>
      </w:pPr>
    </w:p>
    <w:p w14:paraId="51298A8E" w14:textId="77777777" w:rsidR="00A90FA6" w:rsidRPr="00DF7B6F" w:rsidRDefault="00A90FA6" w:rsidP="00A90FA6">
      <w:pPr>
        <w:pStyle w:val="TEKSTIIII"/>
        <w:rPr>
          <w:i/>
        </w:rPr>
      </w:pPr>
      <w:r w:rsidRPr="00DF7B6F">
        <w:rPr>
          <w:i/>
        </w:rPr>
        <w:t>Grafik 3.1.2 Rritja e PBB-së reale, sipas sektorëve</w:t>
      </w:r>
    </w:p>
    <w:p w14:paraId="00A9CCD2" w14:textId="37B8825F" w:rsidR="00A90FA6" w:rsidRPr="00DC66CD" w:rsidRDefault="00A90FA6" w:rsidP="00793DA7">
      <w:pPr>
        <w:pStyle w:val="TEKSTIIII"/>
        <w:jc w:val="center"/>
      </w:pPr>
      <w:r w:rsidRPr="00DC66CD">
        <w:rPr>
          <w:rFonts w:ascii="Times New Roman" w:hAnsi="Times New Roman"/>
          <w:noProof/>
          <w:lang w:val="en-US" w:eastAsia="en-US"/>
        </w:rPr>
        <w:drawing>
          <wp:inline distT="0" distB="0" distL="0" distR="0" wp14:anchorId="3C6E3647" wp14:editId="6B250B5F">
            <wp:extent cx="4381500" cy="212815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14524" cy="2144197"/>
                    </a:xfrm>
                    <a:prstGeom prst="rect">
                      <a:avLst/>
                    </a:prstGeom>
                    <a:noFill/>
                    <a:ln>
                      <a:noFill/>
                    </a:ln>
                  </pic:spPr>
                </pic:pic>
              </a:graphicData>
            </a:graphic>
          </wp:inline>
        </w:drawing>
      </w:r>
    </w:p>
    <w:p w14:paraId="3D2DFF24" w14:textId="3AF95A35" w:rsidR="007D52CB" w:rsidRPr="00DF7B6F" w:rsidRDefault="007D52CB" w:rsidP="007D52CB">
      <w:pPr>
        <w:pStyle w:val="TEKSTIIII"/>
        <w:rPr>
          <w:i/>
        </w:rPr>
      </w:pPr>
      <w:r w:rsidRPr="00DF7B6F">
        <w:rPr>
          <w:i/>
        </w:rPr>
        <w:t>Burimi:</w:t>
      </w:r>
      <w:r w:rsidR="00793DA7" w:rsidRPr="00DF7B6F">
        <w:rPr>
          <w:i/>
        </w:rPr>
        <w:t xml:space="preserve"> INSTAT *Të dhënat janë gjysmë</w:t>
      </w:r>
      <w:r w:rsidRPr="00DF7B6F">
        <w:rPr>
          <w:i/>
        </w:rPr>
        <w:t>përfundimtare</w:t>
      </w:r>
      <w:r w:rsidR="00793DA7" w:rsidRPr="00DF7B6F">
        <w:rPr>
          <w:i/>
        </w:rPr>
        <w:t>.</w:t>
      </w:r>
      <w:r w:rsidRPr="00DF7B6F">
        <w:rPr>
          <w:i/>
        </w:rPr>
        <w:t xml:space="preserve"> **Një vle</w:t>
      </w:r>
      <w:r w:rsidR="00793DA7" w:rsidRPr="00DF7B6F">
        <w:rPr>
          <w:i/>
        </w:rPr>
        <w:t>rësim i parë.</w:t>
      </w:r>
    </w:p>
    <w:p w14:paraId="28A1E092" w14:textId="77777777" w:rsidR="007D52CB" w:rsidRPr="00DC66CD" w:rsidRDefault="007D52CB" w:rsidP="007D52CB">
      <w:pPr>
        <w:pStyle w:val="TEKSTIIII"/>
      </w:pPr>
    </w:p>
    <w:p w14:paraId="6531085E" w14:textId="11FCB85E" w:rsidR="007D52CB" w:rsidRPr="00DC66CD" w:rsidRDefault="007D52CB" w:rsidP="007D52CB">
      <w:pPr>
        <w:pStyle w:val="TEKSTIIII"/>
      </w:pPr>
      <w:r w:rsidRPr="00DC66CD">
        <w:t>Rritja ekonomike në tre tremujorët e parë të vitit 2019 u mbështet nga sektori i shërbimeve, i cili dha edhe kontributin më të lartë, rreth 2.1 p.p.. Kontributi më i lartë u gjenerua nga tregtia (0.5 p.p.) dhe aktivitetet e pasurive të paluajtshme (0.4 p.p.). Sektori i industrisë dha një kontribut pak më të lartë si r</w:t>
      </w:r>
      <w:r w:rsidR="00793DA7" w:rsidRPr="00DC66CD">
        <w:t xml:space="preserve">ezultat i industrisë nxjerrëse </w:t>
      </w:r>
      <w:r w:rsidRPr="00DC66CD">
        <w:t>dhe ndikimit pozitiv nga industria përpunuese. Sektori i bujqësisë</w:t>
      </w:r>
      <w:r w:rsidR="00793DA7" w:rsidRPr="00DC66CD">
        <w:t>,</w:t>
      </w:r>
      <w:r w:rsidRPr="00DC66CD">
        <w:t xml:space="preserve"> gjithashtu</w:t>
      </w:r>
      <w:r w:rsidR="00793DA7" w:rsidRPr="00DC66CD">
        <w:t>,</w:t>
      </w:r>
      <w:r w:rsidRPr="00DC66CD">
        <w:t xml:space="preserve"> kontribuoi pozitivisht në</w:t>
      </w:r>
      <w:r w:rsidR="00793DA7" w:rsidRPr="00DC66CD">
        <w:t xml:space="preserve"> rritjen ekonomike, me 0.3 p.p.</w:t>
      </w:r>
      <w:r w:rsidRPr="00DC66CD">
        <w:t xml:space="preserve"> nga 0.2 p.p. një vit më parë. Edhe taksat neto patën një ndikim pozitiv në rritjen ekonomike, në rreth 0.5 p.p. nga 0.4 pikë përqindje një vit më parë.</w:t>
      </w:r>
    </w:p>
    <w:p w14:paraId="1729998B" w14:textId="7061E0D1" w:rsidR="007D52CB" w:rsidRPr="00DF7B6F" w:rsidRDefault="00793DA7" w:rsidP="007D52CB">
      <w:pPr>
        <w:pStyle w:val="TEKSTIIII"/>
        <w:rPr>
          <w:i/>
        </w:rPr>
      </w:pPr>
      <w:r w:rsidRPr="00DF7B6F">
        <w:rPr>
          <w:i/>
        </w:rPr>
        <w:t xml:space="preserve">Tabela 3.1.1 </w:t>
      </w:r>
      <w:r w:rsidR="007D52CB" w:rsidRPr="00DF7B6F">
        <w:rPr>
          <w:i/>
        </w:rPr>
        <w:t>Kontributet e sektorëve në rritjen e PBB-së reale (p.p.)</w:t>
      </w:r>
    </w:p>
    <w:p w14:paraId="0681D0A5" w14:textId="741F34C4" w:rsidR="007D52CB" w:rsidRPr="00DC66CD" w:rsidRDefault="00A77B3F" w:rsidP="00793DA7">
      <w:pPr>
        <w:pStyle w:val="TEKSTIIII"/>
        <w:jc w:val="center"/>
      </w:pPr>
      <w:r w:rsidRPr="00DC66CD">
        <w:rPr>
          <w:rFonts w:ascii="Times New Roman" w:hAnsi="Times New Roman"/>
          <w:noProof/>
          <w:lang w:val="en-US" w:eastAsia="en-US"/>
        </w:rPr>
        <w:drawing>
          <wp:inline distT="0" distB="0" distL="0" distR="0" wp14:anchorId="6C38297A" wp14:editId="4759763B">
            <wp:extent cx="5755640" cy="19715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1971562"/>
                    </a:xfrm>
                    <a:prstGeom prst="rect">
                      <a:avLst/>
                    </a:prstGeom>
                    <a:noFill/>
                    <a:ln>
                      <a:noFill/>
                    </a:ln>
                  </pic:spPr>
                </pic:pic>
              </a:graphicData>
            </a:graphic>
          </wp:inline>
        </w:drawing>
      </w:r>
    </w:p>
    <w:p w14:paraId="188BFAB9" w14:textId="6BF40686" w:rsidR="003E7BAC" w:rsidRPr="00DF7B6F" w:rsidRDefault="003E7BAC" w:rsidP="003E7BAC">
      <w:pPr>
        <w:pStyle w:val="TEKSTIIII"/>
        <w:rPr>
          <w:i/>
        </w:rPr>
      </w:pPr>
      <w:r w:rsidRPr="00DF7B6F">
        <w:rPr>
          <w:i/>
        </w:rPr>
        <w:t>Burimi: INSTAT *Të dhënat janë gjysmëpërfundimtare. **Një vlerësim i parë.</w:t>
      </w:r>
    </w:p>
    <w:p w14:paraId="4D1E5815" w14:textId="77777777" w:rsidR="003E7BAC" w:rsidRPr="00DC66CD" w:rsidRDefault="003E7BAC" w:rsidP="003E7BAC">
      <w:pPr>
        <w:pStyle w:val="TEKSTIIII"/>
      </w:pPr>
    </w:p>
    <w:p w14:paraId="20260568" w14:textId="03EEE76D" w:rsidR="003E7BAC" w:rsidRPr="00DC66CD" w:rsidRDefault="003E7BAC" w:rsidP="003E7BAC">
      <w:pPr>
        <w:pStyle w:val="TEKSTIIII"/>
      </w:pPr>
      <w:r w:rsidRPr="00DC66CD">
        <w:t>Kërkesa e brendshme mbetet drejtuesi kryesor i rritjes ekonomike gjatë tre tremujorëve të parë të vitit 2019, me kontributin më të lartë prej rreth 2.5 p.p nga konsumi privat. Konsumi privat vazhdon të mbështetet nga të ardhurat më të larta të punës, niveli i besimit konsumator mbi mesataren historike dhe kushtet e favorshme të financimit. Për sa i përket konsumit të qeverisë, ai</w:t>
      </w:r>
      <w:r w:rsidR="00793DA7" w:rsidRPr="00DC66CD">
        <w:t>,</w:t>
      </w:r>
      <w:r w:rsidRPr="00DC66CD">
        <w:t xml:space="preserve"> gjithashtu</w:t>
      </w:r>
      <w:r w:rsidR="00793DA7" w:rsidRPr="00DC66CD">
        <w:t>,</w:t>
      </w:r>
      <w:r w:rsidRPr="00DC66CD">
        <w:t xml:space="preserve"> kontribuoi pozitivisht në rritjen ekonomike, por ndikimi i tij ishte më i ulët, rreth 0.3 p.p. Dinamika e investimeve mbetet e dobët, duke kontribuar në kahun rënës për ecurinë rritëse të PBB-së, ndonëse në një masë të vogël, rreth -0.1 p.p. Nga njëra anë, kjo pasqyroi nivelin më të ulët të investimeve private</w:t>
      </w:r>
      <w:r w:rsidR="00FD6DCA" w:rsidRPr="00DC66CD">
        <w:t>,</w:t>
      </w:r>
      <w:r w:rsidRPr="00DC66CD">
        <w:t xml:space="preserve"> duke filluar nga T2 2019, për shkak të rënies si të aktivitetit ndërtues të lidhur kryesisht në projektin TAP, ashtu edhe të importit të makinerive dhe </w:t>
      </w:r>
      <w:r w:rsidR="00FD6DCA" w:rsidRPr="00DC66CD">
        <w:t xml:space="preserve">të </w:t>
      </w:r>
      <w:r w:rsidRPr="00DC66CD">
        <w:t>pajisjeve. Nga ana tjetër, komponenti i vlerësuar publik i investimeve pati një kontribut pothuajse zero në rritjen e PBB-së gjatë tre tremujorëve të parë të vitit 2019. Performanca pozitive e eksporteve të shërbimeve u zbut në një masë nga niveli më i ulët i eksporteve të energjisë elektrike. Ndikimi i eksporteve në rritjen ekonomike rezultoi rreth 1.7 p.p. Megjithatë, kontributi i eksporteve neto mbeti negativ, rreth -0.2 p.p., pasi si importet e mallrave, ashtu edhe të shërbimeve shënuan rritje.</w:t>
      </w:r>
    </w:p>
    <w:p w14:paraId="6DAA3035" w14:textId="77777777" w:rsidR="003E7BAC" w:rsidRPr="00DC66CD" w:rsidRDefault="003E7BAC" w:rsidP="003E7BAC">
      <w:pPr>
        <w:pStyle w:val="TEKSTIIII"/>
      </w:pPr>
    </w:p>
    <w:p w14:paraId="350861C2" w14:textId="4B094826" w:rsidR="003E7BAC" w:rsidRPr="00DF7B6F" w:rsidRDefault="00793DA7" w:rsidP="003E7BAC">
      <w:pPr>
        <w:pStyle w:val="TEKSTIIII"/>
        <w:rPr>
          <w:i/>
        </w:rPr>
      </w:pPr>
      <w:r w:rsidRPr="00DF7B6F">
        <w:rPr>
          <w:i/>
        </w:rPr>
        <w:t xml:space="preserve">Grafik 3.1.3 </w:t>
      </w:r>
      <w:r w:rsidR="003E7BAC" w:rsidRPr="00DF7B6F">
        <w:rPr>
          <w:i/>
        </w:rPr>
        <w:t>Rritja e PBB-së reale, sipas komponentëve të shpenzimeve</w:t>
      </w:r>
    </w:p>
    <w:p w14:paraId="3C33568C" w14:textId="2210F861" w:rsidR="003E7BAC" w:rsidRPr="00DC66CD" w:rsidRDefault="00B53ED8" w:rsidP="00332069">
      <w:pPr>
        <w:pStyle w:val="TEKSTIIII"/>
        <w:jc w:val="center"/>
      </w:pPr>
      <w:r w:rsidRPr="00DC66CD">
        <w:rPr>
          <w:rFonts w:ascii="Times New Roman" w:hAnsi="Times New Roman"/>
          <w:noProof/>
          <w:lang w:val="en-US" w:eastAsia="en-US"/>
        </w:rPr>
        <w:drawing>
          <wp:inline distT="0" distB="0" distL="0" distR="0" wp14:anchorId="00155638" wp14:editId="4D3E5DCE">
            <wp:extent cx="4523385" cy="2200800"/>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40415" cy="2209086"/>
                    </a:xfrm>
                    <a:prstGeom prst="rect">
                      <a:avLst/>
                    </a:prstGeom>
                    <a:noFill/>
                    <a:ln>
                      <a:noFill/>
                    </a:ln>
                  </pic:spPr>
                </pic:pic>
              </a:graphicData>
            </a:graphic>
          </wp:inline>
        </w:drawing>
      </w:r>
    </w:p>
    <w:p w14:paraId="1CDEEFA7" w14:textId="625E7A78" w:rsidR="00B53ED8" w:rsidRPr="006C7645" w:rsidRDefault="00B53ED8" w:rsidP="00B53ED8">
      <w:pPr>
        <w:pStyle w:val="TEKSTIIII"/>
        <w:rPr>
          <w:i/>
        </w:rPr>
      </w:pPr>
      <w:r w:rsidRPr="006C7645">
        <w:rPr>
          <w:i/>
        </w:rPr>
        <w:t>Burimi: INSTAT *Të dhënat janë gjysmëpërfundimtare. **Një vlerësim i parë.</w:t>
      </w:r>
    </w:p>
    <w:p w14:paraId="2F9CA306" w14:textId="77777777" w:rsidR="00B53ED8" w:rsidRPr="00DC66CD" w:rsidRDefault="00B53ED8" w:rsidP="00B53ED8">
      <w:pPr>
        <w:pStyle w:val="TEKSTIIII"/>
      </w:pPr>
    </w:p>
    <w:p w14:paraId="2726F05A" w14:textId="77777777" w:rsidR="00B53ED8" w:rsidRPr="00DC66CD" w:rsidRDefault="00B53ED8" w:rsidP="00B53ED8">
      <w:pPr>
        <w:pStyle w:val="TEKSTIIII"/>
      </w:pPr>
      <w:r w:rsidRPr="00DC66CD">
        <w:t>Treguesit e tregut të punës vazhdojnë të shfaqin zhvillime pozitive gjatë tre tremujorëve të parë të vitit 2019. Shkalla e papunësisë ra në 11.4% në tremujorin e tretë të vitit 2019, që përfaqëson edhe nivelin e saj më të ulët historik. Kjo prirje u drejtua në një masë të madhe nga rritja e punësimit. Sipas të dhënave të Anketës së Forcave të Punës, punësimi u rrit mesatarisht me 2.7% në terma vjetorë në tre tremujorët e parë të vitit 2019. Kontributi më i lartë në rritjen e punësimit i atribuohet sektorit të shërbimeve.</w:t>
      </w:r>
    </w:p>
    <w:p w14:paraId="1BDF7800" w14:textId="77777777" w:rsidR="00B53ED8" w:rsidRPr="00DC66CD" w:rsidRDefault="00B53ED8" w:rsidP="00B53ED8">
      <w:pPr>
        <w:pStyle w:val="TEKSTIIII"/>
      </w:pPr>
    </w:p>
    <w:p w14:paraId="670B6087" w14:textId="0C0ED4EA" w:rsidR="00B53ED8" w:rsidRPr="00DF7B6F" w:rsidRDefault="00332069" w:rsidP="00B53ED8">
      <w:pPr>
        <w:pStyle w:val="TEKSTIIII"/>
        <w:rPr>
          <w:i/>
        </w:rPr>
      </w:pPr>
      <w:r w:rsidRPr="00DF7B6F">
        <w:rPr>
          <w:i/>
        </w:rPr>
        <w:t>Grafik 3.1.4</w:t>
      </w:r>
      <w:r w:rsidR="00B53ED8" w:rsidRPr="00DF7B6F">
        <w:rPr>
          <w:i/>
        </w:rPr>
        <w:t xml:space="preserve"> Treguesit e tregut të punës</w:t>
      </w:r>
    </w:p>
    <w:p w14:paraId="7783F871" w14:textId="2750B41C" w:rsidR="00B53ED8" w:rsidRPr="00DC66CD" w:rsidRDefault="00AE2EB7" w:rsidP="00332069">
      <w:pPr>
        <w:pStyle w:val="TEKSTIIII"/>
        <w:jc w:val="center"/>
      </w:pPr>
      <w:r w:rsidRPr="00DC66CD">
        <w:rPr>
          <w:rFonts w:ascii="Times New Roman" w:hAnsi="Times New Roman"/>
          <w:noProof/>
          <w:lang w:val="en-US" w:eastAsia="en-US"/>
        </w:rPr>
        <w:drawing>
          <wp:inline distT="0" distB="0" distL="0" distR="0" wp14:anchorId="5E1A6585" wp14:editId="40E52E7D">
            <wp:extent cx="5755640" cy="21154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5640" cy="2115474"/>
                    </a:xfrm>
                    <a:prstGeom prst="rect">
                      <a:avLst/>
                    </a:prstGeom>
                    <a:noFill/>
                    <a:ln>
                      <a:noFill/>
                    </a:ln>
                  </pic:spPr>
                </pic:pic>
              </a:graphicData>
            </a:graphic>
          </wp:inline>
        </w:drawing>
      </w:r>
    </w:p>
    <w:p w14:paraId="6E59C92B" w14:textId="77777777" w:rsidR="004F2280" w:rsidRPr="00DF7B6F" w:rsidRDefault="004F2280" w:rsidP="004F2280">
      <w:pPr>
        <w:pStyle w:val="TEKSTIIII"/>
        <w:rPr>
          <w:i/>
        </w:rPr>
      </w:pPr>
      <w:r w:rsidRPr="00DF7B6F">
        <w:rPr>
          <w:i/>
        </w:rPr>
        <w:t>Burimi: INSTAT</w:t>
      </w:r>
    </w:p>
    <w:p w14:paraId="05875988" w14:textId="77777777" w:rsidR="004F2280" w:rsidRPr="00DC66CD" w:rsidRDefault="004F2280" w:rsidP="004F2280">
      <w:pPr>
        <w:pStyle w:val="TEKSTIIII"/>
      </w:pPr>
    </w:p>
    <w:p w14:paraId="348260E4" w14:textId="161E56D7" w:rsidR="004F2280" w:rsidRPr="00DC66CD" w:rsidRDefault="004F2280" w:rsidP="004F2280">
      <w:pPr>
        <w:pStyle w:val="TEKSTIIII"/>
      </w:pPr>
      <w:r w:rsidRPr="00DC66CD">
        <w:t>Rritja vjetore e pagës mesatare në ekonomi</w:t>
      </w:r>
      <w:r w:rsidRPr="00DC66CD">
        <w:rPr>
          <w:vertAlign w:val="superscript"/>
        </w:rPr>
        <w:footnoteReference w:id="4"/>
      </w:r>
      <w:r w:rsidRPr="00DC66CD">
        <w:t xml:space="preserve"> rezultoi rreth 4.3% në tre tremujorët e parë të vitit 2019. E deflatuar për inflacionin, paga mesatare u rrit me 2.9%. Rritja e pagës minimale dhe rritja e pagave për punonjësit në segmente të caktuara të sektorit publik ndikuan në ecurinë e pagës në kahun rritës, veçanërisht</w:t>
      </w:r>
      <w:r w:rsidR="00332069" w:rsidRPr="00DC66CD">
        <w:t>,</w:t>
      </w:r>
      <w:r w:rsidRPr="00DC66CD">
        <w:t xml:space="preserve"> gjatë gjysmës së parë të vitit 2019. Kostot e punës për njësi</w:t>
      </w:r>
      <w:r w:rsidRPr="00DC66CD">
        <w:rPr>
          <w:vertAlign w:val="superscript"/>
        </w:rPr>
        <w:footnoteReference w:id="5"/>
      </w:r>
      <w:r w:rsidRPr="00DC66CD">
        <w:t xml:space="preserve"> u rritën me 1.5% në terma vjetorë në tremujorin e tretë të vitit 2019 nga 1.2% në tremujorin e dytë. Kjo</w:t>
      </w:r>
      <w:r w:rsidR="00332069" w:rsidRPr="00DC66CD">
        <w:t>,</w:t>
      </w:r>
      <w:r w:rsidRPr="00DC66CD">
        <w:t xml:space="preserve"> kryesisht për shkak të prirjes lehtësisht në rritje të treguesit të pagës mesatare reale për aktivitetet e mbuluara nga statistikat afatshkurtra. Produktiviteti i punës mbetet i ulët, pothuajse i pandryshuar nga një vit më parë.</w:t>
      </w:r>
    </w:p>
    <w:p w14:paraId="1101E671" w14:textId="13FC1B6A" w:rsidR="004F2280" w:rsidRPr="00DC66CD" w:rsidRDefault="004F2280" w:rsidP="004F2280">
      <w:pPr>
        <w:pStyle w:val="TEKSTIIII"/>
      </w:pPr>
      <w:r w:rsidRPr="00DC66CD">
        <w:t>Inflacioni vjetor rezultoi mesatarisht 1.4% gjatë vitit 2019, me rënie nga norma prej 2% e shënuar vitin e kaluar. Dinamika tremujore e inflacionit total erdhi në rënie nga 1.6% në tremujorin e parë, 1.4% në tremujorin e dytë dhe të tretë dhe 1.3% në tremujorin e fundit të vitit. Pavarësisht prirjes rënëse të inflacionit total, komponenti i inflacionit bazë ka ardhur në rritje gjatë vitit 2019, nga 0.4% në tremujorin e parë në 0.8% në tremujorin e fundit të vitit 2019. Gjithsesi, inflacioni bazë mbetet poshtë prirjes historike dhe më poshtë se niveli i vitit 2018. Normat e ulëta të inflacioni reflektojnë presionet e dobëta të gjeneruara nga hendeku negativ i prodhimit dhe rritjen e ngadaltë të kostove në ekonomi. Gjithashtu, presionet nga inflacioni i importuar mbeten ende të dobëta, të ndikuara</w:t>
      </w:r>
      <w:r w:rsidR="00332069" w:rsidRPr="00DC66CD">
        <w:t>,</w:t>
      </w:r>
      <w:r w:rsidRPr="00DC66CD">
        <w:t xml:space="preserve"> si nga rritja modeste e çmimeve të huaja</w:t>
      </w:r>
      <w:r w:rsidR="00332069" w:rsidRPr="00DC66CD">
        <w:t>,</w:t>
      </w:r>
      <w:r w:rsidRPr="00DC66CD">
        <w:t xml:space="preserve"> ashtu dhe nga efekti i mbiçmimit të kursit të këmbimit. Megjithatë, ndikimi rënës nga mbiçmimi i kursit të këmbimit ishte më i zbutur, duke reflektuar stabilizimin e tij gjatë vitit 2019. Njëkohësisht, inflacioni u ndikua nga kontribute të ulëta nga çmimet e qirasë</w:t>
      </w:r>
      <w:r w:rsidR="0072211B" w:rsidRPr="00DC66CD">
        <w:t xml:space="preserve"> </w:t>
      </w:r>
      <w:r w:rsidRPr="00DC66CD">
        <w:t xml:space="preserve">dhe nga kategoria e mallrave me çmime të administruara, kryesisht për arsye të efektit të lartë të bazës krahasuese me vjet. </w:t>
      </w:r>
    </w:p>
    <w:p w14:paraId="10F244AF" w14:textId="77777777" w:rsidR="004F2280" w:rsidRPr="00DC66CD" w:rsidRDefault="004F2280" w:rsidP="004F2280">
      <w:pPr>
        <w:pStyle w:val="TEKSTIIII"/>
      </w:pPr>
    </w:p>
    <w:p w14:paraId="5AF68C2C" w14:textId="49B46CDA" w:rsidR="004F2280" w:rsidRPr="00DF7B6F" w:rsidRDefault="004F2280" w:rsidP="004F2280">
      <w:pPr>
        <w:pStyle w:val="TEKSTIIII"/>
        <w:rPr>
          <w:i/>
        </w:rPr>
      </w:pPr>
      <w:r w:rsidRPr="00DF7B6F">
        <w:rPr>
          <w:i/>
        </w:rPr>
        <w:t>Grafik 3.1.5 Inflacioni dhe kontributet nga kategoritë kryesore</w:t>
      </w:r>
    </w:p>
    <w:p w14:paraId="4FBF0619" w14:textId="5C408868" w:rsidR="004F2280" w:rsidRPr="00DC66CD" w:rsidRDefault="00022246" w:rsidP="00332069">
      <w:pPr>
        <w:pStyle w:val="TEKSTIIII"/>
        <w:ind w:firstLine="0"/>
        <w:jc w:val="center"/>
      </w:pPr>
      <w:r w:rsidRPr="00DC66CD">
        <w:rPr>
          <w:rFonts w:ascii="Times New Roman" w:hAnsi="Times New Roman"/>
          <w:noProof/>
          <w:lang w:val="en-US" w:eastAsia="en-US"/>
        </w:rPr>
        <w:drawing>
          <wp:inline distT="0" distB="0" distL="0" distR="0" wp14:anchorId="32BDF60B" wp14:editId="1D87E052">
            <wp:extent cx="5755640" cy="21196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5640" cy="2119643"/>
                    </a:xfrm>
                    <a:prstGeom prst="rect">
                      <a:avLst/>
                    </a:prstGeom>
                    <a:noFill/>
                    <a:ln>
                      <a:noFill/>
                    </a:ln>
                  </pic:spPr>
                </pic:pic>
              </a:graphicData>
            </a:graphic>
          </wp:inline>
        </w:drawing>
      </w:r>
    </w:p>
    <w:p w14:paraId="0760B9D9" w14:textId="29C0BBA4" w:rsidR="000045A9" w:rsidRPr="006C7645" w:rsidRDefault="000045A9" w:rsidP="000045A9">
      <w:pPr>
        <w:pStyle w:val="TEKSTIIII"/>
        <w:rPr>
          <w:i/>
        </w:rPr>
      </w:pPr>
      <w:r w:rsidRPr="006C7645">
        <w:rPr>
          <w:i/>
        </w:rPr>
        <w:t>Burimi: INSTAT</w:t>
      </w:r>
      <w:r w:rsidR="00332069" w:rsidRPr="006C7645">
        <w:rPr>
          <w:i/>
        </w:rPr>
        <w:t>-i</w:t>
      </w:r>
      <w:r w:rsidRPr="006C7645">
        <w:rPr>
          <w:i/>
        </w:rPr>
        <w:t xml:space="preserve"> dhe Banka e Shqipërisë</w:t>
      </w:r>
    </w:p>
    <w:p w14:paraId="24C65CC0" w14:textId="77777777" w:rsidR="000045A9" w:rsidRPr="00DC66CD" w:rsidRDefault="000045A9" w:rsidP="000045A9">
      <w:pPr>
        <w:pStyle w:val="TEKSTIIII"/>
      </w:pPr>
    </w:p>
    <w:p w14:paraId="68E0FDF3" w14:textId="43164E5F" w:rsidR="000045A9" w:rsidRPr="00DC66CD" w:rsidRDefault="000045A9" w:rsidP="000045A9">
      <w:pPr>
        <w:pStyle w:val="TEKSTIIII"/>
      </w:pPr>
      <w:r w:rsidRPr="00DC66CD">
        <w:t>Ndikimin kryesor rënës në inflacionin total për vitin 2019 e dhanë shërbimet dhe kategoria e mallrave me çmime të administruara, përkatësisht -0.3 p.p. dhe -0.2 p.p.. Gjithashtu, disa nënkomponentë të shërbimeve janë ndikuar nga mbiçmimi i kursit të këmbimit, rritje e konkurrencës dhe efektet indirekte nga ulja e çmimit të naftës. Kontribut rënës në inflacionin total erdhi edhe nga kategoria e mallrave energjetike me 0.1 pikë përqindje</w:t>
      </w:r>
      <w:r w:rsidR="006F7214" w:rsidRPr="00DC66CD">
        <w:t>je</w:t>
      </w:r>
      <w:r w:rsidRPr="00DC66CD">
        <w:rPr>
          <w:vertAlign w:val="superscript"/>
        </w:rPr>
        <w:footnoteReference w:id="6"/>
      </w:r>
      <w:r w:rsidRPr="00DC66CD">
        <w:t xml:space="preserve">. </w:t>
      </w:r>
    </w:p>
    <w:p w14:paraId="06AED956" w14:textId="77777777" w:rsidR="000045A9" w:rsidRPr="00DC66CD" w:rsidRDefault="000045A9" w:rsidP="000045A9">
      <w:pPr>
        <w:pStyle w:val="TEKSTIIII"/>
      </w:pPr>
      <w:r w:rsidRPr="00DC66CD">
        <w:t xml:space="preserve">Për të ardhmen, Banka e Shqipërisë vlerëson se forcimi i presioneve nga kostot e punësimit, nivelet më të larta të shfrytëzimit të kapacitetit dhe stabilizimi i kursit të këmbimit do të përçohen në inflacion. </w:t>
      </w:r>
    </w:p>
    <w:p w14:paraId="7BBF68D1" w14:textId="00858335" w:rsidR="000045A9" w:rsidRPr="00DC66CD" w:rsidRDefault="000045A9" w:rsidP="000045A9">
      <w:pPr>
        <w:pStyle w:val="TEKSTIIII"/>
      </w:pPr>
      <w:r w:rsidRPr="00DC66CD">
        <w:t xml:space="preserve">Deficiti i llogarisë korrente në raport me </w:t>
      </w:r>
      <w:r w:rsidR="006A2234" w:rsidRPr="00DC66CD">
        <w:t xml:space="preserve">prodhimin e brendshëm bruto </w:t>
      </w:r>
      <w:r w:rsidRPr="00DC66CD">
        <w:t>ka zbritur në nivelin 4.6% në nëntëmujorin e vitit 2019. Ky tregues u zgjerua 38.9% në terma vjetorë, kryesisht si pasojë e zgjerimit të deficitit tregtar të energjisë. Deficiti i llogarisë korrente është f</w:t>
      </w:r>
      <w:r w:rsidR="006A2234" w:rsidRPr="00DC66CD">
        <w:t>inancuar kryesisht me flukse jo</w:t>
      </w:r>
      <w:r w:rsidRPr="00DC66CD">
        <w:t>borxhkrijuese</w:t>
      </w:r>
      <w:r w:rsidR="006A2234" w:rsidRPr="00DC66CD">
        <w:t>,</w:t>
      </w:r>
      <w:r w:rsidRPr="00DC66CD">
        <w:t xml:space="preserve"> në formën e investimeve të huaja direkte. Investimet e huaja direkte neto u rritën me 0.1% në terma vjetorë gjatë nëntëmujorit të vitit 2019. </w:t>
      </w:r>
    </w:p>
    <w:p w14:paraId="1BED1DD4" w14:textId="77777777" w:rsidR="000045A9" w:rsidRPr="00DC66CD" w:rsidRDefault="000045A9" w:rsidP="000045A9">
      <w:pPr>
        <w:pStyle w:val="TEKSTIIII"/>
        <w:rPr>
          <w:lang w:eastAsia="x-none"/>
        </w:rPr>
      </w:pPr>
      <w:r w:rsidRPr="00DC66CD">
        <w:rPr>
          <w:lang w:eastAsia="x-none"/>
        </w:rPr>
        <w:t>Stoku i borxhit të jashtëm të Shqipërisë ka zbritur në 61.6% ndaj PBB-së nominale në nëntëmujorin e vitit 2019. Nga pikëpamja e qëndrueshmërisë, treguesit e aftësisë ripaguese afatgjatë të borxhit të jashtëm të Shqipërisë janë përmirësuar gjatë periudhave të fundit.</w:t>
      </w:r>
    </w:p>
    <w:p w14:paraId="3563B126" w14:textId="3A997A73" w:rsidR="000045A9" w:rsidRPr="00DC66CD" w:rsidRDefault="000045A9" w:rsidP="000045A9">
      <w:pPr>
        <w:pStyle w:val="TEKSTIIII"/>
      </w:pPr>
      <w:r w:rsidRPr="00DC66CD">
        <w:t>Në fund të vitit 2019, rezervat valutore bruto shën</w:t>
      </w:r>
      <w:r w:rsidR="006A2234" w:rsidRPr="00DC66CD">
        <w:t>ojnë nivelin 3,360 milionë euro</w:t>
      </w:r>
      <w:r w:rsidRPr="00DC66CD">
        <w:t xml:space="preserve"> ose rreth 24.5% e PBB-së. Tregues të mjaftueshmërisë së rezervës tregojnë se ato janë të mjaftueshme për të mbuluar 6.6 muaj importe mallrash dhe shërbimesh dhe 155% të borxhit të huaj afatshkurtër, duke qenë ndjeshëm mbi nivelet kritike. </w:t>
      </w:r>
    </w:p>
    <w:p w14:paraId="456B8421" w14:textId="368F3F21" w:rsidR="000045A9" w:rsidRPr="00DC66CD" w:rsidRDefault="000045A9" w:rsidP="000045A9">
      <w:pPr>
        <w:pStyle w:val="TEKSTIIII"/>
      </w:pPr>
      <w:r w:rsidRPr="00DC66CD">
        <w:t xml:space="preserve">Mbiçmimi i </w:t>
      </w:r>
      <w:r w:rsidR="006A2234" w:rsidRPr="00DC66CD">
        <w:t>lekut</w:t>
      </w:r>
      <w:r w:rsidRPr="00DC66CD">
        <w:t xml:space="preserve"> i vërejtur vitet e fundit, pasi kulmoi në fund të vitit 2018, filloi të reduktohet në mënyrë të qëndrueshme gjatë vitit 2019. Kjo dinamikë u diktua nga zhvillime më pak të favorshme në sektorin e jashtëm të ekonomisë krahasuar me vitet e mëparshëm. Në terma nominalë efektivë, mbiçmimi i lekut zbriti në 1.9% në dhjetor të vitit 2019, nga 10.2% që ishte në dhjetorin e kaluar. I njëjti trend shihet edhe në kursin eur</w:t>
      </w:r>
      <w:r w:rsidR="0036754C" w:rsidRPr="00DC66CD">
        <w:t>o</w:t>
      </w:r>
      <w:r w:rsidRPr="00DC66CD">
        <w:t>/lek, ku mbiçmimi vjetor i lekut ra në 1.0% në dhjetor, nga 7.4% që ishte në fund të vitit 2018. Presionet e forta mbiçmuese të shfaqura gjatë vitit 2018 u pakësuan gjatë vitit në vazhdim dhe luhatjet në tregun valutor duket të jenë normalizuar. Ndërhyrja e Bankës së Shqipërisë</w:t>
      </w:r>
      <w:r w:rsidR="0036754C" w:rsidRPr="00DC66CD">
        <w:t>,</w:t>
      </w:r>
      <w:r w:rsidRPr="00DC66CD">
        <w:t xml:space="preserve"> vitin që kaloi u ndërmor në kohën e duhur dhe rezultoi efektive. Gjatë vitit 2019, luhatshmëria në tregun valutor ka qenë e ulët dhe mbiçmimi i lehtë i lekut kundrejt euros ka qenë në linjë me sjelljen sezonale të kursit.</w:t>
      </w:r>
    </w:p>
    <w:p w14:paraId="750B1E02" w14:textId="360E5B34" w:rsidR="000045A9" w:rsidRPr="00DC66CD" w:rsidRDefault="000045A9" w:rsidP="000045A9">
      <w:pPr>
        <w:pStyle w:val="TEKSTIIII"/>
      </w:pPr>
      <w:r w:rsidRPr="00DC66CD">
        <w:t>Kredia për sektorin privat ka vijuar t</w:t>
      </w:r>
      <w:r w:rsidR="00553FD9" w:rsidRPr="00DC66CD">
        <w:t>ë</w:t>
      </w:r>
      <w:r w:rsidRPr="00DC66CD">
        <w:t xml:space="preserve"> rikuperohet gjatë vitit 2019, në përputhje me pritshmëritë. Deri në muajin nëntor, ky portofol është zgjeruar mesatarisht me 6.9% në terma vjetorë, rreth 1.7 pikë përqindje</w:t>
      </w:r>
      <w:r w:rsidR="00553FD9" w:rsidRPr="00DC66CD">
        <w:t>je</w:t>
      </w:r>
      <w:r w:rsidRPr="00DC66CD">
        <w:t xml:space="preserve"> më shumë se në vitin 2018. Ndryshe nga viti 2018, kontribuesi kryesor në rritjen e kredisë gjatë këtij viti ka rezultuar kredia për biznese (kryesisht për likuiditete), e cila ka kontribuar me rreth 4.7 pikë përqindje</w:t>
      </w:r>
      <w:r w:rsidR="00553FD9" w:rsidRPr="00DC66CD">
        <w:t>je</w:t>
      </w:r>
      <w:r w:rsidRPr="00DC66CD">
        <w:t xml:space="preserve"> në këtë rritje. Kredia për individë vijon të shfaqet e qëndrueshme, mbështetur kryesisht nga kredia për blerje banese. Zgjerimi i kredisë për sektorin privat është nxitur më së shumti nga kredia në lekë, e cila shënoi rritje vjetore me 8.6% mesatarisht deri në muajin nëntor. Në fund të periudhës, kredia në monedhë </w:t>
      </w:r>
      <w:r w:rsidR="00637183" w:rsidRPr="00DC66CD">
        <w:t>vendës</w:t>
      </w:r>
      <w:r w:rsidRPr="00DC66CD">
        <w:t>e përbën rreth 48.2% ndaj totalit të kredisë për sektorin privat, krahasuar me 42.6% tre</w:t>
      </w:r>
      <w:r w:rsidR="00553FD9" w:rsidRPr="00DC66CD">
        <w:t xml:space="preserve"> vjet</w:t>
      </w:r>
      <w:r w:rsidRPr="00DC66CD">
        <w:t xml:space="preserve"> më parë</w:t>
      </w:r>
      <w:r w:rsidR="00553FD9" w:rsidRPr="00DC66CD">
        <w:t>.</w:t>
      </w:r>
      <w:r w:rsidRPr="00DC66CD">
        <w:t xml:space="preserve"> </w:t>
      </w:r>
    </w:p>
    <w:p w14:paraId="652DA635" w14:textId="77777777" w:rsidR="000045A9" w:rsidRPr="00DC66CD" w:rsidRDefault="000045A9" w:rsidP="000045A9">
      <w:pPr>
        <w:pStyle w:val="TEKSTIIII"/>
      </w:pPr>
      <w:r w:rsidRPr="00DC66CD">
        <w:t>Rritja më e shpejtë e kredisë reflekton si rritjen e kërkesës, ashtu edhe përmirësimin e kushteve të ofertës. Kjo e fundit është mbështetur nga primet e ulëta të rrezikut dhe rritja e konkurrencës në tregje si pasojë e procesit të konsolidimit të sistemit bankar. Raporti i kredive me probleme ka vijuar të ulet, duke arritur në 9.5% në muajin nëntor dhe duke regjistruar kështu një rënie me rreth 25% krahasuar me një vit më parë.</w:t>
      </w:r>
    </w:p>
    <w:p w14:paraId="234E1F9D" w14:textId="77777777" w:rsidR="000045A9" w:rsidRPr="00DC66CD" w:rsidRDefault="000045A9" w:rsidP="000045A9">
      <w:pPr>
        <w:pStyle w:val="TEKSTIIII"/>
      </w:pPr>
    </w:p>
    <w:p w14:paraId="071F9425" w14:textId="3E37319B" w:rsidR="000045A9" w:rsidRPr="00DF7B6F" w:rsidRDefault="00D71115" w:rsidP="000045A9">
      <w:pPr>
        <w:pStyle w:val="TEKSTIIII"/>
        <w:rPr>
          <w:i/>
        </w:rPr>
      </w:pPr>
      <w:r w:rsidRPr="00DF7B6F">
        <w:rPr>
          <w:i/>
        </w:rPr>
        <w:t>Grafik 3.1.6</w:t>
      </w:r>
      <w:r w:rsidR="000045A9" w:rsidRPr="00DF7B6F">
        <w:rPr>
          <w:i/>
        </w:rPr>
        <w:t xml:space="preserve"> Zhvillimet monetare</w:t>
      </w:r>
    </w:p>
    <w:p w14:paraId="662DD567" w14:textId="614297B8" w:rsidR="000045A9" w:rsidRPr="00DC66CD" w:rsidRDefault="007E7DFF" w:rsidP="00D71115">
      <w:pPr>
        <w:pStyle w:val="TEKSTIIII"/>
        <w:ind w:firstLine="0"/>
        <w:jc w:val="center"/>
      </w:pPr>
      <w:r w:rsidRPr="00DC66CD">
        <w:rPr>
          <w:rFonts w:ascii="Times New Roman" w:hAnsi="Times New Roman"/>
          <w:noProof/>
          <w:lang w:val="en-US" w:eastAsia="en-US"/>
        </w:rPr>
        <w:drawing>
          <wp:inline distT="0" distB="0" distL="0" distR="0" wp14:anchorId="52C35CD0" wp14:editId="4D6189B5">
            <wp:extent cx="5755640" cy="19101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5640" cy="1910169"/>
                    </a:xfrm>
                    <a:prstGeom prst="rect">
                      <a:avLst/>
                    </a:prstGeom>
                    <a:noFill/>
                  </pic:spPr>
                </pic:pic>
              </a:graphicData>
            </a:graphic>
          </wp:inline>
        </w:drawing>
      </w:r>
    </w:p>
    <w:p w14:paraId="3D6F6D34" w14:textId="11F7C13C" w:rsidR="00F361F9" w:rsidRPr="006C7645" w:rsidRDefault="00F361F9" w:rsidP="00F361F9">
      <w:pPr>
        <w:pStyle w:val="TEKSTIIII"/>
        <w:rPr>
          <w:i/>
        </w:rPr>
      </w:pPr>
      <w:r w:rsidRPr="006C7645">
        <w:rPr>
          <w:i/>
        </w:rPr>
        <w:t xml:space="preserve">Burimi: Banka e Shqipërisë. *E dhëna më e fundit është </w:t>
      </w:r>
      <w:r w:rsidR="00D71115" w:rsidRPr="006C7645">
        <w:rPr>
          <w:i/>
        </w:rPr>
        <w:t xml:space="preserve">në </w:t>
      </w:r>
      <w:r w:rsidRPr="006C7645">
        <w:rPr>
          <w:i/>
        </w:rPr>
        <w:t>nëntor 2019.</w:t>
      </w:r>
    </w:p>
    <w:p w14:paraId="76BD4764" w14:textId="77777777" w:rsidR="00F361F9" w:rsidRPr="00DC66CD" w:rsidRDefault="00F361F9" w:rsidP="00F361F9">
      <w:pPr>
        <w:pStyle w:val="TEKSTIIII"/>
      </w:pPr>
    </w:p>
    <w:p w14:paraId="5668CFEC" w14:textId="77777777" w:rsidR="00F361F9" w:rsidRPr="00DC66CD" w:rsidRDefault="00F361F9" w:rsidP="00F361F9">
      <w:pPr>
        <w:pStyle w:val="TEKSTIIII"/>
      </w:pPr>
      <w:r w:rsidRPr="00DC66CD">
        <w:t>Stoku i depozitave të rezidentëve ka shënuar rritje mesatare vjetore me rreth 4.4% deri në muajin nëntor. Zhvillimet në kahun e pasivit të sistemit bankar janë ndikuar nga zhvendosja e vazhdueshme e depozitave drejt dy ekstremeve në terma të maturitetit – depozitat pa afat (46.5% ndaj totalit) dhe depozitave me afat maturimi mbi dy vjet (13.4% ndaj totalit). Normat e ulëta të interesit kanë ndikuar në zhvendosjen e kursimeve drejt letrave me vlerë të qeverisë, edhe pse më pak e ndjeshme se një vit më parë. Depozitat e individëve mbeten kontribuesi kryesor në zhvendosjen e strukturës kohore të parasë.</w:t>
      </w:r>
    </w:p>
    <w:p w14:paraId="4EB1D248" w14:textId="29F0C85A" w:rsidR="00F361F9" w:rsidRPr="00DC66CD" w:rsidRDefault="00F361F9" w:rsidP="00F361F9">
      <w:pPr>
        <w:pStyle w:val="TEKSTIIII"/>
      </w:pPr>
      <w:r w:rsidRPr="00DC66CD">
        <w:t xml:space="preserve">Në tërësi, kushtet financiare mbeten mbështetëse të rritjes së konsumit dhe të investimeve. Tregjet financiare karakterizohen nga norma të ulëta interesi, prime rreziku në rënie dhe likuiditet i bollshëm. Politika monetare ka ruajtur natyrën e saj stimuluese: norma bazë mbeti e pandryshuar në 1.00%, pritjet e tregjeve janë orientuar për drejtimin e ardhshëm të politikës monetare nëpërmjet </w:t>
      </w:r>
      <w:r w:rsidRPr="00DC66CD">
        <w:rPr>
          <w:i/>
        </w:rPr>
        <w:t>orientimit të politikës monetare</w:t>
      </w:r>
      <w:r w:rsidRPr="00DC66CD">
        <w:t xml:space="preserve"> dhe Banka e Shqipërisë ka furnizuar tregun me likuiditetin e nevojshëm. Këto kushte kanë mundësuar reduktimin e mëtejshëm të normave të interesit të depozitave dhe kredive gjatë këtij viti. Normat më të ulëta të interesit të kredive, si për individët, ashtu edhe për bizneset, kanë reflektuar</w:t>
      </w:r>
      <w:r w:rsidR="00D9414C" w:rsidRPr="00DC66CD">
        <w:t>,</w:t>
      </w:r>
      <w:r w:rsidRPr="00DC66CD">
        <w:t xml:space="preserve"> gjithashtu</w:t>
      </w:r>
      <w:r w:rsidR="00D9414C" w:rsidRPr="00DC66CD">
        <w:t>,</w:t>
      </w:r>
      <w:r w:rsidRPr="00DC66CD">
        <w:t xml:space="preserve"> uljen e rrezikut të kredisë, si rrjedhojë e uljes së kredive me probleme, si dhe rritjen e konkurrencës mes bankave. </w:t>
      </w:r>
      <w:r w:rsidRPr="00DC66CD">
        <w:rPr>
          <w:i/>
        </w:rPr>
        <w:t>Yield</w:t>
      </w:r>
      <w:r w:rsidRPr="00DC66CD">
        <w:t>-et e letrave me vlerë të qeverisë janë luhatur në vlerat më të ulëta të tyre dhe kurba e tyre është sheshuar gjatë këtij viti, duke reflektuar reduktim të primeve të rrezikut.</w:t>
      </w:r>
    </w:p>
    <w:p w14:paraId="32D17643" w14:textId="4DA477EF" w:rsidR="00F361F9" w:rsidRPr="00DC66CD" w:rsidRDefault="00F361F9" w:rsidP="00F361F9">
      <w:pPr>
        <w:pStyle w:val="TEKSTIIII"/>
        <w:rPr>
          <w:b/>
        </w:rPr>
      </w:pPr>
      <w:bookmarkStart w:id="5" w:name="_Toc30661214"/>
      <w:bookmarkStart w:id="6" w:name="_Toc30416389"/>
      <w:r w:rsidRPr="00DC66CD">
        <w:rPr>
          <w:b/>
        </w:rPr>
        <w:t>3.2 Skenari makroekonomik afatmesëm</w:t>
      </w:r>
      <w:bookmarkEnd w:id="5"/>
      <w:bookmarkEnd w:id="6"/>
    </w:p>
    <w:p w14:paraId="694F58BB" w14:textId="77777777" w:rsidR="00F361F9" w:rsidRPr="00DC66CD" w:rsidRDefault="00F361F9" w:rsidP="00F361F9">
      <w:pPr>
        <w:pStyle w:val="TEKSTIIII"/>
        <w:rPr>
          <w:b/>
        </w:rPr>
      </w:pPr>
      <w:r w:rsidRPr="00DC66CD">
        <w:rPr>
          <w:b/>
        </w:rPr>
        <w:t>Sektori real</w:t>
      </w:r>
    </w:p>
    <w:p w14:paraId="240BEB1B" w14:textId="77F3B1AB" w:rsidR="00F361F9" w:rsidRPr="00DC66CD" w:rsidRDefault="00F361F9" w:rsidP="00F361F9">
      <w:pPr>
        <w:pStyle w:val="TEKSTIIII"/>
      </w:pPr>
      <w:r w:rsidRPr="00DC66CD">
        <w:t>Rritja ekonomike parashikohet të qëndrojë në nivelin 4% përgjatë tr</w:t>
      </w:r>
      <w:r w:rsidR="00D9414C" w:rsidRPr="00DC66CD">
        <w:t>i</w:t>
      </w:r>
      <w:r w:rsidRPr="00DC66CD">
        <w:t xml:space="preserve"> viteve 2020</w:t>
      </w:r>
      <w:r w:rsidR="00D9414C" w:rsidRPr="00DC66CD">
        <w:t>–</w:t>
      </w:r>
      <w:r w:rsidRPr="00DC66CD">
        <w:t>2022. Më konkretisht, rritja ekonomike afatmesme në Shqipëri parashikohet të shënojë nivelet prej 4.1% në vitin 2020 dhe 4.0% në vitet 2021 dhe 2022.</w:t>
      </w:r>
    </w:p>
    <w:p w14:paraId="5F1EDD20" w14:textId="7D9DD177" w:rsidR="00F361F9" w:rsidRPr="00DC66CD" w:rsidRDefault="00F361F9" w:rsidP="00F361F9">
      <w:pPr>
        <w:pStyle w:val="TEKSTIIII"/>
      </w:pPr>
      <w:r w:rsidRPr="00DC66CD">
        <w:t xml:space="preserve">Rritja për vitin 2019 pritet të jetë rreth nivelit 2.7%, çka shënon një ngadalësim krahasuar me rritjen e vazhdueshme dhe të konsiderueshme që prej vitit 2014, e cila arriti pikën më kulmore prej 4.1% në vitin 2018. Ky ngadalësim </w:t>
      </w:r>
      <w:r w:rsidR="00D9414C" w:rsidRPr="00DC66CD">
        <w:t>i</w:t>
      </w:r>
      <w:r w:rsidRPr="00DC66CD">
        <w:t xml:space="preserve"> rritjes vjen</w:t>
      </w:r>
      <w:r w:rsidR="00D9414C" w:rsidRPr="00DC66CD">
        <w:t>,</w:t>
      </w:r>
      <w:r w:rsidRPr="00DC66CD">
        <w:t xml:space="preserve"> kryesisht</w:t>
      </w:r>
      <w:r w:rsidR="00D9414C" w:rsidRPr="00DC66CD">
        <w:t>,</w:t>
      </w:r>
      <w:r w:rsidRPr="00DC66CD">
        <w:t xml:space="preserve"> si shkak i faktorëve të paqëndrueshëm dhe të përkohshëm. Në muajin </w:t>
      </w:r>
      <w:r w:rsidR="00D9414C" w:rsidRPr="00DC66CD">
        <w:t xml:space="preserve">nëntor </w:t>
      </w:r>
      <w:r w:rsidRPr="00DC66CD">
        <w:t>të vitit 2019, Shqipëria është goditur nga një tërmet shumë i fortë, pasojat ekonomike të të cilit mbeten për t</w:t>
      </w:r>
      <w:r w:rsidR="002C582E" w:rsidRPr="00DC66CD">
        <w:t>’</w:t>
      </w:r>
      <w:r w:rsidRPr="00DC66CD">
        <w:t>u vlerësuar në periudhën afatmesme</w:t>
      </w:r>
      <w:r w:rsidR="00D9414C" w:rsidRPr="00DC66CD">
        <w:t>,</w:t>
      </w:r>
      <w:r w:rsidRPr="00DC66CD">
        <w:t xml:space="preserve"> për shkak të dëmeve të mëdha të shkaktuara në rrethet e Durrësit dhe </w:t>
      </w:r>
      <w:r w:rsidR="00D9414C" w:rsidRPr="00DC66CD">
        <w:t xml:space="preserve">të </w:t>
      </w:r>
      <w:r w:rsidRPr="00DC66CD">
        <w:t>Tiranës, ku u shpall dhe gjendja e jashtëzakonshme nga qeveria.</w:t>
      </w:r>
    </w:p>
    <w:p w14:paraId="6BAC0E6A" w14:textId="7F71B5E7" w:rsidR="00F361F9" w:rsidRPr="00DC66CD" w:rsidRDefault="00F361F9" w:rsidP="00F361F9">
      <w:pPr>
        <w:pStyle w:val="TEKSTIIII"/>
      </w:pPr>
      <w:r w:rsidRPr="00DC66CD">
        <w:t>Gjatë periudhës afatmesme rritja pritet të gjenerohet kryesisht nga kërkesa e brendshme, si konsumi privat</w:t>
      </w:r>
      <w:r w:rsidR="00D9414C" w:rsidRPr="00DC66CD">
        <w:t>,</w:t>
      </w:r>
      <w:r w:rsidRPr="00DC66CD">
        <w:t xml:space="preserve"> ashtu edhe investimet. Konsumi privat pritet të nxitet</w:t>
      </w:r>
      <w:r w:rsidR="00D9414C" w:rsidRPr="00DC66CD">
        <w:t>,</w:t>
      </w:r>
      <w:r w:rsidRPr="00DC66CD">
        <w:t xml:space="preserve"> kryesisht</w:t>
      </w:r>
      <w:r w:rsidR="00D9414C" w:rsidRPr="00DC66CD">
        <w:t>,</w:t>
      </w:r>
      <w:r w:rsidRPr="00DC66CD">
        <w:t xml:space="preserve"> nga përmirësimi i besimit të konsumatorit, si dhe nga përmirësimet në tregun e punës. Këto të fundit pritet të transmetohen në një rritje graduale të pagave</w:t>
      </w:r>
      <w:r w:rsidR="00D9414C" w:rsidRPr="00DC66CD">
        <w:t>,</w:t>
      </w:r>
      <w:r w:rsidRPr="00DC66CD">
        <w:t xml:space="preserve"> të cilat më tej pritet të stimulojnë të ardhurat reale të disponueshme të individëve, duke krijuar efektin e raundit të dytë në nxitjen e kërkesës për konsum, si dhe duke intensifikuar prirjen e konsumatorëve për financimin e mëtejshëm </w:t>
      </w:r>
      <w:r w:rsidR="00D9414C" w:rsidRPr="00DC66CD">
        <w:t>të konsumit nëpërmjet një kredi</w:t>
      </w:r>
      <w:r w:rsidRPr="00DC66CD">
        <w:t>marrje</w:t>
      </w:r>
      <w:r w:rsidR="00D9414C" w:rsidRPr="00DC66CD">
        <w:t>je</w:t>
      </w:r>
      <w:r w:rsidRPr="00DC66CD">
        <w:t xml:space="preserve"> më të lartë. Ndërkohë, kredimarrja për konsum parashikohet të nxitet si nga përmirësimi i kushteve financiare të individëve, ashtu edhe nga lehtësimi i pritshëm i standardeve të huadhënies nga sistemi bankar. </w:t>
      </w:r>
    </w:p>
    <w:p w14:paraId="405FF2B6" w14:textId="151C88D6" w:rsidR="00F361F9" w:rsidRPr="00DC66CD" w:rsidRDefault="00F361F9" w:rsidP="00F361F9">
      <w:pPr>
        <w:pStyle w:val="TEKSTIIII"/>
      </w:pPr>
      <w:r w:rsidRPr="00DC66CD">
        <w:t xml:space="preserve">Ndërsa rritja e investimeve pritet të reflektojë shfrytëzimin më intensiv të kapaciteteve ekzistuese të prodhimit të vërejtur së fundmi, përshpejtimin e aktivitetit ekonomik gjatë periudhës së parashikuar, si dhe perceptimin e përgjithshëm të përmirësuar të biznesit stabilitetin makroekonomik të vendit dhe riskun e ulët përgjatë periudhës afatmesme dhe afatgjatë. Njëkohësisht edhe vijimësia e përmirësimit të kushteve financiare, </w:t>
      </w:r>
      <w:r w:rsidR="00E41427" w:rsidRPr="00DC66CD">
        <w:t xml:space="preserve">të </w:t>
      </w:r>
      <w:r w:rsidRPr="00DC66CD">
        <w:t>lehtësimit të standardeve të huadhënies</w:t>
      </w:r>
      <w:r w:rsidR="00CD39CC" w:rsidRPr="00DC66CD">
        <w:t>,</w:t>
      </w:r>
      <w:r w:rsidRPr="00DC66CD">
        <w:t xml:space="preserve"> si dhe politika monetare akomoduese dhe politikat e huamarrjes së qeverisë, priten të je</w:t>
      </w:r>
      <w:r w:rsidR="00CD39CC" w:rsidRPr="00DC66CD">
        <w:t>n</w:t>
      </w:r>
      <w:r w:rsidRPr="00DC66CD">
        <w:t>ë faktor</w:t>
      </w:r>
      <w:r w:rsidR="00CD39CC" w:rsidRPr="00DC66CD">
        <w:t>ë</w:t>
      </w:r>
      <w:r w:rsidRPr="00DC66CD">
        <w:t xml:space="preserve"> të rëndësishëm incentivues për investimet private në afatin e mesëm.</w:t>
      </w:r>
    </w:p>
    <w:p w14:paraId="59AECC95" w14:textId="28CE7251" w:rsidR="00F361F9" w:rsidRPr="00DC66CD" w:rsidRDefault="00F361F9" w:rsidP="00F361F9">
      <w:pPr>
        <w:pStyle w:val="TEKSTIIII"/>
      </w:pPr>
      <w:r w:rsidRPr="00DC66CD">
        <w:t>Konsumi fina</w:t>
      </w:r>
      <w:r w:rsidR="00CD39CC" w:rsidRPr="00DC66CD">
        <w:t>l, për periudhën afatmesme (2020–</w:t>
      </w:r>
      <w:r w:rsidRPr="00DC66CD">
        <w:t>2022)</w:t>
      </w:r>
      <w:r w:rsidR="00CD39CC" w:rsidRPr="00DC66CD">
        <w:t>,</w:t>
      </w:r>
      <w:r w:rsidRPr="00DC66CD">
        <w:t xml:space="preserve"> parashikohet të rritet në terma real</w:t>
      </w:r>
      <w:r w:rsidR="00CD39CC" w:rsidRPr="00DC66CD">
        <w:t>ë</w:t>
      </w:r>
      <w:r w:rsidR="0082771E" w:rsidRPr="00DC66CD">
        <w:t>,</w:t>
      </w:r>
      <w:r w:rsidRPr="00DC66CD">
        <w:t xml:space="preserve"> me mesatarisht 2.7% në vit, duke kontribuar me mesatarisht 2.5 pikë përqindje</w:t>
      </w:r>
      <w:r w:rsidR="0082771E" w:rsidRPr="00DC66CD">
        <w:t>je</w:t>
      </w:r>
      <w:r w:rsidRPr="00DC66CD">
        <w:t xml:space="preserve"> në vit në rritjen totale. Ndërsa investimet parashikohen të rriten në terma real</w:t>
      </w:r>
      <w:r w:rsidR="0082771E" w:rsidRPr="00DC66CD">
        <w:t>ë,</w:t>
      </w:r>
      <w:r w:rsidRPr="00DC66CD">
        <w:t xml:space="preserve"> me mesatarisht 5.1% në vit, me një kontribut mesatar në rritjen totale prej 1.2 pikë përqindje</w:t>
      </w:r>
      <w:r w:rsidR="0082771E" w:rsidRPr="00DC66CD">
        <w:t>je</w:t>
      </w:r>
      <w:r w:rsidRPr="00DC66CD">
        <w:t xml:space="preserve"> në vit. </w:t>
      </w:r>
    </w:p>
    <w:p w14:paraId="5E4FF4EC" w14:textId="359DB226" w:rsidR="00F361F9" w:rsidRPr="00DC66CD" w:rsidRDefault="00F361F9" w:rsidP="00F361F9">
      <w:pPr>
        <w:pStyle w:val="TEKSTIIII"/>
      </w:pPr>
      <w:r w:rsidRPr="00DC66CD">
        <w:t>Kërkesa e jashtme neto pritet të ketë efekt pozitiv marxhinal, pothuajse neutral në periudhën afatmesme. Eksportet e mallrave priten të kenë një trend pozitiv, duke supozuar se nuk do të ketë goditje të ndjeshme negative të çmimeve të naftës dhe mineraleve në tregjet ndërkombëtare. Eksportet e shërbimeve, veçanërisht shërbimet turistike, priten</w:t>
      </w:r>
      <w:r w:rsidR="009143B5" w:rsidRPr="00DC66CD">
        <w:t>,</w:t>
      </w:r>
      <w:r w:rsidRPr="00DC66CD">
        <w:t xml:space="preserve"> gjithashtu</w:t>
      </w:r>
      <w:r w:rsidR="009143B5" w:rsidRPr="00DC66CD">
        <w:t>,</w:t>
      </w:r>
      <w:r w:rsidRPr="00DC66CD">
        <w:t xml:space="preserve"> të vijojnë performancën pozitive të regjistruar në periudhën e kaluar, dhe do të jenë elementi kryesor për të kompensuar kontributin negativ të ardhur prej rritjes së importeve. </w:t>
      </w:r>
    </w:p>
    <w:p w14:paraId="4705A22E" w14:textId="01FE7A48" w:rsidR="00F361F9" w:rsidRPr="00DC66CD" w:rsidRDefault="00F361F9" w:rsidP="00F361F9">
      <w:pPr>
        <w:pStyle w:val="TEKSTIIII"/>
      </w:pPr>
      <w:r w:rsidRPr="00DC66CD">
        <w:t xml:space="preserve">Eksportet e mallrave dhe </w:t>
      </w:r>
      <w:r w:rsidR="009143B5" w:rsidRPr="00DC66CD">
        <w:t xml:space="preserve">të </w:t>
      </w:r>
      <w:r w:rsidRPr="00DC66CD">
        <w:t>shërbimeve</w:t>
      </w:r>
      <w:r w:rsidR="009143B5" w:rsidRPr="00DC66CD">
        <w:t>,</w:t>
      </w:r>
      <w:r w:rsidRPr="00DC66CD">
        <w:t xml:space="preserve"> për periudhën 2020</w:t>
      </w:r>
      <w:r w:rsidR="009143B5" w:rsidRPr="00DC66CD">
        <w:t>–</w:t>
      </w:r>
      <w:r w:rsidRPr="00DC66CD">
        <w:t>2022</w:t>
      </w:r>
      <w:r w:rsidR="009143B5" w:rsidRPr="00DC66CD">
        <w:t>,</w:t>
      </w:r>
      <w:r w:rsidRPr="00DC66CD">
        <w:t xml:space="preserve"> parashikohen të rriten me mesatarisht 7.2% në vit në terma real</w:t>
      </w:r>
      <w:r w:rsidR="009143B5" w:rsidRPr="00DC66CD">
        <w:t>ë</w:t>
      </w:r>
      <w:r w:rsidRPr="00DC66CD">
        <w:t>, me një kontribut mesatar pozitiv prej 2.3 pikë përqindje</w:t>
      </w:r>
      <w:r w:rsidR="009143B5" w:rsidRPr="00DC66CD">
        <w:t>je</w:t>
      </w:r>
      <w:r w:rsidRPr="00DC66CD">
        <w:t xml:space="preserve"> në vit në rritjen totale. Ndërsa</w:t>
      </w:r>
      <w:r w:rsidR="00374B3F" w:rsidRPr="00DC66CD">
        <w:t>,</w:t>
      </w:r>
      <w:r w:rsidRPr="00DC66CD">
        <w:t xml:space="preserve"> importet e mallrave dhe </w:t>
      </w:r>
      <w:r w:rsidR="00374B3F" w:rsidRPr="00DC66CD">
        <w:t xml:space="preserve">të </w:t>
      </w:r>
      <w:r w:rsidRPr="00DC66CD">
        <w:t>shërbimeve për këtë periudhë afatmesme parashikohen të zgjerohen me 4.2%</w:t>
      </w:r>
      <w:r w:rsidR="00374B3F" w:rsidRPr="00DC66CD">
        <w:t>,</w:t>
      </w:r>
      <w:r w:rsidRPr="00DC66CD">
        <w:t xml:space="preserve"> me një kontribut mesatar negativ në rritjen totale me rreth -1.9 pikë përqindje</w:t>
      </w:r>
      <w:r w:rsidR="00374B3F" w:rsidRPr="00DC66CD">
        <w:t>je</w:t>
      </w:r>
      <w:r w:rsidRPr="00DC66CD">
        <w:t xml:space="preserve"> në vit. Rrjedhimisht, në terma neto</w:t>
      </w:r>
      <w:r w:rsidR="00374B3F" w:rsidRPr="00DC66CD">
        <w:t>,</w:t>
      </w:r>
      <w:r w:rsidRPr="00DC66CD">
        <w:t xml:space="preserve"> kërkesa e huaj parashikohet të ketë një kontribut lehtësisht pozitiv në rritjen totale, me mesatarisht 0.4 pikë përqindje në vit.</w:t>
      </w:r>
    </w:p>
    <w:p w14:paraId="4649EBAA" w14:textId="77777777" w:rsidR="00374B3F" w:rsidRPr="00DC66CD" w:rsidRDefault="00374B3F" w:rsidP="00F361F9">
      <w:pPr>
        <w:pStyle w:val="TEKSTIIII"/>
      </w:pPr>
    </w:p>
    <w:tbl>
      <w:tblPr>
        <w:tblW w:w="0" w:type="auto"/>
        <w:jc w:val="center"/>
        <w:tblLook w:val="04A0" w:firstRow="1" w:lastRow="0" w:firstColumn="1" w:lastColumn="0" w:noHBand="0" w:noVBand="1"/>
      </w:tblPr>
      <w:tblGrid>
        <w:gridCol w:w="4277"/>
        <w:gridCol w:w="5003"/>
      </w:tblGrid>
      <w:tr w:rsidR="003E4E1A" w:rsidRPr="00DC66CD" w14:paraId="40FE0DD8" w14:textId="77777777" w:rsidTr="009A157C">
        <w:trPr>
          <w:jc w:val="center"/>
        </w:trPr>
        <w:tc>
          <w:tcPr>
            <w:tcW w:w="4391" w:type="dxa"/>
            <w:vAlign w:val="center"/>
          </w:tcPr>
          <w:p w14:paraId="7387928D" w14:textId="12DA4C37" w:rsidR="003E4E1A" w:rsidRPr="00DF7B6F" w:rsidRDefault="003E4E1A" w:rsidP="00374B3F">
            <w:pPr>
              <w:snapToGrid w:val="0"/>
              <w:rPr>
                <w:rFonts w:ascii="Garamond" w:hAnsi="Garamond"/>
                <w:i/>
              </w:rPr>
            </w:pPr>
            <w:r w:rsidRPr="00DF7B6F">
              <w:rPr>
                <w:rFonts w:ascii="Garamond" w:hAnsi="Garamond"/>
                <w:i/>
              </w:rPr>
              <w:t>Grafiku 3.2.1 Rritja reale (në %)</w:t>
            </w:r>
          </w:p>
        </w:tc>
        <w:tc>
          <w:tcPr>
            <w:tcW w:w="4889" w:type="dxa"/>
            <w:vAlign w:val="center"/>
          </w:tcPr>
          <w:p w14:paraId="330E2715" w14:textId="1524F7FA" w:rsidR="003E4E1A" w:rsidRPr="00DF7B6F" w:rsidRDefault="003E4E1A" w:rsidP="00374B3F">
            <w:pPr>
              <w:snapToGrid w:val="0"/>
              <w:rPr>
                <w:rFonts w:ascii="Garamond" w:hAnsi="Garamond"/>
                <w:i/>
              </w:rPr>
            </w:pPr>
            <w:r w:rsidRPr="00DF7B6F">
              <w:rPr>
                <w:rFonts w:ascii="Garamond" w:hAnsi="Garamond"/>
                <w:i/>
              </w:rPr>
              <w:t xml:space="preserve">Grafiku 3.2.2 </w:t>
            </w:r>
            <w:r w:rsidR="00374B3F" w:rsidRPr="00DF7B6F">
              <w:rPr>
                <w:rFonts w:ascii="Garamond" w:hAnsi="Garamond"/>
                <w:i/>
              </w:rPr>
              <w:t xml:space="preserve">Kontributet </w:t>
            </w:r>
            <w:r w:rsidRPr="00DF7B6F">
              <w:rPr>
                <w:rFonts w:ascii="Garamond" w:hAnsi="Garamond"/>
                <w:i/>
              </w:rPr>
              <w:t>në rritje (në p.p.)</w:t>
            </w:r>
            <w:r w:rsidR="00374B3F" w:rsidRPr="00DF7B6F">
              <w:rPr>
                <w:rFonts w:ascii="Garamond" w:hAnsi="Garamond"/>
                <w:i/>
              </w:rPr>
              <w:t>,</w:t>
            </w:r>
            <w:r w:rsidRPr="00DF7B6F">
              <w:rPr>
                <w:rFonts w:ascii="Garamond" w:hAnsi="Garamond"/>
                <w:i/>
              </w:rPr>
              <w:t xml:space="preserve"> sipas komponentëve të kërkesës</w:t>
            </w:r>
          </w:p>
        </w:tc>
      </w:tr>
      <w:tr w:rsidR="003E4E1A" w:rsidRPr="00DC66CD" w14:paraId="6B1AD999" w14:textId="77777777" w:rsidTr="009A157C">
        <w:trPr>
          <w:jc w:val="center"/>
        </w:trPr>
        <w:tc>
          <w:tcPr>
            <w:tcW w:w="9280" w:type="dxa"/>
            <w:gridSpan w:val="2"/>
          </w:tcPr>
          <w:p w14:paraId="59ECC3A8" w14:textId="50B614D3" w:rsidR="003E4E1A" w:rsidRPr="00DC66CD" w:rsidRDefault="003E4E1A" w:rsidP="00374B3F">
            <w:pPr>
              <w:snapToGrid w:val="0"/>
              <w:jc w:val="center"/>
              <w:rPr>
                <w:rFonts w:ascii="Times New Roman" w:hAnsi="Times New Roman"/>
              </w:rPr>
            </w:pPr>
            <w:r w:rsidRPr="00DC66CD">
              <w:rPr>
                <w:rFonts w:ascii="Times New Roman" w:hAnsi="Times New Roman"/>
                <w:noProof/>
                <w:lang w:val="en-US" w:eastAsia="en-US"/>
              </w:rPr>
              <w:drawing>
                <wp:inline distT="0" distB="0" distL="0" distR="0" wp14:anchorId="7449B479" wp14:editId="4A9D6D48">
                  <wp:extent cx="5926348" cy="2190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0506" cy="2192287"/>
                          </a:xfrm>
                          <a:prstGeom prst="rect">
                            <a:avLst/>
                          </a:prstGeom>
                          <a:noFill/>
                          <a:ln>
                            <a:noFill/>
                          </a:ln>
                        </pic:spPr>
                      </pic:pic>
                    </a:graphicData>
                  </a:graphic>
                </wp:inline>
              </w:drawing>
            </w:r>
          </w:p>
        </w:tc>
      </w:tr>
    </w:tbl>
    <w:p w14:paraId="5E494F2D" w14:textId="77777777" w:rsidR="00F361F9" w:rsidRPr="00DC66CD" w:rsidRDefault="00F361F9" w:rsidP="00022246">
      <w:pPr>
        <w:pStyle w:val="TEKSTIIII"/>
        <w:ind w:firstLine="0"/>
      </w:pPr>
    </w:p>
    <w:p w14:paraId="2094E633" w14:textId="16BCB753" w:rsidR="00436305" w:rsidRPr="00DF7B6F" w:rsidRDefault="00374B3F" w:rsidP="00436305">
      <w:pPr>
        <w:pStyle w:val="TEKSTIIII"/>
        <w:rPr>
          <w:i/>
        </w:rPr>
      </w:pPr>
      <w:r w:rsidRPr="00DF7B6F">
        <w:rPr>
          <w:i/>
        </w:rPr>
        <w:t xml:space="preserve">Tabelë 3.2.1 </w:t>
      </w:r>
      <w:r w:rsidR="00436305" w:rsidRPr="00DF7B6F">
        <w:rPr>
          <w:i/>
        </w:rPr>
        <w:t>Rritja reale (në të majtë, në %) dhe kontributet në rritje (në të djathtë, në p.p.)</w:t>
      </w:r>
      <w:r w:rsidRPr="00DF7B6F">
        <w:rPr>
          <w:i/>
        </w:rPr>
        <w:t>,</w:t>
      </w:r>
      <w:r w:rsidR="00436305" w:rsidRPr="00DF7B6F">
        <w:rPr>
          <w:i/>
        </w:rPr>
        <w:t xml:space="preserve"> sipas komponentëve të kërkesës:</w:t>
      </w:r>
    </w:p>
    <w:p w14:paraId="7E47B919" w14:textId="450DE944" w:rsidR="00436305" w:rsidRPr="00DC66CD" w:rsidRDefault="00436305" w:rsidP="00374B3F">
      <w:pPr>
        <w:pStyle w:val="TEKSTIIII"/>
        <w:ind w:firstLine="0"/>
        <w:jc w:val="center"/>
      </w:pPr>
      <w:r w:rsidRPr="00DC66CD">
        <w:rPr>
          <w:rFonts w:ascii="Times New Roman" w:hAnsi="Times New Roman"/>
          <w:noProof/>
          <w:lang w:val="en-US" w:eastAsia="en-US"/>
        </w:rPr>
        <w:drawing>
          <wp:inline distT="0" distB="0" distL="0" distR="0" wp14:anchorId="41BAB0BE" wp14:editId="71F8BB30">
            <wp:extent cx="5755640" cy="316349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5640" cy="3163493"/>
                    </a:xfrm>
                    <a:prstGeom prst="rect">
                      <a:avLst/>
                    </a:prstGeom>
                    <a:noFill/>
                    <a:ln>
                      <a:noFill/>
                    </a:ln>
                  </pic:spPr>
                </pic:pic>
              </a:graphicData>
            </a:graphic>
          </wp:inline>
        </w:drawing>
      </w:r>
    </w:p>
    <w:p w14:paraId="1AA83889" w14:textId="77777777" w:rsidR="00A74882" w:rsidRPr="00DC66CD" w:rsidRDefault="00A74882" w:rsidP="00A74882">
      <w:pPr>
        <w:pStyle w:val="TEKSTIIII"/>
      </w:pPr>
    </w:p>
    <w:p w14:paraId="6275228C" w14:textId="29115FE6" w:rsidR="00A74882" w:rsidRPr="00DC66CD" w:rsidRDefault="00A74882" w:rsidP="00A74882">
      <w:pPr>
        <w:pStyle w:val="TEKSTIIII"/>
      </w:pPr>
      <w:r w:rsidRPr="00DC66CD">
        <w:t>Megjithëse politika fiskale do të vazhdojë të jetë e orientuar drejt konsolidimit në periudhën afatmesme dhe afatgjatë, politika buxhetore e qeverisë për të ruajtur një nivel të investimeve publike në rreth 6.3% të PBB</w:t>
      </w:r>
      <w:r w:rsidR="000342F3" w:rsidRPr="00DC66CD">
        <w:t>,</w:t>
      </w:r>
      <w:r w:rsidRPr="00DC66CD">
        <w:t xml:space="preserve"> në vitet 2020</w:t>
      </w:r>
      <w:r w:rsidR="000342F3" w:rsidRPr="00DC66CD">
        <w:t>–</w:t>
      </w:r>
      <w:r w:rsidRPr="00DC66CD">
        <w:t xml:space="preserve">2022 (qeveria </w:t>
      </w:r>
      <w:r w:rsidR="000342F3" w:rsidRPr="00DC66CD">
        <w:t>qendrore</w:t>
      </w:r>
      <w:r w:rsidRPr="00DC66CD">
        <w:t xml:space="preserve"> dhe </w:t>
      </w:r>
      <w:r w:rsidR="000342F3" w:rsidRPr="00DC66CD">
        <w:t>lokale</w:t>
      </w:r>
      <w:r w:rsidRPr="00DC66CD">
        <w:t xml:space="preserve"> së</w:t>
      </w:r>
      <w:r w:rsidR="000342F3" w:rsidRPr="00DC66CD">
        <w:t xml:space="preserve"> </w:t>
      </w:r>
      <w:r w:rsidRPr="00DC66CD">
        <w:t>bashku) do të stimulojë formimin e kapitalit fiks bruto në ekonomi, esenciale kjo për të mbështetur nivele relativisht të larta rritje</w:t>
      </w:r>
      <w:r w:rsidR="000342F3" w:rsidRPr="00DC66CD">
        <w:t>je</w:t>
      </w:r>
      <w:r w:rsidRPr="00DC66CD">
        <w:t xml:space="preserve"> në periudhën afatmesme dhe afatgjatë.</w:t>
      </w:r>
      <w:r w:rsidR="0072211B" w:rsidRPr="00DC66CD">
        <w:t xml:space="preserve"> </w:t>
      </w:r>
      <w:r w:rsidRPr="00DC66CD">
        <w:t>Nga ana tjetër, nivele relativisht të ulëta të huamarrjes së brendshme neto të qeverisë, të parashikuara për periudhën afatmesme, do të lënë më shumë hapësirë për sektorin privat dhe do të krijojnë stimuj për grumbullimin e investimeve private. Në të njëjtën kohë, vijimi i politikës monetare akomoduese të parashikuar në periudhën afatmesme, duke marrë parasysh presionet e ul</w:t>
      </w:r>
      <w:r w:rsidR="000342F3" w:rsidRPr="00DC66CD">
        <w:t>ë</w:t>
      </w:r>
      <w:r w:rsidRPr="00DC66CD">
        <w:t>ta inflacioniste, do të mbështesë konsumin privat dhe investimet.</w:t>
      </w:r>
    </w:p>
    <w:p w14:paraId="2587B1D6" w14:textId="565B7980" w:rsidR="00A74882" w:rsidRPr="00DC66CD" w:rsidRDefault="00A74882" w:rsidP="00A74882">
      <w:pPr>
        <w:pStyle w:val="TEKSTIIII"/>
      </w:pPr>
      <w:r w:rsidRPr="00DC66CD">
        <w:t>Konsolidimi fiskal i synuar nga qeveria do të kufizojë kërkesën e përgjithshme të sektorit publik. Si i tillë, nuk pritet të jetë një nxitës i rritjes në periudhën afatmesme, përveç vitit 2020</w:t>
      </w:r>
      <w:r w:rsidR="008444BB" w:rsidRPr="00DC66CD">
        <w:t>,</w:t>
      </w:r>
      <w:r w:rsidRPr="00DC66CD">
        <w:t xml:space="preserve"> ku shpenzimet publike shtesë që do të përdoren për rindërtimin pas tërmetit, do të japin një kontribut pozitiv në rritjen e PBB-së. Megjithatë, konsolidimi fiskal do të ulë primin e riskut në periudhën afatmesme dhe do të rrisë hapësirat për stimulimin e sektorin privat. Në të njëjtën kohë, komponentët e politikave buxhetore të planifikuara do të mbështesin rritjen dhe për këtë arsye efekti shtrëngues i konsolidimit fiskal pritet të kompensohet.</w:t>
      </w:r>
    </w:p>
    <w:p w14:paraId="540CFD2B" w14:textId="584CEF52" w:rsidR="00A74882" w:rsidRPr="00DC66CD" w:rsidRDefault="00A74882" w:rsidP="00A74882">
      <w:pPr>
        <w:pStyle w:val="TEKSTIIII"/>
      </w:pPr>
      <w:r w:rsidRPr="00DC66CD">
        <w:t>Në të njëjtën kohë, konsolidimi fiskal në drejtim të borxhit publik dhe deficitit fiskal do të vazhdojë të mbështesë një balancë të shëndetshme midis shpenzimeve korrente dhe shpenzimeve kapitale (investimet publike). Shpenzimet kapitale të parashikuara në buxhetin e vitit 2020, si dhe në periudhën afatmesme do të vazhdojnë të qëndrojnë rreth nivelit 5.5% të PBB-së,</w:t>
      </w:r>
      <w:r w:rsidR="008444BB" w:rsidRPr="00DC66CD">
        <w:t xml:space="preserve"> që është mesatarisht rreth 3.5–</w:t>
      </w:r>
      <w:r w:rsidRPr="00DC66CD">
        <w:t>4 pikë përqindje</w:t>
      </w:r>
      <w:r w:rsidR="008444BB" w:rsidRPr="00DC66CD">
        <w:t>je</w:t>
      </w:r>
      <w:r w:rsidRPr="00DC66CD">
        <w:t xml:space="preserve"> të PBB-së më shumë se deficiti buxhetor i planifikuar. Në këtë mënyrë, bilanci aktual fiskal do të vazhdojë të mbetet pozitiv, në përputhje të plotë me rregullin fiskal specifik ose </w:t>
      </w:r>
      <w:r w:rsidR="002A29AD" w:rsidRPr="00DC66CD">
        <w:t>“</w:t>
      </w:r>
      <w:r w:rsidRPr="00DC66CD">
        <w:t>rregullin e artë</w:t>
      </w:r>
      <w:r w:rsidR="002A29AD" w:rsidRPr="00DC66CD">
        <w:t>”</w:t>
      </w:r>
      <w:r w:rsidRPr="00DC66CD">
        <w:t xml:space="preserve"> të parashikuar </w:t>
      </w:r>
      <w:r w:rsidR="00B07745" w:rsidRPr="00DC66CD">
        <w:t>në ligjin e buxhetit organik.</w:t>
      </w:r>
    </w:p>
    <w:p w14:paraId="29D63B28" w14:textId="039D6DEC" w:rsidR="00A74882" w:rsidRPr="00DC66CD" w:rsidRDefault="00A74882" w:rsidP="00A74882">
      <w:pPr>
        <w:pStyle w:val="TEKSTIIII"/>
      </w:pPr>
      <w:r w:rsidRPr="00DC66CD">
        <w:t>Nga pikëpamja e ofertës agregate pritet që të gjithë sektorët kryesorë të vazhdojnë rreth të njëjtit trend të mesatares së tyre historike. Specifikisht, bujqësia pritet të rritet mesatarisht me 1.3% në vit në terma real</w:t>
      </w:r>
      <w:r w:rsidR="00B07745" w:rsidRPr="00DC66CD">
        <w:t>ë</w:t>
      </w:r>
      <w:r w:rsidRPr="00DC66CD">
        <w:t>, me një kontribut mesatar prej 0.2 pikë përqindje</w:t>
      </w:r>
      <w:r w:rsidR="005C31C6" w:rsidRPr="00DC66CD">
        <w:t>je</w:t>
      </w:r>
      <w:r w:rsidRPr="00DC66CD">
        <w:t xml:space="preserve"> në vit; </w:t>
      </w:r>
      <w:r w:rsidR="005C31C6" w:rsidRPr="00DC66CD">
        <w:t xml:space="preserve">industria </w:t>
      </w:r>
      <w:r w:rsidRPr="00DC66CD">
        <w:t>me një mesatare vjetore prej 5.3%, me një kontribut mesatar prej 0.6 pikë përqindje</w:t>
      </w:r>
      <w:r w:rsidR="005C31C6" w:rsidRPr="00DC66CD">
        <w:t>je</w:t>
      </w:r>
      <w:r w:rsidRPr="00DC66CD">
        <w:t xml:space="preserve"> në vit; </w:t>
      </w:r>
      <w:r w:rsidR="005C31C6" w:rsidRPr="00DC66CD">
        <w:t xml:space="preserve">ndërtimi </w:t>
      </w:r>
      <w:r w:rsidRPr="00DC66CD">
        <w:t>me 5.2%, me një kontribut mesatar prej 0.5 pikë përqindje</w:t>
      </w:r>
      <w:r w:rsidR="005C31C6" w:rsidRPr="00DC66CD">
        <w:t>je</w:t>
      </w:r>
      <w:r w:rsidRPr="00DC66CD">
        <w:t xml:space="preserve"> në vit dhe </w:t>
      </w:r>
      <w:r w:rsidR="005C31C6" w:rsidRPr="00DC66CD">
        <w:t xml:space="preserve">shërbimet </w:t>
      </w:r>
      <w:r w:rsidRPr="00DC66CD">
        <w:t>me një mesatare 4.5% në vit, me kontributin më të lartë në rritje në saj</w:t>
      </w:r>
      <w:r w:rsidR="005C31C6" w:rsidRPr="00DC66CD">
        <w:t>e</w:t>
      </w:r>
      <w:r w:rsidRPr="00DC66CD">
        <w:t xml:space="preserve"> të peshës së tyre, me një mesatare prej 2.2 pikë përqindje</w:t>
      </w:r>
      <w:r w:rsidR="00853352" w:rsidRPr="00DC66CD">
        <w:t>je</w:t>
      </w:r>
      <w:r w:rsidRPr="00DC66CD">
        <w:t xml:space="preserve"> në vit. </w:t>
      </w:r>
    </w:p>
    <w:p w14:paraId="5447D2F7" w14:textId="77777777" w:rsidR="00A74882" w:rsidRPr="00DC66CD" w:rsidRDefault="00A74882" w:rsidP="00022246">
      <w:pPr>
        <w:pStyle w:val="TEKSTIIII"/>
        <w:ind w:firstLine="0"/>
      </w:pPr>
    </w:p>
    <w:tbl>
      <w:tblPr>
        <w:tblW w:w="0" w:type="auto"/>
        <w:jc w:val="center"/>
        <w:tblLook w:val="04A0" w:firstRow="1" w:lastRow="0" w:firstColumn="1" w:lastColumn="0" w:noHBand="0" w:noVBand="1"/>
      </w:tblPr>
      <w:tblGrid>
        <w:gridCol w:w="4277"/>
        <w:gridCol w:w="5003"/>
      </w:tblGrid>
      <w:tr w:rsidR="008D5023" w:rsidRPr="00DC66CD" w14:paraId="7952DC42" w14:textId="77777777" w:rsidTr="009A157C">
        <w:trPr>
          <w:jc w:val="center"/>
        </w:trPr>
        <w:tc>
          <w:tcPr>
            <w:tcW w:w="4391" w:type="dxa"/>
          </w:tcPr>
          <w:p w14:paraId="1FFE6FEF" w14:textId="044752A2" w:rsidR="008D5023" w:rsidRPr="00DF7B6F" w:rsidRDefault="009A157C" w:rsidP="00E372C0">
            <w:pPr>
              <w:snapToGrid w:val="0"/>
              <w:jc w:val="both"/>
              <w:rPr>
                <w:rFonts w:ascii="Garamond" w:hAnsi="Garamond"/>
                <w:i/>
              </w:rPr>
            </w:pPr>
            <w:r w:rsidRPr="00DF7B6F">
              <w:rPr>
                <w:rFonts w:ascii="Garamond" w:hAnsi="Garamond"/>
                <w:i/>
              </w:rPr>
              <w:t>Grafiku 3.2.3</w:t>
            </w:r>
            <w:r w:rsidR="008D5023" w:rsidRPr="00DF7B6F">
              <w:rPr>
                <w:rFonts w:ascii="Garamond" w:hAnsi="Garamond"/>
                <w:i/>
              </w:rPr>
              <w:t xml:space="preserve"> Rritja reale (në %)</w:t>
            </w:r>
          </w:p>
        </w:tc>
        <w:tc>
          <w:tcPr>
            <w:tcW w:w="4889" w:type="dxa"/>
          </w:tcPr>
          <w:p w14:paraId="7F18E695" w14:textId="3F2A5714" w:rsidR="008D5023" w:rsidRPr="00DF7B6F" w:rsidRDefault="008D5023" w:rsidP="009A157C">
            <w:pPr>
              <w:snapToGrid w:val="0"/>
              <w:jc w:val="both"/>
              <w:rPr>
                <w:rFonts w:ascii="Garamond" w:hAnsi="Garamond"/>
                <w:i/>
              </w:rPr>
            </w:pPr>
            <w:r w:rsidRPr="00DF7B6F">
              <w:rPr>
                <w:rFonts w:ascii="Garamond" w:hAnsi="Garamond"/>
                <w:i/>
              </w:rPr>
              <w:t xml:space="preserve">Grafiku 3.2.4 </w:t>
            </w:r>
            <w:r w:rsidR="008444BB" w:rsidRPr="00DF7B6F">
              <w:rPr>
                <w:rFonts w:ascii="Garamond" w:hAnsi="Garamond"/>
                <w:i/>
              </w:rPr>
              <w:t xml:space="preserve">Kontributet </w:t>
            </w:r>
            <w:r w:rsidRPr="00DF7B6F">
              <w:rPr>
                <w:rFonts w:ascii="Garamond" w:hAnsi="Garamond"/>
                <w:i/>
              </w:rPr>
              <w:t>në rritje (në p.p.)</w:t>
            </w:r>
            <w:r w:rsidR="009A157C" w:rsidRPr="00DF7B6F">
              <w:rPr>
                <w:rFonts w:ascii="Garamond" w:hAnsi="Garamond"/>
                <w:i/>
              </w:rPr>
              <w:t>,</w:t>
            </w:r>
            <w:r w:rsidRPr="00DF7B6F">
              <w:rPr>
                <w:rFonts w:ascii="Garamond" w:hAnsi="Garamond"/>
                <w:i/>
              </w:rPr>
              <w:t xml:space="preserve"> sipas komponentëve të ofertës</w:t>
            </w:r>
          </w:p>
        </w:tc>
      </w:tr>
      <w:tr w:rsidR="008D5023" w:rsidRPr="00DC66CD" w14:paraId="0E9006FB" w14:textId="77777777" w:rsidTr="009A157C">
        <w:trPr>
          <w:jc w:val="center"/>
        </w:trPr>
        <w:tc>
          <w:tcPr>
            <w:tcW w:w="9280" w:type="dxa"/>
            <w:gridSpan w:val="2"/>
          </w:tcPr>
          <w:p w14:paraId="4F2D0E72" w14:textId="1DA07901" w:rsidR="008D5023" w:rsidRPr="00DC66CD" w:rsidRDefault="008D5023" w:rsidP="00853352">
            <w:pPr>
              <w:snapToGrid w:val="0"/>
              <w:jc w:val="center"/>
              <w:rPr>
                <w:rFonts w:ascii="Times New Roman" w:hAnsi="Times New Roman"/>
              </w:rPr>
            </w:pPr>
            <w:r w:rsidRPr="00DC66CD">
              <w:rPr>
                <w:rFonts w:ascii="Times New Roman" w:hAnsi="Times New Roman"/>
                <w:noProof/>
                <w:lang w:val="en-US" w:eastAsia="en-US"/>
              </w:rPr>
              <w:drawing>
                <wp:inline distT="0" distB="0" distL="0" distR="0" wp14:anchorId="304EDCC7" wp14:editId="5BC4D270">
                  <wp:extent cx="5812404" cy="21610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10661" cy="2160374"/>
                          </a:xfrm>
                          <a:prstGeom prst="rect">
                            <a:avLst/>
                          </a:prstGeom>
                          <a:noFill/>
                          <a:ln>
                            <a:noFill/>
                          </a:ln>
                        </pic:spPr>
                      </pic:pic>
                    </a:graphicData>
                  </a:graphic>
                </wp:inline>
              </w:drawing>
            </w:r>
          </w:p>
        </w:tc>
      </w:tr>
    </w:tbl>
    <w:p w14:paraId="172FE274" w14:textId="77777777" w:rsidR="00ED0E51" w:rsidRPr="00DC66CD" w:rsidRDefault="00ED0E51" w:rsidP="00ED0E51">
      <w:pPr>
        <w:pStyle w:val="TEKSTIIII"/>
      </w:pPr>
    </w:p>
    <w:p w14:paraId="730EBB2F" w14:textId="1C5A165A" w:rsidR="00ED0E51" w:rsidRPr="006C7645" w:rsidRDefault="009A157C" w:rsidP="00ED0E51">
      <w:pPr>
        <w:pStyle w:val="TEKSTIIII"/>
        <w:rPr>
          <w:i/>
        </w:rPr>
      </w:pPr>
      <w:r w:rsidRPr="006C7645">
        <w:rPr>
          <w:i/>
        </w:rPr>
        <w:t>Tabela 3.2.2</w:t>
      </w:r>
      <w:r w:rsidR="00ED0E51" w:rsidRPr="006C7645">
        <w:rPr>
          <w:i/>
        </w:rPr>
        <w:t xml:space="preserve"> Rritja reale (në të majtë, në %) dhe kontributet në rritje (në të djathtë, në p.p.)</w:t>
      </w:r>
      <w:r w:rsidR="000564BE" w:rsidRPr="006C7645">
        <w:rPr>
          <w:i/>
        </w:rPr>
        <w:t>,</w:t>
      </w:r>
      <w:r w:rsidR="00ED0E51" w:rsidRPr="006C7645">
        <w:rPr>
          <w:i/>
        </w:rPr>
        <w:t xml:space="preserve"> sipas</w:t>
      </w:r>
      <w:r w:rsidR="0072211B" w:rsidRPr="006C7645">
        <w:rPr>
          <w:i/>
        </w:rPr>
        <w:t xml:space="preserve"> </w:t>
      </w:r>
      <w:r w:rsidR="00ED0E51" w:rsidRPr="006C7645">
        <w:rPr>
          <w:i/>
        </w:rPr>
        <w:t>komponentëve të ofertës</w:t>
      </w:r>
    </w:p>
    <w:p w14:paraId="27451334" w14:textId="623581A0" w:rsidR="008D5023" w:rsidRPr="00DC66CD" w:rsidRDefault="001D04AF" w:rsidP="00853352">
      <w:pPr>
        <w:pStyle w:val="TEKSTIIII"/>
        <w:ind w:firstLine="0"/>
        <w:jc w:val="center"/>
      </w:pPr>
      <w:r w:rsidRPr="00DC66CD">
        <w:rPr>
          <w:rFonts w:ascii="Times New Roman" w:hAnsi="Times New Roman"/>
          <w:noProof/>
          <w:lang w:val="en-US" w:eastAsia="en-US"/>
        </w:rPr>
        <w:drawing>
          <wp:inline distT="0" distB="0" distL="0" distR="0" wp14:anchorId="39BAD215" wp14:editId="6898B264">
            <wp:extent cx="5755640" cy="31640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5640" cy="3164095"/>
                    </a:xfrm>
                    <a:prstGeom prst="rect">
                      <a:avLst/>
                    </a:prstGeom>
                    <a:noFill/>
                    <a:ln>
                      <a:noFill/>
                    </a:ln>
                  </pic:spPr>
                </pic:pic>
              </a:graphicData>
            </a:graphic>
          </wp:inline>
        </w:drawing>
      </w:r>
    </w:p>
    <w:p w14:paraId="2B72036A" w14:textId="77777777" w:rsidR="00A857B9" w:rsidRPr="00DC66CD" w:rsidRDefault="00A857B9" w:rsidP="00022246">
      <w:pPr>
        <w:pStyle w:val="TEKSTIIII"/>
        <w:ind w:firstLine="0"/>
      </w:pPr>
    </w:p>
    <w:tbl>
      <w:tblPr>
        <w:tblW w:w="0" w:type="auto"/>
        <w:jc w:val="center"/>
        <w:tblLook w:val="04A0" w:firstRow="1" w:lastRow="0" w:firstColumn="1" w:lastColumn="0" w:noHBand="0" w:noVBand="1"/>
      </w:tblPr>
      <w:tblGrid>
        <w:gridCol w:w="4582"/>
        <w:gridCol w:w="4698"/>
      </w:tblGrid>
      <w:tr w:rsidR="00A857B9" w:rsidRPr="00DC66CD" w14:paraId="191AA6C6" w14:textId="77777777" w:rsidTr="00853352">
        <w:trPr>
          <w:trHeight w:val="235"/>
          <w:jc w:val="center"/>
        </w:trPr>
        <w:tc>
          <w:tcPr>
            <w:tcW w:w="4537" w:type="dxa"/>
          </w:tcPr>
          <w:p w14:paraId="3E504D74" w14:textId="498EB6DF" w:rsidR="00A857B9" w:rsidRPr="00DF7B6F" w:rsidRDefault="00A857B9" w:rsidP="00853352">
            <w:pPr>
              <w:snapToGrid w:val="0"/>
              <w:jc w:val="both"/>
              <w:rPr>
                <w:rFonts w:ascii="Garamond" w:hAnsi="Garamond" w:cs="Arial"/>
                <w:i/>
              </w:rPr>
            </w:pPr>
            <w:r w:rsidRPr="00DF7B6F">
              <w:rPr>
                <w:rFonts w:ascii="Garamond" w:hAnsi="Garamond" w:cs="Arial"/>
                <w:i/>
              </w:rPr>
              <w:t>Grafiku 3.2.5 Punësimi (rritja vjetore në %)</w:t>
            </w:r>
          </w:p>
        </w:tc>
        <w:tc>
          <w:tcPr>
            <w:tcW w:w="4582" w:type="dxa"/>
          </w:tcPr>
          <w:p w14:paraId="29B82971" w14:textId="030A7570" w:rsidR="00A857B9" w:rsidRPr="00DF7B6F" w:rsidRDefault="00A857B9" w:rsidP="00853352">
            <w:pPr>
              <w:snapToGrid w:val="0"/>
              <w:jc w:val="both"/>
              <w:rPr>
                <w:rFonts w:ascii="Garamond" w:hAnsi="Garamond" w:cs="Arial"/>
                <w:i/>
              </w:rPr>
            </w:pPr>
            <w:r w:rsidRPr="00DF7B6F">
              <w:rPr>
                <w:rFonts w:ascii="Garamond" w:hAnsi="Garamond" w:cs="Arial"/>
                <w:i/>
              </w:rPr>
              <w:t>Grafiku 3.2.6 Norma e papunësisë (në %)</w:t>
            </w:r>
          </w:p>
        </w:tc>
      </w:tr>
      <w:tr w:rsidR="00A857B9" w:rsidRPr="00DC66CD" w14:paraId="69C7A40C" w14:textId="77777777" w:rsidTr="00853352">
        <w:trPr>
          <w:trHeight w:val="3394"/>
          <w:jc w:val="center"/>
        </w:trPr>
        <w:tc>
          <w:tcPr>
            <w:tcW w:w="9119" w:type="dxa"/>
            <w:gridSpan w:val="2"/>
          </w:tcPr>
          <w:p w14:paraId="73E315C9" w14:textId="4760C779" w:rsidR="00A857B9" w:rsidRPr="00DC66CD" w:rsidRDefault="00A857B9" w:rsidP="00853352">
            <w:pPr>
              <w:snapToGrid w:val="0"/>
              <w:jc w:val="center"/>
              <w:rPr>
                <w:rFonts w:ascii="Times New Roman" w:hAnsi="Times New Roman"/>
              </w:rPr>
            </w:pPr>
            <w:r w:rsidRPr="00DC66CD">
              <w:rPr>
                <w:rFonts w:ascii="Times New Roman" w:hAnsi="Times New Roman"/>
                <w:noProof/>
                <w:lang w:val="en-US" w:eastAsia="en-US"/>
              </w:rPr>
              <w:drawing>
                <wp:inline distT="0" distB="0" distL="0" distR="0" wp14:anchorId="66D138C8" wp14:editId="4CADDD3E">
                  <wp:extent cx="5812404" cy="22319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08518" cy="2230471"/>
                          </a:xfrm>
                          <a:prstGeom prst="rect">
                            <a:avLst/>
                          </a:prstGeom>
                          <a:noFill/>
                          <a:ln>
                            <a:noFill/>
                          </a:ln>
                        </pic:spPr>
                      </pic:pic>
                    </a:graphicData>
                  </a:graphic>
                </wp:inline>
              </w:drawing>
            </w:r>
          </w:p>
        </w:tc>
      </w:tr>
    </w:tbl>
    <w:p w14:paraId="4FF9D43F" w14:textId="77777777" w:rsidR="00A857B9" w:rsidRPr="00DC66CD" w:rsidRDefault="00A857B9" w:rsidP="00022246">
      <w:pPr>
        <w:pStyle w:val="TEKSTIIII"/>
        <w:ind w:firstLine="0"/>
      </w:pPr>
    </w:p>
    <w:p w14:paraId="4BC1856A" w14:textId="77777777" w:rsidR="000D2526" w:rsidRPr="00DC66CD" w:rsidRDefault="000D2526" w:rsidP="000D2526">
      <w:pPr>
        <w:pStyle w:val="TEKSTIIII"/>
        <w:rPr>
          <w:b/>
        </w:rPr>
      </w:pPr>
      <w:r w:rsidRPr="00DC66CD">
        <w:rPr>
          <w:b/>
        </w:rPr>
        <w:t>Politika monetare, kursi i këmbimit dhe inflacioni</w:t>
      </w:r>
    </w:p>
    <w:p w14:paraId="5A28149D" w14:textId="3AD3B0ED" w:rsidR="000D2526" w:rsidRPr="00DC66CD" w:rsidRDefault="000D2526" w:rsidP="000D2526">
      <w:pPr>
        <w:pStyle w:val="TEKSTIIII"/>
      </w:pPr>
      <w:r w:rsidRPr="00DC66CD">
        <w:t>Objektivi parësor i Bankës së Shqipërisë është stabiliteti i çmimeve, të cilin banka e përmbush nëpërmjet një regjimi inflacioni të shënjestruar. Banka gjykon se norma 3% në termin afatmesëm është e përshtatshme për të mbështetur stabilitetin e çmimeve dhe për të krijuar kushte për vazhdimin e rritjes ekonomike të vendit. Instrumenti kryesor i përdorur është norma e intere</w:t>
      </w:r>
      <w:r w:rsidR="00853352" w:rsidRPr="00DC66CD">
        <w:t>sit e marrëveshjeve të anasjell</w:t>
      </w:r>
      <w:r w:rsidRPr="00DC66CD">
        <w:t xml:space="preserve">a të riblerjes me maturitet një javor. Pozicioni ciklik i ekonomisë dhe presionet e ulëta inflacioniste kanë justifikuar politikën monetare ekspansioniste në vitet e fundit. Sinjalizimi për të ardhmen i përdorur nga banka ka informuar agjentët e tregut për vazhdimin e stimulit monetar, duke përbërë kështu një garanci për uljen e primeve të rrezikut. </w:t>
      </w:r>
    </w:p>
    <w:p w14:paraId="2C36DC26" w14:textId="5CFAAE50" w:rsidR="000D2526" w:rsidRPr="00DC66CD" w:rsidRDefault="000D2526" w:rsidP="000D2526">
      <w:pPr>
        <w:pStyle w:val="TEKSTIIII"/>
      </w:pPr>
      <w:r w:rsidRPr="00DC66CD">
        <w:t xml:space="preserve">Banka e Shqipërisë zbaton një regjim të kursit të lirë të këmbimit, ku lëvizjet e kërkesës dhe </w:t>
      </w:r>
      <w:r w:rsidR="00853352" w:rsidRPr="00DC66CD">
        <w:t xml:space="preserve">të </w:t>
      </w:r>
      <w:r w:rsidRPr="00DC66CD">
        <w:t>ofertës në tregun e valutës përcaktojnë kursin e këmbimit. Banka e Shqipërisë ndërhyn rregullisht në tregjet valutore</w:t>
      </w:r>
      <w:r w:rsidR="00853352" w:rsidRPr="00DC66CD">
        <w:t>,</w:t>
      </w:r>
      <w:r w:rsidRPr="00DC66CD">
        <w:t xml:space="preserve"> me qëllimin e mbajtjes së niveleve të përshtatshme të rezervave valutore</w:t>
      </w:r>
      <w:r w:rsidR="00853352" w:rsidRPr="00DC66CD">
        <w:t xml:space="preserve">, </w:t>
      </w:r>
      <w:r w:rsidRPr="00DC66CD">
        <w:t xml:space="preserve"> nëpërmjet një skeduli ankandesh të paracaktuar. Në vitin 2018, Banka e Shqipërisë nisi një sërë ndërhyrjesh në tregun e brendshëm valutor, që ndihmuan ndalimin e trendit mbiçmues të kursit të këmbimit, i cili u shkaktua nga goditje të përkohshme në ekonomi. Ndonëse banka vlerëson se ndërhyrjet valutore janë një instrument në dispozicionin e saj për të mbështetur kthimin e inflacionit në objektiv, nuk kishte ndonjë nevojë të dukshme për përdorimin e tyre në vitin 2019. </w:t>
      </w:r>
    </w:p>
    <w:p w14:paraId="0AF79E27" w14:textId="39AF7B3D" w:rsidR="000D2526" w:rsidRPr="00DC66CD" w:rsidRDefault="000D2526" w:rsidP="000D2526">
      <w:pPr>
        <w:pStyle w:val="TEKSTIIII"/>
      </w:pPr>
      <w:r w:rsidRPr="00DC66CD">
        <w:t xml:space="preserve">Stimuli monetar gjatë këtyre viteve ka mundësuar kosto më të ulëta financimi për ekonominë, duke mbështetur kërkesën e brendshme nëpërmjet rritjes së konsumit dhe investimeve, të cilat kanë qenë kontribuesit kryesorë në rritjen ekonomike. Kushtet e favorshme atmosferike në vitin 2018, sollën një rritje të fortë të prodhimit të energjisë elektrike. Ky zhvillim, si një ngjarje që ndodh një herë, krijoi një efekt të lartë të bazës krahasuese, duke shkaktuar një kontribut negativ të sektorit të prodhimit në gjysmën e parë të vitit 2019. Presionet inflacioniste janë rritur, duke reflektuar përmirësimin e pozicionit ciklik të ekonomisë, në një mjedis rritjeje të shfrytëzimit të kapaciteteve dhe </w:t>
      </w:r>
      <w:r w:rsidR="005F1873" w:rsidRPr="00DC66CD">
        <w:t xml:space="preserve">të </w:t>
      </w:r>
      <w:r w:rsidRPr="00DC66CD">
        <w:t>forcimit të tregut të punës. Sidoqoftë, këto presione ende nuk janë transferuar te norma e inflacionit, e cila ka mbetur nën shënjestrën e Bankës së Shqipërisë gjatë kësaj periudhe. Projeksionet e bankës tregojnë se rritja ekonomike do të vijojë në termin afatmesëm, dhe hendeku i prodhimit do të vijojë të ngushtohet. Norma e inflacionit pritet të nisë të rritet prej vitit 2020</w:t>
      </w:r>
      <w:r w:rsidR="00300AFD" w:rsidRPr="00DC66CD">
        <w:t>,</w:t>
      </w:r>
      <w:r w:rsidRPr="00DC66CD">
        <w:t xml:space="preserve"> duke iu afruar gradualisht objektivit prej 3% në gjysmën e dytë të vitit 2021. Përmbushja e objektivit të stabilitetit të çmimeve do të kërkojë ruajtjen e kahut stimulues të politikës monetare edhe në afatin e mesëm.</w:t>
      </w:r>
    </w:p>
    <w:p w14:paraId="02AE74EC" w14:textId="67BF9C2B" w:rsidR="000D2526" w:rsidRPr="00DC66CD" w:rsidRDefault="000D2526" w:rsidP="000D2526">
      <w:pPr>
        <w:pStyle w:val="TEKSTIIII"/>
      </w:pPr>
      <w:r w:rsidRPr="00DC66CD">
        <w:t xml:space="preserve">Balanca e rreziqeve vijon të anojë në kahun e poshtëm. Rreziqet kryesore lidhen me zhvillimet në ekonominë botërore dhe ato në ekonominë </w:t>
      </w:r>
      <w:r w:rsidR="00637183" w:rsidRPr="00DC66CD">
        <w:t>vendës</w:t>
      </w:r>
      <w:r w:rsidRPr="00DC66CD">
        <w:t>e që pritet të vuajë</w:t>
      </w:r>
      <w:r w:rsidR="0072211B" w:rsidRPr="00DC66CD">
        <w:t xml:space="preserve"> </w:t>
      </w:r>
      <w:r w:rsidRPr="00DC66CD">
        <w:t xml:space="preserve">pasojat e tërmetit shkatërrues që goditi Shqipërinë në muajin nëntor të vitit të kaluar. </w:t>
      </w:r>
    </w:p>
    <w:p w14:paraId="12A253CB" w14:textId="22BA03AC" w:rsidR="000D2526" w:rsidRPr="00DC66CD" w:rsidRDefault="000D2526" w:rsidP="000D2526">
      <w:pPr>
        <w:pStyle w:val="TEKSTIIII"/>
      </w:pPr>
      <w:r w:rsidRPr="00DC66CD">
        <w:t xml:space="preserve">Kombinimi aktual i politikave përfshin një politikë monetare akomoduese nga Banka e Shqipërisë dhe një tendence konsoliduese të politikës fiskale nga qeveria. Kjo tendencë konsiderohet si një lëvizje e nevojshme, duke qenë se niveli i borxhit publik është i lartë. Qeveria uli huamarrjen e saj në tregun </w:t>
      </w:r>
      <w:r w:rsidR="00637183" w:rsidRPr="00DC66CD">
        <w:t>vendës</w:t>
      </w:r>
      <w:r w:rsidRPr="00DC66CD">
        <w:t>, duke lënë hapësirë për kreditimin e sektorit privat. Ky kombinim i politikave vlerësohet se është i përshtatshëm për të krijuar kushtet që ushqejnë rritjen ekonomike dhe sigurojnë konvergimin e vendit në një shteg rritjeje të qëndrueshme.</w:t>
      </w:r>
    </w:p>
    <w:p w14:paraId="19FA4277" w14:textId="77777777" w:rsidR="000D2526" w:rsidRPr="00DC66CD" w:rsidRDefault="000D2526" w:rsidP="000D2526">
      <w:pPr>
        <w:pStyle w:val="TEKSTIIII"/>
        <w:rPr>
          <w:b/>
        </w:rPr>
      </w:pPr>
      <w:r w:rsidRPr="00DC66CD">
        <w:rPr>
          <w:b/>
        </w:rPr>
        <w:t>Sektori i jashtëm dhe qëndrueshmëria e tij afatmesme</w:t>
      </w:r>
    </w:p>
    <w:p w14:paraId="66D4A6D3" w14:textId="412269B0" w:rsidR="000D2526" w:rsidRPr="00DC66CD" w:rsidRDefault="000D2526" w:rsidP="000D2526">
      <w:pPr>
        <w:pStyle w:val="TEKSTIIII"/>
        <w:rPr>
          <w:i/>
        </w:rPr>
      </w:pPr>
      <w:r w:rsidRPr="00DC66CD">
        <w:rPr>
          <w:i/>
        </w:rPr>
        <w:t xml:space="preserve">Zhvillime në </w:t>
      </w:r>
      <w:r w:rsidR="00300AFD" w:rsidRPr="00DC66CD">
        <w:rPr>
          <w:i/>
        </w:rPr>
        <w:t xml:space="preserve">bilancin e pagesave dhe </w:t>
      </w:r>
      <w:r w:rsidRPr="00DC66CD">
        <w:rPr>
          <w:i/>
        </w:rPr>
        <w:t>në tregtinë në mallra</w:t>
      </w:r>
    </w:p>
    <w:p w14:paraId="0710DD0C" w14:textId="1859A825" w:rsidR="000D2526" w:rsidRPr="00DC66CD" w:rsidRDefault="000D2526" w:rsidP="000D2526">
      <w:pPr>
        <w:pStyle w:val="TEKSTIIII"/>
      </w:pPr>
      <w:r w:rsidRPr="00DC66CD">
        <w:t>Deficiti i llogarisë korrente u zgjerua ndjeshëm gjatë 9 muajve të parë të vitit 2019 (rreth 38.9% në bazë vjetore). Kjo erdhi</w:t>
      </w:r>
      <w:r w:rsidR="00300AFD" w:rsidRPr="00DC66CD">
        <w:t>,</w:t>
      </w:r>
      <w:r w:rsidRPr="00DC66CD">
        <w:t xml:space="preserve"> kryesisht</w:t>
      </w:r>
      <w:r w:rsidR="00300AFD" w:rsidRPr="00DC66CD">
        <w:t>,</w:t>
      </w:r>
      <w:r w:rsidRPr="00DC66CD">
        <w:t xml:space="preserve"> si pasojë e përkeqësimit të gjendjes në tregtinë e mallrave. Eksportet e mallrave u pakësuan me rreth 7.3% vit mbi vit</w:t>
      </w:r>
      <w:r w:rsidR="00300AFD" w:rsidRPr="00DC66CD">
        <w:t>,</w:t>
      </w:r>
      <w:r w:rsidRPr="00DC66CD">
        <w:t xml:space="preserve"> kryesisht</w:t>
      </w:r>
      <w:r w:rsidR="00300AFD" w:rsidRPr="00DC66CD">
        <w:t>,</w:t>
      </w:r>
      <w:r w:rsidRPr="00DC66CD">
        <w:t xml:space="preserve"> për shkak të rënies së eksportit të energjisë elektrike. Në të njëjtën kohë, importet u rritën ndjeshëm (me rreth 7.5%) si rezultat i rritjes së importit të energjisë elektrike. Këto zhvillime janë simetrikisht të kundërta me ato të vëna re gjatë 9-mujorit të parë 2018, kur kushtet e favorshme atmosferike mundësuar rritje të shpejtë të prodhimit dhe eksportit të energjisë elektrike dhe</w:t>
      </w:r>
      <w:r w:rsidR="00300AFD" w:rsidRPr="00DC66CD">
        <w:t>,</w:t>
      </w:r>
      <w:r w:rsidRPr="00DC66CD">
        <w:t xml:space="preserve"> rrjedhimisht</w:t>
      </w:r>
      <w:r w:rsidR="00300AFD" w:rsidRPr="00DC66CD">
        <w:t>,</w:t>
      </w:r>
      <w:r w:rsidRPr="00DC66CD">
        <w:t xml:space="preserve"> pakësim të importit, veçanërisht gjatë gjysmës së parë të vitit.</w:t>
      </w:r>
    </w:p>
    <w:p w14:paraId="7B57ECE4" w14:textId="24853238" w:rsidR="000D2526" w:rsidRPr="00DC66CD" w:rsidRDefault="000D2526" w:rsidP="000D2526">
      <w:pPr>
        <w:pStyle w:val="TEKSTIIII"/>
      </w:pPr>
      <w:r w:rsidRPr="00DC66CD">
        <w:t>Sektorët e tjerë eksportues nuk ndihmuan shumë në balancimin e gjendjes. Kushtet e pafavorshme të kërkesës dhe çmimeve ndërkombëtare ishin faktorë në performancën e dobët për disa sektorë kyç</w:t>
      </w:r>
      <w:r w:rsidR="00300AFD" w:rsidRPr="00DC66CD">
        <w:t>,</w:t>
      </w:r>
      <w:r w:rsidRPr="00DC66CD">
        <w:t xml:space="preserve"> sikurse </w:t>
      </w:r>
      <w:r w:rsidR="002A29AD" w:rsidRPr="00DC66CD">
        <w:t>“</w:t>
      </w:r>
      <w:r w:rsidRPr="00DC66CD">
        <w:t>tekstilet</w:t>
      </w:r>
      <w:r w:rsidR="002A29AD" w:rsidRPr="00DC66CD">
        <w:t>”</w:t>
      </w:r>
      <w:r w:rsidRPr="00DC66CD">
        <w:t xml:space="preserve"> dhe </w:t>
      </w:r>
      <w:r w:rsidR="002A29AD" w:rsidRPr="00DC66CD">
        <w:t>“</w:t>
      </w:r>
      <w:r w:rsidRPr="00DC66CD">
        <w:t>metalet</w:t>
      </w:r>
      <w:r w:rsidR="002A29AD" w:rsidRPr="00DC66CD">
        <w:t>”</w:t>
      </w:r>
      <w:r w:rsidRPr="00DC66CD">
        <w:t>. Rritja në sektorë të tjerë ka qenë</w:t>
      </w:r>
      <w:r w:rsidR="00300AFD" w:rsidRPr="00DC66CD">
        <w:t>,</w:t>
      </w:r>
      <w:r w:rsidRPr="00DC66CD">
        <w:t xml:space="preserve"> gjithashtu</w:t>
      </w:r>
      <w:r w:rsidR="00300AFD" w:rsidRPr="00DC66CD">
        <w:t>,</w:t>
      </w:r>
      <w:r w:rsidRPr="00DC66CD">
        <w:t xml:space="preserve"> e dobët me përjashtim të </w:t>
      </w:r>
      <w:r w:rsidR="002A29AD" w:rsidRPr="00DC66CD">
        <w:t>“</w:t>
      </w:r>
      <w:r w:rsidRPr="00DC66CD">
        <w:t>ushqimeve</w:t>
      </w:r>
      <w:r w:rsidR="002A29AD" w:rsidRPr="00DC66CD">
        <w:t>”</w:t>
      </w:r>
      <w:r w:rsidRPr="00DC66CD">
        <w:t xml:space="preserve">. </w:t>
      </w:r>
    </w:p>
    <w:p w14:paraId="4EC047B5" w14:textId="6522A96B" w:rsidR="000D2526" w:rsidRPr="00DC66CD" w:rsidRDefault="000D2526" w:rsidP="000D2526">
      <w:pPr>
        <w:pStyle w:val="TEKSTIIII"/>
      </w:pPr>
      <w:r w:rsidRPr="00DC66CD">
        <w:t xml:space="preserve">Mbiçmimi real i </w:t>
      </w:r>
      <w:r w:rsidR="00300AFD" w:rsidRPr="00DC66CD">
        <w:t xml:space="preserve">lekut </w:t>
      </w:r>
      <w:r w:rsidRPr="00DC66CD">
        <w:t xml:space="preserve">ka ndjekur një prirje rënëse gjatë </w:t>
      </w:r>
      <w:r w:rsidR="00276B1A" w:rsidRPr="00DC66CD">
        <w:t>2019-ës</w:t>
      </w:r>
      <w:r w:rsidRPr="00DC66CD">
        <w:t>. Kursi real efektiv ka ndjekur një trajektore të ngjashme me atë nominal, meqë edhe diferenciali i inflacionit mes vendit tonë dhe partnerëve tregtarë vazhdon të jetë i vogël. Mbiçmimi i kursit real efektiv të këmbimit ishte 0.7% në dhjetor 2019, kundrejt 9.1% në fund të vitit 2018.</w:t>
      </w:r>
    </w:p>
    <w:p w14:paraId="2AE202CE" w14:textId="2DE5A472" w:rsidR="000D2526" w:rsidRPr="00DC66CD" w:rsidRDefault="000D2526" w:rsidP="000D2526">
      <w:pPr>
        <w:pStyle w:val="TEKSTIIII"/>
      </w:pPr>
      <w:r w:rsidRPr="00DC66CD">
        <w:t xml:space="preserve">Për sa i përket orientimit të eksporteve, përpjesët e vendeve ku eksportohet energji elektrike nga Shqipëria, sikurse Zvicra dhe Serbia janë pakësuar. Megjithatë, struktura e përgjithshme nuk ka ndryshuar në mënyrë të qenësishme. Italia mbetet partneri kryesor i eksporteve shqiptare (me rreth 49% të totalit). Po ashtu, pavarësisht vështirësive të fundit, </w:t>
      </w:r>
      <w:r w:rsidR="002A29AD" w:rsidRPr="00DC66CD">
        <w:t>“</w:t>
      </w:r>
      <w:r w:rsidRPr="00DC66CD">
        <w:t>tekstilet dhe veshjet</w:t>
      </w:r>
      <w:r w:rsidR="002A29AD" w:rsidRPr="00DC66CD">
        <w:t>”</w:t>
      </w:r>
      <w:r w:rsidRPr="00DC66CD">
        <w:t xml:space="preserve"> përbëjnë pjesën dërrmuese të eksporteve me rreth 40% të totalit.</w:t>
      </w:r>
    </w:p>
    <w:p w14:paraId="3B9263B1" w14:textId="77777777" w:rsidR="000D2526" w:rsidRPr="00DC66CD" w:rsidRDefault="000D2526" w:rsidP="000D2526">
      <w:pPr>
        <w:snapToGrid w:val="0"/>
        <w:jc w:val="both"/>
        <w:rPr>
          <w:rFonts w:ascii="Times New Roman" w:hAnsi="Times New Roman"/>
        </w:rPr>
      </w:pPr>
    </w:p>
    <w:p w14:paraId="5AFFCD3C" w14:textId="77777777" w:rsidR="000D2526" w:rsidRPr="00DC66CD" w:rsidRDefault="000D2526" w:rsidP="00022246">
      <w:pPr>
        <w:pStyle w:val="TEKSTIIII"/>
        <w:ind w:firstLine="0"/>
      </w:pPr>
    </w:p>
    <w:tbl>
      <w:tblPr>
        <w:tblW w:w="9280" w:type="dxa"/>
        <w:jc w:val="center"/>
        <w:tblLook w:val="04A0" w:firstRow="1" w:lastRow="0" w:firstColumn="1" w:lastColumn="0" w:noHBand="0" w:noVBand="1"/>
      </w:tblPr>
      <w:tblGrid>
        <w:gridCol w:w="4847"/>
        <w:gridCol w:w="4433"/>
      </w:tblGrid>
      <w:tr w:rsidR="00035008" w:rsidRPr="00DC66CD" w14:paraId="0A3F7238" w14:textId="77777777" w:rsidTr="00653826">
        <w:trPr>
          <w:trHeight w:val="2835"/>
          <w:jc w:val="center"/>
        </w:trPr>
        <w:tc>
          <w:tcPr>
            <w:tcW w:w="4847" w:type="dxa"/>
          </w:tcPr>
          <w:p w14:paraId="478BE639" w14:textId="744A6042" w:rsidR="00035008" w:rsidRPr="00DF7B6F" w:rsidRDefault="00653826" w:rsidP="00E372C0">
            <w:pPr>
              <w:snapToGrid w:val="0"/>
              <w:jc w:val="both"/>
              <w:rPr>
                <w:rFonts w:ascii="Garamond" w:hAnsi="Garamond"/>
                <w:i/>
              </w:rPr>
            </w:pPr>
            <w:r w:rsidRPr="00DF7B6F">
              <w:rPr>
                <w:rFonts w:ascii="Garamond" w:hAnsi="Garamond"/>
                <w:i/>
              </w:rPr>
              <w:t>Grafik 3.2.7</w:t>
            </w:r>
            <w:r w:rsidR="00035008" w:rsidRPr="00DF7B6F">
              <w:rPr>
                <w:rFonts w:ascii="Garamond" w:hAnsi="Garamond"/>
                <w:i/>
              </w:rPr>
              <w:t xml:space="preserve"> Hapja tregtare, eksportet, importet dhe IHD neto si përqindje ndaj PBB-së</w:t>
            </w:r>
          </w:p>
          <w:p w14:paraId="5D0BE475" w14:textId="77777777" w:rsidR="00035008" w:rsidRPr="00DC66CD" w:rsidRDefault="00035008" w:rsidP="00E372C0">
            <w:pPr>
              <w:snapToGrid w:val="0"/>
              <w:jc w:val="both"/>
              <w:rPr>
                <w:rFonts w:ascii="Garamond" w:hAnsi="Garamond"/>
              </w:rPr>
            </w:pPr>
            <w:r w:rsidRPr="00DC66CD">
              <w:rPr>
                <w:rFonts w:ascii="Garamond" w:hAnsi="Garamond"/>
                <w:noProof/>
                <w:lang w:val="en-US" w:eastAsia="en-US"/>
              </w:rPr>
              <w:drawing>
                <wp:inline distT="0" distB="0" distL="0" distR="0" wp14:anchorId="3F0D7DA0" wp14:editId="2794B48D">
                  <wp:extent cx="3012786" cy="225817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22477" cy="2265434"/>
                          </a:xfrm>
                          <a:prstGeom prst="rect">
                            <a:avLst/>
                          </a:prstGeom>
                          <a:noFill/>
                        </pic:spPr>
                      </pic:pic>
                    </a:graphicData>
                  </a:graphic>
                </wp:inline>
              </w:drawing>
            </w:r>
          </w:p>
        </w:tc>
        <w:tc>
          <w:tcPr>
            <w:tcW w:w="4433" w:type="dxa"/>
          </w:tcPr>
          <w:p w14:paraId="2C484ED9" w14:textId="2DBE9ED7" w:rsidR="00035008" w:rsidRPr="00DF7B6F" w:rsidRDefault="00653826" w:rsidP="00E372C0">
            <w:pPr>
              <w:snapToGrid w:val="0"/>
              <w:jc w:val="both"/>
              <w:rPr>
                <w:rFonts w:ascii="Garamond" w:hAnsi="Garamond"/>
                <w:i/>
              </w:rPr>
            </w:pPr>
            <w:r w:rsidRPr="00DF7B6F">
              <w:rPr>
                <w:rFonts w:ascii="Garamond" w:hAnsi="Garamond"/>
                <w:i/>
              </w:rPr>
              <w:t>Grafik 2.2.8</w:t>
            </w:r>
            <w:r w:rsidR="00035008" w:rsidRPr="00DF7B6F">
              <w:rPr>
                <w:rFonts w:ascii="Garamond" w:hAnsi="Garamond"/>
                <w:i/>
              </w:rPr>
              <w:t xml:space="preserve"> Ndryshimet vjetore të kursit nominal dhe real efektiv të këmbimit (%)</w:t>
            </w:r>
          </w:p>
          <w:p w14:paraId="6D059559" w14:textId="77777777" w:rsidR="00035008" w:rsidRPr="00DC66CD" w:rsidRDefault="00035008" w:rsidP="00E372C0">
            <w:pPr>
              <w:snapToGrid w:val="0"/>
              <w:jc w:val="both"/>
              <w:rPr>
                <w:rFonts w:ascii="Garamond" w:hAnsi="Garamond"/>
              </w:rPr>
            </w:pPr>
            <w:r w:rsidRPr="00DC66CD">
              <w:rPr>
                <w:rFonts w:ascii="Garamond" w:hAnsi="Garamond"/>
                <w:noProof/>
                <w:lang w:val="en-US" w:eastAsia="en-US"/>
              </w:rPr>
              <w:drawing>
                <wp:inline distT="0" distB="0" distL="0" distR="0" wp14:anchorId="268E5AE2" wp14:editId="2809ADE9">
                  <wp:extent cx="2735108" cy="2258170"/>
                  <wp:effectExtent l="0" t="0" r="8255"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58977" cy="2277877"/>
                          </a:xfrm>
                          <a:prstGeom prst="rect">
                            <a:avLst/>
                          </a:prstGeom>
                          <a:noFill/>
                        </pic:spPr>
                      </pic:pic>
                    </a:graphicData>
                  </a:graphic>
                </wp:inline>
              </w:drawing>
            </w:r>
          </w:p>
        </w:tc>
      </w:tr>
    </w:tbl>
    <w:p w14:paraId="6EBF409A" w14:textId="77777777" w:rsidR="00731B59" w:rsidRPr="00DC66CD" w:rsidRDefault="00731B59" w:rsidP="00731B59">
      <w:pPr>
        <w:pStyle w:val="TEKSTIIII"/>
        <w:rPr>
          <w:i/>
        </w:rPr>
      </w:pPr>
      <w:r w:rsidRPr="00DC66CD">
        <w:rPr>
          <w:i/>
        </w:rPr>
        <w:t>Burimi: Banka e Shqipërisë, INSTAT</w:t>
      </w:r>
    </w:p>
    <w:p w14:paraId="3A1E36C7" w14:textId="77777777" w:rsidR="00731B59" w:rsidRPr="00DC66CD" w:rsidRDefault="00731B59" w:rsidP="00731B59">
      <w:pPr>
        <w:pStyle w:val="TEKSTIIII"/>
      </w:pPr>
    </w:p>
    <w:p w14:paraId="34283A40" w14:textId="31273E4D" w:rsidR="00731B59" w:rsidRPr="00DC66CD" w:rsidRDefault="00731B59" w:rsidP="00731B59">
      <w:pPr>
        <w:pStyle w:val="TEKSTIIII"/>
      </w:pPr>
      <w:r w:rsidRPr="00DC66CD">
        <w:t>Sipas metodës së dekompozimit të eksporteve shqiptare</w:t>
      </w:r>
      <w:r w:rsidR="00653826" w:rsidRPr="00DC66CD">
        <w:t>,</w:t>
      </w:r>
      <w:r w:rsidRPr="00DC66CD">
        <w:t xml:space="preserve"> sipas Përpjesëve Konstante të Tregut (PKT)</w:t>
      </w:r>
      <w:r w:rsidRPr="00DC66CD">
        <w:rPr>
          <w:vertAlign w:val="superscript"/>
        </w:rPr>
        <w:footnoteReference w:id="7"/>
      </w:r>
      <w:r w:rsidR="00653826" w:rsidRPr="00DC66CD">
        <w:t>,</w:t>
      </w:r>
      <w:r w:rsidRPr="00DC66CD">
        <w:t xml:space="preserve"> rritja e konkurrueshmërisë (komponenti mbetje) ka dhënë kontributin kryesor në rritjen e eksporteve drejt EU-15 gjatë vitit 2018, pasuar nga rritja e eksporteve botërore. Nga ana tjetër, kontribute negative lidhen me shpërndarjen e tregut dhe strukturën sipas kategorive. Në rastin e vendeve anëtare të CEFTA-s, konkurrueshmëria ishte përsëri faktori themelor. Gjithë faktorët e tjerë gjeneruan</w:t>
      </w:r>
      <w:r w:rsidR="00653826" w:rsidRPr="00DC66CD">
        <w:t>,</w:t>
      </w:r>
      <w:r w:rsidRPr="00DC66CD">
        <w:t xml:space="preserve"> gjithashtu</w:t>
      </w:r>
      <w:r w:rsidR="00653826" w:rsidRPr="00DC66CD">
        <w:t>,</w:t>
      </w:r>
      <w:r w:rsidRPr="00DC66CD">
        <w:t xml:space="preserve"> kontribute pozitive.</w:t>
      </w:r>
    </w:p>
    <w:p w14:paraId="064F6772" w14:textId="77777777" w:rsidR="00731B59" w:rsidRPr="00DC66CD" w:rsidRDefault="00731B59" w:rsidP="00731B59">
      <w:pPr>
        <w:pStyle w:val="TEKSTIIII"/>
      </w:pPr>
    </w:p>
    <w:p w14:paraId="2F402AC0" w14:textId="1BF158E9" w:rsidR="00731B59" w:rsidRPr="00DF7B6F" w:rsidRDefault="00731B59" w:rsidP="00731B59">
      <w:pPr>
        <w:pStyle w:val="TEKSTIIII"/>
        <w:rPr>
          <w:i/>
        </w:rPr>
      </w:pPr>
      <w:r w:rsidRPr="00DF7B6F">
        <w:rPr>
          <w:i/>
        </w:rPr>
        <w:t>Tabelë 3.2.3</w:t>
      </w:r>
      <w:r w:rsidR="00653826" w:rsidRPr="00DF7B6F">
        <w:rPr>
          <w:i/>
        </w:rPr>
        <w:t xml:space="preserve"> </w:t>
      </w:r>
      <w:r w:rsidRPr="00DF7B6F">
        <w:rPr>
          <w:i/>
        </w:rPr>
        <w:t xml:space="preserve">Dekompozimi i eksporteve shqiptare sipas metodës PKT (milion </w:t>
      </w:r>
      <w:r w:rsidR="00653826" w:rsidRPr="00DF7B6F">
        <w:rPr>
          <w:i/>
        </w:rPr>
        <w:t>euro</w:t>
      </w:r>
      <w:r w:rsidRPr="00DF7B6F">
        <w:rPr>
          <w:i/>
        </w:rPr>
        <w:t>)</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4"/>
        <w:gridCol w:w="1977"/>
        <w:gridCol w:w="2019"/>
      </w:tblGrid>
      <w:tr w:rsidR="00731B59" w:rsidRPr="00DC66CD" w14:paraId="2FF4A3E8" w14:textId="77777777" w:rsidTr="002E283B">
        <w:trPr>
          <w:trHeight w:val="297"/>
          <w:jc w:val="center"/>
        </w:trPr>
        <w:tc>
          <w:tcPr>
            <w:tcW w:w="2809" w:type="pct"/>
            <w:vMerge w:val="restart"/>
          </w:tcPr>
          <w:p w14:paraId="500B63A6" w14:textId="77777777" w:rsidR="00731B59" w:rsidRPr="00DC66CD" w:rsidRDefault="00731B59" w:rsidP="00084B4B">
            <w:pPr>
              <w:pStyle w:val="TEKSTIIII"/>
              <w:ind w:firstLine="0"/>
            </w:pPr>
          </w:p>
        </w:tc>
        <w:tc>
          <w:tcPr>
            <w:tcW w:w="2191" w:type="pct"/>
            <w:gridSpan w:val="2"/>
          </w:tcPr>
          <w:p w14:paraId="5FFAB4BD" w14:textId="77777777" w:rsidR="00731B59" w:rsidRPr="00DC66CD" w:rsidRDefault="00731B59" w:rsidP="00084B4B">
            <w:pPr>
              <w:pStyle w:val="TEKSTIIII"/>
              <w:ind w:firstLine="0"/>
              <w:jc w:val="center"/>
              <w:rPr>
                <w:b/>
              </w:rPr>
            </w:pPr>
            <w:r w:rsidRPr="00DC66CD">
              <w:rPr>
                <w:b/>
              </w:rPr>
              <w:t>2018</w:t>
            </w:r>
          </w:p>
        </w:tc>
      </w:tr>
      <w:tr w:rsidR="00731B59" w:rsidRPr="00DC66CD" w14:paraId="31DBABD8" w14:textId="77777777" w:rsidTr="002E283B">
        <w:trPr>
          <w:trHeight w:val="297"/>
          <w:jc w:val="center"/>
        </w:trPr>
        <w:tc>
          <w:tcPr>
            <w:tcW w:w="2809" w:type="pct"/>
            <w:vMerge/>
          </w:tcPr>
          <w:p w14:paraId="5740CEAD" w14:textId="77777777" w:rsidR="00731B59" w:rsidRPr="00DC66CD" w:rsidRDefault="00731B59" w:rsidP="00084B4B">
            <w:pPr>
              <w:pStyle w:val="TEKSTIIII"/>
              <w:ind w:firstLine="0"/>
            </w:pPr>
          </w:p>
        </w:tc>
        <w:tc>
          <w:tcPr>
            <w:tcW w:w="1084" w:type="pct"/>
            <w:vAlign w:val="center"/>
          </w:tcPr>
          <w:p w14:paraId="6C45A30E" w14:textId="77777777" w:rsidR="00731B59" w:rsidRPr="00DC66CD" w:rsidRDefault="00731B59" w:rsidP="00084B4B">
            <w:pPr>
              <w:pStyle w:val="TEKSTIIII"/>
              <w:ind w:firstLine="0"/>
              <w:jc w:val="center"/>
              <w:rPr>
                <w:b/>
              </w:rPr>
            </w:pPr>
            <w:r w:rsidRPr="00DC66CD">
              <w:rPr>
                <w:b/>
              </w:rPr>
              <w:t>EU-15</w:t>
            </w:r>
          </w:p>
        </w:tc>
        <w:tc>
          <w:tcPr>
            <w:tcW w:w="1107" w:type="pct"/>
            <w:vAlign w:val="center"/>
          </w:tcPr>
          <w:p w14:paraId="468D329E" w14:textId="77777777" w:rsidR="00731B59" w:rsidRPr="00DC66CD" w:rsidRDefault="00731B59" w:rsidP="00084B4B">
            <w:pPr>
              <w:pStyle w:val="TEKSTIIII"/>
              <w:ind w:firstLine="0"/>
              <w:jc w:val="center"/>
              <w:rPr>
                <w:b/>
              </w:rPr>
            </w:pPr>
            <w:r w:rsidRPr="00DC66CD">
              <w:rPr>
                <w:b/>
              </w:rPr>
              <w:t>CEFTA</w:t>
            </w:r>
          </w:p>
        </w:tc>
      </w:tr>
      <w:tr w:rsidR="00731B59" w:rsidRPr="00DC66CD" w14:paraId="59E2F9EE" w14:textId="77777777" w:rsidTr="002E283B">
        <w:trPr>
          <w:trHeight w:val="297"/>
          <w:jc w:val="center"/>
        </w:trPr>
        <w:tc>
          <w:tcPr>
            <w:tcW w:w="2809" w:type="pct"/>
          </w:tcPr>
          <w:p w14:paraId="535C4C25" w14:textId="77777777" w:rsidR="00731B59" w:rsidRPr="00DC66CD" w:rsidRDefault="00731B59" w:rsidP="00084B4B">
            <w:pPr>
              <w:pStyle w:val="TEKSTIIII"/>
              <w:ind w:firstLine="0"/>
            </w:pPr>
            <w:r w:rsidRPr="00DC66CD">
              <w:t>Rritja e eksporteve botërore</w:t>
            </w:r>
          </w:p>
        </w:tc>
        <w:tc>
          <w:tcPr>
            <w:tcW w:w="1084" w:type="pct"/>
            <w:vAlign w:val="center"/>
          </w:tcPr>
          <w:p w14:paraId="16E1F6A5" w14:textId="77777777" w:rsidR="00731B59" w:rsidRPr="00DC66CD" w:rsidRDefault="00731B59" w:rsidP="00084B4B">
            <w:pPr>
              <w:pStyle w:val="TEKSTIIII"/>
              <w:ind w:firstLine="0"/>
              <w:jc w:val="right"/>
            </w:pPr>
            <w:r w:rsidRPr="00DC66CD">
              <w:t>82.4</w:t>
            </w:r>
          </w:p>
        </w:tc>
        <w:tc>
          <w:tcPr>
            <w:tcW w:w="1107" w:type="pct"/>
            <w:vAlign w:val="center"/>
          </w:tcPr>
          <w:p w14:paraId="75BFCB30" w14:textId="77777777" w:rsidR="00731B59" w:rsidRPr="00DC66CD" w:rsidRDefault="00731B59" w:rsidP="00084B4B">
            <w:pPr>
              <w:pStyle w:val="TEKSTIIII"/>
              <w:ind w:firstLine="0"/>
              <w:jc w:val="right"/>
            </w:pPr>
            <w:r w:rsidRPr="00DC66CD">
              <w:t>17.5</w:t>
            </w:r>
          </w:p>
        </w:tc>
      </w:tr>
      <w:tr w:rsidR="00731B59" w:rsidRPr="00DC66CD" w14:paraId="5127224A" w14:textId="77777777" w:rsidTr="002E283B">
        <w:trPr>
          <w:trHeight w:val="297"/>
          <w:jc w:val="center"/>
        </w:trPr>
        <w:tc>
          <w:tcPr>
            <w:tcW w:w="2809" w:type="pct"/>
          </w:tcPr>
          <w:p w14:paraId="739B0549" w14:textId="77777777" w:rsidR="00731B59" w:rsidRPr="00DC66CD" w:rsidRDefault="00731B59" w:rsidP="00084B4B">
            <w:pPr>
              <w:pStyle w:val="TEKSTIIII"/>
              <w:ind w:firstLine="0"/>
            </w:pPr>
            <w:r w:rsidRPr="00DC66CD">
              <w:t>Struktura sipas kategorive</w:t>
            </w:r>
          </w:p>
        </w:tc>
        <w:tc>
          <w:tcPr>
            <w:tcW w:w="1084" w:type="pct"/>
            <w:vAlign w:val="center"/>
          </w:tcPr>
          <w:p w14:paraId="1D26BBF4" w14:textId="77777777" w:rsidR="00731B59" w:rsidRPr="00DC66CD" w:rsidRDefault="00731B59" w:rsidP="00084B4B">
            <w:pPr>
              <w:pStyle w:val="TEKSTIIII"/>
              <w:ind w:firstLine="0"/>
              <w:jc w:val="right"/>
            </w:pPr>
            <w:r w:rsidRPr="00DC66CD">
              <w:t>-9.0</w:t>
            </w:r>
          </w:p>
        </w:tc>
        <w:tc>
          <w:tcPr>
            <w:tcW w:w="1107" w:type="pct"/>
            <w:vAlign w:val="center"/>
          </w:tcPr>
          <w:p w14:paraId="720551FC" w14:textId="77777777" w:rsidR="00731B59" w:rsidRPr="00DC66CD" w:rsidRDefault="00731B59" w:rsidP="00084B4B">
            <w:pPr>
              <w:pStyle w:val="TEKSTIIII"/>
              <w:ind w:firstLine="0"/>
              <w:jc w:val="right"/>
            </w:pPr>
            <w:r w:rsidRPr="00DC66CD">
              <w:t>8.0</w:t>
            </w:r>
          </w:p>
        </w:tc>
      </w:tr>
      <w:tr w:rsidR="00731B59" w:rsidRPr="00DC66CD" w14:paraId="25469DB7" w14:textId="77777777" w:rsidTr="002E283B">
        <w:trPr>
          <w:trHeight w:val="297"/>
          <w:jc w:val="center"/>
        </w:trPr>
        <w:tc>
          <w:tcPr>
            <w:tcW w:w="2809" w:type="pct"/>
          </w:tcPr>
          <w:p w14:paraId="655B4088" w14:textId="77777777" w:rsidR="00731B59" w:rsidRPr="00DC66CD" w:rsidRDefault="00731B59" w:rsidP="00084B4B">
            <w:pPr>
              <w:pStyle w:val="TEKSTIIII"/>
              <w:ind w:firstLine="0"/>
            </w:pPr>
            <w:r w:rsidRPr="00DC66CD">
              <w:t>Shpërndarja e tregut</w:t>
            </w:r>
          </w:p>
        </w:tc>
        <w:tc>
          <w:tcPr>
            <w:tcW w:w="1084" w:type="pct"/>
            <w:vAlign w:val="center"/>
          </w:tcPr>
          <w:p w14:paraId="78C77E77" w14:textId="77777777" w:rsidR="00731B59" w:rsidRPr="00DC66CD" w:rsidRDefault="00731B59" w:rsidP="00084B4B">
            <w:pPr>
              <w:pStyle w:val="TEKSTIIII"/>
              <w:ind w:firstLine="0"/>
              <w:jc w:val="right"/>
            </w:pPr>
            <w:r w:rsidRPr="00DC66CD">
              <w:t>-0.7</w:t>
            </w:r>
          </w:p>
        </w:tc>
        <w:tc>
          <w:tcPr>
            <w:tcW w:w="1107" w:type="pct"/>
            <w:vAlign w:val="center"/>
          </w:tcPr>
          <w:p w14:paraId="184B8C00" w14:textId="77777777" w:rsidR="00731B59" w:rsidRPr="00DC66CD" w:rsidRDefault="00731B59" w:rsidP="00084B4B">
            <w:pPr>
              <w:pStyle w:val="TEKSTIIII"/>
              <w:ind w:firstLine="0"/>
              <w:jc w:val="right"/>
            </w:pPr>
            <w:r w:rsidRPr="00DC66CD">
              <w:t>7.8</w:t>
            </w:r>
          </w:p>
        </w:tc>
      </w:tr>
      <w:tr w:rsidR="00731B59" w:rsidRPr="00DC66CD" w14:paraId="7A495F8E" w14:textId="77777777" w:rsidTr="002E283B">
        <w:trPr>
          <w:trHeight w:val="297"/>
          <w:jc w:val="center"/>
        </w:trPr>
        <w:tc>
          <w:tcPr>
            <w:tcW w:w="2809" w:type="pct"/>
          </w:tcPr>
          <w:p w14:paraId="211D346C" w14:textId="77777777" w:rsidR="00731B59" w:rsidRPr="00DC66CD" w:rsidRDefault="00731B59" w:rsidP="00084B4B">
            <w:pPr>
              <w:pStyle w:val="TEKSTIIII"/>
              <w:ind w:firstLine="0"/>
            </w:pPr>
            <w:r w:rsidRPr="00DC66CD">
              <w:t>Konkurrueshmëria</w:t>
            </w:r>
          </w:p>
        </w:tc>
        <w:tc>
          <w:tcPr>
            <w:tcW w:w="1084" w:type="pct"/>
            <w:vAlign w:val="center"/>
          </w:tcPr>
          <w:p w14:paraId="7870DCE3" w14:textId="77777777" w:rsidR="00731B59" w:rsidRPr="00DC66CD" w:rsidRDefault="00731B59" w:rsidP="00084B4B">
            <w:pPr>
              <w:pStyle w:val="TEKSTIIII"/>
              <w:ind w:firstLine="0"/>
              <w:jc w:val="right"/>
            </w:pPr>
            <w:r w:rsidRPr="00DC66CD">
              <w:t>162.6</w:t>
            </w:r>
          </w:p>
        </w:tc>
        <w:tc>
          <w:tcPr>
            <w:tcW w:w="1107" w:type="pct"/>
            <w:vAlign w:val="center"/>
          </w:tcPr>
          <w:p w14:paraId="1CD6DF83" w14:textId="77777777" w:rsidR="00731B59" w:rsidRPr="00DC66CD" w:rsidRDefault="00731B59" w:rsidP="00084B4B">
            <w:pPr>
              <w:pStyle w:val="TEKSTIIII"/>
              <w:ind w:firstLine="0"/>
              <w:jc w:val="right"/>
            </w:pPr>
            <w:r w:rsidRPr="00DC66CD">
              <w:t>65.1</w:t>
            </w:r>
          </w:p>
        </w:tc>
      </w:tr>
      <w:tr w:rsidR="00731B59" w:rsidRPr="00DC66CD" w14:paraId="0EA7E022" w14:textId="77777777" w:rsidTr="002E283B">
        <w:trPr>
          <w:trHeight w:val="297"/>
          <w:jc w:val="center"/>
        </w:trPr>
        <w:tc>
          <w:tcPr>
            <w:tcW w:w="2809" w:type="pct"/>
          </w:tcPr>
          <w:p w14:paraId="6BE3C8EA" w14:textId="3DE1991B" w:rsidR="00731B59" w:rsidRPr="00DC66CD" w:rsidRDefault="00084B4B" w:rsidP="00084B4B">
            <w:pPr>
              <w:pStyle w:val="TEKSTIIII"/>
              <w:ind w:firstLine="0"/>
              <w:rPr>
                <w:b/>
              </w:rPr>
            </w:pPr>
            <w:r w:rsidRPr="00DC66CD">
              <w:rPr>
                <w:b/>
              </w:rPr>
              <w:t>TOTAL</w:t>
            </w:r>
          </w:p>
        </w:tc>
        <w:tc>
          <w:tcPr>
            <w:tcW w:w="1084" w:type="pct"/>
            <w:vAlign w:val="center"/>
          </w:tcPr>
          <w:p w14:paraId="1C9F9C71" w14:textId="77777777" w:rsidR="00731B59" w:rsidRPr="00DC66CD" w:rsidRDefault="00731B59" w:rsidP="00084B4B">
            <w:pPr>
              <w:pStyle w:val="TEKSTIIII"/>
              <w:ind w:firstLine="0"/>
              <w:jc w:val="right"/>
              <w:rPr>
                <w:b/>
              </w:rPr>
            </w:pPr>
            <w:r w:rsidRPr="00DC66CD">
              <w:rPr>
                <w:b/>
              </w:rPr>
              <w:t>235.3</w:t>
            </w:r>
          </w:p>
        </w:tc>
        <w:tc>
          <w:tcPr>
            <w:tcW w:w="1107" w:type="pct"/>
            <w:vAlign w:val="center"/>
          </w:tcPr>
          <w:p w14:paraId="32415007" w14:textId="77777777" w:rsidR="00731B59" w:rsidRPr="00DC66CD" w:rsidRDefault="00731B59" w:rsidP="00084B4B">
            <w:pPr>
              <w:pStyle w:val="TEKSTIIII"/>
              <w:ind w:firstLine="0"/>
              <w:jc w:val="right"/>
              <w:rPr>
                <w:b/>
              </w:rPr>
            </w:pPr>
            <w:r w:rsidRPr="00DC66CD">
              <w:rPr>
                <w:b/>
              </w:rPr>
              <w:t>98.4</w:t>
            </w:r>
          </w:p>
        </w:tc>
      </w:tr>
    </w:tbl>
    <w:p w14:paraId="739DE1BA" w14:textId="77777777" w:rsidR="002E283B" w:rsidRPr="00DC66CD" w:rsidRDefault="002E283B" w:rsidP="002E283B">
      <w:pPr>
        <w:pStyle w:val="TEKSTIIII"/>
        <w:rPr>
          <w:i/>
        </w:rPr>
      </w:pPr>
      <w:r w:rsidRPr="00DC66CD">
        <w:rPr>
          <w:i/>
        </w:rPr>
        <w:t>Burimi: Banka e Shqipërisë, INSTAT, UN Comtrade</w:t>
      </w:r>
    </w:p>
    <w:p w14:paraId="4060DBF8" w14:textId="3B53D1B4" w:rsidR="002E283B" w:rsidRPr="00DC66CD" w:rsidRDefault="002E283B" w:rsidP="002E283B">
      <w:pPr>
        <w:pStyle w:val="TEKSTIIII"/>
      </w:pPr>
      <w:r w:rsidRPr="00DC66CD">
        <w:t>Nënllogaria e shërbimeve ka gjeneruar kontribute të kundërta krahasuar me mallrave në terma të deficitit të përgjithshëm korrent. Teprica e shërbimeve u zgjerua me 11.0% në terma vjetorë</w:t>
      </w:r>
      <w:r w:rsidR="00084B4B" w:rsidRPr="00DC66CD">
        <w:t>,</w:t>
      </w:r>
      <w:r w:rsidRPr="00DC66CD">
        <w:t xml:space="preserve"> gjatë 9-mujorit të parë 2019, me eksportin e shërbimeve që u rrit me 9.9%. </w:t>
      </w:r>
      <w:r w:rsidR="002A29AD" w:rsidRPr="00DC66CD">
        <w:t>“</w:t>
      </w:r>
      <w:r w:rsidRPr="00DC66CD">
        <w:t>Shërbimet e udhëtimit</w:t>
      </w:r>
      <w:r w:rsidR="002A29AD" w:rsidRPr="00DC66CD">
        <w:t>”</w:t>
      </w:r>
      <w:r w:rsidRPr="00DC66CD">
        <w:t xml:space="preserve">, </w:t>
      </w:r>
      <w:r w:rsidR="002A29AD" w:rsidRPr="00DC66CD">
        <w:t>“</w:t>
      </w:r>
      <w:r w:rsidRPr="00DC66CD">
        <w:t>shërbimet e tjera</w:t>
      </w:r>
      <w:r w:rsidR="002A29AD" w:rsidRPr="00DC66CD">
        <w:t>”</w:t>
      </w:r>
      <w:r w:rsidRPr="00DC66CD">
        <w:t xml:space="preserve"> dhe </w:t>
      </w:r>
      <w:r w:rsidR="002A29AD" w:rsidRPr="00DC66CD">
        <w:t>“</w:t>
      </w:r>
      <w:r w:rsidRPr="00DC66CD">
        <w:t>shërbimet e inputeve fizike</w:t>
      </w:r>
      <w:r w:rsidR="002A29AD" w:rsidRPr="00DC66CD">
        <w:t>”</w:t>
      </w:r>
      <w:r w:rsidRPr="00DC66CD">
        <w:t xml:space="preserve"> ishin faktorët themelorë në këtë rritje. Megjithëse</w:t>
      </w:r>
      <w:r w:rsidR="00084B4B" w:rsidRPr="00DC66CD">
        <w:t>,</w:t>
      </w:r>
      <w:r w:rsidRPr="00DC66CD">
        <w:t xml:space="preserve"> vetë normat e rritjes mbeten të larta, kanë humbur disi intensitetin. Norma më të ul</w:t>
      </w:r>
      <w:r w:rsidR="00084B4B" w:rsidRPr="00DC66CD">
        <w:t>ë</w:t>
      </w:r>
      <w:r w:rsidRPr="00DC66CD">
        <w:t>ta janë vënë re që në vitin 2018. Kjo ka a</w:t>
      </w:r>
      <w:r w:rsidR="00084B4B" w:rsidRPr="00DC66CD">
        <w:t xml:space="preserve">rdhur për faktin se eksportet e </w:t>
      </w:r>
      <w:r w:rsidR="002A29AD" w:rsidRPr="00DC66CD">
        <w:t>“</w:t>
      </w:r>
      <w:r w:rsidRPr="00DC66CD">
        <w:t>shërbimeve të udhëtimit</w:t>
      </w:r>
      <w:r w:rsidR="002A29AD" w:rsidRPr="00DC66CD">
        <w:t>”</w:t>
      </w:r>
      <w:r w:rsidRPr="00DC66CD">
        <w:t xml:space="preserve"> nuk janë rritur aq shpejt sa më parë dhe sepse </w:t>
      </w:r>
      <w:r w:rsidR="002A29AD" w:rsidRPr="00DC66CD">
        <w:t>“</w:t>
      </w:r>
      <w:r w:rsidRPr="00DC66CD">
        <w:t>inputet fizike</w:t>
      </w:r>
      <w:r w:rsidR="002A29AD" w:rsidRPr="00DC66CD">
        <w:t>”</w:t>
      </w:r>
      <w:r w:rsidRPr="00DC66CD">
        <w:t xml:space="preserve"> (të përbëra</w:t>
      </w:r>
      <w:r w:rsidR="00084B4B" w:rsidRPr="00DC66CD">
        <w:t>,</w:t>
      </w:r>
      <w:r w:rsidRPr="00DC66CD">
        <w:t xml:space="preserve"> kryesisht</w:t>
      </w:r>
      <w:r w:rsidR="00084B4B" w:rsidRPr="00DC66CD">
        <w:t>,</w:t>
      </w:r>
      <w:r w:rsidRPr="00DC66CD">
        <w:t xml:space="preserve"> nga eksportet e fasonit) kanë hasur vështirësi. Në të njëjtën kohë, shërbimet e udhëtimit janë rritur ndjeshëm</w:t>
      </w:r>
      <w:r w:rsidR="00084B4B" w:rsidRPr="00DC66CD">
        <w:t>,</w:t>
      </w:r>
      <w:r w:rsidRPr="00DC66CD">
        <w:t xml:space="preserve"> për shkak të </w:t>
      </w:r>
      <w:r w:rsidR="002A29AD" w:rsidRPr="00DC66CD">
        <w:t>“</w:t>
      </w:r>
      <w:r w:rsidRPr="00DC66CD">
        <w:t>shërbimeve të udhëtimit</w:t>
      </w:r>
      <w:r w:rsidR="002A29AD" w:rsidRPr="00DC66CD">
        <w:t>”</w:t>
      </w:r>
      <w:r w:rsidRPr="00DC66CD">
        <w:t>. Rritja vjetore ka shënuar 8.7%. Norma të larta rritjeje janë vërë që prej vitit 2017.</w:t>
      </w:r>
    </w:p>
    <w:p w14:paraId="5A499ADA" w14:textId="5EC52702" w:rsidR="002E283B" w:rsidRPr="00DC66CD" w:rsidRDefault="002E283B" w:rsidP="002E283B">
      <w:pPr>
        <w:pStyle w:val="TEKSTIIII"/>
      </w:pPr>
      <w:r w:rsidRPr="00DC66CD">
        <w:t>Të ardhurat parësore pasqyruar një deficit prej EUR 82.6 milionë</w:t>
      </w:r>
      <w:r w:rsidR="003C0FBD" w:rsidRPr="00DC66CD">
        <w:t>,</w:t>
      </w:r>
      <w:r w:rsidRPr="00DC66CD">
        <w:t xml:space="preserve"> gjatë 9-mujorit të parë 2019</w:t>
      </w:r>
      <w:r w:rsidR="003C0FBD" w:rsidRPr="00DC66CD">
        <w:t>,</w:t>
      </w:r>
      <w:r w:rsidRPr="00DC66CD">
        <w:t xml:space="preserve"> krahasuar me një deficit prej EUR 20.1 milion</w:t>
      </w:r>
      <w:r w:rsidR="003C0FBD" w:rsidRPr="00DC66CD">
        <w:t>ë</w:t>
      </w:r>
      <w:r w:rsidRPr="00DC66CD">
        <w:t xml:space="preserve"> në periudhën korresponduese të vitit të mëparshëm. Këto dinamika lidhen me rritjen e shpejtë të të ardhurave dalëse nga investimet direkte.</w:t>
      </w:r>
    </w:p>
    <w:p w14:paraId="5C500BC2" w14:textId="76AE655E" w:rsidR="002E283B" w:rsidRPr="00DC66CD" w:rsidRDefault="002E283B" w:rsidP="002E283B">
      <w:pPr>
        <w:pStyle w:val="TEKSTIIII"/>
      </w:pPr>
      <w:r w:rsidRPr="00DC66CD">
        <w:t>Teprica pozitive e të ardhurave dytësore u zgjerua me rreth 3.6%</w:t>
      </w:r>
      <w:r w:rsidR="003C0FBD" w:rsidRPr="00DC66CD">
        <w:t>,</w:t>
      </w:r>
      <w:r w:rsidRPr="00DC66CD">
        <w:t xml:space="preserve"> gjatë 9-mujorit të parë 2019. Remitancat neto u rritën me 3.6%</w:t>
      </w:r>
      <w:r w:rsidR="003C0FBD" w:rsidRPr="00DC66CD">
        <w:t>,</w:t>
      </w:r>
      <w:r w:rsidRPr="00DC66CD">
        <w:t xml:space="preserve"> duke përcaktuar ecurinë e nënllogarisë. Nga ana tjetër, </w:t>
      </w:r>
      <w:r w:rsidR="002A29AD" w:rsidRPr="00DC66CD">
        <w:t>“</w:t>
      </w:r>
      <w:r w:rsidRPr="00DC66CD">
        <w:t>të ardhurat hyrëse të qeverisë së përgjithshme</w:t>
      </w:r>
      <w:r w:rsidR="002A29AD" w:rsidRPr="00DC66CD">
        <w:t>”</w:t>
      </w:r>
      <w:r w:rsidRPr="00DC66CD">
        <w:t xml:space="preserve"> janë pakësuar me 28.3%</w:t>
      </w:r>
      <w:r w:rsidR="003C0FBD" w:rsidRPr="00DC66CD">
        <w:t>,</w:t>
      </w:r>
      <w:r w:rsidRPr="00DC66CD">
        <w:t xml:space="preserve"> për shkak të efektit të fortë bazë nga viti i kaluar.</w:t>
      </w:r>
    </w:p>
    <w:p w14:paraId="7F0D7DA6" w14:textId="208BC88B" w:rsidR="002E283B" w:rsidRPr="00DC66CD" w:rsidRDefault="002E283B" w:rsidP="002E283B">
      <w:pPr>
        <w:pStyle w:val="TEKSTIIII"/>
      </w:pPr>
      <w:r w:rsidRPr="00DC66CD">
        <w:t>Zhvillimet në llogarinë korrente priten të jenë më të moderuara në tremujorin e fundit të vitit 2019</w:t>
      </w:r>
      <w:r w:rsidR="003C0FBD" w:rsidRPr="00DC66CD">
        <w:t>,</w:t>
      </w:r>
      <w:r w:rsidRPr="00DC66CD">
        <w:t xml:space="preserve"> meqë efekti bazë i </w:t>
      </w:r>
      <w:r w:rsidR="002A29AD" w:rsidRPr="00DC66CD">
        <w:t>“</w:t>
      </w:r>
      <w:r w:rsidRPr="00DC66CD">
        <w:t>energjisë elektrike</w:t>
      </w:r>
      <w:r w:rsidR="002A29AD" w:rsidRPr="00DC66CD">
        <w:t>”</w:t>
      </w:r>
      <w:r w:rsidRPr="00DC66CD">
        <w:t xml:space="preserve"> pritet të zhduket. Rritja në remitanca pritet të mbetet e ulët</w:t>
      </w:r>
      <w:r w:rsidR="003C0FBD" w:rsidRPr="00DC66CD">
        <w:t>,</w:t>
      </w:r>
      <w:r w:rsidRPr="00DC66CD">
        <w:t xml:space="preserve"> sikur ishte në gjysmën e parë të vitit. Si rrjedhojë, deficit</w:t>
      </w:r>
      <w:r w:rsidR="008732B4" w:rsidRPr="00DC66CD">
        <w:t>i</w:t>
      </w:r>
      <w:r w:rsidRPr="00DC66CD">
        <w:t xml:space="preserve"> korrent pritet të zgjerohet në tërësi për gjithë vitin 2019, por me një normë më të ulët krahasuar me gjysmën e parë të vitit. Përgjatë vitit 2020, situata e vështirë në rastin e eksporteve pritet të vazhdojë</w:t>
      </w:r>
      <w:r w:rsidR="005351E9" w:rsidRPr="00DC66CD">
        <w:t>,</w:t>
      </w:r>
      <w:r w:rsidRPr="00DC66CD">
        <w:t xml:space="preserve"> duke pasur parasysh që zhvillimet në kërkesën e huaj dhe çmimet ndërkombëtare nuk do të jenë të favorshme. Shërbimet do të kompensojnë disi në terma të rritjes së eksporteve. Nga ana tjetër, parashikimet për rritje të kërkesës së brendshme, pritet të ndikojnë në zgjerim të importeve. Importi i energjisë elektrike do të gjenerojë një efekt bazë në kalimin nga </w:t>
      </w:r>
      <w:r w:rsidR="00433A3A" w:rsidRPr="00DC66CD">
        <w:t>2019–</w:t>
      </w:r>
      <w:r w:rsidR="005351E9" w:rsidRPr="00DC66CD">
        <w:t>ta</w:t>
      </w:r>
      <w:r w:rsidRPr="00DC66CD">
        <w:t xml:space="preserve"> te 2020</w:t>
      </w:r>
      <w:r w:rsidR="005351E9" w:rsidRPr="00DC66CD">
        <w:t>-ta</w:t>
      </w:r>
      <w:r w:rsidRPr="00DC66CD">
        <w:t>, por rritja në importin e shërbimeve do të ndikojë në zgjerimin e gjithë strukturës importuese. Së fundi, remitancat nuk pritet të japin ndonjë efekt të fortë pozitiv vitin e ardhshëm. Në këto kushte, deficiti korrent pritet të zgjerohet edhe më tej gjatë vitit 2020.</w:t>
      </w:r>
    </w:p>
    <w:p w14:paraId="0FA701B3" w14:textId="0A813B11" w:rsidR="002E283B" w:rsidRPr="00DC66CD" w:rsidRDefault="002E283B" w:rsidP="002E283B">
      <w:pPr>
        <w:pStyle w:val="TEKSTIIII"/>
      </w:pPr>
      <w:r w:rsidRPr="00DC66CD">
        <w:t>Investimet e huaja direkte neto janë rritur me 0.1% në terma vjetorë gjatë 9 muajve të parë të vitit 2019. IHD-të e lidhura me projektet madhore të sektorit energjetik (në veçanti</w:t>
      </w:r>
      <w:r w:rsidR="00430DE5" w:rsidRPr="00DC66CD">
        <w:t>,</w:t>
      </w:r>
      <w:r w:rsidRPr="00DC66CD">
        <w:t xml:space="preserve"> gazsjellësi Trans</w:t>
      </w:r>
      <w:r w:rsidR="00430DE5" w:rsidRPr="00DC66CD">
        <w:t xml:space="preserve"> </w:t>
      </w:r>
      <w:r w:rsidRPr="00DC66CD">
        <w:t>Adriatik) kanë hyrë në fazat e fundit të ndërtimit. Ecuria në këto projekte do të ketë ndikim gjatë gjysmës së dytë 2019 dhe në vitin 2020. Megjithatë, IHD-të</w:t>
      </w:r>
      <w:r w:rsidR="00AC7B23" w:rsidRPr="00DC66CD">
        <w:t xml:space="preserve">, </w:t>
      </w:r>
      <w:r w:rsidRPr="00DC66CD">
        <w:t>në tërësi</w:t>
      </w:r>
      <w:r w:rsidR="00AC7B23" w:rsidRPr="00DC66CD">
        <w:t>,</w:t>
      </w:r>
      <w:r w:rsidRPr="00DC66CD">
        <w:t xml:space="preserve"> kanë përfituar nga disa burime të papritura në </w:t>
      </w:r>
      <w:r w:rsidR="002A29AD" w:rsidRPr="00DC66CD">
        <w:t>“</w:t>
      </w:r>
      <w:r w:rsidRPr="00DC66CD">
        <w:t>sektorin e pasurive të paluajtshme</w:t>
      </w:r>
      <w:r w:rsidR="002A29AD" w:rsidRPr="00DC66CD">
        <w:t>”</w:t>
      </w:r>
      <w:r w:rsidR="00AC7B23" w:rsidRPr="00DC66CD">
        <w:t>,</w:t>
      </w:r>
      <w:r w:rsidRPr="00DC66CD">
        <w:t xml:space="preserve"> për shka</w:t>
      </w:r>
      <w:r w:rsidR="00AC7B23" w:rsidRPr="00DC66CD">
        <w:t>k të blerjes së banesave nga jo</w:t>
      </w:r>
      <w:r w:rsidRPr="00DC66CD">
        <w:t xml:space="preserve">rezidentët në Shqipëri (kontribuesi kryesor në rritjen e IHD-ve hyrëse për vitin 2018). Gjithashtu, sektori minerar ka dhënë shenja rigjallërimi. Këto zhvillime mund të krijojnë njëfarë balancimi ndaj rënies së IHD-ve në sektorin energjetik. </w:t>
      </w:r>
    </w:p>
    <w:p w14:paraId="2D3F2663" w14:textId="2287C7A6" w:rsidR="002E283B" w:rsidRPr="00DC66CD" w:rsidRDefault="002E283B" w:rsidP="002E283B">
      <w:pPr>
        <w:pStyle w:val="TEKSTIIII"/>
      </w:pPr>
      <w:r w:rsidRPr="00DC66CD">
        <w:t>Investimet e portofolit pasqyruan mjete neto në masën EUR 8.2 milionë gjatë 9-mujorit të parë 2019, krahasuar me mjete neto në masën EUR 126.9 milionë në periudhën korresponduese të vitit të kaluar. Si mjetet, ashtu edhe detyrimet janë pakësuar, por në masë më të madhe në rastin e mjeteve. Kjo u vu re</w:t>
      </w:r>
      <w:r w:rsidR="00AC7B23" w:rsidRPr="00DC66CD">
        <w:t>,</w:t>
      </w:r>
      <w:r w:rsidRPr="00DC66CD">
        <w:t xml:space="preserve"> kryesisht</w:t>
      </w:r>
      <w:r w:rsidR="00AC7B23" w:rsidRPr="00DC66CD">
        <w:t>,</w:t>
      </w:r>
      <w:r w:rsidRPr="00DC66CD">
        <w:t xml:space="preserve"> në rastin e </w:t>
      </w:r>
      <w:r w:rsidR="002A29AD" w:rsidRPr="00DC66CD">
        <w:t>“</w:t>
      </w:r>
      <w:r w:rsidRPr="00DC66CD">
        <w:t>mjeteve të borxhit</w:t>
      </w:r>
      <w:r w:rsidR="002A29AD" w:rsidRPr="00DC66CD">
        <w:t>”</w:t>
      </w:r>
      <w:r w:rsidRPr="00DC66CD">
        <w:t xml:space="preserve">. Gjithashtu, mjetet e rezervës u pakësuan me rreth EUR 4.7 milionë gjatë 9-mujorit të parë 2019. Për sa i përket financimit të deficitit korrent, flukset joborxhkrijuese nga </w:t>
      </w:r>
      <w:r w:rsidR="00AC7B23" w:rsidRPr="00DC66CD">
        <w:t xml:space="preserve">investimet direkte </w:t>
      </w:r>
      <w:r w:rsidRPr="00DC66CD">
        <w:t>përbëjnë faktorin kryesor.</w:t>
      </w:r>
    </w:p>
    <w:p w14:paraId="0E75896B" w14:textId="77777777" w:rsidR="002E283B" w:rsidRPr="00DC66CD" w:rsidRDefault="002E283B" w:rsidP="002E283B">
      <w:pPr>
        <w:pStyle w:val="TEKSTIIII"/>
        <w:rPr>
          <w:b/>
        </w:rPr>
      </w:pPr>
      <w:r w:rsidRPr="00DC66CD">
        <w:rPr>
          <w:b/>
        </w:rPr>
        <w:t>Zhvillime në borxhin e jashtëm</w:t>
      </w:r>
    </w:p>
    <w:p w14:paraId="4E258910" w14:textId="60E9DC27" w:rsidR="002E283B" w:rsidRPr="00DC66CD" w:rsidRDefault="002E283B" w:rsidP="002E283B">
      <w:pPr>
        <w:pStyle w:val="TEKSTIIII"/>
      </w:pPr>
      <w:r w:rsidRPr="00DC66CD">
        <w:t>Stoku i borxhit të jashtëm të Shqipërisë arriti EUR 8,328.5 milionë në tremujorin e tretë të vitit 2019</w:t>
      </w:r>
      <w:r w:rsidR="00AC7B23" w:rsidRPr="00DC66CD">
        <w:t>,</w:t>
      </w:r>
      <w:r w:rsidRPr="00DC66CD">
        <w:t xml:space="preserve"> duke u vlerësuar në 61.6% ndaj PBB-së nominale. Raporti i borxhit ndaj PBB-së është pakësuar ndjeshëm gjatë 2 viteve të fundit. Borxhi afatgjatë përbën 80.0% të totalit me kontribut kryesor nga huat afatgjata për qeverinë e përgjithshme dhe sektorët e tjerë. Borxhi afatshkurtër përbën 20.0% të totalit të borxhit të jashtëm.</w:t>
      </w:r>
    </w:p>
    <w:p w14:paraId="7E816B7D" w14:textId="6D0AA4E9" w:rsidR="002E283B" w:rsidRPr="00DC66CD" w:rsidRDefault="002E283B" w:rsidP="002E283B">
      <w:pPr>
        <w:pStyle w:val="TEKSTIIII"/>
      </w:pPr>
      <w:r w:rsidRPr="00DC66CD">
        <w:t xml:space="preserve">Nga pikëpamja e qëndrueshmërisë, treguesit e aftësisë ripaguese afatgjatë të borxhit të jashtëm të Shqipërisë janë përmirësuar gjatë periudhave të fundit. Raporti i borxhit të jashtëm </w:t>
      </w:r>
      <w:r w:rsidR="00E203E8" w:rsidRPr="00DC66CD">
        <w:t>ndaj eksportit të mallrave dhe të s</w:t>
      </w:r>
      <w:r w:rsidRPr="00DC66CD">
        <w:t>hërbimeve qëndron në 156.2% në tremujorin e tretë 2019, krahasuar me 161.5% një vit më parë. Po ashtu, raporti i borxhit të jashtëm ndaj të ardhurave fiskale qëndron në nivelin 221.5% krahasuar me 237.8% një vit më parë. Raporti i stokut të borxhit të qeverisë së përgjithshme ndaj të ardhurave fiskale qëndron në nivelin 101.1% krahasuar me 104.3% një vit më parë. Treguesit e likuiditetit dëshmojnë për presione të dobëta nga shërbimi i borxhit. Raporti i amortizimit të borxhit ndaj eksportit të mallrave dhe shërbimeve qëndron në nivelin 9.4%.</w:t>
      </w:r>
    </w:p>
    <w:p w14:paraId="7B938A9B" w14:textId="77777777" w:rsidR="002E283B" w:rsidRPr="00DC66CD" w:rsidRDefault="002E283B" w:rsidP="002E283B">
      <w:pPr>
        <w:pStyle w:val="TEKSTIIII"/>
      </w:pPr>
    </w:p>
    <w:p w14:paraId="5E545E70" w14:textId="4F43EC32" w:rsidR="002E283B" w:rsidRPr="00DF7B6F" w:rsidRDefault="004A6AF3" w:rsidP="002E283B">
      <w:pPr>
        <w:pStyle w:val="TEKSTIIII"/>
        <w:rPr>
          <w:i/>
        </w:rPr>
      </w:pPr>
      <w:r w:rsidRPr="00DF7B6F">
        <w:rPr>
          <w:i/>
        </w:rPr>
        <w:t>Grafik 3.2.9</w:t>
      </w:r>
      <w:r w:rsidR="002E283B" w:rsidRPr="00DF7B6F">
        <w:rPr>
          <w:i/>
        </w:rPr>
        <w:t xml:space="preserve"> Borxhi i huaj ndaj eksportit të mallrave dhe shërbimeve (majtas) dhe ndaj të ardhurave fiskale (djathtas)</w:t>
      </w:r>
    </w:p>
    <w:p w14:paraId="66394488" w14:textId="77777777" w:rsidR="002E283B" w:rsidRPr="00DC66CD" w:rsidRDefault="002E283B" w:rsidP="00022246">
      <w:pPr>
        <w:pStyle w:val="TEKSTIIII"/>
        <w:ind w:firstLine="0"/>
      </w:pPr>
    </w:p>
    <w:tbl>
      <w:tblPr>
        <w:tblW w:w="0" w:type="auto"/>
        <w:tblLook w:val="04A0" w:firstRow="1" w:lastRow="0" w:firstColumn="1" w:lastColumn="0" w:noHBand="0" w:noVBand="1"/>
      </w:tblPr>
      <w:tblGrid>
        <w:gridCol w:w="4598"/>
        <w:gridCol w:w="4682"/>
      </w:tblGrid>
      <w:tr w:rsidR="002E283B" w:rsidRPr="00DC66CD" w14:paraId="25F3E5DE" w14:textId="77777777" w:rsidTr="00D35BCB">
        <w:tc>
          <w:tcPr>
            <w:tcW w:w="4598" w:type="dxa"/>
          </w:tcPr>
          <w:p w14:paraId="044373DA" w14:textId="037AD9A2" w:rsidR="002E283B" w:rsidRPr="00DC66CD" w:rsidRDefault="002E283B" w:rsidP="004A6AF3">
            <w:pPr>
              <w:snapToGrid w:val="0"/>
              <w:jc w:val="center"/>
            </w:pPr>
            <w:r w:rsidRPr="00DC66CD">
              <w:rPr>
                <w:rFonts w:ascii="Times New Roman" w:hAnsi="Times New Roman"/>
                <w:noProof/>
                <w:lang w:val="en-US" w:eastAsia="en-US"/>
              </w:rPr>
              <w:drawing>
                <wp:inline distT="0" distB="0" distL="0" distR="0" wp14:anchorId="09F2CAF3" wp14:editId="42608034">
                  <wp:extent cx="2915285" cy="2265529"/>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9316" cy="2268662"/>
                          </a:xfrm>
                          <a:prstGeom prst="rect">
                            <a:avLst/>
                          </a:prstGeom>
                          <a:noFill/>
                        </pic:spPr>
                      </pic:pic>
                    </a:graphicData>
                  </a:graphic>
                </wp:inline>
              </w:drawing>
            </w:r>
          </w:p>
        </w:tc>
        <w:tc>
          <w:tcPr>
            <w:tcW w:w="4682" w:type="dxa"/>
          </w:tcPr>
          <w:p w14:paraId="2AC0150A" w14:textId="5F314190" w:rsidR="002E283B" w:rsidRPr="00DC66CD" w:rsidRDefault="002E283B" w:rsidP="004A6AF3">
            <w:pPr>
              <w:pStyle w:val="TEKSTIIII"/>
              <w:ind w:firstLine="0"/>
              <w:jc w:val="center"/>
            </w:pPr>
            <w:r w:rsidRPr="00DC66CD">
              <w:rPr>
                <w:rFonts w:ascii="Times New Roman" w:hAnsi="Times New Roman"/>
                <w:noProof/>
                <w:lang w:val="en-US" w:eastAsia="en-US"/>
              </w:rPr>
              <w:drawing>
                <wp:inline distT="0" distB="0" distL="0" distR="0" wp14:anchorId="7FAD2812" wp14:editId="30E736EC">
                  <wp:extent cx="2969895" cy="2251881"/>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7214" cy="2257430"/>
                          </a:xfrm>
                          <a:prstGeom prst="rect">
                            <a:avLst/>
                          </a:prstGeom>
                          <a:noFill/>
                        </pic:spPr>
                      </pic:pic>
                    </a:graphicData>
                  </a:graphic>
                </wp:inline>
              </w:drawing>
            </w:r>
          </w:p>
        </w:tc>
      </w:tr>
    </w:tbl>
    <w:p w14:paraId="4B719558" w14:textId="6E1F445E" w:rsidR="00D35BCB" w:rsidRPr="00DC66CD" w:rsidRDefault="004A6AF3" w:rsidP="00D35BCB">
      <w:pPr>
        <w:pStyle w:val="TEKSTIIII"/>
        <w:rPr>
          <w:i/>
        </w:rPr>
      </w:pPr>
      <w:r w:rsidRPr="00DC66CD">
        <w:rPr>
          <w:i/>
        </w:rPr>
        <w:t>Burimi: Banka e Shqipërisë</w:t>
      </w:r>
    </w:p>
    <w:p w14:paraId="5F7B232A" w14:textId="77777777" w:rsidR="00D35BCB" w:rsidRPr="00DC66CD" w:rsidRDefault="00D35BCB" w:rsidP="00D35BCB">
      <w:pPr>
        <w:pStyle w:val="TEKSTIIII"/>
        <w:rPr>
          <w:i/>
        </w:rPr>
      </w:pPr>
    </w:p>
    <w:p w14:paraId="1200E611" w14:textId="2D8EC3E7" w:rsidR="00D35BCB" w:rsidRPr="00DC66CD" w:rsidRDefault="00D35BCB" w:rsidP="00D35BCB">
      <w:pPr>
        <w:pStyle w:val="TEKSTIIII"/>
      </w:pPr>
      <w:r w:rsidRPr="00DC66CD">
        <w:t xml:space="preserve">Stoku i borxhit të jashtëm afatshkurtër ndaj PBB-së qëndron në nivelin 12.1% në fund të tremujorit të tretë 2019, kundrejt 13.1% në fund të tremujorit të tretë 2018. Në të njëjtën kohë, raporti i eksportit të mallrave dhe </w:t>
      </w:r>
      <w:r w:rsidR="004A6AF3" w:rsidRPr="00DC66CD">
        <w:t xml:space="preserve">të </w:t>
      </w:r>
      <w:r w:rsidRPr="00DC66CD">
        <w:t xml:space="preserve">shërbimeve ndaj borxhit të jashtëm afatshkurtër qëndron në nivelin 326.7%, kundrejt 304.7% në fund të tremujorit të tretë 2018. </w:t>
      </w:r>
    </w:p>
    <w:p w14:paraId="193BD4F7" w14:textId="3EEFBCBD" w:rsidR="00D35BCB" w:rsidRPr="00DC66CD" w:rsidRDefault="00D35BCB" w:rsidP="00D35BCB">
      <w:pPr>
        <w:pStyle w:val="TEKSTIIII"/>
      </w:pPr>
      <w:r w:rsidRPr="00DC66CD">
        <w:t>Në skenarin bazë për 2019, vlerësohet që raporti i borxhit të huaj ndaj PBB-së do të ruajë trendin rënës të vënë re gjatë 3 v</w:t>
      </w:r>
      <w:r w:rsidR="004A6AF3" w:rsidRPr="00DC66CD">
        <w:t xml:space="preserve">jetëve </w:t>
      </w:r>
      <w:r w:rsidRPr="00DC66CD">
        <w:t xml:space="preserve">të fundit për të arritur rreth 52.2%. Megjithatë, ky projeksion rrethohet nga rreziqe në kahun e sipërm të cilët merren parasysh në hartimin e analizës së ndjeshmërisë së borxhit të jashtëm ndaj disa goditjeve negative. Këtu, simulohen goditje të normave të interesit dhe të kursit të këmbimit. Në skenarin e parë, norma mesatare e interesit që paguhet për borxhin e jashtëm rritet në mënyrë permanente me dy devijime </w:t>
      </w:r>
      <w:r w:rsidR="00050407" w:rsidRPr="00DC66CD">
        <w:t>standarde</w:t>
      </w:r>
      <w:r w:rsidRPr="00DC66CD">
        <w:t xml:space="preserve">. Në skenarin e dytë, monedha </w:t>
      </w:r>
      <w:r w:rsidR="00637183" w:rsidRPr="00DC66CD">
        <w:t>vendës</w:t>
      </w:r>
      <w:r w:rsidRPr="00DC66CD">
        <w:t>e merr një goditje të vetme prej 10% në kahun nënçmues. Devijimi i borxhit të jashtëm nga skenari bazë është më i dukshëm në rastin e skenarit me nënçmim kursi.</w:t>
      </w:r>
    </w:p>
    <w:p w14:paraId="2765BB0F" w14:textId="77777777" w:rsidR="00D35BCB" w:rsidRPr="00DC66CD" w:rsidRDefault="00D35BCB" w:rsidP="00D35BCB">
      <w:pPr>
        <w:pStyle w:val="TEKSTIIII"/>
      </w:pPr>
    </w:p>
    <w:p w14:paraId="5AAD6D29" w14:textId="35261647" w:rsidR="00D35BCB" w:rsidRPr="006C7645" w:rsidRDefault="00D35BCB" w:rsidP="00D35BCB">
      <w:pPr>
        <w:pStyle w:val="TEKSTIIII"/>
        <w:rPr>
          <w:i/>
        </w:rPr>
      </w:pPr>
      <w:r w:rsidRPr="006C7645">
        <w:rPr>
          <w:i/>
        </w:rPr>
        <w:t xml:space="preserve">Grafik 3.2.10 Borxhi i </w:t>
      </w:r>
      <w:r w:rsidR="00050407" w:rsidRPr="006C7645">
        <w:rPr>
          <w:i/>
        </w:rPr>
        <w:t xml:space="preserve">jashtëm bruto </w:t>
      </w:r>
      <w:r w:rsidRPr="006C7645">
        <w:rPr>
          <w:i/>
        </w:rPr>
        <w:t>ndaj PBB-së në skenarin bazë dhe sipas atyre të riskut: goditje e normës së interesit (majtas) dhe nënçmimi real (djathtas)</w:t>
      </w:r>
    </w:p>
    <w:p w14:paraId="3E0708B9" w14:textId="032F38C2" w:rsidR="002E283B" w:rsidRPr="00DC66CD" w:rsidRDefault="00D35BCB" w:rsidP="00022246">
      <w:pPr>
        <w:pStyle w:val="TEKSTIIII"/>
        <w:ind w:firstLine="0"/>
      </w:pPr>
      <w:r w:rsidRPr="00DC66CD">
        <w:rPr>
          <w:rFonts w:ascii="Times New Roman" w:hAnsi="Times New Roman"/>
          <w:iCs/>
          <w:noProof/>
          <w:lang w:val="en-US" w:eastAsia="en-US"/>
        </w:rPr>
        <w:drawing>
          <wp:inline distT="0" distB="0" distL="0" distR="0" wp14:anchorId="45A11051" wp14:editId="6C82CE2D">
            <wp:extent cx="5755640" cy="201364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5640" cy="2013644"/>
                    </a:xfrm>
                    <a:prstGeom prst="rect">
                      <a:avLst/>
                    </a:prstGeom>
                    <a:noFill/>
                  </pic:spPr>
                </pic:pic>
              </a:graphicData>
            </a:graphic>
          </wp:inline>
        </w:drawing>
      </w:r>
    </w:p>
    <w:p w14:paraId="1CBE392A" w14:textId="30FF376F" w:rsidR="00B61096" w:rsidRPr="00DC66CD" w:rsidRDefault="00050407" w:rsidP="00B61096">
      <w:pPr>
        <w:pStyle w:val="TEKSTIIII"/>
        <w:rPr>
          <w:b/>
          <w:i/>
        </w:rPr>
      </w:pPr>
      <w:r w:rsidRPr="00DC66CD">
        <w:rPr>
          <w:i/>
        </w:rPr>
        <w:t>Burimi: Banka e Shqipërisë</w:t>
      </w:r>
    </w:p>
    <w:p w14:paraId="48A3C1BF" w14:textId="77777777" w:rsidR="00B61096" w:rsidRPr="00DC66CD" w:rsidRDefault="00B61096" w:rsidP="00B61096">
      <w:pPr>
        <w:pStyle w:val="TEKSTIIII"/>
        <w:rPr>
          <w:rFonts w:ascii="Times New Roman" w:hAnsi="Times New Roman"/>
          <w:i/>
        </w:rPr>
      </w:pPr>
    </w:p>
    <w:p w14:paraId="49FE5884" w14:textId="77777777" w:rsidR="00050407" w:rsidRPr="00DC66CD" w:rsidRDefault="00050407" w:rsidP="00B61096">
      <w:pPr>
        <w:pStyle w:val="TEKSTIIII"/>
        <w:rPr>
          <w:rFonts w:ascii="Times New Roman" w:hAnsi="Times New Roman"/>
          <w:i/>
        </w:rPr>
      </w:pPr>
    </w:p>
    <w:p w14:paraId="3D96ACD3" w14:textId="77777777" w:rsidR="00050407" w:rsidRPr="00DC66CD" w:rsidRDefault="00050407" w:rsidP="00B61096">
      <w:pPr>
        <w:pStyle w:val="TEKSTIIII"/>
        <w:rPr>
          <w:rFonts w:ascii="Times New Roman" w:hAnsi="Times New Roman"/>
          <w:i/>
        </w:rPr>
      </w:pPr>
    </w:p>
    <w:p w14:paraId="4D4C8CC9" w14:textId="77777777" w:rsidR="00B61096" w:rsidRPr="00DC66CD" w:rsidRDefault="00B61096" w:rsidP="00B61096">
      <w:pPr>
        <w:pStyle w:val="TEKSTIIII"/>
        <w:rPr>
          <w:i/>
        </w:rPr>
      </w:pPr>
      <w:r w:rsidRPr="00DC66CD">
        <w:rPr>
          <w:i/>
        </w:rPr>
        <w:t xml:space="preserve">Rezerva valutore </w:t>
      </w:r>
    </w:p>
    <w:p w14:paraId="0CC1D10A" w14:textId="77D25B5C" w:rsidR="00B61096" w:rsidRPr="00DC66CD" w:rsidRDefault="00B61096" w:rsidP="00B61096">
      <w:pPr>
        <w:pStyle w:val="TEKSTIIII"/>
      </w:pPr>
      <w:r w:rsidRPr="00DC66CD">
        <w:t xml:space="preserve">Kriteret e mjaftueshmërisë së </w:t>
      </w:r>
      <w:r w:rsidR="00050407" w:rsidRPr="00DC66CD">
        <w:t xml:space="preserve">rezervave valutore </w:t>
      </w:r>
      <w:r w:rsidRPr="00DC66CD">
        <w:t>që mbahen në Bankën e Shqipërisë përcaktohen në terma të mbulimit me rezervë të 4 muaj</w:t>
      </w:r>
      <w:r w:rsidR="00050407" w:rsidRPr="00DC66CD">
        <w:t>ve</w:t>
      </w:r>
      <w:r w:rsidRPr="00DC66CD">
        <w:t xml:space="preserve"> importe mallrash dhe shërbimesh, si edhe të mbulimit në masën 100% të borxhit të jashtëm afatshkurtër. Në fund të vitit 2019, rezervat valutore të Bankës së Shqipërisë shënojnë nivelin 3,360 milionë euro, vlerësuar në rreth 25.4% ndaj PBB-së. Në terma të kritereve të mjaftueshmërisë, niveli i rezervave valutore gjatë vitit 2019 vlerësohet të mbulojë mesatarisht rreth 6.4 muaj importe mallrash dhe shërbimesh dhe rreth 155% të borxhit të jashtëm afatshkurtër. Në afat të mesëm, të dy</w:t>
      </w:r>
      <w:r w:rsidR="00050407" w:rsidRPr="00DC66CD">
        <w:t>ja</w:t>
      </w:r>
      <w:r w:rsidRPr="00DC66CD">
        <w:t xml:space="preserve"> këto kritere pritet të mbeten mbi nivelet e tyre të mjaftueshmërisë.</w:t>
      </w:r>
    </w:p>
    <w:p w14:paraId="027D3432" w14:textId="77777777" w:rsidR="00B61096" w:rsidRPr="00DC66CD" w:rsidRDefault="00B61096" w:rsidP="00B61096">
      <w:pPr>
        <w:pStyle w:val="TEKSTIIII"/>
      </w:pPr>
    </w:p>
    <w:p w14:paraId="18480130" w14:textId="78732626" w:rsidR="00B61096" w:rsidRPr="006C7645" w:rsidRDefault="00050407" w:rsidP="00B61096">
      <w:pPr>
        <w:pStyle w:val="TEKSTIIII"/>
        <w:rPr>
          <w:i/>
        </w:rPr>
      </w:pPr>
      <w:r w:rsidRPr="006C7645">
        <w:rPr>
          <w:i/>
        </w:rPr>
        <w:t xml:space="preserve">Grafik 3.2.11 </w:t>
      </w:r>
      <w:r w:rsidR="00B61096" w:rsidRPr="006C7645">
        <w:rPr>
          <w:i/>
        </w:rPr>
        <w:t xml:space="preserve">Parashikimi i rezervave valutore në raport me importet e mallrave dhe </w:t>
      </w:r>
      <w:r w:rsidR="002E54B7" w:rsidRPr="006C7645">
        <w:rPr>
          <w:i/>
        </w:rPr>
        <w:t xml:space="preserve">të </w:t>
      </w:r>
      <w:r w:rsidR="00B61096" w:rsidRPr="006C7645">
        <w:rPr>
          <w:i/>
        </w:rPr>
        <w:t xml:space="preserve">shërbimeve (majtas) dhe në raport me borxhin e huaj afatshkurtër (djathtas) </w:t>
      </w:r>
    </w:p>
    <w:p w14:paraId="439A97CC" w14:textId="67CCBC9D" w:rsidR="00B61096" w:rsidRPr="00DC66CD" w:rsidRDefault="00B61096" w:rsidP="00864186">
      <w:pPr>
        <w:pStyle w:val="TEKSTIIII"/>
        <w:ind w:firstLine="0"/>
        <w:jc w:val="center"/>
      </w:pPr>
      <w:r w:rsidRPr="00DC66CD">
        <w:rPr>
          <w:rFonts w:ascii="Times New Roman" w:hAnsi="Times New Roman"/>
          <w:noProof/>
          <w:lang w:val="en-US" w:eastAsia="en-US"/>
        </w:rPr>
        <w:drawing>
          <wp:inline distT="0" distB="0" distL="0" distR="0" wp14:anchorId="346CBAF6" wp14:editId="4045A2CA">
            <wp:extent cx="5755640" cy="1808845"/>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5640" cy="1808845"/>
                    </a:xfrm>
                    <a:prstGeom prst="rect">
                      <a:avLst/>
                    </a:prstGeom>
                    <a:noFill/>
                  </pic:spPr>
                </pic:pic>
              </a:graphicData>
            </a:graphic>
          </wp:inline>
        </w:drawing>
      </w:r>
    </w:p>
    <w:p w14:paraId="4262FF88" w14:textId="24C674FA" w:rsidR="00D24250" w:rsidRPr="00DC66CD" w:rsidRDefault="00D24250" w:rsidP="00D24250">
      <w:pPr>
        <w:pStyle w:val="TEKSTIIII"/>
        <w:rPr>
          <w:i/>
        </w:rPr>
      </w:pPr>
      <w:r w:rsidRPr="00DC66CD">
        <w:rPr>
          <w:i/>
        </w:rPr>
        <w:t>Burimi: Banka e S</w:t>
      </w:r>
      <w:r w:rsidR="002E54B7" w:rsidRPr="00DC66CD">
        <w:rPr>
          <w:i/>
        </w:rPr>
        <w:t>hqipërisë</w:t>
      </w:r>
    </w:p>
    <w:p w14:paraId="6AF1E5D0" w14:textId="77777777" w:rsidR="00D24250" w:rsidRPr="00DC66CD" w:rsidRDefault="00D24250" w:rsidP="00D24250">
      <w:pPr>
        <w:pStyle w:val="TEKSTIIII"/>
      </w:pPr>
    </w:p>
    <w:p w14:paraId="6C99565E" w14:textId="77777777" w:rsidR="00D24250" w:rsidRPr="00DC66CD" w:rsidRDefault="00D24250" w:rsidP="00D24250">
      <w:pPr>
        <w:pStyle w:val="TEKSTIIII"/>
        <w:rPr>
          <w:b/>
        </w:rPr>
      </w:pPr>
      <w:r w:rsidRPr="00DC66CD">
        <w:rPr>
          <w:b/>
        </w:rPr>
        <w:t>Sektori financiar</w:t>
      </w:r>
    </w:p>
    <w:p w14:paraId="51934F2E" w14:textId="6A603BAE" w:rsidR="00D24250" w:rsidRPr="00DC66CD" w:rsidRDefault="00D24250" w:rsidP="00D24250">
      <w:pPr>
        <w:pStyle w:val="TEKSTIIII"/>
      </w:pPr>
      <w:r w:rsidRPr="00DC66CD">
        <w:t>Sektori financiar dhe roli i tij ndërmjetësues, i reflektuar në madhësinë e aktiveve, kanë vijuar të zgjerohen gjatë 9 muajve të parë të vitit 2019. Thyerja strukturore në bilancin e një prej bankave sistemike (BKT)</w:t>
      </w:r>
      <w:r w:rsidR="00864186" w:rsidRPr="00DC66CD">
        <w:t>,</w:t>
      </w:r>
      <w:r w:rsidRPr="00DC66CD">
        <w:t xml:space="preserve"> në fund të vitit 2018</w:t>
      </w:r>
      <w:r w:rsidR="00864186" w:rsidRPr="00DC66CD">
        <w:t>,</w:t>
      </w:r>
      <w:r w:rsidRPr="00DC66CD">
        <w:t xml:space="preserve"> ka rezultuar në një tkurrje të lehtë të bilancit të sektorit bankar dhe rënie të lehtë të peshës së aktiveve të sektorit bankar ndaj PBB-së. Deri në fund të qershorit 2019, aktivet e sektorit bankar arritën në 104.4% të PBB-së dhe ky raport ishte 2.5 p.p. më i ulët në krahasim me vlerën në dhjetor 2018. Fondet e investimit dhe të pensionit, kompanitë e sigurimit dhe shoqëritë e kursim-kreditit vijuan të zgjeronin aktivitetin e tyre, por pesha e tyre relative ndaj prodhimit të brendshëm qëndroi e pandryshuar në krahasim me fundin e vitit 2018. Segmenti i institucioneve financiare jobanka (IFJB-ve) regjistroi një rritje të fortë në terma nominalë dhe relativë. Deri në fund të qershorit 2019 aktivet e IFJB-ve u rritën me 23% në terma vjetorë, ndërkohë që niveli i kapitalizimit të këtyre subjekteve është i lartë dhe cilësia e kredisë është përmirësuar ndjeshëm</w:t>
      </w:r>
      <w:r w:rsidRPr="00DC66CD">
        <w:rPr>
          <w:vertAlign w:val="superscript"/>
        </w:rPr>
        <w:footnoteReference w:id="8"/>
      </w:r>
      <w:r w:rsidRPr="00DC66CD">
        <w:t xml:space="preserve">. </w:t>
      </w:r>
    </w:p>
    <w:p w14:paraId="1B517B71" w14:textId="786A44F2" w:rsidR="00D24250" w:rsidRPr="00DC66CD" w:rsidRDefault="00E2374B" w:rsidP="00864186">
      <w:pPr>
        <w:snapToGrid w:val="0"/>
        <w:jc w:val="center"/>
        <w:rPr>
          <w:rFonts w:ascii="Times New Roman" w:hAnsi="Times New Roman"/>
        </w:rPr>
      </w:pPr>
      <w:r w:rsidRPr="00DC66CD">
        <w:rPr>
          <w:rFonts w:ascii="Times New Roman" w:hAnsi="Times New Roman"/>
          <w:noProof/>
          <w:lang w:val="en-US" w:eastAsia="en-US"/>
        </w:rPr>
        <w:drawing>
          <wp:inline distT="0" distB="0" distL="0" distR="0" wp14:anchorId="1FE3FD97" wp14:editId="352BC4F3">
            <wp:extent cx="5755640" cy="131999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5640" cy="1319997"/>
                    </a:xfrm>
                    <a:prstGeom prst="rect">
                      <a:avLst/>
                    </a:prstGeom>
                    <a:noFill/>
                    <a:ln>
                      <a:noFill/>
                    </a:ln>
                  </pic:spPr>
                </pic:pic>
              </a:graphicData>
            </a:graphic>
          </wp:inline>
        </w:drawing>
      </w:r>
    </w:p>
    <w:p w14:paraId="05D026A0" w14:textId="2717FD12" w:rsidR="00623EAC" w:rsidRPr="00DC66CD" w:rsidRDefault="00623EAC" w:rsidP="00623EAC">
      <w:pPr>
        <w:pStyle w:val="TEKSTIIII"/>
      </w:pPr>
      <w:r w:rsidRPr="00DC66CD">
        <w:t>Nga janari deri në shtator 2019</w:t>
      </w:r>
      <w:r w:rsidR="00864186" w:rsidRPr="00DC66CD">
        <w:t>,</w:t>
      </w:r>
      <w:r w:rsidRPr="00DC66CD">
        <w:t xml:space="preserve"> bilanci i sektorit bankar u zgjerua me 2.5% ose me 35 miliardë lekë dhe arriti në 1,450 miliardë lekë. Kjo rritje u mbështet nga rritja me 4% në tepricën e kredisë dhe një zgjerim me rreth 2% në stokun e letrave me vlerë të mbajtura nga sektori bankar. Në anën e detyrimeve, rritja reflektoi rritjen me 22 miliardë lekë të stokut të depozitave dhe një rritje me 15 miliardë lekë në veprimet me thesarin dhe ndërbankare. Depozitat e përgjithshme të mbajtura nga bankat </w:t>
      </w:r>
      <w:r w:rsidR="00637183" w:rsidRPr="00DC66CD">
        <w:t>vendës</w:t>
      </w:r>
      <w:r w:rsidRPr="00DC66CD">
        <w:t>e arritën n</w:t>
      </w:r>
      <w:r w:rsidR="00360C4A">
        <w:t>ë</w:t>
      </w:r>
      <w:r w:rsidRPr="00DC66CD">
        <w:t xml:space="preserve"> 1,170 miliardë lekë në fund të shtatorit 2019 dhe përfaqësonin rreth 80% të detyrimeve të sektorit bankar. Shkalla e ndërmjetësimit nga bankat ka rënë lehtë gjatë periudhës 2014</w:t>
      </w:r>
      <w:r w:rsidR="00864186" w:rsidRPr="00DC66CD">
        <w:t>–</w:t>
      </w:r>
      <w:r w:rsidRPr="00DC66CD">
        <w:t>2019</w:t>
      </w:r>
      <w:r w:rsidR="00864186" w:rsidRPr="00DC66CD">
        <w:t>,</w:t>
      </w:r>
      <w:r w:rsidRPr="00DC66CD">
        <w:t xml:space="preserve"> kur raporti </w:t>
      </w:r>
      <w:r w:rsidR="00864186" w:rsidRPr="00DC66CD">
        <w:t xml:space="preserve">kredi/depozita </w:t>
      </w:r>
      <w:r w:rsidRPr="00DC66CD">
        <w:t>ra në 49% nga 56%</w:t>
      </w:r>
      <w:r w:rsidR="00864186" w:rsidRPr="00DC66CD">
        <w:t>,</w:t>
      </w:r>
      <w:r w:rsidRPr="00DC66CD">
        <w:t xml:space="preserve"> si pasojë e rritjes më të dobët të kredisë në krahasim me rritjen relativisht të shpejtë të depozitave, veçanërisht gjatë viteve 2014</w:t>
      </w:r>
      <w:r w:rsidR="00864186" w:rsidRPr="00DC66CD">
        <w:t>–</w:t>
      </w:r>
      <w:r w:rsidRPr="00DC66CD">
        <w:t xml:space="preserve">2016. Megjithatë nga janari deri në shtator të vitit 2019, rritja në tepricën e kredisë (3.6%) e nxitur nga rritja në kredinë afatgjatë në monedhën </w:t>
      </w:r>
      <w:r w:rsidR="00637183" w:rsidRPr="00DC66CD">
        <w:t>vendës</w:t>
      </w:r>
      <w:r w:rsidRPr="00DC66CD">
        <w:t>e për sektorin privat (si për bizneset, ashtu edhe për individët) ishte dukshëm më e lartë se</w:t>
      </w:r>
      <w:r w:rsidR="00864186" w:rsidRPr="00DC66CD">
        <w:t xml:space="preserve"> </w:t>
      </w:r>
      <w:r w:rsidRPr="00DC66CD">
        <w:t xml:space="preserve">sa rritja në stokun e depozitave (1.9%). </w:t>
      </w:r>
    </w:p>
    <w:p w14:paraId="5FF4836E" w14:textId="33DA1FB0" w:rsidR="00D24250" w:rsidRPr="00DC66CD" w:rsidRDefault="00E03A6A" w:rsidP="00864186">
      <w:pPr>
        <w:pStyle w:val="TEKSTIIII"/>
        <w:ind w:firstLine="0"/>
        <w:jc w:val="center"/>
      </w:pPr>
      <w:r w:rsidRPr="00DC66CD">
        <w:rPr>
          <w:rFonts w:ascii="Times New Roman" w:hAnsi="Times New Roman"/>
          <w:noProof/>
          <w:lang w:val="en-US" w:eastAsia="en-US"/>
        </w:rPr>
        <w:drawing>
          <wp:inline distT="0" distB="0" distL="0" distR="0" wp14:anchorId="51FE6D44" wp14:editId="28B2AABD">
            <wp:extent cx="4324350" cy="141659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49419" cy="1424809"/>
                    </a:xfrm>
                    <a:prstGeom prst="rect">
                      <a:avLst/>
                    </a:prstGeom>
                    <a:noFill/>
                    <a:ln>
                      <a:noFill/>
                    </a:ln>
                  </pic:spPr>
                </pic:pic>
              </a:graphicData>
            </a:graphic>
          </wp:inline>
        </w:drawing>
      </w:r>
    </w:p>
    <w:p w14:paraId="024EBD9A" w14:textId="77777777" w:rsidR="00574843" w:rsidRPr="00DC66CD" w:rsidRDefault="00574843" w:rsidP="00022246">
      <w:pPr>
        <w:pStyle w:val="TEKSTIIII"/>
        <w:ind w:firstLine="0"/>
      </w:pPr>
    </w:p>
    <w:p w14:paraId="3D6BB51B" w14:textId="63F94153" w:rsidR="00574843" w:rsidRPr="00DC66CD" w:rsidRDefault="00574843" w:rsidP="00574843">
      <w:pPr>
        <w:pStyle w:val="TEKSTIIII"/>
      </w:pPr>
      <w:r w:rsidRPr="00DC66CD">
        <w:t xml:space="preserve">Zgjerimi i kredisë për huamarrësit rezidentë gjatë gjysmës së parë të vitit 2019 reflektoi rritjen e huamarrjes për blerje banesash nga individët në monedhën </w:t>
      </w:r>
      <w:r w:rsidR="00637183" w:rsidRPr="00DC66CD">
        <w:t>vendës</w:t>
      </w:r>
      <w:r w:rsidRPr="00DC66CD">
        <w:t>e dhe të huamarrjes për ndërtim nga ana e bizneseve, në një kohë kur normat e interesit për kreditë e reja vijuan të bien. Nga rezultatet e vrojtimeve vërehet që barra e borxhit për kompanitë dhe familjet mbetet e përballueshme, ndërkohë që kërkesa për kredi në horizontin afatshkurtër pritet të jetë e moderuar. Borxhi i jashtëm i kompanive jofinanciare dhe i familjeve ka regjistruar n</w:t>
      </w:r>
      <w:r w:rsidR="00941640" w:rsidRPr="00DC66CD">
        <w:t>jë rritje të moderuar gjatë 4 v</w:t>
      </w:r>
      <w:r w:rsidR="00304C99" w:rsidRPr="00DC66CD">
        <w:t xml:space="preserve">jetëve </w:t>
      </w:r>
      <w:r w:rsidRPr="00DC66CD">
        <w:t xml:space="preserve">të fundit dhe arriti në 1,360 milionë euro në fund të gjashtëmujorit të parë të vitit 2019 nga 1,280 milionë euro në fund të vitit 2016. Gjatë </w:t>
      </w:r>
      <w:r w:rsidR="00941640" w:rsidRPr="00DC66CD">
        <w:t>s</w:t>
      </w:r>
      <w:r w:rsidRPr="00DC66CD">
        <w:t>ë njëjtës periudhë, stoku i borxhit të jashtëm në formën e huamarrjes ndër</w:t>
      </w:r>
      <w:r w:rsidR="00941640" w:rsidRPr="00DC66CD">
        <w:t xml:space="preserve"> </w:t>
      </w:r>
      <w:r w:rsidRPr="00DC66CD">
        <w:t xml:space="preserve">kompani ra në 1,705 milionë euro nga 1,790 milionë euro. </w:t>
      </w:r>
    </w:p>
    <w:p w14:paraId="388DA19A" w14:textId="0DADA961" w:rsidR="00574843" w:rsidRPr="00DC66CD" w:rsidRDefault="00574843" w:rsidP="00574843">
      <w:pPr>
        <w:pStyle w:val="TEKSTIIII"/>
      </w:pPr>
      <w:r w:rsidRPr="00DC66CD">
        <w:t xml:space="preserve">Për vitin e ardhshëm presim që kredia të vijojë të rritet me një ritëm të moderuar deri të mirë. Pritjet tona mbështeten në pozicionin e qëndrueshëm të likuiditetit dhe në nivelin e mirë të kapitalizimit të bankave, në faktin që cilësia e aktiveve po përmirësohet, në projeksionet relativisht pozitive për rritjen ekonomike dhe në faktin që niveli i borxhit në bilancet e familjeve dhe </w:t>
      </w:r>
      <w:r w:rsidR="001151FC" w:rsidRPr="00DC66CD">
        <w:t xml:space="preserve">të </w:t>
      </w:r>
      <w:r w:rsidRPr="00DC66CD">
        <w:t>kompanive është i ulët. Rreziqet për ecuri të dobët të kredisë lidhen kryesisht me mundësinë që rritja ekonomike të jetë më e vogël se</w:t>
      </w:r>
      <w:r w:rsidR="007C56D7" w:rsidRPr="00DC66CD">
        <w:t xml:space="preserve"> </w:t>
      </w:r>
      <w:r w:rsidRPr="00DC66CD">
        <w:t>sa pritjet (për shkak të rritjes më të ulët në ekonomitë e rajonit dhe ato të Evropës dhe</w:t>
      </w:r>
      <w:r w:rsidR="007C56D7" w:rsidRPr="00DC66CD">
        <w:t>,</w:t>
      </w:r>
      <w:r w:rsidRPr="00DC66CD">
        <w:t xml:space="preserve"> për shkak të ndikimit të përkohshëm, veçanërisht në sektorin e turizmi</w:t>
      </w:r>
      <w:r w:rsidR="007C56D7" w:rsidRPr="00DC66CD">
        <w:t xml:space="preserve">t, të tërmetit të 26 nëntorit) </w:t>
      </w:r>
      <w:r w:rsidRPr="00DC66CD">
        <w:t xml:space="preserve">ose me kërkesën më të dobët për kredi. </w:t>
      </w:r>
    </w:p>
    <w:p w14:paraId="61FDB81F" w14:textId="3B0F4025" w:rsidR="00574843" w:rsidRPr="00DC66CD" w:rsidRDefault="00574843" w:rsidP="00574843">
      <w:pPr>
        <w:pStyle w:val="TEKSTIIII"/>
      </w:pPr>
      <w:r w:rsidRPr="00DC66CD">
        <w:t>Në fillim të nëntorit 2019, Banka e Shqipërisë dhe Shoqata Shqiptare e Bankave miratuan një platformë për rimëkëmbjen e kredisë. Platforma, e cila është e publikuar, përmban objektiva afatshkurtër dhe afatmesëm të lidhur me bankat dhe Bankën e Shqipërisë</w:t>
      </w:r>
      <w:r w:rsidR="004A6913" w:rsidRPr="00DC66CD">
        <w:t>,</w:t>
      </w:r>
      <w:r w:rsidRPr="00DC66CD">
        <w:t xml:space="preserve"> si edhe me agjenci qeveritare. Qëllimi kryesor i aktiviteteve të propozuara është ulja e rrezikut të kredisë dhe mbështetja e kërkesës për kredi. </w:t>
      </w:r>
    </w:p>
    <w:p w14:paraId="15333103" w14:textId="0BF26C47" w:rsidR="00574843" w:rsidRPr="00DC66CD" w:rsidRDefault="00574843" w:rsidP="00574843">
      <w:pPr>
        <w:pStyle w:val="TEKSTIIII"/>
      </w:pPr>
      <w:r w:rsidRPr="00DC66CD">
        <w:t xml:space="preserve">Sistemi financiar </w:t>
      </w:r>
      <w:r w:rsidR="00637183" w:rsidRPr="00DC66CD">
        <w:t>vendës</w:t>
      </w:r>
      <w:r w:rsidRPr="00DC66CD">
        <w:t xml:space="preserve"> dhe sektori bankar, aktivet e të cilit zënë rreth 90% të aktiveve të sistemit financiar, janë të qëndrueshëm, të mirëkapitalizuar dhe me një rezultat financiar pozitiv. Niveli i kapitalizimit të sektorit bankar arriti në 18.8% në fund të shtatorit dhe ka shënuar rritje të vazhdueshme gjatë viteve të fundit, kryesisht si rezultat i rritjes së kapitalit rregullator të bankave, por edhe për shkak të rritjes me norma më të ulëta të nivelit të aktiveve të peshuara me rrezik të sektorit bankar.</w:t>
      </w:r>
      <w:r w:rsidR="0072211B" w:rsidRPr="00DC66CD">
        <w:t xml:space="preserve"> </w:t>
      </w:r>
      <w:r w:rsidRPr="00DC66CD">
        <w:t>Bankat dhe institucionet e tjera financiare vijuan të regjistronin rezultat financiar pozitiv dhe treguesit e përfitueshmërisë shënuan nivele të njëjta ose disi më të larta në krahasim me nivelet e viteve 2017 dhe 2018. Kthimi nga kapitali (RoE) për sektorin bankar në fund të shtatorit ishte 13.7%</w:t>
      </w:r>
      <w:r w:rsidR="004A6913" w:rsidRPr="00DC66CD">
        <w:t>,</w:t>
      </w:r>
      <w:r w:rsidRPr="00DC66CD">
        <w:t xml:space="preserve"> por disa banka që kanë më shumë se 50% të aktiveve të sektorit bankar, kanë një RoE më të lartë se</w:t>
      </w:r>
      <w:r w:rsidR="004A6913" w:rsidRPr="00DC66CD">
        <w:t xml:space="preserve"> </w:t>
      </w:r>
      <w:r w:rsidRPr="00DC66CD">
        <w:t>sa 16.3%. Pozicioni i likuiditetit të sektorit bankar është i mirë dhe treguesit e likuiditetit (</w:t>
      </w:r>
      <w:r w:rsidR="004A6913" w:rsidRPr="00DC66CD">
        <w:t>aktivet likuide ndaj totalit të aktiveve dhe aktivet likuide ndaj detyrimeve afatshkurtra</w:t>
      </w:r>
      <w:r w:rsidRPr="00DC66CD">
        <w:t>) kanë vijuar të rriten dhe mbeten ndjeshëm mbi normat e përcaktuara në aktet rregullative. Sipas ushtrimeve të provave të rezistencës për sektorin bankar, në skenarin bazë, gjatë horizontit afatmesëm (2019</w:t>
      </w:r>
      <w:r w:rsidR="002B7C24" w:rsidRPr="00DC66CD">
        <w:t>–</w:t>
      </w:r>
      <w:r w:rsidRPr="00DC66CD">
        <w:t xml:space="preserve">2020) bankat paraqiten të mirëkapitalizuara dhe në gjendje për të kryer aktivitetin e tyre normal pa pasur nevojë për injektim kapitali. </w:t>
      </w:r>
    </w:p>
    <w:p w14:paraId="64BA7304" w14:textId="2E43A836" w:rsidR="00574843" w:rsidRPr="00DC66CD" w:rsidRDefault="00574843" w:rsidP="00574843">
      <w:pPr>
        <w:pStyle w:val="TEKSTIIII"/>
      </w:pPr>
      <w:r w:rsidRPr="00DC66CD">
        <w:t>Cilësia e kredisë bankare është përmirësuar në mënyrë të qëndrueshme gjatë nëntë muajve të parë të vitit 2019</w:t>
      </w:r>
      <w:r w:rsidR="00FC04E8" w:rsidRPr="00DC66CD">
        <w:t>,</w:t>
      </w:r>
      <w:r w:rsidRPr="00DC66CD">
        <w:t xml:space="preserve"> kryesisht</w:t>
      </w:r>
      <w:r w:rsidR="00FC04E8" w:rsidRPr="00DC66CD">
        <w:t>,</w:t>
      </w:r>
      <w:r w:rsidRPr="00DC66CD">
        <w:t xml:space="preserve"> për shkak të rënies së ndjeshme (me 20% në terma vjetorë deri në fund të shtatorit 2019) në stokun e kredive me probleme (KMP), por edhe si pasojë e rimëkëmbjes së kredisë. Raporti i Kredive me Probleme (RKP) ra në 10.6% në fund të shtatorit, duke shënuar nivelin më të ulët që nga fundi i vitit 2009. Në të njëjtën kohë, pesha e kredive të humbura brenda tepricës së kredive me probleme ra nga 60% në fund të tremujorit të parë të vitit 2017, në 42% në fund të muajit shtator 2019.</w:t>
      </w:r>
      <w:r w:rsidR="0072211B" w:rsidRPr="00DC66CD">
        <w:t xml:space="preserve"> </w:t>
      </w:r>
      <w:r w:rsidRPr="00DC66CD">
        <w:t>Rënia në stokun e KMP</w:t>
      </w:r>
      <w:r w:rsidR="00FC04E8" w:rsidRPr="00DC66CD">
        <w:t>-së,</w:t>
      </w:r>
      <w:r w:rsidRPr="00DC66CD">
        <w:t xml:space="preserve"> gjatë periudhës janar</w:t>
      </w:r>
      <w:r w:rsidR="00FC04E8" w:rsidRPr="00DC66CD">
        <w:t>–</w:t>
      </w:r>
      <w:r w:rsidRPr="00DC66CD">
        <w:t>shtator 2019</w:t>
      </w:r>
      <w:r w:rsidR="00FC04E8" w:rsidRPr="00DC66CD">
        <w:t>,</w:t>
      </w:r>
      <w:r w:rsidRPr="00DC66CD">
        <w:t xml:space="preserve"> ka ardhur nga shlyerja e një pjese të kredive me problem</w:t>
      </w:r>
      <w:r w:rsidR="00FC04E8" w:rsidRPr="00DC66CD">
        <w:t>,</w:t>
      </w:r>
      <w:r w:rsidRPr="00DC66CD">
        <w:t xml:space="preserve"> si edhe nga fshirjet dhe ristrukturimi i një pjese të kredive me problem. Vëllimi i kredive të humbura (për më shumë se 3 vjet) që janë fshirë nga bilancet e bankave që nga tremujori i parë i vitit 201</w:t>
      </w:r>
      <w:r w:rsidR="00FC04E8" w:rsidRPr="00DC66CD">
        <w:t xml:space="preserve">5 është rreth 60 miliardë lekë </w:t>
      </w:r>
      <w:r w:rsidRPr="00DC66CD">
        <w:t>dhe kjo vlerë është e barabartë me vlerën aktuale të stokut të kredive me probleme.</w:t>
      </w:r>
      <w:r w:rsidR="0072211B" w:rsidRPr="00DC66CD">
        <w:t xml:space="preserve"> </w:t>
      </w:r>
    </w:p>
    <w:p w14:paraId="791B981F" w14:textId="1930F003" w:rsidR="00574843" w:rsidRPr="00DC66CD" w:rsidRDefault="00574843" w:rsidP="00574843">
      <w:pPr>
        <w:pStyle w:val="TEKSTIIII"/>
      </w:pPr>
      <w:r w:rsidRPr="00DC66CD">
        <w:t>Cilësia e kredisë pritet të vijojë të përmirësohet më tej, ndërkohë që rreziku i kredisë pritet të mbetet në nivele të kontrolluara në të ardhmen afatshkurtër dhe afatmesme. RKP</w:t>
      </w:r>
      <w:r w:rsidR="0026770E" w:rsidRPr="00DC66CD">
        <w:t>-ja</w:t>
      </w:r>
      <w:r w:rsidRPr="00DC66CD">
        <w:t xml:space="preserve"> pritet të ruajë prirjen në rënie nën ndikimin e tkurrjes së mëtejshme të stokut të KMP</w:t>
      </w:r>
      <w:r w:rsidR="0026770E" w:rsidRPr="00DC66CD">
        <w:t>-së</w:t>
      </w:r>
      <w:r w:rsidRPr="00DC66CD">
        <w:t xml:space="preserve"> dhe të rritjes më të fortë të kredisë. Duke filluar nga 1 janari 2020 bankave iu kërkohet të fshijnë nga bilancet kreditë e humbura për një periudhë të paktën 2-vjeçare. Kjo masë pritet t</w:t>
      </w:r>
      <w:r w:rsidR="002C582E" w:rsidRPr="00DC66CD">
        <w:t>’</w:t>
      </w:r>
      <w:r w:rsidRPr="00DC66CD">
        <w:t>i japë një shtysë të re rënies së stokut të KMP</w:t>
      </w:r>
      <w:r w:rsidR="0026770E" w:rsidRPr="00DC66CD">
        <w:t>-së</w:t>
      </w:r>
      <w:r w:rsidRPr="00DC66CD">
        <w:t xml:space="preserve"> dhe RKP</w:t>
      </w:r>
      <w:r w:rsidR="0026770E" w:rsidRPr="00DC66CD">
        <w:t>-së</w:t>
      </w:r>
      <w:r w:rsidRPr="00DC66CD">
        <w:t xml:space="preserve"> dhe të rezultojë në rritje të hapësirave për kreditim nga ana e bankave. Masa e mbulimit të kredive me kolateral është përmirësuar ndjeshëm. Në fund të shtatorit 2019 ky raport shënoi 80% dhe ishte rreth 6 p.p. më i lartë se</w:t>
      </w:r>
      <w:r w:rsidR="0026770E" w:rsidRPr="00DC66CD">
        <w:t xml:space="preserve"> </w:t>
      </w:r>
      <w:r w:rsidRPr="00DC66CD">
        <w:t>sa niveli mesatar i 4 v</w:t>
      </w:r>
      <w:r w:rsidR="0026770E" w:rsidRPr="00DC66CD">
        <w:t>jetëve</w:t>
      </w:r>
      <w:r w:rsidRPr="00DC66CD">
        <w:t xml:space="preserve"> të fundit. </w:t>
      </w:r>
    </w:p>
    <w:p w14:paraId="6B1644ED" w14:textId="7CF83D70" w:rsidR="00574843" w:rsidRPr="00DC66CD" w:rsidRDefault="00574843" w:rsidP="00574843">
      <w:pPr>
        <w:pStyle w:val="TEKSTIIII"/>
      </w:pPr>
      <w:r w:rsidRPr="00DC66CD">
        <w:t>Sistemi financiar dhe sektori bankar mbeten</w:t>
      </w:r>
      <w:r w:rsidR="0048305D" w:rsidRPr="00DC66CD">
        <w:t>,</w:t>
      </w:r>
      <w:r w:rsidRPr="00DC66CD">
        <w:t xml:space="preserve"> veçanërisht</w:t>
      </w:r>
      <w:r w:rsidR="0048305D" w:rsidRPr="00DC66CD">
        <w:t>,</w:t>
      </w:r>
      <w:r w:rsidRPr="00DC66CD">
        <w:t xml:space="preserve"> të ekspozuar ndaj rreziqeve të tregut, dhe, në një masë më të vogël, ndaj rrezikut të rënies së përfitueshmërisë. Zhvillimet në pozicionet e hapura valutore dhe portofoli i kredive në valutë të pambrojtura nga rreziku i kursit të këmbimit tregojnë që ekspozimi i sektorit bankar ndaj rrezikut të drejtpërdrejtë dhe të tërthortë të kursit të këmbimit ka ardhur duke u zvogëluar gjatë vitit 2019. Megjithatë, raporti i kredive në valutë të pambrojtura nga rreziku i kursit ndaj tepricës së kredisë (24%) mbetet i lartë dhe kërkon monitorim të kujdesshëm dhe të vazhdueshëm nga industria dhe nga autoriteti mbikëqyrës. Diferenca midis mjeteve dhe detyrimeve të ndjeshme ndaj lëvizjeve në normat e interesit në raport me kapitalin rregullator të sektorit bankar është e vogël (rreth 2%), por mbizotërimi i kredive me normë interesi të ndryshueshme në portofolin e përgjithshëm të kredive</w:t>
      </w:r>
      <w:r w:rsidR="0072211B" w:rsidRPr="00DC66CD">
        <w:t xml:space="preserve"> </w:t>
      </w:r>
      <w:r w:rsidRPr="00DC66CD">
        <w:t>dhe fakti që normat e interesit kanë arritur nivelet më të ulëta historike sugjerojnë një ekspozim më të lartë të huamarrësve ekzistues dhe atyre të ardhshëm në rastin e një korrektimi të normave të interesit në horizontin afatmesëm.</w:t>
      </w:r>
    </w:p>
    <w:p w14:paraId="695F0446" w14:textId="77777777" w:rsidR="00574843" w:rsidRPr="00DC66CD" w:rsidRDefault="00574843" w:rsidP="00574843">
      <w:pPr>
        <w:pStyle w:val="TEKSTIIII"/>
        <w:rPr>
          <w:b/>
        </w:rPr>
      </w:pPr>
      <w:r w:rsidRPr="00DC66CD">
        <w:rPr>
          <w:b/>
        </w:rPr>
        <w:t>Mbikëqyrja makroprudenciale</w:t>
      </w:r>
    </w:p>
    <w:p w14:paraId="7D33E0D8" w14:textId="77777777" w:rsidR="00574843" w:rsidRPr="00DC66CD" w:rsidRDefault="00574843" w:rsidP="00574843">
      <w:pPr>
        <w:pStyle w:val="TEKSTIIII"/>
        <w:rPr>
          <w:i/>
        </w:rPr>
      </w:pPr>
      <w:r w:rsidRPr="00DC66CD">
        <w:rPr>
          <w:i/>
        </w:rPr>
        <w:t>Politika makroprudenciale</w:t>
      </w:r>
    </w:p>
    <w:p w14:paraId="4A45C27E" w14:textId="6D8622CF" w:rsidR="00574843" w:rsidRPr="00DC66CD" w:rsidRDefault="00574843" w:rsidP="00574843">
      <w:pPr>
        <w:pStyle w:val="TEKSTIIII"/>
      </w:pPr>
      <w:r w:rsidRPr="00DC66CD">
        <w:t xml:space="preserve">Pas një periudhe përgatitore dyvjeçare dhe një procesi konsultativ gjithëpërfshirës me sektorin bankar, Këshilli Mbikëqyrës i Bankës së Shqipërisë miratoi </w:t>
      </w:r>
      <w:r w:rsidR="0048305D" w:rsidRPr="00DC66CD">
        <w:t>rregulloren</w:t>
      </w:r>
      <w:r w:rsidR="00E33D88" w:rsidRPr="00DC66CD">
        <w:t xml:space="preserve"> nr. </w:t>
      </w:r>
      <w:r w:rsidR="0048305D" w:rsidRPr="00DC66CD">
        <w:t xml:space="preserve">41, të datës </w:t>
      </w:r>
      <w:r w:rsidRPr="00DC66CD">
        <w:t>5</w:t>
      </w:r>
      <w:r w:rsidR="0048305D" w:rsidRPr="00DC66CD">
        <w:t>.</w:t>
      </w:r>
      <w:r w:rsidRPr="00DC66CD">
        <w:t>6</w:t>
      </w:r>
      <w:r w:rsidR="0048305D" w:rsidRPr="00DC66CD">
        <w:t>.</w:t>
      </w:r>
      <w:r w:rsidRPr="00DC66CD">
        <w:t>2019</w:t>
      </w:r>
      <w:r w:rsidR="0048305D" w:rsidRPr="00DC66CD">
        <w:t>,</w:t>
      </w:r>
      <w:r w:rsidRPr="00DC66CD">
        <w:t xml:space="preserve"> </w:t>
      </w:r>
      <w:r w:rsidR="002A29AD" w:rsidRPr="00DC66CD">
        <w:t>“</w:t>
      </w:r>
      <w:r w:rsidRPr="00DC66CD">
        <w:t>Për shtesat makroprudenciale të kapitalit</w:t>
      </w:r>
      <w:r w:rsidR="002A29AD" w:rsidRPr="00DC66CD">
        <w:t>”</w:t>
      </w:r>
      <w:r w:rsidRPr="00DC66CD">
        <w:t xml:space="preserve">. Paketa e shtesave makroprudenciale të kapitalit përfshin shtesën konservuese, shtesën kundërciklike, shtesën për rrezikun sistemik dhe shtesën për institucionet me rëndësi sistemike. Deri në fund të muajit nëntor 2019 Banka e Shqipërisë ka aktivizuar shtesën konservuese të kapitalit në masën 0.5% për të gjitha bankat, shtesën kundërciklike të kapitalit të barabartë me 0% dhe shtesat përkatëse që variojnë nga 0.5% deri në 1.5% për 4 banka me rëndësi sistemike. Kjo rregullore përafron në një mënyrë gjithëpërfshirëse artikujt përkatës të direktivës së BE-së. Zbatimi i këtyre masave me bazë kapitalin e sektorit bankar pritet të kontribuojë në forcimin e rezistencës së sektorit bankar ndaj goditjeve. </w:t>
      </w:r>
    </w:p>
    <w:p w14:paraId="3ABD1616" w14:textId="0B650D73" w:rsidR="00574843" w:rsidRPr="00DC66CD" w:rsidRDefault="00574843" w:rsidP="00574843">
      <w:pPr>
        <w:pStyle w:val="TEKSTIIII"/>
      </w:pPr>
      <w:r w:rsidRPr="00DC66CD">
        <w:t>Gjatë periudhës 2020–2022</w:t>
      </w:r>
      <w:r w:rsidR="0048305D" w:rsidRPr="00DC66CD">
        <w:t>,</w:t>
      </w:r>
      <w:r w:rsidRPr="00DC66CD">
        <w:t xml:space="preserve"> Banka e Shqipërisë planifikon të zhvillojë:</w:t>
      </w:r>
    </w:p>
    <w:p w14:paraId="0305233C" w14:textId="4019039A" w:rsidR="00574843" w:rsidRPr="00DC66CD" w:rsidRDefault="0060194A" w:rsidP="00574843">
      <w:pPr>
        <w:pStyle w:val="TEKSTIIII"/>
      </w:pPr>
      <w:r w:rsidRPr="00DC66CD">
        <w:t>-</w:t>
      </w:r>
      <w:r w:rsidR="0048305D" w:rsidRPr="00DC66CD">
        <w:t xml:space="preserve"> ku</w:t>
      </w:r>
      <w:r w:rsidR="00574843" w:rsidRPr="00DC66CD">
        <w:t>adrin për ad</w:t>
      </w:r>
      <w:r w:rsidR="00E25EF8" w:rsidRPr="00DC66CD">
        <w:t>a</w:t>
      </w:r>
      <w:r w:rsidR="00574843" w:rsidRPr="00DC66CD">
        <w:t>ptimin e mundshëm të masave makroprudenciale që targetojnë sjelljen e huamarrësve, si kufijtë e sipërm për vlerën e kredisë ndaj vlerës së kolateralit dhe raportit të borxhit të huamarrësit ndaj të ardhurave</w:t>
      </w:r>
      <w:r w:rsidR="0048305D" w:rsidRPr="00DC66CD">
        <w:t>;</w:t>
      </w:r>
    </w:p>
    <w:p w14:paraId="77257515" w14:textId="3E8A1AA2" w:rsidR="00574843" w:rsidRPr="00DC66CD" w:rsidRDefault="0060194A" w:rsidP="00574843">
      <w:pPr>
        <w:pStyle w:val="TEKSTIIII"/>
      </w:pPr>
      <w:r w:rsidRPr="00DC66CD">
        <w:t>-</w:t>
      </w:r>
      <w:r w:rsidR="0048305D" w:rsidRPr="00DC66CD">
        <w:t xml:space="preserve"> k</w:t>
      </w:r>
      <w:r w:rsidR="00574843" w:rsidRPr="00DC66CD">
        <w:t xml:space="preserve">uadrin për vlerësimin e rreziqeve që vijnë nga ndërlidhja midis segmenteve të sistemit financiar; </w:t>
      </w:r>
      <w:r w:rsidR="00E25EF8" w:rsidRPr="00DC66CD">
        <w:t xml:space="preserve">zhvillimi </w:t>
      </w:r>
      <w:r w:rsidR="00574843" w:rsidRPr="00DC66CD">
        <w:t xml:space="preserve">i këtij kuadri do të trajtohet në mënyrë të plotë në </w:t>
      </w:r>
      <w:r w:rsidR="00E25EF8" w:rsidRPr="00DC66CD">
        <w:t xml:space="preserve">projektin e binjakëzimit </w:t>
      </w:r>
      <w:r w:rsidR="00574843" w:rsidRPr="00DC66CD">
        <w:t>të Bankës së Shqipërisë me disa banka qendrore të Bashkimit Evropian</w:t>
      </w:r>
      <w:r w:rsidR="00E25EF8" w:rsidRPr="00DC66CD">
        <w:t>,</w:t>
      </w:r>
      <w:r w:rsidR="00574843" w:rsidRPr="00DC66CD">
        <w:t xml:space="preserve"> që ka filluar në fund të vitit 2019</w:t>
      </w:r>
      <w:r w:rsidR="00E25EF8" w:rsidRPr="00DC66CD">
        <w:t>;</w:t>
      </w:r>
    </w:p>
    <w:p w14:paraId="7309A0FD" w14:textId="47C45DE3" w:rsidR="00574843" w:rsidRPr="00DC66CD" w:rsidRDefault="0060194A" w:rsidP="00574843">
      <w:pPr>
        <w:pStyle w:val="TEKSTIIII"/>
      </w:pPr>
      <w:r w:rsidRPr="00DC66CD">
        <w:t>-</w:t>
      </w:r>
      <w:r w:rsidR="00E25EF8" w:rsidRPr="00DC66CD">
        <w:t xml:space="preserve"> ushtrimin </w:t>
      </w:r>
      <w:r w:rsidR="00574843" w:rsidRPr="00DC66CD">
        <w:t xml:space="preserve">e provës së rezistencës për rreziqet makroprudenciale. </w:t>
      </w:r>
    </w:p>
    <w:p w14:paraId="547D0003" w14:textId="7502DD86" w:rsidR="00574843" w:rsidRPr="00DC66CD" w:rsidRDefault="00574843" w:rsidP="00574843">
      <w:pPr>
        <w:pStyle w:val="TEKSTIIII"/>
        <w:rPr>
          <w:b/>
        </w:rPr>
      </w:pPr>
      <w:r w:rsidRPr="00DC66CD">
        <w:rPr>
          <w:b/>
        </w:rPr>
        <w:t xml:space="preserve">Mbikëqyrja </w:t>
      </w:r>
      <w:r w:rsidR="00E25EF8" w:rsidRPr="00DC66CD">
        <w:rPr>
          <w:b/>
        </w:rPr>
        <w:t>mikroprudenciale</w:t>
      </w:r>
    </w:p>
    <w:p w14:paraId="5A76523F" w14:textId="5A39EAA7" w:rsidR="00574843" w:rsidRPr="00DC66CD" w:rsidRDefault="00574843" w:rsidP="00574843">
      <w:pPr>
        <w:pStyle w:val="TEKSTIIII"/>
        <w:rPr>
          <w:i/>
        </w:rPr>
      </w:pPr>
      <w:r w:rsidRPr="00DC66CD">
        <w:rPr>
          <w:i/>
        </w:rPr>
        <w:t xml:space="preserve">Plani </w:t>
      </w:r>
      <w:r w:rsidR="00E25EF8" w:rsidRPr="00DC66CD">
        <w:rPr>
          <w:i/>
        </w:rPr>
        <w:t xml:space="preserve">kombëtar </w:t>
      </w:r>
      <w:r w:rsidRPr="00DC66CD">
        <w:rPr>
          <w:i/>
        </w:rPr>
        <w:t xml:space="preserve">për kreditë me probleme </w:t>
      </w:r>
    </w:p>
    <w:p w14:paraId="083E2EF4" w14:textId="3A22651F" w:rsidR="00574843" w:rsidRPr="00DC66CD" w:rsidRDefault="00574843" w:rsidP="00574843">
      <w:pPr>
        <w:pStyle w:val="TEKSTIIII"/>
      </w:pPr>
      <w:r w:rsidRPr="00DC66CD">
        <w:t>Banka e Shqipërisë ka monitoruar vazhdimisht Planin</w:t>
      </w:r>
      <w:r w:rsidR="0072211B" w:rsidRPr="00DC66CD">
        <w:t xml:space="preserve"> </w:t>
      </w:r>
      <w:r w:rsidRPr="00DC66CD">
        <w:t>Kombëtar për zgjidhjen e Kredive me Probleme. Për të përmbushur këtë angazhim, Këshilli Mbikëqyrës i Bankës së Shqipërisë:</w:t>
      </w:r>
    </w:p>
    <w:p w14:paraId="549C07FA" w14:textId="63600579" w:rsidR="00574843" w:rsidRPr="00DC66CD" w:rsidRDefault="00E25EF8" w:rsidP="00574843">
      <w:pPr>
        <w:pStyle w:val="TEKSTIIII"/>
      </w:pPr>
      <w:r w:rsidRPr="00DC66CD">
        <w:t>- m</w:t>
      </w:r>
      <w:r w:rsidR="00574843" w:rsidRPr="00DC66CD">
        <w:t>e vendimin</w:t>
      </w:r>
      <w:r w:rsidR="00E33D88" w:rsidRPr="00DC66CD">
        <w:t xml:space="preserve"> nr. </w:t>
      </w:r>
      <w:r w:rsidR="00574843" w:rsidRPr="00DC66CD">
        <w:t>51, datë 3.7.2019</w:t>
      </w:r>
      <w:r w:rsidRPr="00DC66CD">
        <w:t>,</w:t>
      </w:r>
      <w:r w:rsidR="00574843" w:rsidRPr="00DC66CD">
        <w:t xml:space="preserve"> ka miratuar rregulloren e re </w:t>
      </w:r>
      <w:r w:rsidR="002A29AD" w:rsidRPr="00DC66CD">
        <w:t>“</w:t>
      </w:r>
      <w:r w:rsidR="00574843" w:rsidRPr="00DC66CD">
        <w:t>Për trajtimin jashtëgjyqësor nga bankat, të kredimarrësve në vështirësi financiare</w:t>
      </w:r>
      <w:r w:rsidR="002A29AD" w:rsidRPr="00DC66CD">
        <w:t>”</w:t>
      </w:r>
      <w:r w:rsidR="00574843" w:rsidRPr="00DC66CD">
        <w:t>; dhe</w:t>
      </w:r>
    </w:p>
    <w:p w14:paraId="00EAEAA6" w14:textId="626B4F03" w:rsidR="00574843" w:rsidRPr="00DC66CD" w:rsidRDefault="00E25EF8" w:rsidP="00574843">
      <w:pPr>
        <w:pStyle w:val="TEKSTIIII"/>
      </w:pPr>
      <w:r w:rsidRPr="00DC66CD">
        <w:t>- m</w:t>
      </w:r>
      <w:r w:rsidR="00574843" w:rsidRPr="00DC66CD">
        <w:t>e vendimin</w:t>
      </w:r>
      <w:r w:rsidR="00E33D88" w:rsidRPr="00DC66CD">
        <w:t xml:space="preserve"> nr. </w:t>
      </w:r>
      <w:r w:rsidR="00574843" w:rsidRPr="00DC66CD">
        <w:t>52, datë 3.7.2019</w:t>
      </w:r>
      <w:r w:rsidRPr="00DC66CD">
        <w:t>,</w:t>
      </w:r>
      <w:r w:rsidR="00574843" w:rsidRPr="00DC66CD">
        <w:t xml:space="preserve"> ka miratuar disa ndryshime në rregulloren</w:t>
      </w:r>
      <w:r w:rsidR="00E33D88" w:rsidRPr="00DC66CD">
        <w:t xml:space="preserve"> nr. </w:t>
      </w:r>
      <w:r w:rsidR="00574843" w:rsidRPr="00DC66CD">
        <w:t>62, datë 14.9.2011</w:t>
      </w:r>
      <w:r w:rsidRPr="00DC66CD">
        <w:t>,</w:t>
      </w:r>
      <w:r w:rsidR="00574843" w:rsidRPr="00DC66CD">
        <w:t xml:space="preserve"> </w:t>
      </w:r>
      <w:r w:rsidR="002A29AD" w:rsidRPr="00DC66CD">
        <w:t>“</w:t>
      </w:r>
      <w:r w:rsidR="00574843" w:rsidRPr="00DC66CD">
        <w:t>Për administrimin e rrezikut të kredisë nga bankat dhe degët e bankave të huaja</w:t>
      </w:r>
      <w:r w:rsidR="002A29AD" w:rsidRPr="00DC66CD">
        <w:t>”</w:t>
      </w:r>
      <w:r w:rsidR="00574843" w:rsidRPr="00DC66CD">
        <w:t>, duke reduktuar afatin e fshirjes së kredive të humbura nga bankat, nga 3 vjet në 2 vjet.</w:t>
      </w:r>
    </w:p>
    <w:p w14:paraId="4F389A33" w14:textId="172BAFD3" w:rsidR="00574843" w:rsidRPr="00DC66CD" w:rsidRDefault="00574843" w:rsidP="00574843">
      <w:pPr>
        <w:pStyle w:val="TEKSTIIII"/>
        <w:rPr>
          <w:i/>
        </w:rPr>
      </w:pPr>
      <w:r w:rsidRPr="00DC66CD">
        <w:t>Sipas vlerësimit ton</w:t>
      </w:r>
      <w:r w:rsidR="00E25EF8" w:rsidRPr="00DC66CD">
        <w:t>ë</w:t>
      </w:r>
      <w:r w:rsidRPr="00DC66CD">
        <w:t xml:space="preserve">, Plani i Veprimit për Kreditë me </w:t>
      </w:r>
      <w:r w:rsidR="00E25EF8" w:rsidRPr="00DC66CD">
        <w:t xml:space="preserve">Probleme </w:t>
      </w:r>
      <w:r w:rsidRPr="00DC66CD">
        <w:t xml:space="preserve">ka përfunduar. Përveç përmirësimeve në cilësinë e aktiveve, ky plan që synon nivele më të ulëta të </w:t>
      </w:r>
      <w:r w:rsidR="00E25EF8" w:rsidRPr="00DC66CD">
        <w:t xml:space="preserve">kredive </w:t>
      </w:r>
      <w:r w:rsidRPr="00DC66CD">
        <w:t xml:space="preserve">me </w:t>
      </w:r>
      <w:r w:rsidR="00E25EF8" w:rsidRPr="00DC66CD">
        <w:t>probleme</w:t>
      </w:r>
      <w:r w:rsidRPr="00DC66CD">
        <w:t>, do të mbetet në fokusin e punës sonë mbikëqyrëse dhe të komunikimit me bankat për vitin e ardhshëm.</w:t>
      </w:r>
    </w:p>
    <w:p w14:paraId="624941EB" w14:textId="77777777" w:rsidR="00574843" w:rsidRPr="00DC66CD" w:rsidRDefault="00574843" w:rsidP="00574843">
      <w:pPr>
        <w:pStyle w:val="TEKSTIIII"/>
        <w:rPr>
          <w:i/>
        </w:rPr>
      </w:pPr>
      <w:r w:rsidRPr="00DC66CD">
        <w:rPr>
          <w:i/>
        </w:rPr>
        <w:t>Ndryshimet e fundit mbikëqyrëse dhe rregullative</w:t>
      </w:r>
    </w:p>
    <w:p w14:paraId="2F72B0AF" w14:textId="5B7C0121" w:rsidR="00574843" w:rsidRPr="00DC66CD" w:rsidRDefault="00574843" w:rsidP="00574843">
      <w:pPr>
        <w:pStyle w:val="TEKSTIIII"/>
      </w:pPr>
      <w:r w:rsidRPr="00DC66CD">
        <w:t>Përveç vendimeve të mësipërme</w:t>
      </w:r>
      <w:r w:rsidR="00E33D88" w:rsidRPr="00DC66CD">
        <w:t xml:space="preserve"> nr. </w:t>
      </w:r>
      <w:r w:rsidRPr="00DC66CD">
        <w:t xml:space="preserve">51 dhe 52, gjatë periudhës </w:t>
      </w:r>
      <w:r w:rsidR="00E25EF8" w:rsidRPr="00DC66CD">
        <w:t xml:space="preserve">janar–tetor </w:t>
      </w:r>
      <w:r w:rsidRPr="00DC66CD">
        <w:t>2019, janë miratuar nga Këshilli Mbikëqyrës i Bankës së Shqipërisë edhe akte të tjera dhe ndryshime në rregulloret në fuqi, përkatësisht:</w:t>
      </w:r>
    </w:p>
    <w:p w14:paraId="5DF0FB05" w14:textId="59464EA2" w:rsidR="00574843" w:rsidRPr="00DC66CD" w:rsidRDefault="0060194A" w:rsidP="00574843">
      <w:pPr>
        <w:pStyle w:val="TEKSTIIII"/>
      </w:pPr>
      <w:r w:rsidRPr="00DC66CD">
        <w:t xml:space="preserve">1. </w:t>
      </w:r>
      <w:r w:rsidR="00574843" w:rsidRPr="00DC66CD">
        <w:t>Me vendimin</w:t>
      </w:r>
      <w:r w:rsidR="00E33D88" w:rsidRPr="00DC66CD">
        <w:t xml:space="preserve"> nr. </w:t>
      </w:r>
      <w:r w:rsidR="00574843" w:rsidRPr="00DC66CD">
        <w:t>2, datë 9.1.2019</w:t>
      </w:r>
      <w:r w:rsidR="00E25EF8" w:rsidRPr="00DC66CD">
        <w:t>,</w:t>
      </w:r>
      <w:r w:rsidR="00574843" w:rsidRPr="00DC66CD">
        <w:t xml:space="preserve"> të Këshillit Mbikëqyrës të Bankës së Shqipërisë</w:t>
      </w:r>
      <w:r w:rsidR="00E25EF8" w:rsidRPr="00DC66CD">
        <w:t>,</w:t>
      </w:r>
      <w:r w:rsidR="00574843" w:rsidRPr="00DC66CD">
        <w:t xml:space="preserve"> u miratuan disa ndryshime në rregulloren ekzistuese</w:t>
      </w:r>
      <w:r w:rsidR="00E33D88" w:rsidRPr="00DC66CD">
        <w:t xml:space="preserve"> nr. </w:t>
      </w:r>
      <w:r w:rsidR="00574843" w:rsidRPr="00DC66CD">
        <w:t xml:space="preserve">69/2014, </w:t>
      </w:r>
      <w:r w:rsidR="002A29AD" w:rsidRPr="00DC66CD">
        <w:t>“</w:t>
      </w:r>
      <w:r w:rsidR="00574843" w:rsidRPr="00DC66CD">
        <w:t>Për kapitalin rregullator të bankës</w:t>
      </w:r>
      <w:r w:rsidR="002A29AD" w:rsidRPr="00DC66CD">
        <w:t>”</w:t>
      </w:r>
      <w:r w:rsidR="00574843" w:rsidRPr="00DC66CD">
        <w:t>, të cilat synojnë përafrimin me kërkesat e Bazel III</w:t>
      </w:r>
      <w:r w:rsidR="00E25EF8" w:rsidRPr="00DC66CD">
        <w:t>,</w:t>
      </w:r>
      <w:r w:rsidR="00574843" w:rsidRPr="00DC66CD">
        <w:t xml:space="preserve"> për raportet e kapitalit përpjesëtimisht me kërkesat e</w:t>
      </w:r>
      <w:r w:rsidR="0072211B" w:rsidRPr="00DC66CD">
        <w:t xml:space="preserve"> </w:t>
      </w:r>
      <w:r w:rsidR="00574843" w:rsidRPr="00DC66CD">
        <w:t>Bankës së Shqipërisë për normën e mjaftueshmërisë së kapitalit</w:t>
      </w:r>
      <w:r w:rsidR="00E25EF8" w:rsidRPr="00DC66CD">
        <w:t>.</w:t>
      </w:r>
    </w:p>
    <w:p w14:paraId="00DAD9AB" w14:textId="2F1E5417" w:rsidR="00574843" w:rsidRPr="00DC66CD" w:rsidRDefault="0060194A" w:rsidP="00574843">
      <w:pPr>
        <w:pStyle w:val="TEKSTIIII"/>
      </w:pPr>
      <w:r w:rsidRPr="00DC66CD">
        <w:t xml:space="preserve">2. </w:t>
      </w:r>
      <w:r w:rsidR="00574843" w:rsidRPr="00DC66CD">
        <w:t>Me vendimin</w:t>
      </w:r>
      <w:r w:rsidR="00E33D88" w:rsidRPr="00DC66CD">
        <w:t xml:space="preserve"> nr. </w:t>
      </w:r>
      <w:r w:rsidR="00574843" w:rsidRPr="00DC66CD">
        <w:t>27, datë 28.03.2019</w:t>
      </w:r>
      <w:r w:rsidR="00E25EF8" w:rsidRPr="00DC66CD">
        <w:t>,</w:t>
      </w:r>
      <w:r w:rsidR="00574843" w:rsidRPr="00DC66CD">
        <w:t xml:space="preserve"> të Këshillit Mbikëqyrës të Bankës së Shqipërisë</w:t>
      </w:r>
      <w:r w:rsidR="00E25EF8" w:rsidRPr="00DC66CD">
        <w:t>,</w:t>
      </w:r>
      <w:r w:rsidR="00574843" w:rsidRPr="00DC66CD">
        <w:t xml:space="preserve"> u miratua rregullorja </w:t>
      </w:r>
      <w:r w:rsidR="002A29AD" w:rsidRPr="00DC66CD">
        <w:t>“</w:t>
      </w:r>
      <w:r w:rsidR="00574843" w:rsidRPr="00DC66CD">
        <w:t>Për raportin e mbulimit me likuiditet</w:t>
      </w:r>
      <w:r w:rsidR="002A29AD" w:rsidRPr="00DC66CD">
        <w:t>”</w:t>
      </w:r>
      <w:r w:rsidR="00574843" w:rsidRPr="00DC66CD">
        <w:t>, e cila përafron dispozitat e rregulloreve evropiane 575/2013/EC</w:t>
      </w:r>
      <w:r w:rsidR="00574843" w:rsidRPr="00DC66CD">
        <w:rPr>
          <w:vertAlign w:val="superscript"/>
        </w:rPr>
        <w:footnoteReference w:customMarkFollows="1" w:id="9"/>
        <w:t>[1]</w:t>
      </w:r>
      <w:r w:rsidR="00574843" w:rsidRPr="00DC66CD">
        <w:t xml:space="preserve"> dhe 2015/61/EU</w:t>
      </w:r>
      <w:r w:rsidR="00574843" w:rsidRPr="00DC66CD">
        <w:rPr>
          <w:vertAlign w:val="superscript"/>
        </w:rPr>
        <w:footnoteReference w:customMarkFollows="1" w:id="10"/>
        <w:t xml:space="preserve">[2] </w:t>
      </w:r>
      <w:r w:rsidR="00574843" w:rsidRPr="00DC66CD">
        <w:t xml:space="preserve">dhe dispozitat e dokumentit të Bazel III. Kjo rregullore synon të plotësojë kuadrin rregullativ në fuqi për administrimin e rrezikut të likuiditetit, nëpërmjet prezantimit të këtij treguesi të ri (LCR), përcaktimit të kritereve dhe </w:t>
      </w:r>
      <w:r w:rsidR="00E25EF8" w:rsidRPr="00DC66CD">
        <w:t xml:space="preserve">të </w:t>
      </w:r>
      <w:r w:rsidR="00574843" w:rsidRPr="00DC66CD">
        <w:t xml:space="preserve">rregullave për llogaritjen e raportit të mbulimit me likuiditet (LCR) dhe </w:t>
      </w:r>
      <w:r w:rsidR="00E25EF8" w:rsidRPr="00DC66CD">
        <w:t xml:space="preserve">të </w:t>
      </w:r>
      <w:r w:rsidR="00574843" w:rsidRPr="00DC66CD">
        <w:t>përcaktimit të kërkesave të autoritetit mbikëqyrës për nivelin minimal të këtij raporti</w:t>
      </w:r>
      <w:r w:rsidR="00E25EF8" w:rsidRPr="00DC66CD">
        <w:t>.</w:t>
      </w:r>
    </w:p>
    <w:p w14:paraId="66DD2958" w14:textId="61F14C5B" w:rsidR="00574843" w:rsidRPr="00DC66CD" w:rsidRDefault="0060194A" w:rsidP="00574843">
      <w:pPr>
        <w:pStyle w:val="TEKSTIIII"/>
      </w:pPr>
      <w:r w:rsidRPr="00DC66CD">
        <w:t xml:space="preserve">3. </w:t>
      </w:r>
      <w:r w:rsidR="00E25EF8" w:rsidRPr="00DC66CD">
        <w:t xml:space="preserve">Me </w:t>
      </w:r>
      <w:r w:rsidR="00574843" w:rsidRPr="00DC66CD">
        <w:t>vendim</w:t>
      </w:r>
      <w:r w:rsidR="00E33D88" w:rsidRPr="00DC66CD">
        <w:t xml:space="preserve"> nr. </w:t>
      </w:r>
      <w:r w:rsidR="00574843" w:rsidRPr="00DC66CD">
        <w:t>46, të Këshillit Mbikëqyrës të Bankës së Shqipërisë, datë 3.7.2019, u miratuan disa ndryshime në rregulloren ekzistuese</w:t>
      </w:r>
      <w:r w:rsidR="00E33D88" w:rsidRPr="00DC66CD">
        <w:t xml:space="preserve"> nr. </w:t>
      </w:r>
      <w:r w:rsidR="00574843" w:rsidRPr="00DC66CD">
        <w:t xml:space="preserve">14/2019, </w:t>
      </w:r>
      <w:r w:rsidR="002A29AD" w:rsidRPr="00DC66CD">
        <w:t>“</w:t>
      </w:r>
      <w:r w:rsidR="00574843" w:rsidRPr="00DC66CD">
        <w:t>Për licencimin dhe ushtrimin e veprimtarisë së bankave dhe degëve të bankave të huaja në Republikën e Shqipërisë</w:t>
      </w:r>
      <w:r w:rsidR="002A29AD" w:rsidRPr="00DC66CD">
        <w:t>”</w:t>
      </w:r>
      <w:r w:rsidR="00574843" w:rsidRPr="00DC66CD">
        <w:t xml:space="preserve"> (</w:t>
      </w:r>
      <w:r w:rsidR="006D05BF" w:rsidRPr="00DC66CD">
        <w:t xml:space="preserve">rekomandimet </w:t>
      </w:r>
      <w:r w:rsidR="00574843" w:rsidRPr="00DC66CD">
        <w:t xml:space="preserve">e Raportit të Moneyval, në kuadër të vlerësimit të </w:t>
      </w:r>
      <w:r w:rsidR="006D05BF" w:rsidRPr="00DC66CD">
        <w:t xml:space="preserve">raundit </w:t>
      </w:r>
      <w:r w:rsidR="00574843" w:rsidRPr="00DC66CD">
        <w:t>V për Shqipërinë)</w:t>
      </w:r>
      <w:r w:rsidR="00E25EF8" w:rsidRPr="00DC66CD">
        <w:t>.</w:t>
      </w:r>
    </w:p>
    <w:p w14:paraId="4D8805F6" w14:textId="2CD6B12A" w:rsidR="00574843" w:rsidRPr="00DC66CD" w:rsidRDefault="0060194A" w:rsidP="00574843">
      <w:pPr>
        <w:pStyle w:val="TEKSTIIII"/>
      </w:pPr>
      <w:r w:rsidRPr="00DC66CD">
        <w:t xml:space="preserve">4. </w:t>
      </w:r>
      <w:r w:rsidR="00E25EF8" w:rsidRPr="00DC66CD">
        <w:t xml:space="preserve">Me </w:t>
      </w:r>
      <w:r w:rsidR="00574843" w:rsidRPr="00DC66CD">
        <w:t>vendim</w:t>
      </w:r>
      <w:r w:rsidR="00E33D88" w:rsidRPr="00DC66CD">
        <w:t xml:space="preserve"> nr. </w:t>
      </w:r>
      <w:r w:rsidR="00574843" w:rsidRPr="00DC66CD">
        <w:t>47, të Këshillit Mbikëqyrës të Bankës së Shqipërisë, datë 3.7.2019, u miratuan disa ndryshime në rregulloren ekzistuese</w:t>
      </w:r>
      <w:r w:rsidR="00E33D88" w:rsidRPr="00DC66CD">
        <w:t xml:space="preserve"> nr. </w:t>
      </w:r>
      <w:r w:rsidR="00574843" w:rsidRPr="00DC66CD">
        <w:t xml:space="preserve">01/2013, </w:t>
      </w:r>
      <w:r w:rsidR="002A29AD" w:rsidRPr="00DC66CD">
        <w:t>“</w:t>
      </w:r>
      <w:r w:rsidR="00574843" w:rsidRPr="00DC66CD">
        <w:t>Për licencimin dhe ushtrimin e veprimtarisë nga subjektet financiare jobanka</w:t>
      </w:r>
      <w:r w:rsidR="002A29AD" w:rsidRPr="00DC66CD">
        <w:t>”</w:t>
      </w:r>
      <w:r w:rsidR="00574843" w:rsidRPr="00DC66CD">
        <w:t xml:space="preserve"> (</w:t>
      </w:r>
      <w:r w:rsidR="006D05BF" w:rsidRPr="00DC66CD">
        <w:t xml:space="preserve">rekomandimet </w:t>
      </w:r>
      <w:r w:rsidR="00574843" w:rsidRPr="00DC66CD">
        <w:t xml:space="preserve">e Raportit të Moneyval, në kuadër të vlerësimit të </w:t>
      </w:r>
      <w:r w:rsidR="006D05BF" w:rsidRPr="00DC66CD">
        <w:t xml:space="preserve">raundit </w:t>
      </w:r>
      <w:r w:rsidR="00574843" w:rsidRPr="00DC66CD">
        <w:t>V për Shqipërinë)</w:t>
      </w:r>
      <w:r w:rsidR="006D05BF" w:rsidRPr="00DC66CD">
        <w:t>.</w:t>
      </w:r>
      <w:r w:rsidR="0072211B" w:rsidRPr="00DC66CD">
        <w:t xml:space="preserve"> </w:t>
      </w:r>
    </w:p>
    <w:p w14:paraId="7659905F" w14:textId="5897123C" w:rsidR="00574843" w:rsidRPr="00DC66CD" w:rsidRDefault="0060194A" w:rsidP="00574843">
      <w:pPr>
        <w:pStyle w:val="TEKSTIIII"/>
      </w:pPr>
      <w:r w:rsidRPr="00DC66CD">
        <w:t xml:space="preserve">5. </w:t>
      </w:r>
      <w:r w:rsidR="006D05BF" w:rsidRPr="00DC66CD">
        <w:t xml:space="preserve">Me </w:t>
      </w:r>
      <w:r w:rsidR="00574843" w:rsidRPr="00DC66CD">
        <w:t>vendim</w:t>
      </w:r>
      <w:r w:rsidR="00E33D88" w:rsidRPr="00DC66CD">
        <w:t xml:space="preserve"> nr. </w:t>
      </w:r>
      <w:r w:rsidR="00574843" w:rsidRPr="00DC66CD">
        <w:t>48, të Këshillit Mbikëqyrës të Bankës së Shqipërisë, datë 3.7.2019, u miratuan disa ndryshime në rregulloren ekzistuese</w:t>
      </w:r>
      <w:r w:rsidR="00E33D88" w:rsidRPr="00DC66CD">
        <w:t xml:space="preserve"> nr. </w:t>
      </w:r>
      <w:r w:rsidR="00574843" w:rsidRPr="00DC66CD">
        <w:t xml:space="preserve">104/2016, </w:t>
      </w:r>
      <w:r w:rsidR="002A29AD" w:rsidRPr="00DC66CD">
        <w:t>“</w:t>
      </w:r>
      <w:r w:rsidR="00574843" w:rsidRPr="00DC66CD">
        <w:t xml:space="preserve">Për licencimin dhe ushtrimin e veprimtarisë së shoqërive të kursim-kreditit dhe të </w:t>
      </w:r>
      <w:r w:rsidR="006D05BF" w:rsidRPr="00DC66CD">
        <w:t xml:space="preserve">unioneve </w:t>
      </w:r>
      <w:r w:rsidR="00574843" w:rsidRPr="00DC66CD">
        <w:t>të tyre</w:t>
      </w:r>
      <w:r w:rsidR="002A29AD" w:rsidRPr="00DC66CD">
        <w:t>”</w:t>
      </w:r>
      <w:r w:rsidR="00574843" w:rsidRPr="00DC66CD">
        <w:t xml:space="preserve"> (</w:t>
      </w:r>
      <w:r w:rsidR="006D05BF" w:rsidRPr="00DC66CD">
        <w:t xml:space="preserve">rekomandimet </w:t>
      </w:r>
      <w:r w:rsidR="00574843" w:rsidRPr="00DC66CD">
        <w:t xml:space="preserve">e Raportit të Moneyval, në kuadër të vlerësimit të </w:t>
      </w:r>
      <w:r w:rsidR="006D05BF" w:rsidRPr="00DC66CD">
        <w:t xml:space="preserve">raundit </w:t>
      </w:r>
      <w:r w:rsidR="00574843" w:rsidRPr="00DC66CD">
        <w:t>V për Shqipërinë)</w:t>
      </w:r>
      <w:r w:rsidR="006D05BF" w:rsidRPr="00DC66CD">
        <w:t>.</w:t>
      </w:r>
    </w:p>
    <w:p w14:paraId="65047CD4" w14:textId="1715424B" w:rsidR="00574843" w:rsidRPr="00DC66CD" w:rsidRDefault="0060194A" w:rsidP="00574843">
      <w:pPr>
        <w:pStyle w:val="TEKSTIIII"/>
      </w:pPr>
      <w:r w:rsidRPr="00DC66CD">
        <w:t xml:space="preserve">6. </w:t>
      </w:r>
      <w:r w:rsidR="006D05BF" w:rsidRPr="00DC66CD">
        <w:t xml:space="preserve">Me </w:t>
      </w:r>
      <w:r w:rsidR="00574843" w:rsidRPr="00DC66CD">
        <w:t>vendim</w:t>
      </w:r>
      <w:r w:rsidR="00E33D88" w:rsidRPr="00DC66CD">
        <w:t xml:space="preserve"> nr. </w:t>
      </w:r>
      <w:r w:rsidR="00574843" w:rsidRPr="00DC66CD">
        <w:t>49, të Këshillit Mbikëqyrës të Bankës së Shqipërisë, datë 3.7.2019, u miratuan disa ndryshime në rregulloren ekzistuese</w:t>
      </w:r>
      <w:r w:rsidR="00E33D88" w:rsidRPr="00DC66CD">
        <w:t xml:space="preserve"> nr. </w:t>
      </w:r>
      <w:r w:rsidR="00574843" w:rsidRPr="00DC66CD">
        <w:t xml:space="preserve">31/2017, </w:t>
      </w:r>
      <w:r w:rsidR="002A29AD" w:rsidRPr="00DC66CD">
        <w:t>“</w:t>
      </w:r>
      <w:r w:rsidR="00574843" w:rsidRPr="00DC66CD">
        <w:t>Për licencimin, organizimin, veprimtarinë dhe mbikëqyrjen e zyrave të këmbimit valutor</w:t>
      </w:r>
      <w:r w:rsidR="002A29AD" w:rsidRPr="00DC66CD">
        <w:t>”</w:t>
      </w:r>
      <w:r w:rsidR="00574843" w:rsidRPr="00DC66CD">
        <w:t xml:space="preserve"> (</w:t>
      </w:r>
      <w:r w:rsidR="006D05BF" w:rsidRPr="00DC66CD">
        <w:t xml:space="preserve">rekomandimet </w:t>
      </w:r>
      <w:r w:rsidR="00574843" w:rsidRPr="00DC66CD">
        <w:t xml:space="preserve">e Raportit të Moneyval, në kuadër të vlerësimit të </w:t>
      </w:r>
      <w:r w:rsidR="006D05BF" w:rsidRPr="00DC66CD">
        <w:t xml:space="preserve">raundit </w:t>
      </w:r>
      <w:r w:rsidR="00574843" w:rsidRPr="00DC66CD">
        <w:t>V për Shqipërinë)</w:t>
      </w:r>
      <w:r w:rsidR="006D05BF" w:rsidRPr="00DC66CD">
        <w:t>.</w:t>
      </w:r>
    </w:p>
    <w:p w14:paraId="7835B5A4" w14:textId="38C4773E" w:rsidR="00574843" w:rsidRPr="00DC66CD" w:rsidRDefault="0060194A" w:rsidP="00574843">
      <w:pPr>
        <w:pStyle w:val="TEKSTIIII"/>
      </w:pPr>
      <w:r w:rsidRPr="00DC66CD">
        <w:t xml:space="preserve">7. </w:t>
      </w:r>
      <w:r w:rsidR="006D05BF" w:rsidRPr="00DC66CD">
        <w:t xml:space="preserve">Me </w:t>
      </w:r>
      <w:r w:rsidR="00574843" w:rsidRPr="00DC66CD">
        <w:t>vendim</w:t>
      </w:r>
      <w:r w:rsidR="00E33D88" w:rsidRPr="00DC66CD">
        <w:t xml:space="preserve"> nr. </w:t>
      </w:r>
      <w:r w:rsidR="00574843" w:rsidRPr="00DC66CD">
        <w:t>50, të Këshillit Mbikëqyrës të Bankës së Shqipërisë, datë 3.7.2019, u miratuan disa ndryshime në rregulloren ekzistuese</w:t>
      </w:r>
      <w:r w:rsidR="00E33D88" w:rsidRPr="00DC66CD">
        <w:t xml:space="preserve"> nr. </w:t>
      </w:r>
      <w:r w:rsidR="00574843" w:rsidRPr="00DC66CD">
        <w:t xml:space="preserve">2/2013, </w:t>
      </w:r>
      <w:r w:rsidR="002A29AD" w:rsidRPr="00DC66CD">
        <w:t>“</w:t>
      </w:r>
      <w:r w:rsidR="00574843" w:rsidRPr="00DC66CD">
        <w:t>Për administrimin e rrezikut në veprimtarinë e subjekteve financiare jobanka</w:t>
      </w:r>
      <w:r w:rsidR="002A29AD" w:rsidRPr="00DC66CD">
        <w:t>”</w:t>
      </w:r>
      <w:r w:rsidR="00574843" w:rsidRPr="00DC66CD">
        <w:t xml:space="preserve"> (</w:t>
      </w:r>
      <w:r w:rsidR="006D05BF" w:rsidRPr="00DC66CD">
        <w:t xml:space="preserve">rekomandimet </w:t>
      </w:r>
      <w:r w:rsidR="00574843" w:rsidRPr="00DC66CD">
        <w:t xml:space="preserve">e Raportit të Moneyval, në kuadër të vlerësimit të </w:t>
      </w:r>
      <w:r w:rsidR="006D05BF" w:rsidRPr="00DC66CD">
        <w:t xml:space="preserve">raundit </w:t>
      </w:r>
      <w:r w:rsidR="00574843" w:rsidRPr="00DC66CD">
        <w:t>V për Shqipërinë)</w:t>
      </w:r>
      <w:r w:rsidR="006D05BF" w:rsidRPr="00DC66CD">
        <w:t>.</w:t>
      </w:r>
    </w:p>
    <w:p w14:paraId="3F86529C" w14:textId="216C720A" w:rsidR="00574843" w:rsidRPr="00DC66CD" w:rsidRDefault="0060194A" w:rsidP="00574843">
      <w:pPr>
        <w:pStyle w:val="TEKSTIIII"/>
      </w:pPr>
      <w:r w:rsidRPr="00DC66CD">
        <w:t xml:space="preserve">8. </w:t>
      </w:r>
      <w:r w:rsidR="00574843" w:rsidRPr="00DC66CD">
        <w:t>Me vendimin</w:t>
      </w:r>
      <w:r w:rsidR="00E33D88" w:rsidRPr="00DC66CD">
        <w:t xml:space="preserve"> nr. </w:t>
      </w:r>
      <w:r w:rsidR="00574843" w:rsidRPr="00DC66CD">
        <w:t xml:space="preserve">60, datë 4.9.2019, të Këshillit Mbikëqyrës të Bankës së Shqipërisë, u miratua </w:t>
      </w:r>
      <w:r w:rsidR="006D05BF" w:rsidRPr="00DC66CD">
        <w:t xml:space="preserve">udhëzimi </w:t>
      </w:r>
      <w:r w:rsidR="00574843" w:rsidRPr="00DC66CD">
        <w:t xml:space="preserve">i ri </w:t>
      </w:r>
      <w:r w:rsidR="002A29AD" w:rsidRPr="00DC66CD">
        <w:t>“</w:t>
      </w:r>
      <w:r w:rsidR="00574843" w:rsidRPr="00DC66CD">
        <w:t xml:space="preserve">Për </w:t>
      </w:r>
      <w:r w:rsidR="00574843" w:rsidRPr="00DC66CD">
        <w:rPr>
          <w:i/>
        </w:rPr>
        <w:t>stress test</w:t>
      </w:r>
      <w:r w:rsidR="00574843" w:rsidRPr="00DC66CD">
        <w:t>-et e bankave</w:t>
      </w:r>
      <w:r w:rsidR="002A29AD" w:rsidRPr="00DC66CD">
        <w:t>”</w:t>
      </w:r>
      <w:r w:rsidR="00574843" w:rsidRPr="00DC66CD">
        <w:t>, i cili synon përafr</w:t>
      </w:r>
      <w:r w:rsidR="006D05BF" w:rsidRPr="00DC66CD">
        <w:t>imin me udhëzuesin e EBA-s (EBA/GL/</w:t>
      </w:r>
      <w:r w:rsidR="00574843" w:rsidRPr="00DC66CD">
        <w:t xml:space="preserve">2018/04), </w:t>
      </w:r>
      <w:r w:rsidR="002A29AD" w:rsidRPr="00DC66CD">
        <w:t>“</w:t>
      </w:r>
      <w:r w:rsidR="00574843" w:rsidRPr="00DC66CD">
        <w:t xml:space="preserve">Udhëzues mbi përgatitjen e </w:t>
      </w:r>
      <w:r w:rsidR="00574843" w:rsidRPr="00DC66CD">
        <w:rPr>
          <w:i/>
        </w:rPr>
        <w:t>stress</w:t>
      </w:r>
      <w:r w:rsidR="00574843" w:rsidRPr="00DC66CD">
        <w:t xml:space="preserve"> </w:t>
      </w:r>
      <w:r w:rsidR="00574843" w:rsidRPr="00DC66CD">
        <w:rPr>
          <w:i/>
        </w:rPr>
        <w:t>test</w:t>
      </w:r>
      <w:r w:rsidR="00574843" w:rsidRPr="00DC66CD">
        <w:t>-eve nga institucionet/bankat</w:t>
      </w:r>
      <w:r w:rsidR="002A29AD" w:rsidRPr="00DC66CD">
        <w:t>”</w:t>
      </w:r>
      <w:r w:rsidR="00574843" w:rsidRPr="00DC66CD">
        <w:t xml:space="preserve">. Ky udhëzues përcakton kërkesat dhe metodologjitë për kryerjen e </w:t>
      </w:r>
      <w:r w:rsidR="00574843" w:rsidRPr="00DC66CD">
        <w:rPr>
          <w:i/>
        </w:rPr>
        <w:t>stress test</w:t>
      </w:r>
      <w:r w:rsidR="00574843" w:rsidRPr="00DC66CD">
        <w:t>-eve nga bankat, si pjesë e procesit të ty</w:t>
      </w:r>
      <w:r w:rsidR="006D05BF" w:rsidRPr="00DC66CD">
        <w:t>re të administrimit të rrezikut</w:t>
      </w:r>
      <w:r w:rsidR="00574843" w:rsidRPr="00DC66CD">
        <w:t xml:space="preserve"> dhe</w:t>
      </w:r>
      <w:r w:rsidR="006D05BF" w:rsidRPr="00DC66CD">
        <w:t>,</w:t>
      </w:r>
      <w:r w:rsidR="00574843" w:rsidRPr="00DC66CD">
        <w:t xml:space="preserve"> veçanërisht</w:t>
      </w:r>
      <w:r w:rsidR="006D05BF" w:rsidRPr="00DC66CD">
        <w:t>,</w:t>
      </w:r>
      <w:r w:rsidR="00574843" w:rsidRPr="00DC66CD">
        <w:t xml:space="preserve"> në kontekstin e Procesit të Vlerësimit të Brendshëm të Mjaftueshmërisë së Kapitalit (ICAAP). Ky udhëzues synon</w:t>
      </w:r>
      <w:r w:rsidR="006D05BF" w:rsidRPr="00DC66CD">
        <w:t>,</w:t>
      </w:r>
      <w:r w:rsidR="00574843" w:rsidRPr="00DC66CD">
        <w:t xml:space="preserve"> gjithashtu</w:t>
      </w:r>
      <w:r w:rsidR="006D05BF" w:rsidRPr="00DC66CD">
        <w:t>,</w:t>
      </w:r>
      <w:r w:rsidR="00574843" w:rsidRPr="00DC66CD">
        <w:t xml:space="preserve"> të sigurojë unifikimin e</w:t>
      </w:r>
      <w:r w:rsidR="0072211B" w:rsidRPr="00DC66CD">
        <w:t xml:space="preserve"> </w:t>
      </w:r>
      <w:r w:rsidR="00574843" w:rsidRPr="00DC66CD">
        <w:t xml:space="preserve">praktikave të ndjekura nga bankat, gjatë kryerjes së </w:t>
      </w:r>
      <w:r w:rsidR="006D05BF" w:rsidRPr="00DC66CD">
        <w:rPr>
          <w:i/>
        </w:rPr>
        <w:t>stress test</w:t>
      </w:r>
      <w:r w:rsidR="00574843" w:rsidRPr="00DC66CD">
        <w:t>-eve.</w:t>
      </w:r>
    </w:p>
    <w:p w14:paraId="0E2886D2" w14:textId="77777777" w:rsidR="00574843" w:rsidRPr="00DC66CD" w:rsidRDefault="00574843" w:rsidP="00574843">
      <w:pPr>
        <w:pStyle w:val="TEKSTIIII"/>
        <w:rPr>
          <w:i/>
        </w:rPr>
      </w:pPr>
      <w:r w:rsidRPr="00DC66CD">
        <w:rPr>
          <w:i/>
        </w:rPr>
        <w:t>Ndryshimet mbikëqyrëse dhe rregullative në proces</w:t>
      </w:r>
    </w:p>
    <w:p w14:paraId="43C8E168" w14:textId="1338BE85" w:rsidR="00574843" w:rsidRPr="00DC66CD" w:rsidRDefault="0060194A" w:rsidP="00574843">
      <w:pPr>
        <w:pStyle w:val="TEKSTIIII"/>
      </w:pPr>
      <w:r w:rsidRPr="00DC66CD">
        <w:t>-</w:t>
      </w:r>
      <w:r w:rsidR="006D05BF" w:rsidRPr="00DC66CD">
        <w:t xml:space="preserve"> Në </w:t>
      </w:r>
      <w:r w:rsidR="00574843" w:rsidRPr="00DC66CD">
        <w:t xml:space="preserve">lidhje me përafrimin e mëtejshëm me kërkesat e </w:t>
      </w:r>
      <w:r w:rsidR="006D05BF" w:rsidRPr="00DC66CD">
        <w:t xml:space="preserve">bazel </w:t>
      </w:r>
      <w:r w:rsidR="00574843" w:rsidRPr="00DC66CD">
        <w:t>III:</w:t>
      </w:r>
    </w:p>
    <w:p w14:paraId="0C7C38B0" w14:textId="5C3340A2" w:rsidR="00574843" w:rsidRPr="00DC66CD" w:rsidRDefault="00F10EE0" w:rsidP="00574843">
      <w:pPr>
        <w:pStyle w:val="TEKSTIIII"/>
      </w:pPr>
      <w:r w:rsidRPr="00DC66CD">
        <w:t xml:space="preserve">- projektndryshimet </w:t>
      </w:r>
      <w:r w:rsidR="00574843" w:rsidRPr="00DC66CD">
        <w:t xml:space="preserve">në rregulloren </w:t>
      </w:r>
      <w:r w:rsidR="002A29AD" w:rsidRPr="00DC66CD">
        <w:t>“</w:t>
      </w:r>
      <w:r w:rsidR="00574843" w:rsidRPr="00DC66CD">
        <w:t>Për raportin e mjaftueshmërisë së kapitalit</w:t>
      </w:r>
      <w:r w:rsidR="002A29AD" w:rsidRPr="00DC66CD">
        <w:t>”</w:t>
      </w:r>
      <w:r w:rsidR="00574843" w:rsidRPr="00DC66CD">
        <w:t xml:space="preserve"> kanë përfunduar, duke synuar përafrimin e mëtejshëm me Rregulloren Evropiane 575/2013. Këto ndryshime janë konsultuar, gjithashtu, edhe me industrinë bankare. Projektndryshimet pritet të paraqiten për miratim në Këshillin Mbikëqyrës të Bankës së Shqipërisë brenda tremujorit të katërt të vitit 2019</w:t>
      </w:r>
      <w:r w:rsidR="005730E5" w:rsidRPr="00DC66CD">
        <w:t>;</w:t>
      </w:r>
    </w:p>
    <w:p w14:paraId="14976C9D" w14:textId="5A35301D" w:rsidR="00574843" w:rsidRPr="00DC66CD" w:rsidRDefault="0060194A" w:rsidP="00574843">
      <w:pPr>
        <w:pStyle w:val="TEKSTIIII"/>
      </w:pPr>
      <w:r w:rsidRPr="00DC66CD">
        <w:t>-</w:t>
      </w:r>
      <w:r w:rsidR="00F10EE0" w:rsidRPr="00DC66CD">
        <w:t xml:space="preserve"> projektndryshimet </w:t>
      </w:r>
      <w:r w:rsidR="00574843" w:rsidRPr="00DC66CD">
        <w:t xml:space="preserve">në rregulloren </w:t>
      </w:r>
      <w:r w:rsidR="002A29AD" w:rsidRPr="00DC66CD">
        <w:t>“</w:t>
      </w:r>
      <w:r w:rsidR="00574843" w:rsidRPr="00DC66CD">
        <w:t>Për administrimin e rrezikut nga ekspozimet e mëdha të bankave</w:t>
      </w:r>
      <w:r w:rsidR="002A29AD" w:rsidRPr="00DC66CD">
        <w:t>”</w:t>
      </w:r>
      <w:r w:rsidR="00574843" w:rsidRPr="00DC66CD">
        <w:t>, janë përgatitur me qëllim përafrimin e mëtejshëm me ndryshimet më të fundit në Rregulloren Evropiane 575/2013, në dokumentet e Komitetit të Bazelit mbi regjimin e ekspozimeve të mëdha dhe me udhëzuesin e EBA-s për personat e lidhur. Projektndryshimet do të paraqiten për konsultim me industrinë bankare dhe pritet të miratohen gjatë tremujorit të parë të vitit 2020</w:t>
      </w:r>
      <w:r w:rsidR="005730E5" w:rsidRPr="00DC66CD">
        <w:t>.</w:t>
      </w:r>
    </w:p>
    <w:p w14:paraId="102E911D" w14:textId="574A1EF7" w:rsidR="00574843" w:rsidRPr="00DC66CD" w:rsidRDefault="0060194A" w:rsidP="00574843">
      <w:pPr>
        <w:pStyle w:val="TEKSTIIII"/>
      </w:pPr>
      <w:r w:rsidRPr="00DC66CD">
        <w:t>-</w:t>
      </w:r>
      <w:r w:rsidR="005730E5" w:rsidRPr="00DC66CD">
        <w:t xml:space="preserve"> Në </w:t>
      </w:r>
      <w:r w:rsidR="00574843" w:rsidRPr="00DC66CD">
        <w:t>zbatim të dispozitave të reja dhe të ndryshuara të ligjit</w:t>
      </w:r>
      <w:r w:rsidR="00E33D88" w:rsidRPr="00DC66CD">
        <w:t xml:space="preserve"> nr. </w:t>
      </w:r>
      <w:r w:rsidR="00574843" w:rsidRPr="00DC66CD">
        <w:t>9917</w:t>
      </w:r>
      <w:r w:rsidR="005730E5" w:rsidRPr="00DC66CD">
        <w:t>,</w:t>
      </w:r>
      <w:r w:rsidR="00574843" w:rsidRPr="00DC66CD">
        <w:t xml:space="preserve"> </w:t>
      </w:r>
      <w:r w:rsidR="002A29AD" w:rsidRPr="00DC66CD">
        <w:t>“</w:t>
      </w:r>
      <w:r w:rsidR="00574843" w:rsidRPr="00DC66CD">
        <w:t>Për parandalimin e pastrimit të parave dhe financimit të terrorizmit</w:t>
      </w:r>
      <w:r w:rsidR="002A29AD" w:rsidRPr="00DC66CD">
        <w:t>”</w:t>
      </w:r>
      <w:r w:rsidR="00574843" w:rsidRPr="00DC66CD">
        <w:t xml:space="preserve">, si dhe në përputhje me zbatimin e </w:t>
      </w:r>
      <w:r w:rsidR="005730E5" w:rsidRPr="00DC66CD">
        <w:t xml:space="preserve">rekomandimeve </w:t>
      </w:r>
      <w:r w:rsidR="00574843" w:rsidRPr="00DC66CD">
        <w:t>të Raportit Moneyval, Banka e Shqipërisë ka përfunduar projektndryshimet në rregulloret e mëposhtme, të cilat janë konsultuar me subjektet e interesuara dhe do të paraqitet për miratim nga Këshilli Mbikëqyrës</w:t>
      </w:r>
      <w:r w:rsidR="005730E5" w:rsidRPr="00DC66CD">
        <w:t>,</w:t>
      </w:r>
      <w:r w:rsidR="00574843" w:rsidRPr="00DC66CD">
        <w:t xml:space="preserve"> brenda tremujorit të katërt të </w:t>
      </w:r>
      <w:r w:rsidR="00276B1A" w:rsidRPr="00DC66CD">
        <w:t>2019-ës</w:t>
      </w:r>
      <w:r w:rsidR="00574843" w:rsidRPr="00DC66CD">
        <w:t>:</w:t>
      </w:r>
    </w:p>
    <w:p w14:paraId="6581C359" w14:textId="54B418ED" w:rsidR="00574843" w:rsidRPr="00DC66CD" w:rsidRDefault="0060194A" w:rsidP="00574843">
      <w:pPr>
        <w:pStyle w:val="TEKSTIIII"/>
      </w:pPr>
      <w:r w:rsidRPr="00DC66CD">
        <w:t>-</w:t>
      </w:r>
      <w:r w:rsidR="005730E5" w:rsidRPr="00DC66CD">
        <w:t xml:space="preserve"> r</w:t>
      </w:r>
      <w:r w:rsidR="00574843" w:rsidRPr="00DC66CD">
        <w:t>regullorja</w:t>
      </w:r>
      <w:r w:rsidR="00E33D88" w:rsidRPr="00DC66CD">
        <w:t xml:space="preserve"> nr. </w:t>
      </w:r>
      <w:r w:rsidR="00574843" w:rsidRPr="00DC66CD">
        <w:t>44/2019</w:t>
      </w:r>
      <w:r w:rsidR="005730E5" w:rsidRPr="00DC66CD">
        <w:t>,</w:t>
      </w:r>
      <w:r w:rsidR="00574843" w:rsidRPr="00DC66CD">
        <w:t xml:space="preserve"> </w:t>
      </w:r>
      <w:r w:rsidR="002A29AD" w:rsidRPr="00DC66CD">
        <w:t>“</w:t>
      </w:r>
      <w:r w:rsidR="00574843" w:rsidRPr="00DC66CD">
        <w:t>Për parandalimin e pastrimit të parave dhe financimit të terrorizmit</w:t>
      </w:r>
      <w:r w:rsidR="002A29AD" w:rsidRPr="00DC66CD">
        <w:t>”</w:t>
      </w:r>
      <w:r w:rsidR="00574843" w:rsidRPr="00DC66CD">
        <w:t>;</w:t>
      </w:r>
    </w:p>
    <w:p w14:paraId="3E3027EA" w14:textId="0902C61D" w:rsidR="00574843" w:rsidRPr="00DC66CD" w:rsidRDefault="0060194A" w:rsidP="00574843">
      <w:pPr>
        <w:pStyle w:val="TEKSTIIII"/>
      </w:pPr>
      <w:r w:rsidRPr="00DC66CD">
        <w:t>-</w:t>
      </w:r>
      <w:r w:rsidR="005730E5" w:rsidRPr="00DC66CD">
        <w:t xml:space="preserve"> r</w:t>
      </w:r>
      <w:r w:rsidR="00574843" w:rsidRPr="00DC66CD">
        <w:t>regullorja</w:t>
      </w:r>
      <w:r w:rsidR="00E33D88" w:rsidRPr="00DC66CD">
        <w:t xml:space="preserve"> nr. </w:t>
      </w:r>
      <w:r w:rsidR="00574843" w:rsidRPr="00DC66CD">
        <w:t>4/2017</w:t>
      </w:r>
      <w:r w:rsidR="005730E5" w:rsidRPr="00DC66CD">
        <w:t>,</w:t>
      </w:r>
      <w:r w:rsidR="00574843" w:rsidRPr="00DC66CD">
        <w:t xml:space="preserve"> </w:t>
      </w:r>
      <w:r w:rsidR="002A29AD" w:rsidRPr="00DC66CD">
        <w:t>“</w:t>
      </w:r>
      <w:r w:rsidR="00574843" w:rsidRPr="00DC66CD">
        <w:t>Për mbikëqyrjen e konsoliduar</w:t>
      </w:r>
      <w:r w:rsidR="002A29AD" w:rsidRPr="00DC66CD">
        <w:t>”</w:t>
      </w:r>
      <w:r w:rsidR="00574843" w:rsidRPr="00DC66CD">
        <w:t>;</w:t>
      </w:r>
    </w:p>
    <w:p w14:paraId="58781C24" w14:textId="50A73F2B" w:rsidR="00574843" w:rsidRPr="00DC66CD" w:rsidRDefault="0060194A" w:rsidP="00574843">
      <w:pPr>
        <w:pStyle w:val="TEKSTIIII"/>
      </w:pPr>
      <w:r w:rsidRPr="00DC66CD">
        <w:t>-</w:t>
      </w:r>
      <w:r w:rsidR="005730E5" w:rsidRPr="00DC66CD">
        <w:t xml:space="preserve"> r</w:t>
      </w:r>
      <w:r w:rsidR="00574843" w:rsidRPr="00DC66CD">
        <w:t>regullorja</w:t>
      </w:r>
      <w:r w:rsidR="00E33D88" w:rsidRPr="00DC66CD">
        <w:t xml:space="preserve"> nr. </w:t>
      </w:r>
      <w:r w:rsidR="00574843" w:rsidRPr="00DC66CD">
        <w:t>28/2005</w:t>
      </w:r>
      <w:r w:rsidR="005730E5" w:rsidRPr="00DC66CD">
        <w:t>,</w:t>
      </w:r>
      <w:r w:rsidR="00574843" w:rsidRPr="00DC66CD">
        <w:t xml:space="preserve"> </w:t>
      </w:r>
      <w:r w:rsidR="002A29AD" w:rsidRPr="00DC66CD">
        <w:t>“</w:t>
      </w:r>
      <w:r w:rsidR="00574843" w:rsidRPr="00DC66CD">
        <w:t>Për mbikëqyrjen e transaksioneve bankare në rrugë elektronike</w:t>
      </w:r>
      <w:r w:rsidR="002A29AD" w:rsidRPr="00DC66CD">
        <w:t>”</w:t>
      </w:r>
      <w:r w:rsidR="00574843" w:rsidRPr="00DC66CD">
        <w:t>.</w:t>
      </w:r>
    </w:p>
    <w:p w14:paraId="2D40A812" w14:textId="77777777" w:rsidR="00574843" w:rsidRPr="00DC66CD" w:rsidRDefault="00574843" w:rsidP="00574843">
      <w:pPr>
        <w:pStyle w:val="TEKSTIIII"/>
        <w:rPr>
          <w:b/>
        </w:rPr>
      </w:pPr>
      <w:r w:rsidRPr="00DC66CD">
        <w:rPr>
          <w:b/>
        </w:rPr>
        <w:t>Ndërhyrja e jashtëzakonshme në sektorin bankar si pjesë e reformave të sektorit financiar</w:t>
      </w:r>
    </w:p>
    <w:p w14:paraId="247C81DF" w14:textId="559F685F" w:rsidR="00574843" w:rsidRPr="00DC66CD" w:rsidRDefault="00574843" w:rsidP="00574843">
      <w:pPr>
        <w:pStyle w:val="TEKSTIIII"/>
      </w:pPr>
      <w:r w:rsidRPr="00DC66CD">
        <w:t>Gjatë vitit 2019, Banka e Shqipërisë</w:t>
      </w:r>
      <w:r w:rsidR="005730E5" w:rsidRPr="00DC66CD">
        <w:t>,</w:t>
      </w:r>
      <w:r w:rsidRPr="00DC66CD">
        <w:t xml:space="preserve"> në cilësinë e Autoritetit të Ndërhyrjes së Jashtëzakonshme ka zhvilluar kuadrin rregullator</w:t>
      </w:r>
      <w:r w:rsidR="007F75DF" w:rsidRPr="00DC66CD">
        <w:t>,</w:t>
      </w:r>
      <w:r w:rsidRPr="00DC66CD">
        <w:t xml:space="preserve"> në përputhje me zhvillimet në kuadrin e ndërhyrjes së jashtëzakonshme në banka në nivel </w:t>
      </w:r>
      <w:r w:rsidR="007F75DF" w:rsidRPr="00DC66CD">
        <w:t xml:space="preserve">evropian </w:t>
      </w:r>
      <w:r w:rsidRPr="00DC66CD">
        <w:t>dhe</w:t>
      </w:r>
      <w:r w:rsidR="007F75DF" w:rsidRPr="00DC66CD">
        <w:t>,</w:t>
      </w:r>
      <w:r w:rsidRPr="00DC66CD">
        <w:t xml:space="preserve"> në përputhje me kërkesat e paketës së re bankare, ka finalizuar ciklin e parë të planeve të ndërhyrjes së jashtëzakonshme</w:t>
      </w:r>
      <w:r w:rsidR="007F75DF" w:rsidRPr="00DC66CD">
        <w:t>,</w:t>
      </w:r>
      <w:r w:rsidRPr="00DC66CD">
        <w:t xml:space="preserve"> si dhe ka ndërmarrë hapat përkatës në ndërtimin dhe rritjen e Fondit të Ndërhyrjes së Jashtëzakonshme.</w:t>
      </w:r>
    </w:p>
    <w:p w14:paraId="289F7F0B" w14:textId="77777777" w:rsidR="00574843" w:rsidRPr="00DC66CD" w:rsidRDefault="00574843" w:rsidP="00574843">
      <w:pPr>
        <w:pStyle w:val="TEKSTIIII"/>
        <w:rPr>
          <w:i/>
        </w:rPr>
      </w:pPr>
      <w:r w:rsidRPr="00DC66CD">
        <w:rPr>
          <w:i/>
        </w:rPr>
        <w:t>Zhvillimet në kuadrin e ndërhyrjes së jashtëzakonshme në sektorin bankar gjatë vitit 2019</w:t>
      </w:r>
    </w:p>
    <w:p w14:paraId="09D9876A" w14:textId="5F73E9AA" w:rsidR="00574843" w:rsidRPr="00DC66CD" w:rsidRDefault="00574843" w:rsidP="00574843">
      <w:pPr>
        <w:pStyle w:val="TEKSTIIII"/>
      </w:pPr>
      <w:r w:rsidRPr="00DC66CD">
        <w:t>Për</w:t>
      </w:r>
      <w:r w:rsidR="007F75DF" w:rsidRPr="00DC66CD">
        <w:t xml:space="preserve"> </w:t>
      </w:r>
      <w:r w:rsidRPr="00DC66CD">
        <w:t>sa i përket kuadrit rregullator:</w:t>
      </w:r>
    </w:p>
    <w:p w14:paraId="792CACBE" w14:textId="7C2EA0DC" w:rsidR="00574843" w:rsidRPr="00DC66CD" w:rsidRDefault="0060194A" w:rsidP="00574843">
      <w:pPr>
        <w:pStyle w:val="TEKSTIIII"/>
      </w:pPr>
      <w:r w:rsidRPr="00DC66CD">
        <w:t xml:space="preserve">1. </w:t>
      </w:r>
      <w:r w:rsidR="00574843" w:rsidRPr="00DC66CD">
        <w:t>Me anë të vendimit</w:t>
      </w:r>
      <w:r w:rsidR="00E33D88" w:rsidRPr="00DC66CD">
        <w:t xml:space="preserve"> nr. </w:t>
      </w:r>
      <w:r w:rsidR="00574843" w:rsidRPr="00DC66CD">
        <w:t xml:space="preserve">33/2019, Këshilli Mbikëqyrës i Bankës së Shqipërisë ka miratuar rregulloren </w:t>
      </w:r>
      <w:r w:rsidR="002A29AD" w:rsidRPr="00DC66CD">
        <w:t>“</w:t>
      </w:r>
      <w:r w:rsidR="00574843" w:rsidRPr="00DC66CD">
        <w:t>Për përcaktimin e nivelit të ushtrimit të kompetencave në Bankën e Shqipërisë për rimëkëmbjen dhe ndërhyrjen e jashtëzakonshme në banka</w:t>
      </w:r>
      <w:r w:rsidR="002A29AD" w:rsidRPr="00DC66CD">
        <w:t>”</w:t>
      </w:r>
      <w:r w:rsidR="00574843" w:rsidRPr="00DC66CD">
        <w:t>. Në këtë rregullore përcaktohen</w:t>
      </w:r>
      <w:r w:rsidR="0072211B" w:rsidRPr="00DC66CD">
        <w:t xml:space="preserve"> </w:t>
      </w:r>
      <w:r w:rsidR="00574843" w:rsidRPr="00DC66CD">
        <w:t xml:space="preserve">organet e brendshme të Bankës së Shqipërisë dhe </w:t>
      </w:r>
      <w:r w:rsidR="007F75DF" w:rsidRPr="00DC66CD">
        <w:t xml:space="preserve">të </w:t>
      </w:r>
      <w:r w:rsidR="00574843" w:rsidRPr="00DC66CD">
        <w:t>drejtuesve të njësive organizative të saj, të cilët nxjerrin aktet administrative individuale në zbatim të kompetencave të Bankës së Shqipërisë për rimëkëmbjen dhe ndërhyrjen e jashtëzakonshme, sipas ligjit</w:t>
      </w:r>
      <w:r w:rsidR="00E33D88" w:rsidRPr="00DC66CD">
        <w:t xml:space="preserve"> nr. </w:t>
      </w:r>
      <w:r w:rsidR="00574843" w:rsidRPr="00DC66CD">
        <w:t>133/2016</w:t>
      </w:r>
      <w:r w:rsidR="007F75DF" w:rsidRPr="00DC66CD">
        <w:t>,</w:t>
      </w:r>
      <w:r w:rsidR="00574843" w:rsidRPr="00DC66CD">
        <w:t xml:space="preserve"> </w:t>
      </w:r>
      <w:r w:rsidR="002A29AD" w:rsidRPr="00DC66CD">
        <w:t>“</w:t>
      </w:r>
      <w:r w:rsidR="00574843" w:rsidRPr="00DC66CD">
        <w:t>Për rimëkëmbjen dhe ndërhyrjen e jashtëzakonshme në banka në Republikën e Shqipërisë</w:t>
      </w:r>
      <w:r w:rsidR="007F75DF" w:rsidRPr="00DC66CD">
        <w:t>”</w:t>
      </w:r>
      <w:r w:rsidR="00574843" w:rsidRPr="00DC66CD">
        <w:t>.</w:t>
      </w:r>
      <w:r w:rsidR="0072211B" w:rsidRPr="00DC66CD">
        <w:t xml:space="preserve"> </w:t>
      </w:r>
    </w:p>
    <w:p w14:paraId="41EC00EA" w14:textId="1A5EB4A7" w:rsidR="00574843" w:rsidRPr="00DC66CD" w:rsidRDefault="0060194A" w:rsidP="00574843">
      <w:pPr>
        <w:pStyle w:val="TEKSTIIII"/>
      </w:pPr>
      <w:r w:rsidRPr="00DC66CD">
        <w:t xml:space="preserve">2. </w:t>
      </w:r>
      <w:r w:rsidR="00574843" w:rsidRPr="00DC66CD">
        <w:t>Me anë të vendimit</w:t>
      </w:r>
      <w:r w:rsidR="00E33D88" w:rsidRPr="00DC66CD">
        <w:t xml:space="preserve"> nr. </w:t>
      </w:r>
      <w:r w:rsidR="00574843" w:rsidRPr="00DC66CD">
        <w:t xml:space="preserve">44/2019, Këshilli Mbikëqyrës i Bankës së Shqipërisë ka miratuar rregulloren </w:t>
      </w:r>
      <w:r w:rsidR="002A29AD" w:rsidRPr="00DC66CD">
        <w:t>“</w:t>
      </w:r>
      <w:r w:rsidR="00574843" w:rsidRPr="00DC66CD">
        <w:t>Vlerësimi për qëllime të ndërhyrjes së jashtëzakonshme</w:t>
      </w:r>
      <w:r w:rsidR="002A29AD" w:rsidRPr="00DC66CD">
        <w:t>”</w:t>
      </w:r>
      <w:r w:rsidR="00574843" w:rsidRPr="00DC66CD">
        <w:t xml:space="preserve"> në të cilën përkufizohen kushtet dhe kriteret për përzgjedhjen e vlerësuesit të pavarur, kriteret dhe metodologjia e vlerësimit përpara dhe pas ndërhyrjes së jashtëzakonshme</w:t>
      </w:r>
      <w:r w:rsidR="00C92435" w:rsidRPr="00DC66CD">
        <w:t>,</w:t>
      </w:r>
      <w:r w:rsidR="00574843" w:rsidRPr="00DC66CD">
        <w:t xml:space="preserve"> si dhe vlerësimi i detyrimeve nga instrumentet derivative. Kjo rregullore është në përputhje me Standardet Teknike Rregullatore të Autoritetit Bankar Evropian –</w:t>
      </w:r>
      <w:r w:rsidR="00C92435" w:rsidRPr="00DC66CD">
        <w:t xml:space="preserve"> </w:t>
      </w:r>
      <w:r w:rsidR="00574843" w:rsidRPr="00DC66CD">
        <w:t xml:space="preserve">EBA, EBA/RTS 2017/05–06, </w:t>
      </w:r>
      <w:r w:rsidR="002A29AD" w:rsidRPr="00DC66CD">
        <w:t>“</w:t>
      </w:r>
      <w:r w:rsidR="00574843" w:rsidRPr="00DC66CD">
        <w:t xml:space="preserve">Mbi vlerësimin për qëllime të ndërhyrjes së jashtëzakonshme dhe mbi vlerësimin për përcaktimin e diferencës në trajtim pas ndërhyrjes së jashtëzakonshme, sipas </w:t>
      </w:r>
      <w:r w:rsidR="00C92435" w:rsidRPr="00DC66CD">
        <w:t xml:space="preserve">direktivës </w:t>
      </w:r>
      <w:r w:rsidR="00574843" w:rsidRPr="00DC66CD">
        <w:t>së Bashkimit Evropian 2014/59/EU</w:t>
      </w:r>
      <w:r w:rsidR="00C92435" w:rsidRPr="00DC66CD">
        <w:t>,</w:t>
      </w:r>
      <w:r w:rsidR="00574843" w:rsidRPr="00DC66CD">
        <w:t xml:space="preserve"> </w:t>
      </w:r>
      <w:r w:rsidR="00C92435" w:rsidRPr="00DC66CD">
        <w:t xml:space="preserve">“Mbi </w:t>
      </w:r>
      <w:r w:rsidR="00574843" w:rsidRPr="00DC66CD">
        <w:t>rimëkëmbjen dhe ndërhyrjen e jashtëzakonshme në institucionet e kreditit dhe firmat e investimit</w:t>
      </w:r>
      <w:r w:rsidR="002A29AD" w:rsidRPr="00DC66CD">
        <w:t>”</w:t>
      </w:r>
      <w:r w:rsidR="00574843" w:rsidRPr="00DC66CD">
        <w:t>, dhe EBA/RTS/2015/1</w:t>
      </w:r>
      <w:r w:rsidR="00C92435" w:rsidRPr="00DC66CD">
        <w:t>,</w:t>
      </w:r>
      <w:r w:rsidR="00574843" w:rsidRPr="00DC66CD">
        <w:t xml:space="preserve"> </w:t>
      </w:r>
      <w:r w:rsidR="002A29AD" w:rsidRPr="00DC66CD">
        <w:t>“</w:t>
      </w:r>
      <w:r w:rsidR="00574843" w:rsidRPr="00DC66CD">
        <w:t>Mbi vlerësimin e derivativëve</w:t>
      </w:r>
      <w:r w:rsidR="00C92435" w:rsidRPr="00DC66CD">
        <w:t>”,</w:t>
      </w:r>
      <w:r w:rsidR="00574843" w:rsidRPr="00DC66CD">
        <w:t xml:space="preserve"> sipas nenit 49(4) të </w:t>
      </w:r>
      <w:r w:rsidR="00C92435" w:rsidRPr="00DC66CD">
        <w:t xml:space="preserve">direktivës “Për </w:t>
      </w:r>
      <w:r w:rsidR="00574843" w:rsidRPr="00DC66CD">
        <w:t>rimëkëmbjen dhe ndërhyrjen e jashtëzakonshme në banka – BRRD</w:t>
      </w:r>
      <w:r w:rsidR="00C92435" w:rsidRPr="00DC66CD">
        <w:t>”</w:t>
      </w:r>
      <w:r w:rsidR="00574843" w:rsidRPr="00DC66CD">
        <w:t>.</w:t>
      </w:r>
    </w:p>
    <w:p w14:paraId="15EBEFA5" w14:textId="1B6F192A" w:rsidR="00574843" w:rsidRPr="00DC66CD" w:rsidRDefault="0060194A" w:rsidP="00574843">
      <w:pPr>
        <w:pStyle w:val="TEKSTIIII"/>
      </w:pPr>
      <w:r w:rsidRPr="00DC66CD">
        <w:t xml:space="preserve">3. </w:t>
      </w:r>
      <w:r w:rsidR="00574843" w:rsidRPr="00DC66CD">
        <w:t xml:space="preserve">Gjatë vitit 2019, Banka e Shqipërisë ka hartuar versionin e parë të rregullores </w:t>
      </w:r>
      <w:r w:rsidR="002A29AD" w:rsidRPr="00DC66CD">
        <w:t>“</w:t>
      </w:r>
      <w:r w:rsidR="00574843" w:rsidRPr="00DC66CD">
        <w:t>Mbi kërkesat minimale për instrumente të kapitalit rregullator dhe detyrimeve të pranuara – MREL</w:t>
      </w:r>
      <w:r w:rsidR="002A29AD" w:rsidRPr="00DC66CD">
        <w:t>”</w:t>
      </w:r>
      <w:r w:rsidR="00574843" w:rsidRPr="00DC66CD">
        <w:t xml:space="preserve">, e cila është pjesërisht në përputhje me </w:t>
      </w:r>
      <w:r w:rsidR="00C92435" w:rsidRPr="00DC66CD">
        <w:t xml:space="preserve">direktivën </w:t>
      </w:r>
      <w:r w:rsidR="00574843" w:rsidRPr="00DC66CD">
        <w:t xml:space="preserve">2019/879 (BRRD II), e cila amendon </w:t>
      </w:r>
      <w:r w:rsidR="00C92435" w:rsidRPr="00DC66CD">
        <w:t xml:space="preserve">direktivën </w:t>
      </w:r>
      <w:r w:rsidR="00574843" w:rsidRPr="00DC66CD">
        <w:t xml:space="preserve">2014/59/EU, lidhur me kapacitetin përthithës të humbjeve dhe atë të rikapitalizimit të institucioneve të kreditit dhe firmave të investimit dhe </w:t>
      </w:r>
      <w:r w:rsidR="00C92435" w:rsidRPr="00DC66CD">
        <w:t xml:space="preserve">direktivën </w:t>
      </w:r>
      <w:r w:rsidR="00574843" w:rsidRPr="00DC66CD">
        <w:t>2019/876 (CRR2)</w:t>
      </w:r>
      <w:r w:rsidR="00C92435" w:rsidRPr="00DC66CD">
        <w:t>,</w:t>
      </w:r>
      <w:r w:rsidR="00574843" w:rsidRPr="00DC66CD">
        <w:t xml:space="preserve"> që amendon rregulloren e BE</w:t>
      </w:r>
      <w:r w:rsidR="00C92435" w:rsidRPr="00DC66CD">
        <w:t>-së</w:t>
      </w:r>
      <w:r w:rsidR="00E33D88" w:rsidRPr="00DC66CD">
        <w:t xml:space="preserve"> nr. </w:t>
      </w:r>
      <w:r w:rsidR="00574843" w:rsidRPr="00DC66CD">
        <w:t>575/2013</w:t>
      </w:r>
      <w:r w:rsidR="00C92435" w:rsidRPr="00DC66CD">
        <w:t>,</w:t>
      </w:r>
      <w:r w:rsidR="00574843" w:rsidRPr="00DC66CD">
        <w:t xml:space="preserve"> lidhur me treguesin e levës financiare, treguesin e financimit të qëndrueshëm neto, kërkesat për instrumente të kapitalit rregullator dhe </w:t>
      </w:r>
      <w:r w:rsidR="00C92435" w:rsidRPr="00DC66CD">
        <w:t xml:space="preserve">të </w:t>
      </w:r>
      <w:r w:rsidR="00574843" w:rsidRPr="00DC66CD">
        <w:t>detyrime të pranuara, rrezikun e kredisë së kundërpartisë, rrezikun e tregut, ekspozimin ndaj kundërpalëve qendrore, ekspozimin ndaj sipërmarrjeve të investimeve kolektive, ekspozimet e mëdha, kërkesat për raportim dhe publikim</w:t>
      </w:r>
      <w:r w:rsidR="0072211B" w:rsidRPr="00DC66CD">
        <w:t xml:space="preserve"> </w:t>
      </w:r>
      <w:r w:rsidR="00574843" w:rsidRPr="00DC66CD">
        <w:t>dhe rregulloren</w:t>
      </w:r>
      <w:r w:rsidR="0072211B" w:rsidRPr="00DC66CD">
        <w:t xml:space="preserve"> </w:t>
      </w:r>
      <w:r w:rsidR="00574843" w:rsidRPr="00DC66CD">
        <w:t>e BE</w:t>
      </w:r>
      <w:r w:rsidR="00C92435" w:rsidRPr="00DC66CD">
        <w:t>-së</w:t>
      </w:r>
      <w:r w:rsidR="00E33D88" w:rsidRPr="00DC66CD">
        <w:t xml:space="preserve"> nr. </w:t>
      </w:r>
      <w:r w:rsidR="00574843" w:rsidRPr="00DC66CD">
        <w:t>648/2012.</w:t>
      </w:r>
    </w:p>
    <w:p w14:paraId="3EF39F41" w14:textId="0457467F" w:rsidR="00574843" w:rsidRPr="00DC66CD" w:rsidRDefault="00574843" w:rsidP="00574843">
      <w:pPr>
        <w:pStyle w:val="TEKSTIIII"/>
      </w:pPr>
      <w:r w:rsidRPr="00DC66CD">
        <w:t>Lidhur me planifikimin e ndërhyrjes së jashtëzakonshme, Banka e Shqipërisë ka finalizuar ciklin e parë të planeve të ndërhyrjes së jashtëzakonshme për bankat sistemike, në të cilin përfshihet identifikimi i funksioneve kritike, identifikimi i strategjisë së preferuar për ndërhyrjen e jashtëzakonshme</w:t>
      </w:r>
      <w:r w:rsidR="00C92435" w:rsidRPr="00DC66CD">
        <w:t>.</w:t>
      </w:r>
      <w:r w:rsidRPr="00DC66CD">
        <w:t xml:space="preserve"> si dhe identifikimi i pengesave të mundshme për realizimin e ndërhyrjes së jashtëzakonshme.</w:t>
      </w:r>
      <w:r w:rsidR="0072211B" w:rsidRPr="00DC66CD">
        <w:t xml:space="preserve"> </w:t>
      </w:r>
      <w:r w:rsidRPr="00DC66CD">
        <w:t>Banka e Shqipërisë ka realizuar, gjithashtu, një analiz</w:t>
      </w:r>
      <w:r w:rsidR="00C92435" w:rsidRPr="00DC66CD">
        <w:t>ë</w:t>
      </w:r>
      <w:r w:rsidRPr="00DC66CD">
        <w:t xml:space="preserve"> të plotë dhe vlerësim të funksioneve ekonomike me rëndësi</w:t>
      </w:r>
      <w:r w:rsidR="0072211B" w:rsidRPr="00DC66CD">
        <w:t xml:space="preserve"> </w:t>
      </w:r>
      <w:r w:rsidRPr="00DC66CD">
        <w:t>kritike, të identifikuara nga bankat si pjesë e planeve të rimëkëmbjes, vlerësim i cili iu është njoftuar në mënyrë individuale bankave.</w:t>
      </w:r>
      <w:r w:rsidR="0072211B" w:rsidRPr="00DC66CD">
        <w:t xml:space="preserve"> </w:t>
      </w:r>
    </w:p>
    <w:p w14:paraId="39423079" w14:textId="257A2A86" w:rsidR="00574843" w:rsidRPr="00DC66CD" w:rsidRDefault="00574843" w:rsidP="00574843">
      <w:pPr>
        <w:pStyle w:val="TEKSTIIII"/>
      </w:pPr>
      <w:r w:rsidRPr="00DC66CD">
        <w:t>Për sa i përket Fondit të Ndërhyrjes së Jashtëzakonshme, gjatë vitit 2019 u derdhën kontributet e</w:t>
      </w:r>
      <w:r w:rsidR="0072211B" w:rsidRPr="00DC66CD">
        <w:t xml:space="preserve"> </w:t>
      </w:r>
      <w:r w:rsidRPr="00DC66CD">
        <w:t>vitit të dytë të tij nga bankat</w:t>
      </w:r>
      <w:r w:rsidR="00C92435" w:rsidRPr="00DC66CD">
        <w:t>,</w:t>
      </w:r>
      <w:r w:rsidRPr="00DC66CD">
        <w:t xml:space="preserve"> si dhe u finalizuan pasqyrat financiare të audituara për vitin e parë të veprimtarisë. Fondi i Ndërhyrjes së Jashtëzakonshme, ashtu si përcaktohet në </w:t>
      </w:r>
      <w:r w:rsidR="00C92435" w:rsidRPr="00DC66CD">
        <w:t xml:space="preserve">ligjin </w:t>
      </w:r>
      <w:r w:rsidRPr="00DC66CD">
        <w:t xml:space="preserve">133/2016, administrohet nga Agjencia e Sigurimit të Depozitave, në përputhje me dokumentin </w:t>
      </w:r>
      <w:r w:rsidR="002A29AD" w:rsidRPr="00DC66CD">
        <w:t>“</w:t>
      </w:r>
      <w:r w:rsidRPr="00DC66CD">
        <w:t>Politika e administrimit të mjeteve financiare të Fondit të Ndërhyrjes së Jashtëzakonshme</w:t>
      </w:r>
      <w:r w:rsidR="002A29AD" w:rsidRPr="00DC66CD">
        <w:t>”</w:t>
      </w:r>
      <w:r w:rsidRPr="00DC66CD">
        <w:t>, i cili përgatitet dhe propozohet nga Agjencia e Sigurimit të Depozitave dhe miratohet nga Banka e Shqipërisë. Gjithashtu, Banka e Shqipërisë ka monitoruar ecurinë e mjeteve financiare të Fondit të Ndërhyrjes së Jashtëzakonshme</w:t>
      </w:r>
      <w:r w:rsidR="00C92435" w:rsidRPr="00DC66CD">
        <w:t>,</w:t>
      </w:r>
      <w:r w:rsidRPr="00DC66CD">
        <w:t xml:space="preserve"> përmes raportimit tremujor nga Agjencia e Sigurimit të Depozitave.</w:t>
      </w:r>
    </w:p>
    <w:p w14:paraId="3B4A75E9" w14:textId="255C568B" w:rsidR="00574843" w:rsidRPr="00DC66CD" w:rsidRDefault="00574843" w:rsidP="00574843">
      <w:pPr>
        <w:pStyle w:val="TEKSTIIII"/>
      </w:pPr>
      <w:r w:rsidRPr="00DC66CD">
        <w:t>Pas nënshkrimit të Marrëveshjes së Bashkëpunimit midis Bankës së Shqipërisë dhe Bordit të Përbashkët të Ndërhyrjes së Jashtëzakonshme</w:t>
      </w:r>
      <w:r w:rsidR="00C92435" w:rsidRPr="00DC66CD">
        <w:t xml:space="preserve"> –</w:t>
      </w:r>
      <w:r w:rsidRPr="00DC66CD">
        <w:t xml:space="preserve"> SRB, Banka e Shqipërisë është ftuar të marrë pjesë në</w:t>
      </w:r>
      <w:r w:rsidR="0072211B" w:rsidRPr="00DC66CD">
        <w:t xml:space="preserve"> </w:t>
      </w:r>
      <w:r w:rsidRPr="00DC66CD">
        <w:t>mbledhjet e Kolegjeve të Ndërhyrjes së Jashtëzakonshme të bankave evropiane nën juridiksionin e SRB-së e me prezenc</w:t>
      </w:r>
      <w:r w:rsidR="00C92435" w:rsidRPr="00DC66CD">
        <w:t>ë</w:t>
      </w:r>
      <w:r w:rsidRPr="00DC66CD">
        <w:t xml:space="preserve"> </w:t>
      </w:r>
      <w:r w:rsidRPr="00E30CC6">
        <w:t>sistemike</w:t>
      </w:r>
      <w:r w:rsidRPr="00DC66CD">
        <w:t xml:space="preserve"> në Shqipëri.</w:t>
      </w:r>
    </w:p>
    <w:p w14:paraId="329A5153" w14:textId="7B26EE70" w:rsidR="00574843" w:rsidRPr="00DC66CD" w:rsidRDefault="00C92435" w:rsidP="00574843">
      <w:pPr>
        <w:pStyle w:val="TEKSTIIII"/>
        <w:rPr>
          <w:i/>
        </w:rPr>
      </w:pPr>
      <w:r w:rsidRPr="00DC66CD">
        <w:rPr>
          <w:i/>
        </w:rPr>
        <w:t>Fokusi kryesor më 202</w:t>
      </w:r>
      <w:r w:rsidR="00F32370" w:rsidRPr="00DC66CD">
        <w:rPr>
          <w:i/>
        </w:rPr>
        <w:t>0</w:t>
      </w:r>
      <w:r w:rsidRPr="00DC66CD">
        <w:rPr>
          <w:i/>
        </w:rPr>
        <w:t>–</w:t>
      </w:r>
      <w:r w:rsidR="00574843" w:rsidRPr="00DC66CD">
        <w:rPr>
          <w:i/>
        </w:rPr>
        <w:t xml:space="preserve">2022 </w:t>
      </w:r>
    </w:p>
    <w:p w14:paraId="493B01F5" w14:textId="1F6A0ED6" w:rsidR="00574843" w:rsidRPr="00DC66CD" w:rsidRDefault="00574843" w:rsidP="00574843">
      <w:pPr>
        <w:pStyle w:val="TEKSTIIII"/>
      </w:pPr>
      <w:r w:rsidRPr="00DC66CD">
        <w:t>Në horizontin kohor afatmesëm 2020</w:t>
      </w:r>
      <w:r w:rsidR="00450481" w:rsidRPr="00DC66CD">
        <w:t>–</w:t>
      </w:r>
      <w:r w:rsidRPr="00DC66CD">
        <w:t>2022, në fushën e ndërhyrjes së jashtëzakonshme në fokusin e Bankës së Shqipërisë do të jenë çështjet e mëposhtme:</w:t>
      </w:r>
    </w:p>
    <w:p w14:paraId="2700D93C" w14:textId="44A0C217" w:rsidR="00574843" w:rsidRPr="00DC66CD" w:rsidRDefault="0060194A" w:rsidP="00574843">
      <w:pPr>
        <w:pStyle w:val="TEKSTIIII"/>
      </w:pPr>
      <w:r w:rsidRPr="00DC66CD">
        <w:t>-</w:t>
      </w:r>
      <w:r w:rsidR="00450481" w:rsidRPr="00DC66CD">
        <w:t xml:space="preserve"> forcimi </w:t>
      </w:r>
      <w:r w:rsidR="00574843" w:rsidRPr="00DC66CD">
        <w:t>i aftësisë për ndërhyrje të jashtëzakonshme në banka përmes hartimit dhe përditësimit të planeve të ndërhyrjes së jashtëzakonshme për të gjitha bankat që ushtrojnë aktivitetin në Shqipëri, duke identifikuar pengesat potenciale për ndërhyrjen e jashtëzakonshme e duke marrë masat përkatëse për të hequr këto pengesa. Planet e ndërhyrjes së jashtëzakonshme kanë për qëllim të lehtësojnë përdorimin në mënyrë efektive të instrumenteve të ndërhyrjes së jashtëzakonshme nga ana e Bankës së Shqipërisë, të mbështesin vijueshmërinë e funksioneve kritike dhe të bëjnë sa më të zbatueshme ndërhyrjen e jashtëzakonshme në banka</w:t>
      </w:r>
      <w:r w:rsidR="00450481" w:rsidRPr="00DC66CD">
        <w:t>;</w:t>
      </w:r>
      <w:r w:rsidR="00574843" w:rsidRPr="00DC66CD">
        <w:t xml:space="preserve"> </w:t>
      </w:r>
    </w:p>
    <w:p w14:paraId="669AA418" w14:textId="1C9BD799" w:rsidR="00574843" w:rsidRPr="00DC66CD" w:rsidRDefault="0060194A" w:rsidP="00574843">
      <w:pPr>
        <w:pStyle w:val="TEKSTIIII"/>
      </w:pPr>
      <w:r w:rsidRPr="00DC66CD">
        <w:t>-</w:t>
      </w:r>
      <w:r w:rsidR="00450481" w:rsidRPr="00DC66CD">
        <w:t xml:space="preserve"> plotësimi </w:t>
      </w:r>
      <w:r w:rsidR="00574843" w:rsidRPr="00DC66CD">
        <w:t>i kuadrit rregullator</w:t>
      </w:r>
      <w:r w:rsidR="00450481" w:rsidRPr="00DC66CD">
        <w:t>,</w:t>
      </w:r>
      <w:r w:rsidR="00574843" w:rsidRPr="00DC66CD">
        <w:t xml:space="preserve"> në përputhje me kuadrin rregullator të Bashkimit Evropian për përcaktimin e politikës përkatëse</w:t>
      </w:r>
      <w:r w:rsidR="00450481" w:rsidRPr="00DC66CD">
        <w:t>,</w:t>
      </w:r>
      <w:r w:rsidR="00574843" w:rsidRPr="00DC66CD">
        <w:t xml:space="preserve"> lidhur me kërkesat minimale për instrumentet e kapitalit rregullator dhe detyrimeve të pranuara</w:t>
      </w:r>
      <w:r w:rsidR="0072211B" w:rsidRPr="00DC66CD">
        <w:t xml:space="preserve"> </w:t>
      </w:r>
      <w:r w:rsidR="00574843" w:rsidRPr="00DC66CD">
        <w:t xml:space="preserve">për bankat </w:t>
      </w:r>
      <w:r w:rsidR="00450481" w:rsidRPr="00DC66CD">
        <w:t>–</w:t>
      </w:r>
      <w:r w:rsidR="00574843" w:rsidRPr="00DC66CD">
        <w:t xml:space="preserve"> MREL, si dhe përcaktimi fillimisht i kufijve informues e më pas </w:t>
      </w:r>
      <w:r w:rsidR="00450481" w:rsidRPr="00DC66CD">
        <w:t xml:space="preserve">i </w:t>
      </w:r>
      <w:r w:rsidR="00574843" w:rsidRPr="00DC66CD">
        <w:t>kufijve përfundimtarë për plotësimin e MREL-it</w:t>
      </w:r>
      <w:r w:rsidR="00450481" w:rsidRPr="00DC66CD">
        <w:t>,</w:t>
      </w:r>
      <w:r w:rsidR="00574843" w:rsidRPr="00DC66CD">
        <w:t xml:space="preserve"> brenda një periudhe kohe të përshtatshme tranzitore</w:t>
      </w:r>
      <w:r w:rsidR="00450481" w:rsidRPr="00DC66CD">
        <w:t>;</w:t>
      </w:r>
    </w:p>
    <w:p w14:paraId="559609A1" w14:textId="457173EB" w:rsidR="00574843" w:rsidRPr="00DC66CD" w:rsidRDefault="0060194A" w:rsidP="00574843">
      <w:pPr>
        <w:pStyle w:val="TEKSTIIII"/>
      </w:pPr>
      <w:r w:rsidRPr="00DC66CD">
        <w:t>-</w:t>
      </w:r>
      <w:r w:rsidR="00450481" w:rsidRPr="00DC66CD">
        <w:t xml:space="preserve"> arritja </w:t>
      </w:r>
      <w:r w:rsidR="00574843" w:rsidRPr="00DC66CD">
        <w:t>e nivelit të synuar të Fondit të Ndërhyrjes së Jashtëzakonshme nëpërmjet pagesës së kontributit vjetor nga bankat dhe monitorimi i politikës së investimit të mjeteve financiare të Fondit, në përputhje me dispozitat përkatëse në ligj dhe aktet rregullatore të hartuara</w:t>
      </w:r>
      <w:r w:rsidR="0072211B" w:rsidRPr="00DC66CD">
        <w:t xml:space="preserve"> </w:t>
      </w:r>
      <w:r w:rsidR="00574843" w:rsidRPr="00DC66CD">
        <w:t>për këtë qëllim</w:t>
      </w:r>
      <w:r w:rsidR="00450481" w:rsidRPr="00DC66CD">
        <w:t>;</w:t>
      </w:r>
      <w:r w:rsidR="0072211B" w:rsidRPr="00DC66CD">
        <w:t xml:space="preserve"> </w:t>
      </w:r>
    </w:p>
    <w:p w14:paraId="77FC4851" w14:textId="7D4C92C5" w:rsidR="00574843" w:rsidRPr="00DC66CD" w:rsidRDefault="0060194A" w:rsidP="00574843">
      <w:pPr>
        <w:pStyle w:val="TEKSTIIII"/>
      </w:pPr>
      <w:r w:rsidRPr="00DC66CD">
        <w:t>-</w:t>
      </w:r>
      <w:r w:rsidR="00450481" w:rsidRPr="00DC66CD">
        <w:t xml:space="preserve"> përmirësimi </w:t>
      </w:r>
      <w:r w:rsidR="00574843" w:rsidRPr="00DC66CD">
        <w:t xml:space="preserve">i koordinimit dhe </w:t>
      </w:r>
      <w:r w:rsidR="00450481" w:rsidRPr="00DC66CD">
        <w:t xml:space="preserve">i </w:t>
      </w:r>
      <w:r w:rsidR="00574843" w:rsidRPr="00DC66CD">
        <w:t>bashkëpunimit me njësi të tjera organizative brenda Bankës së Shqipërisë, institucione dhe agjenci kombëtare, si dhe institucione dhe</w:t>
      </w:r>
      <w:r w:rsidR="0072211B" w:rsidRPr="00DC66CD">
        <w:t xml:space="preserve"> </w:t>
      </w:r>
      <w:r w:rsidR="00574843" w:rsidRPr="00DC66CD">
        <w:t>organizata ndërkombëtare</w:t>
      </w:r>
      <w:r w:rsidR="00450481" w:rsidRPr="00DC66CD">
        <w:t>,</w:t>
      </w:r>
      <w:r w:rsidR="00574843" w:rsidRPr="00DC66CD">
        <w:t xml:space="preserve"> në përputhje me dispozitat e </w:t>
      </w:r>
      <w:r w:rsidR="00450481" w:rsidRPr="00DC66CD">
        <w:t xml:space="preserve">ligjit </w:t>
      </w:r>
      <w:r w:rsidR="002A29AD" w:rsidRPr="00DC66CD">
        <w:t>“</w:t>
      </w:r>
      <w:r w:rsidR="00574843" w:rsidRPr="00DC66CD">
        <w:t>Mbi rimëkëmbjen dhe ndërhyrjen e jashtëzakonshme në banka në Republikën e Shqipërisë</w:t>
      </w:r>
      <w:r w:rsidR="002A29AD" w:rsidRPr="00DC66CD">
        <w:t>”</w:t>
      </w:r>
      <w:r w:rsidR="00450481" w:rsidRPr="00DC66CD">
        <w:t>;</w:t>
      </w:r>
    </w:p>
    <w:p w14:paraId="246F3BAC" w14:textId="7DA79C81" w:rsidR="00574843" w:rsidRPr="00DC66CD" w:rsidRDefault="00450481" w:rsidP="00574843">
      <w:pPr>
        <w:pStyle w:val="TEKSTIIII"/>
        <w:rPr>
          <w:lang w:eastAsia="en-GB"/>
        </w:rPr>
      </w:pPr>
      <w:r w:rsidRPr="00DC66CD">
        <w:t xml:space="preserve">- forcimi </w:t>
      </w:r>
      <w:r w:rsidR="00574843" w:rsidRPr="00DC66CD">
        <w:t>i kapaciteteve teknike të stafit të Bankës së Shqipërisë</w:t>
      </w:r>
      <w:r w:rsidRPr="00DC66CD">
        <w:t>,</w:t>
      </w:r>
      <w:r w:rsidR="00574843" w:rsidRPr="00DC66CD">
        <w:t xml:space="preserve"> lidhur me ndërhyrjen e jashtëzakonshme, nëpërmjet trajnimeve dhe bashkëpunimit me institucione homologe.</w:t>
      </w:r>
    </w:p>
    <w:p w14:paraId="7F309655" w14:textId="660FBD10" w:rsidR="00574843" w:rsidRPr="00DC66CD" w:rsidRDefault="0060194A" w:rsidP="00574843">
      <w:pPr>
        <w:pStyle w:val="TEKSTIIII"/>
        <w:rPr>
          <w:b/>
          <w:i/>
        </w:rPr>
      </w:pPr>
      <w:bookmarkStart w:id="7" w:name="_Toc484076171"/>
      <w:bookmarkStart w:id="8" w:name="_Toc30661215"/>
      <w:r w:rsidRPr="00DC66CD">
        <w:rPr>
          <w:b/>
          <w:i/>
        </w:rPr>
        <w:t xml:space="preserve">3.3 </w:t>
      </w:r>
      <w:r w:rsidR="00574843" w:rsidRPr="00DC66CD">
        <w:rPr>
          <w:b/>
          <w:i/>
        </w:rPr>
        <w:t>Alternative scenarios and risks</w:t>
      </w:r>
      <w:bookmarkEnd w:id="7"/>
      <w:bookmarkEnd w:id="8"/>
    </w:p>
    <w:p w14:paraId="06044307" w14:textId="5C8B5A70" w:rsidR="00574843" w:rsidRPr="00DC66CD" w:rsidRDefault="00574843" w:rsidP="00574843">
      <w:pPr>
        <w:pStyle w:val="TEKSTIIII"/>
      </w:pPr>
      <w:r w:rsidRPr="00DC66CD">
        <w:t>Skenari bazë vlerësohet të ketë probabilitet më të lartë për t</w:t>
      </w:r>
      <w:r w:rsidR="002C582E" w:rsidRPr="00DC66CD">
        <w:t>’</w:t>
      </w:r>
      <w:r w:rsidRPr="00DC66CD">
        <w:t>u materializuar. Megjithatë parashikimi i skenarëve alternativ</w:t>
      </w:r>
      <w:r w:rsidR="000C007A" w:rsidRPr="00DC66CD">
        <w:t>ë,</w:t>
      </w:r>
      <w:r w:rsidRPr="00DC66CD">
        <w:t xml:space="preserve"> duke supozuar se një pjesë e risqeve të ndryshme që rrethojnë skenarin bazë mund të materializohen</w:t>
      </w:r>
      <w:r w:rsidR="000C007A" w:rsidRPr="00DC66CD">
        <w:t>,</w:t>
      </w:r>
      <w:r w:rsidRPr="00DC66CD">
        <w:t xml:space="preserve"> është një komponent i rëndësishëm i planifikimit të financave publike. Në mënyrë që të rritet cilësia e planifikimit dhe të ketë një menaxhim më efikas të fondeve publike në çdo situatë që ka një probabilitet të caktuar për të ndodhur, më poshtë paraqiten shkurtimisht dy skenarë alternativ</w:t>
      </w:r>
      <w:r w:rsidR="000C007A" w:rsidRPr="00DC66CD">
        <w:t>ë</w:t>
      </w:r>
      <w:r w:rsidRPr="00DC66CD">
        <w:t xml:space="preserve">, në mënyrë specifike një skenar </w:t>
      </w:r>
      <w:r w:rsidR="002A29AD" w:rsidRPr="00DC66CD">
        <w:t>“</w:t>
      </w:r>
      <w:r w:rsidRPr="00DC66CD">
        <w:t>pesimist</w:t>
      </w:r>
      <w:r w:rsidR="002A29AD" w:rsidRPr="00DC66CD">
        <w:t>”</w:t>
      </w:r>
      <w:r w:rsidRPr="00DC66CD">
        <w:t xml:space="preserve"> dhe një skenar </w:t>
      </w:r>
      <w:r w:rsidR="002A29AD" w:rsidRPr="00DC66CD">
        <w:t>“</w:t>
      </w:r>
      <w:r w:rsidRPr="00DC66CD">
        <w:t>optimist</w:t>
      </w:r>
      <w:r w:rsidR="002A29AD" w:rsidRPr="00DC66CD">
        <w:t>”</w:t>
      </w:r>
      <w:r w:rsidRPr="00DC66CD">
        <w:t>.</w:t>
      </w:r>
    </w:p>
    <w:p w14:paraId="6C8C18AA" w14:textId="4EB6DDFD" w:rsidR="00574843" w:rsidRPr="00DC66CD" w:rsidRDefault="00574843" w:rsidP="00574843">
      <w:pPr>
        <w:pStyle w:val="TEKSTIIII"/>
      </w:pPr>
      <w:r w:rsidRPr="00DC66CD">
        <w:t>Secili nga skenarët alternativ</w:t>
      </w:r>
      <w:r w:rsidR="000C007A" w:rsidRPr="00DC66CD">
        <w:t>ë</w:t>
      </w:r>
      <w:r w:rsidRPr="00DC66CD">
        <w:t xml:space="preserve"> supozon që një grup risqesh negative (në rastin e një skenari </w:t>
      </w:r>
      <w:r w:rsidR="002A29AD" w:rsidRPr="00DC66CD">
        <w:t>“</w:t>
      </w:r>
      <w:r w:rsidRPr="00DC66CD">
        <w:t>pesimist</w:t>
      </w:r>
      <w:r w:rsidR="002A29AD" w:rsidRPr="00DC66CD">
        <w:t>”</w:t>
      </w:r>
      <w:r w:rsidRPr="00DC66CD">
        <w:t xml:space="preserve">) ose risqesh pozitive (në rastin një skenari </w:t>
      </w:r>
      <w:r w:rsidR="002A29AD" w:rsidRPr="00DC66CD">
        <w:t>“</w:t>
      </w:r>
      <w:r w:rsidRPr="00DC66CD">
        <w:t>optimist</w:t>
      </w:r>
      <w:r w:rsidR="002A29AD" w:rsidRPr="00DC66CD">
        <w:t>”</w:t>
      </w:r>
      <w:r w:rsidRPr="00DC66CD">
        <w:t>) do të materializohen. Ky grup risqesh supozon devijime nga parashikimet në skenarin bazë për treguesit kryesorë makroekonomik</w:t>
      </w:r>
      <w:r w:rsidR="000C007A" w:rsidRPr="00DC66CD">
        <w:t>ë</w:t>
      </w:r>
      <w:r w:rsidRPr="00DC66CD">
        <w:t>, duke përfshirë kreditimin e ekonomisë, ecurinë e ekonomisë së Eurozonës me efektet që ka në eksportin e mallrave dhe shërbimeve, në remitanca, në flukset e kapitaleve të huaja</w:t>
      </w:r>
      <w:r w:rsidR="000C007A" w:rsidRPr="00DC66CD">
        <w:t>,</w:t>
      </w:r>
      <w:r w:rsidRPr="00DC66CD">
        <w:t xml:space="preserve"> si dhe </w:t>
      </w:r>
      <w:r w:rsidR="000C007A" w:rsidRPr="00DC66CD">
        <w:t xml:space="preserve">në </w:t>
      </w:r>
      <w:r w:rsidRPr="00DC66CD">
        <w:t>kursin e këmbimit, normën e interesit, ritmin dhe ndikimin e reformave të politikave strukturore të plani</w:t>
      </w:r>
      <w:r w:rsidR="007206A4" w:rsidRPr="00DC66CD">
        <w:t>fikuara për periudhën afatmesme</w:t>
      </w:r>
      <w:r w:rsidRPr="00DC66CD">
        <w:t xml:space="preserve"> etj. Efekti i përgjithshëm neto i të gjitha risqeve të supozuara, negative ose pozitive, për thjeshtësi analize (modelimi) jepet si një goditje fillestare në terma të një variabli të vetëm: rritjes ekonomike reale. Pra, skenarët alternativë bazohen në supozime të ndryshme të rritjes ekonomike nga skenari bazë për secilin vit 2020</w:t>
      </w:r>
      <w:r w:rsidR="000C007A" w:rsidRPr="00DC66CD">
        <w:t>–</w:t>
      </w:r>
      <w:r w:rsidRPr="00DC66CD">
        <w:t>2022.</w:t>
      </w:r>
    </w:p>
    <w:p w14:paraId="559B29A4" w14:textId="77777777" w:rsidR="00574843" w:rsidRPr="00DC66CD" w:rsidRDefault="00574843" w:rsidP="00574843">
      <w:pPr>
        <w:pStyle w:val="TEKSTIIII"/>
      </w:pPr>
    </w:p>
    <w:p w14:paraId="3C996A65" w14:textId="39D29632" w:rsidR="00574843" w:rsidRPr="006C7645" w:rsidRDefault="000C007A" w:rsidP="00574843">
      <w:pPr>
        <w:pStyle w:val="TEKSTIIII"/>
        <w:rPr>
          <w:i/>
        </w:rPr>
      </w:pPr>
      <w:r w:rsidRPr="006C7645">
        <w:rPr>
          <w:i/>
        </w:rPr>
        <w:t>Tabela 3.3.1</w:t>
      </w:r>
      <w:r w:rsidR="00574843" w:rsidRPr="006C7645">
        <w:rPr>
          <w:i/>
        </w:rPr>
        <w:t xml:space="preserve"> Supozimet alternative në secilin skenar</w:t>
      </w:r>
    </w:p>
    <w:p w14:paraId="21CC8088" w14:textId="003C4627" w:rsidR="00574843" w:rsidRPr="00DC66CD" w:rsidRDefault="00E016DB" w:rsidP="000C007A">
      <w:pPr>
        <w:pStyle w:val="TEKSTIIII"/>
        <w:ind w:firstLine="0"/>
        <w:jc w:val="center"/>
      </w:pPr>
      <w:r w:rsidRPr="00DC66CD">
        <w:rPr>
          <w:rFonts w:ascii="Times New Roman" w:hAnsi="Times New Roman"/>
          <w:noProof/>
          <w:lang w:val="en-US" w:eastAsia="en-US"/>
        </w:rPr>
        <w:drawing>
          <wp:inline distT="0" distB="0" distL="0" distR="0" wp14:anchorId="235BE7AA" wp14:editId="515AAC25">
            <wp:extent cx="5755640" cy="322770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5640" cy="3227709"/>
                    </a:xfrm>
                    <a:prstGeom prst="rect">
                      <a:avLst/>
                    </a:prstGeom>
                    <a:noFill/>
                    <a:ln>
                      <a:noFill/>
                    </a:ln>
                  </pic:spPr>
                </pic:pic>
              </a:graphicData>
            </a:graphic>
          </wp:inline>
        </w:drawing>
      </w:r>
    </w:p>
    <w:p w14:paraId="57E02E28" w14:textId="77777777" w:rsidR="00E77561" w:rsidRPr="00DC66CD" w:rsidRDefault="00E77561" w:rsidP="00022246">
      <w:pPr>
        <w:pStyle w:val="TEKSTIIII"/>
        <w:ind w:firstLine="0"/>
      </w:pPr>
    </w:p>
    <w:p w14:paraId="13FA1647" w14:textId="0153BD48" w:rsidR="00E77561" w:rsidRPr="00DC66CD" w:rsidRDefault="00E77561" w:rsidP="00E77561">
      <w:pPr>
        <w:pStyle w:val="TEKSTIIII"/>
        <w:rPr>
          <w:b/>
        </w:rPr>
      </w:pPr>
      <w:bookmarkStart w:id="9" w:name="_Toc484076172"/>
      <w:bookmarkStart w:id="10" w:name="_Toc30661216"/>
      <w:r w:rsidRPr="00DC66CD">
        <w:rPr>
          <w:b/>
        </w:rPr>
        <w:t>4. KUADRI FISKAL</w:t>
      </w:r>
      <w:bookmarkEnd w:id="9"/>
      <w:bookmarkEnd w:id="10"/>
    </w:p>
    <w:p w14:paraId="243D7371" w14:textId="1E4ED39D" w:rsidR="00E77561" w:rsidRPr="00DC66CD" w:rsidRDefault="00E77561" w:rsidP="00E77561">
      <w:pPr>
        <w:pStyle w:val="TEKSTIIII"/>
        <w:rPr>
          <w:b/>
        </w:rPr>
      </w:pPr>
      <w:bookmarkStart w:id="11" w:name="_Toc484076173"/>
      <w:bookmarkStart w:id="12" w:name="_Toc30661217"/>
      <w:r w:rsidRPr="00DC66CD">
        <w:rPr>
          <w:b/>
        </w:rPr>
        <w:t>4.1 Politikat strategjike dhe objektivat afatmes</w:t>
      </w:r>
      <w:r w:rsidR="000C007A" w:rsidRPr="00DC66CD">
        <w:rPr>
          <w:b/>
        </w:rPr>
        <w:t>ë</w:t>
      </w:r>
      <w:r w:rsidRPr="00DC66CD">
        <w:rPr>
          <w:b/>
        </w:rPr>
        <w:t>m</w:t>
      </w:r>
      <w:bookmarkEnd w:id="11"/>
      <w:bookmarkEnd w:id="12"/>
    </w:p>
    <w:p w14:paraId="7A5C2E9C" w14:textId="463BCA40" w:rsidR="00E77561" w:rsidRPr="00DC66CD" w:rsidRDefault="00E77561" w:rsidP="00E77561">
      <w:pPr>
        <w:pStyle w:val="TEKSTIIII"/>
      </w:pPr>
      <w:r w:rsidRPr="00DC66CD">
        <w:t>Politika fiskale në periudhën afatmesme 2020</w:t>
      </w:r>
      <w:r w:rsidR="00DE7047" w:rsidRPr="00DC66CD">
        <w:t>–</w:t>
      </w:r>
      <w:r w:rsidRPr="00DC66CD">
        <w:t xml:space="preserve">2022 do të jetë e orientuar drejt konsolidimit fiskal, në përputhje me rregullat fiskale të parashtruara në </w:t>
      </w:r>
      <w:r w:rsidR="00DE7047" w:rsidRPr="00DC66CD">
        <w:t xml:space="preserve">ligjin e buxhetit organik </w:t>
      </w:r>
      <w:r w:rsidRPr="00DC66CD">
        <w:t xml:space="preserve">(shih kutinë më poshtë mbi parimet dhe rregullat fiskale). </w:t>
      </w:r>
    </w:p>
    <w:p w14:paraId="4C97482E" w14:textId="6AD6C784" w:rsidR="00E77561" w:rsidRPr="00DC66CD" w:rsidRDefault="00E77561" w:rsidP="00E77561">
      <w:pPr>
        <w:pStyle w:val="TEKSTIIII"/>
      </w:pPr>
      <w:r w:rsidRPr="00DC66CD">
        <w:t>Konsolidimi fiskal dhe reduktimi i borxhit publik janë thelbësore për t</w:t>
      </w:r>
      <w:r w:rsidR="005E6738" w:rsidRPr="00DC66CD">
        <w:t>ë</w:t>
      </w:r>
      <w:r w:rsidRPr="00DC66CD">
        <w:t xml:space="preserve"> ulur dobësitë e lidhura me borxhin që pengojnë rritjen dhe shkaktojnë paqëndrueshmëri makroekonomike. Për të reduktuar dobësitë e lidhura me borxhin publik, janë ndërmarrë disa masa për rregullime fiskale gjatë viteve të fundit. Bilanci i përgjithshëm fiskal është përmirësuar me rreth 3.5 p.p. të PBB-së nga viti 2014 </w:t>
      </w:r>
      <w:r w:rsidR="00D968DA" w:rsidRPr="00DC66CD">
        <w:t>m</w:t>
      </w:r>
      <w:r w:rsidRPr="00DC66CD">
        <w:t xml:space="preserve">ë </w:t>
      </w:r>
      <w:r w:rsidR="00433A3A" w:rsidRPr="00DC66CD">
        <w:t>2019–</w:t>
      </w:r>
      <w:r w:rsidR="00D968DA" w:rsidRPr="00DC66CD">
        <w:t>ën</w:t>
      </w:r>
      <w:r w:rsidRPr="00DC66CD">
        <w:t>, mbështetur nga mobilizimi i të ardhurave, kufizimi i shpenzimeve dhe zbatimi i disa reformave administrative. Që nga viti 2016, kemi arritur nj</w:t>
      </w:r>
      <w:r w:rsidR="005E6738" w:rsidRPr="00DC66CD">
        <w:t>ë</w:t>
      </w:r>
      <w:r w:rsidRPr="00DC66CD">
        <w:t xml:space="preserve"> bilanc primar pozitiv (suficit primar), krahasuar me një deficit primar prej 2.3% në vitin 2014. Të ardhurat tatimore janë rritur ndjeshëm gjatë viteve të fundit</w:t>
      </w:r>
      <w:r w:rsidR="0053612A" w:rsidRPr="00DC66CD">
        <w:t>,</w:t>
      </w:r>
      <w:r w:rsidRPr="00DC66CD">
        <w:t xml:space="preserve"> nga 22.2% e PBB-së në vitin 2013 në rreth 26% të PBB-së </w:t>
      </w:r>
      <w:r w:rsidR="0053612A" w:rsidRPr="00DC66CD">
        <w:t>m</w:t>
      </w:r>
      <w:r w:rsidRPr="00DC66CD">
        <w:t xml:space="preserve">ë </w:t>
      </w:r>
      <w:r w:rsidR="00433A3A" w:rsidRPr="00DC66CD">
        <w:t>2019–</w:t>
      </w:r>
      <w:r w:rsidR="0053612A" w:rsidRPr="00DC66CD">
        <w:t>ën</w:t>
      </w:r>
      <w:r w:rsidRPr="00DC66CD">
        <w:t>, nxitur nga politika tatimore dhe përmirësimi i administratës tatimore. Reforma kundër informalitetit</w:t>
      </w:r>
      <w:r w:rsidR="00CF792E" w:rsidRPr="00DC66CD">
        <w:t>,</w:t>
      </w:r>
      <w:r w:rsidRPr="00DC66CD">
        <w:t xml:space="preserve"> gjithashtu</w:t>
      </w:r>
      <w:r w:rsidR="00CF792E" w:rsidRPr="00DC66CD">
        <w:t>,</w:t>
      </w:r>
      <w:r w:rsidRPr="00DC66CD">
        <w:t xml:space="preserve"> ndihmoi në rritjen e mbledhjes së të ardhurave</w:t>
      </w:r>
      <w:r w:rsidR="00CF792E" w:rsidRPr="00DC66CD">
        <w:t>,</w:t>
      </w:r>
      <w:r w:rsidRPr="00DC66CD">
        <w:t xml:space="preserve"> duke mbetur një prioritet i vazhdueshëm. Nga ana e shpenzimeve, kursime të konsiderueshme janë realizuar nga reformat në sektorin e pensioneve dhe të energjisë, si dhe nga rendimenti në administratën publike. Gjithashtu, sa i përket menaxhimit të borxhit gjatë këtyre viteve, kemi zvogëluar risqet e ndryshimit të termave</w:t>
      </w:r>
      <w:r w:rsidR="00CF792E" w:rsidRPr="00DC66CD">
        <w:t>,</w:t>
      </w:r>
      <w:r w:rsidRPr="00DC66CD">
        <w:t xml:space="preserve"> duke diversifikuar dhe </w:t>
      </w:r>
      <w:r w:rsidR="00CF792E" w:rsidRPr="00DC66CD">
        <w:t xml:space="preserve">duke </w:t>
      </w:r>
      <w:r w:rsidRPr="00DC66CD">
        <w:t xml:space="preserve">zgjatur ndjeshëm maturitetin e borxhit tonë. </w:t>
      </w:r>
    </w:p>
    <w:p w14:paraId="68357AA1" w14:textId="2175BE0F" w:rsidR="00E77561" w:rsidRPr="00DC66CD" w:rsidRDefault="00E77561" w:rsidP="00EB4282">
      <w:pPr>
        <w:pStyle w:val="TEKSTIIII"/>
      </w:pPr>
      <w:r w:rsidRPr="00DC66CD">
        <w:t>Politika fiskale konsoliduese synon të mbajë trajektoren e rënies së borxhit publik n</w:t>
      </w:r>
      <w:r w:rsidR="005E6738" w:rsidRPr="00DC66CD">
        <w:t>ë</w:t>
      </w:r>
      <w:r w:rsidRPr="00DC66CD">
        <w:t xml:space="preserve"> raport me PBB</w:t>
      </w:r>
      <w:r w:rsidR="00410DE8" w:rsidRPr="00DC66CD">
        <w:t>-në</w:t>
      </w:r>
      <w:r w:rsidRPr="00DC66CD">
        <w:t xml:space="preserve"> që nga viti 2016. Borxhi publik pritet të bjerë në rreth 65.4% të PBB-së në vitin 2020; 62.3% e PBB-së në vitin 2021 dhe 62.0% në vitin 2022, duke mundësuar një reduktim të konsiderueshëm nga niveli prej 72.7% në vitin 2015. N</w:t>
      </w:r>
      <w:r w:rsidR="005E6738" w:rsidRPr="00DC66CD">
        <w:t>ë</w:t>
      </w:r>
      <w:r w:rsidRPr="00DC66CD">
        <w:t xml:space="preserve"> aspektin e borxhit publik neto nga asetet likuide të qeverisë (depozita në para të qeverisë që mbahen në bankën qendrore), ulja do të jetë nga 64.5% që pritet në fund të vitit 2019 në 60.5% në vitin 2022, që përfshin një reduktim kumulativ prej rreth 4 p.p. për tre vjet ose nj</w:t>
      </w:r>
      <w:r w:rsidR="005E6738" w:rsidRPr="00DC66CD">
        <w:t>ë</w:t>
      </w:r>
      <w:r w:rsidRPr="00DC66CD">
        <w:t xml:space="preserve"> reduktim kumulativ prej 11.4 p.p. q</w:t>
      </w:r>
      <w:r w:rsidR="005E6738" w:rsidRPr="00DC66CD">
        <w:t>ë</w:t>
      </w:r>
      <w:r w:rsidRPr="00DC66CD">
        <w:t xml:space="preserve"> prej vitit 2015. Për të arritur objektivin tregues të politikës fiskale afatmesme mbi borxhin publik, skenari fiskal bazë synon një deficit fiskal në nivelin 2.2% të PBB-së </w:t>
      </w:r>
      <w:r w:rsidR="00410DE8" w:rsidRPr="00DC66CD">
        <w:t>m</w:t>
      </w:r>
      <w:r w:rsidRPr="00DC66CD">
        <w:t>ë 2020</w:t>
      </w:r>
      <w:r w:rsidR="00410DE8" w:rsidRPr="00DC66CD">
        <w:t>-ën</w:t>
      </w:r>
      <w:r w:rsidRPr="00DC66CD">
        <w:t>, një nivel prej 2.0% të PBB-së në vitin 2021 dhe synon ulje të mëtejshme në 1.7% në vitin 2022. Në të njëjtën kohë, synohet një bilanc primar pozitiv në vitet 2020</w:t>
      </w:r>
      <w:r w:rsidR="00546B80" w:rsidRPr="00DC66CD">
        <w:t>–</w:t>
      </w:r>
      <w:r w:rsidRPr="00DC66CD">
        <w:t>2022, respektivisht 0.1% të PBB-së në vitin 2020; 0.5% në vitin 2021; dhe 0.8 për</w:t>
      </w:r>
      <w:r w:rsidR="00546B80" w:rsidRPr="00DC66CD">
        <w:t xml:space="preserve"> </w:t>
      </w:r>
      <w:r w:rsidRPr="00DC66CD">
        <w:t>qind në vitin 2022. Gjithashtu, balanca korrente, e definuar këtu si diferenca midis investimeve publike dhe deficitit vjetor, synohet t</w:t>
      </w:r>
      <w:r w:rsidR="005E6738" w:rsidRPr="00DC66CD">
        <w:t>ë</w:t>
      </w:r>
      <w:r w:rsidRPr="00DC66CD">
        <w:t xml:space="preserve"> arrij</w:t>
      </w:r>
      <w:r w:rsidR="00546B80" w:rsidRPr="00DC66CD">
        <w:t>ë</w:t>
      </w:r>
      <w:r w:rsidRPr="00DC66CD">
        <w:t xml:space="preserve"> nivele të larta në periudhën afatmesme. Balanca korrente në periudhën afatmesme synon nivelin 3.5 për qind të PBB-së </w:t>
      </w:r>
      <w:r w:rsidR="00546B80" w:rsidRPr="00DC66CD">
        <w:t>m</w:t>
      </w:r>
      <w:r w:rsidRPr="00DC66CD">
        <w:t>ë 2020</w:t>
      </w:r>
      <w:r w:rsidR="00546B80" w:rsidRPr="00DC66CD">
        <w:t>-ën</w:t>
      </w:r>
      <w:r w:rsidRPr="00DC66CD">
        <w:t xml:space="preserve">, 2.8 për qind në vitin 2021 dhe 3.1 për qind në vitin 2022. </w:t>
      </w:r>
    </w:p>
    <w:p w14:paraId="49CC8C01" w14:textId="71B41C98" w:rsidR="00E77561" w:rsidRPr="00DC66CD" w:rsidRDefault="00E77561" w:rsidP="00EB4282">
      <w:pPr>
        <w:pStyle w:val="TEKSTIIII"/>
      </w:pPr>
      <w:r w:rsidRPr="00DC66CD">
        <w:t>Në të njëjtën kohë, ky kuadër fiskal p</w:t>
      </w:r>
      <w:r w:rsidR="005E6738" w:rsidRPr="00DC66CD">
        <w:t>ë</w:t>
      </w:r>
      <w:r w:rsidRPr="00DC66CD">
        <w:t>rshtat politikat buxhetore që mbështesin rritjen ekonomike. Investimet publike të qeverisë qendrore në afat të shkurtër dhe të mesëm ruhen me një mesatare prej mbi 4.5% të PBB-së, e cila është e rëndësishme për të nxitur kërkesën agregate në afat të shkurtër dhe për të zhvendosur rritjen potenciale në periudhën afatmesme dhe afatgjatë. Vazhdimi i reformave të menaxhimit financiar publik është thelbësor për rritjen e efikasitetit të shpenzimeve buxhetore</w:t>
      </w:r>
      <w:r w:rsidR="0056764B" w:rsidRPr="00DC66CD">
        <w:t>,</w:t>
      </w:r>
      <w:r w:rsidRPr="00DC66CD">
        <w:t xml:space="preserve"> si dhe për krijimin e hapësirave për shpenzime më produktive në periudhën afatmesme dhe afatgjatë.</w:t>
      </w:r>
    </w:p>
    <w:p w14:paraId="4E57A8F8" w14:textId="77777777" w:rsidR="00E77561" w:rsidRPr="00DC66CD" w:rsidRDefault="00E77561" w:rsidP="00022246">
      <w:pPr>
        <w:pStyle w:val="TEKSTIIII"/>
        <w:ind w:firstLine="0"/>
      </w:pPr>
    </w:p>
    <w:p w14:paraId="30F388BB" w14:textId="77777777" w:rsidR="002B0C89" w:rsidRPr="00DC66CD" w:rsidRDefault="002B0C89" w:rsidP="00151420">
      <w:pPr>
        <w:pStyle w:val="TEKSTIIII"/>
        <w:jc w:val="center"/>
        <w:rPr>
          <w:b/>
        </w:rPr>
      </w:pPr>
      <w:r w:rsidRPr="00DC66CD">
        <w:rPr>
          <w:b/>
        </w:rPr>
        <w:t>PARIMET DHE RREGULLAT FISKALE</w:t>
      </w:r>
    </w:p>
    <w:p w14:paraId="09D13425" w14:textId="77777777" w:rsidR="002B0C89" w:rsidRPr="00DC66CD" w:rsidRDefault="002B0C89" w:rsidP="002B0C89">
      <w:pPr>
        <w:pStyle w:val="TEKSTIIII"/>
      </w:pPr>
    </w:p>
    <w:p w14:paraId="39CA2A7C" w14:textId="7BEB4884" w:rsidR="002B0C89" w:rsidRPr="00DC66CD" w:rsidRDefault="002B0C89" w:rsidP="002B0C89">
      <w:pPr>
        <w:pStyle w:val="TEKSTIIII"/>
      </w:pPr>
      <w:r w:rsidRPr="00DC66CD">
        <w:t>Në përputhje të plotë me obligimet që rrjedhin prej ligjit organik të buxhetit (LOB)</w:t>
      </w:r>
      <w:r w:rsidR="00E33D88" w:rsidRPr="00DC66CD">
        <w:t xml:space="preserve"> nr. </w:t>
      </w:r>
      <w:r w:rsidRPr="00DC66CD">
        <w:t>57/2016, kuadri fiskal 2021</w:t>
      </w:r>
      <w:r w:rsidR="0056764B" w:rsidRPr="00DC66CD">
        <w:t>–</w:t>
      </w:r>
      <w:r w:rsidRPr="00DC66CD">
        <w:t>2023</w:t>
      </w:r>
      <w:r w:rsidR="00D479A9" w:rsidRPr="00DC66CD">
        <w:t>,</w:t>
      </w:r>
      <w:r w:rsidRPr="00DC66CD">
        <w:t xml:space="preserve"> materializon parimet dhe rregullat fiskale të mëposhtme:</w:t>
      </w:r>
    </w:p>
    <w:p w14:paraId="176E3D58" w14:textId="1D68B981" w:rsidR="002B0C89" w:rsidRPr="00DC66CD" w:rsidRDefault="002B0C89" w:rsidP="002B0C89">
      <w:pPr>
        <w:pStyle w:val="TEKSTIIII"/>
        <w:rPr>
          <w:i/>
        </w:rPr>
      </w:pPr>
      <w:r w:rsidRPr="00DC66CD">
        <w:rPr>
          <w:i/>
        </w:rPr>
        <w:t>1.</w:t>
      </w:r>
      <w:r w:rsidR="0072211B" w:rsidRPr="00DC66CD">
        <w:rPr>
          <w:i/>
        </w:rPr>
        <w:t xml:space="preserve"> </w:t>
      </w:r>
      <w:r w:rsidRPr="00DC66CD">
        <w:rPr>
          <w:i/>
        </w:rPr>
        <w:t xml:space="preserve">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w:t>
      </w:r>
      <w:r w:rsidR="00D479A9" w:rsidRPr="00DC66CD">
        <w:rPr>
          <w:i/>
        </w:rPr>
        <w:t xml:space="preserve">të </w:t>
      </w:r>
      <w:r w:rsidRPr="00DC66CD">
        <w:rPr>
          <w:i/>
        </w:rPr>
        <w:t>qëndrojë poshtë nivelit 45 për</w:t>
      </w:r>
      <w:r w:rsidR="001B671D" w:rsidRPr="00DC66CD">
        <w:rPr>
          <w:i/>
        </w:rPr>
        <w:t xml:space="preserve"> </w:t>
      </w:r>
      <w:r w:rsidRPr="00DC66CD">
        <w:rPr>
          <w:i/>
        </w:rPr>
        <w:t>qind të Produktit të Brendshëm Bruto</w:t>
      </w:r>
      <w:r w:rsidR="001B671D" w:rsidRPr="00DC66CD">
        <w:rPr>
          <w:i/>
        </w:rPr>
        <w:t>.</w:t>
      </w:r>
    </w:p>
    <w:p w14:paraId="7B3426AB" w14:textId="4FE33937" w:rsidR="002B0C89" w:rsidRPr="00DC66CD" w:rsidRDefault="002B0C89" w:rsidP="002B0C89">
      <w:pPr>
        <w:pStyle w:val="TEKSTIIII"/>
        <w:rPr>
          <w:b/>
          <w:i/>
        </w:rPr>
      </w:pPr>
      <w:r w:rsidRPr="00DC66CD">
        <w:t>Në përputhje me këtë dispozitë (rregull fiskal) të LOB</w:t>
      </w:r>
      <w:r w:rsidR="00D479A9" w:rsidRPr="00DC66CD">
        <w:t>-së</w:t>
      </w:r>
      <w:r w:rsidRPr="00DC66CD">
        <w:t>, kuadri fiskal 2021</w:t>
      </w:r>
      <w:r w:rsidR="001B671D" w:rsidRPr="00DC66CD">
        <w:t>–</w:t>
      </w:r>
      <w:r w:rsidRPr="00DC66CD">
        <w:t xml:space="preserve">2023 </w:t>
      </w:r>
      <w:r w:rsidRPr="00DC66CD">
        <w:rPr>
          <w:b/>
          <w:i/>
        </w:rPr>
        <w:t>targeton çdo vit një nivel të borxhit publik total në përqindje të PBB</w:t>
      </w:r>
      <w:r w:rsidR="00D479A9" w:rsidRPr="00DC66CD">
        <w:rPr>
          <w:b/>
          <w:i/>
        </w:rPr>
        <w:t>-së</w:t>
      </w:r>
      <w:r w:rsidRPr="00DC66CD">
        <w:rPr>
          <w:b/>
          <w:i/>
        </w:rPr>
        <w:t xml:space="preserve"> më të ulët se sa niveli i</w:t>
      </w:r>
      <w:r w:rsidR="0072211B" w:rsidRPr="00DC66CD">
        <w:rPr>
          <w:b/>
          <w:i/>
        </w:rPr>
        <w:t xml:space="preserve"> </w:t>
      </w:r>
      <w:r w:rsidRPr="00DC66CD">
        <w:rPr>
          <w:b/>
          <w:i/>
        </w:rPr>
        <w:t>vitit pararendës.</w:t>
      </w:r>
    </w:p>
    <w:p w14:paraId="660028F0" w14:textId="168E1103" w:rsidR="002B0C89" w:rsidRPr="00DC66CD" w:rsidRDefault="002B0C89" w:rsidP="002B0C89">
      <w:pPr>
        <w:pStyle w:val="TEKSTIIII"/>
        <w:rPr>
          <w:i/>
        </w:rPr>
      </w:pPr>
      <w:r w:rsidRPr="00DC66CD">
        <w:rPr>
          <w:i/>
        </w:rPr>
        <w:t>2. Vlera e Produktit të Brendshëm Bruto, nominale në lekë, e cila do të përdoret për llogaritjen e raportit të borxhit publik ndaj Produktit të Brendshëm Bruto</w:t>
      </w:r>
      <w:r w:rsidR="00D479A9" w:rsidRPr="00DC66CD">
        <w:rPr>
          <w:i/>
        </w:rPr>
        <w:t>,</w:t>
      </w:r>
      <w:r w:rsidRPr="00DC66CD">
        <w:rPr>
          <w:i/>
        </w:rPr>
        <w:t xml:space="preserve"> për vitet buxhetore që planifikohen dhe për vitin pararendës, nuk mund të jetë më e lartë se vlera respektive e parashikuar ose </w:t>
      </w:r>
      <w:r w:rsidR="00D479A9" w:rsidRPr="00DC66CD">
        <w:rPr>
          <w:i/>
        </w:rPr>
        <w:t xml:space="preserve">e </w:t>
      </w:r>
      <w:r w:rsidRPr="00DC66CD">
        <w:rPr>
          <w:i/>
        </w:rPr>
        <w:t xml:space="preserve">vlerësuar në raportin </w:t>
      </w:r>
      <w:r w:rsidR="002A29AD" w:rsidRPr="00DC66CD">
        <w:rPr>
          <w:i/>
        </w:rPr>
        <w:t>“</w:t>
      </w:r>
      <w:r w:rsidRPr="00DC66CD">
        <w:rPr>
          <w:i/>
        </w:rPr>
        <w:t>Perspektiva ekonomike botërore</w:t>
      </w:r>
      <w:r w:rsidR="002A29AD" w:rsidRPr="00DC66CD">
        <w:rPr>
          <w:i/>
        </w:rPr>
        <w:t>”</w:t>
      </w:r>
      <w:r w:rsidRPr="00DC66CD">
        <w:rPr>
          <w:i/>
        </w:rPr>
        <w:t xml:space="preserve"> (World Economic Outlook), të Fondit Monetar Ndërkombëtar, më i fundit i publikuar në kohën kur ligji vjetor i buxhetit dorëzohet për miratim në Kuvend. Kjo dokumentohet qartësisht në relacionin shoqërues të ligjit vjetor të buxhetit</w:t>
      </w:r>
      <w:r w:rsidR="001B671D" w:rsidRPr="00DC66CD">
        <w:rPr>
          <w:i/>
        </w:rPr>
        <w:t>.</w:t>
      </w:r>
    </w:p>
    <w:p w14:paraId="69F71B5E" w14:textId="4279EFED" w:rsidR="002B0C89" w:rsidRPr="00DC66CD" w:rsidRDefault="002B0C89" w:rsidP="002B0C89">
      <w:pPr>
        <w:pStyle w:val="TEKSTIIII"/>
      </w:pPr>
      <w:r w:rsidRPr="00DC66CD">
        <w:t>Në përputhje me këtë dispozitë (rregull</w:t>
      </w:r>
      <w:r w:rsidR="00D479A9" w:rsidRPr="00DC66CD">
        <w:t>a</w:t>
      </w:r>
      <w:r w:rsidRPr="00DC66CD">
        <w:t xml:space="preserve"> fiskal</w:t>
      </w:r>
      <w:r w:rsidR="00D479A9" w:rsidRPr="00DC66CD">
        <w:t>e</w:t>
      </w:r>
      <w:r w:rsidRPr="00DC66CD">
        <w:t>)</w:t>
      </w:r>
      <w:r w:rsidR="0072211B" w:rsidRPr="00DC66CD">
        <w:t xml:space="preserve"> </w:t>
      </w:r>
      <w:r w:rsidRPr="00DC66CD">
        <w:t>të LOB</w:t>
      </w:r>
      <w:r w:rsidR="00D479A9" w:rsidRPr="00DC66CD">
        <w:t>-së</w:t>
      </w:r>
      <w:r w:rsidRPr="00DC66CD">
        <w:t>, kuadri 2021</w:t>
      </w:r>
      <w:r w:rsidR="00D479A9" w:rsidRPr="00DC66CD">
        <w:t>–</w:t>
      </w:r>
      <w:r w:rsidRPr="00DC66CD">
        <w:t xml:space="preserve">2023 </w:t>
      </w:r>
      <w:r w:rsidRPr="00DC66CD">
        <w:rPr>
          <w:b/>
          <w:i/>
        </w:rPr>
        <w:t>bazohet në projeksionet e mëposhtme të PBB</w:t>
      </w:r>
      <w:r w:rsidR="00D479A9" w:rsidRPr="00DC66CD">
        <w:rPr>
          <w:b/>
          <w:i/>
        </w:rPr>
        <w:t>-së</w:t>
      </w:r>
      <w:r w:rsidRPr="00DC66CD">
        <w:rPr>
          <w:b/>
          <w:i/>
        </w:rPr>
        <w:t xml:space="preserve"> nominale, të cilat paraqiten në mënyrë krahasimore kundrejt projeksioneve të raportit </w:t>
      </w:r>
      <w:r w:rsidR="002A29AD" w:rsidRPr="00DC66CD">
        <w:rPr>
          <w:b/>
          <w:i/>
        </w:rPr>
        <w:t>“</w:t>
      </w:r>
      <w:r w:rsidRPr="00DC66CD">
        <w:rPr>
          <w:b/>
          <w:i/>
        </w:rPr>
        <w:t xml:space="preserve">Perspektiva </w:t>
      </w:r>
      <w:r w:rsidR="00D479A9" w:rsidRPr="00DC66CD">
        <w:rPr>
          <w:b/>
          <w:i/>
        </w:rPr>
        <w:t>ekonomike botërore</w:t>
      </w:r>
      <w:r w:rsidR="002A29AD" w:rsidRPr="00DC66CD">
        <w:rPr>
          <w:b/>
          <w:i/>
        </w:rPr>
        <w:t>”</w:t>
      </w:r>
      <w:r w:rsidRPr="00DC66CD">
        <w:rPr>
          <w:b/>
          <w:i/>
        </w:rPr>
        <w:t xml:space="preserve"> </w:t>
      </w:r>
      <w:r w:rsidRPr="00DC66CD">
        <w:rPr>
          <w:i/>
        </w:rPr>
        <w:t>(World Economic Outlook</w:t>
      </w:r>
      <w:r w:rsidRPr="00DC66CD">
        <w:t>)</w:t>
      </w:r>
      <w:r w:rsidR="00151420" w:rsidRPr="00DC66CD">
        <w:rPr>
          <w:rStyle w:val="FootnoteReference"/>
        </w:rPr>
        <w:footnoteReference w:id="11"/>
      </w:r>
      <w:r w:rsidRPr="00DC66CD">
        <w:t xml:space="preserve">, të Fondit Monetar Ndërkombëtar, më i fundit i publikuar </w:t>
      </w:r>
      <w:r w:rsidR="00D479A9" w:rsidRPr="00DC66CD">
        <w:t>n</w:t>
      </w:r>
      <w:r w:rsidRPr="00DC66CD">
        <w:t xml:space="preserve">ë </w:t>
      </w:r>
      <w:r w:rsidR="00D479A9" w:rsidRPr="00DC66CD">
        <w:t xml:space="preserve">tetor </w:t>
      </w:r>
      <w:r w:rsidRPr="00DC66CD">
        <w:t>2019.</w:t>
      </w:r>
    </w:p>
    <w:p w14:paraId="100040A9" w14:textId="74BD4A77" w:rsidR="00A43E1D" w:rsidRPr="00DC66CD" w:rsidRDefault="00A43E1D" w:rsidP="00D479A9">
      <w:pPr>
        <w:pStyle w:val="TEKSTIIII"/>
      </w:pPr>
      <w:r w:rsidRPr="00DC66CD">
        <w:rPr>
          <w:noProof/>
          <w:sz w:val="22"/>
          <w:szCs w:val="22"/>
          <w:lang w:val="en-US" w:eastAsia="en-US"/>
        </w:rPr>
        <w:drawing>
          <wp:inline distT="0" distB="0" distL="0" distR="0" wp14:anchorId="1CDEA47A" wp14:editId="2458AFDE">
            <wp:extent cx="5419725" cy="181739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6482" cy="1823012"/>
                    </a:xfrm>
                    <a:prstGeom prst="rect">
                      <a:avLst/>
                    </a:prstGeom>
                    <a:noFill/>
                    <a:ln>
                      <a:noFill/>
                    </a:ln>
                  </pic:spPr>
                </pic:pic>
              </a:graphicData>
            </a:graphic>
          </wp:inline>
        </w:drawing>
      </w:r>
    </w:p>
    <w:p w14:paraId="2A70F9BE" w14:textId="77777777" w:rsidR="00151420" w:rsidRPr="00DC66CD" w:rsidRDefault="00151420" w:rsidP="00151420">
      <w:pPr>
        <w:pStyle w:val="TEKSTIIII"/>
      </w:pPr>
    </w:p>
    <w:p w14:paraId="20408911" w14:textId="77C3B7D9" w:rsidR="00151420" w:rsidRPr="00DC66CD" w:rsidRDefault="00151420" w:rsidP="00151420">
      <w:pPr>
        <w:pStyle w:val="TEKSTIIII"/>
        <w:rPr>
          <w:i/>
        </w:rPr>
      </w:pPr>
      <w:r w:rsidRPr="00DC66CD">
        <w:rPr>
          <w:i/>
        </w:rPr>
        <w:t>3. Në çdo vit buxhetor të planifikuar duhet të përfshihet një kontingjencë e veçantë, prej jo më pak se 0.7 për qind e shpenzimeve totale të buxhetit, për të kompensuar rreziqe potenciale nga luhatjet në kurset e këmbimit ose normat e interesit, me ndikim në nivelin e borxhit.</w:t>
      </w:r>
    </w:p>
    <w:p w14:paraId="655B23FD" w14:textId="7BF70EDD" w:rsidR="00151420" w:rsidRPr="00DC66CD" w:rsidRDefault="00151420" w:rsidP="00151420">
      <w:pPr>
        <w:pStyle w:val="TEKSTIIII"/>
        <w:rPr>
          <w:b/>
          <w:i/>
        </w:rPr>
      </w:pPr>
      <w:r w:rsidRPr="00DC66CD">
        <w:t>Në përputhje me këtë dispozitë (rregull</w:t>
      </w:r>
      <w:r w:rsidR="00D479A9" w:rsidRPr="00DC66CD">
        <w:t>a</w:t>
      </w:r>
      <w:r w:rsidRPr="00DC66CD">
        <w:t xml:space="preserve"> fiskal</w:t>
      </w:r>
      <w:r w:rsidR="00D479A9" w:rsidRPr="00DC66CD">
        <w:t>e</w:t>
      </w:r>
      <w:r w:rsidRPr="00DC66CD">
        <w:t>)</w:t>
      </w:r>
      <w:r w:rsidR="0072211B" w:rsidRPr="00DC66CD">
        <w:t xml:space="preserve"> </w:t>
      </w:r>
      <w:r w:rsidRPr="00DC66CD">
        <w:t>të LOB</w:t>
      </w:r>
      <w:r w:rsidR="00D479A9" w:rsidRPr="00DC66CD">
        <w:t>-së</w:t>
      </w:r>
      <w:r w:rsidRPr="00DC66CD">
        <w:t>, kuadri 2021</w:t>
      </w:r>
      <w:r w:rsidR="00D479A9" w:rsidRPr="00DC66CD">
        <w:t>–</w:t>
      </w:r>
      <w:r w:rsidRPr="00DC66CD">
        <w:t xml:space="preserve">2023 përfshin për çdo vit në një zë të veçantë të tij, emërtuar </w:t>
      </w:r>
      <w:r w:rsidR="002A29AD" w:rsidRPr="00DC66CD">
        <w:t>“</w:t>
      </w:r>
      <w:r w:rsidRPr="00DC66CD">
        <w:t xml:space="preserve">Kontigjencë për </w:t>
      </w:r>
      <w:r w:rsidR="007206A4" w:rsidRPr="00DC66CD">
        <w:t>luhatjet e normave të interesit</w:t>
      </w:r>
      <w:r w:rsidRPr="00DC66CD">
        <w:t xml:space="preserve"> etj.</w:t>
      </w:r>
      <w:r w:rsidR="002A29AD" w:rsidRPr="00DC66CD">
        <w:t>”</w:t>
      </w:r>
      <w:r w:rsidRPr="00DC66CD">
        <w:t xml:space="preserve"> </w:t>
      </w:r>
      <w:r w:rsidRPr="00DC66CD">
        <w:rPr>
          <w:b/>
          <w:i/>
        </w:rPr>
        <w:t>një kontigjencë prej t</w:t>
      </w:r>
      <w:r w:rsidR="005E6738" w:rsidRPr="00DC66CD">
        <w:rPr>
          <w:b/>
          <w:i/>
        </w:rPr>
        <w:t>ë</w:t>
      </w:r>
      <w:r w:rsidRPr="00DC66CD">
        <w:rPr>
          <w:b/>
          <w:i/>
        </w:rPr>
        <w:t xml:space="preserve"> pakt</w:t>
      </w:r>
      <w:r w:rsidR="005E6738" w:rsidRPr="00DC66CD">
        <w:rPr>
          <w:b/>
          <w:i/>
        </w:rPr>
        <w:t>ë</w:t>
      </w:r>
      <w:r w:rsidRPr="00DC66CD">
        <w:rPr>
          <w:b/>
          <w:i/>
        </w:rPr>
        <w:t>n 0.7 për</w:t>
      </w:r>
      <w:r w:rsidR="001B671D" w:rsidRPr="00DC66CD">
        <w:rPr>
          <w:b/>
          <w:i/>
        </w:rPr>
        <w:t xml:space="preserve"> </w:t>
      </w:r>
      <w:r w:rsidRPr="00DC66CD">
        <w:rPr>
          <w:b/>
          <w:i/>
        </w:rPr>
        <w:t xml:space="preserve">qind e shpenzimeve totale. </w:t>
      </w:r>
    </w:p>
    <w:p w14:paraId="02A98A21" w14:textId="01683169" w:rsidR="00151420" w:rsidRPr="00DC66CD" w:rsidRDefault="00151420" w:rsidP="00151420">
      <w:pPr>
        <w:pStyle w:val="TEKSTIIII"/>
        <w:rPr>
          <w:i/>
        </w:rPr>
      </w:pPr>
      <w:r w:rsidRPr="00DC66CD">
        <w:rPr>
          <w:i/>
        </w:rPr>
        <w:t>4. Të ardhurat nga privatizimi nuk janë pjesë e procesit të programimit buxhetor. Në rastet e arkëtimit ato përdoren, jo më pak se 50 për</w:t>
      </w:r>
      <w:r w:rsidR="001B671D" w:rsidRPr="00DC66CD">
        <w:rPr>
          <w:i/>
        </w:rPr>
        <w:t xml:space="preserve"> </w:t>
      </w:r>
      <w:r w:rsidRPr="00DC66CD">
        <w:rPr>
          <w:i/>
        </w:rPr>
        <w:t xml:space="preserve">qind, për uljen e borxhit publik dhe pjesa tjetër për investime publike. </w:t>
      </w:r>
    </w:p>
    <w:p w14:paraId="46F9726C" w14:textId="7D91046E" w:rsidR="00151420" w:rsidRPr="00DC66CD" w:rsidRDefault="00151420" w:rsidP="00151420">
      <w:pPr>
        <w:pStyle w:val="TEKSTIIII"/>
        <w:rPr>
          <w:b/>
          <w:i/>
        </w:rPr>
      </w:pPr>
      <w:r w:rsidRPr="00DC66CD">
        <w:t>Në përputhje me këtë dispozitë (rregull</w:t>
      </w:r>
      <w:r w:rsidR="00D479A9" w:rsidRPr="00DC66CD">
        <w:t>a</w:t>
      </w:r>
      <w:r w:rsidRPr="00DC66CD">
        <w:t xml:space="preserve"> fiskal</w:t>
      </w:r>
      <w:r w:rsidR="00D479A9" w:rsidRPr="00DC66CD">
        <w:t>e</w:t>
      </w:r>
      <w:r w:rsidRPr="00DC66CD">
        <w:t>) të LOB</w:t>
      </w:r>
      <w:r w:rsidR="00D479A9" w:rsidRPr="00DC66CD">
        <w:t>-së</w:t>
      </w:r>
      <w:r w:rsidRPr="00DC66CD">
        <w:t>, kuadri 2021</w:t>
      </w:r>
      <w:r w:rsidR="00D479A9" w:rsidRPr="00DC66CD">
        <w:t>–</w:t>
      </w:r>
      <w:r w:rsidRPr="00DC66CD">
        <w:rPr>
          <w:i/>
        </w:rPr>
        <w:t xml:space="preserve">2023 </w:t>
      </w:r>
      <w:r w:rsidRPr="00DC66CD">
        <w:rPr>
          <w:b/>
          <w:i/>
        </w:rPr>
        <w:t>nuk përfshin të hyra nga privatizimet e mundshme.</w:t>
      </w:r>
    </w:p>
    <w:p w14:paraId="35105069" w14:textId="37278F22" w:rsidR="00151420" w:rsidRPr="00DC66CD" w:rsidRDefault="00151420" w:rsidP="00151420">
      <w:pPr>
        <w:pStyle w:val="TEKSTIIII"/>
        <w:rPr>
          <w:i/>
        </w:rPr>
      </w:pPr>
      <w:r w:rsidRPr="00DC66CD">
        <w:rPr>
          <w:i/>
        </w:rPr>
        <w:t>5. Masa e deficitit buxhetor nuk mund të tejkalojë masën e shpenzimeve kapitale të parashikuara çdo vit në ligjin e buxhetit.</w:t>
      </w:r>
    </w:p>
    <w:p w14:paraId="17B124CD" w14:textId="68B9B790" w:rsidR="00151420" w:rsidRPr="00DC66CD" w:rsidRDefault="00151420" w:rsidP="00151420">
      <w:pPr>
        <w:pStyle w:val="TEKSTIIII"/>
      </w:pPr>
      <w:r w:rsidRPr="00DC66CD">
        <w:t>Në përputhje me këtë dispozitë (rregull</w:t>
      </w:r>
      <w:r w:rsidR="00D479A9" w:rsidRPr="00DC66CD">
        <w:t>a</w:t>
      </w:r>
      <w:r w:rsidRPr="00DC66CD">
        <w:t xml:space="preserve"> fiskal</w:t>
      </w:r>
      <w:r w:rsidR="00D479A9" w:rsidRPr="00DC66CD">
        <w:t>e</w:t>
      </w:r>
      <w:r w:rsidRPr="00DC66CD">
        <w:t xml:space="preserve"> – </w:t>
      </w:r>
      <w:r w:rsidR="002A29AD" w:rsidRPr="00DC66CD">
        <w:t>“</w:t>
      </w:r>
      <w:r w:rsidRPr="00DC66CD">
        <w:t>rregull</w:t>
      </w:r>
      <w:r w:rsidR="00D479A9" w:rsidRPr="00DC66CD">
        <w:t>a</w:t>
      </w:r>
      <w:r w:rsidRPr="00DC66CD">
        <w:t xml:space="preserve"> </w:t>
      </w:r>
      <w:r w:rsidR="00D479A9" w:rsidRPr="00DC66CD">
        <w:t>e</w:t>
      </w:r>
      <w:r w:rsidRPr="00DC66CD">
        <w:t xml:space="preserve"> artë</w:t>
      </w:r>
      <w:r w:rsidR="002A29AD" w:rsidRPr="00DC66CD">
        <w:t>”</w:t>
      </w:r>
      <w:r w:rsidRPr="00DC66CD">
        <w:t>) të LOB</w:t>
      </w:r>
      <w:r w:rsidR="00BE6599" w:rsidRPr="00DC66CD">
        <w:t>-së</w:t>
      </w:r>
      <w:r w:rsidRPr="00DC66CD">
        <w:t>, deficiti i targetuar në kuadrin 2021</w:t>
      </w:r>
      <w:r w:rsidR="00997C82" w:rsidRPr="00DC66CD">
        <w:t>–</w:t>
      </w:r>
      <w:r w:rsidRPr="00DC66CD">
        <w:t>2023</w:t>
      </w:r>
      <w:r w:rsidRPr="00DC66CD">
        <w:rPr>
          <w:b/>
          <w:i/>
        </w:rPr>
        <w:t xml:space="preserve"> është çdo vit më i ulët se sa shpenzimet kapitale të planifikuara.</w:t>
      </w:r>
      <w:r w:rsidRPr="00DC66CD">
        <w:t xml:space="preserve"> Rrjedhimisht, balanca korrente e targetuar është pozitive prej mesatarisht 3 për</w:t>
      </w:r>
      <w:r w:rsidR="00997C82" w:rsidRPr="00DC66CD">
        <w:t xml:space="preserve"> </w:t>
      </w:r>
      <w:r w:rsidRPr="00DC66CD">
        <w:t>qind të PBB</w:t>
      </w:r>
      <w:r w:rsidR="00997C82" w:rsidRPr="00DC66CD">
        <w:t>-së</w:t>
      </w:r>
      <w:r w:rsidRPr="00DC66CD">
        <w:t xml:space="preserve"> në çdo vit të programuar.</w:t>
      </w:r>
    </w:p>
    <w:p w14:paraId="1E0FBC55" w14:textId="77777777" w:rsidR="00622FA2" w:rsidRPr="00DC66CD" w:rsidRDefault="00622FA2" w:rsidP="00151420">
      <w:pPr>
        <w:pStyle w:val="TEKSTIIII"/>
      </w:pPr>
    </w:p>
    <w:p w14:paraId="36EAD78D" w14:textId="35470ADD" w:rsidR="00622FA2" w:rsidRPr="00DC66CD" w:rsidRDefault="00622FA2" w:rsidP="00622FA2">
      <w:pPr>
        <w:pStyle w:val="TEKSTIIII"/>
        <w:rPr>
          <w:b/>
        </w:rPr>
      </w:pPr>
      <w:bookmarkStart w:id="13" w:name="_Toc484076174"/>
      <w:bookmarkStart w:id="14" w:name="_Toc30661218"/>
      <w:r w:rsidRPr="00DC66CD">
        <w:rPr>
          <w:b/>
        </w:rPr>
        <w:t>4.2 Implementimi i buxhetit për vitin 201</w:t>
      </w:r>
      <w:bookmarkEnd w:id="13"/>
      <w:r w:rsidRPr="00DC66CD">
        <w:rPr>
          <w:b/>
        </w:rPr>
        <w:t>9</w:t>
      </w:r>
      <w:bookmarkEnd w:id="14"/>
    </w:p>
    <w:p w14:paraId="661B3FC6" w14:textId="7266E83E" w:rsidR="00622FA2" w:rsidRPr="00DC66CD" w:rsidRDefault="00622FA2" w:rsidP="00622FA2">
      <w:pPr>
        <w:pStyle w:val="TEKSTIIII"/>
        <w:rPr>
          <w:b/>
        </w:rPr>
      </w:pPr>
      <w:r w:rsidRPr="00DC66CD">
        <w:rPr>
          <w:b/>
        </w:rPr>
        <w:t>Ecuria e treguesve kryesorë t</w:t>
      </w:r>
      <w:r w:rsidR="005E6738" w:rsidRPr="00DC66CD">
        <w:rPr>
          <w:b/>
        </w:rPr>
        <w:t>ë</w:t>
      </w:r>
      <w:r w:rsidRPr="00DC66CD">
        <w:rPr>
          <w:b/>
        </w:rPr>
        <w:t xml:space="preserve"> shpenzimeve buxhetore për periudhën janar–nëntor 2019</w:t>
      </w:r>
    </w:p>
    <w:p w14:paraId="13EBB79C" w14:textId="41E7B3AC" w:rsidR="00622FA2" w:rsidRPr="00DC66CD" w:rsidRDefault="00622FA2" w:rsidP="00622FA2">
      <w:pPr>
        <w:pStyle w:val="TEKSTIIII"/>
      </w:pPr>
      <w:r w:rsidRPr="00DC66CD">
        <w:t>Shpenzimet e përgjithshme publike</w:t>
      </w:r>
      <w:r w:rsidR="00997C82" w:rsidRPr="00DC66CD">
        <w:t>,</w:t>
      </w:r>
      <w:r w:rsidRPr="00DC66CD">
        <w:t xml:space="preserve"> për muajin e njëmbëdhjetë të vitit 2019, arritën në 431.95 miliard </w:t>
      </w:r>
      <w:r w:rsidR="00997C82" w:rsidRPr="00DC66CD">
        <w:t xml:space="preserve">lekë </w:t>
      </w:r>
      <w:r w:rsidRPr="00DC66CD">
        <w:t>me një realizim në masën 94.6 për</w:t>
      </w:r>
      <w:r w:rsidR="00997C82" w:rsidRPr="00DC66CD">
        <w:t xml:space="preserve"> </w:t>
      </w:r>
      <w:r w:rsidRPr="00DC66CD">
        <w:t>qind të planit të periudhës. Ndërkohë që, krahasuar me të njëjtën periudhë të vitit 2018, ky zë ka rezultuar 5.7 për</w:t>
      </w:r>
      <w:r w:rsidR="00997C82" w:rsidRPr="00DC66CD">
        <w:t xml:space="preserve"> </w:t>
      </w:r>
      <w:r w:rsidRPr="00DC66CD">
        <w:t>qind më i lartë ose 23.3 miliard</w:t>
      </w:r>
      <w:r w:rsidR="00997C82" w:rsidRPr="00DC66CD">
        <w:t>ë</w:t>
      </w:r>
      <w:r w:rsidRPr="00DC66CD">
        <w:t xml:space="preserve"> </w:t>
      </w:r>
      <w:r w:rsidR="00997C82" w:rsidRPr="00DC66CD">
        <w:t xml:space="preserve">lekë </w:t>
      </w:r>
      <w:r w:rsidRPr="00DC66CD">
        <w:t xml:space="preserve">më shumë. </w:t>
      </w:r>
    </w:p>
    <w:p w14:paraId="54EFA819" w14:textId="07DA6AF6" w:rsidR="00622FA2" w:rsidRPr="00DC66CD" w:rsidRDefault="00622FA2" w:rsidP="00622FA2">
      <w:pPr>
        <w:pStyle w:val="TEKSTIIII"/>
      </w:pPr>
      <w:r w:rsidRPr="00DC66CD">
        <w:t>Në terma vjetor</w:t>
      </w:r>
      <w:r w:rsidR="00997C82" w:rsidRPr="00DC66CD">
        <w:t>ë</w:t>
      </w:r>
      <w:r w:rsidRPr="00DC66CD">
        <w:t>, shpenzimet e përgjithshme për 11</w:t>
      </w:r>
      <w:r w:rsidR="00997C82" w:rsidRPr="00DC66CD">
        <w:t>-</w:t>
      </w:r>
      <w:r w:rsidRPr="00DC66CD">
        <w:t>mujorin e vitit 2019 u realizuan në masën 83.1 për</w:t>
      </w:r>
      <w:r w:rsidR="00997C82" w:rsidRPr="00DC66CD">
        <w:t xml:space="preserve"> </w:t>
      </w:r>
      <w:r w:rsidRPr="00DC66CD">
        <w:t>qind të planit vjetor</w:t>
      </w:r>
      <w:r w:rsidR="00997C82" w:rsidRPr="00DC66CD">
        <w:t>,</w:t>
      </w:r>
      <w:r w:rsidRPr="00DC66CD">
        <w:t xml:space="preserve"> </w:t>
      </w:r>
      <w:r w:rsidR="00997C82" w:rsidRPr="00DC66CD">
        <w:t>sipas buxhetit fillestar dhe aktit normativ</w:t>
      </w:r>
      <w:r w:rsidR="00E33D88" w:rsidRPr="00DC66CD">
        <w:t xml:space="preserve"> nr. </w:t>
      </w:r>
      <w:r w:rsidRPr="00DC66CD">
        <w:t>2</w:t>
      </w:r>
      <w:r w:rsidR="00997C82" w:rsidRPr="00DC66CD">
        <w:t>,</w:t>
      </w:r>
      <w:r w:rsidRPr="00DC66CD">
        <w:t xml:space="preserve"> datë 2.10.2019</w:t>
      </w:r>
      <w:r w:rsidR="00997C82" w:rsidRPr="00DC66CD">
        <w:t>,</w:t>
      </w:r>
      <w:r w:rsidRPr="00DC66CD">
        <w:t xml:space="preserve"> (AN2). </w:t>
      </w:r>
    </w:p>
    <w:p w14:paraId="0910AB6A" w14:textId="77777777" w:rsidR="00622FA2" w:rsidRPr="00DC66CD" w:rsidRDefault="00622FA2" w:rsidP="00622FA2">
      <w:pPr>
        <w:pStyle w:val="TEKSTIIII"/>
      </w:pPr>
    </w:p>
    <w:p w14:paraId="5F8CBD4D" w14:textId="6C8150E3" w:rsidR="00622FA2" w:rsidRPr="00DC66CD" w:rsidRDefault="00997C82" w:rsidP="00622FA2">
      <w:pPr>
        <w:pStyle w:val="TEKSTIIII"/>
        <w:rPr>
          <w:i/>
        </w:rPr>
      </w:pPr>
      <w:r w:rsidRPr="00DC66CD">
        <w:rPr>
          <w:i/>
        </w:rPr>
        <w:t>Grafiku 4.2.1</w:t>
      </w:r>
      <w:r w:rsidR="00622FA2" w:rsidRPr="00DC66CD">
        <w:rPr>
          <w:i/>
        </w:rPr>
        <w:t xml:space="preserve"> Shpenzimet e përgjithshme dhe ritmi i rritjes së tyre (në miliard </w:t>
      </w:r>
      <w:r w:rsidRPr="00DC66CD">
        <w:rPr>
          <w:i/>
        </w:rPr>
        <w:t>lek</w:t>
      </w:r>
      <w:r w:rsidR="00622FA2" w:rsidRPr="00DC66CD">
        <w:rPr>
          <w:i/>
        </w:rPr>
        <w:t xml:space="preserve">) </w:t>
      </w:r>
    </w:p>
    <w:p w14:paraId="5CB8C1AC" w14:textId="1B13D260" w:rsidR="00622FA2" w:rsidRPr="00DC66CD" w:rsidRDefault="00323F96" w:rsidP="00997C82">
      <w:pPr>
        <w:pStyle w:val="TEKSTIIII"/>
        <w:jc w:val="center"/>
      </w:pPr>
      <w:r w:rsidRPr="00DC66CD">
        <w:rPr>
          <w:rFonts w:ascii="Times New Roman" w:hAnsi="Times New Roman"/>
          <w:i/>
          <w:noProof/>
          <w:lang w:val="en-US" w:eastAsia="en-US"/>
        </w:rPr>
        <w:drawing>
          <wp:inline distT="0" distB="0" distL="0" distR="0" wp14:anchorId="627A655F" wp14:editId="0C8FC5B5">
            <wp:extent cx="4639310" cy="2468880"/>
            <wp:effectExtent l="0" t="0" r="889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39310" cy="2468880"/>
                    </a:xfrm>
                    <a:prstGeom prst="rect">
                      <a:avLst/>
                    </a:prstGeom>
                    <a:noFill/>
                  </pic:spPr>
                </pic:pic>
              </a:graphicData>
            </a:graphic>
          </wp:inline>
        </w:drawing>
      </w:r>
    </w:p>
    <w:p w14:paraId="6C462C83" w14:textId="77777777" w:rsidR="005C7DB5" w:rsidRPr="00DC66CD" w:rsidRDefault="005C7DB5" w:rsidP="00622FA2">
      <w:pPr>
        <w:pStyle w:val="TEKSTIIII"/>
      </w:pPr>
    </w:p>
    <w:p w14:paraId="6FE86FE0" w14:textId="579E980B" w:rsidR="005C7DB5" w:rsidRPr="00DC66CD" w:rsidRDefault="005C7DB5" w:rsidP="005C7DB5">
      <w:pPr>
        <w:pStyle w:val="TEKSTIIII"/>
      </w:pPr>
      <w:r w:rsidRPr="00DC66CD">
        <w:rPr>
          <w:b/>
        </w:rPr>
        <w:t>Shpenzimet kor</w:t>
      </w:r>
      <w:r w:rsidR="00997C82" w:rsidRPr="00DC66CD">
        <w:rPr>
          <w:b/>
        </w:rPr>
        <w:t>r</w:t>
      </w:r>
      <w:r w:rsidRPr="00DC66CD">
        <w:rPr>
          <w:b/>
        </w:rPr>
        <w:t>ente dhe ato kapitale</w:t>
      </w:r>
      <w:r w:rsidRPr="00DC66CD">
        <w:t>, kanë shënuar një realizim respektivisht në masën 98 për</w:t>
      </w:r>
      <w:r w:rsidR="00997C82" w:rsidRPr="00DC66CD">
        <w:t xml:space="preserve"> </w:t>
      </w:r>
      <w:r w:rsidRPr="00DC66CD">
        <w:t>qind dhe 78.6 për</w:t>
      </w:r>
      <w:r w:rsidR="00997C82" w:rsidRPr="00DC66CD">
        <w:t xml:space="preserve"> </w:t>
      </w:r>
      <w:r w:rsidRPr="00DC66CD">
        <w:t xml:space="preserve">qind të planit të periudhës. Ndërkohë që, </w:t>
      </w:r>
      <w:r w:rsidRPr="00DC66CD">
        <w:rPr>
          <w:i/>
        </w:rPr>
        <w:t>në terma vjetorë</w:t>
      </w:r>
      <w:r w:rsidR="00997C82" w:rsidRPr="00DC66CD">
        <w:rPr>
          <w:i/>
        </w:rPr>
        <w:t>,</w:t>
      </w:r>
      <w:r w:rsidRPr="00DC66CD">
        <w:t xml:space="preserve"> ato janë realizuar përkatësisht:</w:t>
      </w:r>
    </w:p>
    <w:p w14:paraId="4318D31F" w14:textId="6B43710E" w:rsidR="005C7DB5" w:rsidRPr="00DC66CD" w:rsidRDefault="005C7DB5" w:rsidP="005C7DB5">
      <w:pPr>
        <w:pStyle w:val="TEKSTIIII"/>
      </w:pPr>
      <w:r w:rsidRPr="00DC66CD">
        <w:t>-</w:t>
      </w:r>
      <w:r w:rsidR="00997C82" w:rsidRPr="00DC66CD">
        <w:t xml:space="preserve"> shpenzimet </w:t>
      </w:r>
      <w:r w:rsidRPr="00DC66CD">
        <w:t>kor</w:t>
      </w:r>
      <w:r w:rsidR="00997C82" w:rsidRPr="00DC66CD">
        <w:t>r</w:t>
      </w:r>
      <w:r w:rsidRPr="00DC66CD">
        <w:t>ente 88.3 për</w:t>
      </w:r>
      <w:r w:rsidR="00997C82" w:rsidRPr="00DC66CD">
        <w:t xml:space="preserve"> </w:t>
      </w:r>
      <w:r w:rsidRPr="00DC66CD">
        <w:t>qind të planit vjetor</w:t>
      </w:r>
      <w:r w:rsidR="00997C82" w:rsidRPr="00DC66CD">
        <w:t>,</w:t>
      </w:r>
      <w:r w:rsidRPr="00DC66CD">
        <w:t xml:space="preserve"> sipas </w:t>
      </w:r>
      <w:r w:rsidR="00997C82" w:rsidRPr="00DC66CD">
        <w:t xml:space="preserve">buxhetit </w:t>
      </w:r>
      <w:r w:rsidRPr="00DC66CD">
        <w:t>fillestar dhe 87.8 për</w:t>
      </w:r>
      <w:r w:rsidR="00997C82" w:rsidRPr="00DC66CD">
        <w:t xml:space="preserve"> </w:t>
      </w:r>
      <w:r w:rsidRPr="00DC66CD">
        <w:t>qind</w:t>
      </w:r>
      <w:r w:rsidR="00997C82" w:rsidRPr="00DC66CD">
        <w:t>,</w:t>
      </w:r>
      <w:r w:rsidRPr="00DC66CD">
        <w:t xml:space="preserve"> sipas AN2</w:t>
      </w:r>
      <w:r w:rsidR="00997C82" w:rsidRPr="00DC66CD">
        <w:t>;</w:t>
      </w:r>
    </w:p>
    <w:p w14:paraId="2A6811B9" w14:textId="49664528" w:rsidR="005C7DB5" w:rsidRPr="00DC66CD" w:rsidRDefault="005C7DB5" w:rsidP="005C7DB5">
      <w:pPr>
        <w:pStyle w:val="TEKSTIIII"/>
      </w:pPr>
      <w:r w:rsidRPr="00DC66CD">
        <w:t>-</w:t>
      </w:r>
      <w:r w:rsidR="00997C82" w:rsidRPr="00DC66CD">
        <w:t xml:space="preserve"> shpenzimet </w:t>
      </w:r>
      <w:r w:rsidRPr="00DC66CD">
        <w:t>kapitale 61.5 për</w:t>
      </w:r>
      <w:r w:rsidR="00997C82" w:rsidRPr="00DC66CD">
        <w:t xml:space="preserve"> </w:t>
      </w:r>
      <w:r w:rsidRPr="00DC66CD">
        <w:t>qind të planit vjetor</w:t>
      </w:r>
      <w:r w:rsidR="00997C82" w:rsidRPr="00DC66CD">
        <w:t>,</w:t>
      </w:r>
      <w:r w:rsidRPr="00DC66CD">
        <w:t xml:space="preserve"> sipas </w:t>
      </w:r>
      <w:r w:rsidR="00997C82" w:rsidRPr="00DC66CD">
        <w:t xml:space="preserve">buxhetit </w:t>
      </w:r>
      <w:r w:rsidRPr="00DC66CD">
        <w:t>fillestar dhe 63.6 për</w:t>
      </w:r>
      <w:r w:rsidR="00997C82" w:rsidRPr="00DC66CD">
        <w:t xml:space="preserve"> </w:t>
      </w:r>
      <w:r w:rsidRPr="00DC66CD">
        <w:t>qind sipas AN2.</w:t>
      </w:r>
    </w:p>
    <w:p w14:paraId="4A512707" w14:textId="0C3EFCB8" w:rsidR="005C7DB5" w:rsidRPr="00DC66CD" w:rsidRDefault="00997C82" w:rsidP="005C7DB5">
      <w:pPr>
        <w:pStyle w:val="TEKSTIIII"/>
      </w:pPr>
      <w:r w:rsidRPr="00DC66CD">
        <w:rPr>
          <w:i/>
        </w:rPr>
        <w:t>Grafiku 4.2.2</w:t>
      </w:r>
      <w:r w:rsidR="005C7DB5" w:rsidRPr="00DC66CD">
        <w:rPr>
          <w:i/>
        </w:rPr>
        <w:t xml:space="preserve"> Shpenzimet ko</w:t>
      </w:r>
      <w:r w:rsidRPr="00DC66CD">
        <w:rPr>
          <w:i/>
        </w:rPr>
        <w:t>r</w:t>
      </w:r>
      <w:r w:rsidR="005C7DB5" w:rsidRPr="00DC66CD">
        <w:rPr>
          <w:i/>
        </w:rPr>
        <w:t xml:space="preserve">rente dhe kapitale </w:t>
      </w:r>
      <w:r w:rsidRPr="00DC66CD">
        <w:rPr>
          <w:i/>
        </w:rPr>
        <w:t>plan vs fakt</w:t>
      </w:r>
      <w:r w:rsidR="005C7DB5" w:rsidRPr="00DC66CD">
        <w:rPr>
          <w:i/>
        </w:rPr>
        <w:t xml:space="preserve"> 11</w:t>
      </w:r>
      <w:r w:rsidRPr="00DC66CD">
        <w:rPr>
          <w:i/>
        </w:rPr>
        <w:t>-</w:t>
      </w:r>
      <w:r w:rsidR="005C7DB5" w:rsidRPr="00DC66CD">
        <w:rPr>
          <w:i/>
        </w:rPr>
        <w:t>mujor</w:t>
      </w:r>
      <w:r w:rsidRPr="00DC66CD">
        <w:rPr>
          <w:i/>
        </w:rPr>
        <w:t xml:space="preserve"> </w:t>
      </w:r>
      <w:r w:rsidR="005C7DB5" w:rsidRPr="00DC66CD">
        <w:rPr>
          <w:i/>
        </w:rPr>
        <w:t xml:space="preserve">(në miliard </w:t>
      </w:r>
      <w:r w:rsidRPr="00DC66CD">
        <w:rPr>
          <w:i/>
        </w:rPr>
        <w:t>lek</w:t>
      </w:r>
      <w:r w:rsidR="005C7DB5" w:rsidRPr="00DC66CD">
        <w:rPr>
          <w:i/>
        </w:rPr>
        <w:t xml:space="preserve">) </w:t>
      </w:r>
    </w:p>
    <w:p w14:paraId="5B2685D0" w14:textId="2FD1D8C3" w:rsidR="005C7DB5" w:rsidRPr="00DC66CD" w:rsidRDefault="00D72D97" w:rsidP="0061254E">
      <w:pPr>
        <w:pStyle w:val="TEKSTIIII"/>
        <w:jc w:val="center"/>
      </w:pPr>
      <w:r w:rsidRPr="00DC66CD">
        <w:rPr>
          <w:rFonts w:ascii="Times New Roman" w:hAnsi="Times New Roman"/>
          <w:noProof/>
          <w:lang w:val="en-US" w:eastAsia="en-US"/>
        </w:rPr>
        <w:drawing>
          <wp:inline distT="0" distB="0" distL="0" distR="0" wp14:anchorId="20758510" wp14:editId="577E7095">
            <wp:extent cx="3307742" cy="2149725"/>
            <wp:effectExtent l="0" t="0" r="698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10259" cy="2151361"/>
                    </a:xfrm>
                    <a:prstGeom prst="rect">
                      <a:avLst/>
                    </a:prstGeom>
                    <a:noFill/>
                  </pic:spPr>
                </pic:pic>
              </a:graphicData>
            </a:graphic>
          </wp:inline>
        </w:drawing>
      </w:r>
    </w:p>
    <w:p w14:paraId="627B4AE2" w14:textId="77777777" w:rsidR="0061254E" w:rsidRPr="00DC66CD" w:rsidRDefault="0061254E" w:rsidP="0061254E">
      <w:pPr>
        <w:pStyle w:val="TEKSTIIII"/>
        <w:rPr>
          <w:i/>
        </w:rPr>
      </w:pPr>
      <w:r w:rsidRPr="00DC66CD">
        <w:rPr>
          <w:i/>
        </w:rPr>
        <w:t>Burimi: Ministria e Financave dhe Ekonomisë</w:t>
      </w:r>
    </w:p>
    <w:p w14:paraId="7BD340EA" w14:textId="77777777" w:rsidR="0061254E" w:rsidRPr="00DC66CD" w:rsidRDefault="0061254E" w:rsidP="0061254E">
      <w:pPr>
        <w:pStyle w:val="TEKSTIIII"/>
        <w:ind w:firstLine="0"/>
      </w:pPr>
    </w:p>
    <w:p w14:paraId="0B3D0CD1" w14:textId="13732C48" w:rsidR="0061254E" w:rsidRPr="00DC66CD" w:rsidRDefault="00997C82" w:rsidP="0061254E">
      <w:pPr>
        <w:pStyle w:val="TEKSTIIII"/>
      </w:pPr>
      <w:r w:rsidRPr="00DC66CD">
        <w:t>Tabela 4.2.1</w:t>
      </w:r>
      <w:r w:rsidR="0061254E" w:rsidRPr="00DC66CD">
        <w:t xml:space="preserve"> Treguesi</w:t>
      </w:r>
      <w:r w:rsidRPr="00DC66CD">
        <w:t>t fiskalë të konsoliduar për 11-</w:t>
      </w:r>
      <w:r w:rsidR="0061254E" w:rsidRPr="00DC66CD">
        <w:t xml:space="preserve">mujorin e vitit 2019 (në milion </w:t>
      </w:r>
      <w:r w:rsidRPr="00DC66CD">
        <w:t>lek</w:t>
      </w:r>
      <w:r w:rsidR="0061254E" w:rsidRPr="00DC66CD">
        <w:t>)</w:t>
      </w:r>
    </w:p>
    <w:p w14:paraId="18893321" w14:textId="2794FBFF" w:rsidR="0061254E" w:rsidRPr="00DC66CD" w:rsidRDefault="00EE60A7" w:rsidP="00997C82">
      <w:pPr>
        <w:pStyle w:val="TEKSTIIII"/>
        <w:jc w:val="center"/>
      </w:pPr>
      <w:r w:rsidRPr="00DC66CD">
        <w:rPr>
          <w:rFonts w:ascii="Times New Roman" w:hAnsi="Times New Roman"/>
          <w:noProof/>
          <w:lang w:val="en-US" w:eastAsia="en-US"/>
        </w:rPr>
        <w:drawing>
          <wp:inline distT="0" distB="0" distL="0" distR="0" wp14:anchorId="1994313E" wp14:editId="4D3EA8BA">
            <wp:extent cx="5755640" cy="109145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5640" cy="1091453"/>
                    </a:xfrm>
                    <a:prstGeom prst="rect">
                      <a:avLst/>
                    </a:prstGeom>
                    <a:noFill/>
                    <a:ln>
                      <a:noFill/>
                    </a:ln>
                  </pic:spPr>
                </pic:pic>
              </a:graphicData>
            </a:graphic>
          </wp:inline>
        </w:drawing>
      </w:r>
    </w:p>
    <w:p w14:paraId="0E58E2D4" w14:textId="77777777" w:rsidR="00EE60A7" w:rsidRPr="00DC66CD" w:rsidRDefault="00EE60A7" w:rsidP="00EE60A7">
      <w:pPr>
        <w:pStyle w:val="TEKSTIIII"/>
        <w:rPr>
          <w:i/>
        </w:rPr>
      </w:pPr>
      <w:r w:rsidRPr="00DC66CD">
        <w:rPr>
          <w:i/>
        </w:rPr>
        <w:t>Burimi: Ministria e Financave dhe Ekonomisë</w:t>
      </w:r>
    </w:p>
    <w:p w14:paraId="03028B87" w14:textId="77777777" w:rsidR="00EE60A7" w:rsidRPr="00DC66CD" w:rsidRDefault="00EE60A7" w:rsidP="00EE60A7">
      <w:pPr>
        <w:pStyle w:val="TEKSTIIII"/>
      </w:pPr>
    </w:p>
    <w:p w14:paraId="13AF697A" w14:textId="141D19DD" w:rsidR="00EE60A7" w:rsidRPr="00DC66CD" w:rsidRDefault="00EE60A7" w:rsidP="00EE60A7">
      <w:pPr>
        <w:pStyle w:val="TEKSTIIII"/>
      </w:pPr>
      <w:r w:rsidRPr="00DC66CD">
        <w:t>Tabela 4.2.2 Treguesit fiskalë të konsoliduar për 11</w:t>
      </w:r>
      <w:r w:rsidR="00997C82" w:rsidRPr="00DC66CD">
        <w:t>-</w:t>
      </w:r>
      <w:r w:rsidRPr="00DC66CD">
        <w:t xml:space="preserve">mujorin e vitit 2018 dhe 2019 (në milion </w:t>
      </w:r>
      <w:r w:rsidR="00997C82" w:rsidRPr="00DC66CD">
        <w:t>lek)</w:t>
      </w:r>
    </w:p>
    <w:p w14:paraId="47A1341C" w14:textId="784DD37A" w:rsidR="00EE60A7" w:rsidRPr="00DC66CD" w:rsidRDefault="00EE60A7" w:rsidP="00997C82">
      <w:pPr>
        <w:pStyle w:val="TEKSTIIII"/>
        <w:jc w:val="center"/>
      </w:pPr>
      <w:r w:rsidRPr="00DC66CD">
        <w:rPr>
          <w:rFonts w:ascii="Times New Roman" w:hAnsi="Times New Roman"/>
          <w:noProof/>
          <w:lang w:val="en-US" w:eastAsia="en-US"/>
        </w:rPr>
        <w:drawing>
          <wp:inline distT="0" distB="0" distL="0" distR="0" wp14:anchorId="5CB6E435" wp14:editId="05F058D8">
            <wp:extent cx="5755640" cy="112725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5640" cy="1127258"/>
                    </a:xfrm>
                    <a:prstGeom prst="rect">
                      <a:avLst/>
                    </a:prstGeom>
                    <a:noFill/>
                    <a:ln>
                      <a:noFill/>
                    </a:ln>
                  </pic:spPr>
                </pic:pic>
              </a:graphicData>
            </a:graphic>
          </wp:inline>
        </w:drawing>
      </w:r>
    </w:p>
    <w:p w14:paraId="1DDAB91B" w14:textId="77777777" w:rsidR="00F603D0" w:rsidRPr="00DC66CD" w:rsidRDefault="00F603D0" w:rsidP="00F603D0">
      <w:pPr>
        <w:pStyle w:val="TEKSTIIII"/>
        <w:rPr>
          <w:i/>
        </w:rPr>
      </w:pPr>
      <w:r w:rsidRPr="00DC66CD">
        <w:rPr>
          <w:i/>
        </w:rPr>
        <w:t>Burimi: Ministria e Financave dhe Ekonomisë</w:t>
      </w:r>
    </w:p>
    <w:p w14:paraId="6AFC0AE9" w14:textId="77777777" w:rsidR="00F603D0" w:rsidRPr="00DC66CD" w:rsidRDefault="00F603D0" w:rsidP="00F603D0">
      <w:pPr>
        <w:pStyle w:val="TEKSTIIII"/>
        <w:rPr>
          <w:b/>
        </w:rPr>
      </w:pPr>
    </w:p>
    <w:p w14:paraId="623B7F22" w14:textId="4BA1B167" w:rsidR="00F603D0" w:rsidRPr="00DC66CD" w:rsidRDefault="00F603D0" w:rsidP="00F603D0">
      <w:pPr>
        <w:pStyle w:val="TEKSTIIII"/>
      </w:pPr>
      <w:r w:rsidRPr="00DC66CD">
        <w:rPr>
          <w:b/>
        </w:rPr>
        <w:t>Shpenzimet kor</w:t>
      </w:r>
      <w:r w:rsidR="00997C82" w:rsidRPr="00DC66CD">
        <w:rPr>
          <w:b/>
        </w:rPr>
        <w:t>r</w:t>
      </w:r>
      <w:r w:rsidRPr="00DC66CD">
        <w:rPr>
          <w:b/>
        </w:rPr>
        <w:t>ente</w:t>
      </w:r>
      <w:r w:rsidR="00997C82" w:rsidRPr="00DC66CD">
        <w:rPr>
          <w:b/>
        </w:rPr>
        <w:t>,</w:t>
      </w:r>
      <w:r w:rsidRPr="00DC66CD">
        <w:t xml:space="preserve"> për periudhën 11</w:t>
      </w:r>
      <w:r w:rsidR="00997C82" w:rsidRPr="00DC66CD">
        <w:t>-</w:t>
      </w:r>
      <w:r w:rsidRPr="00DC66CD">
        <w:t>mujore të vitit 2019</w:t>
      </w:r>
      <w:r w:rsidR="00997C82" w:rsidRPr="00DC66CD">
        <w:t>,</w:t>
      </w:r>
      <w:r w:rsidRPr="00DC66CD">
        <w:t xml:space="preserve"> rezultuan në rreth 376.2 miliard</w:t>
      </w:r>
      <w:r w:rsidR="00997C82" w:rsidRPr="00DC66CD">
        <w:t>ë</w:t>
      </w:r>
      <w:r w:rsidRPr="00DC66CD">
        <w:t xml:space="preserve"> </w:t>
      </w:r>
      <w:r w:rsidR="00997C82" w:rsidRPr="00DC66CD">
        <w:t>lekë</w:t>
      </w:r>
      <w:r w:rsidRPr="00DC66CD">
        <w:t>, ndërsa krahasuar me të njëjtën periudhë të një viti më parë</w:t>
      </w:r>
      <w:r w:rsidR="00997C82" w:rsidRPr="00DC66CD">
        <w:t>,</w:t>
      </w:r>
      <w:r w:rsidRPr="00DC66CD">
        <w:t xml:space="preserve"> ky zë ka rezultuar 7.2 për</w:t>
      </w:r>
      <w:r w:rsidR="00997C82" w:rsidRPr="00DC66CD">
        <w:t xml:space="preserve"> </w:t>
      </w:r>
      <w:r w:rsidRPr="00DC66CD">
        <w:t xml:space="preserve">qind më i lartë ose rreth 25.2 miliard </w:t>
      </w:r>
      <w:r w:rsidR="00997C82" w:rsidRPr="00DC66CD">
        <w:t xml:space="preserve">lek </w:t>
      </w:r>
      <w:r w:rsidRPr="00DC66CD">
        <w:t>më shumë. Shpenzimet kor</w:t>
      </w:r>
      <w:r w:rsidR="00997C82" w:rsidRPr="00DC66CD">
        <w:t>r</w:t>
      </w:r>
      <w:r w:rsidRPr="00DC66CD">
        <w:t>ente</w:t>
      </w:r>
      <w:r w:rsidR="00997C82" w:rsidRPr="00DC66CD">
        <w:t>,</w:t>
      </w:r>
      <w:r w:rsidRPr="00DC66CD">
        <w:t xml:space="preserve"> për muajin e njëmbëdhjetë të vitit 2019</w:t>
      </w:r>
      <w:r w:rsidR="00997C82" w:rsidRPr="00DC66CD">
        <w:t>,</w:t>
      </w:r>
      <w:r w:rsidRPr="00DC66CD">
        <w:t xml:space="preserve"> zënë 87.1 për</w:t>
      </w:r>
      <w:r w:rsidR="00997C82" w:rsidRPr="00DC66CD">
        <w:t xml:space="preserve"> </w:t>
      </w:r>
      <w:r w:rsidRPr="00DC66CD">
        <w:t>qind të totalit të shpenzimeve</w:t>
      </w:r>
      <w:r w:rsidR="00997C82" w:rsidRPr="00DC66CD">
        <w:t>,</w:t>
      </w:r>
      <w:r w:rsidRPr="00DC66CD">
        <w:t xml:space="preserve"> ndërkohë që krahasuar me PBB</w:t>
      </w:r>
      <w:r w:rsidR="00997C82" w:rsidRPr="00DC66CD">
        <w:t>-në</w:t>
      </w:r>
      <w:r w:rsidRPr="00DC66CD">
        <w:t xml:space="preserve"> zënë 21 për</w:t>
      </w:r>
      <w:r w:rsidR="00997C82" w:rsidRPr="00DC66CD">
        <w:t xml:space="preserve"> </w:t>
      </w:r>
      <w:r w:rsidRPr="00DC66CD">
        <w:t>qind. Për shpenzimet kor</w:t>
      </w:r>
      <w:r w:rsidR="00997C82" w:rsidRPr="00DC66CD">
        <w:t>r</w:t>
      </w:r>
      <w:r w:rsidRPr="00DC66CD">
        <w:t>ente, për periudhën 11</w:t>
      </w:r>
      <w:r w:rsidR="00997C82" w:rsidRPr="00DC66CD">
        <w:t>-</w:t>
      </w:r>
      <w:r w:rsidRPr="00DC66CD">
        <w:t>mujore, niveli mesatar ndër vite kundrejt PBB</w:t>
      </w:r>
      <w:r w:rsidR="00997C82" w:rsidRPr="00DC66CD">
        <w:t>-së</w:t>
      </w:r>
      <w:r w:rsidRPr="00DC66CD">
        <w:t xml:space="preserve"> është 21 për</w:t>
      </w:r>
      <w:r w:rsidR="00997C82" w:rsidRPr="00DC66CD">
        <w:t xml:space="preserve"> </w:t>
      </w:r>
      <w:r w:rsidRPr="00DC66CD">
        <w:t>qind.</w:t>
      </w:r>
    </w:p>
    <w:p w14:paraId="6C23A642" w14:textId="5833ADA1" w:rsidR="00F603D0" w:rsidRPr="00DC66CD" w:rsidRDefault="00F603D0" w:rsidP="00F603D0">
      <w:pPr>
        <w:pStyle w:val="TEKSTIIII"/>
      </w:pPr>
      <w:r w:rsidRPr="00DC66CD">
        <w:rPr>
          <w:b/>
        </w:rPr>
        <w:t>Shpenzimet kapitale</w:t>
      </w:r>
      <w:r w:rsidR="00997C82" w:rsidRPr="00DC66CD">
        <w:rPr>
          <w:b/>
        </w:rPr>
        <w:t>,</w:t>
      </w:r>
      <w:r w:rsidRPr="00DC66CD">
        <w:t xml:space="preserve"> për muajin e njëmbëdhjetë të vitit 2019</w:t>
      </w:r>
      <w:r w:rsidR="00997C82" w:rsidRPr="00DC66CD">
        <w:t>,</w:t>
      </w:r>
      <w:r w:rsidRPr="00DC66CD">
        <w:t xml:space="preserve"> paraqesin një realizim në masën rreth 55.69 miliard</w:t>
      </w:r>
      <w:r w:rsidR="00997C82" w:rsidRPr="00DC66CD">
        <w:t>ë</w:t>
      </w:r>
      <w:r w:rsidRPr="00DC66CD">
        <w:t xml:space="preserve"> </w:t>
      </w:r>
      <w:r w:rsidR="00997C82" w:rsidRPr="00DC66CD">
        <w:t>lekë</w:t>
      </w:r>
      <w:r w:rsidRPr="00DC66CD">
        <w:t>. Krahasuar me të njëjtën periudhë të vitit 2018, ky zë është 3.2 për</w:t>
      </w:r>
      <w:r w:rsidR="00997C82" w:rsidRPr="00DC66CD">
        <w:t xml:space="preserve"> </w:t>
      </w:r>
      <w:r w:rsidRPr="00DC66CD">
        <w:t>qind më i ulët ose 1.83 miliard</w:t>
      </w:r>
      <w:r w:rsidR="00997C82" w:rsidRPr="00DC66CD">
        <w:t>ë</w:t>
      </w:r>
      <w:r w:rsidRPr="00DC66CD">
        <w:t xml:space="preserve"> </w:t>
      </w:r>
      <w:r w:rsidR="00997C82" w:rsidRPr="00DC66CD">
        <w:t xml:space="preserve">lekë </w:t>
      </w:r>
      <w:r w:rsidRPr="00DC66CD">
        <w:t>më pak. Shpenzimet kapitale për muajin e njëmbëdhjetë të vitit 2019 zënë 12.9 për</w:t>
      </w:r>
      <w:r w:rsidR="00997C82" w:rsidRPr="00DC66CD">
        <w:t xml:space="preserve"> </w:t>
      </w:r>
      <w:r w:rsidRPr="00DC66CD">
        <w:t>qind të totalit të shpenzimeve</w:t>
      </w:r>
      <w:r w:rsidR="00997C82" w:rsidRPr="00DC66CD">
        <w:t>,</w:t>
      </w:r>
      <w:r w:rsidRPr="00DC66CD">
        <w:t xml:space="preserve"> ndërkohë që krahasuar me PBB</w:t>
      </w:r>
      <w:r w:rsidR="00997C82" w:rsidRPr="00DC66CD">
        <w:t>-në</w:t>
      </w:r>
      <w:r w:rsidRPr="00DC66CD">
        <w:t xml:space="preserve"> zënë 3.2 për</w:t>
      </w:r>
      <w:r w:rsidR="00997C82" w:rsidRPr="00DC66CD">
        <w:t xml:space="preserve"> </w:t>
      </w:r>
      <w:r w:rsidRPr="00DC66CD">
        <w:t>qind. Për shpenz</w:t>
      </w:r>
      <w:r w:rsidR="00997C82" w:rsidRPr="00DC66CD">
        <w:t>imet kapitale, për periudhën 11-</w:t>
      </w:r>
      <w:r w:rsidRPr="00DC66CD">
        <w:t>mujore ndër vite, niveli mesatar kundrejt PBB</w:t>
      </w:r>
      <w:r w:rsidR="00997C82" w:rsidRPr="00DC66CD">
        <w:t>-së</w:t>
      </w:r>
      <w:r w:rsidRPr="00DC66CD">
        <w:t xml:space="preserve"> është 4 për</w:t>
      </w:r>
      <w:r w:rsidR="00997C82" w:rsidRPr="00DC66CD">
        <w:t xml:space="preserve"> </w:t>
      </w:r>
      <w:r w:rsidRPr="00DC66CD">
        <w:t>qind.</w:t>
      </w:r>
    </w:p>
    <w:p w14:paraId="6B43A668" w14:textId="16FE5D70" w:rsidR="00F603D0" w:rsidRPr="00DC66CD" w:rsidRDefault="00F603D0" w:rsidP="00F603D0">
      <w:pPr>
        <w:pStyle w:val="TEKSTIIII"/>
      </w:pPr>
      <w:r w:rsidRPr="00DC66CD">
        <w:rPr>
          <w:b/>
        </w:rPr>
        <w:t>Niveli i deficitit</w:t>
      </w:r>
      <w:r w:rsidR="00802D94" w:rsidRPr="00DC66CD">
        <w:rPr>
          <w:b/>
        </w:rPr>
        <w:t>,</w:t>
      </w:r>
      <w:r w:rsidRPr="00DC66CD">
        <w:t xml:space="preserve"> në muajin e njëmbëdhjetë të vitit 2019</w:t>
      </w:r>
      <w:r w:rsidR="00802D94" w:rsidRPr="00DC66CD">
        <w:t>,</w:t>
      </w:r>
      <w:r w:rsidRPr="00DC66CD">
        <w:t xml:space="preserve"> rezultoi në rreth 10.83 miliard</w:t>
      </w:r>
      <w:r w:rsidR="00802D94" w:rsidRPr="00DC66CD">
        <w:t>ë</w:t>
      </w:r>
      <w:r w:rsidRPr="00DC66CD">
        <w:t xml:space="preserve"> </w:t>
      </w:r>
      <w:r w:rsidR="00802D94" w:rsidRPr="00DC66CD">
        <w:t xml:space="preserve">lekë </w:t>
      </w:r>
      <w:r w:rsidRPr="00DC66CD">
        <w:t>ose rreth 10.48 miliard</w:t>
      </w:r>
      <w:r w:rsidR="00802D94" w:rsidRPr="00DC66CD">
        <w:t>ë</w:t>
      </w:r>
      <w:r w:rsidRPr="00DC66CD">
        <w:t xml:space="preserve"> lekë më pak se plani i periudhës. Krahasuar me të </w:t>
      </w:r>
      <w:r w:rsidR="00802D94" w:rsidRPr="00DC66CD">
        <w:t>njëjtën</w:t>
      </w:r>
      <w:r w:rsidRPr="00DC66CD">
        <w:t xml:space="preserve"> periudhë të vitit 2018</w:t>
      </w:r>
      <w:r w:rsidR="00802D94" w:rsidRPr="00DC66CD">
        <w:t>,</w:t>
      </w:r>
      <w:r w:rsidRPr="00DC66CD">
        <w:t xml:space="preserve"> në të cilën niveli i deficitit arriti në masën rreth 1.27 miliard</w:t>
      </w:r>
      <w:r w:rsidR="00802D94" w:rsidRPr="00DC66CD">
        <w:t>ë lekë, për 11-</w:t>
      </w:r>
      <w:r w:rsidRPr="00DC66CD">
        <w:t>mujorin e vitit 2019</w:t>
      </w:r>
      <w:r w:rsidR="00802D94" w:rsidRPr="00DC66CD">
        <w:t>,</w:t>
      </w:r>
      <w:r w:rsidRPr="00DC66CD">
        <w:t xml:space="preserve"> niveli i deficitit është rritur me rreth 9.55 miliard</w:t>
      </w:r>
      <w:r w:rsidR="00802D94" w:rsidRPr="00DC66CD">
        <w:t>ë</w:t>
      </w:r>
      <w:r w:rsidRPr="00DC66CD">
        <w:t xml:space="preserve"> lekë më shumë në terma nominalë.</w:t>
      </w:r>
    </w:p>
    <w:p w14:paraId="1D53C1E5" w14:textId="77777777" w:rsidR="00F603D0" w:rsidRPr="00DC66CD" w:rsidRDefault="00F603D0" w:rsidP="00F603D0">
      <w:pPr>
        <w:pStyle w:val="TEKSTIIII"/>
      </w:pPr>
    </w:p>
    <w:p w14:paraId="31422710" w14:textId="411924A9" w:rsidR="00F603D0" w:rsidRPr="00DC66CD" w:rsidRDefault="00802D94" w:rsidP="00F603D0">
      <w:pPr>
        <w:pStyle w:val="TEKSTIIII"/>
        <w:rPr>
          <w:i/>
        </w:rPr>
      </w:pPr>
      <w:r w:rsidRPr="00DC66CD">
        <w:rPr>
          <w:i/>
        </w:rPr>
        <w:t xml:space="preserve">Grafiku 4.2.3 </w:t>
      </w:r>
      <w:r w:rsidR="00F603D0" w:rsidRPr="00DC66CD">
        <w:rPr>
          <w:i/>
        </w:rPr>
        <w:t>Struktura e shpenzimeve të përgjithshme dhe raporti me PBB</w:t>
      </w:r>
      <w:r w:rsidRPr="00DC66CD">
        <w:rPr>
          <w:i/>
        </w:rPr>
        <w:t>-në</w:t>
      </w:r>
      <w:r w:rsidR="00F603D0" w:rsidRPr="00DC66CD">
        <w:rPr>
          <w:i/>
        </w:rPr>
        <w:t>, për periudhën 11</w:t>
      </w:r>
      <w:r w:rsidRPr="00DC66CD">
        <w:rPr>
          <w:i/>
        </w:rPr>
        <w:t>-</w:t>
      </w:r>
      <w:r w:rsidR="00F603D0" w:rsidRPr="00DC66CD">
        <w:rPr>
          <w:i/>
        </w:rPr>
        <w:t>mujore</w:t>
      </w:r>
    </w:p>
    <w:p w14:paraId="4FFC51CB" w14:textId="48F04C6B" w:rsidR="00F603D0" w:rsidRPr="00DC66CD" w:rsidRDefault="00873C41" w:rsidP="00802D94">
      <w:pPr>
        <w:pStyle w:val="TEKSTIIII"/>
        <w:jc w:val="center"/>
      </w:pPr>
      <w:r w:rsidRPr="00DC66CD">
        <w:rPr>
          <w:rFonts w:ascii="Times New Roman" w:hAnsi="Times New Roman"/>
          <w:noProof/>
          <w:lang w:val="en-US" w:eastAsia="en-US"/>
        </w:rPr>
        <w:drawing>
          <wp:inline distT="0" distB="0" distL="0" distR="0" wp14:anchorId="45B08155" wp14:editId="1F5E7944">
            <wp:extent cx="5112689" cy="231025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14730" cy="2311181"/>
                    </a:xfrm>
                    <a:prstGeom prst="rect">
                      <a:avLst/>
                    </a:prstGeom>
                    <a:noFill/>
                  </pic:spPr>
                </pic:pic>
              </a:graphicData>
            </a:graphic>
          </wp:inline>
        </w:drawing>
      </w:r>
    </w:p>
    <w:p w14:paraId="02E4923A" w14:textId="77777777" w:rsidR="00D716F6" w:rsidRPr="00DC66CD" w:rsidRDefault="00D716F6" w:rsidP="00D716F6">
      <w:pPr>
        <w:pStyle w:val="TEKSTIIII"/>
        <w:rPr>
          <w:i/>
        </w:rPr>
      </w:pPr>
      <w:r w:rsidRPr="00DC66CD">
        <w:rPr>
          <w:i/>
        </w:rPr>
        <w:t>Burimi: Ministria e Financave dhe Ekonomisë</w:t>
      </w:r>
    </w:p>
    <w:p w14:paraId="15CA6BC7" w14:textId="77777777" w:rsidR="00D716F6" w:rsidRPr="00DC66CD" w:rsidRDefault="00D716F6" w:rsidP="00D716F6">
      <w:pPr>
        <w:pStyle w:val="TEKSTIIII"/>
        <w:rPr>
          <w:b/>
        </w:rPr>
      </w:pPr>
    </w:p>
    <w:p w14:paraId="11956752" w14:textId="7DDC87A4" w:rsidR="00D716F6" w:rsidRPr="00DC66CD" w:rsidRDefault="00D716F6" w:rsidP="00D716F6">
      <w:pPr>
        <w:pStyle w:val="TEKSTIIII"/>
      </w:pPr>
      <w:r w:rsidRPr="00DC66CD">
        <w:rPr>
          <w:b/>
        </w:rPr>
        <w:t>Shpenzimet kor</w:t>
      </w:r>
      <w:r w:rsidR="00802D94" w:rsidRPr="00DC66CD">
        <w:rPr>
          <w:b/>
        </w:rPr>
        <w:t>r</w:t>
      </w:r>
      <w:r w:rsidRPr="00DC66CD">
        <w:rPr>
          <w:b/>
        </w:rPr>
        <w:t>ente</w:t>
      </w:r>
      <w:r w:rsidR="00802D94" w:rsidRPr="00DC66CD">
        <w:rPr>
          <w:b/>
        </w:rPr>
        <w:t>,</w:t>
      </w:r>
      <w:r w:rsidRPr="00DC66CD">
        <w:t xml:space="preserve"> në raport me planin 11</w:t>
      </w:r>
      <w:r w:rsidR="00802D94" w:rsidRPr="00DC66CD">
        <w:t>-</w:t>
      </w:r>
      <w:r w:rsidRPr="00DC66CD">
        <w:t>mujor të këtij viti, paraqesin një realizim prej 98 përqind</w:t>
      </w:r>
      <w:r w:rsidR="00802D94" w:rsidRPr="00DC66CD">
        <w:t>ësh</w:t>
      </w:r>
      <w:r w:rsidRPr="00DC66CD">
        <w:t>, duke rezultuar në rreth 376.2 miliard</w:t>
      </w:r>
      <w:r w:rsidR="00802D94" w:rsidRPr="00DC66CD">
        <w:t>ë</w:t>
      </w:r>
      <w:r w:rsidRPr="00DC66CD">
        <w:t xml:space="preserve"> </w:t>
      </w:r>
      <w:r w:rsidR="00802D94" w:rsidRPr="00DC66CD">
        <w:t>lekë</w:t>
      </w:r>
      <w:r w:rsidRPr="00DC66CD">
        <w:t>. Zërat kryesorë që ndikuan në nivelin e realizimit të shpenzimeve kor</w:t>
      </w:r>
      <w:r w:rsidR="00802D94" w:rsidRPr="00DC66CD">
        <w:t>r</w:t>
      </w:r>
      <w:r w:rsidRPr="00DC66CD">
        <w:t>ente, kundrejt planit 11</w:t>
      </w:r>
      <w:r w:rsidR="00802D94" w:rsidRPr="00DC66CD">
        <w:t>-</w:t>
      </w:r>
      <w:r w:rsidRPr="00DC66CD">
        <w:t xml:space="preserve">mujor janë përkatësisht: </w:t>
      </w:r>
    </w:p>
    <w:p w14:paraId="2BA97DD9" w14:textId="7986F57B" w:rsidR="00D716F6" w:rsidRPr="00DC66CD" w:rsidRDefault="00802D94" w:rsidP="00D716F6">
      <w:pPr>
        <w:pStyle w:val="TEKSTIIII"/>
      </w:pPr>
      <w:r w:rsidRPr="00DC66CD">
        <w:t>- s</w:t>
      </w:r>
      <w:r w:rsidR="00D716F6" w:rsidRPr="00DC66CD">
        <w:t>hpenzimet për subvencione arritën në nivelin rreth 1.24 miliard</w:t>
      </w:r>
      <w:r w:rsidRPr="00DC66CD">
        <w:t>ë</w:t>
      </w:r>
      <w:r w:rsidR="00D716F6" w:rsidRPr="00DC66CD">
        <w:t xml:space="preserve"> lekë ose 104.</w:t>
      </w:r>
      <w:r w:rsidRPr="00DC66CD">
        <w:t>8 për qind e planit të periudhës;</w:t>
      </w:r>
    </w:p>
    <w:p w14:paraId="204DA522" w14:textId="7281DC0A" w:rsidR="00D716F6" w:rsidRPr="00DC66CD" w:rsidRDefault="00802D94" w:rsidP="00D716F6">
      <w:pPr>
        <w:pStyle w:val="TEKSTIIII"/>
      </w:pPr>
      <w:r w:rsidRPr="00DC66CD">
        <w:t>- s</w:t>
      </w:r>
      <w:r w:rsidR="00D716F6" w:rsidRPr="00DC66CD">
        <w:t>hpenzimet e tjera sociale arritën në nivelin 22.6 miliard</w:t>
      </w:r>
      <w:r w:rsidRPr="00DC66CD">
        <w:t>ë</w:t>
      </w:r>
      <w:r w:rsidR="00D716F6" w:rsidRPr="00DC66CD">
        <w:t xml:space="preserve"> lekë ose 101.9 për</w:t>
      </w:r>
      <w:r w:rsidRPr="00DC66CD">
        <w:t xml:space="preserve"> </w:t>
      </w:r>
      <w:r w:rsidR="00D716F6" w:rsidRPr="00DC66CD">
        <w:t>qind e planit të periudhës</w:t>
      </w:r>
      <w:r w:rsidRPr="00DC66CD">
        <w:t>;</w:t>
      </w:r>
    </w:p>
    <w:p w14:paraId="5DC4BEC6" w14:textId="5095CD08" w:rsidR="00D716F6" w:rsidRPr="00DC66CD" w:rsidRDefault="00802D94" w:rsidP="00D716F6">
      <w:pPr>
        <w:pStyle w:val="TEKSTIIII"/>
      </w:pPr>
      <w:r w:rsidRPr="00DC66CD">
        <w:t>- s</w:t>
      </w:r>
      <w:r w:rsidR="00D716F6" w:rsidRPr="00DC66CD">
        <w:t>hpenzimet për buxhetin vendor arritën në nivelin rreth 51.8 miliard</w:t>
      </w:r>
      <w:r w:rsidRPr="00DC66CD">
        <w:t>ë</w:t>
      </w:r>
      <w:r w:rsidR="00D716F6" w:rsidRPr="00DC66CD">
        <w:t xml:space="preserve"> lekë ose 100.4 për</w:t>
      </w:r>
      <w:r w:rsidRPr="00DC66CD">
        <w:t xml:space="preserve"> </w:t>
      </w:r>
      <w:r w:rsidR="00D716F6" w:rsidRPr="00DC66CD">
        <w:t>qind e planit të periudhës.</w:t>
      </w:r>
    </w:p>
    <w:p w14:paraId="5FD79F53" w14:textId="77777777" w:rsidR="00D716F6" w:rsidRPr="00DC66CD" w:rsidRDefault="00D716F6" w:rsidP="00D716F6">
      <w:pPr>
        <w:pStyle w:val="TEKSTIIII"/>
      </w:pPr>
    </w:p>
    <w:p w14:paraId="6E08147B" w14:textId="537FF74D" w:rsidR="00D716F6" w:rsidRPr="00DC66CD" w:rsidRDefault="00802D94" w:rsidP="00D716F6">
      <w:pPr>
        <w:pStyle w:val="TEKSTIIII"/>
        <w:rPr>
          <w:i/>
        </w:rPr>
      </w:pPr>
      <w:r w:rsidRPr="00DC66CD">
        <w:rPr>
          <w:i/>
        </w:rPr>
        <w:t>Grafiku 4.2.4</w:t>
      </w:r>
      <w:r w:rsidR="00D716F6" w:rsidRPr="00DC66CD">
        <w:rPr>
          <w:i/>
        </w:rPr>
        <w:t xml:space="preserve"> Shpenzimet </w:t>
      </w:r>
      <w:r w:rsidRPr="00DC66CD">
        <w:rPr>
          <w:i/>
        </w:rPr>
        <w:t xml:space="preserve">korrente </w:t>
      </w:r>
      <w:r w:rsidR="00D716F6" w:rsidRPr="00DC66CD">
        <w:rPr>
          <w:i/>
        </w:rPr>
        <w:t xml:space="preserve">dhe ritmi i rritjes së tyre (në miliard </w:t>
      </w:r>
      <w:r w:rsidRPr="00DC66CD">
        <w:rPr>
          <w:i/>
        </w:rPr>
        <w:t>lek</w:t>
      </w:r>
      <w:r w:rsidR="00D716F6" w:rsidRPr="00DC66CD">
        <w:rPr>
          <w:i/>
        </w:rPr>
        <w:t>)</w:t>
      </w:r>
    </w:p>
    <w:p w14:paraId="538DD300" w14:textId="1425DFB3" w:rsidR="00D716F6" w:rsidRPr="00DC66CD" w:rsidRDefault="002A2C42" w:rsidP="00802D94">
      <w:pPr>
        <w:pStyle w:val="TEKSTIIII"/>
        <w:jc w:val="center"/>
      </w:pPr>
      <w:r w:rsidRPr="00DC66CD">
        <w:rPr>
          <w:rFonts w:ascii="Times New Roman" w:hAnsi="Times New Roman"/>
          <w:i/>
          <w:noProof/>
          <w:lang w:val="en-US" w:eastAsia="en-US"/>
        </w:rPr>
        <w:drawing>
          <wp:inline distT="0" distB="0" distL="0" distR="0" wp14:anchorId="0C039472" wp14:editId="006298A8">
            <wp:extent cx="4651375" cy="228028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51375" cy="2280285"/>
                    </a:xfrm>
                    <a:prstGeom prst="rect">
                      <a:avLst/>
                    </a:prstGeom>
                    <a:noFill/>
                  </pic:spPr>
                </pic:pic>
              </a:graphicData>
            </a:graphic>
          </wp:inline>
        </w:drawing>
      </w:r>
    </w:p>
    <w:p w14:paraId="2BE55A46" w14:textId="77777777" w:rsidR="002A2C42" w:rsidRPr="00DC66CD" w:rsidRDefault="002A2C42" w:rsidP="00622FA2">
      <w:pPr>
        <w:pStyle w:val="TEKSTIIII"/>
      </w:pPr>
    </w:p>
    <w:p w14:paraId="5A8E4766" w14:textId="62F2AA37" w:rsidR="002A2C42" w:rsidRPr="00DC66CD" w:rsidRDefault="002A2C42" w:rsidP="002A2C42">
      <w:pPr>
        <w:pStyle w:val="TEKSTIIII"/>
        <w:rPr>
          <w:i/>
        </w:rPr>
      </w:pPr>
      <w:r w:rsidRPr="00DC66CD">
        <w:rPr>
          <w:i/>
        </w:rPr>
        <w:t>Grafiku 4.2.5 Struktura e shpenzimeve kor</w:t>
      </w:r>
      <w:r w:rsidR="00802D94" w:rsidRPr="00DC66CD">
        <w:rPr>
          <w:i/>
        </w:rPr>
        <w:t>r</w:t>
      </w:r>
      <w:r w:rsidRPr="00DC66CD">
        <w:rPr>
          <w:i/>
        </w:rPr>
        <w:t>ente</w:t>
      </w:r>
    </w:p>
    <w:p w14:paraId="18C50CF1" w14:textId="579DF6A9" w:rsidR="002A2C42" w:rsidRPr="00DC66CD" w:rsidRDefault="002A2C42" w:rsidP="00802D94">
      <w:pPr>
        <w:pStyle w:val="TEKSTIIII"/>
        <w:jc w:val="center"/>
      </w:pPr>
      <w:r w:rsidRPr="00DC66CD">
        <w:rPr>
          <w:rFonts w:ascii="Times New Roman" w:hAnsi="Times New Roman"/>
          <w:i/>
          <w:noProof/>
          <w:lang w:val="en-US" w:eastAsia="en-US"/>
        </w:rPr>
        <w:drawing>
          <wp:inline distT="0" distB="0" distL="0" distR="0" wp14:anchorId="620CA083" wp14:editId="1976A9BE">
            <wp:extent cx="3728696" cy="2512612"/>
            <wp:effectExtent l="0" t="0" r="571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38670" cy="2519333"/>
                    </a:xfrm>
                    <a:prstGeom prst="rect">
                      <a:avLst/>
                    </a:prstGeom>
                    <a:noFill/>
                  </pic:spPr>
                </pic:pic>
              </a:graphicData>
            </a:graphic>
          </wp:inline>
        </w:drawing>
      </w:r>
    </w:p>
    <w:p w14:paraId="0E71DD21" w14:textId="77777777" w:rsidR="002A2C42" w:rsidRPr="00DC66CD" w:rsidRDefault="002A2C42" w:rsidP="00622FA2">
      <w:pPr>
        <w:pStyle w:val="TEKSTIIII"/>
      </w:pPr>
    </w:p>
    <w:p w14:paraId="5C2FFEE6" w14:textId="77777777" w:rsidR="002A2C42" w:rsidRPr="00DC66CD" w:rsidRDefault="002A2C42" w:rsidP="002A2C42">
      <w:pPr>
        <w:pStyle w:val="TEKSTIIII"/>
        <w:rPr>
          <w:i/>
        </w:rPr>
      </w:pPr>
      <w:r w:rsidRPr="00DC66CD">
        <w:rPr>
          <w:i/>
        </w:rPr>
        <w:t>Burimi: Ministria e Financave dhe Ekonomisë</w:t>
      </w:r>
    </w:p>
    <w:p w14:paraId="385299F1" w14:textId="77777777" w:rsidR="002A2C42" w:rsidRPr="00DC66CD" w:rsidRDefault="002A2C42" w:rsidP="002A2C42">
      <w:pPr>
        <w:pStyle w:val="TEKSTIIII"/>
        <w:rPr>
          <w:b/>
        </w:rPr>
      </w:pPr>
    </w:p>
    <w:p w14:paraId="53E88AF7" w14:textId="14600FB3" w:rsidR="002A2C42" w:rsidRPr="00DC66CD" w:rsidRDefault="002A2C42" w:rsidP="002A2C42">
      <w:pPr>
        <w:pStyle w:val="TEKSTIIII"/>
      </w:pPr>
      <w:r w:rsidRPr="00DC66CD">
        <w:t xml:space="preserve">Në shpenzimet </w:t>
      </w:r>
      <w:r w:rsidR="00802D94" w:rsidRPr="00DC66CD">
        <w:t>korrente</w:t>
      </w:r>
      <w:r w:rsidRPr="00DC66CD">
        <w:t xml:space="preserve"> peshën kryesore e zënë shpenzimet për fondet speciale me 41.7 për</w:t>
      </w:r>
      <w:r w:rsidR="00802D94" w:rsidRPr="00DC66CD">
        <w:t xml:space="preserve"> </w:t>
      </w:r>
      <w:r w:rsidRPr="00DC66CD">
        <w:t xml:space="preserve">qind të totalit të shpenzimeve </w:t>
      </w:r>
      <w:r w:rsidR="00802D94" w:rsidRPr="00DC66CD">
        <w:t>korrente</w:t>
      </w:r>
      <w:r w:rsidRPr="00DC66CD">
        <w:t>.</w:t>
      </w:r>
    </w:p>
    <w:p w14:paraId="6A72BF77" w14:textId="579E5D57" w:rsidR="002A2C42" w:rsidRPr="00DC66CD" w:rsidRDefault="002A2C42" w:rsidP="002A2C42">
      <w:pPr>
        <w:pStyle w:val="TEKSTIIII"/>
      </w:pPr>
      <w:r w:rsidRPr="00DC66CD">
        <w:t xml:space="preserve">Shpenzimet e </w:t>
      </w:r>
      <w:r w:rsidR="00802D94" w:rsidRPr="00DC66CD">
        <w:t xml:space="preserve">personelit, </w:t>
      </w:r>
      <w:r w:rsidRPr="00DC66CD">
        <w:t xml:space="preserve">gjatë muajit </w:t>
      </w:r>
      <w:r w:rsidR="00802D94" w:rsidRPr="00DC66CD">
        <w:t xml:space="preserve">nëntor </w:t>
      </w:r>
      <w:r w:rsidRPr="00DC66CD">
        <w:t>2019, përfaqësuan 18.6 për</w:t>
      </w:r>
      <w:r w:rsidR="00802D94" w:rsidRPr="00DC66CD">
        <w:t xml:space="preserve"> </w:t>
      </w:r>
      <w:r w:rsidRPr="00DC66CD">
        <w:t xml:space="preserve">qind të totalit të shpenzimeve </w:t>
      </w:r>
      <w:r w:rsidR="00802D94" w:rsidRPr="00DC66CD">
        <w:t>korrente</w:t>
      </w:r>
      <w:r w:rsidRPr="00DC66CD">
        <w:t>. Niveli i shpenzimeve faktike të personelit prej rreth 70.1 miliard</w:t>
      </w:r>
      <w:r w:rsidR="00802D94" w:rsidRPr="00DC66CD">
        <w:t>ë</w:t>
      </w:r>
      <w:r w:rsidRPr="00DC66CD">
        <w:t xml:space="preserve"> </w:t>
      </w:r>
      <w:r w:rsidR="00802D94" w:rsidRPr="00DC66CD">
        <w:t>lekësh</w:t>
      </w:r>
      <w:r w:rsidRPr="00DC66CD">
        <w:t xml:space="preserve"> realizon nivelin e parashikuar për k</w:t>
      </w:r>
      <w:r w:rsidR="00802D94" w:rsidRPr="00DC66CD">
        <w:t>ëtë zë në planin e periudhës 11-</w:t>
      </w:r>
      <w:r w:rsidRPr="00DC66CD">
        <w:t>mujore, në masën 97.4 për</w:t>
      </w:r>
      <w:r w:rsidR="00802D94" w:rsidRPr="00DC66CD">
        <w:t xml:space="preserve"> </w:t>
      </w:r>
      <w:r w:rsidRPr="00DC66CD">
        <w:t>qind. Krahasuar me të njëjtën periudhë të vitit 2018, ky zë është 4.7 për</w:t>
      </w:r>
      <w:r w:rsidR="00802D94" w:rsidRPr="00DC66CD">
        <w:t xml:space="preserve"> </w:t>
      </w:r>
      <w:r w:rsidRPr="00DC66CD">
        <w:t>qind më i lartë ose rreth 3.1 miliard</w:t>
      </w:r>
      <w:r w:rsidR="00802D94" w:rsidRPr="00DC66CD">
        <w:t xml:space="preserve">ë lekë </w:t>
      </w:r>
      <w:r w:rsidRPr="00DC66CD">
        <w:t>më shumë.</w:t>
      </w:r>
    </w:p>
    <w:p w14:paraId="4F2825B3" w14:textId="77777777" w:rsidR="002A2C42" w:rsidRPr="00DC66CD" w:rsidRDefault="002A2C42" w:rsidP="002A2C42">
      <w:pPr>
        <w:pStyle w:val="TEKSTIIII"/>
      </w:pPr>
    </w:p>
    <w:p w14:paraId="523B2C54" w14:textId="77777777" w:rsidR="002A2C42" w:rsidRPr="00DC66CD" w:rsidRDefault="002A2C42" w:rsidP="002A2C42">
      <w:pPr>
        <w:pStyle w:val="TEKSTIIII"/>
        <w:rPr>
          <w:i/>
        </w:rPr>
      </w:pPr>
    </w:p>
    <w:p w14:paraId="4320665C" w14:textId="70DE2C8C" w:rsidR="002A2C42" w:rsidRPr="00DC66CD" w:rsidRDefault="00802D94" w:rsidP="002A2C42">
      <w:pPr>
        <w:pStyle w:val="TEKSTIIII"/>
        <w:rPr>
          <w:i/>
        </w:rPr>
      </w:pPr>
      <w:r w:rsidRPr="00DC66CD">
        <w:rPr>
          <w:i/>
        </w:rPr>
        <w:t>Grafiku 4.2.6</w:t>
      </w:r>
      <w:r w:rsidR="002A2C42" w:rsidRPr="00DC66CD">
        <w:rPr>
          <w:i/>
        </w:rPr>
        <w:t xml:space="preserve"> Shpenzimet e </w:t>
      </w:r>
      <w:r w:rsidRPr="00DC66CD">
        <w:rPr>
          <w:i/>
        </w:rPr>
        <w:t xml:space="preserve">personelit </w:t>
      </w:r>
      <w:r w:rsidR="002A2C42" w:rsidRPr="00DC66CD">
        <w:rPr>
          <w:i/>
        </w:rPr>
        <w:t xml:space="preserve">dhe ritmi i rritjes së tyre (në miliard </w:t>
      </w:r>
      <w:r w:rsidRPr="00DC66CD">
        <w:rPr>
          <w:i/>
        </w:rPr>
        <w:t>lek</w:t>
      </w:r>
      <w:r w:rsidR="002A2C42" w:rsidRPr="00DC66CD">
        <w:rPr>
          <w:i/>
        </w:rPr>
        <w:t xml:space="preserve">) </w:t>
      </w:r>
    </w:p>
    <w:p w14:paraId="7EB41BE1" w14:textId="77777777" w:rsidR="00EC1687" w:rsidRPr="00DC66CD" w:rsidRDefault="00EC1687" w:rsidP="00622FA2">
      <w:pPr>
        <w:pStyle w:val="TEKSTIIII"/>
      </w:pPr>
    </w:p>
    <w:p w14:paraId="413CFFD9" w14:textId="1479C1C7" w:rsidR="002A2C42" w:rsidRPr="00DC66CD" w:rsidRDefault="002A2C42" w:rsidP="00D2557C">
      <w:pPr>
        <w:pStyle w:val="TEKSTIIII"/>
        <w:jc w:val="center"/>
      </w:pPr>
      <w:r w:rsidRPr="00DC66CD">
        <w:rPr>
          <w:rFonts w:ascii="Times New Roman" w:hAnsi="Times New Roman"/>
          <w:i/>
          <w:noProof/>
          <w:lang w:val="en-US" w:eastAsia="en-US"/>
        </w:rPr>
        <w:drawing>
          <wp:inline distT="0" distB="0" distL="0" distR="0" wp14:anchorId="1E0BA8D7" wp14:editId="405906C3">
            <wp:extent cx="4676140" cy="2468880"/>
            <wp:effectExtent l="38100" t="38100" r="86360" b="1028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76140" cy="2468880"/>
                    </a:xfrm>
                    <a:prstGeom prst="rect">
                      <a:avLst/>
                    </a:prstGeom>
                    <a:noFill/>
                    <a:effectLst>
                      <a:outerShdw blurRad="50800" dist="38100" dir="2700000" algn="tl" rotWithShape="0">
                        <a:prstClr val="black">
                          <a:alpha val="40000"/>
                        </a:prstClr>
                      </a:outerShdw>
                    </a:effectLst>
                  </pic:spPr>
                </pic:pic>
              </a:graphicData>
            </a:graphic>
          </wp:inline>
        </w:drawing>
      </w:r>
    </w:p>
    <w:p w14:paraId="0252813C" w14:textId="77777777" w:rsidR="00EC1687" w:rsidRPr="00DC66CD" w:rsidRDefault="00EC1687" w:rsidP="00EC1687">
      <w:pPr>
        <w:pStyle w:val="TEKSTIIII"/>
        <w:rPr>
          <w:i/>
        </w:rPr>
      </w:pPr>
      <w:r w:rsidRPr="00DC66CD">
        <w:rPr>
          <w:i/>
        </w:rPr>
        <w:t>Burimi: Ministria e Financave dhe Ekonomisë</w:t>
      </w:r>
    </w:p>
    <w:p w14:paraId="32349A7D" w14:textId="77777777" w:rsidR="00EC1687" w:rsidRPr="00DC66CD" w:rsidRDefault="00EC1687" w:rsidP="00EC1687">
      <w:pPr>
        <w:pStyle w:val="TEKSTIIII"/>
      </w:pPr>
    </w:p>
    <w:p w14:paraId="27177007" w14:textId="4C2B2A24" w:rsidR="00EC1687" w:rsidRPr="00DC66CD" w:rsidRDefault="00EC1687" w:rsidP="00EC1687">
      <w:pPr>
        <w:pStyle w:val="TEKSTIIII"/>
      </w:pPr>
      <w:r w:rsidRPr="00DC66CD">
        <w:t xml:space="preserve">Shpenzimet për </w:t>
      </w:r>
      <w:r w:rsidR="00D2557C" w:rsidRPr="00DC66CD">
        <w:t xml:space="preserve">paga, </w:t>
      </w:r>
      <w:r w:rsidRPr="00DC66CD">
        <w:t>në fund të muajit të njëmbëdhjetë të vitit 2019 u realizuan në masën rreth 59.9 miliard</w:t>
      </w:r>
      <w:r w:rsidR="00D2557C" w:rsidRPr="00DC66CD">
        <w:t>ë lekë</w:t>
      </w:r>
      <w:r w:rsidRPr="00DC66CD">
        <w:t>, duke qenë 5.5 për</w:t>
      </w:r>
      <w:r w:rsidR="00D2557C" w:rsidRPr="00DC66CD">
        <w:t xml:space="preserve"> </w:t>
      </w:r>
      <w:r w:rsidRPr="00DC66CD">
        <w:t>qind më të larta se e njëjta periudhë e vitit 2018 ose 3.1 miliard</w:t>
      </w:r>
      <w:r w:rsidR="00D2557C" w:rsidRPr="00DC66CD">
        <w:t>ë</w:t>
      </w:r>
      <w:r w:rsidRPr="00DC66CD">
        <w:t xml:space="preserve"> </w:t>
      </w:r>
      <w:r w:rsidR="00D2557C" w:rsidRPr="00DC66CD">
        <w:t xml:space="preserve">lekë </w:t>
      </w:r>
      <w:r w:rsidRPr="00DC66CD">
        <w:t>më shumë. Për rrjedhojë, edhe shpenzimet për sigurime shoqërore rezultuan në masën 3.7 për</w:t>
      </w:r>
      <w:r w:rsidR="00D2557C" w:rsidRPr="00DC66CD">
        <w:t xml:space="preserve"> </w:t>
      </w:r>
      <w:r w:rsidRPr="00DC66CD">
        <w:t>qind më të larta se një vit më parë ose 344 milion</w:t>
      </w:r>
      <w:r w:rsidR="00D2557C" w:rsidRPr="00DC66CD">
        <w:t>ë</w:t>
      </w:r>
      <w:r w:rsidRPr="00DC66CD">
        <w:t xml:space="preserve"> </w:t>
      </w:r>
      <w:r w:rsidR="00D2557C" w:rsidRPr="00DC66CD">
        <w:t xml:space="preserve">lekë </w:t>
      </w:r>
      <w:r w:rsidRPr="00DC66CD">
        <w:t xml:space="preserve">më shumë. Realizimi faktik </w:t>
      </w:r>
      <w:r w:rsidR="00D2557C" w:rsidRPr="00DC66CD">
        <w:t>i këtyre zërave së bashku</w:t>
      </w:r>
      <w:r w:rsidRPr="00DC66CD">
        <w:t xml:space="preserve"> është në nivelin 98.4 për</w:t>
      </w:r>
      <w:r w:rsidR="00D2557C" w:rsidRPr="00DC66CD">
        <w:t xml:space="preserve"> </w:t>
      </w:r>
      <w:r w:rsidRPr="00DC66CD">
        <w:t>qind krahasuar me planin e periudhës ose 91.2 për</w:t>
      </w:r>
      <w:r w:rsidR="00D2557C" w:rsidRPr="00DC66CD">
        <w:t xml:space="preserve"> </w:t>
      </w:r>
      <w:r w:rsidRPr="00DC66CD">
        <w:t>qind e planit vjetor</w:t>
      </w:r>
      <w:r w:rsidR="00D2557C" w:rsidRPr="00DC66CD">
        <w:t>,</w:t>
      </w:r>
      <w:r w:rsidRPr="00DC66CD">
        <w:t xml:space="preserve"> sipas </w:t>
      </w:r>
      <w:r w:rsidR="00D2557C" w:rsidRPr="00DC66CD">
        <w:t xml:space="preserve">buxhetit fillestar dhe </w:t>
      </w:r>
      <w:r w:rsidRPr="00DC66CD">
        <w:t>sipas AN2.</w:t>
      </w:r>
      <w:r w:rsidR="0072211B" w:rsidRPr="00DC66CD">
        <w:t xml:space="preserve"> </w:t>
      </w:r>
    </w:p>
    <w:p w14:paraId="49317304" w14:textId="77777777" w:rsidR="00EC1687" w:rsidRPr="00DC66CD" w:rsidRDefault="00EC1687" w:rsidP="00EC1687">
      <w:pPr>
        <w:pStyle w:val="TEKSTIIII"/>
      </w:pPr>
    </w:p>
    <w:p w14:paraId="09163C52" w14:textId="1BA71CBF" w:rsidR="00EC1687" w:rsidRPr="00DC66CD" w:rsidRDefault="00EC1687" w:rsidP="00EC1687">
      <w:pPr>
        <w:pStyle w:val="TEKSTIIII"/>
        <w:rPr>
          <w:i/>
        </w:rPr>
      </w:pPr>
      <w:r w:rsidRPr="00DC66CD">
        <w:rPr>
          <w:i/>
        </w:rPr>
        <w:t>Grafiku 4.2.</w:t>
      </w:r>
      <w:r w:rsidR="00D2557C" w:rsidRPr="00DC66CD">
        <w:rPr>
          <w:i/>
        </w:rPr>
        <w:t>7</w:t>
      </w:r>
      <w:r w:rsidRPr="00DC66CD">
        <w:rPr>
          <w:i/>
        </w:rPr>
        <w:t xml:space="preserve"> Shpenzimet e </w:t>
      </w:r>
      <w:r w:rsidR="00D2557C" w:rsidRPr="00DC66CD">
        <w:rPr>
          <w:i/>
        </w:rPr>
        <w:t xml:space="preserve">pagave </w:t>
      </w:r>
      <w:r w:rsidRPr="00DC66CD">
        <w:rPr>
          <w:i/>
        </w:rPr>
        <w:t xml:space="preserve">dhe ritmi i rritjes së tyre (në miliard </w:t>
      </w:r>
      <w:r w:rsidR="00D2557C" w:rsidRPr="00DC66CD">
        <w:rPr>
          <w:i/>
        </w:rPr>
        <w:t>lek</w:t>
      </w:r>
      <w:r w:rsidRPr="00DC66CD">
        <w:rPr>
          <w:i/>
        </w:rPr>
        <w:t>)</w:t>
      </w:r>
    </w:p>
    <w:p w14:paraId="5E9E849E" w14:textId="6822F90B" w:rsidR="00EC1687" w:rsidRPr="00DC66CD" w:rsidRDefault="00CF611D" w:rsidP="00D2557C">
      <w:pPr>
        <w:pStyle w:val="TEKSTIIII"/>
        <w:jc w:val="center"/>
      </w:pPr>
      <w:r w:rsidRPr="00DC66CD">
        <w:rPr>
          <w:rFonts w:ascii="Times New Roman" w:hAnsi="Times New Roman"/>
          <w:i/>
          <w:noProof/>
          <w:lang w:val="en-US" w:eastAsia="en-US"/>
        </w:rPr>
        <w:drawing>
          <wp:inline distT="0" distB="0" distL="0" distR="0" wp14:anchorId="20B907CB" wp14:editId="756CC6B1">
            <wp:extent cx="4639310" cy="2298700"/>
            <wp:effectExtent l="0" t="0" r="889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39310" cy="2298700"/>
                    </a:xfrm>
                    <a:prstGeom prst="rect">
                      <a:avLst/>
                    </a:prstGeom>
                    <a:noFill/>
                  </pic:spPr>
                </pic:pic>
              </a:graphicData>
            </a:graphic>
          </wp:inline>
        </w:drawing>
      </w:r>
    </w:p>
    <w:p w14:paraId="2490D8F1" w14:textId="77777777" w:rsidR="00BD55A7" w:rsidRPr="00DC66CD" w:rsidRDefault="00BD55A7" w:rsidP="00622FA2">
      <w:pPr>
        <w:pStyle w:val="TEKSTIIII"/>
      </w:pPr>
    </w:p>
    <w:p w14:paraId="0B851ABD" w14:textId="77777777" w:rsidR="00BD55A7" w:rsidRPr="00DC66CD" w:rsidRDefault="00BD55A7" w:rsidP="00BD55A7">
      <w:pPr>
        <w:pStyle w:val="TEKSTIIII"/>
        <w:rPr>
          <w:i/>
        </w:rPr>
      </w:pPr>
      <w:r w:rsidRPr="00DC66CD">
        <w:rPr>
          <w:i/>
        </w:rPr>
        <w:t>Burimi: Ministria e Financave dhe Ekonomisë</w:t>
      </w:r>
    </w:p>
    <w:p w14:paraId="0C5F8627" w14:textId="77777777" w:rsidR="00BD55A7" w:rsidRPr="00DC66CD" w:rsidRDefault="00BD55A7" w:rsidP="00BD55A7">
      <w:pPr>
        <w:pStyle w:val="TEKSTIIII"/>
        <w:rPr>
          <w:b/>
        </w:rPr>
      </w:pPr>
    </w:p>
    <w:p w14:paraId="47AA3034" w14:textId="1E9F2953" w:rsidR="00BD55A7" w:rsidRPr="00DC66CD" w:rsidRDefault="00BD55A7" w:rsidP="00BD55A7">
      <w:pPr>
        <w:pStyle w:val="TEKSTIIII"/>
      </w:pPr>
      <w:r w:rsidRPr="00DC66CD">
        <w:t xml:space="preserve">Shpenzimet për </w:t>
      </w:r>
      <w:r w:rsidR="00D2557C" w:rsidRPr="00DC66CD">
        <w:t xml:space="preserve">interesa, </w:t>
      </w:r>
      <w:r w:rsidRPr="00DC66CD">
        <w:t>gjatë periudhës 11</w:t>
      </w:r>
      <w:r w:rsidR="00D2557C" w:rsidRPr="00DC66CD">
        <w:t>-</w:t>
      </w:r>
      <w:r w:rsidRPr="00DC66CD">
        <w:t>mujore 2019</w:t>
      </w:r>
      <w:r w:rsidR="00D2557C" w:rsidRPr="00DC66CD">
        <w:t>,</w:t>
      </w:r>
      <w:r w:rsidRPr="00DC66CD">
        <w:t xml:space="preserve"> kanë përfaqësuar 8.85 për</w:t>
      </w:r>
      <w:r w:rsidR="00D2557C" w:rsidRPr="00DC66CD">
        <w:t xml:space="preserve"> </w:t>
      </w:r>
      <w:r w:rsidRPr="00DC66CD">
        <w:t xml:space="preserve">qind të shpenzimeve </w:t>
      </w:r>
      <w:r w:rsidR="00802D94" w:rsidRPr="00DC66CD">
        <w:t>korrente</w:t>
      </w:r>
      <w:r w:rsidRPr="00DC66CD">
        <w:t>. Niveli faktik i tyre prej rreth 33.3 miliard</w:t>
      </w:r>
      <w:r w:rsidR="00D2557C" w:rsidRPr="00DC66CD">
        <w:t>ë</w:t>
      </w:r>
      <w:r w:rsidRPr="00DC66CD">
        <w:t xml:space="preserve"> lekë ka rezultuar në masën 98.7 për</w:t>
      </w:r>
      <w:r w:rsidR="00D2557C" w:rsidRPr="00DC66CD">
        <w:t xml:space="preserve"> </w:t>
      </w:r>
      <w:r w:rsidRPr="00DC66CD">
        <w:t>qind të planit të periudhës. Në raport me planin vjetor, në nivel 11</w:t>
      </w:r>
      <w:r w:rsidR="00D2557C" w:rsidRPr="00DC66CD">
        <w:t>-</w:t>
      </w:r>
      <w:r w:rsidRPr="00DC66CD">
        <w:t>mujori</w:t>
      </w:r>
      <w:r w:rsidR="00D2557C" w:rsidRPr="00DC66CD">
        <w:t>,</w:t>
      </w:r>
      <w:r w:rsidRPr="00DC66CD">
        <w:t xml:space="preserve"> këto shpenzime janë realizuar në masën 79.8 për</w:t>
      </w:r>
      <w:r w:rsidR="00D2557C" w:rsidRPr="00DC66CD">
        <w:t xml:space="preserve"> </w:t>
      </w:r>
      <w:r w:rsidRPr="00DC66CD">
        <w:t>qind të planit vjetor</w:t>
      </w:r>
      <w:r w:rsidR="00D2557C" w:rsidRPr="00DC66CD">
        <w:t>,</w:t>
      </w:r>
      <w:r w:rsidRPr="00DC66CD">
        <w:t xml:space="preserve"> sipas </w:t>
      </w:r>
      <w:r w:rsidR="00D2557C" w:rsidRPr="00DC66CD">
        <w:t xml:space="preserve">buxhetit </w:t>
      </w:r>
      <w:r w:rsidRPr="00DC66CD">
        <w:t>fillestar dhe 83 për</w:t>
      </w:r>
      <w:r w:rsidR="00D2557C" w:rsidRPr="00DC66CD">
        <w:t xml:space="preserve"> </w:t>
      </w:r>
      <w:r w:rsidRPr="00DC66CD">
        <w:t>qind sipas AN2. Ndërsa</w:t>
      </w:r>
      <w:r w:rsidR="00D2557C" w:rsidRPr="00DC66CD">
        <w:t>,</w:t>
      </w:r>
      <w:r w:rsidRPr="00DC66CD">
        <w:t xml:space="preserve"> krahasuar me të njëjtën periudhë të vitit 2018, ky zë ka rezultuar 2.7 për</w:t>
      </w:r>
      <w:r w:rsidR="00D2557C" w:rsidRPr="00DC66CD">
        <w:t xml:space="preserve"> </w:t>
      </w:r>
      <w:r w:rsidRPr="00DC66CD">
        <w:t>qind më i ulët ose 920 milion</w:t>
      </w:r>
      <w:r w:rsidR="00D2557C" w:rsidRPr="00DC66CD">
        <w:t>ë</w:t>
      </w:r>
      <w:r w:rsidRPr="00DC66CD">
        <w:t xml:space="preserve"> </w:t>
      </w:r>
      <w:r w:rsidR="00D2557C" w:rsidRPr="00DC66CD">
        <w:t xml:space="preserve">lekë </w:t>
      </w:r>
      <w:r w:rsidRPr="00DC66CD">
        <w:t xml:space="preserve">më pak. </w:t>
      </w:r>
    </w:p>
    <w:p w14:paraId="670810E8" w14:textId="77777777" w:rsidR="00BD55A7" w:rsidRPr="00DC66CD" w:rsidRDefault="00BD55A7" w:rsidP="00BD55A7">
      <w:pPr>
        <w:pStyle w:val="TEKSTIIII"/>
      </w:pPr>
    </w:p>
    <w:p w14:paraId="5B74C0E9" w14:textId="284F699F" w:rsidR="00BD55A7" w:rsidRPr="00DC66CD" w:rsidRDefault="00BD55A7" w:rsidP="00BD55A7">
      <w:pPr>
        <w:pStyle w:val="TEKSTIIII"/>
        <w:rPr>
          <w:i/>
        </w:rPr>
      </w:pPr>
      <w:r w:rsidRPr="00DC66CD">
        <w:rPr>
          <w:i/>
        </w:rPr>
        <w:t xml:space="preserve">Grafiku 4.2.8 Shpenzimet për </w:t>
      </w:r>
      <w:r w:rsidR="00D2557C" w:rsidRPr="00DC66CD">
        <w:rPr>
          <w:i/>
        </w:rPr>
        <w:t xml:space="preserve">interesa </w:t>
      </w:r>
      <w:r w:rsidRPr="00DC66CD">
        <w:rPr>
          <w:i/>
        </w:rPr>
        <w:t xml:space="preserve">(në miliard </w:t>
      </w:r>
      <w:r w:rsidR="00D2557C" w:rsidRPr="00DC66CD">
        <w:rPr>
          <w:i/>
        </w:rPr>
        <w:t>lek)</w:t>
      </w:r>
      <w:r w:rsidRPr="00DC66CD">
        <w:rPr>
          <w:i/>
        </w:rPr>
        <w:t xml:space="preserve"> </w:t>
      </w:r>
    </w:p>
    <w:p w14:paraId="63DF607A" w14:textId="447577C9" w:rsidR="00BD55A7" w:rsidRPr="00DC66CD" w:rsidRDefault="003A3FA2" w:rsidP="00D2557C">
      <w:pPr>
        <w:pStyle w:val="TEKSTIIII"/>
        <w:jc w:val="center"/>
      </w:pPr>
      <w:r w:rsidRPr="00DC66CD">
        <w:rPr>
          <w:rFonts w:ascii="Times New Roman" w:hAnsi="Times New Roman"/>
          <w:i/>
          <w:noProof/>
          <w:lang w:val="en-US" w:eastAsia="en-US"/>
        </w:rPr>
        <w:drawing>
          <wp:inline distT="0" distB="0" distL="0" distR="0" wp14:anchorId="698132F5" wp14:editId="1C8CD226">
            <wp:extent cx="5401310" cy="2475230"/>
            <wp:effectExtent l="0" t="0" r="889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1310" cy="2475230"/>
                    </a:xfrm>
                    <a:prstGeom prst="rect">
                      <a:avLst/>
                    </a:prstGeom>
                    <a:noFill/>
                  </pic:spPr>
                </pic:pic>
              </a:graphicData>
            </a:graphic>
          </wp:inline>
        </w:drawing>
      </w:r>
    </w:p>
    <w:p w14:paraId="4C5A2228" w14:textId="77777777" w:rsidR="001D232D" w:rsidRPr="00DC66CD" w:rsidRDefault="001D232D" w:rsidP="001D232D">
      <w:pPr>
        <w:pStyle w:val="TEKSTIIII"/>
        <w:rPr>
          <w:i/>
        </w:rPr>
      </w:pPr>
      <w:r w:rsidRPr="00DC66CD">
        <w:rPr>
          <w:i/>
        </w:rPr>
        <w:t>Burimi: Ministria e Financave dhe Ekonomisë</w:t>
      </w:r>
    </w:p>
    <w:p w14:paraId="38DD3751" w14:textId="77777777" w:rsidR="001D232D" w:rsidRPr="00DC66CD" w:rsidRDefault="001D232D" w:rsidP="001D232D">
      <w:pPr>
        <w:pStyle w:val="TEKSTIIII"/>
      </w:pPr>
    </w:p>
    <w:p w14:paraId="199FEFA7" w14:textId="11888DC6" w:rsidR="001D232D" w:rsidRPr="00DC66CD" w:rsidRDefault="001D232D" w:rsidP="001D232D">
      <w:pPr>
        <w:pStyle w:val="TEKSTIIII"/>
      </w:pPr>
      <w:r w:rsidRPr="00DC66CD">
        <w:t xml:space="preserve">Shpenzimet Operative </w:t>
      </w:r>
      <w:r w:rsidR="00D2557C" w:rsidRPr="00DC66CD">
        <w:t>dhe</w:t>
      </w:r>
      <w:r w:rsidRPr="00DC66CD">
        <w:t xml:space="preserve"> Mirëmbajtje</w:t>
      </w:r>
      <w:r w:rsidR="00D2557C" w:rsidRPr="00DC66CD">
        <w:t>je</w:t>
      </w:r>
      <w:r w:rsidRPr="00DC66CD">
        <w:t>, gjatë periudhës 11</w:t>
      </w:r>
      <w:r w:rsidR="00D2557C" w:rsidRPr="00DC66CD">
        <w:t>-</w:t>
      </w:r>
      <w:r w:rsidRPr="00DC66CD">
        <w:t>mujore të vitit 2019</w:t>
      </w:r>
      <w:r w:rsidR="00D2557C" w:rsidRPr="00DC66CD">
        <w:t>,</w:t>
      </w:r>
      <w:r w:rsidRPr="00DC66CD">
        <w:t xml:space="preserve"> kanë shënuar një realizim në masën rreth 40.1 miliard</w:t>
      </w:r>
      <w:r w:rsidR="00D2557C" w:rsidRPr="00DC66CD">
        <w:t>ë</w:t>
      </w:r>
      <w:r w:rsidRPr="00DC66CD">
        <w:t xml:space="preserve"> </w:t>
      </w:r>
      <w:r w:rsidR="00D2557C" w:rsidRPr="00DC66CD">
        <w:t>lekë</w:t>
      </w:r>
      <w:r w:rsidRPr="00DC66CD">
        <w:t xml:space="preserve"> ose 95.9 për</w:t>
      </w:r>
      <w:r w:rsidR="00D2557C" w:rsidRPr="00DC66CD">
        <w:t xml:space="preserve"> </w:t>
      </w:r>
      <w:r w:rsidRPr="00DC66CD">
        <w:t>qind të planit të periudhës. Niveli faktik i tyre ka rezultuar në masën 85.6 për</w:t>
      </w:r>
      <w:r w:rsidR="00D2557C" w:rsidRPr="00DC66CD">
        <w:t xml:space="preserve"> </w:t>
      </w:r>
      <w:r w:rsidRPr="00DC66CD">
        <w:t>qind të planit vjetor</w:t>
      </w:r>
      <w:r w:rsidR="00D2557C" w:rsidRPr="00DC66CD">
        <w:t>,</w:t>
      </w:r>
      <w:r w:rsidRPr="00DC66CD">
        <w:t xml:space="preserve"> sipas </w:t>
      </w:r>
      <w:r w:rsidR="00D2557C" w:rsidRPr="00DC66CD">
        <w:t xml:space="preserve">buxhetit </w:t>
      </w:r>
      <w:r w:rsidRPr="00DC66CD">
        <w:t>fillestar dhe 83.5 për</w:t>
      </w:r>
      <w:r w:rsidR="00D2557C" w:rsidRPr="00DC66CD">
        <w:t xml:space="preserve"> </w:t>
      </w:r>
      <w:r w:rsidRPr="00DC66CD">
        <w:t>qind sipas AN2. Krahasuar me të njëjtën periudhë të vitit 2018, ky zë ka rezultuar 9.8 për</w:t>
      </w:r>
      <w:r w:rsidR="00D2557C" w:rsidRPr="00DC66CD">
        <w:t xml:space="preserve"> qind më i lartë</w:t>
      </w:r>
      <w:r w:rsidRPr="00DC66CD">
        <w:t xml:space="preserve"> ose rreth 3.57 miliard</w:t>
      </w:r>
      <w:r w:rsidR="00D2557C" w:rsidRPr="00DC66CD">
        <w:t>ë</w:t>
      </w:r>
      <w:r w:rsidRPr="00DC66CD">
        <w:t xml:space="preserve"> </w:t>
      </w:r>
      <w:r w:rsidR="00D2557C" w:rsidRPr="00DC66CD">
        <w:t xml:space="preserve">lekë </w:t>
      </w:r>
      <w:r w:rsidRPr="00DC66CD">
        <w:t>më shumë.</w:t>
      </w:r>
      <w:r w:rsidR="0072211B" w:rsidRPr="00DC66CD">
        <w:t xml:space="preserve"> </w:t>
      </w:r>
    </w:p>
    <w:p w14:paraId="27B98940" w14:textId="77777777" w:rsidR="001D232D" w:rsidRPr="00DC66CD" w:rsidRDefault="001D232D" w:rsidP="001D232D">
      <w:pPr>
        <w:pStyle w:val="TEKSTIIII"/>
      </w:pPr>
    </w:p>
    <w:p w14:paraId="13D31CD7" w14:textId="123762B6" w:rsidR="001D232D" w:rsidRPr="00DC66CD" w:rsidRDefault="00D2557C" w:rsidP="001D232D">
      <w:pPr>
        <w:pStyle w:val="TEKSTIIII"/>
        <w:rPr>
          <w:i/>
        </w:rPr>
      </w:pPr>
      <w:r w:rsidRPr="00DC66CD">
        <w:rPr>
          <w:i/>
        </w:rPr>
        <w:t>Grafiku 4.2.9</w:t>
      </w:r>
      <w:r w:rsidR="001D232D" w:rsidRPr="00DC66CD">
        <w:rPr>
          <w:i/>
        </w:rPr>
        <w:t xml:space="preserve"> Shpenzimet </w:t>
      </w:r>
      <w:r w:rsidRPr="00DC66CD">
        <w:rPr>
          <w:i/>
        </w:rPr>
        <w:t xml:space="preserve">operative </w:t>
      </w:r>
      <w:r w:rsidR="001D232D" w:rsidRPr="00DC66CD">
        <w:rPr>
          <w:i/>
        </w:rPr>
        <w:t xml:space="preserve">dhe ritmi i rritjes së tyre (në miliard </w:t>
      </w:r>
      <w:r w:rsidRPr="00DC66CD">
        <w:rPr>
          <w:i/>
        </w:rPr>
        <w:t>lek</w:t>
      </w:r>
      <w:r w:rsidR="001D232D" w:rsidRPr="00DC66CD">
        <w:rPr>
          <w:i/>
        </w:rPr>
        <w:t xml:space="preserve">) </w:t>
      </w:r>
    </w:p>
    <w:p w14:paraId="73CAF65C" w14:textId="036063E1" w:rsidR="001D232D" w:rsidRPr="00DC66CD" w:rsidRDefault="00A45101" w:rsidP="00D2557C">
      <w:pPr>
        <w:pStyle w:val="TEKSTIIII"/>
        <w:jc w:val="center"/>
      </w:pPr>
      <w:r w:rsidRPr="00DC66CD">
        <w:rPr>
          <w:rFonts w:ascii="Times New Roman" w:hAnsi="Times New Roman"/>
          <w:i/>
          <w:noProof/>
          <w:lang w:val="en-US" w:eastAsia="en-US"/>
        </w:rPr>
        <w:drawing>
          <wp:inline distT="0" distB="0" distL="0" distR="0" wp14:anchorId="23E45554" wp14:editId="09AA3FE6">
            <wp:extent cx="4645660" cy="2468880"/>
            <wp:effectExtent l="0" t="0" r="254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45660" cy="2468880"/>
                    </a:xfrm>
                    <a:prstGeom prst="rect">
                      <a:avLst/>
                    </a:prstGeom>
                    <a:noFill/>
                  </pic:spPr>
                </pic:pic>
              </a:graphicData>
            </a:graphic>
          </wp:inline>
        </w:drawing>
      </w:r>
    </w:p>
    <w:p w14:paraId="5618E749" w14:textId="77777777" w:rsidR="00D2557C" w:rsidRPr="00DC66CD" w:rsidRDefault="00D2557C" w:rsidP="00D2557C">
      <w:pPr>
        <w:pStyle w:val="TEKSTIIII"/>
        <w:rPr>
          <w:i/>
        </w:rPr>
      </w:pPr>
      <w:r w:rsidRPr="00DC66CD">
        <w:rPr>
          <w:i/>
        </w:rPr>
        <w:t>Burimi: Ministria e Financave dhe Ekonomisë</w:t>
      </w:r>
    </w:p>
    <w:p w14:paraId="51380DD3" w14:textId="77777777" w:rsidR="00775E7B" w:rsidRPr="00DC66CD" w:rsidRDefault="00775E7B" w:rsidP="00622FA2">
      <w:pPr>
        <w:pStyle w:val="TEKSTIIII"/>
      </w:pPr>
    </w:p>
    <w:p w14:paraId="7152F6AC" w14:textId="2E530097" w:rsidR="00775E7B" w:rsidRPr="00DC66CD" w:rsidRDefault="00775E7B" w:rsidP="00775E7B">
      <w:pPr>
        <w:pStyle w:val="TEKSTIIII"/>
      </w:pPr>
      <w:r w:rsidRPr="00DC66CD">
        <w:t xml:space="preserve">Shpenzimet për </w:t>
      </w:r>
      <w:r w:rsidR="00D2557C" w:rsidRPr="00DC66CD">
        <w:t>subvencione</w:t>
      </w:r>
      <w:r w:rsidRPr="00DC66CD">
        <w:t>, në fund të muajit të njëmbëdhjetë të vitit 2019, arritën nivelin rreth 1.24 miliard</w:t>
      </w:r>
      <w:r w:rsidR="00945CC2" w:rsidRPr="00DC66CD">
        <w:t>ë</w:t>
      </w:r>
      <w:r w:rsidRPr="00DC66CD">
        <w:t xml:space="preserve"> </w:t>
      </w:r>
      <w:r w:rsidR="00945CC2" w:rsidRPr="00DC66CD">
        <w:t>lekë</w:t>
      </w:r>
      <w:r w:rsidRPr="00DC66CD">
        <w:t>, me një realizim në masën 104.8 për</w:t>
      </w:r>
      <w:r w:rsidR="00945CC2" w:rsidRPr="00DC66CD">
        <w:t xml:space="preserve"> </w:t>
      </w:r>
      <w:r w:rsidRPr="00DC66CD">
        <w:t>qind të planit të periudhës ose 57 milion</w:t>
      </w:r>
      <w:r w:rsidR="00310FDE" w:rsidRPr="00DC66CD">
        <w:t>ë</w:t>
      </w:r>
      <w:r w:rsidRPr="00DC66CD">
        <w:t xml:space="preserve"> </w:t>
      </w:r>
      <w:r w:rsidR="00945CC2" w:rsidRPr="00DC66CD">
        <w:t xml:space="preserve">lekë </w:t>
      </w:r>
      <w:r w:rsidRPr="00DC66CD">
        <w:t>më shumë në terma nominal</w:t>
      </w:r>
      <w:r w:rsidR="00945CC2" w:rsidRPr="00DC66CD">
        <w:t>ë</w:t>
      </w:r>
      <w:r w:rsidRPr="00DC66CD">
        <w:t>. Në raport me planin vjetor ky zë është realizuar në masën 83.1 për</w:t>
      </w:r>
      <w:r w:rsidR="00945CC2" w:rsidRPr="00DC66CD">
        <w:t xml:space="preserve"> </w:t>
      </w:r>
      <w:r w:rsidRPr="00DC66CD">
        <w:t>qind të planit vjetor</w:t>
      </w:r>
      <w:r w:rsidR="00945CC2" w:rsidRPr="00DC66CD">
        <w:t>,</w:t>
      </w:r>
      <w:r w:rsidRPr="00DC66CD">
        <w:t xml:space="preserve"> sipas </w:t>
      </w:r>
      <w:r w:rsidR="00945CC2" w:rsidRPr="00DC66CD">
        <w:t xml:space="preserve">buxhetit </w:t>
      </w:r>
      <w:r w:rsidRPr="00DC66CD">
        <w:t>fillestar dhe 86.6 për</w:t>
      </w:r>
      <w:r w:rsidR="00945CC2" w:rsidRPr="00DC66CD">
        <w:t xml:space="preserve"> </w:t>
      </w:r>
      <w:r w:rsidRPr="00DC66CD">
        <w:t>qind sipas AN2, ndërkohë që</w:t>
      </w:r>
      <w:r w:rsidR="00945CC2" w:rsidRPr="00DC66CD">
        <w:t>,</w:t>
      </w:r>
      <w:r w:rsidRPr="00DC66CD">
        <w:t xml:space="preserve"> kundrejt </w:t>
      </w:r>
      <w:r w:rsidR="00945CC2" w:rsidRPr="00DC66CD">
        <w:t>s</w:t>
      </w:r>
      <w:r w:rsidRPr="00DC66CD">
        <w:t>ë njëjtës periudhë të vitit 2018</w:t>
      </w:r>
      <w:r w:rsidR="00945CC2" w:rsidRPr="00DC66CD">
        <w:t>,</w:t>
      </w:r>
      <w:r w:rsidRPr="00DC66CD">
        <w:t xml:space="preserve"> shpenzimet për subvencione rezultojnë 11.6 për</w:t>
      </w:r>
      <w:r w:rsidR="00945CC2" w:rsidRPr="00DC66CD">
        <w:t xml:space="preserve"> </w:t>
      </w:r>
      <w:r w:rsidRPr="00DC66CD">
        <w:t>qind më të larta ose 129 milion</w:t>
      </w:r>
      <w:r w:rsidR="00945CC2" w:rsidRPr="00DC66CD">
        <w:t>ë</w:t>
      </w:r>
      <w:r w:rsidRPr="00DC66CD">
        <w:t xml:space="preserve"> </w:t>
      </w:r>
      <w:r w:rsidR="006C7645" w:rsidRPr="00DC66CD">
        <w:t xml:space="preserve">lekë </w:t>
      </w:r>
      <w:r w:rsidRPr="00DC66CD">
        <w:t>më shumë.</w:t>
      </w:r>
    </w:p>
    <w:p w14:paraId="22CB672F" w14:textId="77777777" w:rsidR="00775E7B" w:rsidRPr="00DC66CD" w:rsidRDefault="00775E7B" w:rsidP="00775E7B">
      <w:pPr>
        <w:pStyle w:val="TEKSTIIII"/>
        <w:rPr>
          <w:i/>
        </w:rPr>
      </w:pPr>
    </w:p>
    <w:p w14:paraId="7042286C" w14:textId="16063033" w:rsidR="00775E7B" w:rsidRPr="00DC66CD" w:rsidRDefault="00945CC2" w:rsidP="00775E7B">
      <w:pPr>
        <w:pStyle w:val="TEKSTIIII"/>
        <w:rPr>
          <w:i/>
        </w:rPr>
      </w:pPr>
      <w:r w:rsidRPr="00DC66CD">
        <w:rPr>
          <w:i/>
        </w:rPr>
        <w:t>Grafiku 4.2.10</w:t>
      </w:r>
      <w:r w:rsidR="00775E7B" w:rsidRPr="00DC66CD">
        <w:rPr>
          <w:i/>
        </w:rPr>
        <w:t xml:space="preserve"> Shpenzimet për </w:t>
      </w:r>
      <w:r w:rsidRPr="00DC66CD">
        <w:rPr>
          <w:i/>
        </w:rPr>
        <w:t xml:space="preserve">subvencione </w:t>
      </w:r>
      <w:r w:rsidR="00775E7B" w:rsidRPr="00DC66CD">
        <w:rPr>
          <w:i/>
        </w:rPr>
        <w:t xml:space="preserve">dhe ritmi i rritjes së tyre (në miliard </w:t>
      </w:r>
      <w:r w:rsidRPr="00DC66CD">
        <w:rPr>
          <w:i/>
        </w:rPr>
        <w:t>lek</w:t>
      </w:r>
      <w:r w:rsidR="00775E7B" w:rsidRPr="00DC66CD">
        <w:rPr>
          <w:i/>
        </w:rPr>
        <w:t xml:space="preserve">) </w:t>
      </w:r>
    </w:p>
    <w:p w14:paraId="6E7749B1" w14:textId="5AA3DBA2" w:rsidR="00775E7B" w:rsidRPr="00DC66CD" w:rsidRDefault="002D7939" w:rsidP="00945CC2">
      <w:pPr>
        <w:pStyle w:val="TEKSTIIII"/>
        <w:jc w:val="center"/>
      </w:pPr>
      <w:r w:rsidRPr="00DC66CD">
        <w:rPr>
          <w:rFonts w:ascii="Times New Roman" w:hAnsi="Times New Roman"/>
          <w:i/>
          <w:noProof/>
          <w:lang w:val="en-US" w:eastAsia="en-US"/>
        </w:rPr>
        <w:drawing>
          <wp:inline distT="0" distB="0" distL="0" distR="0" wp14:anchorId="5B2DAE57" wp14:editId="02862D4E">
            <wp:extent cx="4639172" cy="2475230"/>
            <wp:effectExtent l="38100" t="38100" r="104775" b="965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43339" cy="2477454"/>
                    </a:xfrm>
                    <a:prstGeom prst="rect">
                      <a:avLst/>
                    </a:prstGeom>
                    <a:noFill/>
                    <a:effectLst>
                      <a:outerShdw blurRad="50800" dist="38100" dir="2700000" algn="tl" rotWithShape="0">
                        <a:prstClr val="black">
                          <a:alpha val="40000"/>
                        </a:prstClr>
                      </a:outerShdw>
                    </a:effectLst>
                  </pic:spPr>
                </pic:pic>
              </a:graphicData>
            </a:graphic>
          </wp:inline>
        </w:drawing>
      </w:r>
    </w:p>
    <w:p w14:paraId="5645AD24" w14:textId="77777777" w:rsidR="000624C8" w:rsidRPr="00DC66CD" w:rsidRDefault="000624C8" w:rsidP="000624C8">
      <w:pPr>
        <w:pStyle w:val="TEKSTIIII"/>
        <w:rPr>
          <w:i/>
        </w:rPr>
      </w:pPr>
      <w:r w:rsidRPr="00DC66CD">
        <w:rPr>
          <w:i/>
        </w:rPr>
        <w:t>Burimi: Ministria e Financave dhe Ekonomisë</w:t>
      </w:r>
    </w:p>
    <w:p w14:paraId="4A1018D1" w14:textId="77777777" w:rsidR="000624C8" w:rsidRPr="00DC66CD" w:rsidRDefault="000624C8" w:rsidP="000624C8">
      <w:pPr>
        <w:pStyle w:val="TEKSTIIII"/>
      </w:pPr>
    </w:p>
    <w:p w14:paraId="6694E27D" w14:textId="6E46F935" w:rsidR="000624C8" w:rsidRPr="00DC66CD" w:rsidRDefault="000624C8" w:rsidP="000624C8">
      <w:pPr>
        <w:pStyle w:val="TEKSTIIII"/>
      </w:pPr>
      <w:r w:rsidRPr="00DC66CD">
        <w:t xml:space="preserve">Shpenzimet për </w:t>
      </w:r>
      <w:r w:rsidR="00945CC2" w:rsidRPr="00DC66CD">
        <w:t xml:space="preserve">fondet speciale, </w:t>
      </w:r>
      <w:r w:rsidRPr="00DC66CD">
        <w:t>për muajin e njëmbëdhjetë të vitit 2019</w:t>
      </w:r>
      <w:r w:rsidR="00945CC2" w:rsidRPr="00DC66CD">
        <w:t>,</w:t>
      </w:r>
      <w:r w:rsidRPr="00DC66CD">
        <w:t xml:space="preserve"> rezultuan në nivelin rreth 157.1 miliard</w:t>
      </w:r>
      <w:r w:rsidR="00945CC2" w:rsidRPr="00DC66CD">
        <w:t>ë</w:t>
      </w:r>
      <w:r w:rsidRPr="00DC66CD">
        <w:t xml:space="preserve"> LEK</w:t>
      </w:r>
      <w:r w:rsidR="00945CC2" w:rsidRPr="00DC66CD">
        <w:t>ë</w:t>
      </w:r>
      <w:r w:rsidRPr="00DC66CD">
        <w:t>, me një realizim prej 97.4 për</w:t>
      </w:r>
      <w:r w:rsidR="00945CC2" w:rsidRPr="00DC66CD">
        <w:t xml:space="preserve"> </w:t>
      </w:r>
      <w:r w:rsidRPr="00DC66CD">
        <w:t>qind</w:t>
      </w:r>
      <w:r w:rsidR="00945CC2" w:rsidRPr="00DC66CD">
        <w:t>,</w:t>
      </w:r>
      <w:r w:rsidRPr="00DC66CD">
        <w:t xml:space="preserve"> kundrejt planit të periudhës. Përkatësisht: </w:t>
      </w:r>
    </w:p>
    <w:p w14:paraId="78C1CA12" w14:textId="24FFDBAB" w:rsidR="000624C8" w:rsidRPr="00DC66CD" w:rsidRDefault="00004F13" w:rsidP="000624C8">
      <w:pPr>
        <w:pStyle w:val="TEKSTIIII"/>
      </w:pPr>
      <w:r w:rsidRPr="00DC66CD">
        <w:t>-</w:t>
      </w:r>
      <w:r w:rsidR="00945CC2" w:rsidRPr="00DC66CD">
        <w:t xml:space="preserve"> </w:t>
      </w:r>
      <w:r w:rsidR="000624C8" w:rsidRPr="00DC66CD">
        <w:t>shpenzimet për sigurime shoqërore u realizuan në masën rreth 116.9 miliard</w:t>
      </w:r>
      <w:r w:rsidR="00945CC2" w:rsidRPr="00DC66CD">
        <w:t>ë</w:t>
      </w:r>
      <w:r w:rsidR="000624C8" w:rsidRPr="00DC66CD">
        <w:t xml:space="preserve"> </w:t>
      </w:r>
      <w:r w:rsidR="00945CC2" w:rsidRPr="00DC66CD">
        <w:t>lekë;</w:t>
      </w:r>
      <w:r w:rsidR="000624C8" w:rsidRPr="00DC66CD">
        <w:t xml:space="preserve"> </w:t>
      </w:r>
    </w:p>
    <w:p w14:paraId="3D720DA0" w14:textId="3CC819D1" w:rsidR="000624C8" w:rsidRPr="00DC66CD" w:rsidRDefault="00004F13" w:rsidP="000624C8">
      <w:pPr>
        <w:pStyle w:val="TEKSTIIII"/>
      </w:pPr>
      <w:r w:rsidRPr="00DC66CD">
        <w:t>-</w:t>
      </w:r>
      <w:r w:rsidR="00945CC2" w:rsidRPr="00DC66CD">
        <w:t xml:space="preserve"> </w:t>
      </w:r>
      <w:r w:rsidR="000624C8" w:rsidRPr="00DC66CD">
        <w:t>shpenzimet për sigurime shëndetësore në rreth 38 miliard</w:t>
      </w:r>
      <w:r w:rsidR="00945CC2" w:rsidRPr="00DC66CD">
        <w:t>ë</w:t>
      </w:r>
      <w:r w:rsidR="000624C8" w:rsidRPr="00DC66CD">
        <w:t xml:space="preserve"> </w:t>
      </w:r>
      <w:r w:rsidR="00945CC2" w:rsidRPr="00DC66CD">
        <w:t xml:space="preserve">lekë; </w:t>
      </w:r>
      <w:r w:rsidR="000624C8" w:rsidRPr="00DC66CD">
        <w:t xml:space="preserve">dhe </w:t>
      </w:r>
    </w:p>
    <w:p w14:paraId="5B817AFB" w14:textId="1E6B7D60" w:rsidR="000624C8" w:rsidRPr="00DC66CD" w:rsidRDefault="00004F13" w:rsidP="000624C8">
      <w:pPr>
        <w:pStyle w:val="TEKSTIIII"/>
      </w:pPr>
      <w:r w:rsidRPr="00DC66CD">
        <w:t>-</w:t>
      </w:r>
      <w:r w:rsidR="00945CC2" w:rsidRPr="00DC66CD">
        <w:t xml:space="preserve"> </w:t>
      </w:r>
      <w:r w:rsidR="000624C8" w:rsidRPr="00DC66CD">
        <w:t>shpenzimet për kompensimin e pronarëve në rreth 2.1 miliard</w:t>
      </w:r>
      <w:r w:rsidR="00945CC2" w:rsidRPr="00DC66CD">
        <w:t>ë</w:t>
      </w:r>
      <w:r w:rsidR="000624C8" w:rsidRPr="00DC66CD">
        <w:t xml:space="preserve"> </w:t>
      </w:r>
      <w:r w:rsidR="00945CC2" w:rsidRPr="00DC66CD">
        <w:t>lekë</w:t>
      </w:r>
      <w:r w:rsidR="000624C8" w:rsidRPr="00DC66CD">
        <w:t xml:space="preserve">. </w:t>
      </w:r>
    </w:p>
    <w:p w14:paraId="1157D072" w14:textId="77777777" w:rsidR="000624C8" w:rsidRPr="00DC66CD" w:rsidRDefault="000624C8" w:rsidP="000624C8">
      <w:pPr>
        <w:pStyle w:val="TEKSTIIII"/>
      </w:pPr>
    </w:p>
    <w:p w14:paraId="70E4500C" w14:textId="19E38DD0" w:rsidR="000624C8" w:rsidRPr="00DC66CD" w:rsidRDefault="000624C8" w:rsidP="000624C8">
      <w:pPr>
        <w:pStyle w:val="TEKSTIIII"/>
      </w:pPr>
      <w:r w:rsidRPr="00DC66CD">
        <w:t xml:space="preserve">Kundrejt </w:t>
      </w:r>
      <w:r w:rsidR="00183200" w:rsidRPr="00DC66CD">
        <w:t>s</w:t>
      </w:r>
      <w:r w:rsidRPr="00DC66CD">
        <w:t>ë njëjtës periudhë të vitit 2018, shpenzimet për sigurime shoqërore janë 6.65 miliard</w:t>
      </w:r>
      <w:r w:rsidR="00183200" w:rsidRPr="00DC66CD">
        <w:t>ë</w:t>
      </w:r>
      <w:r w:rsidRPr="00DC66CD">
        <w:t xml:space="preserve"> </w:t>
      </w:r>
      <w:r w:rsidR="00183200" w:rsidRPr="00DC66CD">
        <w:t xml:space="preserve">lekë </w:t>
      </w:r>
      <w:r w:rsidRPr="00DC66CD">
        <w:t>më të larta, shpenzimet për sigurime shëndetësore janë 2.76 miliard</w:t>
      </w:r>
      <w:r w:rsidR="00183200" w:rsidRPr="00DC66CD">
        <w:t>ë</w:t>
      </w:r>
      <w:r w:rsidRPr="00DC66CD">
        <w:t xml:space="preserve"> </w:t>
      </w:r>
      <w:r w:rsidR="00183200" w:rsidRPr="00DC66CD">
        <w:t xml:space="preserve">lekë </w:t>
      </w:r>
      <w:r w:rsidRPr="00DC66CD">
        <w:t>më të larta, ndërsa shpenzimet për kompensimin e pronarëve 203 milion</w:t>
      </w:r>
      <w:r w:rsidR="00183200" w:rsidRPr="00DC66CD">
        <w:t>ë</w:t>
      </w:r>
      <w:r w:rsidRPr="00DC66CD">
        <w:t xml:space="preserve"> </w:t>
      </w:r>
      <w:r w:rsidR="00183200" w:rsidRPr="00DC66CD">
        <w:t xml:space="preserve">lekë </w:t>
      </w:r>
      <w:r w:rsidRPr="00DC66CD">
        <w:t>më të ulëta.</w:t>
      </w:r>
    </w:p>
    <w:p w14:paraId="01DFC3C4" w14:textId="77777777" w:rsidR="000624C8" w:rsidRPr="00DC66CD" w:rsidRDefault="000624C8" w:rsidP="000624C8">
      <w:pPr>
        <w:pStyle w:val="TEKSTIIII"/>
      </w:pPr>
    </w:p>
    <w:p w14:paraId="0065DCCC" w14:textId="4A460C3F" w:rsidR="000624C8" w:rsidRPr="00DC66CD" w:rsidRDefault="000624C8" w:rsidP="000624C8">
      <w:pPr>
        <w:pStyle w:val="TEKSTIIII"/>
        <w:rPr>
          <w:i/>
        </w:rPr>
      </w:pPr>
      <w:r w:rsidRPr="00DC66CD">
        <w:rPr>
          <w:i/>
        </w:rPr>
        <w:t>Grafiku 4.2.11</w:t>
      </w:r>
      <w:r w:rsidR="00183200" w:rsidRPr="00DC66CD">
        <w:rPr>
          <w:i/>
        </w:rPr>
        <w:t>.</w:t>
      </w:r>
      <w:r w:rsidRPr="00DC66CD">
        <w:rPr>
          <w:i/>
        </w:rPr>
        <w:t xml:space="preserve"> Shpenzimet për </w:t>
      </w:r>
      <w:r w:rsidR="00183200" w:rsidRPr="00DC66CD">
        <w:rPr>
          <w:i/>
        </w:rPr>
        <w:t xml:space="preserve">sigurime shoqërore dhe shëndetësore </w:t>
      </w:r>
      <w:r w:rsidRPr="00DC66CD">
        <w:rPr>
          <w:i/>
        </w:rPr>
        <w:t xml:space="preserve">(në miliard </w:t>
      </w:r>
      <w:r w:rsidR="00183200" w:rsidRPr="00DC66CD">
        <w:rPr>
          <w:i/>
        </w:rPr>
        <w:t>lek</w:t>
      </w:r>
      <w:r w:rsidRPr="00DC66CD">
        <w:rPr>
          <w:i/>
        </w:rPr>
        <w:t xml:space="preserve">) </w:t>
      </w:r>
    </w:p>
    <w:p w14:paraId="084B92A6" w14:textId="28780FA2" w:rsidR="000624C8" w:rsidRPr="00DC66CD" w:rsidRDefault="00406186" w:rsidP="00183200">
      <w:pPr>
        <w:pStyle w:val="TEKSTIIII"/>
        <w:jc w:val="center"/>
      </w:pPr>
      <w:r w:rsidRPr="00DC66CD">
        <w:rPr>
          <w:rFonts w:ascii="Times New Roman" w:hAnsi="Times New Roman"/>
          <w:i/>
          <w:noProof/>
          <w:lang w:val="en-US" w:eastAsia="en-US"/>
        </w:rPr>
        <w:drawing>
          <wp:inline distT="0" distB="0" distL="0" distR="0" wp14:anchorId="20FC7C77" wp14:editId="113FA711">
            <wp:extent cx="4777281" cy="2201684"/>
            <wp:effectExtent l="0" t="0" r="4445"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81869" cy="2203799"/>
                    </a:xfrm>
                    <a:prstGeom prst="rect">
                      <a:avLst/>
                    </a:prstGeom>
                    <a:noFill/>
                  </pic:spPr>
                </pic:pic>
              </a:graphicData>
            </a:graphic>
          </wp:inline>
        </w:drawing>
      </w:r>
    </w:p>
    <w:p w14:paraId="4A8B2D7A" w14:textId="77777777" w:rsidR="00C37F1D" w:rsidRPr="00DC66CD" w:rsidRDefault="00C37F1D" w:rsidP="00C37F1D">
      <w:pPr>
        <w:pStyle w:val="TEKSTIIII"/>
        <w:rPr>
          <w:i/>
        </w:rPr>
      </w:pPr>
      <w:r w:rsidRPr="00DC66CD">
        <w:rPr>
          <w:i/>
        </w:rPr>
        <w:t>Burimi: Ministria e Financave dhe Ekonomisë</w:t>
      </w:r>
    </w:p>
    <w:p w14:paraId="585C79F6" w14:textId="77777777" w:rsidR="00C37F1D" w:rsidRPr="00DC66CD" w:rsidRDefault="00C37F1D" w:rsidP="00C37F1D">
      <w:pPr>
        <w:pStyle w:val="TEKSTIIII"/>
      </w:pPr>
    </w:p>
    <w:p w14:paraId="6EBFA7A2" w14:textId="192F479C" w:rsidR="00C37F1D" w:rsidRPr="00DC66CD" w:rsidRDefault="00C37F1D" w:rsidP="00C37F1D">
      <w:pPr>
        <w:pStyle w:val="TEKSTIIII"/>
      </w:pPr>
      <w:r w:rsidRPr="00DC66CD">
        <w:t xml:space="preserve">Shpenzimet për </w:t>
      </w:r>
      <w:r w:rsidR="00183200" w:rsidRPr="00DC66CD">
        <w:t xml:space="preserve">papunësinë, </w:t>
      </w:r>
      <w:r w:rsidRPr="00DC66CD">
        <w:t>për 11</w:t>
      </w:r>
      <w:r w:rsidR="00183200" w:rsidRPr="00DC66CD">
        <w:t>-</w:t>
      </w:r>
      <w:r w:rsidRPr="00DC66CD">
        <w:t>mujorin e vitit 2019</w:t>
      </w:r>
      <w:r w:rsidR="00007268" w:rsidRPr="00DC66CD">
        <w:t>,</w:t>
      </w:r>
      <w:r w:rsidRPr="00DC66CD">
        <w:t xml:space="preserve"> janë realizuar në masën 96 për</w:t>
      </w:r>
      <w:r w:rsidR="00007268" w:rsidRPr="00DC66CD">
        <w:t xml:space="preserve"> </w:t>
      </w:r>
      <w:r w:rsidRPr="00DC66CD">
        <w:t>qind e planit të periudhës ose 92.6 për</w:t>
      </w:r>
      <w:r w:rsidR="00007268" w:rsidRPr="00DC66CD">
        <w:t xml:space="preserve"> </w:t>
      </w:r>
      <w:r w:rsidRPr="00DC66CD">
        <w:t>qind e planit vjetor</w:t>
      </w:r>
      <w:r w:rsidR="00007268" w:rsidRPr="00DC66CD">
        <w:t>,</w:t>
      </w:r>
      <w:r w:rsidRPr="00DC66CD">
        <w:t xml:space="preserve"> sipas </w:t>
      </w:r>
      <w:r w:rsidR="00007268" w:rsidRPr="00DC66CD">
        <w:t xml:space="preserve">buxhetit </w:t>
      </w:r>
      <w:r w:rsidRPr="00DC66CD">
        <w:t>fillestar dhe 85.7 për</w:t>
      </w:r>
      <w:r w:rsidR="00007268" w:rsidRPr="00DC66CD">
        <w:t xml:space="preserve"> </w:t>
      </w:r>
      <w:r w:rsidRPr="00DC66CD">
        <w:t xml:space="preserve">qind sipas AN2. Kundrejt </w:t>
      </w:r>
      <w:r w:rsidR="00007268" w:rsidRPr="00DC66CD">
        <w:t>s</w:t>
      </w:r>
      <w:r w:rsidRPr="00DC66CD">
        <w:t>ë njëjtës periudhë të vitit 2018</w:t>
      </w:r>
      <w:r w:rsidR="00007268" w:rsidRPr="00DC66CD">
        <w:t>,</w:t>
      </w:r>
      <w:r w:rsidRPr="00DC66CD">
        <w:t xml:space="preserve"> shpenzimet për këtë zë rezultojnë me një rritje në masën 53 për</w:t>
      </w:r>
      <w:r w:rsidR="00007268" w:rsidRPr="00DC66CD">
        <w:t xml:space="preserve"> qind</w:t>
      </w:r>
      <w:r w:rsidRPr="00DC66CD">
        <w:t xml:space="preserve"> ose 160 milion</w:t>
      </w:r>
      <w:r w:rsidR="00007268" w:rsidRPr="00DC66CD">
        <w:t>ë</w:t>
      </w:r>
      <w:r w:rsidRPr="00DC66CD">
        <w:t xml:space="preserve"> </w:t>
      </w:r>
      <w:r w:rsidR="00007268" w:rsidRPr="00DC66CD">
        <w:t xml:space="preserve">lekë </w:t>
      </w:r>
      <w:r w:rsidRPr="00DC66CD">
        <w:t xml:space="preserve">më shumë në terma nominalë. </w:t>
      </w:r>
    </w:p>
    <w:p w14:paraId="498EE6D0" w14:textId="08E878A2" w:rsidR="00C37F1D" w:rsidRPr="00DC66CD" w:rsidRDefault="00C37F1D" w:rsidP="00C37F1D">
      <w:pPr>
        <w:pStyle w:val="TEKSTIIII"/>
      </w:pPr>
      <w:r w:rsidRPr="00DC66CD">
        <w:t xml:space="preserve">Shpenzimet për </w:t>
      </w:r>
      <w:r w:rsidR="00007268" w:rsidRPr="00DC66CD">
        <w:t xml:space="preserve">ndihmën ekonomike dhe pagesën e paaftësisë </w:t>
      </w:r>
      <w:r w:rsidRPr="00DC66CD">
        <w:t>(PAK)</w:t>
      </w:r>
      <w:r w:rsidR="00007268" w:rsidRPr="00DC66CD">
        <w:t>, për periudhën 11-</w:t>
      </w:r>
      <w:r w:rsidRPr="00DC66CD">
        <w:t>mujore të vitit 2019</w:t>
      </w:r>
      <w:r w:rsidR="00007268" w:rsidRPr="00DC66CD">
        <w:t>,</w:t>
      </w:r>
      <w:r w:rsidRPr="00DC66CD">
        <w:t xml:space="preserve"> u realizuan në masën rreth 18.9 miliard</w:t>
      </w:r>
      <w:r w:rsidR="00007268" w:rsidRPr="00DC66CD">
        <w:t>ë</w:t>
      </w:r>
      <w:r w:rsidRPr="00DC66CD">
        <w:t xml:space="preserve"> </w:t>
      </w:r>
      <w:r w:rsidR="00007268" w:rsidRPr="00DC66CD">
        <w:t xml:space="preserve">lekë, </w:t>
      </w:r>
      <w:r w:rsidRPr="00DC66CD">
        <w:t>duke rezultuar 100 për</w:t>
      </w:r>
      <w:r w:rsidR="00007268" w:rsidRPr="00DC66CD">
        <w:t xml:space="preserve"> </w:t>
      </w:r>
      <w:r w:rsidRPr="00DC66CD">
        <w:t>qind e planit të periudhës. Në raport me planin vjetor ato janë realizuar në masën 92 për</w:t>
      </w:r>
      <w:r w:rsidR="00007268" w:rsidRPr="00DC66CD">
        <w:t xml:space="preserve"> </w:t>
      </w:r>
      <w:r w:rsidRPr="00DC66CD">
        <w:t>qind të planit vjetor</w:t>
      </w:r>
      <w:r w:rsidR="00007268" w:rsidRPr="00DC66CD">
        <w:t>,</w:t>
      </w:r>
      <w:r w:rsidRPr="00DC66CD">
        <w:t xml:space="preserve"> sipas </w:t>
      </w:r>
      <w:r w:rsidR="00007268" w:rsidRPr="00DC66CD">
        <w:t xml:space="preserve">buxhetit </w:t>
      </w:r>
      <w:r w:rsidRPr="00DC66CD">
        <w:t>fillestar dhe 90.7 për</w:t>
      </w:r>
      <w:r w:rsidR="00007268" w:rsidRPr="00DC66CD">
        <w:t xml:space="preserve"> </w:t>
      </w:r>
      <w:r w:rsidRPr="00DC66CD">
        <w:t xml:space="preserve">qind sipas AN2. Kundrejt </w:t>
      </w:r>
      <w:r w:rsidR="00007268" w:rsidRPr="00DC66CD">
        <w:t>s</w:t>
      </w:r>
      <w:r w:rsidRPr="00DC66CD">
        <w:t>ë njëjtës periudhë të vitit 2018</w:t>
      </w:r>
      <w:r w:rsidR="00007268" w:rsidRPr="00DC66CD">
        <w:t>,</w:t>
      </w:r>
      <w:r w:rsidRPr="00DC66CD">
        <w:t xml:space="preserve"> shpenzimet për këtë zë rezultojnë me një rritje në masën 5.5 për</w:t>
      </w:r>
      <w:r w:rsidR="00007268" w:rsidRPr="00DC66CD">
        <w:t xml:space="preserve"> </w:t>
      </w:r>
      <w:r w:rsidRPr="00DC66CD">
        <w:t>qind ose 989 milion</w:t>
      </w:r>
      <w:r w:rsidR="005E6738" w:rsidRPr="00DC66CD">
        <w:t>ë</w:t>
      </w:r>
      <w:r w:rsidRPr="00DC66CD">
        <w:t xml:space="preserve"> </w:t>
      </w:r>
      <w:r w:rsidR="00007268" w:rsidRPr="00DC66CD">
        <w:t xml:space="preserve">lekë </w:t>
      </w:r>
      <w:r w:rsidRPr="00DC66CD">
        <w:t>më shumë në terma nominalë.</w:t>
      </w:r>
    </w:p>
    <w:p w14:paraId="0A39A83C" w14:textId="6C4AACD6" w:rsidR="00C37F1D" w:rsidRPr="00DC66CD" w:rsidRDefault="00C37F1D" w:rsidP="00C37F1D">
      <w:pPr>
        <w:pStyle w:val="TEKSTIIII"/>
      </w:pPr>
      <w:r w:rsidRPr="00DC66CD">
        <w:t>Shpenzimet për kompensimin e ish-të përndjekurve politik</w:t>
      </w:r>
      <w:r w:rsidR="00007268" w:rsidRPr="00DC66CD">
        <w:t>ë, për periudhën 11-</w:t>
      </w:r>
      <w:r w:rsidRPr="00DC66CD">
        <w:t>mujore të vitit 2019</w:t>
      </w:r>
      <w:r w:rsidR="00007268" w:rsidRPr="00DC66CD">
        <w:t>,</w:t>
      </w:r>
      <w:r w:rsidRPr="00DC66CD">
        <w:t xml:space="preserve"> u realizuan në masën 1.15 miliard</w:t>
      </w:r>
      <w:r w:rsidR="005E6738" w:rsidRPr="00DC66CD">
        <w:t>ë</w:t>
      </w:r>
      <w:r w:rsidRPr="00DC66CD">
        <w:t xml:space="preserve"> </w:t>
      </w:r>
      <w:r w:rsidR="00007268" w:rsidRPr="00DC66CD">
        <w:t xml:space="preserve">lekë, </w:t>
      </w:r>
      <w:r w:rsidRPr="00DC66CD">
        <w:t>duke rezultuar 104.5 për</w:t>
      </w:r>
      <w:r w:rsidR="00007268" w:rsidRPr="00DC66CD">
        <w:t xml:space="preserve"> </w:t>
      </w:r>
      <w:r w:rsidRPr="00DC66CD">
        <w:t>qind krahasuar me planin e periudhës. Në raport me planin vjetor ato janë realizuar në masën 115.4 për</w:t>
      </w:r>
      <w:r w:rsidR="00007268" w:rsidRPr="00DC66CD">
        <w:t xml:space="preserve"> </w:t>
      </w:r>
      <w:r w:rsidRPr="00DC66CD">
        <w:t>qind të planit vjetor</w:t>
      </w:r>
      <w:r w:rsidR="00007268" w:rsidRPr="00DC66CD">
        <w:t>,</w:t>
      </w:r>
      <w:r w:rsidRPr="00DC66CD">
        <w:t xml:space="preserve"> sipas </w:t>
      </w:r>
      <w:r w:rsidR="00007268" w:rsidRPr="00DC66CD">
        <w:t xml:space="preserve">buxhetit </w:t>
      </w:r>
      <w:r w:rsidRPr="00DC66CD">
        <w:t>fillestar dhe 96.2 për</w:t>
      </w:r>
      <w:r w:rsidR="00007268" w:rsidRPr="00DC66CD">
        <w:t xml:space="preserve"> </w:t>
      </w:r>
      <w:r w:rsidRPr="00DC66CD">
        <w:t xml:space="preserve">qind të AN2. Kundrejt </w:t>
      </w:r>
      <w:r w:rsidR="00007268" w:rsidRPr="00DC66CD">
        <w:t>s</w:t>
      </w:r>
      <w:r w:rsidRPr="00DC66CD">
        <w:t>ë njëjtës periudhë të vitit 2018</w:t>
      </w:r>
      <w:r w:rsidR="00007268" w:rsidRPr="00DC66CD">
        <w:t>,</w:t>
      </w:r>
      <w:r w:rsidRPr="00DC66CD">
        <w:t xml:space="preserve"> shpenzimet për këtë zë rezultojnë me një rritje në masën 477 milion</w:t>
      </w:r>
      <w:r w:rsidR="00007268" w:rsidRPr="00DC66CD">
        <w:t>ë</w:t>
      </w:r>
      <w:r w:rsidRPr="00DC66CD">
        <w:t xml:space="preserve"> </w:t>
      </w:r>
      <w:r w:rsidR="00007268" w:rsidRPr="00DC66CD">
        <w:t xml:space="preserve">lekë </w:t>
      </w:r>
      <w:r w:rsidRPr="00DC66CD">
        <w:t>më shumë në terma nominalë.</w:t>
      </w:r>
    </w:p>
    <w:p w14:paraId="60F7C423" w14:textId="3C582D8D" w:rsidR="00C37F1D" w:rsidRPr="00DC66CD" w:rsidRDefault="00C37F1D" w:rsidP="00C37F1D">
      <w:pPr>
        <w:pStyle w:val="TEKSTIIII"/>
      </w:pPr>
      <w:r w:rsidRPr="00DC66CD">
        <w:t>Shpenzimet për bonusin e lindjeve për periudhën 11</w:t>
      </w:r>
      <w:r w:rsidR="00007268" w:rsidRPr="00DC66CD">
        <w:t>-</w:t>
      </w:r>
      <w:r w:rsidRPr="00DC66CD">
        <w:t>mujore të vitit 2019 u realizuan në masën rreth 2.1 miliard</w:t>
      </w:r>
      <w:r w:rsidR="005E6738" w:rsidRPr="00DC66CD">
        <w:t>ë</w:t>
      </w:r>
      <w:r w:rsidRPr="00DC66CD">
        <w:t xml:space="preserve"> </w:t>
      </w:r>
      <w:r w:rsidR="00007268" w:rsidRPr="00DC66CD">
        <w:t xml:space="preserve">lekë, </w:t>
      </w:r>
      <w:r w:rsidRPr="00DC66CD">
        <w:t>duke rezultuar 121.4 për</w:t>
      </w:r>
      <w:r w:rsidR="00007268" w:rsidRPr="00DC66CD">
        <w:t xml:space="preserve"> </w:t>
      </w:r>
      <w:r w:rsidRPr="00DC66CD">
        <w:t>qind e planit të periudhës ose 374 milion</w:t>
      </w:r>
      <w:r w:rsidR="00007268" w:rsidRPr="00DC66CD">
        <w:t>ë</w:t>
      </w:r>
      <w:r w:rsidRPr="00DC66CD">
        <w:t xml:space="preserve"> </w:t>
      </w:r>
      <w:r w:rsidR="00007268" w:rsidRPr="00DC66CD">
        <w:t xml:space="preserve">lekë </w:t>
      </w:r>
      <w:r w:rsidRPr="00DC66CD">
        <w:t>më shumë në terma nominalë. Në raport me planin vjetor ato janë realizuar në masën 106.2 për</w:t>
      </w:r>
      <w:r w:rsidR="00007268" w:rsidRPr="00DC66CD">
        <w:t xml:space="preserve"> </w:t>
      </w:r>
      <w:r w:rsidRPr="00DC66CD">
        <w:t>qind të planit vjetor</w:t>
      </w:r>
      <w:r w:rsidR="00007268" w:rsidRPr="00DC66CD">
        <w:t>,</w:t>
      </w:r>
      <w:r w:rsidRPr="00DC66CD">
        <w:t xml:space="preserve"> sipas </w:t>
      </w:r>
      <w:r w:rsidR="00007268" w:rsidRPr="00DC66CD">
        <w:t xml:space="preserve">buxhetit </w:t>
      </w:r>
      <w:r w:rsidRPr="00DC66CD">
        <w:t>fillestar dhe 118 për</w:t>
      </w:r>
      <w:r w:rsidR="00007268" w:rsidRPr="00DC66CD">
        <w:t xml:space="preserve"> </w:t>
      </w:r>
      <w:r w:rsidRPr="00DC66CD">
        <w:t xml:space="preserve">qind sipas AN2. </w:t>
      </w:r>
    </w:p>
    <w:p w14:paraId="1C2C515A" w14:textId="77777777" w:rsidR="00C37F1D" w:rsidRPr="00DC66CD" w:rsidRDefault="00C37F1D" w:rsidP="00C37F1D">
      <w:pPr>
        <w:pStyle w:val="TEKSTIIII"/>
      </w:pPr>
    </w:p>
    <w:p w14:paraId="6B39ACFB" w14:textId="0AC9CD18" w:rsidR="00C37F1D" w:rsidRPr="00DC66CD" w:rsidRDefault="00C37F1D" w:rsidP="00C37F1D">
      <w:pPr>
        <w:pStyle w:val="TEKSTIIII"/>
        <w:rPr>
          <w:i/>
        </w:rPr>
      </w:pPr>
      <w:r w:rsidRPr="00DC66CD">
        <w:rPr>
          <w:i/>
        </w:rPr>
        <w:t>Grafiku 4.2.12</w:t>
      </w:r>
      <w:r w:rsidR="00007268" w:rsidRPr="00DC66CD">
        <w:rPr>
          <w:i/>
        </w:rPr>
        <w:t>.</w:t>
      </w:r>
      <w:r w:rsidRPr="00DC66CD">
        <w:rPr>
          <w:i/>
        </w:rPr>
        <w:t xml:space="preserve"> Shpenzimet për </w:t>
      </w:r>
      <w:r w:rsidR="00007268" w:rsidRPr="00DC66CD">
        <w:rPr>
          <w:i/>
        </w:rPr>
        <w:t>ndihmën ekonomike</w:t>
      </w:r>
      <w:r w:rsidRPr="00DC66CD">
        <w:rPr>
          <w:i/>
        </w:rPr>
        <w:t>, PAK</w:t>
      </w:r>
      <w:r w:rsidR="00007268" w:rsidRPr="00DC66CD">
        <w:rPr>
          <w:i/>
        </w:rPr>
        <w:t>-në</w:t>
      </w:r>
      <w:r w:rsidRPr="00DC66CD">
        <w:rPr>
          <w:i/>
        </w:rPr>
        <w:t xml:space="preserve"> dhe Papunësinë (në miliard </w:t>
      </w:r>
      <w:r w:rsidR="00007268" w:rsidRPr="00DC66CD">
        <w:rPr>
          <w:i/>
        </w:rPr>
        <w:t>lek</w:t>
      </w:r>
      <w:r w:rsidRPr="00DC66CD">
        <w:rPr>
          <w:i/>
        </w:rPr>
        <w:t xml:space="preserve">) </w:t>
      </w:r>
    </w:p>
    <w:p w14:paraId="239948D1" w14:textId="0119659B" w:rsidR="00C37F1D" w:rsidRPr="00DC66CD" w:rsidRDefault="00E10500" w:rsidP="00007268">
      <w:pPr>
        <w:pStyle w:val="TEKSTIIII"/>
        <w:jc w:val="center"/>
      </w:pPr>
      <w:r w:rsidRPr="00DC66CD">
        <w:rPr>
          <w:rFonts w:ascii="Times New Roman" w:hAnsi="Times New Roman"/>
          <w:i/>
          <w:noProof/>
          <w:lang w:val="en-US" w:eastAsia="en-US"/>
        </w:rPr>
        <w:drawing>
          <wp:inline distT="0" distB="0" distL="0" distR="0" wp14:anchorId="465B9B30" wp14:editId="435D5CE6">
            <wp:extent cx="4595157" cy="2592126"/>
            <wp:effectExtent l="38100" t="38100" r="91440" b="939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06658" cy="2598614"/>
                    </a:xfrm>
                    <a:prstGeom prst="rect">
                      <a:avLst/>
                    </a:prstGeom>
                    <a:noFill/>
                    <a:effectLst>
                      <a:outerShdw blurRad="50800" dist="38100" dir="2700000" algn="tl" rotWithShape="0">
                        <a:prstClr val="black">
                          <a:alpha val="40000"/>
                        </a:prstClr>
                      </a:outerShdw>
                    </a:effectLst>
                  </pic:spPr>
                </pic:pic>
              </a:graphicData>
            </a:graphic>
          </wp:inline>
        </w:drawing>
      </w:r>
    </w:p>
    <w:p w14:paraId="0EC0E63A" w14:textId="77777777" w:rsidR="000527AB" w:rsidRPr="00DC66CD" w:rsidRDefault="000527AB" w:rsidP="000527AB">
      <w:pPr>
        <w:pStyle w:val="TEKSTIIII"/>
        <w:rPr>
          <w:i/>
        </w:rPr>
      </w:pPr>
      <w:r w:rsidRPr="00DC66CD">
        <w:rPr>
          <w:i/>
        </w:rPr>
        <w:t>Burimi: Ministria e Financave dhe Ekonomisë</w:t>
      </w:r>
    </w:p>
    <w:p w14:paraId="3AC4D6B8" w14:textId="77777777" w:rsidR="000527AB" w:rsidRPr="00DC66CD" w:rsidRDefault="000527AB" w:rsidP="000527AB">
      <w:pPr>
        <w:pStyle w:val="TEKSTIIII"/>
      </w:pPr>
    </w:p>
    <w:p w14:paraId="2C6E19E6" w14:textId="359C24AC" w:rsidR="000527AB" w:rsidRPr="00DC66CD" w:rsidRDefault="000527AB" w:rsidP="000527AB">
      <w:pPr>
        <w:pStyle w:val="TEKSTIIII"/>
      </w:pPr>
      <w:r w:rsidRPr="00DC66CD">
        <w:t xml:space="preserve">Shpenzimet për </w:t>
      </w:r>
      <w:r w:rsidR="00007268" w:rsidRPr="00DC66CD">
        <w:t>pushtetin vendor, gjatë periudhës 11-</w:t>
      </w:r>
      <w:r w:rsidRPr="00DC66CD">
        <w:t>mujore të vitit 2019</w:t>
      </w:r>
      <w:r w:rsidR="00007268" w:rsidRPr="00DC66CD">
        <w:t>,</w:t>
      </w:r>
      <w:r w:rsidRPr="00DC66CD">
        <w:t xml:space="preserve"> kanë arritur në masën</w:t>
      </w:r>
      <w:r w:rsidR="0072211B" w:rsidRPr="00DC66CD">
        <w:t xml:space="preserve"> </w:t>
      </w:r>
      <w:r w:rsidRPr="00DC66CD">
        <w:t>rreth 51.8 miliard</w:t>
      </w:r>
      <w:r w:rsidR="00007268" w:rsidRPr="00DC66CD">
        <w:t>ë</w:t>
      </w:r>
      <w:r w:rsidRPr="00DC66CD">
        <w:t xml:space="preserve"> </w:t>
      </w:r>
      <w:r w:rsidR="00007268" w:rsidRPr="00DC66CD">
        <w:t xml:space="preserve">lekë, </w:t>
      </w:r>
      <w:r w:rsidRPr="00DC66CD">
        <w:t>duke përbërë 13.8 për</w:t>
      </w:r>
      <w:r w:rsidR="00007268" w:rsidRPr="00DC66CD">
        <w:t xml:space="preserve"> </w:t>
      </w:r>
      <w:r w:rsidRPr="00DC66CD">
        <w:t xml:space="preserve">qind të shpenzimeve </w:t>
      </w:r>
      <w:r w:rsidR="00802D94" w:rsidRPr="00DC66CD">
        <w:t>korrente</w:t>
      </w:r>
      <w:r w:rsidRPr="00DC66CD">
        <w:t xml:space="preserve">. Kundrejt </w:t>
      </w:r>
      <w:r w:rsidR="00007268" w:rsidRPr="00DC66CD">
        <w:t>s</w:t>
      </w:r>
      <w:r w:rsidRPr="00DC66CD">
        <w:t>ë njëjtës periudhë të vitit 2018</w:t>
      </w:r>
      <w:r w:rsidR="00007268" w:rsidRPr="00DC66CD">
        <w:t>,</w:t>
      </w:r>
      <w:r w:rsidRPr="00DC66CD">
        <w:t xml:space="preserve"> ky nivel rezulton 13.8 për</w:t>
      </w:r>
      <w:r w:rsidR="00007268" w:rsidRPr="00DC66CD">
        <w:t xml:space="preserve"> </w:t>
      </w:r>
      <w:r w:rsidRPr="00DC66CD">
        <w:t>qind më i lartë ose rreth 6.3 miliard</w:t>
      </w:r>
      <w:r w:rsidR="00007268" w:rsidRPr="00DC66CD">
        <w:t>ë</w:t>
      </w:r>
      <w:r w:rsidRPr="00DC66CD">
        <w:t xml:space="preserve"> </w:t>
      </w:r>
      <w:r w:rsidR="00007268" w:rsidRPr="00DC66CD">
        <w:t xml:space="preserve">lekë </w:t>
      </w:r>
      <w:r w:rsidRPr="00DC66CD">
        <w:t>më shumë.</w:t>
      </w:r>
    </w:p>
    <w:p w14:paraId="16E46A38" w14:textId="77777777" w:rsidR="000527AB" w:rsidRPr="00DC66CD" w:rsidRDefault="000527AB" w:rsidP="000527AB">
      <w:pPr>
        <w:pStyle w:val="TEKSTIIII"/>
      </w:pPr>
    </w:p>
    <w:p w14:paraId="53CB9BC4" w14:textId="520D5E81" w:rsidR="000527AB" w:rsidRPr="00DC66CD" w:rsidRDefault="000527AB" w:rsidP="000527AB">
      <w:pPr>
        <w:pStyle w:val="TEKSTIIII"/>
        <w:rPr>
          <w:i/>
        </w:rPr>
      </w:pPr>
      <w:r w:rsidRPr="00DC66CD">
        <w:rPr>
          <w:i/>
        </w:rPr>
        <w:t xml:space="preserve">Grafiku 4.2.13 Shpenzimet e </w:t>
      </w:r>
      <w:r w:rsidR="00007268" w:rsidRPr="00DC66CD">
        <w:rPr>
          <w:i/>
        </w:rPr>
        <w:t xml:space="preserve">pushtetit vendor </w:t>
      </w:r>
      <w:r w:rsidRPr="00DC66CD">
        <w:rPr>
          <w:i/>
        </w:rPr>
        <w:t xml:space="preserve">dhe ritmi i rritjes së tyre (në miliard </w:t>
      </w:r>
      <w:r w:rsidR="00007268" w:rsidRPr="00DC66CD">
        <w:rPr>
          <w:i/>
        </w:rPr>
        <w:t>lek</w:t>
      </w:r>
      <w:r w:rsidRPr="00DC66CD">
        <w:rPr>
          <w:i/>
        </w:rPr>
        <w:t>)</w:t>
      </w:r>
    </w:p>
    <w:p w14:paraId="72219E40" w14:textId="05D8FFE0" w:rsidR="000527AB" w:rsidRPr="00DC66CD" w:rsidRDefault="004A1A67" w:rsidP="00007268">
      <w:pPr>
        <w:pStyle w:val="TEKSTIIII"/>
        <w:jc w:val="center"/>
      </w:pPr>
      <w:r w:rsidRPr="00DC66CD">
        <w:rPr>
          <w:rFonts w:ascii="Times New Roman" w:hAnsi="Times New Roman"/>
          <w:i/>
          <w:noProof/>
          <w:lang w:val="en-US" w:eastAsia="en-US"/>
        </w:rPr>
        <w:drawing>
          <wp:inline distT="0" distB="0" distL="0" distR="0" wp14:anchorId="70DCDFC1" wp14:editId="6480F5D5">
            <wp:extent cx="4054885" cy="1876508"/>
            <wp:effectExtent l="0" t="0" r="317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57571" cy="1877751"/>
                    </a:xfrm>
                    <a:prstGeom prst="rect">
                      <a:avLst/>
                    </a:prstGeom>
                    <a:noFill/>
                  </pic:spPr>
                </pic:pic>
              </a:graphicData>
            </a:graphic>
          </wp:inline>
        </w:drawing>
      </w:r>
    </w:p>
    <w:p w14:paraId="29EE8580" w14:textId="77777777" w:rsidR="00563C97" w:rsidRPr="00DC66CD" w:rsidRDefault="00563C97" w:rsidP="00622FA2">
      <w:pPr>
        <w:pStyle w:val="TEKSTIIII"/>
      </w:pPr>
    </w:p>
    <w:p w14:paraId="7444E8B8" w14:textId="77777777" w:rsidR="00563C97" w:rsidRPr="00DC66CD" w:rsidRDefault="00563C97" w:rsidP="00563C97">
      <w:pPr>
        <w:pStyle w:val="TEKSTIIII"/>
        <w:rPr>
          <w:i/>
        </w:rPr>
      </w:pPr>
      <w:r w:rsidRPr="00DC66CD">
        <w:rPr>
          <w:i/>
        </w:rPr>
        <w:t>Burimi: Ministria e Financave dhe Ekonomisë</w:t>
      </w:r>
    </w:p>
    <w:p w14:paraId="12A0BFDA" w14:textId="77777777" w:rsidR="00563C97" w:rsidRPr="00DC66CD" w:rsidRDefault="00563C97" w:rsidP="00563C97">
      <w:pPr>
        <w:pStyle w:val="TEKSTIIII"/>
      </w:pPr>
    </w:p>
    <w:p w14:paraId="03F43EFD" w14:textId="0551B85E" w:rsidR="00563C97" w:rsidRPr="00DC66CD" w:rsidRDefault="00563C97" w:rsidP="00563C97">
      <w:pPr>
        <w:pStyle w:val="TEKSTIIII"/>
      </w:pPr>
      <w:r w:rsidRPr="00DC66CD">
        <w:rPr>
          <w:b/>
        </w:rPr>
        <w:t>Shpenzimet kapitale</w:t>
      </w:r>
      <w:r w:rsidRPr="00DC66CD">
        <w:t>, për muajin e njëmbëdhjetë të vitit 2019</w:t>
      </w:r>
      <w:r w:rsidR="00EF44AF" w:rsidRPr="00DC66CD">
        <w:t>,</w:t>
      </w:r>
      <w:r w:rsidRPr="00DC66CD">
        <w:t xml:space="preserve"> kanë një realizim në masën rreth 55.69 miliard</w:t>
      </w:r>
      <w:r w:rsidR="005E6738" w:rsidRPr="00DC66CD">
        <w:t>ë</w:t>
      </w:r>
      <w:r w:rsidRPr="00DC66CD">
        <w:t xml:space="preserve"> </w:t>
      </w:r>
      <w:r w:rsidR="00EF44AF" w:rsidRPr="00DC66CD">
        <w:t>lekë</w:t>
      </w:r>
      <w:r w:rsidRPr="00DC66CD">
        <w:t xml:space="preserve"> ose 78.6 për</w:t>
      </w:r>
      <w:r w:rsidR="00EF44AF" w:rsidRPr="00DC66CD">
        <w:t xml:space="preserve"> </w:t>
      </w:r>
      <w:r w:rsidRPr="00DC66CD">
        <w:t>qind në raport me fondet e planifikuara për këtë periudhë. Respektivisht, projektet e investimeve me financim të brendshëm kanë shënuar një realizim në masën rreth 37.1 miliard</w:t>
      </w:r>
      <w:r w:rsidR="00EF44AF" w:rsidRPr="00DC66CD">
        <w:t>ë</w:t>
      </w:r>
      <w:r w:rsidRPr="00DC66CD">
        <w:t xml:space="preserve"> </w:t>
      </w:r>
      <w:r w:rsidR="00EF44AF" w:rsidRPr="00DC66CD">
        <w:t>lekë,</w:t>
      </w:r>
      <w:r w:rsidRPr="00DC66CD">
        <w:t xml:space="preserve"> duke rezultuar 82 për</w:t>
      </w:r>
      <w:r w:rsidR="00EF44AF" w:rsidRPr="00DC66CD">
        <w:t xml:space="preserve"> </w:t>
      </w:r>
      <w:r w:rsidRPr="00DC66CD">
        <w:t>qind krahasuar me planin e periudhës ose 8.16 miliard</w:t>
      </w:r>
      <w:r w:rsidR="00EF44AF" w:rsidRPr="00DC66CD">
        <w:t>ë</w:t>
      </w:r>
      <w:r w:rsidRPr="00DC66CD">
        <w:t xml:space="preserve"> </w:t>
      </w:r>
      <w:r w:rsidR="00EF44AF" w:rsidRPr="00DC66CD">
        <w:t>lekë</w:t>
      </w:r>
      <w:r w:rsidRPr="00DC66CD">
        <w:t xml:space="preserve"> më pak, ndërkohë që ato me financim të huaj kanë shënuar një realizim në masën rreth 17.9 miliard</w:t>
      </w:r>
      <w:r w:rsidR="00EF44AF" w:rsidRPr="00DC66CD">
        <w:t>ë</w:t>
      </w:r>
      <w:r w:rsidRPr="00DC66CD">
        <w:t xml:space="preserve"> </w:t>
      </w:r>
      <w:r w:rsidR="00EF44AF" w:rsidRPr="00DC66CD">
        <w:t>lekë,</w:t>
      </w:r>
      <w:r w:rsidRPr="00DC66CD">
        <w:t xml:space="preserve"> duke rezultuar 72.6 për</w:t>
      </w:r>
      <w:r w:rsidR="00EF44AF" w:rsidRPr="00DC66CD">
        <w:t xml:space="preserve"> </w:t>
      </w:r>
      <w:r w:rsidRPr="00DC66CD">
        <w:t>qind krahasuar me planin e periudhës ose rreth 6.76 miliard</w:t>
      </w:r>
      <w:r w:rsidR="00EF44AF" w:rsidRPr="00DC66CD">
        <w:t>ë</w:t>
      </w:r>
      <w:r w:rsidRPr="00DC66CD">
        <w:t xml:space="preserve"> </w:t>
      </w:r>
      <w:r w:rsidR="00EF44AF" w:rsidRPr="00DC66CD">
        <w:t xml:space="preserve">lekë </w:t>
      </w:r>
      <w:r w:rsidRPr="00DC66CD">
        <w:t>më pak në terma nominalë. Kra</w:t>
      </w:r>
      <w:r w:rsidR="00EF44AF" w:rsidRPr="00DC66CD">
        <w:t>hasuar me planin vjetor, për 11-</w:t>
      </w:r>
      <w:r w:rsidRPr="00DC66CD">
        <w:t>mujorin e vitit 2019 është konstatuar një realizim i përgjithshëm i investimeve publike në masën 61.5 për</w:t>
      </w:r>
      <w:r w:rsidR="00EF44AF" w:rsidRPr="00DC66CD">
        <w:t xml:space="preserve"> </w:t>
      </w:r>
      <w:r w:rsidRPr="00DC66CD">
        <w:t>qind të planit vjetor</w:t>
      </w:r>
      <w:r w:rsidR="00EF44AF" w:rsidRPr="00DC66CD">
        <w:t>,</w:t>
      </w:r>
      <w:r w:rsidRPr="00DC66CD">
        <w:t xml:space="preserve"> sipas </w:t>
      </w:r>
      <w:r w:rsidR="00EF44AF" w:rsidRPr="00DC66CD">
        <w:t xml:space="preserve">buxhetit </w:t>
      </w:r>
      <w:r w:rsidRPr="00DC66CD">
        <w:t>fillestar dhe 63.6 për</w:t>
      </w:r>
      <w:r w:rsidR="00EF44AF" w:rsidRPr="00DC66CD">
        <w:t xml:space="preserve"> </w:t>
      </w:r>
      <w:r w:rsidRPr="00DC66CD">
        <w:t>qind sipas AN2 dhe</w:t>
      </w:r>
      <w:r w:rsidR="00EF44AF" w:rsidRPr="00DC66CD">
        <w:t>,</w:t>
      </w:r>
      <w:r w:rsidRPr="00DC66CD">
        <w:t xml:space="preserve"> më konkretisht:</w:t>
      </w:r>
    </w:p>
    <w:p w14:paraId="4C21293B" w14:textId="2A763F93" w:rsidR="00563C97" w:rsidRPr="00DC66CD" w:rsidRDefault="00EF44AF" w:rsidP="00563C97">
      <w:pPr>
        <w:pStyle w:val="TEKSTIIII"/>
      </w:pPr>
      <w:r w:rsidRPr="00DC66CD">
        <w:t>- f</w:t>
      </w:r>
      <w:r w:rsidR="00563C97" w:rsidRPr="00DC66CD">
        <w:t>inancimi i brendshëm është realizuar 65.1 për</w:t>
      </w:r>
      <w:r w:rsidRPr="00DC66CD">
        <w:t xml:space="preserve"> </w:t>
      </w:r>
      <w:r w:rsidR="00563C97" w:rsidRPr="00DC66CD">
        <w:t>qind e planit vjetor</w:t>
      </w:r>
      <w:r w:rsidRPr="00DC66CD">
        <w:t>,</w:t>
      </w:r>
      <w:r w:rsidR="00563C97" w:rsidRPr="00DC66CD">
        <w:t xml:space="preserve"> sipas </w:t>
      </w:r>
      <w:r w:rsidRPr="00DC66CD">
        <w:t xml:space="preserve">buxhetit </w:t>
      </w:r>
      <w:r w:rsidR="00563C97" w:rsidRPr="00DC66CD">
        <w:t>fillestar dhe 67.6 për</w:t>
      </w:r>
      <w:r w:rsidRPr="00DC66CD">
        <w:t xml:space="preserve"> </w:t>
      </w:r>
      <w:r w:rsidR="00563C97" w:rsidRPr="00DC66CD">
        <w:t>qind sipas AN2</w:t>
      </w:r>
      <w:r w:rsidRPr="00DC66CD">
        <w:t>;</w:t>
      </w:r>
    </w:p>
    <w:p w14:paraId="2F37948D" w14:textId="4B07F148" w:rsidR="00563C97" w:rsidRPr="00DC66CD" w:rsidRDefault="00EF44AF" w:rsidP="00563C97">
      <w:pPr>
        <w:pStyle w:val="TEKSTIIII"/>
      </w:pPr>
      <w:r w:rsidRPr="00DC66CD">
        <w:t>-</w:t>
      </w:r>
      <w:r w:rsidR="00563C97" w:rsidRPr="00DC66CD">
        <w:t xml:space="preserve"> </w:t>
      </w:r>
      <w:r w:rsidRPr="00DC66CD">
        <w:t>f</w:t>
      </w:r>
      <w:r w:rsidR="00563C97" w:rsidRPr="00DC66CD">
        <w:t>inancimi i huaj është realizuar 54.9 për</w:t>
      </w:r>
      <w:r w:rsidRPr="00DC66CD">
        <w:t xml:space="preserve"> </w:t>
      </w:r>
      <w:r w:rsidR="00563C97" w:rsidRPr="00DC66CD">
        <w:t>qind e planit vjetor</w:t>
      </w:r>
      <w:r w:rsidRPr="00DC66CD">
        <w:t>,</w:t>
      </w:r>
      <w:r w:rsidR="00563C97" w:rsidRPr="00DC66CD">
        <w:t xml:space="preserve"> sipas </w:t>
      </w:r>
      <w:r w:rsidRPr="00DC66CD">
        <w:t xml:space="preserve">buxhetit </w:t>
      </w:r>
      <w:r w:rsidR="00563C97" w:rsidRPr="00DC66CD">
        <w:t>fillestar dhe 56.6 për</w:t>
      </w:r>
      <w:r w:rsidRPr="00DC66CD">
        <w:t xml:space="preserve"> </w:t>
      </w:r>
      <w:r w:rsidR="00563C97" w:rsidRPr="00DC66CD">
        <w:t xml:space="preserve">qind sipas AN2. </w:t>
      </w:r>
    </w:p>
    <w:p w14:paraId="024AB015" w14:textId="77777777" w:rsidR="00563C97" w:rsidRPr="00DC66CD" w:rsidRDefault="00563C97" w:rsidP="00563C97">
      <w:pPr>
        <w:pStyle w:val="TEKSTIIII"/>
      </w:pPr>
    </w:p>
    <w:p w14:paraId="0651B45A" w14:textId="3A609F03" w:rsidR="00563C97" w:rsidRPr="00DC66CD" w:rsidRDefault="00EF44AF" w:rsidP="00563C97">
      <w:pPr>
        <w:pStyle w:val="TEKSTIIII"/>
        <w:rPr>
          <w:i/>
        </w:rPr>
      </w:pPr>
      <w:r w:rsidRPr="00DC66CD">
        <w:rPr>
          <w:i/>
        </w:rPr>
        <w:t>Grafiku 4.2.14</w:t>
      </w:r>
      <w:r w:rsidR="00563C97" w:rsidRPr="00DC66CD">
        <w:rPr>
          <w:i/>
        </w:rPr>
        <w:t xml:space="preserve"> Shpenzimet </w:t>
      </w:r>
      <w:r w:rsidRPr="00DC66CD">
        <w:rPr>
          <w:i/>
        </w:rPr>
        <w:t xml:space="preserve">kapitale </w:t>
      </w:r>
      <w:r w:rsidR="00563C97" w:rsidRPr="00DC66CD">
        <w:rPr>
          <w:i/>
        </w:rPr>
        <w:t xml:space="preserve">dhe ritmi i rritjes së tyre (në miliard </w:t>
      </w:r>
      <w:r w:rsidRPr="00DC66CD">
        <w:rPr>
          <w:i/>
        </w:rPr>
        <w:t>lek</w:t>
      </w:r>
      <w:r w:rsidR="00563C97" w:rsidRPr="00DC66CD">
        <w:rPr>
          <w:i/>
        </w:rPr>
        <w:t xml:space="preserve">) </w:t>
      </w:r>
    </w:p>
    <w:p w14:paraId="3E844B2E" w14:textId="4014F049" w:rsidR="00563C97" w:rsidRPr="00DC66CD" w:rsidRDefault="00BD2077" w:rsidP="00EF44AF">
      <w:pPr>
        <w:pStyle w:val="TEKSTIIII"/>
        <w:jc w:val="center"/>
      </w:pPr>
      <w:r w:rsidRPr="00DC66CD">
        <w:rPr>
          <w:rFonts w:ascii="Times New Roman" w:hAnsi="Times New Roman"/>
          <w:i/>
          <w:noProof/>
          <w:lang w:val="en-US" w:eastAsia="en-US"/>
        </w:rPr>
        <w:drawing>
          <wp:inline distT="0" distB="0" distL="0" distR="0" wp14:anchorId="7E52F6D5" wp14:editId="4FD4532C">
            <wp:extent cx="4808572" cy="22002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25514" cy="2208027"/>
                    </a:xfrm>
                    <a:prstGeom prst="rect">
                      <a:avLst/>
                    </a:prstGeom>
                    <a:noFill/>
                  </pic:spPr>
                </pic:pic>
              </a:graphicData>
            </a:graphic>
          </wp:inline>
        </w:drawing>
      </w:r>
    </w:p>
    <w:p w14:paraId="27F5A6ED" w14:textId="77777777" w:rsidR="00C14112" w:rsidRPr="00DC66CD" w:rsidRDefault="00C14112" w:rsidP="00C14112">
      <w:pPr>
        <w:pStyle w:val="TEKSTIIII"/>
        <w:rPr>
          <w:i/>
        </w:rPr>
      </w:pPr>
      <w:r w:rsidRPr="00DC66CD">
        <w:rPr>
          <w:i/>
        </w:rPr>
        <w:t>Burimi: Ministria e Financave dhe Ekonomisë</w:t>
      </w:r>
    </w:p>
    <w:p w14:paraId="16118919" w14:textId="77777777" w:rsidR="00C14112" w:rsidRPr="00DC66CD" w:rsidRDefault="00C14112" w:rsidP="00C14112">
      <w:pPr>
        <w:pStyle w:val="TEKSTIIII"/>
      </w:pPr>
    </w:p>
    <w:p w14:paraId="39C543FF" w14:textId="35B6FD09" w:rsidR="00C14112" w:rsidRPr="00DC66CD" w:rsidRDefault="00EF44AF" w:rsidP="00C14112">
      <w:pPr>
        <w:pStyle w:val="TEKSTIIII"/>
        <w:rPr>
          <w:i/>
        </w:rPr>
      </w:pPr>
      <w:r w:rsidRPr="00DC66CD">
        <w:rPr>
          <w:i/>
        </w:rPr>
        <w:t>Grafiku 4.2.15</w:t>
      </w:r>
      <w:r w:rsidR="00C14112" w:rsidRPr="00DC66CD">
        <w:rPr>
          <w:i/>
        </w:rPr>
        <w:t xml:space="preserve"> Shpenzimet </w:t>
      </w:r>
      <w:r w:rsidRPr="00DC66CD">
        <w:rPr>
          <w:i/>
        </w:rPr>
        <w:t xml:space="preserve">kapitale </w:t>
      </w:r>
      <w:r w:rsidR="00C14112" w:rsidRPr="00DC66CD">
        <w:rPr>
          <w:i/>
        </w:rPr>
        <w:t xml:space="preserve">dhe burimi i financimit të tyre (në miliard </w:t>
      </w:r>
      <w:r w:rsidRPr="00DC66CD">
        <w:rPr>
          <w:i/>
        </w:rPr>
        <w:t>lek</w:t>
      </w:r>
      <w:r w:rsidR="00C14112" w:rsidRPr="00DC66CD">
        <w:rPr>
          <w:i/>
        </w:rPr>
        <w:t>)</w:t>
      </w:r>
    </w:p>
    <w:p w14:paraId="4FDB37B9" w14:textId="4A82E016" w:rsidR="00C14112" w:rsidRPr="00DC66CD" w:rsidRDefault="00032C90" w:rsidP="00EF44AF">
      <w:pPr>
        <w:pStyle w:val="TEKSTIIII"/>
        <w:jc w:val="center"/>
      </w:pPr>
      <w:r w:rsidRPr="00DC66CD">
        <w:rPr>
          <w:rFonts w:ascii="Times New Roman" w:hAnsi="Times New Roman"/>
          <w:i/>
          <w:noProof/>
          <w:lang w:val="en-US" w:eastAsia="en-US"/>
        </w:rPr>
        <w:drawing>
          <wp:inline distT="0" distB="0" distL="0" distR="0" wp14:anchorId="19DB9485" wp14:editId="17DD74B5">
            <wp:extent cx="4908792" cy="194310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910870" cy="1943923"/>
                    </a:xfrm>
                    <a:prstGeom prst="rect">
                      <a:avLst/>
                    </a:prstGeom>
                    <a:noFill/>
                  </pic:spPr>
                </pic:pic>
              </a:graphicData>
            </a:graphic>
          </wp:inline>
        </w:drawing>
      </w:r>
    </w:p>
    <w:p w14:paraId="03DAA770" w14:textId="77777777" w:rsidR="006526B9" w:rsidRPr="00DC66CD" w:rsidRDefault="006526B9" w:rsidP="006526B9">
      <w:pPr>
        <w:pStyle w:val="TEKSTIIII"/>
        <w:rPr>
          <w:i/>
        </w:rPr>
      </w:pPr>
      <w:r w:rsidRPr="00DC66CD">
        <w:rPr>
          <w:i/>
        </w:rPr>
        <w:t>Burimi: Ministria e Financave dhe Ekonomisë</w:t>
      </w:r>
    </w:p>
    <w:p w14:paraId="765615A1" w14:textId="77777777" w:rsidR="006526B9" w:rsidRPr="00DC66CD" w:rsidRDefault="006526B9" w:rsidP="006526B9">
      <w:pPr>
        <w:pStyle w:val="TEKSTIIII"/>
        <w:rPr>
          <w:i/>
        </w:rPr>
      </w:pPr>
    </w:p>
    <w:p w14:paraId="5F88A631" w14:textId="506ADFDB" w:rsidR="006526B9" w:rsidRPr="00DC66CD" w:rsidRDefault="006526B9" w:rsidP="006526B9">
      <w:pPr>
        <w:pStyle w:val="TEKSTIIII"/>
      </w:pPr>
      <w:r w:rsidRPr="00DC66CD">
        <w:t xml:space="preserve">Grafiku i mëposhtëm paraqet ndarjen e </w:t>
      </w:r>
      <w:r w:rsidRPr="00DC66CD">
        <w:rPr>
          <w:b/>
        </w:rPr>
        <w:t>shpenzimeve publike faktike</w:t>
      </w:r>
      <w:r w:rsidRPr="00DC66CD">
        <w:t xml:space="preserve"> për muajin </w:t>
      </w:r>
      <w:r w:rsidR="00EF44AF" w:rsidRPr="00DC66CD">
        <w:t xml:space="preserve">nëntor </w:t>
      </w:r>
      <w:r w:rsidRPr="00DC66CD">
        <w:t xml:space="preserve">të vitit 2019. Shpenzimet </w:t>
      </w:r>
      <w:r w:rsidR="00802D94" w:rsidRPr="00DC66CD">
        <w:t>korrente</w:t>
      </w:r>
      <w:r w:rsidRPr="00DC66CD">
        <w:t xml:space="preserve"> për këtë periudhë përbëjnë pjesën më të madhe të shpenzimeve totale faktike me 87.1 për</w:t>
      </w:r>
      <w:r w:rsidR="00EF44AF" w:rsidRPr="00DC66CD">
        <w:t xml:space="preserve"> </w:t>
      </w:r>
      <w:r w:rsidRPr="00DC66CD">
        <w:t>qind, ndërsa shpenzimet kapitale përbëjnë 12.9 për</w:t>
      </w:r>
      <w:r w:rsidR="00EF44AF" w:rsidRPr="00DC66CD">
        <w:t xml:space="preserve"> </w:t>
      </w:r>
      <w:r w:rsidRPr="00DC66CD">
        <w:t>qind.</w:t>
      </w:r>
    </w:p>
    <w:p w14:paraId="3ED57CF0" w14:textId="77777777" w:rsidR="006526B9" w:rsidRPr="00DC66CD" w:rsidRDefault="006526B9" w:rsidP="006526B9">
      <w:pPr>
        <w:pStyle w:val="TEKSTIIII"/>
      </w:pPr>
    </w:p>
    <w:p w14:paraId="1F26DDA1" w14:textId="198331CF" w:rsidR="006526B9" w:rsidRPr="00DC66CD" w:rsidRDefault="006526B9" w:rsidP="006526B9">
      <w:pPr>
        <w:pStyle w:val="TEKSTIIII"/>
        <w:rPr>
          <w:i/>
        </w:rPr>
      </w:pPr>
      <w:r w:rsidRPr="00DC66CD">
        <w:rPr>
          <w:i/>
        </w:rPr>
        <w:t xml:space="preserve">Grafiku 4.2.16 Detajimi i </w:t>
      </w:r>
      <w:r w:rsidR="00EF44AF" w:rsidRPr="00DC66CD">
        <w:rPr>
          <w:i/>
        </w:rPr>
        <w:t xml:space="preserve">shpenzimeve buxhetore </w:t>
      </w:r>
      <w:r w:rsidRPr="00DC66CD">
        <w:rPr>
          <w:i/>
        </w:rPr>
        <w:t>(në milion</w:t>
      </w:r>
      <w:r w:rsidR="00EF44AF" w:rsidRPr="00DC66CD">
        <w:rPr>
          <w:i/>
        </w:rPr>
        <w:t>ë</w:t>
      </w:r>
      <w:r w:rsidRPr="00DC66CD">
        <w:rPr>
          <w:i/>
        </w:rPr>
        <w:t xml:space="preserve"> </w:t>
      </w:r>
      <w:r w:rsidR="00EF44AF" w:rsidRPr="00DC66CD">
        <w:rPr>
          <w:i/>
        </w:rPr>
        <w:t>lek</w:t>
      </w:r>
      <w:r w:rsidRPr="00DC66CD">
        <w:rPr>
          <w:i/>
        </w:rPr>
        <w:t xml:space="preserve">) </w:t>
      </w:r>
    </w:p>
    <w:p w14:paraId="468F55C8" w14:textId="15C008F9" w:rsidR="006526B9" w:rsidRPr="00DC66CD" w:rsidRDefault="0049677B" w:rsidP="00EF44AF">
      <w:pPr>
        <w:pStyle w:val="TEKSTIIII"/>
        <w:jc w:val="center"/>
      </w:pPr>
      <w:r w:rsidRPr="00DC66CD">
        <w:rPr>
          <w:rFonts w:ascii="Times New Roman" w:hAnsi="Times New Roman"/>
          <w:i/>
          <w:noProof/>
          <w:lang w:val="en-US" w:eastAsia="en-US"/>
        </w:rPr>
        <w:drawing>
          <wp:inline distT="0" distB="0" distL="0" distR="0" wp14:anchorId="0324F980" wp14:editId="3C844A17">
            <wp:extent cx="3236181" cy="2006418"/>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42095" cy="2010085"/>
                    </a:xfrm>
                    <a:prstGeom prst="rect">
                      <a:avLst/>
                    </a:prstGeom>
                    <a:noFill/>
                  </pic:spPr>
                </pic:pic>
              </a:graphicData>
            </a:graphic>
          </wp:inline>
        </w:drawing>
      </w:r>
    </w:p>
    <w:p w14:paraId="5CBE3A5E" w14:textId="77777777" w:rsidR="0049677B" w:rsidRPr="00DC66CD" w:rsidRDefault="0049677B" w:rsidP="0049677B">
      <w:pPr>
        <w:pStyle w:val="TEKSTIIII"/>
        <w:rPr>
          <w:i/>
        </w:rPr>
      </w:pPr>
      <w:r w:rsidRPr="00DC66CD">
        <w:rPr>
          <w:i/>
        </w:rPr>
        <w:t xml:space="preserve">Burimi: Ministria e Financave dhe Ekonomisë </w:t>
      </w:r>
    </w:p>
    <w:p w14:paraId="08D20C42" w14:textId="77777777" w:rsidR="0049677B" w:rsidRPr="00DC66CD" w:rsidRDefault="0049677B" w:rsidP="0049677B">
      <w:pPr>
        <w:pStyle w:val="TEKSTIIII"/>
      </w:pPr>
    </w:p>
    <w:p w14:paraId="7D2CE6DC" w14:textId="5CD58732" w:rsidR="0049677B" w:rsidRPr="00DC66CD" w:rsidRDefault="0049677B" w:rsidP="0049677B">
      <w:pPr>
        <w:pStyle w:val="TEKSTIIII"/>
      </w:pPr>
      <w:r w:rsidRPr="00DC66CD">
        <w:t>Sikurse evidentohet nga tabela e treguesve fiskal</w:t>
      </w:r>
      <w:r w:rsidR="002918FA" w:rsidRPr="00DC66CD">
        <w:t>ë</w:t>
      </w:r>
      <w:r w:rsidRPr="00DC66CD">
        <w:t xml:space="preserve"> të konsoliduar, realizimi i shpenzimeve të përgjithshme për muajin e njëmbëdhjetë të vitit 2019 është 431.95 miliard</w:t>
      </w:r>
      <w:r w:rsidR="002918FA" w:rsidRPr="00DC66CD">
        <w:t>ë</w:t>
      </w:r>
      <w:r w:rsidRPr="00DC66CD">
        <w:t xml:space="preserve"> </w:t>
      </w:r>
      <w:r w:rsidR="002918FA" w:rsidRPr="00DC66CD">
        <w:t xml:space="preserve">lekë </w:t>
      </w:r>
      <w:r w:rsidRPr="00DC66CD">
        <w:t>ose 94.6 për</w:t>
      </w:r>
      <w:r w:rsidR="002918FA" w:rsidRPr="00DC66CD">
        <w:t xml:space="preserve"> </w:t>
      </w:r>
      <w:r w:rsidRPr="00DC66CD">
        <w:t>qind kundrejt planit të periudhës. Kjo situatë është shoqëruar me një deficit buxhetor prej rreth 10.83 miliard</w:t>
      </w:r>
      <w:r w:rsidR="002918FA" w:rsidRPr="00DC66CD">
        <w:t>ë</w:t>
      </w:r>
      <w:r w:rsidRPr="00DC66CD">
        <w:t xml:space="preserve"> </w:t>
      </w:r>
      <w:r w:rsidR="002918FA" w:rsidRPr="00DC66CD">
        <w:t>lekësh</w:t>
      </w:r>
      <w:r w:rsidRPr="00DC66CD">
        <w:t>. Grafiku i mëposhtëm tregon tendencat e treguesve kryesorë të</w:t>
      </w:r>
      <w:r w:rsidR="0072211B" w:rsidRPr="00DC66CD">
        <w:t xml:space="preserve"> </w:t>
      </w:r>
      <w:r w:rsidRPr="00DC66CD">
        <w:t xml:space="preserve">buxhetit të shtetit. </w:t>
      </w:r>
    </w:p>
    <w:p w14:paraId="3EA1908A" w14:textId="77777777" w:rsidR="0049677B" w:rsidRPr="00DC66CD" w:rsidRDefault="0049677B" w:rsidP="0049677B">
      <w:pPr>
        <w:pStyle w:val="TEKSTIIII"/>
      </w:pPr>
    </w:p>
    <w:p w14:paraId="5732D978" w14:textId="42522121" w:rsidR="0049677B" w:rsidRPr="00DC66CD" w:rsidRDefault="0049677B" w:rsidP="0049677B">
      <w:pPr>
        <w:pStyle w:val="TEKSTIIII"/>
        <w:rPr>
          <w:i/>
        </w:rPr>
      </w:pPr>
      <w:r w:rsidRPr="00DC66CD">
        <w:rPr>
          <w:i/>
        </w:rPr>
        <w:t xml:space="preserve">Grafiku 4.2.17 Të ardhurat, shpenzimet dhe deficiti/suficiti - </w:t>
      </w:r>
      <w:r w:rsidR="00BD2C13" w:rsidRPr="00DC66CD">
        <w:rPr>
          <w:i/>
        </w:rPr>
        <w:t xml:space="preserve">plan vs fakt </w:t>
      </w:r>
      <w:r w:rsidRPr="00DC66CD">
        <w:rPr>
          <w:i/>
        </w:rPr>
        <w:t>11</w:t>
      </w:r>
      <w:r w:rsidR="00BD2C13" w:rsidRPr="00DC66CD">
        <w:rPr>
          <w:i/>
        </w:rPr>
        <w:t>-</w:t>
      </w:r>
      <w:r w:rsidRPr="00DC66CD">
        <w:rPr>
          <w:i/>
        </w:rPr>
        <w:t xml:space="preserve">mujori 2019 (në milion </w:t>
      </w:r>
      <w:r w:rsidR="00BD2C13" w:rsidRPr="00DC66CD">
        <w:rPr>
          <w:i/>
        </w:rPr>
        <w:t>lek</w:t>
      </w:r>
      <w:r w:rsidRPr="00DC66CD">
        <w:rPr>
          <w:i/>
        </w:rPr>
        <w:t>)</w:t>
      </w:r>
    </w:p>
    <w:p w14:paraId="650A71D7" w14:textId="40880D4F" w:rsidR="0049677B" w:rsidRPr="00DC66CD" w:rsidRDefault="003C7550" w:rsidP="003C7550">
      <w:pPr>
        <w:pStyle w:val="TEKSTIIII"/>
      </w:pPr>
      <w:r w:rsidRPr="00DC66CD">
        <w:rPr>
          <w:rFonts w:ascii="Times New Roman" w:hAnsi="Times New Roman"/>
          <w:i/>
          <w:noProof/>
          <w:lang w:val="en-US" w:eastAsia="en-US"/>
        </w:rPr>
        <w:drawing>
          <wp:inline distT="0" distB="0" distL="0" distR="0" wp14:anchorId="3E736126" wp14:editId="6B62B349">
            <wp:extent cx="4214191" cy="253778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12722" cy="2536902"/>
                    </a:xfrm>
                    <a:prstGeom prst="rect">
                      <a:avLst/>
                    </a:prstGeom>
                    <a:noFill/>
                  </pic:spPr>
                </pic:pic>
              </a:graphicData>
            </a:graphic>
          </wp:inline>
        </w:drawing>
      </w:r>
    </w:p>
    <w:p w14:paraId="7DDBDEDF" w14:textId="77777777" w:rsidR="00F05FEB" w:rsidRPr="00DC66CD" w:rsidRDefault="00F05FEB" w:rsidP="003C7550">
      <w:pPr>
        <w:pStyle w:val="TEKSTIIII"/>
      </w:pPr>
    </w:p>
    <w:p w14:paraId="25F395CD" w14:textId="77777777" w:rsidR="00F05FEB" w:rsidRPr="00DC66CD" w:rsidRDefault="00F05FEB" w:rsidP="00F05FEB">
      <w:pPr>
        <w:pStyle w:val="TEKSTIIII"/>
        <w:rPr>
          <w:i/>
        </w:rPr>
      </w:pPr>
      <w:r w:rsidRPr="00DC66CD">
        <w:rPr>
          <w:i/>
        </w:rPr>
        <w:t xml:space="preserve">Burimi: Ministria e Financave dhe Ekonomisë </w:t>
      </w:r>
    </w:p>
    <w:p w14:paraId="39CF044B" w14:textId="77777777" w:rsidR="00F05FEB" w:rsidRPr="00DC66CD" w:rsidRDefault="00F05FEB" w:rsidP="00F05FEB">
      <w:pPr>
        <w:pStyle w:val="TEKSTIIII"/>
      </w:pPr>
    </w:p>
    <w:p w14:paraId="55E47E0C" w14:textId="3B4CCE12" w:rsidR="00F05FEB" w:rsidRPr="00DC66CD" w:rsidRDefault="00F05FEB" w:rsidP="00F05FEB">
      <w:pPr>
        <w:pStyle w:val="TEKSTIIII"/>
      </w:pPr>
      <w:r w:rsidRPr="00DC66CD">
        <w:t>Të ardhurat totale të mbledhura</w:t>
      </w:r>
      <w:r w:rsidR="00807C83" w:rsidRPr="00DC66CD">
        <w:t>,</w:t>
      </w:r>
      <w:r w:rsidRPr="00DC66CD">
        <w:t xml:space="preserve"> për periudhën </w:t>
      </w:r>
      <w:r w:rsidR="00807C83" w:rsidRPr="00DC66CD">
        <w:t xml:space="preserve">janar–nëntor </w:t>
      </w:r>
      <w:r w:rsidRPr="00DC66CD">
        <w:t>2019</w:t>
      </w:r>
      <w:r w:rsidR="00807C83" w:rsidRPr="00DC66CD">
        <w:t>, ishin rreth 421 miliardë lekë</w:t>
      </w:r>
      <w:r w:rsidRPr="00DC66CD">
        <w:t xml:space="preserve"> ose 96.7%</w:t>
      </w:r>
      <w:r w:rsidR="00807C83" w:rsidRPr="00DC66CD">
        <w:t>,</w:t>
      </w:r>
      <w:r w:rsidRPr="00DC66CD">
        <w:t xml:space="preserve"> kundrejt planit të periudhës, duke shënuar një rritje prej 3.3% ose 13.6 miliardë lekë</w:t>
      </w:r>
      <w:r w:rsidR="00807C83" w:rsidRPr="00DC66CD">
        <w:t>sh</w:t>
      </w:r>
      <w:r w:rsidRPr="00DC66CD">
        <w:t xml:space="preserve"> më shumë se viti mëparshëm. Të ardhurat nga gra</w:t>
      </w:r>
      <w:r w:rsidR="00123D04" w:rsidRPr="00DC66CD">
        <w:t>ntet arritën në 5 miliardë lekë</w:t>
      </w:r>
      <w:r w:rsidRPr="00DC66CD">
        <w:t xml:space="preserve"> ose 32% të planit të periudhës dhe 0.75 miliardë lekë më pak se e njëjta periudhë e vitit të mëparshëm.</w:t>
      </w:r>
    </w:p>
    <w:p w14:paraId="4083062C" w14:textId="1441E790" w:rsidR="00F05FEB" w:rsidRPr="00DC66CD" w:rsidRDefault="00F05FEB" w:rsidP="00F05FEB">
      <w:pPr>
        <w:pStyle w:val="TEKSTIIII"/>
      </w:pPr>
      <w:r w:rsidRPr="00DC66CD">
        <w:t>Të ardhurat e mbledhura nga Drejtoria e Përgjithshme e Doganave (DPD) dhe Drejtoria e Përgjithshme e Tatimeve (DPT), duke përfshirë kontributet shoqërore të mbledhura nga DPT</w:t>
      </w:r>
      <w:r w:rsidR="00123D04" w:rsidRPr="00DC66CD">
        <w:t>-ja</w:t>
      </w:r>
      <w:r w:rsidRPr="00DC66CD">
        <w:t xml:space="preserve"> ishin 368.8 miliardë lekë, me një realizim prej 97.4%</w:t>
      </w:r>
      <w:r w:rsidR="00123D04" w:rsidRPr="00DC66CD">
        <w:t xml:space="preserve"> </w:t>
      </w:r>
      <w:r w:rsidRPr="00DC66CD">
        <w:t xml:space="preserve">të planit dhe 2.9% ose 10.5 miliardë lekë më shumë se e njëjta periudha e vitit të kaluar. Në krahasim me vitin e kaluar, këto të ardhura shënuan një përmirësim të ndjeshëm në performancën </w:t>
      </w:r>
      <w:r w:rsidR="00123D04" w:rsidRPr="00DC66CD">
        <w:t xml:space="preserve">e të ardhurave, si rezultat i: </w:t>
      </w:r>
      <w:r w:rsidRPr="00DC66CD">
        <w:t>i</w:t>
      </w:r>
      <w:r w:rsidR="00123D04" w:rsidRPr="00DC66CD">
        <w:t>,</w:t>
      </w:r>
      <w:r w:rsidRPr="00DC66CD">
        <w:t xml:space="preserve"> përpjekjeve intensive për të zvogëluar informalitetin</w:t>
      </w:r>
      <w:r w:rsidR="00123D04" w:rsidRPr="00DC66CD">
        <w:t>;</w:t>
      </w:r>
      <w:r w:rsidRPr="00DC66CD">
        <w:t xml:space="preserve"> ii</w:t>
      </w:r>
      <w:r w:rsidR="00123D04" w:rsidRPr="00DC66CD">
        <w:t>.</w:t>
      </w:r>
      <w:r w:rsidRPr="00DC66CD">
        <w:t xml:space="preserve"> administrimin më të mirë në DPD dhe DPT gjatë vitit 2019; dhe iii</w:t>
      </w:r>
      <w:r w:rsidR="00123D04" w:rsidRPr="00DC66CD">
        <w:t>.</w:t>
      </w:r>
      <w:r w:rsidRPr="00DC66CD">
        <w:t xml:space="preserve"> rritja e të ardhurave nga dividenti</w:t>
      </w:r>
      <w:r w:rsidR="00123D04" w:rsidRPr="00DC66CD">
        <w:t>,</w:t>
      </w:r>
      <w:r w:rsidRPr="00DC66CD">
        <w:t xml:space="preserve"> si pasojë e uljes së normës së tatimit mbi dividendin nga 15% në 8%.</w:t>
      </w:r>
    </w:p>
    <w:p w14:paraId="304D5374" w14:textId="77777777" w:rsidR="00F05FEB" w:rsidRPr="00DC66CD" w:rsidRDefault="00F05FEB" w:rsidP="00F05FEB">
      <w:pPr>
        <w:pStyle w:val="TEKSTIIII"/>
      </w:pPr>
    </w:p>
    <w:p w14:paraId="7D909FBF" w14:textId="2FF2313C" w:rsidR="00F05FEB" w:rsidRPr="00DC66CD" w:rsidRDefault="00F05FEB" w:rsidP="00F05FEB">
      <w:pPr>
        <w:pStyle w:val="TEKSTIIII"/>
        <w:rPr>
          <w:i/>
        </w:rPr>
      </w:pPr>
      <w:r w:rsidRPr="00DC66CD">
        <w:rPr>
          <w:i/>
        </w:rPr>
        <w:t>Tabela 4.2.3 Të ardhurat totale nga tatimet dhe doganat (në milion</w:t>
      </w:r>
      <w:r w:rsidR="00123D04" w:rsidRPr="00DC66CD">
        <w:rPr>
          <w:i/>
        </w:rPr>
        <w:t xml:space="preserve"> </w:t>
      </w:r>
      <w:r w:rsidRPr="00DC66CD">
        <w:rPr>
          <w:i/>
        </w:rPr>
        <w:t>lek)</w:t>
      </w:r>
    </w:p>
    <w:p w14:paraId="7702152F" w14:textId="07568F17" w:rsidR="00F05FEB" w:rsidRPr="00DC66CD" w:rsidRDefault="003E2FB9" w:rsidP="00123D04">
      <w:pPr>
        <w:pStyle w:val="TEKSTIIII"/>
        <w:ind w:firstLine="0"/>
      </w:pPr>
      <w:r w:rsidRPr="00DC66CD">
        <w:rPr>
          <w:rFonts w:ascii="Times New Roman" w:hAnsi="Times New Roman"/>
          <w:noProof/>
          <w:lang w:val="en-US" w:eastAsia="en-US"/>
        </w:rPr>
        <w:drawing>
          <wp:inline distT="0" distB="0" distL="0" distR="0" wp14:anchorId="1EBC2652" wp14:editId="3316DDC6">
            <wp:extent cx="5731510" cy="2042417"/>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2042417"/>
                    </a:xfrm>
                    <a:prstGeom prst="rect">
                      <a:avLst/>
                    </a:prstGeom>
                    <a:noFill/>
                    <a:ln>
                      <a:noFill/>
                    </a:ln>
                  </pic:spPr>
                </pic:pic>
              </a:graphicData>
            </a:graphic>
          </wp:inline>
        </w:drawing>
      </w:r>
    </w:p>
    <w:p w14:paraId="71DAE138" w14:textId="77777777" w:rsidR="00A92569" w:rsidRPr="00DC66CD" w:rsidRDefault="00A92569" w:rsidP="00A92569">
      <w:pPr>
        <w:spacing w:after="0" w:line="240" w:lineRule="auto"/>
        <w:ind w:firstLine="284"/>
        <w:rPr>
          <w:rFonts w:ascii="Garamond" w:hAnsi="Garamond"/>
          <w:i/>
        </w:rPr>
      </w:pPr>
      <w:r w:rsidRPr="00DC66CD">
        <w:rPr>
          <w:rFonts w:ascii="Garamond" w:hAnsi="Garamond"/>
          <w:i/>
        </w:rPr>
        <w:t>Burimi: Ministria e Financave dhe Ekonomisë</w:t>
      </w:r>
    </w:p>
    <w:p w14:paraId="74FF1EEC" w14:textId="77777777" w:rsidR="00A92569" w:rsidRPr="00DC66CD" w:rsidRDefault="00A92569" w:rsidP="00A92569">
      <w:pPr>
        <w:spacing w:after="0" w:line="240" w:lineRule="auto"/>
        <w:ind w:firstLine="284"/>
        <w:rPr>
          <w:rFonts w:ascii="Garamond" w:hAnsi="Garamond"/>
        </w:rPr>
      </w:pPr>
    </w:p>
    <w:p w14:paraId="7A522E0E" w14:textId="39D057B7" w:rsidR="00A92569" w:rsidRPr="00DC66CD" w:rsidRDefault="00A92569" w:rsidP="00A92569">
      <w:pPr>
        <w:spacing w:after="0" w:line="240" w:lineRule="auto"/>
        <w:ind w:firstLine="284"/>
        <w:rPr>
          <w:rFonts w:ascii="Garamond" w:hAnsi="Garamond"/>
        </w:rPr>
      </w:pPr>
      <w:r w:rsidRPr="00DC66CD">
        <w:rPr>
          <w:rFonts w:ascii="Garamond" w:hAnsi="Garamond"/>
        </w:rPr>
        <w:t xml:space="preserve">Faktorët kryesorë që kanë ndikuar në performacën e </w:t>
      </w:r>
      <w:r w:rsidR="00123D04" w:rsidRPr="00DC66CD">
        <w:rPr>
          <w:rFonts w:ascii="Garamond" w:hAnsi="Garamond"/>
        </w:rPr>
        <w:t>11-mujor</w:t>
      </w:r>
      <w:r w:rsidRPr="00DC66CD">
        <w:rPr>
          <w:rFonts w:ascii="Garamond" w:hAnsi="Garamond"/>
        </w:rPr>
        <w:t>it përkundrejt planit janë:</w:t>
      </w:r>
    </w:p>
    <w:p w14:paraId="3DBDC5B3" w14:textId="111F85E7" w:rsidR="00A92569" w:rsidRPr="00DC66CD" w:rsidRDefault="00A92569" w:rsidP="00A92569">
      <w:pPr>
        <w:pStyle w:val="TEKSTIIII"/>
      </w:pPr>
      <w:r w:rsidRPr="00DC66CD">
        <w:t>-</w:t>
      </w:r>
      <w:r w:rsidR="00585164" w:rsidRPr="00DC66CD">
        <w:t xml:space="preserve"> n</w:t>
      </w:r>
      <w:r w:rsidRPr="00DC66CD">
        <w:t xml:space="preserve">dikimi i një rënie (zhvlerësimi) të kursit të këmbimit USD dhe EUR ndaj monedhës </w:t>
      </w:r>
      <w:r w:rsidR="00637183" w:rsidRPr="00DC66CD">
        <w:t>vendës</w:t>
      </w:r>
      <w:r w:rsidRPr="00DC66CD">
        <w:t>e, e cila pati efekte negative të rëndësishme në uljen e të ardhurave të TVSH-së nga importet për të gjitha kategoritë e mallrave</w:t>
      </w:r>
      <w:r w:rsidR="00585164" w:rsidRPr="00DC66CD">
        <w:t>;</w:t>
      </w:r>
    </w:p>
    <w:p w14:paraId="34562C2F" w14:textId="35C0951B" w:rsidR="00A92569" w:rsidRPr="00DC66CD" w:rsidRDefault="00A92569" w:rsidP="00A92569">
      <w:pPr>
        <w:pStyle w:val="TEKSTIIII"/>
      </w:pPr>
      <w:r w:rsidRPr="00DC66CD">
        <w:t>-</w:t>
      </w:r>
      <w:r w:rsidR="00585164" w:rsidRPr="00DC66CD">
        <w:t xml:space="preserve"> r</w:t>
      </w:r>
      <w:r w:rsidRPr="00DC66CD">
        <w:t xml:space="preserve">ënia e </w:t>
      </w:r>
      <w:r w:rsidR="00585164" w:rsidRPr="00DC66CD">
        <w:t xml:space="preserve">taksave kombëtare, </w:t>
      </w:r>
      <w:r w:rsidRPr="00DC66CD">
        <w:t>për shkak të rënies së çmimeve ndërkombëtare të mallrave</w:t>
      </w:r>
      <w:r w:rsidR="00585164" w:rsidRPr="00DC66CD">
        <w:t>,</w:t>
      </w:r>
      <w:r w:rsidRPr="00DC66CD">
        <w:t xml:space="preserve"> si nafta bruto dhe metale të tjera dhe</w:t>
      </w:r>
      <w:r w:rsidR="00585164" w:rsidRPr="00DC66CD">
        <w:t>,</w:t>
      </w:r>
      <w:r w:rsidRPr="00DC66CD">
        <w:t xml:space="preserve"> pjesërisht për shkak të parashikimit shumë optimist të </w:t>
      </w:r>
      <w:r w:rsidR="00585164" w:rsidRPr="00DC66CD">
        <w:t xml:space="preserve">planit </w:t>
      </w:r>
      <w:r w:rsidRPr="00DC66CD">
        <w:t>për vitin 2019.</w:t>
      </w:r>
    </w:p>
    <w:p w14:paraId="6EF067FB" w14:textId="7EA269CD" w:rsidR="00A92569" w:rsidRPr="00DC66CD" w:rsidRDefault="00A92569" w:rsidP="00A92569">
      <w:pPr>
        <w:pStyle w:val="TEKSTIIII"/>
      </w:pPr>
      <w:r w:rsidRPr="00DC66CD">
        <w:t xml:space="preserve">Të ardhurat nga Drejtoria e Përgjithshme e Doganave arritën në 148 miliardë lekë, me një realizim prej 95.4% të planit. Në krahasim me të njëjtën periudhë të vitit </w:t>
      </w:r>
      <w:r w:rsidR="00585164" w:rsidRPr="00DC66CD">
        <w:t>2018, janë arkëtuar 2.4%</w:t>
      </w:r>
      <w:r w:rsidRPr="00DC66CD">
        <w:t xml:space="preserve"> ose 2.2 miliardë lekë më shumë.</w:t>
      </w:r>
    </w:p>
    <w:p w14:paraId="17D1F116" w14:textId="77777777" w:rsidR="00A92569" w:rsidRPr="00DC66CD" w:rsidRDefault="00A92569" w:rsidP="00A92569">
      <w:pPr>
        <w:pStyle w:val="TEKSTIIII"/>
      </w:pPr>
    </w:p>
    <w:p w14:paraId="6C1A97DB" w14:textId="7238D2EB" w:rsidR="00A92569" w:rsidRPr="00DC66CD" w:rsidRDefault="00585164" w:rsidP="00A92569">
      <w:pPr>
        <w:pStyle w:val="TEKSTIIII"/>
        <w:rPr>
          <w:i/>
        </w:rPr>
      </w:pPr>
      <w:r w:rsidRPr="00DC66CD">
        <w:rPr>
          <w:i/>
        </w:rPr>
        <w:t>Tabela 4.2.4</w:t>
      </w:r>
      <w:r w:rsidR="00A92569" w:rsidRPr="00DC66CD">
        <w:rPr>
          <w:i/>
        </w:rPr>
        <w:t xml:space="preserve"> Të ardhurat e mbledhura nga DPD</w:t>
      </w:r>
      <w:r w:rsidRPr="00DC66CD">
        <w:rPr>
          <w:i/>
        </w:rPr>
        <w:t>-ja</w:t>
      </w:r>
      <w:r w:rsidR="00A92569" w:rsidRPr="00DC66CD">
        <w:rPr>
          <w:i/>
        </w:rPr>
        <w:t xml:space="preserve"> (në milion lek)</w:t>
      </w:r>
    </w:p>
    <w:p w14:paraId="5340959B" w14:textId="77777777" w:rsidR="00A92569" w:rsidRPr="00DC66CD" w:rsidRDefault="00A92569" w:rsidP="00585164">
      <w:pPr>
        <w:spacing w:after="0" w:line="240" w:lineRule="auto"/>
        <w:ind w:firstLine="284"/>
        <w:jc w:val="center"/>
        <w:rPr>
          <w:rFonts w:ascii="Garamond" w:hAnsi="Garamond"/>
        </w:rPr>
      </w:pPr>
      <w:r w:rsidRPr="00DC66CD">
        <w:rPr>
          <w:rFonts w:ascii="Garamond" w:hAnsi="Garamond"/>
          <w:noProof/>
          <w:lang w:val="en-US" w:eastAsia="en-US"/>
        </w:rPr>
        <w:drawing>
          <wp:inline distT="0" distB="0" distL="0" distR="0" wp14:anchorId="5D9411F8" wp14:editId="148237FB">
            <wp:extent cx="5731510" cy="1401641"/>
            <wp:effectExtent l="0" t="0" r="254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1401641"/>
                    </a:xfrm>
                    <a:prstGeom prst="rect">
                      <a:avLst/>
                    </a:prstGeom>
                    <a:noFill/>
                    <a:ln>
                      <a:noFill/>
                    </a:ln>
                  </pic:spPr>
                </pic:pic>
              </a:graphicData>
            </a:graphic>
          </wp:inline>
        </w:drawing>
      </w:r>
    </w:p>
    <w:p w14:paraId="6FB84E9F" w14:textId="7F9E2F35" w:rsidR="00A92569" w:rsidRPr="00DC66CD" w:rsidRDefault="00A92569" w:rsidP="00A92569">
      <w:pPr>
        <w:pStyle w:val="TEKSTIIII"/>
        <w:rPr>
          <w:i/>
        </w:rPr>
      </w:pPr>
      <w:r w:rsidRPr="00DC66CD">
        <w:rPr>
          <w:i/>
        </w:rPr>
        <w:t>Burimi: Ministria e Financave dhe Ekonomisë</w:t>
      </w:r>
    </w:p>
    <w:p w14:paraId="0CAD1882" w14:textId="77777777" w:rsidR="00A92569" w:rsidRPr="00DC66CD" w:rsidRDefault="00A92569" w:rsidP="00A92569">
      <w:pPr>
        <w:spacing w:after="0" w:line="240" w:lineRule="auto"/>
        <w:ind w:firstLine="284"/>
        <w:jc w:val="both"/>
        <w:rPr>
          <w:rFonts w:ascii="Garamond" w:hAnsi="Garamond"/>
        </w:rPr>
      </w:pPr>
    </w:p>
    <w:p w14:paraId="6791F8AF" w14:textId="5DA5AF4E" w:rsidR="00A92569" w:rsidRPr="00DC66CD" w:rsidRDefault="00A92569" w:rsidP="00A92569">
      <w:pPr>
        <w:pStyle w:val="TEKSTIIII"/>
      </w:pPr>
      <w:r w:rsidRPr="00DC66CD">
        <w:t>Të ardhurat nga TVSH</w:t>
      </w:r>
      <w:r w:rsidR="00585164" w:rsidRPr="00DC66CD">
        <w:t>-ja</w:t>
      </w:r>
      <w:r w:rsidRPr="00DC66CD">
        <w:t xml:space="preserve"> në import janë 97.9 miliardë lekë me një realizim prej 96.3 % të </w:t>
      </w:r>
      <w:r w:rsidR="00585164" w:rsidRPr="00DC66CD">
        <w:t>planit me një rritje 1 miliard</w:t>
      </w:r>
      <w:r w:rsidRPr="00DC66CD">
        <w:t xml:space="preserve"> lekë ose 1% në krahasim me të njëjtën periudhë të vitit të kaluar. Performaca e TVSH</w:t>
      </w:r>
      <w:r w:rsidR="00585164" w:rsidRPr="00DC66CD">
        <w:t>-së</w:t>
      </w:r>
      <w:r w:rsidRPr="00DC66CD">
        <w:t xml:space="preserve"> në import është ndikuar nga disa faktorë</w:t>
      </w:r>
      <w:r w:rsidR="00585164" w:rsidRPr="00DC66CD">
        <w:t>,</w:t>
      </w:r>
      <w:r w:rsidRPr="00DC66CD">
        <w:t xml:space="preserve"> siç janë:</w:t>
      </w:r>
    </w:p>
    <w:p w14:paraId="65FE3A06" w14:textId="5F764FC4" w:rsidR="00A92569" w:rsidRPr="00DC66CD" w:rsidRDefault="00A92569" w:rsidP="00A92569">
      <w:pPr>
        <w:pStyle w:val="TEKSTIIII"/>
      </w:pPr>
      <w:r w:rsidRPr="00DC66CD">
        <w:t xml:space="preserve">- </w:t>
      </w:r>
      <w:r w:rsidR="00585164" w:rsidRPr="00DC66CD">
        <w:t>z</w:t>
      </w:r>
      <w:r w:rsidRPr="00DC66CD">
        <w:t xml:space="preserve">hvlerësimi i monedhës </w:t>
      </w:r>
      <w:r w:rsidR="00585164" w:rsidRPr="00DC66CD">
        <w:t xml:space="preserve">euro </w:t>
      </w:r>
      <w:r w:rsidRPr="00DC66CD">
        <w:t xml:space="preserve">kundrejt monedhës </w:t>
      </w:r>
      <w:r w:rsidR="00637183" w:rsidRPr="00DC66CD">
        <w:t>vendës</w:t>
      </w:r>
      <w:r w:rsidRPr="00DC66CD">
        <w:t>e me 4.2%, pati efekt të rëndësishëm negativ n</w:t>
      </w:r>
      <w:r w:rsidR="00585164" w:rsidRPr="00DC66CD">
        <w:t>ë</w:t>
      </w:r>
      <w:r w:rsidRPr="00DC66CD">
        <w:t xml:space="preserve"> uljen e të ardhurave të TVSH-së nga importi për të gjitha kategoritë e mallrave</w:t>
      </w:r>
      <w:r w:rsidR="00585164" w:rsidRPr="00DC66CD">
        <w:t>;</w:t>
      </w:r>
    </w:p>
    <w:p w14:paraId="6504D9F6" w14:textId="7BDE4A7C" w:rsidR="00A92569" w:rsidRPr="00DC66CD" w:rsidRDefault="00A92569" w:rsidP="00A92569">
      <w:pPr>
        <w:pStyle w:val="TEKSTIIII"/>
      </w:pPr>
      <w:r w:rsidRPr="00DC66CD">
        <w:t xml:space="preserve">- </w:t>
      </w:r>
      <w:r w:rsidR="00585164" w:rsidRPr="00DC66CD">
        <w:t>r</w:t>
      </w:r>
      <w:r w:rsidRPr="00DC66CD">
        <w:t xml:space="preserve">ënia e importit të energjisë, si rezultat i rritjes së prodhimit </w:t>
      </w:r>
      <w:r w:rsidR="00637183" w:rsidRPr="00DC66CD">
        <w:t>vendës</w:t>
      </w:r>
      <w:r w:rsidRPr="00DC66CD">
        <w:t xml:space="preserve"> dhe </w:t>
      </w:r>
      <w:r w:rsidR="00585164" w:rsidRPr="00DC66CD">
        <w:t xml:space="preserve">i </w:t>
      </w:r>
      <w:r w:rsidRPr="00DC66CD">
        <w:t>ndërgjegjësimit të konsumatorit</w:t>
      </w:r>
      <w:r w:rsidR="00585164" w:rsidRPr="00DC66CD">
        <w:t>,</w:t>
      </w:r>
      <w:r w:rsidRPr="00DC66CD">
        <w:t xml:space="preserve"> në lidhje me konsumin e tyre të energjisë</w:t>
      </w:r>
      <w:r w:rsidR="00585164" w:rsidRPr="00DC66CD">
        <w:t>;</w:t>
      </w:r>
      <w:r w:rsidR="0072211B" w:rsidRPr="00DC66CD">
        <w:t xml:space="preserve"> </w:t>
      </w:r>
    </w:p>
    <w:p w14:paraId="062A8DC9" w14:textId="01D9504A" w:rsidR="00A92569" w:rsidRPr="00DC66CD" w:rsidRDefault="00A92569" w:rsidP="00A92569">
      <w:pPr>
        <w:pStyle w:val="TEKSTIIII"/>
      </w:pPr>
      <w:r w:rsidRPr="00DC66CD">
        <w:t xml:space="preserve">- </w:t>
      </w:r>
      <w:r w:rsidR="00585164" w:rsidRPr="00DC66CD">
        <w:t>u</w:t>
      </w:r>
      <w:r w:rsidRPr="00DC66CD">
        <w:t xml:space="preserve">lja e të ardhurave nga importi i </w:t>
      </w:r>
      <w:r w:rsidR="00585164" w:rsidRPr="00DC66CD">
        <w:t xml:space="preserve">projektit </w:t>
      </w:r>
      <w:r w:rsidRPr="00DC66CD">
        <w:t>TAP</w:t>
      </w:r>
      <w:r w:rsidR="00585164" w:rsidRPr="00DC66CD">
        <w:t>,</w:t>
      </w:r>
      <w:r w:rsidRPr="00DC66CD">
        <w:t xml:space="preserve"> për shkak të përfundimit të periudhës së projektit.</w:t>
      </w:r>
    </w:p>
    <w:p w14:paraId="47117331" w14:textId="5CB9EEBF" w:rsidR="00A92569" w:rsidRPr="00DC66CD" w:rsidRDefault="00A92569" w:rsidP="00A92569">
      <w:pPr>
        <w:pStyle w:val="TEKSTIIII"/>
      </w:pPr>
      <w:r w:rsidRPr="00DC66CD">
        <w:t xml:space="preserve">Të ardhurat nga akciza ishin 42 </w:t>
      </w:r>
      <w:r w:rsidR="003B50AB" w:rsidRPr="00DC66CD">
        <w:t>miliardë</w:t>
      </w:r>
      <w:r w:rsidRPr="00DC66CD">
        <w:t xml:space="preserve"> lekë, me një realizim prej 95.1% të planit. Performanca e akcizës për </w:t>
      </w:r>
      <w:r w:rsidR="00585164" w:rsidRPr="00DC66CD">
        <w:t xml:space="preserve">periudhën janar – nëntor </w:t>
      </w:r>
      <w:r w:rsidRPr="00DC66CD">
        <w:t>është ndikuar nga disa faktorë:</w:t>
      </w:r>
    </w:p>
    <w:p w14:paraId="037CF4E6" w14:textId="43335855" w:rsidR="00A92569" w:rsidRPr="00DC66CD" w:rsidRDefault="00A92569" w:rsidP="00A92569">
      <w:pPr>
        <w:pStyle w:val="TEKSTIIII"/>
      </w:pPr>
      <w:r w:rsidRPr="00DC66CD">
        <w:t xml:space="preserve">- </w:t>
      </w:r>
      <w:r w:rsidR="00585164" w:rsidRPr="00DC66CD">
        <w:t>g</w:t>
      </w:r>
      <w:r w:rsidRPr="00DC66CD">
        <w:t xml:space="preserve">jatë kësaj </w:t>
      </w:r>
      <w:r w:rsidR="00585164" w:rsidRPr="00DC66CD">
        <w:t>periudhe</w:t>
      </w:r>
      <w:r w:rsidRPr="00DC66CD">
        <w:t xml:space="preserve"> rimbursimi i akcizës ishte 1.12 herë më shumë se </w:t>
      </w:r>
      <w:r w:rsidR="00123D04" w:rsidRPr="00DC66CD">
        <w:t>11-mujor</w:t>
      </w:r>
      <w:r w:rsidRPr="00DC66CD">
        <w:t>i 2018.</w:t>
      </w:r>
    </w:p>
    <w:p w14:paraId="6BCBC3B7" w14:textId="1A8AE645" w:rsidR="00A92569" w:rsidRPr="00DC66CD" w:rsidRDefault="00A92569" w:rsidP="00A92569">
      <w:pPr>
        <w:pStyle w:val="TEKSTIIII"/>
      </w:pPr>
      <w:r w:rsidRPr="00DC66CD">
        <w:t xml:space="preserve">- </w:t>
      </w:r>
      <w:r w:rsidR="00585164" w:rsidRPr="00DC66CD">
        <w:t>p</w:t>
      </w:r>
      <w:r w:rsidRPr="00DC66CD">
        <w:t>erformanca pozitive</w:t>
      </w:r>
      <w:r w:rsidR="00585164" w:rsidRPr="00DC66CD">
        <w:t>,</w:t>
      </w:r>
      <w:r w:rsidRPr="00DC66CD">
        <w:t xml:space="preserve"> si rezultat i rritjes së sasisë u shënua nga: importi i karburantit +2% ose +5000 ton</w:t>
      </w:r>
      <w:r w:rsidR="00585164" w:rsidRPr="00DC66CD">
        <w:t>ë</w:t>
      </w:r>
      <w:r w:rsidRPr="00DC66CD">
        <w:t xml:space="preserve">; importi dhe prodhimi </w:t>
      </w:r>
      <w:r w:rsidR="00637183" w:rsidRPr="00DC66CD">
        <w:t>vendës</w:t>
      </w:r>
      <w:r w:rsidRPr="00DC66CD">
        <w:t xml:space="preserve"> i birrës me +6.2%; importi i cigareve me +4.2%, së bashku me rritjen e prodhimit të duhanit </w:t>
      </w:r>
      <w:r w:rsidR="00637183" w:rsidRPr="00DC66CD">
        <w:t>vendës</w:t>
      </w:r>
      <w:r w:rsidRPr="00DC66CD">
        <w:t xml:space="preserve"> nga 20 ton</w:t>
      </w:r>
      <w:r w:rsidR="00585164" w:rsidRPr="00DC66CD">
        <w:t>ë</w:t>
      </w:r>
      <w:r w:rsidRPr="00DC66CD">
        <w:t xml:space="preserve"> në 27 ton</w:t>
      </w:r>
      <w:r w:rsidR="00585164" w:rsidRPr="00DC66CD">
        <w:t>ë</w:t>
      </w:r>
      <w:r w:rsidRPr="00DC66CD">
        <w:t xml:space="preserve">, të deklaruar në </w:t>
      </w:r>
      <w:r w:rsidR="00585164" w:rsidRPr="00DC66CD">
        <w:t xml:space="preserve">përudhën janar–nëntor </w:t>
      </w:r>
      <w:r w:rsidRPr="00DC66CD">
        <w:t>2018.</w:t>
      </w:r>
    </w:p>
    <w:p w14:paraId="04228CBE" w14:textId="2A54393F" w:rsidR="00A92569" w:rsidRPr="00DC66CD" w:rsidRDefault="00A92569" w:rsidP="00A92569">
      <w:pPr>
        <w:pStyle w:val="TEKSTIIII"/>
      </w:pPr>
      <w:r w:rsidRPr="00DC66CD">
        <w:t xml:space="preserve">Performanca e të ardhurave nga </w:t>
      </w:r>
      <w:r w:rsidR="00585164" w:rsidRPr="00DC66CD">
        <w:t xml:space="preserve">renta </w:t>
      </w:r>
      <w:r w:rsidRPr="00DC66CD">
        <w:t>minerare</w:t>
      </w:r>
      <w:r w:rsidR="00585164" w:rsidRPr="00DC66CD">
        <w:t>,</w:t>
      </w:r>
      <w:r w:rsidRPr="00DC66CD">
        <w:t xml:space="preserve"> gjatë periudhës </w:t>
      </w:r>
      <w:r w:rsidR="00585164" w:rsidRPr="00DC66CD">
        <w:t xml:space="preserve">janar–nëntor </w:t>
      </w:r>
      <w:r w:rsidRPr="00DC66CD">
        <w:t>2019 ishte 2.2 miliardë lekë</w:t>
      </w:r>
      <w:r w:rsidR="00585164" w:rsidRPr="00DC66CD">
        <w:t>,</w:t>
      </w:r>
      <w:r w:rsidRPr="00DC66CD">
        <w:t xml:space="preserve"> me një realizim prej 84.9% të planit, duke shënuar një rënie me 11.7% ose 291 milion</w:t>
      </w:r>
      <w:r w:rsidR="00585164" w:rsidRPr="00DC66CD">
        <w:t>ë</w:t>
      </w:r>
      <w:r w:rsidRPr="00DC66CD">
        <w:t xml:space="preserve"> lekë më pak se e njëjta periudhë e vitit të kaluar. Në krahasim me vitin e kaluar, të ardhurat nga nafta bruto kanë pësuar një rënie</w:t>
      </w:r>
      <w:r w:rsidR="00585164" w:rsidRPr="00DC66CD">
        <w:t>,</w:t>
      </w:r>
      <w:r w:rsidRPr="00DC66CD">
        <w:t xml:space="preserve"> si rezultat i zvogëlimit të vëllimit të eksportit</w:t>
      </w:r>
      <w:r w:rsidR="00585164" w:rsidRPr="00DC66CD">
        <w:t>,</w:t>
      </w:r>
      <w:r w:rsidRPr="00DC66CD">
        <w:t xml:space="preserve"> për shkak të përpunimit brenda vendit dhe</w:t>
      </w:r>
      <w:r w:rsidR="00585164" w:rsidRPr="00DC66CD">
        <w:t>,</w:t>
      </w:r>
      <w:r w:rsidRPr="00DC66CD">
        <w:t xml:space="preserve"> gjithashtu</w:t>
      </w:r>
      <w:r w:rsidR="00585164" w:rsidRPr="00DC66CD">
        <w:t>,</w:t>
      </w:r>
      <w:r w:rsidRPr="00DC66CD">
        <w:t xml:space="preserve"> për shkak të uljes së çmimeve ndërkombëtare për 6.6%.</w:t>
      </w:r>
    </w:p>
    <w:p w14:paraId="3C7E1803" w14:textId="77777777" w:rsidR="00A92569" w:rsidRPr="00DC66CD" w:rsidRDefault="00A92569" w:rsidP="00A92569">
      <w:pPr>
        <w:pStyle w:val="TEKSTIIII"/>
      </w:pPr>
    </w:p>
    <w:p w14:paraId="4C6C0465" w14:textId="6A155885" w:rsidR="00A92569" w:rsidRPr="00DC66CD" w:rsidRDefault="00585164" w:rsidP="00A92569">
      <w:pPr>
        <w:pStyle w:val="TEKSTIIII"/>
        <w:rPr>
          <w:i/>
        </w:rPr>
      </w:pPr>
      <w:r w:rsidRPr="00DC66CD">
        <w:rPr>
          <w:i/>
        </w:rPr>
        <w:t xml:space="preserve">Grafiku 4.2.18 </w:t>
      </w:r>
      <w:r w:rsidR="00A92569" w:rsidRPr="00DC66CD">
        <w:rPr>
          <w:i/>
        </w:rPr>
        <w:t>Kontribuesit kryesor</w:t>
      </w:r>
      <w:r w:rsidRPr="00DC66CD">
        <w:rPr>
          <w:i/>
        </w:rPr>
        <w:t>ë te</w:t>
      </w:r>
      <w:r w:rsidR="00A92569" w:rsidRPr="00DC66CD">
        <w:rPr>
          <w:i/>
        </w:rPr>
        <w:t xml:space="preserve"> t</w:t>
      </w:r>
      <w:r w:rsidR="005E6738" w:rsidRPr="00DC66CD">
        <w:rPr>
          <w:i/>
        </w:rPr>
        <w:t>ë</w:t>
      </w:r>
      <w:r w:rsidR="00A92569" w:rsidRPr="00DC66CD">
        <w:rPr>
          <w:i/>
        </w:rPr>
        <w:t xml:space="preserve"> ardhurat doganore </w:t>
      </w:r>
      <w:r w:rsidRPr="00DC66CD">
        <w:rPr>
          <w:i/>
        </w:rPr>
        <w:t xml:space="preserve">(janar–nëntor </w:t>
      </w:r>
      <w:r w:rsidR="00A92569" w:rsidRPr="00DC66CD">
        <w:rPr>
          <w:i/>
        </w:rPr>
        <w:t>2019/2018)</w:t>
      </w:r>
    </w:p>
    <w:p w14:paraId="66F17506" w14:textId="77777777" w:rsidR="00A92569" w:rsidRPr="00DC66CD" w:rsidRDefault="00A92569" w:rsidP="00A92569">
      <w:pPr>
        <w:spacing w:after="0" w:line="240" w:lineRule="auto"/>
        <w:ind w:firstLine="284"/>
        <w:jc w:val="both"/>
        <w:rPr>
          <w:rFonts w:ascii="Garamond" w:hAnsi="Garamond"/>
        </w:rPr>
      </w:pPr>
      <w:r w:rsidRPr="00DC66CD">
        <w:rPr>
          <w:rFonts w:ascii="Garamond" w:hAnsi="Garamond"/>
          <w:noProof/>
          <w:lang w:val="en-US" w:eastAsia="en-US"/>
        </w:rPr>
        <w:drawing>
          <wp:inline distT="0" distB="0" distL="0" distR="0" wp14:anchorId="62AA4656" wp14:editId="5BA0DFCF">
            <wp:extent cx="5462546" cy="2250219"/>
            <wp:effectExtent l="0" t="0" r="508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8235B51" w14:textId="37D60CFD" w:rsidR="00A92569" w:rsidRPr="00DC66CD" w:rsidRDefault="00A92569" w:rsidP="00A92569">
      <w:pPr>
        <w:pStyle w:val="TEKSTIIII"/>
        <w:rPr>
          <w:i/>
        </w:rPr>
      </w:pPr>
      <w:r w:rsidRPr="00DC66CD">
        <w:rPr>
          <w:i/>
        </w:rPr>
        <w:t>Burimi: Ministria e Financave dhe Ekonomis</w:t>
      </w:r>
      <w:r w:rsidR="005E6738" w:rsidRPr="00DC66CD">
        <w:rPr>
          <w:i/>
        </w:rPr>
        <w:t>ë</w:t>
      </w:r>
      <w:r w:rsidRPr="00DC66CD">
        <w:rPr>
          <w:i/>
        </w:rPr>
        <w:t xml:space="preserve"> </w:t>
      </w:r>
    </w:p>
    <w:p w14:paraId="5F732118" w14:textId="77777777" w:rsidR="00A92569" w:rsidRPr="00DC66CD" w:rsidRDefault="00A92569" w:rsidP="00A92569">
      <w:pPr>
        <w:pStyle w:val="TEKSTIIII"/>
      </w:pPr>
    </w:p>
    <w:p w14:paraId="5EC97A6C" w14:textId="3DA09588" w:rsidR="00A92569" w:rsidRPr="00DC66CD" w:rsidRDefault="00A92569" w:rsidP="00A92569">
      <w:pPr>
        <w:pStyle w:val="TEKSTIIII"/>
      </w:pPr>
      <w:r w:rsidRPr="00DC66CD">
        <w:t>Të ardhurat e mbledhura nga Drejtoria e Përgjithshme e Tatimeve (përfshirë kontributet për sigurimet shoqërore dhe shëndetësore të mbledhura nga DPT</w:t>
      </w:r>
      <w:r w:rsidR="00220575" w:rsidRPr="00DC66CD">
        <w:t>-ja</w:t>
      </w:r>
      <w:r w:rsidRPr="00DC66CD">
        <w:t xml:space="preserve">) për </w:t>
      </w:r>
      <w:r w:rsidR="00220575" w:rsidRPr="00DC66CD">
        <w:t xml:space="preserve">periudhën janar–nëntor </w:t>
      </w:r>
      <w:r w:rsidRPr="00DC66CD">
        <w:t>2019 janë 220.8 miliard</w:t>
      </w:r>
      <w:r w:rsidR="00220575" w:rsidRPr="00DC66CD">
        <w:t>ë</w:t>
      </w:r>
      <w:r w:rsidRPr="00DC66CD">
        <w:t xml:space="preserve"> lekë, me një realizim prej 98.8% të planit dhe 3.9% ose 8.3 miliardë lekë më shumë se e njëjta periudhë e një viti më parë. Tabela e mëposhtme tregon të dhëna të hollësishme në lidhje me performancën tatimore</w:t>
      </w:r>
      <w:r w:rsidR="00220575" w:rsidRPr="00DC66CD">
        <w:t>.</w:t>
      </w:r>
    </w:p>
    <w:p w14:paraId="726A5FDE" w14:textId="77777777" w:rsidR="00A92569" w:rsidRPr="00DC66CD" w:rsidRDefault="00A92569" w:rsidP="00A92569">
      <w:pPr>
        <w:pStyle w:val="TEKSTIIII"/>
      </w:pPr>
    </w:p>
    <w:p w14:paraId="75ECB14B" w14:textId="4FBDED08" w:rsidR="00A92569" w:rsidRPr="00DC66CD" w:rsidRDefault="00A92569" w:rsidP="00220575">
      <w:pPr>
        <w:pStyle w:val="TEKSTIIII"/>
        <w:rPr>
          <w:i/>
        </w:rPr>
      </w:pPr>
      <w:r w:rsidRPr="00DC66CD">
        <w:rPr>
          <w:i/>
        </w:rPr>
        <w:t>Tabela 4.2.5 Performanca e të ardh</w:t>
      </w:r>
      <w:r w:rsidR="00220575" w:rsidRPr="00DC66CD">
        <w:rPr>
          <w:i/>
        </w:rPr>
        <w:t xml:space="preserve">urave të administratës tatimore </w:t>
      </w:r>
      <w:r w:rsidRPr="00DC66CD">
        <w:rPr>
          <w:i/>
        </w:rPr>
        <w:t>(në milion lek)</w:t>
      </w:r>
    </w:p>
    <w:p w14:paraId="145A8EF2" w14:textId="77777777" w:rsidR="00A92569" w:rsidRPr="00DC66CD" w:rsidRDefault="00A92569" w:rsidP="00A92569">
      <w:pPr>
        <w:spacing w:after="0" w:line="240" w:lineRule="auto"/>
        <w:ind w:firstLine="284"/>
        <w:jc w:val="both"/>
        <w:rPr>
          <w:rFonts w:ascii="Garamond" w:hAnsi="Garamond"/>
        </w:rPr>
      </w:pPr>
      <w:r w:rsidRPr="00DC66CD">
        <w:rPr>
          <w:rFonts w:ascii="Garamond" w:hAnsi="Garamond"/>
          <w:noProof/>
          <w:lang w:val="en-US" w:eastAsia="en-US"/>
        </w:rPr>
        <w:drawing>
          <wp:inline distT="0" distB="0" distL="0" distR="0" wp14:anchorId="31F55B54" wp14:editId="2CBD7F82">
            <wp:extent cx="5731510" cy="2161446"/>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2161446"/>
                    </a:xfrm>
                    <a:prstGeom prst="rect">
                      <a:avLst/>
                    </a:prstGeom>
                    <a:noFill/>
                    <a:ln>
                      <a:noFill/>
                    </a:ln>
                  </pic:spPr>
                </pic:pic>
              </a:graphicData>
            </a:graphic>
          </wp:inline>
        </w:drawing>
      </w:r>
    </w:p>
    <w:p w14:paraId="712AA7C3" w14:textId="77777777" w:rsidR="00A92569" w:rsidRPr="00DC66CD" w:rsidRDefault="00A92569" w:rsidP="00A92569">
      <w:pPr>
        <w:pStyle w:val="TEKSTIIII"/>
        <w:rPr>
          <w:i/>
        </w:rPr>
      </w:pPr>
      <w:r w:rsidRPr="00DC66CD">
        <w:rPr>
          <w:i/>
        </w:rPr>
        <w:t>Burimi: Ministria e Financave dhe Ekonomisë</w:t>
      </w:r>
    </w:p>
    <w:p w14:paraId="443B32B5" w14:textId="77777777" w:rsidR="00220575" w:rsidRPr="00DC66CD" w:rsidRDefault="00220575" w:rsidP="00A92569">
      <w:pPr>
        <w:pStyle w:val="TEKSTIIII"/>
      </w:pPr>
    </w:p>
    <w:p w14:paraId="0C72D97B" w14:textId="2CCB3E40" w:rsidR="00A92569" w:rsidRPr="00DC66CD" w:rsidRDefault="00A92569" w:rsidP="00A92569">
      <w:pPr>
        <w:pStyle w:val="TEKSTIIII"/>
      </w:pPr>
      <w:r w:rsidRPr="00DC66CD">
        <w:t>Të ardhurat nga TVSH-ja neto e brendshme janë 27.2 miliardë lekë, me një realizim prej 78.6 për</w:t>
      </w:r>
      <w:r w:rsidR="00220575" w:rsidRPr="00DC66CD">
        <w:t xml:space="preserve"> </w:t>
      </w:r>
      <w:r w:rsidRPr="00DC66CD">
        <w:t>qind kundrejt planit dhe 6.7 miliard</w:t>
      </w:r>
      <w:r w:rsidR="00220575" w:rsidRPr="00DC66CD">
        <w:t>ë</w:t>
      </w:r>
      <w:r w:rsidRPr="00DC66CD">
        <w:t xml:space="preserve"> lekë (19.8%) më pak se </w:t>
      </w:r>
      <w:r w:rsidR="00123D04" w:rsidRPr="00DC66CD">
        <w:t>11-mujor</w:t>
      </w:r>
      <w:r w:rsidRPr="00DC66CD">
        <w:t xml:space="preserve">i i vitit 2018. Në periudhën </w:t>
      </w:r>
      <w:r w:rsidR="00220575" w:rsidRPr="00DC66CD">
        <w:t xml:space="preserve">janar–nëntor </w:t>
      </w:r>
      <w:r w:rsidRPr="00DC66CD">
        <w:t>2019, shuma e rimbursuar e TVSH-së ishte 17.1 miliardë lekë, rreth 35.1% ose 4.5 miliard</w:t>
      </w:r>
      <w:r w:rsidR="00220575" w:rsidRPr="00DC66CD">
        <w:t>ë</w:t>
      </w:r>
      <w:r w:rsidRPr="00DC66CD">
        <w:t xml:space="preserve"> lekë</w:t>
      </w:r>
      <w:r w:rsidR="00220575" w:rsidRPr="00DC66CD">
        <w:t>,</w:t>
      </w:r>
      <w:r w:rsidRPr="00DC66CD">
        <w:t xml:space="preserve"> më shumë se e njëjta periudhë i vitit 2018. Performanca negative në të ardhurat e TVSH-së së brendshme rezultoi nga ulja e prodhimit të energjisë elektrike </w:t>
      </w:r>
      <w:r w:rsidR="00637183" w:rsidRPr="00DC66CD">
        <w:t>vendës</w:t>
      </w:r>
      <w:r w:rsidRPr="00DC66CD">
        <w:t>e dhe ndikimi i rritjes së madhe të rimbursimit.</w:t>
      </w:r>
    </w:p>
    <w:p w14:paraId="2D0DFE0E" w14:textId="77777777" w:rsidR="00A92569" w:rsidRPr="00DC66CD" w:rsidRDefault="00A92569" w:rsidP="00A92569">
      <w:pPr>
        <w:pStyle w:val="TEKSTIIII"/>
      </w:pPr>
    </w:p>
    <w:tbl>
      <w:tblPr>
        <w:tblW w:w="0" w:type="auto"/>
        <w:tblLook w:val="04A0" w:firstRow="1" w:lastRow="0" w:firstColumn="1" w:lastColumn="0" w:noHBand="0" w:noVBand="1"/>
      </w:tblPr>
      <w:tblGrid>
        <w:gridCol w:w="4759"/>
        <w:gridCol w:w="4521"/>
      </w:tblGrid>
      <w:tr w:rsidR="00A92569" w:rsidRPr="00DC66CD" w14:paraId="5A8B2C0F" w14:textId="77777777" w:rsidTr="00A92569">
        <w:tc>
          <w:tcPr>
            <w:tcW w:w="4640" w:type="dxa"/>
          </w:tcPr>
          <w:p w14:paraId="61E48978" w14:textId="34E4F02B" w:rsidR="00A92569" w:rsidRPr="00DC66CD" w:rsidRDefault="00A92569" w:rsidP="007A1F24">
            <w:pPr>
              <w:pStyle w:val="TEKSTIIII"/>
              <w:ind w:firstLine="0"/>
              <w:rPr>
                <w:i/>
              </w:rPr>
            </w:pPr>
            <w:r w:rsidRPr="00DC66CD">
              <w:rPr>
                <w:i/>
              </w:rPr>
              <w:t>Grafiku 4.2.19 Performanca e TVSH-së</w:t>
            </w:r>
            <w:r w:rsidR="0072211B" w:rsidRPr="00DC66CD">
              <w:rPr>
                <w:i/>
              </w:rPr>
              <w:t xml:space="preserve"> </w:t>
            </w:r>
            <w:r w:rsidR="007A1F24" w:rsidRPr="00DC66CD">
              <w:rPr>
                <w:i/>
              </w:rPr>
              <w:t>gjatë vitit (11-muaj)/milion lek</w:t>
            </w:r>
            <w:r w:rsidR="0072211B" w:rsidRPr="00DC66CD">
              <w:rPr>
                <w:i/>
              </w:rPr>
              <w:t xml:space="preserve"> </w:t>
            </w:r>
          </w:p>
        </w:tc>
        <w:tc>
          <w:tcPr>
            <w:tcW w:w="4640" w:type="dxa"/>
          </w:tcPr>
          <w:p w14:paraId="177ABC01" w14:textId="2DF68710" w:rsidR="00A92569" w:rsidRPr="00DC66CD" w:rsidRDefault="00A92569" w:rsidP="007A1F24">
            <w:pPr>
              <w:pStyle w:val="TEKSTIIII"/>
              <w:ind w:firstLine="0"/>
              <w:rPr>
                <w:i/>
              </w:rPr>
            </w:pPr>
            <w:r w:rsidRPr="00DC66CD">
              <w:rPr>
                <w:i/>
              </w:rPr>
              <w:t xml:space="preserve">Grafiku 4.2.20 Rimbursimet </w:t>
            </w:r>
            <w:r w:rsidR="007A1F24" w:rsidRPr="00DC66CD">
              <w:rPr>
                <w:i/>
              </w:rPr>
              <w:t>e TVSH-së gjatë vitit (11-muaj)/</w:t>
            </w:r>
            <w:r w:rsidRPr="00DC66CD">
              <w:rPr>
                <w:i/>
              </w:rPr>
              <w:t>milion lek</w:t>
            </w:r>
          </w:p>
        </w:tc>
      </w:tr>
      <w:tr w:rsidR="00A92569" w:rsidRPr="00DC66CD" w14:paraId="2F850708" w14:textId="77777777" w:rsidTr="00A92569">
        <w:tc>
          <w:tcPr>
            <w:tcW w:w="4640" w:type="dxa"/>
          </w:tcPr>
          <w:p w14:paraId="47328D6C" w14:textId="6D5F34D0" w:rsidR="00A92569" w:rsidRPr="00DC66CD" w:rsidRDefault="00A92569" w:rsidP="00A92569">
            <w:pPr>
              <w:pStyle w:val="TEKSTIIII"/>
              <w:ind w:firstLine="0"/>
            </w:pPr>
            <w:r w:rsidRPr="00DC66CD">
              <w:rPr>
                <w:noProof/>
                <w:lang w:val="en-US" w:eastAsia="en-US"/>
              </w:rPr>
              <w:drawing>
                <wp:inline distT="0" distB="0" distL="0" distR="0" wp14:anchorId="7879FD54" wp14:editId="7AF883C3">
                  <wp:extent cx="2908300" cy="2457450"/>
                  <wp:effectExtent l="0" t="0" r="635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c>
          <w:tcPr>
            <w:tcW w:w="4640" w:type="dxa"/>
          </w:tcPr>
          <w:p w14:paraId="796840A6" w14:textId="2C522F95" w:rsidR="00A92569" w:rsidRPr="00DC66CD" w:rsidRDefault="00A92569" w:rsidP="00A92569">
            <w:pPr>
              <w:pStyle w:val="TEKSTIIII"/>
              <w:ind w:firstLine="0"/>
            </w:pPr>
            <w:r w:rsidRPr="00DC66CD">
              <w:rPr>
                <w:noProof/>
                <w:lang w:val="en-US" w:eastAsia="en-US"/>
              </w:rPr>
              <w:drawing>
                <wp:inline distT="0" distB="0" distL="0" distR="0" wp14:anchorId="67F82D2F" wp14:editId="36EA5DE9">
                  <wp:extent cx="2762250" cy="2444750"/>
                  <wp:effectExtent l="0" t="0" r="0" b="1270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r>
    </w:tbl>
    <w:p w14:paraId="3A99FC1E" w14:textId="77777777" w:rsidR="00A92569" w:rsidRPr="00DC66CD" w:rsidRDefault="00A92569" w:rsidP="00A92569">
      <w:pPr>
        <w:spacing w:after="0" w:line="240" w:lineRule="auto"/>
        <w:ind w:firstLine="284"/>
        <w:jc w:val="both"/>
        <w:rPr>
          <w:rFonts w:ascii="Garamond" w:hAnsi="Garamond"/>
        </w:rPr>
      </w:pPr>
    </w:p>
    <w:p w14:paraId="4069ED6E" w14:textId="318EACDD" w:rsidR="00A92569" w:rsidRPr="00DC66CD" w:rsidRDefault="00A92569" w:rsidP="00A92569">
      <w:pPr>
        <w:pStyle w:val="TEKSTIIII"/>
      </w:pPr>
      <w:r w:rsidRPr="00DC66CD">
        <w:t xml:space="preserve">Të ardhurat nga </w:t>
      </w:r>
      <w:r w:rsidR="007A1F24" w:rsidRPr="00DC66CD">
        <w:t xml:space="preserve">tatimi mbi fitimin </w:t>
      </w:r>
      <w:r w:rsidRPr="00DC66CD">
        <w:t>u realizuan në shumën 32.7 miliardë lekë me një realizim prej 110.7% t</w:t>
      </w:r>
      <w:r w:rsidR="007A1F24" w:rsidRPr="00DC66CD">
        <w:t>ë</w:t>
      </w:r>
      <w:r w:rsidRPr="00DC66CD">
        <w:t xml:space="preserve"> planit dhe shënuan një rritje me 8.5% ose 2.6 miliardë lekë me shumë se e njëjta periudhë e vitit paraardhës. Kjo performacë pozitive e </w:t>
      </w:r>
      <w:r w:rsidR="007A1F24" w:rsidRPr="00DC66CD">
        <w:t xml:space="preserve">tatimit mbi fitimin </w:t>
      </w:r>
      <w:r w:rsidRPr="00DC66CD">
        <w:t xml:space="preserve">e shoqërive ka ardhur më së shumti nga situata pozitive e shoqërive që operojnë në sektorin energjetik, e cila i ka dhënë atyre më shumë mundësi të paguajnë </w:t>
      </w:r>
      <w:r w:rsidR="007A1F24" w:rsidRPr="00DC66CD">
        <w:t>tatimin mbi fitimin</w:t>
      </w:r>
      <w:r w:rsidRPr="00DC66CD">
        <w:t>. Gjithashtu</w:t>
      </w:r>
      <w:r w:rsidR="007A1F24" w:rsidRPr="00DC66CD">
        <w:t>,</w:t>
      </w:r>
      <w:r w:rsidRPr="00DC66CD">
        <w:t xml:space="preserve"> rritja e tatimit mbi fitimin e vitit 2018 reflektoi rritjen dhe përmirësimin e fitimit të tatueshëm të shoqërive.</w:t>
      </w:r>
    </w:p>
    <w:p w14:paraId="3AC66955" w14:textId="77777777" w:rsidR="00A92569" w:rsidRPr="00DC66CD" w:rsidRDefault="00A92569" w:rsidP="00A92569">
      <w:pPr>
        <w:spacing w:after="0" w:line="240" w:lineRule="auto"/>
        <w:ind w:firstLine="284"/>
        <w:jc w:val="both"/>
        <w:rPr>
          <w:rFonts w:ascii="Garamond" w:hAnsi="Garamond"/>
        </w:rPr>
      </w:pPr>
    </w:p>
    <w:p w14:paraId="68C3A995" w14:textId="4B523776" w:rsidR="00A92569" w:rsidRPr="00DC66CD" w:rsidRDefault="007A1F24" w:rsidP="00A92569">
      <w:pPr>
        <w:pStyle w:val="TEKSTIIII"/>
        <w:rPr>
          <w:i/>
        </w:rPr>
      </w:pPr>
      <w:r w:rsidRPr="00DC66CD">
        <w:rPr>
          <w:i/>
        </w:rPr>
        <w:t>Grafiku 4.2.21</w:t>
      </w:r>
      <w:r w:rsidR="00A92569" w:rsidRPr="00DC66CD">
        <w:rPr>
          <w:i/>
        </w:rPr>
        <w:t xml:space="preserve"> Performanca e tatimit mbi fitimit gjatë vitev</w:t>
      </w:r>
      <w:r w:rsidRPr="00DC66CD">
        <w:rPr>
          <w:i/>
        </w:rPr>
        <w:t>e për periudhën 11 muaj (në mil</w:t>
      </w:r>
      <w:r w:rsidR="00A92569" w:rsidRPr="00DC66CD">
        <w:rPr>
          <w:i/>
        </w:rPr>
        <w:t>ion lek)</w:t>
      </w:r>
    </w:p>
    <w:p w14:paraId="354DB2D0" w14:textId="77777777" w:rsidR="00A92569" w:rsidRPr="00DC66CD" w:rsidRDefault="00A92569" w:rsidP="007A1F24">
      <w:pPr>
        <w:spacing w:after="0" w:line="240" w:lineRule="auto"/>
        <w:rPr>
          <w:rFonts w:ascii="Garamond" w:hAnsi="Garamond"/>
        </w:rPr>
      </w:pPr>
      <w:r w:rsidRPr="00DC66CD">
        <w:rPr>
          <w:rFonts w:ascii="Garamond" w:hAnsi="Garamond"/>
          <w:noProof/>
          <w:lang w:val="en-US" w:eastAsia="en-US"/>
        </w:rPr>
        <w:drawing>
          <wp:inline distT="0" distB="0" distL="0" distR="0" wp14:anchorId="1C3E9FF5" wp14:editId="5EC9067A">
            <wp:extent cx="5963479" cy="2067339"/>
            <wp:effectExtent l="0" t="0" r="18415" b="952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0D1AECE" w14:textId="77777777" w:rsidR="00A92569" w:rsidRPr="00DC66CD" w:rsidRDefault="00A92569" w:rsidP="00A92569">
      <w:pPr>
        <w:spacing w:after="0" w:line="240" w:lineRule="auto"/>
        <w:ind w:firstLine="284"/>
        <w:jc w:val="both"/>
        <w:rPr>
          <w:rFonts w:ascii="Garamond" w:hAnsi="Garamond"/>
        </w:rPr>
      </w:pPr>
    </w:p>
    <w:p w14:paraId="072BD521" w14:textId="0EBF2BB4" w:rsidR="00A92569" w:rsidRPr="00DC66CD" w:rsidRDefault="00A92569" w:rsidP="00A92569">
      <w:pPr>
        <w:pStyle w:val="TEKSTIIII"/>
      </w:pPr>
      <w:r w:rsidRPr="00DC66CD">
        <w:t xml:space="preserve">Të ardhurat nga </w:t>
      </w:r>
      <w:r w:rsidR="007A1F24" w:rsidRPr="00DC66CD">
        <w:t xml:space="preserve">tatimi mbi të ardhurat personale </w:t>
      </w:r>
      <w:r w:rsidRPr="00DC66CD">
        <w:t xml:space="preserve">u </w:t>
      </w:r>
      <w:r w:rsidR="007A1F24" w:rsidRPr="00DC66CD">
        <w:t>realizuan</w:t>
      </w:r>
      <w:r w:rsidRPr="00DC66CD">
        <w:t xml:space="preserve"> me 43.3 miliardë, me një realizim prej 114.6% të planit me rritje 28.6% ose 9.6 miliardë lekë krahasuar me vitin 2018. Të ardhurat nga punësimi në sektorin privat dhe sektorin publik janë rritur, si rrjedhojë e rritjes së numrit të të punësuarve dhe </w:t>
      </w:r>
      <w:r w:rsidR="00F314E5" w:rsidRPr="00DC66CD">
        <w:t xml:space="preserve">të </w:t>
      </w:r>
      <w:r w:rsidRPr="00DC66CD">
        <w:t xml:space="preserve">rritjes së nivelit të pagave. Gjithashtu, një rritje të madhe është realizuar në </w:t>
      </w:r>
      <w:r w:rsidR="00F314E5" w:rsidRPr="00DC66CD">
        <w:t xml:space="preserve">tatimin mbi dividentin, për </w:t>
      </w:r>
      <w:r w:rsidRPr="00DC66CD">
        <w:t>shkak të politikave t</w:t>
      </w:r>
      <w:r w:rsidR="00F314E5" w:rsidRPr="00DC66CD">
        <w:t xml:space="preserve">ë </w:t>
      </w:r>
      <w:r w:rsidRPr="00DC66CD">
        <w:t>ndërmarra nga qeveria</w:t>
      </w:r>
      <w:r w:rsidR="00F314E5" w:rsidRPr="00DC66CD">
        <w:t>,</w:t>
      </w:r>
      <w:r w:rsidRPr="00DC66CD">
        <w:t xml:space="preserve"> duke reduktuar normën e tatimit mbi dividentin nga 15% në 8%.</w:t>
      </w:r>
    </w:p>
    <w:p w14:paraId="379C009F" w14:textId="77777777" w:rsidR="00A92569" w:rsidRPr="00DC66CD" w:rsidRDefault="00A92569" w:rsidP="00A92569">
      <w:pPr>
        <w:pStyle w:val="TEKSTIIII"/>
      </w:pPr>
    </w:p>
    <w:p w14:paraId="76D0AA7D" w14:textId="62FDD178" w:rsidR="00A92569" w:rsidRPr="00DC66CD" w:rsidRDefault="00A92569" w:rsidP="00A92569">
      <w:pPr>
        <w:pStyle w:val="TEKSTIIII"/>
        <w:rPr>
          <w:i/>
        </w:rPr>
      </w:pPr>
      <w:r w:rsidRPr="00DC66CD">
        <w:rPr>
          <w:i/>
        </w:rPr>
        <w:t xml:space="preserve">Grafiku 4.2.22 Të ardhurat nga </w:t>
      </w:r>
      <w:r w:rsidR="00F314E5" w:rsidRPr="00DC66CD">
        <w:rPr>
          <w:i/>
        </w:rPr>
        <w:t xml:space="preserve">tatimi </w:t>
      </w:r>
      <w:r w:rsidRPr="00DC66CD">
        <w:rPr>
          <w:i/>
        </w:rPr>
        <w:t xml:space="preserve">mbi të ardhurat </w:t>
      </w:r>
      <w:r w:rsidR="00F314E5" w:rsidRPr="00DC66CD">
        <w:rPr>
          <w:i/>
        </w:rPr>
        <w:t xml:space="preserve">personale </w:t>
      </w:r>
      <w:r w:rsidRPr="00DC66CD">
        <w:rPr>
          <w:i/>
        </w:rPr>
        <w:t>p</w:t>
      </w:r>
      <w:r w:rsidR="005E6738" w:rsidRPr="00DC66CD">
        <w:rPr>
          <w:i/>
        </w:rPr>
        <w:t>ë</w:t>
      </w:r>
      <w:r w:rsidRPr="00DC66CD">
        <w:rPr>
          <w:i/>
        </w:rPr>
        <w:t>r periudh</w:t>
      </w:r>
      <w:r w:rsidR="005E6738" w:rsidRPr="00DC66CD">
        <w:rPr>
          <w:i/>
        </w:rPr>
        <w:t>ë</w:t>
      </w:r>
      <w:r w:rsidRPr="00DC66CD">
        <w:rPr>
          <w:i/>
        </w:rPr>
        <w:t xml:space="preserve">n </w:t>
      </w:r>
      <w:r w:rsidR="00123D04" w:rsidRPr="00DC66CD">
        <w:rPr>
          <w:i/>
        </w:rPr>
        <w:t>11-mujor</w:t>
      </w:r>
      <w:r w:rsidRPr="00DC66CD">
        <w:rPr>
          <w:i/>
        </w:rPr>
        <w:t>e (n</w:t>
      </w:r>
      <w:r w:rsidR="005E6738" w:rsidRPr="00DC66CD">
        <w:rPr>
          <w:i/>
        </w:rPr>
        <w:t>ë</w:t>
      </w:r>
      <w:r w:rsidRPr="00DC66CD">
        <w:rPr>
          <w:i/>
        </w:rPr>
        <w:t xml:space="preserve"> milion lek)</w:t>
      </w:r>
    </w:p>
    <w:p w14:paraId="3E2973F2" w14:textId="77777777" w:rsidR="00A92569" w:rsidRPr="00DC66CD" w:rsidRDefault="00A92569" w:rsidP="00007A13">
      <w:pPr>
        <w:spacing w:after="0" w:line="240" w:lineRule="auto"/>
        <w:ind w:firstLine="284"/>
        <w:jc w:val="center"/>
        <w:rPr>
          <w:rFonts w:ascii="Garamond" w:hAnsi="Garamond"/>
        </w:rPr>
      </w:pPr>
      <w:r w:rsidRPr="00DC66CD">
        <w:rPr>
          <w:rFonts w:ascii="Garamond" w:hAnsi="Garamond"/>
          <w:noProof/>
          <w:lang w:val="en-US" w:eastAsia="en-US"/>
        </w:rPr>
        <w:drawing>
          <wp:inline distT="0" distB="0" distL="0" distR="0" wp14:anchorId="5D08E616" wp14:editId="49744747">
            <wp:extent cx="5772647" cy="2258171"/>
            <wp:effectExtent l="0" t="0" r="19050" b="2794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751F28A" w14:textId="77777777" w:rsidR="00A92569" w:rsidRPr="00DC66CD" w:rsidRDefault="00A92569" w:rsidP="00A92569">
      <w:pPr>
        <w:spacing w:after="0" w:line="240" w:lineRule="auto"/>
        <w:ind w:firstLine="284"/>
        <w:jc w:val="both"/>
        <w:rPr>
          <w:rFonts w:ascii="Garamond" w:hAnsi="Garamond"/>
        </w:rPr>
      </w:pPr>
    </w:p>
    <w:p w14:paraId="7DD279FC" w14:textId="683432D1" w:rsidR="00A92569" w:rsidRPr="00DC66CD" w:rsidRDefault="00A92569" w:rsidP="00007A13">
      <w:pPr>
        <w:pStyle w:val="TEKSTIIII"/>
      </w:pPr>
      <w:r w:rsidRPr="00DC66CD">
        <w:t xml:space="preserve">Të ardhurat nga </w:t>
      </w:r>
      <w:r w:rsidR="00F314E5" w:rsidRPr="00DC66CD">
        <w:t xml:space="preserve">taksa nacionale </w:t>
      </w:r>
      <w:r w:rsidRPr="00DC66CD">
        <w:t xml:space="preserve">për vitin 2019 ishte 30.9 miliardë lekë, me </w:t>
      </w:r>
      <w:r w:rsidR="00F314E5" w:rsidRPr="00DC66CD">
        <w:t>një</w:t>
      </w:r>
      <w:r w:rsidRPr="00DC66CD">
        <w:t xml:space="preserve"> realizim prej 88.3% të planit.</w:t>
      </w:r>
    </w:p>
    <w:p w14:paraId="0E9EC14B" w14:textId="77777777" w:rsidR="00A92569" w:rsidRPr="00DC66CD" w:rsidRDefault="00A92569" w:rsidP="00007A13">
      <w:pPr>
        <w:pStyle w:val="TEKSTIIII"/>
      </w:pPr>
    </w:p>
    <w:p w14:paraId="7B6A20C0" w14:textId="0406988E" w:rsidR="00A92569" w:rsidRPr="00DC66CD" w:rsidRDefault="00F314E5" w:rsidP="00007A13">
      <w:pPr>
        <w:pStyle w:val="TEKSTIIII"/>
        <w:rPr>
          <w:i/>
        </w:rPr>
      </w:pPr>
      <w:r w:rsidRPr="00DC66CD">
        <w:rPr>
          <w:i/>
        </w:rPr>
        <w:t>Grafiku 4.2.23</w:t>
      </w:r>
      <w:r w:rsidR="00A92569" w:rsidRPr="00DC66CD">
        <w:rPr>
          <w:i/>
        </w:rPr>
        <w:t xml:space="preserve"> Të ardhurat </w:t>
      </w:r>
      <w:r w:rsidRPr="00DC66CD">
        <w:rPr>
          <w:i/>
        </w:rPr>
        <w:t xml:space="preserve">nga taksat kombëtare </w:t>
      </w:r>
      <w:r w:rsidR="00A92569" w:rsidRPr="00DC66CD">
        <w:rPr>
          <w:i/>
        </w:rPr>
        <w:t xml:space="preserve">gjatë viteve për periudhën </w:t>
      </w:r>
      <w:r w:rsidR="00123D04" w:rsidRPr="00DC66CD">
        <w:rPr>
          <w:i/>
        </w:rPr>
        <w:t>11-mujor</w:t>
      </w:r>
      <w:r w:rsidR="00A92569" w:rsidRPr="00DC66CD">
        <w:rPr>
          <w:i/>
        </w:rPr>
        <w:t>e (në milion lek)</w:t>
      </w:r>
    </w:p>
    <w:p w14:paraId="31776308" w14:textId="77777777" w:rsidR="00A92569" w:rsidRPr="00DC66CD" w:rsidRDefault="00A92569" w:rsidP="00A92569">
      <w:pPr>
        <w:spacing w:after="0" w:line="240" w:lineRule="auto"/>
        <w:ind w:firstLine="284"/>
        <w:jc w:val="both"/>
        <w:rPr>
          <w:rFonts w:ascii="Garamond" w:hAnsi="Garamond"/>
        </w:rPr>
      </w:pPr>
      <w:r w:rsidRPr="00DC66CD">
        <w:rPr>
          <w:rFonts w:ascii="Garamond" w:hAnsi="Garamond"/>
          <w:noProof/>
          <w:lang w:val="en-US" w:eastAsia="en-US"/>
        </w:rPr>
        <w:drawing>
          <wp:inline distT="0" distB="0" distL="0" distR="0" wp14:anchorId="0D38E538" wp14:editId="6D6F6A91">
            <wp:extent cx="5772647" cy="2218414"/>
            <wp:effectExtent l="0" t="0" r="19050" b="10795"/>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C1EF85B" w14:textId="77777777" w:rsidR="00A92569" w:rsidRPr="00DC66CD" w:rsidRDefault="00A92569" w:rsidP="00A92569">
      <w:pPr>
        <w:spacing w:after="0" w:line="240" w:lineRule="auto"/>
        <w:ind w:firstLine="284"/>
        <w:jc w:val="both"/>
        <w:rPr>
          <w:rFonts w:ascii="Garamond" w:hAnsi="Garamond"/>
        </w:rPr>
      </w:pPr>
    </w:p>
    <w:p w14:paraId="5B2A9BB7" w14:textId="1477A688" w:rsidR="00A92569" w:rsidRPr="00DC66CD" w:rsidRDefault="00A92569" w:rsidP="00007A13">
      <w:pPr>
        <w:pStyle w:val="TEKSTIIII"/>
      </w:pPr>
      <w:r w:rsidRPr="00DC66CD">
        <w:t xml:space="preserve">Të ardhurat nga </w:t>
      </w:r>
      <w:r w:rsidR="00F314E5" w:rsidRPr="00DC66CD">
        <w:t xml:space="preserve">kontributet e sigurimeve shoqërore </w:t>
      </w:r>
      <w:r w:rsidRPr="00DC66CD">
        <w:t>të arkëtuara nga DPT</w:t>
      </w:r>
      <w:r w:rsidR="00F314E5" w:rsidRPr="00DC66CD">
        <w:t>-ja</w:t>
      </w:r>
      <w:r w:rsidRPr="00DC66CD">
        <w:t xml:space="preserve"> arritën vlerën 79.2 </w:t>
      </w:r>
      <w:r w:rsidR="00F314E5" w:rsidRPr="00DC66CD">
        <w:t>milionë</w:t>
      </w:r>
      <w:r w:rsidRPr="00DC66CD">
        <w:t xml:space="preserve"> lekë</w:t>
      </w:r>
      <w:r w:rsidR="00F314E5" w:rsidRPr="00DC66CD">
        <w:t>,</w:t>
      </w:r>
      <w:r w:rsidRPr="00DC66CD">
        <w:t xml:space="preserve"> duke shënuar një rritje prej 5.9% ose 4.8 miliardë lekë në </w:t>
      </w:r>
      <w:r w:rsidR="00F314E5" w:rsidRPr="00DC66CD">
        <w:t>krahasim me vitin 2018 dhe 0.3%</w:t>
      </w:r>
      <w:r w:rsidRPr="00DC66CD">
        <w:t xml:space="preserve"> ose 261 milion</w:t>
      </w:r>
      <w:r w:rsidR="00F314E5" w:rsidRPr="00DC66CD">
        <w:t>ë</w:t>
      </w:r>
      <w:r w:rsidRPr="00DC66CD">
        <w:t xml:space="preserve"> lekë më shumë se plani. Performanca e lartë dhe rritja e qëndrueshme ka </w:t>
      </w:r>
      <w:r w:rsidR="00F314E5" w:rsidRPr="00DC66CD">
        <w:t>a</w:t>
      </w:r>
      <w:r w:rsidRPr="00DC66CD">
        <w:t>rdhur si pasojë e situatës ekonomike pozitive dhe rritjes së numrit të të punësuarve. Nga ana tjetër, aksioni kundër informalitetit ka dhënë efekte të dukshme në formalizimin e tregut të punës.</w:t>
      </w:r>
    </w:p>
    <w:p w14:paraId="1008568C" w14:textId="623594B5" w:rsidR="00A92569" w:rsidRPr="00DC66CD" w:rsidRDefault="00007A13" w:rsidP="00007A13">
      <w:pPr>
        <w:pStyle w:val="TEKSTIIII"/>
        <w:rPr>
          <w:b/>
        </w:rPr>
      </w:pPr>
      <w:bookmarkStart w:id="15" w:name="_Toc30661219"/>
      <w:bookmarkStart w:id="16" w:name="_Toc30416395"/>
      <w:bookmarkStart w:id="17" w:name="_Toc484076175"/>
      <w:r w:rsidRPr="00DC66CD">
        <w:rPr>
          <w:b/>
        </w:rPr>
        <w:t xml:space="preserve">4.3 </w:t>
      </w:r>
      <w:r w:rsidR="00A92569" w:rsidRPr="00DC66CD">
        <w:rPr>
          <w:b/>
        </w:rPr>
        <w:t>Perspektiva buxhetore afatmesme</w:t>
      </w:r>
      <w:bookmarkEnd w:id="15"/>
      <w:bookmarkEnd w:id="16"/>
    </w:p>
    <w:p w14:paraId="5FCE7E6B" w14:textId="0DF36C6D" w:rsidR="00A92569" w:rsidRPr="00DC66CD" w:rsidRDefault="00A92569" w:rsidP="00007A13">
      <w:pPr>
        <w:pStyle w:val="TEKSTIIII"/>
      </w:pPr>
      <w:r w:rsidRPr="00DC66CD">
        <w:t>Parashikimi i të ardhurave tatimore</w:t>
      </w:r>
      <w:r w:rsidR="001D111B" w:rsidRPr="00DC66CD">
        <w:t>,</w:t>
      </w:r>
      <w:r w:rsidRPr="00DC66CD">
        <w:t xml:space="preserve"> për vitin 2020, ka marrë në konsideratë të gjithë faktorët që ndikojnë në buxhet, përfshirë efektin e rritjes ekonomike, si dhe politika fiskale të përshtatshme për të mbështetur këtë rritje. Politikat e reja fiskale dhe efektet e luftës kundër informalitetit së bashku me masat antikorrupsion ndihmojnë në rritjen e </w:t>
      </w:r>
      <w:r w:rsidR="001D111B" w:rsidRPr="00DC66CD">
        <w:t>pajtueshmërisë</w:t>
      </w:r>
      <w:r w:rsidRPr="00DC66CD">
        <w:t xml:space="preserve"> vullnetare të taksapagueve me legjislacionin.</w:t>
      </w:r>
    </w:p>
    <w:p w14:paraId="0FD4C0C4" w14:textId="7E82997C" w:rsidR="00A92569" w:rsidRPr="00DC66CD" w:rsidRDefault="00A92569" w:rsidP="00007A13">
      <w:pPr>
        <w:pStyle w:val="TEKSTIIII"/>
      </w:pPr>
      <w:r w:rsidRPr="00DC66CD">
        <w:t xml:space="preserve">Parashikimi i të ardhurave për vitin 2020 mbështet qëllimet e Ministrisë së Financave dhe Ekonomisë për konsolidimin e mëtejshëm fiskal, reduktimin e deficitit buxhetor dhe </w:t>
      </w:r>
      <w:r w:rsidR="001D111B" w:rsidRPr="00DC66CD">
        <w:t xml:space="preserve">të </w:t>
      </w:r>
      <w:r w:rsidRPr="00DC66CD">
        <w:t>borxhit publik. Ky program është bazuar në përmirësimin e administratës fiskale dhe minimizimin e informalitetit në ekonomi, duke mbështetur rritjen e qëndrueshme ekonomike, si dhe rritjen e prodhimit dhe eksportit.</w:t>
      </w:r>
    </w:p>
    <w:p w14:paraId="6FF3D646" w14:textId="77777777" w:rsidR="00A92569" w:rsidRPr="00DC66CD" w:rsidRDefault="00A92569" w:rsidP="00007A13">
      <w:pPr>
        <w:pStyle w:val="TEKSTIIII"/>
      </w:pPr>
    </w:p>
    <w:p w14:paraId="787028AC" w14:textId="0C26EB42" w:rsidR="00A92569" w:rsidRPr="00DC66CD" w:rsidRDefault="00A92569" w:rsidP="005A4484">
      <w:pPr>
        <w:pStyle w:val="TEKSTIIII"/>
      </w:pPr>
      <w:r w:rsidRPr="00DC66CD">
        <w:t>Metodologjia e parashikimit të të ardhurave është bazuar në modelet bashkëkohore të modelimit, sugjeruar dhe aplikuar nga Fondi Monetar Ndërkombëtar dhe duke përfshirë analizën e detajuar të faktorëve të cilët ndikojnë në çdo taksë. Modelet bazë të perdorura janë:</w:t>
      </w:r>
    </w:p>
    <w:p w14:paraId="01D54866" w14:textId="701C7130" w:rsidR="00A92569" w:rsidRPr="00DC66CD" w:rsidRDefault="005A4484" w:rsidP="005A4484">
      <w:pPr>
        <w:pStyle w:val="TEKSTIIII"/>
      </w:pPr>
      <w:r w:rsidRPr="00DC66CD">
        <w:t>-</w:t>
      </w:r>
      <w:r w:rsidR="001D111B" w:rsidRPr="00DC66CD">
        <w:t xml:space="preserve"> p</w:t>
      </w:r>
      <w:r w:rsidR="00A92569" w:rsidRPr="00DC66CD">
        <w:t>arashikimi në kuadrin makroekonomik</w:t>
      </w:r>
      <w:r w:rsidR="001D111B" w:rsidRPr="00DC66CD">
        <w:t>;</w:t>
      </w:r>
    </w:p>
    <w:p w14:paraId="6E47128C" w14:textId="5FF87998" w:rsidR="00A92569" w:rsidRPr="00DC66CD" w:rsidRDefault="005A4484" w:rsidP="005A4484">
      <w:pPr>
        <w:pStyle w:val="TEKSTIIII"/>
      </w:pPr>
      <w:r w:rsidRPr="00DC66CD">
        <w:t>-</w:t>
      </w:r>
      <w:r w:rsidR="001D111B" w:rsidRPr="00DC66CD">
        <w:t xml:space="preserve"> a</w:t>
      </w:r>
      <w:r w:rsidR="00A92569" w:rsidRPr="00DC66CD">
        <w:t xml:space="preserve">naliza e importit të 60 grup-produkteve bazë dhe në </w:t>
      </w:r>
      <w:r w:rsidR="001D111B" w:rsidRPr="00DC66CD">
        <w:t xml:space="preserve">analizën e serive </w:t>
      </w:r>
      <w:r w:rsidR="00A92569" w:rsidRPr="00DC66CD">
        <w:t>kohore</w:t>
      </w:r>
      <w:r w:rsidR="001D111B" w:rsidRPr="00DC66CD">
        <w:t>;</w:t>
      </w:r>
    </w:p>
    <w:p w14:paraId="379F661F" w14:textId="2467527B" w:rsidR="00A92569" w:rsidRPr="00DC66CD" w:rsidRDefault="005A4484" w:rsidP="005A4484">
      <w:pPr>
        <w:pStyle w:val="TEKSTIIII"/>
      </w:pPr>
      <w:r w:rsidRPr="00DC66CD">
        <w:t>-</w:t>
      </w:r>
      <w:r w:rsidR="001D111B" w:rsidRPr="00DC66CD">
        <w:t xml:space="preserve"> m</w:t>
      </w:r>
      <w:r w:rsidR="00A92569" w:rsidRPr="00DC66CD">
        <w:t>atja dhe vlerësimi i efekteve në treguesit makroekonomik</w:t>
      </w:r>
      <w:r w:rsidR="001D111B" w:rsidRPr="00DC66CD">
        <w:t>ë,</w:t>
      </w:r>
      <w:r w:rsidR="00A92569" w:rsidRPr="00DC66CD">
        <w:t xml:space="preserve"> duke analizuar efektin në ndryshimin e të ardhurave për çdo përqindje të ndryshimit të PBB </w:t>
      </w:r>
      <w:r w:rsidR="00A92569" w:rsidRPr="00DC66CD">
        <w:rPr>
          <w:i/>
        </w:rPr>
        <w:t>(</w:t>
      </w:r>
      <w:r w:rsidR="002A29AD" w:rsidRPr="00DC66CD">
        <w:rPr>
          <w:i/>
        </w:rPr>
        <w:t>“</w:t>
      </w:r>
      <w:r w:rsidR="00A92569" w:rsidRPr="00DC66CD">
        <w:rPr>
          <w:i/>
        </w:rPr>
        <w:t>Buoyancy</w:t>
      </w:r>
      <w:r w:rsidR="002A29AD" w:rsidRPr="00DC66CD">
        <w:rPr>
          <w:i/>
        </w:rPr>
        <w:t>”</w:t>
      </w:r>
      <w:r w:rsidR="00A92569" w:rsidRPr="00DC66CD">
        <w:t xml:space="preserve"> dhe </w:t>
      </w:r>
      <w:r w:rsidR="002A29AD" w:rsidRPr="00DC66CD">
        <w:t>“</w:t>
      </w:r>
      <w:r w:rsidR="00A92569" w:rsidRPr="00DC66CD">
        <w:t xml:space="preserve">Norma </w:t>
      </w:r>
      <w:r w:rsidR="001D111B" w:rsidRPr="00DC66CD">
        <w:t>efektive tatimore</w:t>
      </w:r>
      <w:r w:rsidR="002A29AD" w:rsidRPr="00DC66CD">
        <w:t>”</w:t>
      </w:r>
      <w:r w:rsidR="00A92569" w:rsidRPr="00DC66CD">
        <w:t>).</w:t>
      </w:r>
    </w:p>
    <w:p w14:paraId="7A1D59C2" w14:textId="21A71515" w:rsidR="00A92569" w:rsidRPr="00DC66CD" w:rsidRDefault="00A92569" w:rsidP="005A4484">
      <w:pPr>
        <w:pStyle w:val="TEKSTIIII"/>
      </w:pPr>
      <w:r w:rsidRPr="00DC66CD">
        <w:t>Faktorët makroekonomikë</w:t>
      </w:r>
      <w:r w:rsidR="001D111B" w:rsidRPr="00DC66CD">
        <w:t>,</w:t>
      </w:r>
      <w:r w:rsidRPr="00DC66CD">
        <w:t xml:space="preserve"> në lidhje me parashikimin e vitit 2020</w:t>
      </w:r>
      <w:r w:rsidR="001D111B" w:rsidRPr="00DC66CD">
        <w:t>,</w:t>
      </w:r>
      <w:r w:rsidRPr="00DC66CD">
        <w:t xml:space="preserve"> janë kombinuar me treguesit kryesorë që ndikojnë në çdo taksë. Sasitë dhe çmimet e mallrave kryesore të importuara dhe prodhimi </w:t>
      </w:r>
      <w:r w:rsidR="00637183" w:rsidRPr="00DC66CD">
        <w:t>vendës</w:t>
      </w:r>
      <w:r w:rsidRPr="00DC66CD">
        <w:t xml:space="preserve"> (i cili mbulon 90% të të ardhurave totale) janë analizuar dhe vlerësuar si më poshtë:</w:t>
      </w:r>
    </w:p>
    <w:p w14:paraId="5309577E" w14:textId="53217123" w:rsidR="00A92569" w:rsidRPr="00DC66CD" w:rsidRDefault="00A92569" w:rsidP="005A4484">
      <w:pPr>
        <w:pStyle w:val="TEKSTIIII"/>
      </w:pPr>
      <w:r w:rsidRPr="00DC66CD">
        <w:t xml:space="preserve">- </w:t>
      </w:r>
      <w:r w:rsidR="001D111B" w:rsidRPr="00DC66CD">
        <w:t>r</w:t>
      </w:r>
      <w:r w:rsidRPr="00DC66CD">
        <w:t>ritja nominale e PBB-së;</w:t>
      </w:r>
    </w:p>
    <w:p w14:paraId="286E6BE5" w14:textId="51123CF9" w:rsidR="00A92569" w:rsidRPr="00DC66CD" w:rsidRDefault="00A92569" w:rsidP="005A4484">
      <w:pPr>
        <w:pStyle w:val="TEKSTIIII"/>
      </w:pPr>
      <w:r w:rsidRPr="00DC66CD">
        <w:t xml:space="preserve">- </w:t>
      </w:r>
      <w:r w:rsidR="001D111B" w:rsidRPr="00DC66CD">
        <w:t>k</w:t>
      </w:r>
      <w:r w:rsidRPr="00DC66CD">
        <w:t>ursi monetar i pritshëm i dy monedhave kryesore USD dhe EUR me lekë;</w:t>
      </w:r>
    </w:p>
    <w:p w14:paraId="2F2DF1FB" w14:textId="53FBFE71" w:rsidR="00A92569" w:rsidRPr="00DC66CD" w:rsidRDefault="00A92569" w:rsidP="005A4484">
      <w:pPr>
        <w:pStyle w:val="TEKSTIIII"/>
      </w:pPr>
      <w:r w:rsidRPr="00DC66CD">
        <w:t xml:space="preserve">- </w:t>
      </w:r>
      <w:r w:rsidR="001D111B" w:rsidRPr="00DC66CD">
        <w:t>ç</w:t>
      </w:r>
      <w:r w:rsidRPr="00DC66CD">
        <w:t xml:space="preserve">mimet në tregjet financiare që ndikojnë në të ardhurat nga TVSH-ja dhe </w:t>
      </w:r>
      <w:r w:rsidR="001D111B" w:rsidRPr="00DC66CD">
        <w:t xml:space="preserve">renta </w:t>
      </w:r>
      <w:r w:rsidRPr="00DC66CD">
        <w:t>minerare</w:t>
      </w:r>
      <w:r w:rsidR="001D111B" w:rsidRPr="00DC66CD">
        <w:t>;</w:t>
      </w:r>
    </w:p>
    <w:p w14:paraId="10A8F018" w14:textId="598F9952" w:rsidR="00A92569" w:rsidRPr="00DC66CD" w:rsidRDefault="00A92569" w:rsidP="005A4484">
      <w:pPr>
        <w:pStyle w:val="TEKSTIIII"/>
      </w:pPr>
      <w:r w:rsidRPr="00DC66CD">
        <w:t xml:space="preserve">- </w:t>
      </w:r>
      <w:r w:rsidR="001D111B" w:rsidRPr="00DC66CD">
        <w:t>s</w:t>
      </w:r>
      <w:r w:rsidRPr="00DC66CD">
        <w:t>asitë e parashikuara për import dhe prodhim;</w:t>
      </w:r>
    </w:p>
    <w:p w14:paraId="3C0F8E41" w14:textId="620AA4B8" w:rsidR="00A92569" w:rsidRPr="00DC66CD" w:rsidRDefault="00A92569" w:rsidP="005A4484">
      <w:pPr>
        <w:pStyle w:val="TEKSTIIII"/>
      </w:pPr>
      <w:r w:rsidRPr="00DC66CD">
        <w:t xml:space="preserve">- </w:t>
      </w:r>
      <w:r w:rsidR="001D111B" w:rsidRPr="00DC66CD">
        <w:t>r</w:t>
      </w:r>
      <w:r w:rsidRPr="00DC66CD">
        <w:t>ritja e të ardhurave nga akcizat për karburant, cigare, pije etj., si rezultat i rritjes së pritshme të sasisë së tyre, në përputhje me konsumin</w:t>
      </w:r>
      <w:r w:rsidR="001D111B" w:rsidRPr="00DC66CD">
        <w:t>;</w:t>
      </w:r>
    </w:p>
    <w:p w14:paraId="3BD11CAB" w14:textId="43D7E0E3" w:rsidR="00A92569" w:rsidRPr="00DC66CD" w:rsidRDefault="00A92569" w:rsidP="005A4484">
      <w:pPr>
        <w:pStyle w:val="TEKSTIIII"/>
      </w:pPr>
      <w:r w:rsidRPr="00DC66CD">
        <w:t xml:space="preserve">- </w:t>
      </w:r>
      <w:r w:rsidR="001D111B" w:rsidRPr="00DC66CD">
        <w:t>r</w:t>
      </w:r>
      <w:r w:rsidRPr="00DC66CD">
        <w:t xml:space="preserve">ritja e të ardhurave </w:t>
      </w:r>
      <w:r w:rsidR="001D111B" w:rsidRPr="00DC66CD">
        <w:t>nga tatimi mbi fitimin</w:t>
      </w:r>
      <w:r w:rsidRPr="00DC66CD">
        <w:t>, duke reflektuar rritjen e deklarimit dhe qarkullimin e operatorëve ekonomikë</w:t>
      </w:r>
      <w:r w:rsidR="001D111B" w:rsidRPr="00DC66CD">
        <w:t>;</w:t>
      </w:r>
    </w:p>
    <w:p w14:paraId="6045A9C8" w14:textId="2EB04F12" w:rsidR="00A92569" w:rsidRPr="00DC66CD" w:rsidRDefault="00A92569" w:rsidP="005A4484">
      <w:pPr>
        <w:pStyle w:val="TEKSTIIII"/>
      </w:pPr>
      <w:r w:rsidRPr="00DC66CD">
        <w:t xml:space="preserve">- </w:t>
      </w:r>
      <w:r w:rsidR="001D111B" w:rsidRPr="00DC66CD">
        <w:t>r</w:t>
      </w:r>
      <w:r w:rsidRPr="00DC66CD">
        <w:t>ritja e çmimit të naftës bruto për rreth 4% në krahasim me vitin 2</w:t>
      </w:r>
      <w:r w:rsidR="001D111B" w:rsidRPr="00DC66CD">
        <w:t xml:space="preserve">019, sipas parashikimeve në EIA, </w:t>
      </w:r>
      <w:r w:rsidR="002A29AD" w:rsidRPr="00DC66CD">
        <w:t>“</w:t>
      </w:r>
      <w:r w:rsidRPr="00DC66CD">
        <w:t xml:space="preserve">Administrata e </w:t>
      </w:r>
      <w:r w:rsidR="001D111B" w:rsidRPr="00DC66CD">
        <w:t xml:space="preserve">informacionit të energjisë </w:t>
      </w:r>
      <w:r w:rsidRPr="00DC66CD">
        <w:t xml:space="preserve">të </w:t>
      </w:r>
      <w:r w:rsidR="001D111B" w:rsidRPr="00DC66CD">
        <w:t>SH</w:t>
      </w:r>
      <w:r w:rsidRPr="00DC66CD">
        <w:t>BA</w:t>
      </w:r>
      <w:r w:rsidR="001D111B" w:rsidRPr="00DC66CD">
        <w:t>-së</w:t>
      </w:r>
      <w:r w:rsidR="002A29AD" w:rsidRPr="00DC66CD">
        <w:t>”</w:t>
      </w:r>
      <w:r w:rsidRPr="00DC66CD">
        <w:t>;</w:t>
      </w:r>
    </w:p>
    <w:p w14:paraId="6B8F3971" w14:textId="55BAEAA2" w:rsidR="00A92569" w:rsidRPr="00DC66CD" w:rsidRDefault="00A92569" w:rsidP="005A4484">
      <w:pPr>
        <w:pStyle w:val="TEKSTIIII"/>
      </w:pPr>
      <w:r w:rsidRPr="00DC66CD">
        <w:t xml:space="preserve">- </w:t>
      </w:r>
      <w:r w:rsidR="001D111B" w:rsidRPr="00DC66CD">
        <w:t>r</w:t>
      </w:r>
      <w:r w:rsidRPr="00DC66CD">
        <w:t>ritja e të ardhurave nga TVSH-ja në import</w:t>
      </w:r>
      <w:r w:rsidR="001D111B" w:rsidRPr="00DC66CD">
        <w:t>in</w:t>
      </w:r>
      <w:r w:rsidRPr="00DC66CD">
        <w:t xml:space="preserve"> dhe TVSH</w:t>
      </w:r>
      <w:r w:rsidR="001D111B" w:rsidRPr="00DC66CD">
        <w:t>-në</w:t>
      </w:r>
      <w:r w:rsidRPr="00DC66CD">
        <w:t xml:space="preserve"> e brendshme, lidhur me planifikimin e fondeve të nevojshme për rimbursimin në kohë të tatimpaguesve;</w:t>
      </w:r>
    </w:p>
    <w:p w14:paraId="709B9172" w14:textId="3E934EA2" w:rsidR="00A92569" w:rsidRPr="00DC66CD" w:rsidRDefault="00A92569" w:rsidP="005A4484">
      <w:pPr>
        <w:pStyle w:val="TEKSTIIII"/>
      </w:pPr>
      <w:r w:rsidRPr="00DC66CD">
        <w:t xml:space="preserve">- </w:t>
      </w:r>
      <w:r w:rsidR="001D111B" w:rsidRPr="00DC66CD">
        <w:t>p</w:t>
      </w:r>
      <w:r w:rsidRPr="00DC66CD">
        <w:t>lanifikimi i fondeve të nevojshme për rimbursimin e TVSH-së, me qëllim të zvogëlimit të stokut në vitin 2020 me 67% në krahasim me fundin e vitit 2019.</w:t>
      </w:r>
    </w:p>
    <w:p w14:paraId="5AC1AE6D" w14:textId="2A037D28" w:rsidR="00A92569" w:rsidRPr="00DC66CD" w:rsidRDefault="00A92569" w:rsidP="005A4484">
      <w:pPr>
        <w:pStyle w:val="TEKSTIIII"/>
      </w:pPr>
      <w:r w:rsidRPr="00DC66CD">
        <w:t>Të ardhurat totale të mbledhura nga DPD</w:t>
      </w:r>
      <w:r w:rsidR="001D111B" w:rsidRPr="00DC66CD">
        <w:t>-ja</w:t>
      </w:r>
      <w:r w:rsidRPr="00DC66CD">
        <w:t xml:space="preserve"> dhe DPT</w:t>
      </w:r>
      <w:r w:rsidR="001D111B" w:rsidRPr="00DC66CD">
        <w:t>-ja</w:t>
      </w:r>
      <w:r w:rsidRPr="00DC66CD">
        <w:t xml:space="preserve"> (përfshirë sigurimet shoqërore) vlerësohet të jenë 437.15 miliardë lekë ose 29 miliard</w:t>
      </w:r>
      <w:r w:rsidR="001D111B" w:rsidRPr="00DC66CD">
        <w:t>ë</w:t>
      </w:r>
      <w:r w:rsidRPr="00DC66CD">
        <w:t xml:space="preserve"> (7.2%) më shumë se viti pararendës 2019. Të ardhurat nga DPD</w:t>
      </w:r>
      <w:r w:rsidR="001D111B" w:rsidRPr="00DC66CD">
        <w:t>-ja</w:t>
      </w:r>
      <w:r w:rsidRPr="00DC66CD">
        <w:t xml:space="preserve"> dhe DPT</w:t>
      </w:r>
      <w:r w:rsidR="001D111B" w:rsidRPr="00DC66CD">
        <w:t>-ja</w:t>
      </w:r>
      <w:r w:rsidRPr="00DC66CD">
        <w:t xml:space="preserve"> për vitin 2020 vlerësohen të jenë 334.12 miliard</w:t>
      </w:r>
      <w:r w:rsidR="001D111B" w:rsidRPr="00DC66CD">
        <w:t>ë</w:t>
      </w:r>
      <w:r w:rsidRPr="00DC66CD">
        <w:t xml:space="preserve"> ose 24.5 miliardë (7.9%) më shumë se viti paraprak 2019, ndërsa të ardhurat nga kontributet shoqërore vlerësohet të jenë 103 miliard</w:t>
      </w:r>
      <w:r w:rsidR="001D111B" w:rsidRPr="00DC66CD">
        <w:t>ë</w:t>
      </w:r>
      <w:r w:rsidRPr="00DC66CD">
        <w:t xml:space="preserve"> ose 4.7 miliardë lekë (4.8%) më shumë se viti fiskal 2019.</w:t>
      </w:r>
    </w:p>
    <w:p w14:paraId="1B885332" w14:textId="77777777" w:rsidR="00A92569" w:rsidRPr="00DC66CD" w:rsidRDefault="00A92569" w:rsidP="00A92569">
      <w:pPr>
        <w:spacing w:after="0" w:line="240" w:lineRule="auto"/>
        <w:ind w:firstLine="284"/>
        <w:jc w:val="both"/>
        <w:rPr>
          <w:rFonts w:ascii="Garamond" w:hAnsi="Garamond"/>
        </w:rPr>
      </w:pPr>
    </w:p>
    <w:p w14:paraId="241C5A34" w14:textId="62E526EB" w:rsidR="00A92569" w:rsidRPr="00DC66CD" w:rsidRDefault="00A92569" w:rsidP="005A4484">
      <w:pPr>
        <w:pStyle w:val="TEKSTIIII"/>
        <w:rPr>
          <w:i/>
        </w:rPr>
      </w:pPr>
      <w:r w:rsidRPr="00DC66CD">
        <w:rPr>
          <w:i/>
        </w:rPr>
        <w:t>Tabela 4.3.1 Të ardhurat totale nga administrata tatimore dhe doganore</w:t>
      </w:r>
    </w:p>
    <w:p w14:paraId="6EBD5202" w14:textId="77777777" w:rsidR="00A92569" w:rsidRPr="00DC66CD" w:rsidRDefault="00A92569" w:rsidP="005A4484">
      <w:pPr>
        <w:spacing w:after="0" w:line="240" w:lineRule="auto"/>
        <w:jc w:val="center"/>
        <w:rPr>
          <w:rFonts w:ascii="Garamond" w:hAnsi="Garamond"/>
        </w:rPr>
      </w:pPr>
      <w:r w:rsidRPr="00DC66CD">
        <w:rPr>
          <w:rFonts w:ascii="Garamond" w:hAnsi="Garamond"/>
          <w:noProof/>
          <w:lang w:val="en-US" w:eastAsia="en-US"/>
        </w:rPr>
        <w:drawing>
          <wp:inline distT="0" distB="0" distL="0" distR="0" wp14:anchorId="50BA54EF" wp14:editId="4A76777D">
            <wp:extent cx="5589767" cy="194807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04645" cy="1953255"/>
                    </a:xfrm>
                    <a:prstGeom prst="rect">
                      <a:avLst/>
                    </a:prstGeom>
                    <a:noFill/>
                    <a:ln>
                      <a:noFill/>
                    </a:ln>
                  </pic:spPr>
                </pic:pic>
              </a:graphicData>
            </a:graphic>
          </wp:inline>
        </w:drawing>
      </w:r>
    </w:p>
    <w:p w14:paraId="6FFFFDC0" w14:textId="77777777" w:rsidR="00A92569" w:rsidRPr="00DC66CD" w:rsidRDefault="00A92569" w:rsidP="00A92569">
      <w:pPr>
        <w:spacing w:after="0" w:line="240" w:lineRule="auto"/>
        <w:ind w:firstLine="284"/>
        <w:jc w:val="both"/>
        <w:rPr>
          <w:rFonts w:ascii="Garamond" w:hAnsi="Garamond"/>
        </w:rPr>
      </w:pPr>
    </w:p>
    <w:p w14:paraId="4AB6A5A9" w14:textId="24473F71" w:rsidR="00A92569" w:rsidRPr="00DC66CD" w:rsidRDefault="00A92569" w:rsidP="005A4484">
      <w:pPr>
        <w:pStyle w:val="TEKSTIIII"/>
      </w:pPr>
      <w:r w:rsidRPr="00DC66CD">
        <w:t>Të ardhurat doganore janë projektuar në bazë të analizës së trendit historik të 60 grup</w:t>
      </w:r>
      <w:r w:rsidR="001D111B" w:rsidRPr="00DC66CD">
        <w:t>- produkteve për një periudhë 6-</w:t>
      </w:r>
      <w:r w:rsidRPr="00DC66CD">
        <w:t xml:space="preserve">vjeçare. Ky </w:t>
      </w:r>
      <w:r w:rsidR="001D111B" w:rsidRPr="00DC66CD">
        <w:t>parashikim</w:t>
      </w:r>
      <w:r w:rsidRPr="00DC66CD">
        <w:t xml:space="preserve"> është korrigjuar me </w:t>
      </w:r>
      <w:r w:rsidR="001D111B" w:rsidRPr="00DC66CD">
        <w:t>efektet</w:t>
      </w:r>
      <w:r w:rsidRPr="00DC66CD">
        <w:t xml:space="preserve"> e faktorëve të jashtëm në çdo taksë. E njëjta procedurë është përdorur për të ardhurat tatimore, bazuar në modelin statistikor të parashikimit të të ardhurave të pritshme</w:t>
      </w:r>
      <w:r w:rsidR="001D111B" w:rsidRPr="00DC66CD">
        <w:t>,</w:t>
      </w:r>
      <w:r w:rsidRPr="00DC66CD">
        <w:t xml:space="preserve"> si dhe faktorët ekzogjenë që ndikojnë në çdo taksë.</w:t>
      </w:r>
    </w:p>
    <w:p w14:paraId="5BFE286C" w14:textId="77777777" w:rsidR="00A92569" w:rsidRPr="00DC66CD" w:rsidRDefault="00A92569" w:rsidP="005A4484">
      <w:pPr>
        <w:pStyle w:val="TEKSTIIII"/>
      </w:pPr>
    </w:p>
    <w:p w14:paraId="4061A3E1" w14:textId="3E73275B" w:rsidR="00A92569" w:rsidRPr="00DC66CD" w:rsidRDefault="00A92569" w:rsidP="005A4484">
      <w:pPr>
        <w:pStyle w:val="TEKSTIIII"/>
      </w:pPr>
      <w:r w:rsidRPr="00DC66CD">
        <w:t>Faktorët e jashtëm q</w:t>
      </w:r>
      <w:r w:rsidR="00360C4A">
        <w:t>ë</w:t>
      </w:r>
      <w:r w:rsidRPr="00DC66CD">
        <w:t xml:space="preserve"> duhet të merren në </w:t>
      </w:r>
      <w:r w:rsidR="001D111B" w:rsidRPr="00DC66CD">
        <w:t>konsideratë</w:t>
      </w:r>
      <w:r w:rsidRPr="00DC66CD">
        <w:t xml:space="preserve"> në ndikimi e rritjes së të ardhurave për vitin 2020 janë:</w:t>
      </w:r>
    </w:p>
    <w:p w14:paraId="25C14E5A" w14:textId="77777777" w:rsidR="00A92569" w:rsidRPr="00DC66CD" w:rsidRDefault="00A92569" w:rsidP="005A4484">
      <w:pPr>
        <w:pStyle w:val="TEKSTIIII"/>
        <w:rPr>
          <w:i/>
        </w:rPr>
      </w:pPr>
      <w:r w:rsidRPr="00DC66CD">
        <w:rPr>
          <w:i/>
        </w:rPr>
        <w:t>Kuadri makroekonomik</w:t>
      </w:r>
    </w:p>
    <w:p w14:paraId="03E78BDF" w14:textId="4517CA9E" w:rsidR="00A92569" w:rsidRPr="00DC66CD" w:rsidRDefault="00A92569" w:rsidP="005A4484">
      <w:pPr>
        <w:pStyle w:val="TEKSTIIII"/>
      </w:pPr>
      <w:r w:rsidRPr="00DC66CD">
        <w:t>Rritja nominale e PBB-së është aplikuar</w:t>
      </w:r>
      <w:r w:rsidR="003F717B" w:rsidRPr="00DC66CD">
        <w:t>,</w:t>
      </w:r>
      <w:r w:rsidRPr="00DC66CD">
        <w:t xml:space="preserve"> duke analizuar këtë efekt në një metodë të integruar me faktorë të tjerë për çdo taksë në veçanti, në lidhje me të dhënat historike dhe parashikimet e çmimeve në tregjet ndërkombëtare, për tatimet në vlerë si TVSH-ja, </w:t>
      </w:r>
      <w:r w:rsidR="00B2482B" w:rsidRPr="00DC66CD">
        <w:t>renta minerare dhe taksa doganore.</w:t>
      </w:r>
    </w:p>
    <w:p w14:paraId="64ED8DD3" w14:textId="7D87FF8D" w:rsidR="00A92569" w:rsidRPr="00DC66CD" w:rsidRDefault="00B2482B" w:rsidP="005A4484">
      <w:pPr>
        <w:pStyle w:val="TEKSTIIII"/>
      </w:pPr>
      <w:r w:rsidRPr="00DC66CD">
        <w:t>N</w:t>
      </w:r>
      <w:r w:rsidR="00A92569" w:rsidRPr="00DC66CD">
        <w:t>ë parashikim janë përfshirë faktorët e mëposhtëm:</w:t>
      </w:r>
    </w:p>
    <w:p w14:paraId="0866D11D" w14:textId="6563ADCB" w:rsidR="00A92569" w:rsidRPr="00DC66CD" w:rsidRDefault="005A4484" w:rsidP="005A4484">
      <w:pPr>
        <w:pStyle w:val="TEKSTIIII"/>
      </w:pPr>
      <w:r w:rsidRPr="00DC66CD">
        <w:t>-</w:t>
      </w:r>
      <w:r w:rsidR="00B2482B" w:rsidRPr="00DC66CD">
        <w:t xml:space="preserve"> rr</w:t>
      </w:r>
      <w:r w:rsidR="00A92569" w:rsidRPr="00DC66CD">
        <w:t xml:space="preserve">itja </w:t>
      </w:r>
      <w:r w:rsidR="00B2482B" w:rsidRPr="00DC66CD">
        <w:t>nominale</w:t>
      </w:r>
      <w:r w:rsidR="00A92569" w:rsidRPr="00DC66CD">
        <w:t xml:space="preserve"> e PBB-së</w:t>
      </w:r>
      <w:r w:rsidR="00B2482B" w:rsidRPr="00DC66CD">
        <w:t>;</w:t>
      </w:r>
    </w:p>
    <w:p w14:paraId="6B7109DE" w14:textId="30FC1118" w:rsidR="00A92569" w:rsidRPr="00DC66CD" w:rsidRDefault="005A4484" w:rsidP="005A4484">
      <w:pPr>
        <w:pStyle w:val="TEKSTIIII"/>
      </w:pPr>
      <w:r w:rsidRPr="00DC66CD">
        <w:t>-</w:t>
      </w:r>
      <w:r w:rsidR="00B2482B" w:rsidRPr="00DC66CD">
        <w:t xml:space="preserve"> n</w:t>
      </w:r>
      <w:r w:rsidR="00A92569" w:rsidRPr="00DC66CD">
        <w:t xml:space="preserve">dryshimi i kursit të këmbimit </w:t>
      </w:r>
      <w:r w:rsidR="00B2482B" w:rsidRPr="00DC66CD">
        <w:t>euro–lekë dhe dollar–lekë;</w:t>
      </w:r>
    </w:p>
    <w:p w14:paraId="6A947CA9" w14:textId="20B65B27" w:rsidR="00A92569" w:rsidRPr="00DC66CD" w:rsidRDefault="005A4484" w:rsidP="005A4484">
      <w:pPr>
        <w:pStyle w:val="TEKSTIIII"/>
      </w:pPr>
      <w:r w:rsidRPr="00DC66CD">
        <w:t>-</w:t>
      </w:r>
      <w:r w:rsidR="00B2482B" w:rsidRPr="00DC66CD">
        <w:t xml:space="preserve"> ç</w:t>
      </w:r>
      <w:r w:rsidR="00A92569" w:rsidRPr="00DC66CD">
        <w:t xml:space="preserve">mimet </w:t>
      </w:r>
      <w:r w:rsidR="00B2482B" w:rsidRPr="00DC66CD">
        <w:rPr>
          <w:i/>
        </w:rPr>
        <w:t>brent</w:t>
      </w:r>
      <w:r w:rsidR="00B2482B" w:rsidRPr="00DC66CD">
        <w:t xml:space="preserve"> </w:t>
      </w:r>
      <w:r w:rsidR="00A92569" w:rsidRPr="00DC66CD">
        <w:t>të naftës bruto dhe mineraleve të tjera</w:t>
      </w:r>
      <w:r w:rsidR="00B2482B" w:rsidRPr="00DC66CD">
        <w:t>.</w:t>
      </w:r>
    </w:p>
    <w:p w14:paraId="797ACE26" w14:textId="77777777" w:rsidR="00A92569" w:rsidRPr="00DC66CD" w:rsidRDefault="00A92569" w:rsidP="005A4484">
      <w:pPr>
        <w:pStyle w:val="TEKSTIIII"/>
        <w:rPr>
          <w:i/>
        </w:rPr>
      </w:pPr>
      <w:r w:rsidRPr="00DC66CD">
        <w:rPr>
          <w:i/>
        </w:rPr>
        <w:t>Efektet e politikave fiskale</w:t>
      </w:r>
    </w:p>
    <w:p w14:paraId="7743830F" w14:textId="186AC6C4" w:rsidR="00A92569" w:rsidRPr="00DC66CD" w:rsidRDefault="00A92569" w:rsidP="005A4484">
      <w:pPr>
        <w:pStyle w:val="TEKSTIIII"/>
      </w:pPr>
      <w:r w:rsidRPr="00DC66CD">
        <w:t>Për vitin 2020 nuk parashikohen ndryshime të mëdha fiskale. Prioritet do të jetë zbatimi dhe matja e efekteve të politikave fiskale të miratuara në 3 v</w:t>
      </w:r>
      <w:r w:rsidR="00B9608F" w:rsidRPr="00DC66CD">
        <w:t>jetët</w:t>
      </w:r>
      <w:r w:rsidRPr="00DC66CD">
        <w:t xml:space="preserve"> e fundit</w:t>
      </w:r>
      <w:r w:rsidR="00B9608F" w:rsidRPr="00DC66CD">
        <w:t>,</w:t>
      </w:r>
      <w:r w:rsidRPr="00DC66CD">
        <w:t xml:space="preserve"> me qëllim konsolidimin e sistemit tatimor. Është e rëndësishme të theksohet se duhet t</w:t>
      </w:r>
      <w:r w:rsidR="008B5731">
        <w:t>ë</w:t>
      </w:r>
      <w:r w:rsidRPr="00DC66CD">
        <w:t xml:space="preserve"> konsolidohet qëndrueshmëria e politikave fiskale</w:t>
      </w:r>
      <w:r w:rsidR="00B9608F" w:rsidRPr="00DC66CD">
        <w:t>,</w:t>
      </w:r>
      <w:r w:rsidRPr="00DC66CD">
        <w:t xml:space="preserve"> duke stimuluar thjeshtësinë, transparencën, zvogëlimin e kostove të administrimit, si dhe duke shmangur përjashtimet ose tarifat e favorshme.</w:t>
      </w:r>
    </w:p>
    <w:p w14:paraId="7407CF02" w14:textId="2F0A185B" w:rsidR="00A92569" w:rsidRPr="00DC66CD" w:rsidRDefault="00A92569" w:rsidP="005A4484">
      <w:pPr>
        <w:pStyle w:val="TEKSTIIII"/>
      </w:pPr>
      <w:r w:rsidRPr="00DC66CD">
        <w:t xml:space="preserve">Ndryshimi kryesor lidhet me </w:t>
      </w:r>
      <w:r w:rsidR="00B9608F" w:rsidRPr="00DC66CD">
        <w:t xml:space="preserve">ligjin </w:t>
      </w:r>
      <w:r w:rsidRPr="00DC66CD">
        <w:t>për faturën dhe sistemin e monitorimit të qarkullimit, i cili pritet të ndikojë në transparencën dhe kontrollin e transaksioneve ekonomike, prej të cilëve lindin edhe detyrimet tatimore. Realizimi në kohë reale i transaksioneve biznes</w:t>
      </w:r>
      <w:r w:rsidR="00B9608F" w:rsidRPr="00DC66CD">
        <w:t>–</w:t>
      </w:r>
      <w:r w:rsidRPr="00DC66CD">
        <w:t>konsumator dhe më pas transaksionet biznes</w:t>
      </w:r>
      <w:r w:rsidR="00B9608F" w:rsidRPr="00DC66CD">
        <w:t>–</w:t>
      </w:r>
      <w:r w:rsidRPr="00DC66CD">
        <w:t>biznes, duke përdorur faturën elektronike</w:t>
      </w:r>
      <w:r w:rsidR="00B9608F" w:rsidRPr="00DC66CD">
        <w:t>,</w:t>
      </w:r>
      <w:r w:rsidRPr="00DC66CD">
        <w:t xml:space="preserve"> synon të rri</w:t>
      </w:r>
      <w:r w:rsidR="00B9608F" w:rsidRPr="00DC66CD">
        <w:t>t</w:t>
      </w:r>
      <w:r w:rsidRPr="00DC66CD">
        <w:t>ë parametrat e TVSH-së neto brenda vendit nga 8.8% t</w:t>
      </w:r>
      <w:r w:rsidR="00B9608F" w:rsidRPr="00DC66CD">
        <w:t>ë</w:t>
      </w:r>
      <w:r w:rsidRPr="00DC66CD">
        <w:t xml:space="preserve"> GDP</w:t>
      </w:r>
      <w:r w:rsidR="00B9608F" w:rsidRPr="00DC66CD">
        <w:t>-së</w:t>
      </w:r>
      <w:r w:rsidRPr="00DC66CD">
        <w:t xml:space="preserve"> deri në 9.1% brenda një periudhe 2</w:t>
      </w:r>
      <w:r w:rsidR="00B9608F" w:rsidRPr="00DC66CD">
        <w:t>–</w:t>
      </w:r>
      <w:r w:rsidRPr="00DC66CD">
        <w:t>3</w:t>
      </w:r>
      <w:r w:rsidR="00B9608F" w:rsidRPr="00DC66CD">
        <w:t>-</w:t>
      </w:r>
      <w:r w:rsidRPr="00DC66CD">
        <w:t>vjeçare.</w:t>
      </w:r>
    </w:p>
    <w:p w14:paraId="33031018" w14:textId="77777777" w:rsidR="00A92569" w:rsidRPr="00DC66CD" w:rsidRDefault="00A92569" w:rsidP="005A4484">
      <w:pPr>
        <w:pStyle w:val="TEKSTIIII"/>
        <w:rPr>
          <w:b/>
          <w:i/>
        </w:rPr>
      </w:pPr>
      <w:r w:rsidRPr="00DC66CD">
        <w:rPr>
          <w:b/>
          <w:i/>
        </w:rPr>
        <w:t>Parashikimi i të ardhurave për çdo taksë për vitin 2020</w:t>
      </w:r>
    </w:p>
    <w:p w14:paraId="1FF4A87F" w14:textId="18EC2216" w:rsidR="00A92569" w:rsidRPr="00DC66CD" w:rsidRDefault="00A92569" w:rsidP="005A4484">
      <w:pPr>
        <w:pStyle w:val="TEKSTIIII"/>
      </w:pPr>
      <w:r w:rsidRPr="00DC66CD">
        <w:t xml:space="preserve">Të ardhurat nga TVSH-ja </w:t>
      </w:r>
      <w:r w:rsidR="00B9608F" w:rsidRPr="00DC66CD">
        <w:t>janë</w:t>
      </w:r>
      <w:r w:rsidRPr="00DC66CD">
        <w:t xml:space="preserve"> parashikohet të arrijnë 151.6 mil</w:t>
      </w:r>
      <w:r w:rsidR="00B9608F" w:rsidRPr="00DC66CD">
        <w:t xml:space="preserve">iardë lekë, 13.6 miliardë lekë </w:t>
      </w:r>
      <w:r w:rsidRPr="00DC66CD">
        <w:t>ose 8.1% më shumë se viti 2019. Burimi kryesor i rritjes së të ardhurave nga TVSH</w:t>
      </w:r>
      <w:r w:rsidR="00B9608F" w:rsidRPr="00DC66CD">
        <w:t>-ja,</w:t>
      </w:r>
      <w:r w:rsidRPr="00DC66CD">
        <w:t xml:space="preserve"> për vitin 2020 pritet</w:t>
      </w:r>
      <w:r w:rsidR="00B9608F" w:rsidRPr="00DC66CD">
        <w:t>,</w:t>
      </w:r>
      <w:r w:rsidRPr="00DC66CD">
        <w:t xml:space="preserve"> të jetë:</w:t>
      </w:r>
    </w:p>
    <w:p w14:paraId="07F0D0BB" w14:textId="5C7E5329" w:rsidR="00A92569" w:rsidRPr="00DC66CD" w:rsidRDefault="005A4484" w:rsidP="005A4484">
      <w:pPr>
        <w:pStyle w:val="TEKSTIIII"/>
      </w:pPr>
      <w:r w:rsidRPr="00DC66CD">
        <w:t>-</w:t>
      </w:r>
      <w:r w:rsidR="00B9608F" w:rsidRPr="00DC66CD">
        <w:t xml:space="preserve"> r</w:t>
      </w:r>
      <w:r w:rsidR="00A92569" w:rsidRPr="00DC66CD">
        <w:t>ezultati i rritjes ekonomike dhe indeksit të çmimeve</w:t>
      </w:r>
      <w:r w:rsidR="00B9608F" w:rsidRPr="00DC66CD">
        <w:t>;</w:t>
      </w:r>
    </w:p>
    <w:p w14:paraId="3C843913" w14:textId="143917F4" w:rsidR="00A92569" w:rsidRPr="00DC66CD" w:rsidRDefault="005A4484" w:rsidP="005A4484">
      <w:pPr>
        <w:pStyle w:val="TEKSTIIII"/>
      </w:pPr>
      <w:r w:rsidRPr="00DC66CD">
        <w:t xml:space="preserve">- </w:t>
      </w:r>
      <w:r w:rsidR="00B9608F" w:rsidRPr="00DC66CD">
        <w:t>r</w:t>
      </w:r>
      <w:r w:rsidR="00A92569" w:rsidRPr="00DC66CD">
        <w:t>ritja e vëllimit të tregtisë ndërkombëtare dhe rritja e çmimeve ndërkombëtare të naftës</w:t>
      </w:r>
      <w:r w:rsidR="00B9608F" w:rsidRPr="00DC66CD">
        <w:t>;</w:t>
      </w:r>
    </w:p>
    <w:p w14:paraId="378E6F03" w14:textId="44F3074D" w:rsidR="00A92569" w:rsidRPr="00DC66CD" w:rsidRDefault="00B9608F" w:rsidP="005A4484">
      <w:pPr>
        <w:pStyle w:val="TEKSTIIII"/>
      </w:pPr>
      <w:r w:rsidRPr="00DC66CD">
        <w:t>- r</w:t>
      </w:r>
      <w:r w:rsidR="00A92569" w:rsidRPr="00DC66CD">
        <w:t>ezultati i fushatës antinformalitetit dhe forcimi i bashkëveprimit midis administratave tatimore dhe doganore për të kontrolluar zinxhirin e transaksioneve dhe mbledhjen e kësaj taksë në linjën që krijohet.</w:t>
      </w:r>
    </w:p>
    <w:p w14:paraId="7CAB6672" w14:textId="62B23936" w:rsidR="00A92569" w:rsidRPr="00DC66CD" w:rsidRDefault="00A92569" w:rsidP="005A4484">
      <w:pPr>
        <w:pStyle w:val="TEKSTIIII"/>
      </w:pPr>
      <w:r w:rsidRPr="00DC66CD">
        <w:t>Të ardhurat nga akciza janë parashikuar</w:t>
      </w:r>
      <w:r w:rsidR="00B9608F" w:rsidRPr="00DC66CD">
        <w:t xml:space="preserve"> të rriten me 3.8 miliardë lekë</w:t>
      </w:r>
      <w:r w:rsidRPr="00DC66CD">
        <w:t xml:space="preserve"> ose 5.9% më shumë se viti paraardhës, me një vlerë totale 50.5 miliardë lekë. Faktorët kryesorë, që parashikohet të ndikojnë në rritjen e të ardhurave nga akciza, </w:t>
      </w:r>
      <w:r w:rsidR="00B9608F" w:rsidRPr="00DC66CD">
        <w:t>janë</w:t>
      </w:r>
      <w:r w:rsidRPr="00DC66CD">
        <w:t xml:space="preserve"> si më poshtë:</w:t>
      </w:r>
    </w:p>
    <w:p w14:paraId="56861621" w14:textId="6F32439D" w:rsidR="00A92569" w:rsidRPr="00DC66CD" w:rsidRDefault="00B9608F" w:rsidP="005A4484">
      <w:pPr>
        <w:pStyle w:val="TEKSTIIII"/>
      </w:pPr>
      <w:r w:rsidRPr="00DC66CD">
        <w:t>- r</w:t>
      </w:r>
      <w:r w:rsidR="00A92569" w:rsidRPr="00DC66CD">
        <w:t xml:space="preserve">ritja me 4% e import/prodhim i karburantit </w:t>
      </w:r>
      <w:r w:rsidR="00637183" w:rsidRPr="00DC66CD">
        <w:t>vendës</w:t>
      </w:r>
      <w:r w:rsidRPr="00DC66CD">
        <w:t>;</w:t>
      </w:r>
    </w:p>
    <w:p w14:paraId="710BCD6C" w14:textId="7658D684" w:rsidR="00A92569" w:rsidRPr="00DC66CD" w:rsidRDefault="00B9608F" w:rsidP="005A4484">
      <w:pPr>
        <w:pStyle w:val="TEKSTIIII"/>
      </w:pPr>
      <w:r w:rsidRPr="00DC66CD">
        <w:t>- rr</w:t>
      </w:r>
      <w:r w:rsidR="00A92569" w:rsidRPr="00DC66CD">
        <w:t>itja e të ardhurave nga akciza e cigareve me 0.75 miliardë lekë</w:t>
      </w:r>
      <w:r w:rsidRPr="00DC66CD">
        <w:t>;</w:t>
      </w:r>
    </w:p>
    <w:p w14:paraId="6CD4957A" w14:textId="2401AC0D" w:rsidR="00A92569" w:rsidRPr="00DC66CD" w:rsidRDefault="00B9608F" w:rsidP="005A4484">
      <w:pPr>
        <w:pStyle w:val="TEKSTIIII"/>
      </w:pPr>
      <w:r w:rsidRPr="00DC66CD">
        <w:t>- k</w:t>
      </w:r>
      <w:r w:rsidR="00A92569" w:rsidRPr="00DC66CD">
        <w:t>ontroll më i rreptë i subjekteve të akcizës dhe disiplinim i mëtejshëm i procedurave për zbatimin e përjashtimeve dhe rimbursimeve nga kjo taksë.</w:t>
      </w:r>
    </w:p>
    <w:p w14:paraId="2926964B" w14:textId="1D79A40F" w:rsidR="00A92569" w:rsidRPr="00DC66CD" w:rsidRDefault="00A92569" w:rsidP="005A4484">
      <w:pPr>
        <w:pStyle w:val="TEKSTIIII"/>
      </w:pPr>
      <w:r w:rsidRPr="00DC66CD">
        <w:t xml:space="preserve">Të ardhurat nga </w:t>
      </w:r>
      <w:r w:rsidR="00B9608F" w:rsidRPr="00DC66CD">
        <w:t xml:space="preserve">tatimi mbi fitimin parashikohet </w:t>
      </w:r>
      <w:r w:rsidRPr="00DC66CD">
        <w:t>të realizohet në masën 38 miliardë lekë ose 1.5 miliardë lekë (+4.2%) më shumë se viti mëparshëm 2019, si rezultat i:</w:t>
      </w:r>
    </w:p>
    <w:p w14:paraId="48607624" w14:textId="27E0985F" w:rsidR="00A92569" w:rsidRPr="00DC66CD" w:rsidRDefault="005A4484" w:rsidP="005A4484">
      <w:pPr>
        <w:pStyle w:val="TEKSTIIII"/>
      </w:pPr>
      <w:r w:rsidRPr="00DC66CD">
        <w:t>-</w:t>
      </w:r>
      <w:r w:rsidR="00B9608F" w:rsidRPr="00DC66CD">
        <w:t xml:space="preserve"> r</w:t>
      </w:r>
      <w:r w:rsidR="00A92569" w:rsidRPr="00DC66CD">
        <w:t>ritjes ekonomike, e cila do të pasqyrohet edhe në deklaratat e tatimpaguesve;</w:t>
      </w:r>
    </w:p>
    <w:p w14:paraId="37A11414" w14:textId="1A22CF34" w:rsidR="00A92569" w:rsidRPr="00DC66CD" w:rsidRDefault="005A4484" w:rsidP="005A4484">
      <w:pPr>
        <w:pStyle w:val="TEKSTIIII"/>
      </w:pPr>
      <w:r w:rsidRPr="00DC66CD">
        <w:t xml:space="preserve">- </w:t>
      </w:r>
      <w:r w:rsidR="00B9608F" w:rsidRPr="00DC66CD">
        <w:t>f</w:t>
      </w:r>
      <w:r w:rsidR="00A92569" w:rsidRPr="00DC66CD">
        <w:t>orcimi i kontrollit të deklaratave, bazuar në kriteret e riskut;</w:t>
      </w:r>
    </w:p>
    <w:p w14:paraId="398C044E" w14:textId="6E42359F" w:rsidR="00A92569" w:rsidRPr="00DC66CD" w:rsidRDefault="005A4484" w:rsidP="005A4484">
      <w:pPr>
        <w:pStyle w:val="TEKSTIIII"/>
      </w:pPr>
      <w:r w:rsidRPr="00DC66CD">
        <w:t xml:space="preserve">- </w:t>
      </w:r>
      <w:r w:rsidR="00B9608F" w:rsidRPr="00DC66CD">
        <w:t>r</w:t>
      </w:r>
      <w:r w:rsidR="00A92569" w:rsidRPr="00DC66CD">
        <w:t>ritja e vetëdeklarimit të tatimpaguesve</w:t>
      </w:r>
      <w:r w:rsidR="00B9608F" w:rsidRPr="00DC66CD">
        <w:t>.</w:t>
      </w:r>
    </w:p>
    <w:p w14:paraId="1F6E6C44" w14:textId="3A5E7462" w:rsidR="00A92569" w:rsidRPr="00DC66CD" w:rsidRDefault="00A92569" w:rsidP="005A4484">
      <w:pPr>
        <w:pStyle w:val="TEKSTIIII"/>
      </w:pPr>
      <w:r w:rsidRPr="00DC66CD">
        <w:t xml:space="preserve">Të ardhurat nga </w:t>
      </w:r>
      <w:r w:rsidR="00B9608F" w:rsidRPr="00DC66CD">
        <w:t xml:space="preserve">tatimi mbi të ardhurat personale </w:t>
      </w:r>
      <w:r w:rsidRPr="00DC66CD">
        <w:t>parashikohet të realizohen në 47.5 m</w:t>
      </w:r>
      <w:r w:rsidR="00B9608F" w:rsidRPr="00DC66CD">
        <w:t>iliardë lekë, 1.3 miliardë lekë</w:t>
      </w:r>
      <w:r w:rsidRPr="00DC66CD">
        <w:t xml:space="preserve"> ose 2.9% më shumë se viti 2019. Vlerësimi i të ardhurave nga </w:t>
      </w:r>
      <w:r w:rsidR="00B9608F" w:rsidRPr="00DC66CD">
        <w:t xml:space="preserve">tatimi mbi të ardhurat personale është bërë </w:t>
      </w:r>
      <w:r w:rsidRPr="00DC66CD">
        <w:t>duke marrë në konsideratë disa faktorë</w:t>
      </w:r>
      <w:r w:rsidR="00B9608F" w:rsidRPr="00DC66CD">
        <w:t>,</w:t>
      </w:r>
      <w:r w:rsidRPr="00DC66CD">
        <w:t xml:space="preserve"> të tillë si:</w:t>
      </w:r>
    </w:p>
    <w:p w14:paraId="6A3C3202" w14:textId="50B2B2E6" w:rsidR="00A92569" w:rsidRPr="00DC66CD" w:rsidRDefault="005A4484" w:rsidP="005A4484">
      <w:pPr>
        <w:pStyle w:val="TEKSTIIII"/>
      </w:pPr>
      <w:r w:rsidRPr="00DC66CD">
        <w:t xml:space="preserve">- </w:t>
      </w:r>
      <w:r w:rsidR="00B9608F" w:rsidRPr="00DC66CD">
        <w:t xml:space="preserve">ulja </w:t>
      </w:r>
      <w:r w:rsidR="00A92569" w:rsidRPr="00DC66CD">
        <w:t xml:space="preserve">e të ardhurave që vijnë nga taksa e dividentit, pasi në vitin 2019 (përveç dividendit të 2018), u mblodh edhe dividenti i viteve të kaluara. Pra, ky faktor prej rreth 6 miliardë lekësh konsiderohet si </w:t>
      </w:r>
      <w:r w:rsidR="002A29AD" w:rsidRPr="00DC66CD">
        <w:t>“</w:t>
      </w:r>
      <w:r w:rsidR="00A92569" w:rsidRPr="00DC66CD">
        <w:t>një e ardhur jo e zakonshme</w:t>
      </w:r>
      <w:r w:rsidR="002A29AD" w:rsidRPr="00DC66CD">
        <w:t>”</w:t>
      </w:r>
      <w:r w:rsidR="00A92569" w:rsidRPr="00DC66CD">
        <w:t>;</w:t>
      </w:r>
    </w:p>
    <w:p w14:paraId="2257779B" w14:textId="0FBC1A1B" w:rsidR="00A92569" w:rsidRPr="00DC66CD" w:rsidRDefault="005A4484" w:rsidP="005A4484">
      <w:pPr>
        <w:pStyle w:val="TEKSTIIII"/>
      </w:pPr>
      <w:r w:rsidRPr="00DC66CD">
        <w:t xml:space="preserve">- </w:t>
      </w:r>
      <w:r w:rsidR="00B9608F" w:rsidRPr="00DC66CD">
        <w:t xml:space="preserve">rritja </w:t>
      </w:r>
      <w:r w:rsidR="00A92569" w:rsidRPr="00DC66CD">
        <w:t>e numrit të kontribuesve aktivë bazuar në ecurinë e vitit 2018 dhe vitit 2019.</w:t>
      </w:r>
    </w:p>
    <w:p w14:paraId="215A5CC2" w14:textId="7E910CAD" w:rsidR="00A92569" w:rsidRPr="00DC66CD" w:rsidRDefault="005A4484" w:rsidP="005A4484">
      <w:pPr>
        <w:pStyle w:val="TEKSTIIII"/>
      </w:pPr>
      <w:r w:rsidRPr="00DC66CD">
        <w:t xml:space="preserve">- </w:t>
      </w:r>
      <w:r w:rsidR="00B9608F" w:rsidRPr="00DC66CD">
        <w:t xml:space="preserve">rritja </w:t>
      </w:r>
      <w:r w:rsidR="00A92569" w:rsidRPr="00DC66CD">
        <w:t>e të ardhurave të tjera personale.</w:t>
      </w:r>
    </w:p>
    <w:p w14:paraId="22A55013" w14:textId="2135106E" w:rsidR="00A92569" w:rsidRPr="00DC66CD" w:rsidRDefault="00A92569" w:rsidP="005A4484">
      <w:pPr>
        <w:pStyle w:val="TEKSTIIII"/>
      </w:pPr>
      <w:r w:rsidRPr="00DC66CD">
        <w:t xml:space="preserve">Të ardhurat nga </w:t>
      </w:r>
      <w:r w:rsidR="00B9608F" w:rsidRPr="00DC66CD">
        <w:t xml:space="preserve">taksat kombëtare </w:t>
      </w:r>
      <w:r w:rsidRPr="00DC66CD">
        <w:t>vlerësohet të realizohen në 39.5 miliardë lekë, 3.7 miliardë lekë, ose 10.4% më shumë se viti paraardhës 2019.</w:t>
      </w:r>
    </w:p>
    <w:p w14:paraId="33083180" w14:textId="42AD1FCB" w:rsidR="00A92569" w:rsidRPr="00DC66CD" w:rsidRDefault="00A92569" w:rsidP="005A4484">
      <w:pPr>
        <w:pStyle w:val="TEKSTIIII"/>
      </w:pPr>
      <w:r w:rsidRPr="00DC66CD">
        <w:t xml:space="preserve">Të ardhurat nga </w:t>
      </w:r>
      <w:r w:rsidR="00B9608F" w:rsidRPr="00DC66CD">
        <w:t xml:space="preserve">taksa doganore parashikohet </w:t>
      </w:r>
      <w:r w:rsidRPr="00DC66CD">
        <w:t xml:space="preserve">të realizohen në 7 </w:t>
      </w:r>
      <w:r w:rsidR="00B9608F" w:rsidRPr="00DC66CD">
        <w:t>miliardë lekë, 518 milionë lekë</w:t>
      </w:r>
      <w:r w:rsidRPr="00DC66CD">
        <w:t xml:space="preserve"> ose 8% më shumë se viti fiskal 2019. Në planifikimin e të ardhurave janë marrë parasysh, efektet e rritjes së importeve të tatueshme, si dhe disa efekte minimale nga ndryshimi i </w:t>
      </w:r>
      <w:r w:rsidR="00B9608F" w:rsidRPr="00DC66CD">
        <w:t>taksës doganore</w:t>
      </w:r>
      <w:r w:rsidRPr="00DC66CD">
        <w:t xml:space="preserve">. </w:t>
      </w:r>
    </w:p>
    <w:p w14:paraId="615D753C" w14:textId="697A9D35" w:rsidR="00A92569" w:rsidRPr="00DC66CD" w:rsidRDefault="00A92569" w:rsidP="005A4484">
      <w:pPr>
        <w:pStyle w:val="TEKSTIIII"/>
      </w:pPr>
      <w:r w:rsidRPr="00DC66CD">
        <w:t xml:space="preserve">Të ardhurat nga </w:t>
      </w:r>
      <w:r w:rsidR="00B9608F" w:rsidRPr="00DC66CD">
        <w:t>kontributet e sigurimeve shoqërore dhe shëndetësore të</w:t>
      </w:r>
      <w:r w:rsidRPr="00DC66CD">
        <w:t xml:space="preserve"> mbledhura nga DPT</w:t>
      </w:r>
      <w:r w:rsidR="00B9608F" w:rsidRPr="00DC66CD">
        <w:t>-ja</w:t>
      </w:r>
      <w:r w:rsidRPr="00DC66CD">
        <w:t xml:space="preserve"> konsiderohen të realizohen në 103 miliardë lekë, 4.7 miliardë ose 4.8% më shumë se viti </w:t>
      </w:r>
      <w:r w:rsidR="00B9608F" w:rsidRPr="00DC66CD">
        <w:t>fiskal</w:t>
      </w:r>
      <w:r w:rsidRPr="00DC66CD">
        <w:t xml:space="preserve"> 2019, në të cilin të ardhurat nga </w:t>
      </w:r>
      <w:r w:rsidR="00B9608F" w:rsidRPr="00DC66CD">
        <w:t xml:space="preserve">kontributet për sigurimet shoqërore dhe shëndetësore </w:t>
      </w:r>
      <w:r w:rsidRPr="00DC66CD">
        <w:t xml:space="preserve">ishin 98.3 miliardë. Planifikimi i rritjes së të ardhurave nga </w:t>
      </w:r>
      <w:r w:rsidR="00B9608F" w:rsidRPr="00DC66CD">
        <w:t xml:space="preserve">kontributet e sigurimeve shoqërore </w:t>
      </w:r>
      <w:r w:rsidRPr="00DC66CD">
        <w:t xml:space="preserve">dhe </w:t>
      </w:r>
      <w:r w:rsidR="00B9608F" w:rsidRPr="00DC66CD">
        <w:t xml:space="preserve">shëndetësore </w:t>
      </w:r>
      <w:r w:rsidRPr="00DC66CD">
        <w:t>mbështetet nga këta faktorë:</w:t>
      </w:r>
    </w:p>
    <w:p w14:paraId="59677449" w14:textId="3AB1AE4C" w:rsidR="00A92569" w:rsidRPr="00DC66CD" w:rsidRDefault="005A4484" w:rsidP="005A4484">
      <w:pPr>
        <w:pStyle w:val="TEKSTIIII"/>
      </w:pPr>
      <w:r w:rsidRPr="00DC66CD">
        <w:t xml:space="preserve">- </w:t>
      </w:r>
      <w:r w:rsidR="00B9608F" w:rsidRPr="00DC66CD">
        <w:t xml:space="preserve">rritja </w:t>
      </w:r>
      <w:r w:rsidR="00A92569" w:rsidRPr="00DC66CD">
        <w:t>ekonomike, e cila do të reflektohet në rritjen e numrit të të punësuarve</w:t>
      </w:r>
      <w:r w:rsidR="00B9608F" w:rsidRPr="00DC66CD">
        <w:t>;</w:t>
      </w:r>
    </w:p>
    <w:p w14:paraId="70E4E72A" w14:textId="1D5A8B0D" w:rsidR="00A92569" w:rsidRPr="00DC66CD" w:rsidRDefault="005A4484" w:rsidP="005A4484">
      <w:pPr>
        <w:pStyle w:val="TEKSTIIII"/>
      </w:pPr>
      <w:r w:rsidRPr="00DC66CD">
        <w:t xml:space="preserve">- </w:t>
      </w:r>
      <w:r w:rsidR="00B9608F" w:rsidRPr="00DC66CD">
        <w:t xml:space="preserve">forcimi </w:t>
      </w:r>
      <w:r w:rsidR="00A92569" w:rsidRPr="00DC66CD">
        <w:t>i administratës përmes kontrollit të nivelit të pagës së deklaruar dhe devijimit të saj nga paga reale</w:t>
      </w:r>
      <w:r w:rsidR="00B9608F" w:rsidRPr="00DC66CD">
        <w:t>;</w:t>
      </w:r>
    </w:p>
    <w:p w14:paraId="45C9E9C1" w14:textId="3595462B" w:rsidR="00A92569" w:rsidRPr="00DC66CD" w:rsidRDefault="005A4484" w:rsidP="005A4484">
      <w:pPr>
        <w:pStyle w:val="TEKSTIIII"/>
      </w:pPr>
      <w:r w:rsidRPr="00DC66CD">
        <w:t xml:space="preserve">- </w:t>
      </w:r>
      <w:r w:rsidR="00B9608F" w:rsidRPr="00DC66CD">
        <w:t xml:space="preserve">shkalla </w:t>
      </w:r>
      <w:r w:rsidR="00A92569" w:rsidRPr="00DC66CD">
        <w:t>e rritjes së të ardhurave nga kontributet për 2 deri 3</w:t>
      </w:r>
      <w:r w:rsidRPr="00DC66CD">
        <w:t xml:space="preserve"> vitet e fundit</w:t>
      </w:r>
      <w:r w:rsidR="00B9608F" w:rsidRPr="00DC66CD">
        <w:t>.</w:t>
      </w:r>
    </w:p>
    <w:p w14:paraId="60DDFC2A" w14:textId="092124A3" w:rsidR="00A92569" w:rsidRPr="00DC66CD" w:rsidRDefault="005A4484" w:rsidP="005A4484">
      <w:pPr>
        <w:pStyle w:val="TEKSTIIII"/>
        <w:rPr>
          <w:b/>
          <w:i/>
        </w:rPr>
      </w:pPr>
      <w:r w:rsidRPr="00DC66CD">
        <w:rPr>
          <w:b/>
          <w:i/>
        </w:rPr>
        <w:t>Risqet fiskal</w:t>
      </w:r>
    </w:p>
    <w:p w14:paraId="3F218F03" w14:textId="4D615CB1" w:rsidR="00A92569" w:rsidRPr="00DC66CD" w:rsidRDefault="00A92569" w:rsidP="005A4484">
      <w:pPr>
        <w:pStyle w:val="TEKSTIIII"/>
      </w:pPr>
      <w:r w:rsidRPr="00DC66CD">
        <w:t>Sipas parashikimev</w:t>
      </w:r>
      <w:r w:rsidR="00B9608F" w:rsidRPr="00DC66CD">
        <w:t>e të të ardhurave të vitit 2020</w:t>
      </w:r>
      <w:r w:rsidRPr="00DC66CD">
        <w:t xml:space="preserve"> ekzistojnë disa rre</w:t>
      </w:r>
      <w:r w:rsidR="005A4484" w:rsidRPr="00DC66CD">
        <w:t>ziqe fiskale</w:t>
      </w:r>
      <w:r w:rsidR="00B9608F" w:rsidRPr="00DC66CD">
        <w:t>,</w:t>
      </w:r>
      <w:r w:rsidR="005A4484" w:rsidRPr="00DC66CD">
        <w:t xml:space="preserve"> që konsistojnë në:</w:t>
      </w:r>
    </w:p>
    <w:p w14:paraId="0578360B" w14:textId="0D182DC2" w:rsidR="00A92569" w:rsidRPr="00DC66CD" w:rsidRDefault="00A92569" w:rsidP="005A4484">
      <w:pPr>
        <w:pStyle w:val="TEKSTIIII"/>
      </w:pPr>
      <w:r w:rsidRPr="00DC66CD">
        <w:t>Projeksioni i të ardhurave për vitin 2020 bazohet në rritjen nominale ekonomike prej 4.1% dhe indeksin e çmimeve 2.1%. Nëse ekonomia nuk performon në kët</w:t>
      </w:r>
      <w:r w:rsidR="00B9608F" w:rsidRPr="00DC66CD">
        <w:t xml:space="preserve">a </w:t>
      </w:r>
      <w:r w:rsidRPr="00DC66CD">
        <w:t>parametra, ekziston rreziku për të ardhurat buxhetore. Nëse ekonomia do të rritet jo 4.1% por 3.5% efekti negativ në të ardhurat tatimore do të jetë përafërsisht 3 miliardë lekë.</w:t>
      </w:r>
    </w:p>
    <w:p w14:paraId="6FBDF034" w14:textId="46792452" w:rsidR="00A92569" w:rsidRPr="00DC66CD" w:rsidRDefault="00A92569" w:rsidP="005A4484">
      <w:pPr>
        <w:pStyle w:val="TEKSTIIII"/>
      </w:pPr>
      <w:r w:rsidRPr="00DC66CD">
        <w:t>Në bazë të performancës së vitit 2019, parashikohet një rritje prej 4% n</w:t>
      </w:r>
      <w:r w:rsidR="00360C4A">
        <w:t>ë</w:t>
      </w:r>
      <w:r w:rsidRPr="00DC66CD">
        <w:t xml:space="preserve"> importet e karburantit dhe prodhimit të brendshëm. Mosarritja e kësaj rritje</w:t>
      </w:r>
      <w:r w:rsidR="00B9608F" w:rsidRPr="00DC66CD">
        <w:t>je</w:t>
      </w:r>
      <w:r w:rsidRPr="00DC66CD">
        <w:t xml:space="preserve"> mund të rezultojë në një qarkullim më të ulët e cila mund të ketë një efekt negativ në të ardhura me 0.5 miliardë lekë, shkaktuar nga një rënie 0.22 miliardë në TVSH dhe 0.28 miliardë lekë në </w:t>
      </w:r>
      <w:r w:rsidR="00D70C22" w:rsidRPr="00DC66CD">
        <w:t>akcizë</w:t>
      </w:r>
      <w:r w:rsidRPr="00DC66CD">
        <w:t>.</w:t>
      </w:r>
    </w:p>
    <w:p w14:paraId="64B4DB2C" w14:textId="561D335C" w:rsidR="00A92569" w:rsidRPr="00DC66CD" w:rsidRDefault="00A92569" w:rsidP="005A4484">
      <w:pPr>
        <w:pStyle w:val="TEKSTIIII"/>
      </w:pPr>
      <w:r w:rsidRPr="00DC66CD">
        <w:t xml:space="preserve">Shtyrja e afatit të implementimit të </w:t>
      </w:r>
      <w:r w:rsidR="00D70C22" w:rsidRPr="00DC66CD">
        <w:t>ligjit</w:t>
      </w:r>
      <w:r w:rsidR="00E33D88" w:rsidRPr="00DC66CD">
        <w:t xml:space="preserve"> nr. </w:t>
      </w:r>
      <w:r w:rsidRPr="00DC66CD">
        <w:t>87/2019</w:t>
      </w:r>
      <w:r w:rsidR="00D70C22" w:rsidRPr="00DC66CD">
        <w:t>,</w:t>
      </w:r>
      <w:r w:rsidRPr="00DC66CD">
        <w:t xml:space="preserve"> </w:t>
      </w:r>
      <w:r w:rsidR="002A29AD" w:rsidRPr="00DC66CD">
        <w:t>“</w:t>
      </w:r>
      <w:r w:rsidRPr="00DC66CD">
        <w:t>Për faturën dhe sistemin e monitorimit të qarkullimit</w:t>
      </w:r>
      <w:r w:rsidR="002A29AD" w:rsidRPr="00DC66CD">
        <w:t>”</w:t>
      </w:r>
      <w:r w:rsidRPr="00DC66CD">
        <w:t>, e cila mund të shkaktojë një efekt negative në TVSH prej 3 miliardë lekësh.</w:t>
      </w:r>
    </w:p>
    <w:p w14:paraId="09491090" w14:textId="77777777" w:rsidR="00A92569" w:rsidRPr="00DC66CD" w:rsidRDefault="00A92569" w:rsidP="00A92569">
      <w:pPr>
        <w:spacing w:after="0" w:line="240" w:lineRule="auto"/>
        <w:ind w:firstLine="284"/>
        <w:jc w:val="both"/>
        <w:rPr>
          <w:rFonts w:ascii="Garamond" w:hAnsi="Garamond"/>
        </w:rPr>
      </w:pPr>
    </w:p>
    <w:p w14:paraId="530D152A" w14:textId="77777777" w:rsidR="00A92569" w:rsidRPr="00DC66CD" w:rsidRDefault="00A92569" w:rsidP="005A4484">
      <w:pPr>
        <w:spacing w:after="0" w:line="240" w:lineRule="auto"/>
        <w:jc w:val="center"/>
        <w:rPr>
          <w:rFonts w:ascii="Garamond" w:hAnsi="Garamond"/>
        </w:rPr>
      </w:pPr>
      <w:r w:rsidRPr="00DC66CD">
        <w:rPr>
          <w:rFonts w:ascii="Garamond" w:hAnsi="Garamond"/>
          <w:noProof/>
          <w:lang w:val="en-US" w:eastAsia="en-US"/>
        </w:rPr>
        <w:drawing>
          <wp:inline distT="0" distB="0" distL="0" distR="0" wp14:anchorId="56038309" wp14:editId="681C49FB">
            <wp:extent cx="5669280" cy="123873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69090" cy="1238695"/>
                    </a:xfrm>
                    <a:prstGeom prst="rect">
                      <a:avLst/>
                    </a:prstGeom>
                    <a:noFill/>
                    <a:ln>
                      <a:noFill/>
                    </a:ln>
                  </pic:spPr>
                </pic:pic>
              </a:graphicData>
            </a:graphic>
          </wp:inline>
        </w:drawing>
      </w:r>
    </w:p>
    <w:p w14:paraId="37F1D695" w14:textId="77777777" w:rsidR="00A92569" w:rsidRPr="00DC66CD" w:rsidRDefault="00A92569" w:rsidP="005A4484">
      <w:pPr>
        <w:pStyle w:val="TEKSTIIII"/>
      </w:pPr>
    </w:p>
    <w:p w14:paraId="50138B73" w14:textId="3EAF94B8" w:rsidR="00A92569" w:rsidRPr="00DC66CD" w:rsidRDefault="00A92569" w:rsidP="005A4484">
      <w:pPr>
        <w:pStyle w:val="TEKSTIIII"/>
        <w:rPr>
          <w:b/>
        </w:rPr>
      </w:pPr>
      <w:r w:rsidRPr="00DC66CD">
        <w:rPr>
          <w:b/>
        </w:rPr>
        <w:t xml:space="preserve">Huamarrja në </w:t>
      </w:r>
      <w:r w:rsidR="00B405C2" w:rsidRPr="00DC66CD">
        <w:rPr>
          <w:b/>
        </w:rPr>
        <w:t>periudhën afatmesme</w:t>
      </w:r>
    </w:p>
    <w:p w14:paraId="6D442D49" w14:textId="77777777" w:rsidR="00A92569" w:rsidRPr="00DC66CD" w:rsidRDefault="00A92569" w:rsidP="005A4484">
      <w:pPr>
        <w:pStyle w:val="TEKSTIIII"/>
      </w:pPr>
      <w:r w:rsidRPr="00DC66CD">
        <w:t>Në periudhën afatmesme, nevojat për financim do të plotësohen duke përdorur burimet e brendshme dhe ato të huaja të financimit.</w:t>
      </w:r>
    </w:p>
    <w:p w14:paraId="3035D2D2" w14:textId="25C06958" w:rsidR="00A92569" w:rsidRPr="00DC66CD" w:rsidRDefault="00A92569" w:rsidP="005A4484">
      <w:pPr>
        <w:pStyle w:val="TEKSTIIII"/>
      </w:pPr>
      <w:r w:rsidRPr="00DC66CD">
        <w:t>Burimet e brendshme të financimit do të vazhdojnë të jenë burimi kryesor i financimit (mbi 80% të financimit bruto), me qëllim zhvillimin e tregut të brendshëm të titujve shtetërorë</w:t>
      </w:r>
      <w:r w:rsidR="001E4B28" w:rsidRPr="00DC66CD">
        <w:t>,</w:t>
      </w:r>
      <w:r w:rsidRPr="00DC66CD">
        <w:t xml:space="preserve"> si edhe mbajt</w:t>
      </w:r>
      <w:r w:rsidR="00B405C2" w:rsidRPr="00DC66CD">
        <w:t>j</w:t>
      </w:r>
      <w:r w:rsidRPr="00DC66CD">
        <w:t>en e riskut të kursit të këmbimit nën kontroll (borxhi në monedhë të huaj jo më shumë se 55% e totalit të borxhit shtetëror). Huamarrja e brendshme do të v</w:t>
      </w:r>
      <w:r w:rsidR="00B405C2" w:rsidRPr="00DC66CD">
        <w:t>azhdojë të bazohet kryesisht te</w:t>
      </w:r>
      <w:r w:rsidRPr="00DC66CD">
        <w:t xml:space="preserve"> sektori bankar, ndërkohë që ka pritshmëri pozitive për rritjen e aktivitetit të institucioneve jo</w:t>
      </w:r>
      <w:r w:rsidR="00B405C2" w:rsidRPr="00DC66CD">
        <w:t>f</w:t>
      </w:r>
      <w:r w:rsidRPr="00DC66CD">
        <w:t>inanciare dhe individëve.</w:t>
      </w:r>
      <w:r w:rsidR="0072211B" w:rsidRPr="00DC66CD">
        <w:t xml:space="preserve"> </w:t>
      </w:r>
    </w:p>
    <w:p w14:paraId="4E53A152" w14:textId="58B9ED71" w:rsidR="00A92569" w:rsidRPr="00DC66CD" w:rsidRDefault="00A92569" w:rsidP="005A4484">
      <w:pPr>
        <w:pStyle w:val="TEKSTIIII"/>
      </w:pPr>
      <w:r w:rsidRPr="00DC66CD">
        <w:t>Nëpërmjet titujve afatshkurtër, kryesisht do të synohet rifinancimi me sukses i titujve ekzistues që maturohen dhe menaxhimi aktiv i nevojave për likuiditet. Ndërkohë, nëpërmjet titujve afatgjatë do të synohet të mbulohet financimi i deficitit buxhetor. Struktura e financimit të brendshëm do të jetë fleksibël në terma të përzgjedhjes së titujve shtetërorë, në varësi të kushteve të tregut të brendshëm (niveli</w:t>
      </w:r>
      <w:r w:rsidR="007206A4" w:rsidRPr="00DC66CD">
        <w:t xml:space="preserve"> i kërkesës, normat e interesit</w:t>
      </w:r>
      <w:r w:rsidRPr="00DC66CD">
        <w:t xml:space="preserve"> etj.), duke garantuar në këtë mënyrë optimizimin e kostove</w:t>
      </w:r>
      <w:r w:rsidR="00B405C2" w:rsidRPr="00DC66CD">
        <w:t>,</w:t>
      </w:r>
      <w:r w:rsidRPr="00DC66CD">
        <w:t xml:space="preserve"> në përputhje me objektivat e vendosur për të menaxhuar risqet e portofolit të borxhit.</w:t>
      </w:r>
    </w:p>
    <w:p w14:paraId="0C5DC263" w14:textId="60F0145A" w:rsidR="00A92569" w:rsidRPr="00DC66CD" w:rsidRDefault="00A92569" w:rsidP="005A4484">
      <w:pPr>
        <w:pStyle w:val="TEKSTIIII"/>
      </w:pPr>
      <w:r w:rsidRPr="00DC66CD">
        <w:t>Në periudhën afatmesme, huamarrja nëpërmjet burimeve të huaja do të plotësojë nevojat vjetore për hua të qeverisjes qendrore (në terma bruto) deri në 20%, si edhe do të kontribuojë në optimizimin e kostove të portofolit të borxhit, duke qenë se një pjesë e konsiderueshme e këtij financimi do synojë të sigurohet me terma koncesional</w:t>
      </w:r>
      <w:r w:rsidR="00B405C2" w:rsidRPr="00DC66CD">
        <w:t>ë</w:t>
      </w:r>
      <w:r w:rsidRPr="00DC66CD">
        <w:t xml:space="preserve"> dhe </w:t>
      </w:r>
      <w:r w:rsidR="00B405C2" w:rsidRPr="00DC66CD">
        <w:t>gjysmë</w:t>
      </w:r>
      <w:r w:rsidRPr="00DC66CD">
        <w:t>koncesional</w:t>
      </w:r>
      <w:r w:rsidR="00B405C2" w:rsidRPr="00DC66CD">
        <w:t>ë</w:t>
      </w:r>
      <w:r w:rsidRPr="00DC66CD">
        <w:t xml:space="preserve"> (nëpërmjet burimeve dypalëshe dhe shumëpalëshe të financimit). Huamarrja nga burime bilaterale dhe multilaterale do të përdoret kryesisht për të financuar projektet strategjike të qeverisë dhe reformat e ndërmarra nga qeveria. Gjithashtu, burimet private të financimit të siguruara në tregjet ndërkombëtare të kapitalit do të përdoren kryesisht për qëllime të menaxhimit të riskut, menaxhimit të detyrimeve të borxhit në valutë të huaj, si edhe për të shmangur konsumin e burimeve të brendshme dhe stimuluar kreditimin e sektorit privat.</w:t>
      </w:r>
    </w:p>
    <w:p w14:paraId="3E1EDC28" w14:textId="204F1174" w:rsidR="00A92569" w:rsidRPr="00DC66CD" w:rsidRDefault="005A4484" w:rsidP="005A4484">
      <w:pPr>
        <w:pStyle w:val="TEKSTIIII"/>
        <w:rPr>
          <w:b/>
        </w:rPr>
      </w:pPr>
      <w:bookmarkStart w:id="18" w:name="_Toc30661220"/>
      <w:bookmarkStart w:id="19" w:name="_Toc30416396"/>
      <w:r w:rsidRPr="00DC66CD">
        <w:rPr>
          <w:b/>
        </w:rPr>
        <w:t xml:space="preserve">4.4 </w:t>
      </w:r>
      <w:r w:rsidR="00A92569" w:rsidRPr="00DC66CD">
        <w:rPr>
          <w:b/>
        </w:rPr>
        <w:t>Bilanci strukturor</w:t>
      </w:r>
      <w:bookmarkEnd w:id="17"/>
      <w:bookmarkEnd w:id="18"/>
      <w:bookmarkEnd w:id="19"/>
    </w:p>
    <w:p w14:paraId="704E1ACF" w14:textId="6671B890" w:rsidR="00A92569" w:rsidRPr="00DC66CD" w:rsidRDefault="00A92569" w:rsidP="005A4484">
      <w:pPr>
        <w:pStyle w:val="TEKSTIIII"/>
        <w:rPr>
          <w:b/>
          <w:i/>
        </w:rPr>
      </w:pPr>
      <w:r w:rsidRPr="00DC66CD">
        <w:rPr>
          <w:b/>
          <w:i/>
        </w:rPr>
        <w:t xml:space="preserve">Vlerësimi i PBB-së potenciale dhe </w:t>
      </w:r>
      <w:r w:rsidR="00FC094C" w:rsidRPr="00DC66CD">
        <w:rPr>
          <w:b/>
          <w:i/>
        </w:rPr>
        <w:t xml:space="preserve">i </w:t>
      </w:r>
      <w:r w:rsidRPr="00DC66CD">
        <w:rPr>
          <w:b/>
          <w:i/>
        </w:rPr>
        <w:t>hendekut të prodhimit</w:t>
      </w:r>
    </w:p>
    <w:p w14:paraId="7F67723A" w14:textId="77777777" w:rsidR="00A92569" w:rsidRPr="00DC66CD" w:rsidRDefault="00A92569" w:rsidP="005A4484">
      <w:pPr>
        <w:pStyle w:val="TEKSTIIII"/>
      </w:pPr>
      <w:r w:rsidRPr="00DC66CD">
        <w:t xml:space="preserve">Teknika e filtrimit </w:t>
      </w:r>
      <w:r w:rsidRPr="00DC66CD">
        <w:rPr>
          <w:i/>
        </w:rPr>
        <w:t>Hodrick-Prescott (HP)</w:t>
      </w:r>
      <w:r w:rsidRPr="00DC66CD">
        <w:t xml:space="preserve"> është përdorur për të vlerësuar serinë e PBB-së potenciale. </w:t>
      </w:r>
    </w:p>
    <w:p w14:paraId="3E96252A" w14:textId="1E42A4F2" w:rsidR="00A92569" w:rsidRPr="00DC66CD" w:rsidRDefault="00A92569" w:rsidP="00FC094C">
      <w:pPr>
        <w:pStyle w:val="TEKSTIIII"/>
      </w:pPr>
      <w:r w:rsidRPr="00DC66CD">
        <w:t xml:space="preserve">Filtrimi HP është aplikuar në rritjen ekonomike aktuale vjetore, duke marrë parasysh vlerat më të përshtatshme të parametrit </w:t>
      </w:r>
      <w:r w:rsidRPr="00DC66CD">
        <w:rPr>
          <w:i/>
        </w:rPr>
        <w:t>lambda</w:t>
      </w:r>
      <w:r w:rsidR="00FC094C" w:rsidRPr="00DC66CD">
        <w:t>,</w:t>
      </w:r>
      <w:r w:rsidRPr="00DC66CD">
        <w:t xml:space="preserve"> në rastin e të dhënave vjetore, përkatësisht </w:t>
      </w:r>
      <w:r w:rsidRPr="00DC66CD">
        <w:object w:dxaOrig="2360" w:dyaOrig="320" w14:anchorId="455D1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4pt" o:ole="">
            <v:imagedata r:id="rId67" o:title=""/>
          </v:shape>
          <o:OLEObject Type="Embed" ProgID="Equation.3" ShapeID="_x0000_i1025" DrawAspect="Content" ObjectID="_1643018262" r:id="rId68"/>
        </w:object>
      </w:r>
      <w:r w:rsidRPr="00DC66CD">
        <w:t>.</w:t>
      </w:r>
      <w:r w:rsidR="0072211B" w:rsidRPr="00DC66CD">
        <w:t xml:space="preserve"> </w:t>
      </w:r>
      <w:r w:rsidRPr="00DC66CD">
        <w:t>Rritja e PBB-së potenciale u nxor më pas si një mesatare e serive të filtrimit HP bazuar në kët</w:t>
      </w:r>
      <w:r w:rsidR="00FC094C" w:rsidRPr="00DC66CD">
        <w:t>a</w:t>
      </w:r>
      <w:r w:rsidRPr="00DC66CD">
        <w:t xml:space="preserve"> tre parametra të ndryshëm të </w:t>
      </w:r>
      <w:r w:rsidRPr="00DC66CD">
        <w:rPr>
          <w:i/>
        </w:rPr>
        <w:t>lambda</w:t>
      </w:r>
      <w:r w:rsidRPr="00DC66CD">
        <w:t xml:space="preserve">-s. Bazuar në rritjen potenciale të përfituar, u </w:t>
      </w:r>
      <w:r w:rsidR="00FC094C" w:rsidRPr="00DC66CD">
        <w:t>nxor</w:t>
      </w:r>
      <w:r w:rsidRPr="00DC66CD">
        <w:t xml:space="preserve"> më pas niveli i PBB-së potenciale dhe</w:t>
      </w:r>
      <w:r w:rsidR="00FC094C" w:rsidRPr="00DC66CD">
        <w:t>,</w:t>
      </w:r>
      <w:r w:rsidRPr="00DC66CD">
        <w:t xml:space="preserve"> në përputhje me të</w:t>
      </w:r>
      <w:r w:rsidR="00FC094C" w:rsidRPr="00DC66CD">
        <w:t>,</w:t>
      </w:r>
      <w:r w:rsidRPr="00DC66CD">
        <w:t xml:space="preserve"> u llogarit dhe niveli i </w:t>
      </w:r>
      <w:r w:rsidRPr="00DC66CD">
        <w:rPr>
          <w:i/>
        </w:rPr>
        <w:t>output</w:t>
      </w:r>
      <w:r w:rsidR="00FC094C" w:rsidRPr="00DC66CD">
        <w:rPr>
          <w:i/>
        </w:rPr>
        <w:t>-</w:t>
      </w:r>
      <w:r w:rsidRPr="00DC66CD">
        <w:t>it. Parashikimet e FMN-së WEO (tetor 2019)</w:t>
      </w:r>
      <w:r w:rsidR="00FC094C" w:rsidRPr="00DC66CD">
        <w:t>,</w:t>
      </w:r>
      <w:r w:rsidRPr="00DC66CD">
        <w:t xml:space="preserve"> për periudhën 2020</w:t>
      </w:r>
      <w:r w:rsidR="00FC094C" w:rsidRPr="00DC66CD">
        <w:t>–</w:t>
      </w:r>
      <w:r w:rsidRPr="00DC66CD">
        <w:t>2022</w:t>
      </w:r>
      <w:r w:rsidR="00FC094C" w:rsidRPr="00DC66CD">
        <w:t>,</w:t>
      </w:r>
      <w:r w:rsidRPr="00DC66CD">
        <w:t xml:space="preserve"> u përdorën për të adresuar problemin e të dhënës së fundit që shfaq teknika e filtrimit HP </w:t>
      </w:r>
    </w:p>
    <w:p w14:paraId="7DBE926E" w14:textId="72574B6F" w:rsidR="00FC094C" w:rsidRPr="00DC66CD" w:rsidRDefault="00FC094C" w:rsidP="00FC094C">
      <w:pPr>
        <w:spacing w:after="0" w:line="240" w:lineRule="auto"/>
        <w:ind w:firstLine="284"/>
        <w:jc w:val="center"/>
        <w:rPr>
          <w:rFonts w:ascii="Garamond" w:hAnsi="Garamond"/>
        </w:rPr>
      </w:pPr>
      <w:r w:rsidRPr="00DC66CD">
        <w:rPr>
          <w:rFonts w:ascii="Garamond" w:hAnsi="Garamond"/>
        </w:rPr>
        <w:object w:dxaOrig="4400" w:dyaOrig="740" w14:anchorId="66D772AD">
          <v:shape id="_x0000_i1026" type="#_x0000_t75" style="width:223.5pt;height:36.5pt" o:ole="">
            <v:imagedata r:id="rId69" o:title=""/>
          </v:shape>
          <o:OLEObject Type="Embed" ProgID="Equation.3" ShapeID="_x0000_i1026" DrawAspect="Content" ObjectID="_1643018263" r:id="rId70"/>
        </w:object>
      </w:r>
    </w:p>
    <w:p w14:paraId="713D879C" w14:textId="77777777" w:rsidR="00FC094C" w:rsidRPr="00DC66CD" w:rsidRDefault="00FC094C" w:rsidP="00A92569">
      <w:pPr>
        <w:spacing w:after="0" w:line="240" w:lineRule="auto"/>
        <w:ind w:firstLine="284"/>
        <w:jc w:val="both"/>
        <w:rPr>
          <w:rFonts w:ascii="Garamond" w:hAnsi="Garamond"/>
        </w:rPr>
      </w:pPr>
    </w:p>
    <w:p w14:paraId="211C8D1C" w14:textId="2A69674C" w:rsidR="00A92569" w:rsidRPr="00DC66CD" w:rsidRDefault="00FC094C" w:rsidP="00A92569">
      <w:pPr>
        <w:spacing w:after="0" w:line="240" w:lineRule="auto"/>
        <w:ind w:firstLine="284"/>
        <w:jc w:val="both"/>
        <w:rPr>
          <w:rFonts w:ascii="Garamond" w:hAnsi="Garamond"/>
          <w:sz w:val="24"/>
          <w:szCs w:val="24"/>
        </w:rPr>
      </w:pPr>
      <w:r w:rsidRPr="00DC66CD">
        <w:rPr>
          <w:rFonts w:ascii="Garamond" w:hAnsi="Garamond"/>
          <w:sz w:val="24"/>
          <w:szCs w:val="24"/>
        </w:rPr>
        <w:t xml:space="preserve">Hendeku i prodhimit </w:t>
      </w:r>
      <w:r w:rsidR="00A92569" w:rsidRPr="00DC66CD">
        <w:rPr>
          <w:rFonts w:ascii="Garamond" w:hAnsi="Garamond"/>
          <w:sz w:val="24"/>
          <w:szCs w:val="24"/>
        </w:rPr>
        <w:t>është paraqitur në anën e majtë të figurës së mëposhtme.</w:t>
      </w:r>
      <w:r w:rsidR="0072211B" w:rsidRPr="00DC66CD">
        <w:rPr>
          <w:rFonts w:ascii="Garamond" w:hAnsi="Garamond"/>
          <w:sz w:val="24"/>
          <w:szCs w:val="24"/>
        </w:rPr>
        <w:t xml:space="preserve"> </w:t>
      </w:r>
    </w:p>
    <w:p w14:paraId="5F5E1E45" w14:textId="77777777" w:rsidR="00A92569" w:rsidRPr="00DC66CD" w:rsidRDefault="00A92569" w:rsidP="00A92569">
      <w:pPr>
        <w:keepNext/>
        <w:pBdr>
          <w:top w:val="nil"/>
          <w:left w:val="nil"/>
          <w:bottom w:val="nil"/>
          <w:right w:val="nil"/>
          <w:between w:val="nil"/>
          <w:bar w:val="nil"/>
        </w:pBdr>
        <w:spacing w:after="0" w:line="240" w:lineRule="auto"/>
        <w:ind w:firstLine="284"/>
        <w:jc w:val="both"/>
        <w:rPr>
          <w:rFonts w:ascii="Garamond" w:eastAsia="Arial Unicode MS" w:hAnsi="Garamond"/>
          <w:bdr w:val="nil"/>
        </w:rPr>
      </w:pPr>
    </w:p>
    <w:p w14:paraId="38BC38A0" w14:textId="015CE5C0" w:rsidR="00A92569" w:rsidRPr="00DC66CD" w:rsidRDefault="00FC094C" w:rsidP="005A4484">
      <w:pPr>
        <w:pStyle w:val="TEKSTIIII"/>
      </w:pPr>
      <w:r w:rsidRPr="00DC66CD">
        <w:t>Grafiku 4.4.1</w:t>
      </w:r>
      <w:r w:rsidR="00A92569" w:rsidRPr="00DC66CD">
        <w:t xml:space="preserve"> Hendeku i prodhimit (në të majtë), rritja potenciale dhe aktuale (në të djathtë) </w:t>
      </w:r>
    </w:p>
    <w:p w14:paraId="27D519C2" w14:textId="77777777" w:rsidR="00A92569" w:rsidRPr="00DC66CD" w:rsidRDefault="00A92569" w:rsidP="005A4484">
      <w:pPr>
        <w:tabs>
          <w:tab w:val="left" w:pos="3111"/>
        </w:tabs>
        <w:spacing w:after="0" w:line="240" w:lineRule="auto"/>
        <w:jc w:val="center"/>
        <w:rPr>
          <w:rFonts w:ascii="Garamond" w:hAnsi="Garamond"/>
        </w:rPr>
      </w:pPr>
      <w:r w:rsidRPr="00DC66CD">
        <w:rPr>
          <w:rFonts w:ascii="Garamond" w:hAnsi="Garamond"/>
          <w:noProof/>
          <w:lang w:val="en-US" w:eastAsia="en-US"/>
        </w:rPr>
        <w:drawing>
          <wp:inline distT="0" distB="0" distL="0" distR="0" wp14:anchorId="6C8B9491" wp14:editId="41CF8133">
            <wp:extent cx="5943600" cy="177676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1776767"/>
                    </a:xfrm>
                    <a:prstGeom prst="rect">
                      <a:avLst/>
                    </a:prstGeom>
                    <a:noFill/>
                    <a:ln>
                      <a:noFill/>
                    </a:ln>
                  </pic:spPr>
                </pic:pic>
              </a:graphicData>
            </a:graphic>
          </wp:inline>
        </w:drawing>
      </w:r>
    </w:p>
    <w:p w14:paraId="3549F3D4" w14:textId="77777777" w:rsidR="00A92569" w:rsidRPr="00DC66CD" w:rsidRDefault="00A92569" w:rsidP="005A4484">
      <w:pPr>
        <w:pStyle w:val="TEKSTIIII"/>
        <w:rPr>
          <w:i/>
        </w:rPr>
      </w:pPr>
      <w:r w:rsidRPr="00DC66CD">
        <w:rPr>
          <w:i/>
        </w:rPr>
        <w:t>Burimi: Ministria e Financave dhe Ekonomisë</w:t>
      </w:r>
    </w:p>
    <w:p w14:paraId="711BE960" w14:textId="77777777" w:rsidR="00A92569" w:rsidRPr="00DC66CD" w:rsidRDefault="00A92569" w:rsidP="005A4484">
      <w:pPr>
        <w:pStyle w:val="TEKSTIIII"/>
      </w:pPr>
    </w:p>
    <w:p w14:paraId="56D4EE27" w14:textId="237A4E8E" w:rsidR="00A92569" w:rsidRPr="00DC66CD" w:rsidRDefault="00A92569" w:rsidP="005A4484">
      <w:pPr>
        <w:pStyle w:val="TEKSTIIII"/>
      </w:pPr>
      <w:r w:rsidRPr="00DC66CD">
        <w:t>Rezultatet na tregojnë se prodhimi aktual ka qenë n</w:t>
      </w:r>
      <w:r w:rsidR="00FC094C" w:rsidRPr="00DC66CD">
        <w:t>ën potencialin e tij gjatë 2002</w:t>
      </w:r>
      <w:r w:rsidRPr="00DC66CD">
        <w:t>–2006, thu</w:t>
      </w:r>
      <w:r w:rsidR="00FC094C" w:rsidRPr="00DC66CD">
        <w:t>ajse në potencial në vitin 2017</w:t>
      </w:r>
      <w:r w:rsidRPr="00DC66CD">
        <w:t xml:space="preserve"> dhe</w:t>
      </w:r>
      <w:r w:rsidR="00FC094C" w:rsidRPr="00DC66CD">
        <w:t>,</w:t>
      </w:r>
      <w:r w:rsidRPr="00DC66CD">
        <w:t xml:space="preserve"> më pas është tejkaluar në mënyrë të konsiderueshme në vitin 2008. </w:t>
      </w:r>
    </w:p>
    <w:p w14:paraId="41C125C2" w14:textId="0B0DC0B0" w:rsidR="00A92569" w:rsidRPr="00DC66CD" w:rsidRDefault="00A92569" w:rsidP="005A4484">
      <w:pPr>
        <w:pStyle w:val="TEKSTIIII"/>
      </w:pPr>
      <w:r w:rsidRPr="00DC66CD">
        <w:t>Lëvizja e fundit pozitive në hendekun e prodhimit vazhdoi disi dhe gjatë viteve 2009</w:t>
      </w:r>
      <w:r w:rsidR="00FC094C" w:rsidRPr="00DC66CD">
        <w:t>–</w:t>
      </w:r>
      <w:r w:rsidRPr="00DC66CD">
        <w:t>2012, duke u ngushtuar gradualisht</w:t>
      </w:r>
      <w:r w:rsidR="00FC094C" w:rsidRPr="00DC66CD">
        <w:t>,</w:t>
      </w:r>
      <w:r w:rsidRPr="00DC66CD">
        <w:t xml:space="preserve"> si pasojë e rritjes aktuale më të ulët krahasuar me potencialin, në sajë të krizës </w:t>
      </w:r>
      <w:r w:rsidR="00FC094C" w:rsidRPr="00DC66CD">
        <w:t>globale</w:t>
      </w:r>
      <w:r w:rsidRPr="00DC66CD">
        <w:t xml:space="preserve"> financiare. Megjithëse Shqipëria arriti ta kalojë relativisht lehtë goditjen e parë nga kriza globale në vitin 2009, duke shmangur një recesion të mundshëm që ndodhi në pjesën më të madhe të vendeve të tjera, gjithsesi</w:t>
      </w:r>
      <w:r w:rsidR="00FC094C" w:rsidRPr="00DC66CD">
        <w:t>,</w:t>
      </w:r>
      <w:r w:rsidRPr="00DC66CD">
        <w:t xml:space="preserve"> rritja aktuale u dobësua ndjeshëm krahasuar me nivelet e para krizës dhe me rritjen potenciale. Në vitin 2013 u shënua rritja më e ulët dhe në të njëjtën kohë hendeku i prodhimit u zhvendos në negativ dhe qëndroi i tillë deri në vitin 2017, me maksimumin e arritur në vitin 2015. Hendeku i prodhimit u mbyll </w:t>
      </w:r>
      <w:r w:rsidR="00FC094C" w:rsidRPr="00DC66CD">
        <w:t>më 2018</w:t>
      </w:r>
      <w:r w:rsidRPr="00DC66CD">
        <w:t xml:space="preserve"> dhe pritet të kthehet lehtësisht në terma negativ</w:t>
      </w:r>
      <w:r w:rsidR="00FC094C" w:rsidRPr="00DC66CD">
        <w:t>ë</w:t>
      </w:r>
      <w:r w:rsidRPr="00DC66CD">
        <w:t xml:space="preserve"> në vitet 2019 dhe 2020. Duke vazhduar më tej në vitet 2021 dhe 2022, pritet që hendeku </w:t>
      </w:r>
      <w:r w:rsidR="00FC094C" w:rsidRPr="00DC66CD">
        <w:t>i</w:t>
      </w:r>
      <w:r w:rsidRPr="00DC66CD">
        <w:t xml:space="preserve"> prodhimit të konvergojë në potencialin e tij.</w:t>
      </w:r>
    </w:p>
    <w:p w14:paraId="084407BA" w14:textId="29A5D80F" w:rsidR="00A92569" w:rsidRPr="00DC66CD" w:rsidRDefault="00A92569" w:rsidP="005A4484">
      <w:pPr>
        <w:pStyle w:val="TEKSTIIII"/>
        <w:rPr>
          <w:b/>
        </w:rPr>
      </w:pPr>
      <w:r w:rsidRPr="00DC66CD">
        <w:rPr>
          <w:b/>
        </w:rPr>
        <w:t xml:space="preserve">Vlerësimi i elasticiteteve dhe </w:t>
      </w:r>
      <w:r w:rsidR="00FC094C" w:rsidRPr="00DC66CD">
        <w:rPr>
          <w:b/>
        </w:rPr>
        <w:t xml:space="preserve">i </w:t>
      </w:r>
      <w:r w:rsidRPr="00DC66CD">
        <w:rPr>
          <w:b/>
        </w:rPr>
        <w:t>ndjeshmërisë së buxhetit ndaj hendekut të prodhimit</w:t>
      </w:r>
    </w:p>
    <w:p w14:paraId="34E92D8F" w14:textId="0B6CE313" w:rsidR="00A92569" w:rsidRPr="00DC66CD" w:rsidRDefault="00A92569" w:rsidP="005A4484">
      <w:pPr>
        <w:pStyle w:val="TEKSTIIII"/>
      </w:pPr>
      <w:r w:rsidRPr="00DC66CD">
        <w:t>Pasi u hoqën faktorët që kanë pasur ndikime vetëm në një periudhë të caktuar, u vlerësuan</w:t>
      </w:r>
      <w:r w:rsidR="0072211B" w:rsidRPr="00DC66CD">
        <w:t xml:space="preserve"> </w:t>
      </w:r>
      <w:r w:rsidRPr="00DC66CD">
        <w:t xml:space="preserve">elasticitetet e të ardhurave dhe </w:t>
      </w:r>
      <w:r w:rsidR="00FC094C" w:rsidRPr="00DC66CD">
        <w:t xml:space="preserve">të </w:t>
      </w:r>
      <w:r w:rsidRPr="00DC66CD">
        <w:t xml:space="preserve">shpenzimeve edhe me metodën e disagregimit (sipas qasjes së </w:t>
      </w:r>
      <w:r w:rsidR="00FC094C" w:rsidRPr="00DC66CD">
        <w:t>OECD-së 2005) dhe me metodën ag</w:t>
      </w:r>
      <w:r w:rsidRPr="00DC66CD">
        <w:t xml:space="preserve">regate (sipas qasjes së FMN-së 2010). Gjithsesi, elasticitetet finale totale të marra nga secila metodë ishin pothuajse të ngjashme. Për të </w:t>
      </w:r>
      <w:r w:rsidR="00FC094C" w:rsidRPr="00DC66CD">
        <w:t>qenë</w:t>
      </w:r>
      <w:r w:rsidRPr="00DC66CD">
        <w:t xml:space="preserve"> më konkretë, elasticiteti i përgjithshëm i të ardhurave, i nxjerrë nga elasticitetet specifike të zërave kryesorë të të ardhurave me metodën e disagregimit ishte 1.03, ndërsa elasticiteti i vlerësuar nga metoda ag</w:t>
      </w:r>
      <w:r w:rsidR="00377211" w:rsidRPr="00DC66CD">
        <w:t>regate ishte 1.45</w:t>
      </w:r>
      <w:r w:rsidRPr="00DC66CD">
        <w:rPr>
          <w:vertAlign w:val="superscript"/>
        </w:rPr>
        <w:footnoteReference w:id="12"/>
      </w:r>
      <w:r w:rsidRPr="00DC66CD">
        <w:t>. Të ardhurat totale u rregulluan për efektet e ciklit, duke aplikuar mbi to elasticitetin mesatar të përfituar nga të dyja qasjet, i cili është:</w:t>
      </w:r>
    </w:p>
    <w:p w14:paraId="70858942" w14:textId="7781B333" w:rsidR="00A92569" w:rsidRPr="00DC66CD" w:rsidRDefault="00377211" w:rsidP="005A4484">
      <w:pPr>
        <w:pStyle w:val="TEKSTIIII"/>
      </w:pPr>
      <w:r w:rsidRPr="00DC66CD">
        <w:rPr>
          <w:position w:val="-14"/>
        </w:rPr>
        <w:object w:dxaOrig="3300" w:dyaOrig="380" w14:anchorId="6ABC5602">
          <v:shape id="_x0000_i1027" type="#_x0000_t75" style="width:196pt;height:21.5pt" o:ole="">
            <v:imagedata r:id="rId72" o:title=""/>
          </v:shape>
          <o:OLEObject Type="Embed" ProgID="Equation.3" ShapeID="_x0000_i1027" DrawAspect="Content" ObjectID="_1643018264" r:id="rId73"/>
        </w:object>
      </w:r>
    </w:p>
    <w:p w14:paraId="4DEF9FAA" w14:textId="12C28CFA" w:rsidR="00A92569" w:rsidRPr="00DC66CD" w:rsidRDefault="00A92569" w:rsidP="005A4484">
      <w:pPr>
        <w:pStyle w:val="TEKSTIIII"/>
      </w:pPr>
      <w:r w:rsidRPr="00DC66CD">
        <w:t>Për</w:t>
      </w:r>
      <w:r w:rsidR="002B784A" w:rsidRPr="00DC66CD">
        <w:t xml:space="preserve"> </w:t>
      </w:r>
      <w:r w:rsidRPr="00DC66CD">
        <w:t xml:space="preserve">sa u përket elasticiteteve të shpenzimeve, ato nuk ishin të ndryshme nga niveli zero. Analiza e regresionit na prodhoi elasticitete të shpenzimeve me shenjë negative, sipas të dyja metodave, por asnjëra prej tyre nuk ishte statistikisht e rëndësishme, duke na treguar se koeficienti i elasticitetit është i barabartë me zero </w:t>
      </w:r>
      <w:r w:rsidRPr="00DC66CD">
        <w:rPr>
          <w:i/>
        </w:rPr>
        <w:object w:dxaOrig="840" w:dyaOrig="380" w14:anchorId="563C8DED">
          <v:shape id="_x0000_i1028" type="#_x0000_t75" style="width:43pt;height:21.5pt" o:ole="">
            <v:imagedata r:id="rId74" o:title=""/>
          </v:shape>
          <o:OLEObject Type="Embed" ProgID="Equation.3" ShapeID="_x0000_i1028" DrawAspect="Content" ObjectID="_1643018265" r:id="rId75"/>
        </w:object>
      </w:r>
      <w:r w:rsidRPr="00DC66CD">
        <w:t>. Për më tepër shpenzimet totale nuk u rregulluan për efekte ciklike. Aplikimi direkt i formulës së ndjeshmërisë për bilancin e buxhetit ndaj hendekut të prodhimit (ose i ashtuquajtur elasticitet i pjesshëm) na dha vlerën e mëposhtme:</w:t>
      </w:r>
    </w:p>
    <w:p w14:paraId="7CCD0BCE" w14:textId="5770CD07" w:rsidR="00A92569" w:rsidRPr="00DC66CD" w:rsidRDefault="002B784A" w:rsidP="005A4484">
      <w:pPr>
        <w:pStyle w:val="TEKSTIIII"/>
        <w:rPr>
          <w:i/>
        </w:rPr>
      </w:pPr>
      <w:r w:rsidRPr="00DC66CD">
        <w:rPr>
          <w:i/>
          <w:position w:val="-14"/>
        </w:rPr>
        <w:object w:dxaOrig="6480" w:dyaOrig="380" w14:anchorId="6C1D98F5">
          <v:shape id="_x0000_i1029" type="#_x0000_t75" style="width:348.5pt;height:21.5pt" o:ole="">
            <v:imagedata r:id="rId76" o:title=""/>
          </v:shape>
          <o:OLEObject Type="Embed" ProgID="Equation.3" ShapeID="_x0000_i1029" DrawAspect="Content" ObjectID="_1643018266" r:id="rId77"/>
        </w:object>
      </w:r>
    </w:p>
    <w:p w14:paraId="614ACFE0" w14:textId="603C7180" w:rsidR="00A92569" w:rsidRPr="00DC66CD" w:rsidRDefault="00A92569" w:rsidP="005A4484">
      <w:pPr>
        <w:pStyle w:val="TEKSTIIII"/>
      </w:pPr>
      <w:r w:rsidRPr="00DC66CD">
        <w:t>ku: r = 0.251 është norma mesatare e të ardhurave totale ndaj PBB-së (duke përjashtuar faktorët njëndikimësh) për 5 v</w:t>
      </w:r>
      <w:r w:rsidR="002B784A" w:rsidRPr="00DC66CD">
        <w:t>jetët e fundit (2013–</w:t>
      </w:r>
      <w:r w:rsidRPr="00DC66CD">
        <w:t>2017), g = 0.261 është norma mesatare e shpenzimeve primare ndaj PBB-së</w:t>
      </w:r>
      <w:r w:rsidR="002B784A" w:rsidRPr="00DC66CD">
        <w:t xml:space="preserve"> (duke përjashtuar faktorët një</w:t>
      </w:r>
      <w:r w:rsidRPr="00DC66CD">
        <w:t>ndikimësh) për 5 v</w:t>
      </w:r>
      <w:r w:rsidR="002B784A" w:rsidRPr="00DC66CD">
        <w:t>jetët e fundit (2013–</w:t>
      </w:r>
      <w:r w:rsidRPr="00DC66CD">
        <w:t>2017). Parametri i vlerësuar i ndjeshmërisë buxhetit na thotë se për çdo pikë përqindje</w:t>
      </w:r>
      <w:r w:rsidR="002B784A" w:rsidRPr="00DC66CD">
        <w:t>je</w:t>
      </w:r>
      <w:r w:rsidRPr="00DC66CD">
        <w:t xml:space="preserve"> negative (po</w:t>
      </w:r>
      <w:r w:rsidR="002B784A" w:rsidRPr="00DC66CD">
        <w:t>z</w:t>
      </w:r>
      <w:r w:rsidRPr="00DC66CD">
        <w:t>itive) të hendekut të prodhimit, bilanci i përgjithshëm fiskal primar do të përkeqësohet (përmirësohet) me 0.321 pikë përqindje</w:t>
      </w:r>
      <w:r w:rsidR="002B784A" w:rsidRPr="00DC66CD">
        <w:t>je</w:t>
      </w:r>
      <w:r w:rsidRPr="00DC66CD">
        <w:t xml:space="preserve"> të PBB-së potenciale.</w:t>
      </w:r>
    </w:p>
    <w:p w14:paraId="7109D721" w14:textId="77777777" w:rsidR="00A92569" w:rsidRPr="00DC66CD" w:rsidRDefault="00A92569" w:rsidP="005A4484">
      <w:pPr>
        <w:pStyle w:val="TEKSTIIII"/>
        <w:rPr>
          <w:i/>
        </w:rPr>
      </w:pPr>
      <w:r w:rsidRPr="00DC66CD">
        <w:rPr>
          <w:i/>
        </w:rPr>
        <w:t>Llogaritja e bilancit fiskal të rregulluar ciklikisht dhe vlerësimi i politikës fiskale në ekonomi</w:t>
      </w:r>
    </w:p>
    <w:p w14:paraId="218EFF42" w14:textId="71F68EEB" w:rsidR="00A92569" w:rsidRPr="00DC66CD" w:rsidRDefault="002B784A" w:rsidP="005A4484">
      <w:pPr>
        <w:pStyle w:val="TEKSTIIII"/>
      </w:pPr>
      <w:r w:rsidRPr="00DC66CD">
        <w:t>Bazuar te</w:t>
      </w:r>
      <w:r w:rsidR="00A92569" w:rsidRPr="00DC66CD">
        <w:t xml:space="preserve"> hendeku i prodhimit (OG) dhe parametri i ndjeshmërisë së buxhetit </w:t>
      </w:r>
      <w:r w:rsidR="00A92569" w:rsidRPr="00DC66CD">
        <w:rPr>
          <w:i/>
        </w:rPr>
        <w:t>(</w:t>
      </w:r>
      <w:r w:rsidR="00A92569" w:rsidRPr="00DC66CD">
        <w:rPr>
          <w:i/>
        </w:rPr>
        <w:object w:dxaOrig="320" w:dyaOrig="340" w14:anchorId="4681E35E">
          <v:shape id="_x0000_i1030" type="#_x0000_t75" style="width:14pt;height:14pt" o:ole="">
            <v:imagedata r:id="rId78" o:title=""/>
          </v:shape>
          <o:OLEObject Type="Embed" ProgID="Equation.3" ShapeID="_x0000_i1030" DrawAspect="Content" ObjectID="_1643018267" r:id="rId79"/>
        </w:object>
      </w:r>
      <w:r w:rsidR="00A92569" w:rsidRPr="00DC66CD">
        <w:rPr>
          <w:i/>
        </w:rPr>
        <w:t>)</w:t>
      </w:r>
      <w:r w:rsidR="00A92569" w:rsidRPr="00DC66CD">
        <w:t>, komponenti ciklik i bilancit fiskal primar (CPB) në terma të PBB-së potenciale është llogaritur si:</w:t>
      </w:r>
      <w:r w:rsidR="00A92569" w:rsidRPr="00DC66CD">
        <w:rPr>
          <w:i/>
        </w:rPr>
        <w:t xml:space="preserve"> CBT</w:t>
      </w:r>
      <w:r w:rsidR="00A92569" w:rsidRPr="00DC66CD">
        <w:rPr>
          <w:i/>
          <w:vertAlign w:val="subscript"/>
        </w:rPr>
        <w:t xml:space="preserve">t </w:t>
      </w:r>
      <w:r w:rsidR="00A92569" w:rsidRPr="00DC66CD">
        <w:rPr>
          <w:i/>
        </w:rPr>
        <w:t xml:space="preserve">= </w:t>
      </w:r>
      <w:r w:rsidR="00A92569" w:rsidRPr="00DC66CD">
        <w:rPr>
          <w:i/>
        </w:rPr>
        <w:sym w:font="Symbol" w:char="F073"/>
      </w:r>
      <w:r w:rsidR="00A92569" w:rsidRPr="00DC66CD">
        <w:rPr>
          <w:i/>
          <w:vertAlign w:val="subscript"/>
        </w:rPr>
        <w:t xml:space="preserve">B </w:t>
      </w:r>
      <w:r w:rsidR="00A92569" w:rsidRPr="00DC66CD">
        <w:rPr>
          <w:i/>
        </w:rPr>
        <w:t>* OG</w:t>
      </w:r>
      <w:r w:rsidR="00A92569" w:rsidRPr="00DC66CD">
        <w:rPr>
          <w:i/>
          <w:vertAlign w:val="subscript"/>
        </w:rPr>
        <w:t>t</w:t>
      </w:r>
      <w:r w:rsidR="00A92569" w:rsidRPr="00DC66CD">
        <w:t>. Ndërkohë, stabilizatorët automatikë janë përkufizuar si ndryshimi i CPB</w:t>
      </w:r>
      <w:r w:rsidRPr="00DC66CD">
        <w:t>-së</w:t>
      </w:r>
      <w:r w:rsidR="00A92569" w:rsidRPr="00DC66CD">
        <w:t xml:space="preserve"> të dy viteve rresht (AS), pra:</w:t>
      </w:r>
      <w:r w:rsidR="0072211B" w:rsidRPr="00DC66CD">
        <w:t xml:space="preserve"> </w:t>
      </w:r>
      <w:r w:rsidRPr="00DC66CD">
        <w:object w:dxaOrig="2040" w:dyaOrig="360" w14:anchorId="7FFC6A6E">
          <v:shape id="_x0000_i1031" type="#_x0000_t75" style="width:123pt;height:21.5pt" o:ole="">
            <v:imagedata r:id="rId80" o:title=""/>
          </v:shape>
          <o:OLEObject Type="Embed" ProgID="Equation.3" ShapeID="_x0000_i1031" DrawAspect="Content" ObjectID="_1643018268" r:id="rId81"/>
        </w:object>
      </w:r>
    </w:p>
    <w:p w14:paraId="05E33A9B" w14:textId="183666FA" w:rsidR="00A92569" w:rsidRPr="00DC66CD" w:rsidRDefault="00A92569" w:rsidP="005A4484">
      <w:pPr>
        <w:pStyle w:val="TEKSTIIII"/>
      </w:pPr>
      <w:r w:rsidRPr="00DC66CD">
        <w:t xml:space="preserve">Bilanci primar i rregulluar ciklikisht (CAPB) llogaritet si diferencë mes bilancit primar fiskal aktual (PB) dhe komponentit të tij ciklik </w:t>
      </w:r>
      <w:r w:rsidRPr="00DC66CD">
        <w:rPr>
          <w:i/>
        </w:rPr>
        <w:t>(CPB)</w:t>
      </w:r>
      <w:r w:rsidRPr="00DC66CD">
        <w:t xml:space="preserve">: </w:t>
      </w:r>
      <w:r w:rsidR="002B784A" w:rsidRPr="00DC66CD">
        <w:object w:dxaOrig="2060" w:dyaOrig="360" w14:anchorId="118C03A3">
          <v:shape id="_x0000_i1032" type="#_x0000_t75" style="width:120pt;height:21.5pt" o:ole="">
            <v:imagedata r:id="rId82" o:title=""/>
          </v:shape>
          <o:OLEObject Type="Embed" ProgID="Equation.3" ShapeID="_x0000_i1032" DrawAspect="Content" ObjectID="_1643018269" r:id="rId83"/>
        </w:object>
      </w:r>
      <w:r w:rsidRPr="00DC66CD">
        <w:t xml:space="preserve">. </w:t>
      </w:r>
    </w:p>
    <w:p w14:paraId="794C058D" w14:textId="349A2CE5" w:rsidR="00A92569" w:rsidRPr="00DC66CD" w:rsidRDefault="00A92569" w:rsidP="005A4484">
      <w:pPr>
        <w:pStyle w:val="TEKSTIIII"/>
      </w:pPr>
      <w:r w:rsidRPr="00DC66CD">
        <w:t xml:space="preserve">Bilanci i përgjithshëm i rregulluar ciklikisht (CAB) del pasi bilancit primar të rregulluar ciklikisht i hiqen shpenzimet për interesat (INT): </w:t>
      </w:r>
      <w:r w:rsidR="002B784A" w:rsidRPr="00DC66CD">
        <w:object w:dxaOrig="2160" w:dyaOrig="360" w14:anchorId="4374397D">
          <v:shape id="_x0000_i1033" type="#_x0000_t75" style="width:126.5pt;height:21.5pt" o:ole="">
            <v:imagedata r:id="rId84" o:title=""/>
          </v:shape>
          <o:OLEObject Type="Embed" ProgID="Equation.3" ShapeID="_x0000_i1033" DrawAspect="Content" ObjectID="_1643018270" r:id="rId85"/>
        </w:object>
      </w:r>
    </w:p>
    <w:p w14:paraId="747DE9BB" w14:textId="5D653F5E" w:rsidR="00A92569" w:rsidRPr="00DC66CD" w:rsidRDefault="00A92569" w:rsidP="005A4484">
      <w:pPr>
        <w:pStyle w:val="TEKSTIIII"/>
      </w:pPr>
      <w:r w:rsidRPr="00DC66CD">
        <w:t xml:space="preserve">Impulsi fiskal (FI) në terma të PBB-së potenciale është ndryshimi i bilancit primar të rregulluar ciklikisht </w:t>
      </w:r>
      <w:r w:rsidR="002B784A" w:rsidRPr="00DC66CD">
        <w:rPr>
          <w:rFonts w:cs="Times New Roman"/>
        </w:rPr>
        <w:t>ç</w:t>
      </w:r>
      <w:r w:rsidR="002B784A" w:rsidRPr="00DC66CD">
        <w:t>do</w:t>
      </w:r>
      <w:r w:rsidRPr="00DC66CD">
        <w:t xml:space="preserve"> vit, relativisht me vitin e kaluar:</w:t>
      </w:r>
      <w:r w:rsidR="0072211B" w:rsidRPr="00DC66CD">
        <w:t xml:space="preserve"> </w:t>
      </w:r>
      <w:r w:rsidR="002B784A" w:rsidRPr="00DC66CD">
        <w:object w:dxaOrig="2299" w:dyaOrig="360" w14:anchorId="5CCE4FDE">
          <v:shape id="_x0000_i1034" type="#_x0000_t75" style="width:129.5pt;height:21.5pt" o:ole="">
            <v:imagedata r:id="rId86" o:title=""/>
          </v:shape>
          <o:OLEObject Type="Embed" ProgID="Equation.3" ShapeID="_x0000_i1034" DrawAspect="Content" ObjectID="_1643018271" r:id="rId87"/>
        </w:object>
      </w:r>
      <w:r w:rsidRPr="00DC66CD">
        <w:t>.</w:t>
      </w:r>
    </w:p>
    <w:p w14:paraId="1D7CA059" w14:textId="4F48CDB3" w:rsidR="00A92569" w:rsidRPr="00DC66CD" w:rsidRDefault="00A92569" w:rsidP="005A4484">
      <w:pPr>
        <w:pStyle w:val="TEKSTIIII"/>
      </w:pPr>
      <w:r w:rsidRPr="00DC66CD">
        <w:t>Bazuar në drejtimin e impulsit fiskal (ngushtues apo zgjerues) dhe hendekut të prodhimit (negative ose pozitive), ne po japim një paraqitje të thjeshtë për</w:t>
      </w:r>
      <w:r w:rsidR="002B784A" w:rsidRPr="00DC66CD">
        <w:t xml:space="preserve"> </w:t>
      </w:r>
      <w:r w:rsidRPr="00DC66CD">
        <w:t>sa i përket natyrës së politikës fiskale, n</w:t>
      </w:r>
      <w:r w:rsidR="002B784A" w:rsidRPr="00DC66CD">
        <w:t>.</w:t>
      </w:r>
      <w:r w:rsidRPr="00DC66CD">
        <w:t>q</w:t>
      </w:r>
      <w:r w:rsidR="002B784A" w:rsidRPr="00DC66CD">
        <w:t>.</w:t>
      </w:r>
      <w:r w:rsidRPr="00DC66CD">
        <w:t>s</w:t>
      </w:r>
      <w:r w:rsidR="002B784A" w:rsidRPr="00DC66CD">
        <w:t>.</w:t>
      </w:r>
      <w:r w:rsidRPr="00DC66CD">
        <w:t xml:space="preserve"> ajo ka </w:t>
      </w:r>
      <w:r w:rsidR="002B784A" w:rsidRPr="00DC66CD">
        <w:t>qene</w:t>
      </w:r>
      <w:r w:rsidRPr="00DC66CD">
        <w:t xml:space="preserve"> prociklike, kundërciklike apo neutrale. Rezultatet e marra janë paraqitur në tabelën dhe grafikun më poshtë. </w:t>
      </w:r>
    </w:p>
    <w:p w14:paraId="5E0567B1" w14:textId="77777777" w:rsidR="003E497B" w:rsidRPr="00DC66CD" w:rsidRDefault="003E497B" w:rsidP="005A4484">
      <w:pPr>
        <w:pStyle w:val="TEKSTIIII"/>
      </w:pPr>
    </w:p>
    <w:p w14:paraId="7B89977C" w14:textId="76AAAEC1" w:rsidR="003E497B" w:rsidRPr="00DC66CD" w:rsidRDefault="003E497B" w:rsidP="003E497B">
      <w:pPr>
        <w:pStyle w:val="TEKSTIIII"/>
        <w:rPr>
          <w:rFonts w:eastAsia="Arial Unicode MS"/>
          <w:bdr w:val="nil"/>
        </w:rPr>
      </w:pPr>
      <w:r w:rsidRPr="00DC66CD">
        <w:t xml:space="preserve">Tabela </w:t>
      </w:r>
      <w:r w:rsidR="002B784A" w:rsidRPr="00DC66CD">
        <w:rPr>
          <w:rFonts w:eastAsia="Arial Unicode MS"/>
          <w:bdr w:val="nil"/>
        </w:rPr>
        <w:t xml:space="preserve">4.4.1 </w:t>
      </w:r>
      <w:r w:rsidRPr="00DC66CD">
        <w:t xml:space="preserve">Politika </w:t>
      </w:r>
      <w:r w:rsidR="002B784A" w:rsidRPr="00DC66CD">
        <w:t>fiskale</w:t>
      </w:r>
    </w:p>
    <w:p w14:paraId="51204215" w14:textId="385AB9DE" w:rsidR="00A92569" w:rsidRPr="00DC66CD" w:rsidRDefault="003E497B" w:rsidP="002B784A">
      <w:pPr>
        <w:pStyle w:val="TEKSTIIII"/>
        <w:jc w:val="center"/>
      </w:pPr>
      <w:r w:rsidRPr="00DC66CD">
        <w:rPr>
          <w:rFonts w:ascii="Times New Roman" w:hAnsi="Times New Roman"/>
          <w:noProof/>
          <w:lang w:val="en-US" w:eastAsia="en-US"/>
        </w:rPr>
        <w:drawing>
          <wp:inline distT="0" distB="0" distL="0" distR="0" wp14:anchorId="0B995B0F" wp14:editId="3FEC7147">
            <wp:extent cx="5755640" cy="377126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55640" cy="3771264"/>
                    </a:xfrm>
                    <a:prstGeom prst="rect">
                      <a:avLst/>
                    </a:prstGeom>
                    <a:noFill/>
                    <a:ln>
                      <a:noFill/>
                    </a:ln>
                  </pic:spPr>
                </pic:pic>
              </a:graphicData>
            </a:graphic>
          </wp:inline>
        </w:drawing>
      </w:r>
    </w:p>
    <w:p w14:paraId="22283800" w14:textId="77777777" w:rsidR="00D36AF6" w:rsidRPr="00DC66CD" w:rsidRDefault="00D36AF6" w:rsidP="005A4484">
      <w:pPr>
        <w:pStyle w:val="TEKSTIIII"/>
      </w:pPr>
    </w:p>
    <w:p w14:paraId="219DDAEB" w14:textId="533A9FE2" w:rsidR="00D36AF6" w:rsidRPr="00DC66CD" w:rsidRDefault="00D36AF6" w:rsidP="00D36AF6">
      <w:pPr>
        <w:pStyle w:val="TEKSTIIII"/>
        <w:rPr>
          <w:rFonts w:eastAsia="Arial Unicode MS"/>
          <w:bdr w:val="nil"/>
        </w:rPr>
      </w:pPr>
      <w:r w:rsidRPr="00DC66CD">
        <w:rPr>
          <w:bCs/>
        </w:rPr>
        <w:t xml:space="preserve">Grafiku </w:t>
      </w:r>
      <w:r w:rsidR="002B784A" w:rsidRPr="00DC66CD">
        <w:rPr>
          <w:rFonts w:eastAsia="Arial Unicode MS"/>
          <w:bdr w:val="nil"/>
        </w:rPr>
        <w:t xml:space="preserve">4.4.2 </w:t>
      </w:r>
      <w:r w:rsidRPr="00DC66CD">
        <w:rPr>
          <w:rFonts w:eastAsia="Arial Unicode MS"/>
          <w:bdr w:val="nil"/>
        </w:rPr>
        <w:t xml:space="preserve">Politika </w:t>
      </w:r>
      <w:r w:rsidR="002B784A" w:rsidRPr="00DC66CD">
        <w:rPr>
          <w:rFonts w:eastAsia="Arial Unicode MS"/>
          <w:bdr w:val="nil"/>
        </w:rPr>
        <w:t>fiskale</w:t>
      </w:r>
    </w:p>
    <w:p w14:paraId="7C64E2C8" w14:textId="015E9CDE" w:rsidR="00A92569" w:rsidRPr="00DC66CD" w:rsidRDefault="0031782C" w:rsidP="003E2FB9">
      <w:pPr>
        <w:pStyle w:val="TEKSTIIII"/>
        <w:ind w:firstLine="0"/>
        <w:jc w:val="center"/>
      </w:pPr>
      <w:r w:rsidRPr="00DC66CD">
        <w:rPr>
          <w:rFonts w:ascii="Times New Roman" w:hAnsi="Times New Roman"/>
          <w:noProof/>
          <w:lang w:val="en-US" w:eastAsia="en-US"/>
        </w:rPr>
        <w:drawing>
          <wp:inline distT="0" distB="0" distL="0" distR="0" wp14:anchorId="25B49E22" wp14:editId="362E0540">
            <wp:extent cx="5755640" cy="1939498"/>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5640" cy="1939498"/>
                    </a:xfrm>
                    <a:prstGeom prst="rect">
                      <a:avLst/>
                    </a:prstGeom>
                    <a:noFill/>
                    <a:ln>
                      <a:noFill/>
                    </a:ln>
                  </pic:spPr>
                </pic:pic>
              </a:graphicData>
            </a:graphic>
          </wp:inline>
        </w:drawing>
      </w:r>
    </w:p>
    <w:p w14:paraId="6B2F0DD9" w14:textId="77777777" w:rsidR="00C003CE" w:rsidRPr="00DC66CD" w:rsidRDefault="00C003CE" w:rsidP="00C003CE">
      <w:pPr>
        <w:pStyle w:val="TEKSTIIII"/>
        <w:rPr>
          <w:i/>
        </w:rPr>
      </w:pPr>
      <w:r w:rsidRPr="00DC66CD">
        <w:rPr>
          <w:i/>
        </w:rPr>
        <w:t>Burimi: Ministria e Financave dhe Ekonomisë</w:t>
      </w:r>
    </w:p>
    <w:p w14:paraId="0733265C" w14:textId="77777777" w:rsidR="00C003CE" w:rsidRPr="00DC66CD" w:rsidRDefault="00C003CE" w:rsidP="00C003CE">
      <w:pPr>
        <w:pStyle w:val="TEKSTIIII"/>
      </w:pPr>
    </w:p>
    <w:p w14:paraId="62607094" w14:textId="77777777" w:rsidR="002B784A" w:rsidRPr="00DC66CD" w:rsidRDefault="002B784A" w:rsidP="00C003CE">
      <w:pPr>
        <w:pStyle w:val="TEKSTIIII"/>
      </w:pPr>
    </w:p>
    <w:p w14:paraId="28CBC2EC" w14:textId="77777777" w:rsidR="002B784A" w:rsidRPr="00DC66CD" w:rsidRDefault="002B784A" w:rsidP="00C003CE">
      <w:pPr>
        <w:pStyle w:val="TEKSTIIII"/>
      </w:pPr>
    </w:p>
    <w:p w14:paraId="2C019374" w14:textId="77777777" w:rsidR="002B784A" w:rsidRPr="00DC66CD" w:rsidRDefault="002B784A" w:rsidP="00C003CE">
      <w:pPr>
        <w:pStyle w:val="TEKSTIIII"/>
      </w:pPr>
    </w:p>
    <w:p w14:paraId="53829A10" w14:textId="77777777" w:rsidR="002B784A" w:rsidRPr="00DC66CD" w:rsidRDefault="002B784A" w:rsidP="00C003CE">
      <w:pPr>
        <w:pStyle w:val="TEKSTIIII"/>
      </w:pPr>
    </w:p>
    <w:p w14:paraId="545D383F" w14:textId="77777777" w:rsidR="002B784A" w:rsidRPr="00DC66CD" w:rsidRDefault="002B784A" w:rsidP="00C003CE">
      <w:pPr>
        <w:pStyle w:val="TEKSTIIII"/>
      </w:pPr>
    </w:p>
    <w:p w14:paraId="174399F6" w14:textId="77777777" w:rsidR="002B784A" w:rsidRPr="00DC66CD" w:rsidRDefault="002B784A" w:rsidP="00C003CE">
      <w:pPr>
        <w:pStyle w:val="TEKSTIIII"/>
      </w:pPr>
    </w:p>
    <w:p w14:paraId="17763A60" w14:textId="77777777" w:rsidR="002B784A" w:rsidRPr="00DC66CD" w:rsidRDefault="002B784A" w:rsidP="00C003CE">
      <w:pPr>
        <w:pStyle w:val="TEKSTIIII"/>
      </w:pPr>
    </w:p>
    <w:p w14:paraId="505359E2" w14:textId="65D61E97" w:rsidR="00C003CE" w:rsidRPr="00DC66CD" w:rsidRDefault="00C003CE" w:rsidP="00C003CE">
      <w:pPr>
        <w:pStyle w:val="TEKSTIIII"/>
      </w:pPr>
      <w:r w:rsidRPr="00DC66CD">
        <w:t xml:space="preserve">Tabela 4.4.2 Politika </w:t>
      </w:r>
      <w:r w:rsidR="002B784A" w:rsidRPr="00DC66CD">
        <w:t xml:space="preserve">fiskale </w:t>
      </w:r>
      <w:r w:rsidRPr="00DC66CD">
        <w:t>lidhur me ciklin e ekonomisë</w:t>
      </w:r>
    </w:p>
    <w:p w14:paraId="28AC115D" w14:textId="77777777" w:rsidR="00C003CE" w:rsidRPr="00DC66CD" w:rsidRDefault="00C003CE" w:rsidP="00C003CE">
      <w:pPr>
        <w:pStyle w:val="TEKSTIIII"/>
        <w:rPr>
          <w:highlight w:val="cyan"/>
        </w:rPr>
      </w:pPr>
      <w:r w:rsidRPr="00DC66CD">
        <w:rPr>
          <w:noProof/>
          <w:lang w:val="en-US" w:eastAsia="en-US"/>
        </w:rPr>
        <w:drawing>
          <wp:inline distT="0" distB="0" distL="0" distR="0" wp14:anchorId="3DAB3386" wp14:editId="2018EDD5">
            <wp:extent cx="5478449" cy="1799636"/>
            <wp:effectExtent l="0" t="0" r="825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78881" cy="1799778"/>
                    </a:xfrm>
                    <a:prstGeom prst="rect">
                      <a:avLst/>
                    </a:prstGeom>
                    <a:noFill/>
                    <a:ln>
                      <a:noFill/>
                    </a:ln>
                  </pic:spPr>
                </pic:pic>
              </a:graphicData>
            </a:graphic>
          </wp:inline>
        </w:drawing>
      </w:r>
    </w:p>
    <w:p w14:paraId="6C22E397" w14:textId="77777777" w:rsidR="00C003CE" w:rsidRPr="00DC66CD" w:rsidRDefault="00C003CE" w:rsidP="00C003CE">
      <w:pPr>
        <w:pStyle w:val="TEKSTIIII"/>
      </w:pPr>
    </w:p>
    <w:p w14:paraId="11820AA6" w14:textId="20B87B98" w:rsidR="00C003CE" w:rsidRPr="00DC66CD" w:rsidRDefault="00C003CE" w:rsidP="00C003CE">
      <w:pPr>
        <w:pStyle w:val="TEKSTIIII"/>
      </w:pPr>
      <w:r w:rsidRPr="00DC66CD">
        <w:t>Kjo analizë e thjeshtë empirike tregon se gjatë viteve 2000–2019, politika fiskale ka qenë prociklike në nëntë raste (vite), kundërciklike në dhjetë raste dhe neutrale në një rast. Ndërsa për horizontin afatmesëm, politika fiskale parashikohet të jetë kundërciklike në të gjith</w:t>
      </w:r>
      <w:r w:rsidR="00456544" w:rsidRPr="00DC66CD">
        <w:t xml:space="preserve">a </w:t>
      </w:r>
      <w:r w:rsidRPr="00DC66CD">
        <w:t>vitet (2020 dhe 2022).</w:t>
      </w:r>
    </w:p>
    <w:p w14:paraId="43B17939" w14:textId="583A359C" w:rsidR="00C003CE" w:rsidRPr="00DC66CD" w:rsidRDefault="00C003CE" w:rsidP="00C003CE">
      <w:pPr>
        <w:pStyle w:val="TEKSTIIII"/>
      </w:pPr>
      <w:r w:rsidRPr="00DC66CD">
        <w:t>Kur matet si shumë kumulative e impulseve fiskale të çdo viti</w:t>
      </w:r>
      <w:r w:rsidR="00456544" w:rsidRPr="00DC66CD">
        <w:t>,</w:t>
      </w:r>
      <w:r w:rsidRPr="00DC66CD">
        <w:t xml:space="preserve"> në lidhje me hendekun kumulativ të prodhimit, politika fiskal rezulton prociklike gjatë viteve 2000</w:t>
      </w:r>
      <w:r w:rsidR="00456544" w:rsidRPr="00DC66CD">
        <w:t>–</w:t>
      </w:r>
      <w:r w:rsidRPr="00DC66CD">
        <w:t>2019. Më konkretisht, hendeku kumulativ i prodhimit për vitet 2000</w:t>
      </w:r>
      <w:r w:rsidR="00456544" w:rsidRPr="00DC66CD">
        <w:t>–</w:t>
      </w:r>
      <w:r w:rsidRPr="00DC66CD">
        <w:t>2019 rezulton negativ</w:t>
      </w:r>
      <w:r w:rsidR="00456544" w:rsidRPr="00DC66CD">
        <w:t>,</w:t>
      </w:r>
      <w:r w:rsidRPr="00DC66CD">
        <w:t xml:space="preserve"> me 1.1 pikë përqindjeje të PBB-së potenciale, ndërkohë që impulset fiskale kumulative për periudhën përkatëse rezultojnë gjithashtu negative në 2.6 pikë përqindjeje të PBB-së. Kjo tregon një politikë fiskale prociklike që pasqyron borxhin publik relativisht të lartë dhe</w:t>
      </w:r>
      <w:r w:rsidR="00456544" w:rsidRPr="00DC66CD">
        <w:t>,</w:t>
      </w:r>
      <w:r w:rsidRPr="00DC66CD">
        <w:t xml:space="preserve"> për këtë arsye nënkupton që i është dhënë një rëndësi më e madhe objektivit të sigurimit të qëndrueshmërisë afatgjatë të financave publike</w:t>
      </w:r>
      <w:r w:rsidR="00456544" w:rsidRPr="00DC66CD">
        <w:t>,</w:t>
      </w:r>
      <w:r w:rsidRPr="00DC66CD">
        <w:t xml:space="preserve"> kundrejt objektivit të stabilizimit afatshkurtër të cikleve ekonomike. Në periudhën afatmesme 2020</w:t>
      </w:r>
      <w:r w:rsidR="00456544" w:rsidRPr="00DC66CD">
        <w:t>–</w:t>
      </w:r>
      <w:r w:rsidRPr="00DC66CD">
        <w:t xml:space="preserve">2022, impulsi fiskal kumulativ është parashikuar të jetë negativ, në përputhje me objektivin kryesor të reduktimit të borxhit publik, megjithëse gjatë kësaj periudhe pritet të mbështetet edhe objektivi i stabilizimit ekonomik, për aq kohë sa hendeku kumulativ i prodhimit do të jetë pozitiv. </w:t>
      </w:r>
    </w:p>
    <w:p w14:paraId="262876A4" w14:textId="33B8EC40" w:rsidR="00C003CE" w:rsidRPr="00DC66CD" w:rsidRDefault="00C003CE" w:rsidP="00C003CE">
      <w:pPr>
        <w:pStyle w:val="TEKSTIIII"/>
        <w:rPr>
          <w:b/>
        </w:rPr>
      </w:pPr>
      <w:bookmarkStart w:id="20" w:name="_Toc30416397"/>
      <w:bookmarkStart w:id="21" w:name="_Toc30661221"/>
      <w:r w:rsidRPr="00DC66CD">
        <w:rPr>
          <w:b/>
        </w:rPr>
        <w:t xml:space="preserve">4.5 Ecuria e </w:t>
      </w:r>
      <w:r w:rsidR="00456544" w:rsidRPr="00DC66CD">
        <w:rPr>
          <w:b/>
        </w:rPr>
        <w:t>borxhit të qeverisjes qendror</w:t>
      </w:r>
      <w:bookmarkEnd w:id="20"/>
      <w:r w:rsidR="00456544" w:rsidRPr="00DC66CD">
        <w:rPr>
          <w:b/>
        </w:rPr>
        <w:t>e</w:t>
      </w:r>
      <w:bookmarkEnd w:id="21"/>
    </w:p>
    <w:p w14:paraId="795C360F" w14:textId="69D654CE" w:rsidR="00C003CE" w:rsidRPr="00DC66CD" w:rsidRDefault="00C003CE" w:rsidP="00C003CE">
      <w:pPr>
        <w:pStyle w:val="TEKSTIIII"/>
      </w:pPr>
      <w:r w:rsidRPr="00DC66CD">
        <w:t>Përgjatë nëntëmujorit të vitit 2019, borxhi i qeverisjes qendrore përgjithësisht u karakterizua nga një ecuri pozitive, duke qenë në përputhje me buxhetin e planifikuar për vitin 2019 dhe objektivat e Strategjisë Afatmesme të Menaxhimit të Borxhit (SAMB). Nevojat e qeverisë për financim janë plotësuar me sukses</w:t>
      </w:r>
      <w:r w:rsidR="00EE7C57" w:rsidRPr="00DC66CD">
        <w:t>,</w:t>
      </w:r>
      <w:r w:rsidRPr="00DC66CD">
        <w:t xml:space="preserve"> duke mbajtur raporte të pranueshme ndërmjet kostos dhe risqeve, ndërkohë që janë ndërmarrë aktivitete të cilat synojnë zhvillimin e mëtejshëm të tregut primar të titujve shtetërorë.</w:t>
      </w:r>
    </w:p>
    <w:p w14:paraId="5A6AE01F" w14:textId="3B7F4B67" w:rsidR="00C003CE" w:rsidRPr="00DC66CD" w:rsidRDefault="00C003CE" w:rsidP="00C003CE">
      <w:pPr>
        <w:pStyle w:val="TEKSTIIII"/>
      </w:pPr>
      <w:r w:rsidRPr="00DC66CD">
        <w:t xml:space="preserve">Në linjë me buxhetin e vitit 2019 është realizuar me sukses huamarrja, e cila ka </w:t>
      </w:r>
      <w:r w:rsidR="00EE7C57" w:rsidRPr="00DC66CD">
        <w:t>mundësuar</w:t>
      </w:r>
      <w:r w:rsidRPr="00DC66CD">
        <w:t xml:space="preserve"> rifinancimin e borxhit ekzistues dhe menaxhimin e nevojave për likuiditet.</w:t>
      </w:r>
      <w:r w:rsidR="0072211B" w:rsidRPr="00DC66CD">
        <w:t xml:space="preserve"> </w:t>
      </w:r>
      <w:r w:rsidRPr="00DC66CD">
        <w:t>Nëpërmjet burimeve të brendshme dhe të huaja, huamarrja është realizuar përkatësisht në nivelin</w:t>
      </w:r>
      <w:r w:rsidR="0072211B" w:rsidRPr="00DC66CD">
        <w:t xml:space="preserve"> </w:t>
      </w:r>
      <w:r w:rsidRPr="00DC66CD">
        <w:t>45.2% dhe 67.1% të planit vjetor</w:t>
      </w:r>
      <w:r w:rsidRPr="00DC66CD">
        <w:rPr>
          <w:vertAlign w:val="superscript"/>
        </w:rPr>
        <w:footnoteReference w:id="13"/>
      </w:r>
      <w:r w:rsidRPr="00DC66CD">
        <w:t>.</w:t>
      </w:r>
    </w:p>
    <w:p w14:paraId="5124E2C6" w14:textId="1D7C7C6C" w:rsidR="00C003CE" w:rsidRPr="00DC66CD" w:rsidRDefault="00C003CE" w:rsidP="00C003CE">
      <w:pPr>
        <w:pStyle w:val="TEKSTIIII"/>
      </w:pPr>
      <w:r w:rsidRPr="00DC66CD">
        <w:t>Në linjë me objektivat e Strategjisë Afatmesme të Menaxhimit të Borxhit u menaxhua ulja e mëtejshme e ekspozimit ndaj risqeve në portofolin e borxhit të brendshëm, duke mbajtur nën kontroll kostot e borxhit.</w:t>
      </w:r>
    </w:p>
    <w:p w14:paraId="565E2EEE" w14:textId="0FCD2E48" w:rsidR="00C003CE" w:rsidRPr="00DC66CD" w:rsidRDefault="00C003CE" w:rsidP="00C003CE">
      <w:pPr>
        <w:pStyle w:val="TEKSTIIII"/>
        <w:rPr>
          <w:b/>
        </w:rPr>
      </w:pPr>
      <w:r w:rsidRPr="00DC66CD">
        <w:rPr>
          <w:b/>
        </w:rPr>
        <w:t xml:space="preserve">Borxhi </w:t>
      </w:r>
      <w:r w:rsidR="00EE7C57" w:rsidRPr="00DC66CD">
        <w:rPr>
          <w:b/>
        </w:rPr>
        <w:t>i qeverisjes qendrore</w:t>
      </w:r>
    </w:p>
    <w:p w14:paraId="763B410A" w14:textId="048311B6" w:rsidR="00C003CE" w:rsidRPr="00DC66CD" w:rsidRDefault="00C003CE" w:rsidP="00C003CE">
      <w:pPr>
        <w:pStyle w:val="TEKSTIIII"/>
      </w:pPr>
      <w:r w:rsidRPr="00DC66CD">
        <w:t>Në fund të muajit shtator 2019, borxhi i qeverisjes qendrore u vlerësua në nivelin 1,109.9 miliard</w:t>
      </w:r>
      <w:r w:rsidR="00EE7C57" w:rsidRPr="00DC66CD">
        <w:t>ë</w:t>
      </w:r>
      <w:r w:rsidRPr="00DC66CD">
        <w:t xml:space="preserve"> </w:t>
      </w:r>
      <w:r w:rsidR="00EE7C57" w:rsidRPr="00DC66CD">
        <w:t xml:space="preserve">lekë </w:t>
      </w:r>
      <w:r w:rsidRPr="00DC66CD">
        <w:t>ose 65.1% e PBB</w:t>
      </w:r>
      <w:r w:rsidRPr="00DC66CD">
        <w:rPr>
          <w:vertAlign w:val="superscript"/>
        </w:rPr>
        <w:footnoteReference w:id="14"/>
      </w:r>
      <w:r w:rsidRPr="00DC66CD">
        <w:t>. Në terma nominal</w:t>
      </w:r>
      <w:r w:rsidR="00EE7C57" w:rsidRPr="00DC66CD">
        <w:t>ë,</w:t>
      </w:r>
      <w:r w:rsidRPr="00DC66CD">
        <w:t xml:space="preserve"> stoku i borxhit të qeverisjes qendrore është rritur me rreth 3.3 miliard</w:t>
      </w:r>
      <w:r w:rsidR="00EE7C57" w:rsidRPr="00DC66CD">
        <w:t>ë</w:t>
      </w:r>
      <w:r w:rsidRPr="00DC66CD">
        <w:t xml:space="preserve"> </w:t>
      </w:r>
      <w:r w:rsidR="00EE7C57" w:rsidRPr="00DC66CD">
        <w:t xml:space="preserve">lekë, </w:t>
      </w:r>
      <w:r w:rsidRPr="00DC66CD">
        <w:t>krahasuar me fundin e vitit 2018, nga të cilat 9.6 miliard</w:t>
      </w:r>
      <w:r w:rsidR="00EE7C57" w:rsidRPr="00DC66CD">
        <w:t>ë</w:t>
      </w:r>
      <w:r w:rsidRPr="00DC66CD">
        <w:t xml:space="preserve"> </w:t>
      </w:r>
      <w:r w:rsidR="00EE7C57" w:rsidRPr="00DC66CD">
        <w:t xml:space="preserve">lekë </w:t>
      </w:r>
      <w:r w:rsidRPr="00DC66CD">
        <w:t>i korrespondojnë rritjes së borxhit të brendshëm dhe -6.2 miliard</w:t>
      </w:r>
      <w:r w:rsidR="00EE7C57" w:rsidRPr="00DC66CD">
        <w:t>ë</w:t>
      </w:r>
      <w:r w:rsidRPr="00DC66CD">
        <w:t xml:space="preserve"> </w:t>
      </w:r>
      <w:r w:rsidR="00EE7C57" w:rsidRPr="00DC66CD">
        <w:t xml:space="preserve">lekë </w:t>
      </w:r>
      <w:r w:rsidRPr="00DC66CD">
        <w:t>borxhit të jashtëm. Pavarësisht sa më sipër, rritja e borxhit në terma nominal</w:t>
      </w:r>
      <w:r w:rsidR="00372C5E" w:rsidRPr="00DC66CD">
        <w:t>ë</w:t>
      </w:r>
      <w:r w:rsidRPr="00DC66CD">
        <w:t xml:space="preserve"> është brenda kufijve të parashikuar në ligjin vjetor të buxhetit dhe në përputhj</w:t>
      </w:r>
      <w:r w:rsidR="00EA7130" w:rsidRPr="00DC66CD">
        <w:t>e me objektivat afatmes</w:t>
      </w:r>
      <w:r w:rsidR="00372C5E" w:rsidRPr="00DC66CD">
        <w:t>ë</w:t>
      </w:r>
      <w:r w:rsidR="00EA7130" w:rsidRPr="00DC66CD">
        <w:t>m makro</w:t>
      </w:r>
      <w:r w:rsidRPr="00DC66CD">
        <w:t>fiskal</w:t>
      </w:r>
      <w:r w:rsidR="00372C5E" w:rsidRPr="00DC66CD">
        <w:t>ë</w:t>
      </w:r>
      <w:r w:rsidRPr="00DC66CD">
        <w:t xml:space="preserve"> për uljen e nivelit të borxhit</w:t>
      </w:r>
      <w:r w:rsidR="00372C5E" w:rsidRPr="00DC66CD">
        <w:t>,</w:t>
      </w:r>
      <w:r w:rsidRPr="00DC66CD">
        <w:t xml:space="preserve"> në raport me PBB</w:t>
      </w:r>
      <w:r w:rsidR="00372C5E" w:rsidRPr="00DC66CD">
        <w:t>-në</w:t>
      </w:r>
      <w:r w:rsidRPr="00DC66CD">
        <w:t>. Në përputhje me objektivat makrofiskal</w:t>
      </w:r>
      <w:r w:rsidR="00372C5E" w:rsidRPr="00DC66CD">
        <w:t>ë</w:t>
      </w:r>
      <w:r w:rsidRPr="00DC66CD">
        <w:t xml:space="preserve">, parashikimet sinjalizojnë se borxhi i qeverisjes </w:t>
      </w:r>
      <w:r w:rsidR="00372C5E" w:rsidRPr="00DC66CD">
        <w:t>qendrore,</w:t>
      </w:r>
      <w:r w:rsidRPr="00DC66CD">
        <w:t xml:space="preserve"> në raport me PBB</w:t>
      </w:r>
      <w:r w:rsidR="00372C5E" w:rsidRPr="00DC66CD">
        <w:t>-në</w:t>
      </w:r>
      <w:r w:rsidRPr="00DC66CD">
        <w:t xml:space="preserve"> do të vazhdojë të qëndrojë në trajektoren rënëse dhe pritet të ulet me rreth 2.5 pikë përqindje</w:t>
      </w:r>
      <w:r w:rsidR="00372C5E" w:rsidRPr="00DC66CD">
        <w:t>je</w:t>
      </w:r>
      <w:r w:rsidRPr="00DC66CD">
        <w:t xml:space="preserve"> deri në fund të vitit 2019.</w:t>
      </w:r>
    </w:p>
    <w:p w14:paraId="5A3B2201" w14:textId="77777777" w:rsidR="00C003CE" w:rsidRPr="00DC66CD" w:rsidRDefault="00C003CE" w:rsidP="00C003CE">
      <w:pPr>
        <w:pStyle w:val="TEKSTIIII"/>
      </w:pPr>
    </w:p>
    <w:p w14:paraId="2994667E" w14:textId="2E29D02B" w:rsidR="00C003CE" w:rsidRPr="00DC66CD" w:rsidRDefault="00372C5E" w:rsidP="00C003CE">
      <w:pPr>
        <w:pStyle w:val="TEKSTIIII"/>
      </w:pPr>
      <w:r w:rsidRPr="00DC66CD">
        <w:rPr>
          <w:bCs/>
        </w:rPr>
        <w:t>Tabela 4.5.1</w:t>
      </w:r>
      <w:r w:rsidR="00C003CE" w:rsidRPr="00DC66CD">
        <w:rPr>
          <w:bCs/>
        </w:rPr>
        <w:t xml:space="preserve"> Stoku i </w:t>
      </w:r>
      <w:r w:rsidRPr="00DC66CD">
        <w:rPr>
          <w:bCs/>
        </w:rPr>
        <w:t>borxhit të qeverisjes qendrore</w:t>
      </w:r>
      <w:r w:rsidR="00DC6D23" w:rsidRPr="00DC66CD">
        <w:rPr>
          <w:bCs/>
        </w:rPr>
        <w:t xml:space="preserve"> </w:t>
      </w:r>
      <w:r w:rsidR="00C003CE" w:rsidRPr="00DC66CD">
        <w:rPr>
          <w:bCs/>
        </w:rPr>
        <w:t xml:space="preserve">(në milion </w:t>
      </w:r>
      <w:r w:rsidRPr="00DC66CD">
        <w:rPr>
          <w:bCs/>
        </w:rPr>
        <w:t>lek</w:t>
      </w:r>
      <w:r w:rsidR="00C003CE" w:rsidRPr="00DC66CD">
        <w:rPr>
          <w:bCs/>
        </w:rPr>
        <w:t>)</w:t>
      </w:r>
    </w:p>
    <w:tbl>
      <w:tblPr>
        <w:tblW w:w="9390" w:type="dxa"/>
        <w:jc w:val="center"/>
        <w:tblLook w:val="04A0" w:firstRow="1" w:lastRow="0" w:firstColumn="1" w:lastColumn="0" w:noHBand="0" w:noVBand="1"/>
      </w:tblPr>
      <w:tblGrid>
        <w:gridCol w:w="3092"/>
        <w:gridCol w:w="1324"/>
        <w:gridCol w:w="1236"/>
        <w:gridCol w:w="1324"/>
        <w:gridCol w:w="1236"/>
        <w:gridCol w:w="1178"/>
      </w:tblGrid>
      <w:tr w:rsidR="00C003CE" w:rsidRPr="00DC66CD" w14:paraId="7D42D0F3" w14:textId="77777777" w:rsidTr="00DC6D23">
        <w:trPr>
          <w:trHeight w:val="267"/>
          <w:jc w:val="center"/>
        </w:trPr>
        <w:tc>
          <w:tcPr>
            <w:tcW w:w="3092" w:type="dxa"/>
            <w:tcBorders>
              <w:top w:val="single" w:sz="4" w:space="0" w:color="auto"/>
              <w:left w:val="nil"/>
              <w:bottom w:val="single" w:sz="4" w:space="0" w:color="auto"/>
              <w:right w:val="nil"/>
            </w:tcBorders>
            <w:shd w:val="clear" w:color="000000" w:fill="FFFFFF"/>
            <w:noWrap/>
            <w:vAlign w:val="center"/>
            <w:hideMark/>
          </w:tcPr>
          <w:p w14:paraId="3D2CB95B" w14:textId="77777777" w:rsidR="00C003CE" w:rsidRPr="00DC66CD" w:rsidRDefault="00C003CE" w:rsidP="00C003CE">
            <w:pPr>
              <w:pStyle w:val="TEKSTIIII"/>
              <w:ind w:firstLine="0"/>
              <w:rPr>
                <w:rFonts w:eastAsia="Times New Roman"/>
                <w:b/>
                <w:bCs/>
                <w:sz w:val="16"/>
                <w:szCs w:val="16"/>
              </w:rPr>
            </w:pPr>
            <w:r w:rsidRPr="00DC66CD">
              <w:rPr>
                <w:rFonts w:eastAsia="Times New Roman"/>
                <w:b/>
                <w:bCs/>
                <w:sz w:val="16"/>
                <w:szCs w:val="16"/>
              </w:rPr>
              <w:t> </w:t>
            </w:r>
          </w:p>
        </w:tc>
        <w:tc>
          <w:tcPr>
            <w:tcW w:w="1324" w:type="dxa"/>
            <w:tcBorders>
              <w:top w:val="single" w:sz="4" w:space="0" w:color="auto"/>
              <w:left w:val="nil"/>
              <w:bottom w:val="single" w:sz="4" w:space="0" w:color="auto"/>
              <w:right w:val="nil"/>
            </w:tcBorders>
            <w:shd w:val="clear" w:color="000000" w:fill="FFFFFF"/>
            <w:vAlign w:val="center"/>
            <w:hideMark/>
          </w:tcPr>
          <w:p w14:paraId="77CF99C5" w14:textId="77777777" w:rsidR="00C003CE" w:rsidRPr="00DC66CD" w:rsidRDefault="00C003CE" w:rsidP="00DC6D23">
            <w:pPr>
              <w:pStyle w:val="TEKSTIIII"/>
              <w:ind w:firstLine="0"/>
              <w:jc w:val="center"/>
              <w:rPr>
                <w:rFonts w:eastAsia="Times New Roman"/>
                <w:b/>
                <w:bCs/>
                <w:sz w:val="16"/>
                <w:szCs w:val="16"/>
              </w:rPr>
            </w:pPr>
            <w:r w:rsidRPr="00DC66CD">
              <w:rPr>
                <w:rFonts w:eastAsia="Times New Roman"/>
                <w:b/>
                <w:bCs/>
                <w:sz w:val="16"/>
                <w:szCs w:val="16"/>
              </w:rPr>
              <w:t>2015</w:t>
            </w:r>
          </w:p>
        </w:tc>
        <w:tc>
          <w:tcPr>
            <w:tcW w:w="1236" w:type="dxa"/>
            <w:tcBorders>
              <w:top w:val="single" w:sz="4" w:space="0" w:color="auto"/>
              <w:left w:val="nil"/>
              <w:bottom w:val="single" w:sz="4" w:space="0" w:color="auto"/>
              <w:right w:val="nil"/>
            </w:tcBorders>
            <w:shd w:val="clear" w:color="000000" w:fill="FFFFFF"/>
            <w:noWrap/>
            <w:vAlign w:val="center"/>
            <w:hideMark/>
          </w:tcPr>
          <w:p w14:paraId="724AFFDE" w14:textId="77777777" w:rsidR="00C003CE" w:rsidRPr="00DC66CD" w:rsidRDefault="00C003CE" w:rsidP="00DC6D23">
            <w:pPr>
              <w:pStyle w:val="TEKSTIIII"/>
              <w:ind w:firstLine="0"/>
              <w:jc w:val="center"/>
              <w:rPr>
                <w:rFonts w:eastAsia="Times New Roman"/>
                <w:b/>
                <w:bCs/>
                <w:sz w:val="16"/>
                <w:szCs w:val="16"/>
              </w:rPr>
            </w:pPr>
            <w:r w:rsidRPr="00DC66CD">
              <w:rPr>
                <w:rFonts w:eastAsia="Times New Roman"/>
                <w:b/>
                <w:bCs/>
                <w:sz w:val="16"/>
                <w:szCs w:val="16"/>
              </w:rPr>
              <w:t>2016</w:t>
            </w:r>
          </w:p>
        </w:tc>
        <w:tc>
          <w:tcPr>
            <w:tcW w:w="1324" w:type="dxa"/>
            <w:tcBorders>
              <w:top w:val="single" w:sz="4" w:space="0" w:color="auto"/>
              <w:left w:val="nil"/>
              <w:bottom w:val="single" w:sz="4" w:space="0" w:color="auto"/>
              <w:right w:val="nil"/>
            </w:tcBorders>
            <w:shd w:val="clear" w:color="000000" w:fill="FFFFFF"/>
            <w:vAlign w:val="center"/>
            <w:hideMark/>
          </w:tcPr>
          <w:p w14:paraId="4246D7AB" w14:textId="77777777" w:rsidR="00C003CE" w:rsidRPr="00DC66CD" w:rsidRDefault="00C003CE" w:rsidP="00DC6D23">
            <w:pPr>
              <w:pStyle w:val="TEKSTIIII"/>
              <w:ind w:firstLine="0"/>
              <w:jc w:val="center"/>
              <w:rPr>
                <w:rFonts w:eastAsia="Times New Roman"/>
                <w:b/>
                <w:bCs/>
                <w:sz w:val="16"/>
                <w:szCs w:val="16"/>
              </w:rPr>
            </w:pPr>
            <w:r w:rsidRPr="00DC66CD">
              <w:rPr>
                <w:rFonts w:eastAsia="Times New Roman"/>
                <w:b/>
                <w:bCs/>
                <w:sz w:val="16"/>
                <w:szCs w:val="16"/>
              </w:rPr>
              <w:t>2017</w:t>
            </w:r>
          </w:p>
        </w:tc>
        <w:tc>
          <w:tcPr>
            <w:tcW w:w="1236" w:type="dxa"/>
            <w:tcBorders>
              <w:top w:val="single" w:sz="4" w:space="0" w:color="auto"/>
              <w:left w:val="nil"/>
              <w:bottom w:val="single" w:sz="4" w:space="0" w:color="auto"/>
              <w:right w:val="nil"/>
            </w:tcBorders>
            <w:shd w:val="clear" w:color="000000" w:fill="FFFFFF"/>
            <w:noWrap/>
            <w:vAlign w:val="center"/>
            <w:hideMark/>
          </w:tcPr>
          <w:p w14:paraId="32CC83E1" w14:textId="77777777" w:rsidR="00C003CE" w:rsidRPr="00DC66CD" w:rsidRDefault="00C003CE" w:rsidP="00DC6D23">
            <w:pPr>
              <w:pStyle w:val="TEKSTIIII"/>
              <w:ind w:firstLine="0"/>
              <w:jc w:val="center"/>
              <w:rPr>
                <w:rFonts w:eastAsia="Times New Roman"/>
                <w:b/>
                <w:bCs/>
                <w:sz w:val="16"/>
                <w:szCs w:val="16"/>
              </w:rPr>
            </w:pPr>
            <w:r w:rsidRPr="00DC66CD">
              <w:rPr>
                <w:rFonts w:eastAsia="Times New Roman"/>
                <w:b/>
                <w:bCs/>
                <w:sz w:val="16"/>
                <w:szCs w:val="16"/>
              </w:rPr>
              <w:t>2018</w:t>
            </w:r>
          </w:p>
        </w:tc>
        <w:tc>
          <w:tcPr>
            <w:tcW w:w="1178" w:type="dxa"/>
            <w:tcBorders>
              <w:top w:val="single" w:sz="4" w:space="0" w:color="auto"/>
              <w:left w:val="nil"/>
              <w:bottom w:val="single" w:sz="4" w:space="0" w:color="auto"/>
              <w:right w:val="nil"/>
            </w:tcBorders>
            <w:shd w:val="clear" w:color="000000" w:fill="FFFFFF"/>
            <w:noWrap/>
            <w:vAlign w:val="center"/>
            <w:hideMark/>
          </w:tcPr>
          <w:p w14:paraId="6AEC1086" w14:textId="74E808AC" w:rsidR="00C003CE" w:rsidRPr="00DC66CD" w:rsidRDefault="00C003CE" w:rsidP="00DC6D23">
            <w:pPr>
              <w:pStyle w:val="TEKSTIIII"/>
              <w:ind w:firstLine="0"/>
              <w:jc w:val="center"/>
              <w:rPr>
                <w:rFonts w:eastAsia="Times New Roman"/>
                <w:b/>
                <w:bCs/>
                <w:sz w:val="16"/>
                <w:szCs w:val="16"/>
              </w:rPr>
            </w:pPr>
            <w:r w:rsidRPr="00DC66CD">
              <w:rPr>
                <w:rFonts w:eastAsia="Times New Roman"/>
                <w:b/>
                <w:bCs/>
                <w:sz w:val="16"/>
                <w:szCs w:val="16"/>
              </w:rPr>
              <w:t>Sht</w:t>
            </w:r>
            <w:r w:rsidR="00DC6D23" w:rsidRPr="00DC66CD">
              <w:rPr>
                <w:rFonts w:eastAsia="Times New Roman"/>
                <w:b/>
                <w:bCs/>
                <w:sz w:val="16"/>
                <w:szCs w:val="16"/>
              </w:rPr>
              <w:t xml:space="preserve">. </w:t>
            </w:r>
            <w:r w:rsidRPr="00DC66CD">
              <w:rPr>
                <w:rFonts w:eastAsia="Times New Roman"/>
                <w:b/>
                <w:bCs/>
                <w:sz w:val="16"/>
                <w:szCs w:val="16"/>
              </w:rPr>
              <w:t>2019</w:t>
            </w:r>
          </w:p>
        </w:tc>
      </w:tr>
      <w:tr w:rsidR="00C003CE" w:rsidRPr="00DC66CD" w14:paraId="2D400776" w14:textId="77777777" w:rsidTr="00DC6D23">
        <w:trPr>
          <w:trHeight w:val="267"/>
          <w:jc w:val="center"/>
        </w:trPr>
        <w:tc>
          <w:tcPr>
            <w:tcW w:w="3092" w:type="dxa"/>
            <w:tcBorders>
              <w:top w:val="nil"/>
              <w:left w:val="nil"/>
              <w:bottom w:val="nil"/>
              <w:right w:val="nil"/>
            </w:tcBorders>
            <w:shd w:val="clear" w:color="000000" w:fill="FFFFFF"/>
            <w:noWrap/>
            <w:vAlign w:val="center"/>
            <w:hideMark/>
          </w:tcPr>
          <w:p w14:paraId="0756E641" w14:textId="614680FF" w:rsidR="00C003CE" w:rsidRPr="00DC66CD" w:rsidRDefault="00C003CE" w:rsidP="00C003CE">
            <w:pPr>
              <w:pStyle w:val="TEKSTIIII"/>
              <w:ind w:firstLine="0"/>
              <w:rPr>
                <w:rFonts w:eastAsia="Times New Roman"/>
                <w:b/>
                <w:bCs/>
                <w:sz w:val="16"/>
                <w:szCs w:val="16"/>
              </w:rPr>
            </w:pPr>
            <w:r w:rsidRPr="00DC66CD">
              <w:rPr>
                <w:rFonts w:eastAsia="Times New Roman"/>
                <w:b/>
                <w:bCs/>
                <w:sz w:val="16"/>
                <w:szCs w:val="16"/>
              </w:rPr>
              <w:t xml:space="preserve">Stoku i </w:t>
            </w:r>
            <w:r w:rsidR="00DC6D23" w:rsidRPr="00DC66CD">
              <w:rPr>
                <w:rFonts w:eastAsia="Times New Roman"/>
                <w:b/>
                <w:bCs/>
                <w:sz w:val="16"/>
                <w:szCs w:val="16"/>
              </w:rPr>
              <w:t xml:space="preserve">borxhit gjithsej </w:t>
            </w:r>
            <w:r w:rsidRPr="00DC66CD">
              <w:rPr>
                <w:rFonts w:eastAsia="Times New Roman"/>
                <w:b/>
                <w:bCs/>
                <w:sz w:val="16"/>
                <w:szCs w:val="16"/>
              </w:rPr>
              <w:t>(I+II)</w:t>
            </w:r>
          </w:p>
        </w:tc>
        <w:tc>
          <w:tcPr>
            <w:tcW w:w="1324" w:type="dxa"/>
            <w:tcBorders>
              <w:top w:val="nil"/>
              <w:left w:val="nil"/>
              <w:bottom w:val="nil"/>
              <w:right w:val="nil"/>
            </w:tcBorders>
            <w:shd w:val="clear" w:color="000000" w:fill="FFFFFF"/>
            <w:noWrap/>
            <w:vAlign w:val="center"/>
            <w:hideMark/>
          </w:tcPr>
          <w:p w14:paraId="2BCBF55A"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1,042,272.0</w:t>
            </w:r>
          </w:p>
        </w:tc>
        <w:tc>
          <w:tcPr>
            <w:tcW w:w="1236" w:type="dxa"/>
            <w:tcBorders>
              <w:top w:val="nil"/>
              <w:left w:val="nil"/>
              <w:bottom w:val="nil"/>
              <w:right w:val="nil"/>
            </w:tcBorders>
            <w:shd w:val="clear" w:color="000000" w:fill="FFFFFF"/>
            <w:noWrap/>
            <w:vAlign w:val="center"/>
            <w:hideMark/>
          </w:tcPr>
          <w:p w14:paraId="4A9037D7"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1,065,709.0</w:t>
            </w:r>
          </w:p>
        </w:tc>
        <w:tc>
          <w:tcPr>
            <w:tcW w:w="1324" w:type="dxa"/>
            <w:tcBorders>
              <w:top w:val="nil"/>
              <w:left w:val="nil"/>
              <w:bottom w:val="nil"/>
              <w:right w:val="nil"/>
            </w:tcBorders>
            <w:shd w:val="clear" w:color="000000" w:fill="FFFFFF"/>
            <w:noWrap/>
            <w:vAlign w:val="center"/>
            <w:hideMark/>
          </w:tcPr>
          <w:p w14:paraId="19BB0B26"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1,087,341.9</w:t>
            </w:r>
          </w:p>
        </w:tc>
        <w:tc>
          <w:tcPr>
            <w:tcW w:w="1236" w:type="dxa"/>
            <w:tcBorders>
              <w:top w:val="nil"/>
              <w:left w:val="nil"/>
              <w:bottom w:val="nil"/>
              <w:right w:val="nil"/>
            </w:tcBorders>
            <w:shd w:val="clear" w:color="000000" w:fill="FFFFFF"/>
            <w:noWrap/>
            <w:vAlign w:val="center"/>
            <w:hideMark/>
          </w:tcPr>
          <w:p w14:paraId="37A774B1"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1,106,568.8</w:t>
            </w:r>
          </w:p>
        </w:tc>
        <w:tc>
          <w:tcPr>
            <w:tcW w:w="1178" w:type="dxa"/>
            <w:tcBorders>
              <w:top w:val="nil"/>
              <w:left w:val="nil"/>
              <w:bottom w:val="nil"/>
              <w:right w:val="nil"/>
            </w:tcBorders>
            <w:shd w:val="clear" w:color="000000" w:fill="FFFFFF"/>
            <w:noWrap/>
            <w:vAlign w:val="center"/>
            <w:hideMark/>
          </w:tcPr>
          <w:p w14:paraId="2E347382"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1,109,893.6</w:t>
            </w:r>
          </w:p>
        </w:tc>
      </w:tr>
      <w:tr w:rsidR="00C003CE" w:rsidRPr="00DC66CD" w14:paraId="36F5F475" w14:textId="77777777" w:rsidTr="00DC6D23">
        <w:trPr>
          <w:trHeight w:val="267"/>
          <w:jc w:val="center"/>
        </w:trPr>
        <w:tc>
          <w:tcPr>
            <w:tcW w:w="3092" w:type="dxa"/>
            <w:tcBorders>
              <w:top w:val="nil"/>
              <w:left w:val="nil"/>
              <w:bottom w:val="nil"/>
              <w:right w:val="nil"/>
            </w:tcBorders>
            <w:shd w:val="clear" w:color="000000" w:fill="FFFFFF"/>
            <w:noWrap/>
            <w:vAlign w:val="center"/>
            <w:hideMark/>
          </w:tcPr>
          <w:p w14:paraId="0C6B0D6A" w14:textId="37EDABD9" w:rsidR="00C003CE" w:rsidRPr="00DC66CD" w:rsidRDefault="0072211B" w:rsidP="00C003CE">
            <w:pPr>
              <w:pStyle w:val="TEKSTIIII"/>
              <w:ind w:firstLine="0"/>
              <w:rPr>
                <w:rFonts w:eastAsia="Times New Roman"/>
                <w:b/>
                <w:bCs/>
                <w:sz w:val="16"/>
                <w:szCs w:val="16"/>
              </w:rPr>
            </w:pPr>
            <w:r w:rsidRPr="00DC66CD">
              <w:rPr>
                <w:rFonts w:eastAsia="Times New Roman"/>
                <w:b/>
                <w:bCs/>
                <w:sz w:val="16"/>
                <w:szCs w:val="16"/>
              </w:rPr>
              <w:t xml:space="preserve"> </w:t>
            </w:r>
            <w:r w:rsidR="00C003CE" w:rsidRPr="00DC66CD">
              <w:rPr>
                <w:rFonts w:eastAsia="Times New Roman"/>
                <w:b/>
                <w:bCs/>
                <w:sz w:val="16"/>
                <w:szCs w:val="16"/>
              </w:rPr>
              <w:t xml:space="preserve">I. Stoku i </w:t>
            </w:r>
            <w:r w:rsidR="00DC6D23" w:rsidRPr="00DC66CD">
              <w:rPr>
                <w:rFonts w:eastAsia="Times New Roman"/>
                <w:b/>
                <w:bCs/>
                <w:sz w:val="16"/>
                <w:szCs w:val="16"/>
              </w:rPr>
              <w:t>borxhit të brendshëm</w:t>
            </w:r>
          </w:p>
        </w:tc>
        <w:tc>
          <w:tcPr>
            <w:tcW w:w="1324" w:type="dxa"/>
            <w:tcBorders>
              <w:top w:val="nil"/>
              <w:left w:val="nil"/>
              <w:bottom w:val="nil"/>
              <w:right w:val="nil"/>
            </w:tcBorders>
            <w:shd w:val="clear" w:color="000000" w:fill="FFFFFF"/>
            <w:noWrap/>
            <w:vAlign w:val="center"/>
            <w:hideMark/>
          </w:tcPr>
          <w:p w14:paraId="01EE634B"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551,375.0</w:t>
            </w:r>
          </w:p>
        </w:tc>
        <w:tc>
          <w:tcPr>
            <w:tcW w:w="1236" w:type="dxa"/>
            <w:tcBorders>
              <w:top w:val="nil"/>
              <w:left w:val="nil"/>
              <w:bottom w:val="nil"/>
              <w:right w:val="nil"/>
            </w:tcBorders>
            <w:shd w:val="clear" w:color="000000" w:fill="FFFFFF"/>
            <w:noWrap/>
            <w:vAlign w:val="center"/>
            <w:hideMark/>
          </w:tcPr>
          <w:p w14:paraId="3163E82C"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561,120.0</w:t>
            </w:r>
          </w:p>
        </w:tc>
        <w:tc>
          <w:tcPr>
            <w:tcW w:w="1324" w:type="dxa"/>
            <w:tcBorders>
              <w:top w:val="nil"/>
              <w:left w:val="nil"/>
              <w:bottom w:val="nil"/>
              <w:right w:val="nil"/>
            </w:tcBorders>
            <w:shd w:val="clear" w:color="000000" w:fill="FFFFFF"/>
            <w:noWrap/>
            <w:vAlign w:val="center"/>
            <w:hideMark/>
          </w:tcPr>
          <w:p w14:paraId="60CEB51B"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577,055.7</w:t>
            </w:r>
          </w:p>
        </w:tc>
        <w:tc>
          <w:tcPr>
            <w:tcW w:w="1236" w:type="dxa"/>
            <w:tcBorders>
              <w:top w:val="nil"/>
              <w:left w:val="nil"/>
              <w:bottom w:val="nil"/>
              <w:right w:val="nil"/>
            </w:tcBorders>
            <w:shd w:val="clear" w:color="000000" w:fill="FFFFFF"/>
            <w:noWrap/>
            <w:vAlign w:val="center"/>
            <w:hideMark/>
          </w:tcPr>
          <w:p w14:paraId="7506A479"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580,310.3</w:t>
            </w:r>
          </w:p>
        </w:tc>
        <w:tc>
          <w:tcPr>
            <w:tcW w:w="1178" w:type="dxa"/>
            <w:tcBorders>
              <w:top w:val="nil"/>
              <w:left w:val="nil"/>
              <w:bottom w:val="nil"/>
              <w:right w:val="nil"/>
            </w:tcBorders>
            <w:shd w:val="clear" w:color="000000" w:fill="FFFFFF"/>
            <w:noWrap/>
            <w:vAlign w:val="center"/>
            <w:hideMark/>
          </w:tcPr>
          <w:p w14:paraId="1AE0A3BB"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589,870.5</w:t>
            </w:r>
          </w:p>
        </w:tc>
      </w:tr>
      <w:tr w:rsidR="00C003CE" w:rsidRPr="00DC66CD" w14:paraId="1C1BC6DF" w14:textId="77777777" w:rsidTr="00DC6D23">
        <w:trPr>
          <w:trHeight w:val="267"/>
          <w:jc w:val="center"/>
        </w:trPr>
        <w:tc>
          <w:tcPr>
            <w:tcW w:w="3092" w:type="dxa"/>
            <w:tcBorders>
              <w:top w:val="nil"/>
              <w:left w:val="nil"/>
              <w:bottom w:val="nil"/>
              <w:right w:val="nil"/>
            </w:tcBorders>
            <w:shd w:val="clear" w:color="000000" w:fill="FFFFFF"/>
            <w:noWrap/>
            <w:vAlign w:val="center"/>
            <w:hideMark/>
          </w:tcPr>
          <w:p w14:paraId="14AFF6D6" w14:textId="183CA41F" w:rsidR="00C003CE" w:rsidRPr="00DC66CD" w:rsidRDefault="0072211B" w:rsidP="00C003CE">
            <w:pPr>
              <w:pStyle w:val="TEKSTIIII"/>
              <w:ind w:firstLine="0"/>
              <w:rPr>
                <w:rFonts w:eastAsia="Times New Roman"/>
                <w:sz w:val="16"/>
                <w:szCs w:val="16"/>
              </w:rPr>
            </w:pPr>
            <w:r w:rsidRPr="00DC66CD">
              <w:rPr>
                <w:rFonts w:eastAsia="Times New Roman"/>
                <w:sz w:val="16"/>
                <w:szCs w:val="16"/>
              </w:rPr>
              <w:t xml:space="preserve"> </w:t>
            </w:r>
            <w:r w:rsidR="00C003CE" w:rsidRPr="00DC66CD">
              <w:rPr>
                <w:rFonts w:eastAsia="Times New Roman"/>
                <w:sz w:val="16"/>
                <w:szCs w:val="16"/>
              </w:rPr>
              <w:t>Shtetëror</w:t>
            </w:r>
          </w:p>
        </w:tc>
        <w:tc>
          <w:tcPr>
            <w:tcW w:w="1324" w:type="dxa"/>
            <w:tcBorders>
              <w:top w:val="nil"/>
              <w:left w:val="nil"/>
              <w:bottom w:val="nil"/>
              <w:right w:val="nil"/>
            </w:tcBorders>
            <w:shd w:val="clear" w:color="000000" w:fill="FFFFFF"/>
            <w:noWrap/>
            <w:vAlign w:val="center"/>
            <w:hideMark/>
          </w:tcPr>
          <w:p w14:paraId="3D9D2A69"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520,936.0</w:t>
            </w:r>
          </w:p>
        </w:tc>
        <w:tc>
          <w:tcPr>
            <w:tcW w:w="1236" w:type="dxa"/>
            <w:tcBorders>
              <w:top w:val="nil"/>
              <w:left w:val="nil"/>
              <w:bottom w:val="nil"/>
              <w:right w:val="nil"/>
            </w:tcBorders>
            <w:shd w:val="clear" w:color="000000" w:fill="FFFFFF"/>
            <w:noWrap/>
            <w:vAlign w:val="center"/>
            <w:hideMark/>
          </w:tcPr>
          <w:p w14:paraId="5170E099"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530,834.0</w:t>
            </w:r>
          </w:p>
        </w:tc>
        <w:tc>
          <w:tcPr>
            <w:tcW w:w="1324" w:type="dxa"/>
            <w:tcBorders>
              <w:top w:val="nil"/>
              <w:left w:val="nil"/>
              <w:bottom w:val="nil"/>
              <w:right w:val="nil"/>
            </w:tcBorders>
            <w:shd w:val="clear" w:color="000000" w:fill="FFFFFF"/>
            <w:noWrap/>
            <w:vAlign w:val="center"/>
            <w:hideMark/>
          </w:tcPr>
          <w:p w14:paraId="72654158"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546,938.7</w:t>
            </w:r>
          </w:p>
        </w:tc>
        <w:tc>
          <w:tcPr>
            <w:tcW w:w="1236" w:type="dxa"/>
            <w:tcBorders>
              <w:top w:val="nil"/>
              <w:left w:val="nil"/>
              <w:bottom w:val="nil"/>
              <w:right w:val="nil"/>
            </w:tcBorders>
            <w:shd w:val="clear" w:color="000000" w:fill="FFFFFF"/>
            <w:noWrap/>
            <w:vAlign w:val="center"/>
            <w:hideMark/>
          </w:tcPr>
          <w:p w14:paraId="3188BF29"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565,092.5</w:t>
            </w:r>
          </w:p>
        </w:tc>
        <w:tc>
          <w:tcPr>
            <w:tcW w:w="1178" w:type="dxa"/>
            <w:tcBorders>
              <w:top w:val="nil"/>
              <w:left w:val="nil"/>
              <w:bottom w:val="nil"/>
              <w:right w:val="nil"/>
            </w:tcBorders>
            <w:shd w:val="clear" w:color="000000" w:fill="FFFFFF"/>
            <w:noWrap/>
            <w:vAlign w:val="center"/>
            <w:hideMark/>
          </w:tcPr>
          <w:p w14:paraId="661A5AD7"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574,703.0</w:t>
            </w:r>
          </w:p>
        </w:tc>
      </w:tr>
      <w:tr w:rsidR="00C003CE" w:rsidRPr="00DC66CD" w14:paraId="409F1A31" w14:textId="77777777" w:rsidTr="00DC6D23">
        <w:trPr>
          <w:trHeight w:val="267"/>
          <w:jc w:val="center"/>
        </w:trPr>
        <w:tc>
          <w:tcPr>
            <w:tcW w:w="3092" w:type="dxa"/>
            <w:tcBorders>
              <w:top w:val="nil"/>
              <w:left w:val="nil"/>
              <w:bottom w:val="nil"/>
              <w:right w:val="nil"/>
            </w:tcBorders>
            <w:shd w:val="clear" w:color="000000" w:fill="FFFFFF"/>
            <w:noWrap/>
            <w:vAlign w:val="center"/>
            <w:hideMark/>
          </w:tcPr>
          <w:p w14:paraId="70A9078A" w14:textId="2FAF185F" w:rsidR="00C003CE" w:rsidRPr="00DC66CD" w:rsidRDefault="0072211B" w:rsidP="00C003CE">
            <w:pPr>
              <w:pStyle w:val="TEKSTIIII"/>
              <w:ind w:firstLine="0"/>
              <w:rPr>
                <w:rFonts w:eastAsia="Times New Roman"/>
                <w:sz w:val="16"/>
                <w:szCs w:val="16"/>
              </w:rPr>
            </w:pPr>
            <w:r w:rsidRPr="00DC66CD">
              <w:rPr>
                <w:rFonts w:eastAsia="Times New Roman"/>
                <w:sz w:val="16"/>
                <w:szCs w:val="16"/>
              </w:rPr>
              <w:t xml:space="preserve"> </w:t>
            </w:r>
            <w:r w:rsidR="00C003CE" w:rsidRPr="00DC66CD">
              <w:rPr>
                <w:rFonts w:eastAsia="Times New Roman"/>
                <w:sz w:val="16"/>
                <w:szCs w:val="16"/>
              </w:rPr>
              <w:t>Garanci</w:t>
            </w:r>
          </w:p>
        </w:tc>
        <w:tc>
          <w:tcPr>
            <w:tcW w:w="1324" w:type="dxa"/>
            <w:tcBorders>
              <w:top w:val="nil"/>
              <w:left w:val="nil"/>
              <w:bottom w:val="nil"/>
              <w:right w:val="nil"/>
            </w:tcBorders>
            <w:shd w:val="clear" w:color="000000" w:fill="FFFFFF"/>
            <w:noWrap/>
            <w:vAlign w:val="center"/>
            <w:hideMark/>
          </w:tcPr>
          <w:p w14:paraId="1F93319F"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30,439.0</w:t>
            </w:r>
          </w:p>
        </w:tc>
        <w:tc>
          <w:tcPr>
            <w:tcW w:w="1236" w:type="dxa"/>
            <w:tcBorders>
              <w:top w:val="nil"/>
              <w:left w:val="nil"/>
              <w:bottom w:val="nil"/>
              <w:right w:val="nil"/>
            </w:tcBorders>
            <w:shd w:val="clear" w:color="000000" w:fill="FFFFFF"/>
            <w:noWrap/>
            <w:vAlign w:val="center"/>
            <w:hideMark/>
          </w:tcPr>
          <w:p w14:paraId="6CE3573B"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30,286.0</w:t>
            </w:r>
          </w:p>
        </w:tc>
        <w:tc>
          <w:tcPr>
            <w:tcW w:w="1324" w:type="dxa"/>
            <w:tcBorders>
              <w:top w:val="nil"/>
              <w:left w:val="nil"/>
              <w:bottom w:val="nil"/>
              <w:right w:val="nil"/>
            </w:tcBorders>
            <w:shd w:val="clear" w:color="000000" w:fill="FFFFFF"/>
            <w:noWrap/>
            <w:vAlign w:val="center"/>
            <w:hideMark/>
          </w:tcPr>
          <w:p w14:paraId="689674A8"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30,117.0</w:t>
            </w:r>
          </w:p>
        </w:tc>
        <w:tc>
          <w:tcPr>
            <w:tcW w:w="1236" w:type="dxa"/>
            <w:tcBorders>
              <w:top w:val="nil"/>
              <w:left w:val="nil"/>
              <w:bottom w:val="nil"/>
              <w:right w:val="nil"/>
            </w:tcBorders>
            <w:shd w:val="clear" w:color="000000" w:fill="FFFFFF"/>
            <w:noWrap/>
            <w:vAlign w:val="center"/>
            <w:hideMark/>
          </w:tcPr>
          <w:p w14:paraId="6F06458B"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15,217.8</w:t>
            </w:r>
          </w:p>
        </w:tc>
        <w:tc>
          <w:tcPr>
            <w:tcW w:w="1178" w:type="dxa"/>
            <w:tcBorders>
              <w:top w:val="nil"/>
              <w:left w:val="nil"/>
              <w:bottom w:val="nil"/>
              <w:right w:val="nil"/>
            </w:tcBorders>
            <w:shd w:val="clear" w:color="000000" w:fill="FFFFFF"/>
            <w:noWrap/>
            <w:vAlign w:val="center"/>
            <w:hideMark/>
          </w:tcPr>
          <w:p w14:paraId="5EA6D0A4"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15,167.5</w:t>
            </w:r>
          </w:p>
        </w:tc>
      </w:tr>
      <w:tr w:rsidR="00C003CE" w:rsidRPr="00DC66CD" w14:paraId="27325EBB" w14:textId="77777777" w:rsidTr="00DC6D23">
        <w:trPr>
          <w:trHeight w:val="267"/>
          <w:jc w:val="center"/>
        </w:trPr>
        <w:tc>
          <w:tcPr>
            <w:tcW w:w="3092" w:type="dxa"/>
            <w:tcBorders>
              <w:top w:val="nil"/>
              <w:left w:val="nil"/>
              <w:bottom w:val="nil"/>
              <w:right w:val="nil"/>
            </w:tcBorders>
            <w:shd w:val="clear" w:color="000000" w:fill="FFFFFF"/>
            <w:noWrap/>
            <w:vAlign w:val="center"/>
            <w:hideMark/>
          </w:tcPr>
          <w:p w14:paraId="32BC91E2" w14:textId="3E57738E" w:rsidR="00C003CE" w:rsidRPr="00DC66CD" w:rsidRDefault="00C003CE" w:rsidP="00C003CE">
            <w:pPr>
              <w:pStyle w:val="TEKSTIIII"/>
              <w:ind w:firstLine="0"/>
              <w:rPr>
                <w:rFonts w:eastAsia="Times New Roman"/>
                <w:b/>
                <w:bCs/>
                <w:sz w:val="16"/>
                <w:szCs w:val="16"/>
              </w:rPr>
            </w:pPr>
            <w:r w:rsidRPr="00DC66CD">
              <w:rPr>
                <w:rFonts w:eastAsia="Times New Roman"/>
                <w:b/>
                <w:bCs/>
                <w:sz w:val="16"/>
                <w:szCs w:val="16"/>
              </w:rPr>
              <w:t xml:space="preserve">II. Stoku i </w:t>
            </w:r>
            <w:r w:rsidR="00DC6D23" w:rsidRPr="00DC66CD">
              <w:rPr>
                <w:rFonts w:eastAsia="Times New Roman"/>
                <w:b/>
                <w:bCs/>
                <w:sz w:val="16"/>
                <w:szCs w:val="16"/>
              </w:rPr>
              <w:t>borxhit të jashtëm</w:t>
            </w:r>
          </w:p>
        </w:tc>
        <w:tc>
          <w:tcPr>
            <w:tcW w:w="1324" w:type="dxa"/>
            <w:tcBorders>
              <w:top w:val="nil"/>
              <w:left w:val="nil"/>
              <w:bottom w:val="nil"/>
              <w:right w:val="nil"/>
            </w:tcBorders>
            <w:shd w:val="clear" w:color="000000" w:fill="FFFFFF"/>
            <w:noWrap/>
            <w:vAlign w:val="center"/>
            <w:hideMark/>
          </w:tcPr>
          <w:p w14:paraId="07355AE7"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490,897.0</w:t>
            </w:r>
          </w:p>
        </w:tc>
        <w:tc>
          <w:tcPr>
            <w:tcW w:w="1236" w:type="dxa"/>
            <w:tcBorders>
              <w:top w:val="nil"/>
              <w:left w:val="nil"/>
              <w:bottom w:val="nil"/>
              <w:right w:val="nil"/>
            </w:tcBorders>
            <w:shd w:val="clear" w:color="000000" w:fill="FFFFFF"/>
            <w:noWrap/>
            <w:vAlign w:val="center"/>
            <w:hideMark/>
          </w:tcPr>
          <w:p w14:paraId="24ED148E"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504,589.0</w:t>
            </w:r>
          </w:p>
        </w:tc>
        <w:tc>
          <w:tcPr>
            <w:tcW w:w="1324" w:type="dxa"/>
            <w:tcBorders>
              <w:top w:val="nil"/>
              <w:left w:val="nil"/>
              <w:bottom w:val="nil"/>
              <w:right w:val="nil"/>
            </w:tcBorders>
            <w:shd w:val="clear" w:color="000000" w:fill="FFFFFF"/>
            <w:noWrap/>
            <w:vAlign w:val="center"/>
            <w:hideMark/>
          </w:tcPr>
          <w:p w14:paraId="363A4DC0"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510,286.2</w:t>
            </w:r>
          </w:p>
        </w:tc>
        <w:tc>
          <w:tcPr>
            <w:tcW w:w="1236" w:type="dxa"/>
            <w:tcBorders>
              <w:top w:val="nil"/>
              <w:left w:val="nil"/>
              <w:bottom w:val="nil"/>
              <w:right w:val="nil"/>
            </w:tcBorders>
            <w:shd w:val="clear" w:color="000000" w:fill="FFFFFF"/>
            <w:noWrap/>
            <w:vAlign w:val="center"/>
            <w:hideMark/>
          </w:tcPr>
          <w:p w14:paraId="75C58122"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526,258.5</w:t>
            </w:r>
          </w:p>
        </w:tc>
        <w:tc>
          <w:tcPr>
            <w:tcW w:w="1178" w:type="dxa"/>
            <w:tcBorders>
              <w:top w:val="nil"/>
              <w:left w:val="nil"/>
              <w:bottom w:val="nil"/>
              <w:right w:val="nil"/>
            </w:tcBorders>
            <w:shd w:val="clear" w:color="000000" w:fill="FFFFFF"/>
            <w:noWrap/>
            <w:vAlign w:val="center"/>
            <w:hideMark/>
          </w:tcPr>
          <w:p w14:paraId="34F7F302"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520,023.1</w:t>
            </w:r>
          </w:p>
        </w:tc>
      </w:tr>
      <w:tr w:rsidR="00C003CE" w:rsidRPr="00DC66CD" w14:paraId="14432A9B" w14:textId="77777777" w:rsidTr="00DC6D23">
        <w:trPr>
          <w:trHeight w:val="267"/>
          <w:jc w:val="center"/>
        </w:trPr>
        <w:tc>
          <w:tcPr>
            <w:tcW w:w="3092" w:type="dxa"/>
            <w:tcBorders>
              <w:top w:val="nil"/>
              <w:left w:val="nil"/>
              <w:bottom w:val="nil"/>
              <w:right w:val="nil"/>
            </w:tcBorders>
            <w:shd w:val="clear" w:color="000000" w:fill="FFFFFF"/>
            <w:noWrap/>
            <w:vAlign w:val="center"/>
            <w:hideMark/>
          </w:tcPr>
          <w:p w14:paraId="5268FEF4" w14:textId="153951F3" w:rsidR="00C003CE" w:rsidRPr="00DC66CD" w:rsidRDefault="0072211B" w:rsidP="00C003CE">
            <w:pPr>
              <w:pStyle w:val="TEKSTIIII"/>
              <w:ind w:firstLine="0"/>
              <w:rPr>
                <w:rFonts w:eastAsia="Times New Roman"/>
                <w:sz w:val="16"/>
                <w:szCs w:val="16"/>
              </w:rPr>
            </w:pPr>
            <w:r w:rsidRPr="00DC66CD">
              <w:rPr>
                <w:rFonts w:eastAsia="Times New Roman"/>
                <w:sz w:val="16"/>
                <w:szCs w:val="16"/>
              </w:rPr>
              <w:t xml:space="preserve"> </w:t>
            </w:r>
            <w:r w:rsidR="00C003CE" w:rsidRPr="00DC66CD">
              <w:rPr>
                <w:rFonts w:eastAsia="Times New Roman"/>
                <w:sz w:val="16"/>
                <w:szCs w:val="16"/>
              </w:rPr>
              <w:t>Shtetëror</w:t>
            </w:r>
          </w:p>
        </w:tc>
        <w:tc>
          <w:tcPr>
            <w:tcW w:w="1324" w:type="dxa"/>
            <w:tcBorders>
              <w:top w:val="nil"/>
              <w:left w:val="nil"/>
              <w:bottom w:val="nil"/>
              <w:right w:val="nil"/>
            </w:tcBorders>
            <w:shd w:val="clear" w:color="000000" w:fill="FFFFFF"/>
            <w:noWrap/>
            <w:vAlign w:val="center"/>
            <w:hideMark/>
          </w:tcPr>
          <w:p w14:paraId="2109BA5F"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465,306.0</w:t>
            </w:r>
          </w:p>
        </w:tc>
        <w:tc>
          <w:tcPr>
            <w:tcW w:w="1236" w:type="dxa"/>
            <w:tcBorders>
              <w:top w:val="nil"/>
              <w:left w:val="nil"/>
              <w:bottom w:val="nil"/>
              <w:right w:val="nil"/>
            </w:tcBorders>
            <w:shd w:val="clear" w:color="000000" w:fill="FFFFFF"/>
            <w:noWrap/>
            <w:vAlign w:val="center"/>
            <w:hideMark/>
          </w:tcPr>
          <w:p w14:paraId="0D3F9F4A"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481,407.0</w:t>
            </w:r>
          </w:p>
        </w:tc>
        <w:tc>
          <w:tcPr>
            <w:tcW w:w="1324" w:type="dxa"/>
            <w:tcBorders>
              <w:top w:val="nil"/>
              <w:left w:val="nil"/>
              <w:bottom w:val="nil"/>
              <w:right w:val="nil"/>
            </w:tcBorders>
            <w:shd w:val="clear" w:color="000000" w:fill="FFFFFF"/>
            <w:noWrap/>
            <w:vAlign w:val="center"/>
            <w:hideMark/>
          </w:tcPr>
          <w:p w14:paraId="5CCE8604"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490,517.9</w:t>
            </w:r>
          </w:p>
        </w:tc>
        <w:tc>
          <w:tcPr>
            <w:tcW w:w="1236" w:type="dxa"/>
            <w:tcBorders>
              <w:top w:val="nil"/>
              <w:left w:val="nil"/>
              <w:bottom w:val="nil"/>
              <w:right w:val="nil"/>
            </w:tcBorders>
            <w:shd w:val="clear" w:color="000000" w:fill="FFFFFF"/>
            <w:noWrap/>
            <w:vAlign w:val="center"/>
            <w:hideMark/>
          </w:tcPr>
          <w:p w14:paraId="79F820C4"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496,804.2</w:t>
            </w:r>
          </w:p>
        </w:tc>
        <w:tc>
          <w:tcPr>
            <w:tcW w:w="1178" w:type="dxa"/>
            <w:tcBorders>
              <w:top w:val="nil"/>
              <w:left w:val="nil"/>
              <w:bottom w:val="nil"/>
              <w:right w:val="nil"/>
            </w:tcBorders>
            <w:shd w:val="clear" w:color="000000" w:fill="FFFFFF"/>
            <w:noWrap/>
            <w:vAlign w:val="center"/>
            <w:hideMark/>
          </w:tcPr>
          <w:p w14:paraId="3F0DECD3"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492,066.2</w:t>
            </w:r>
          </w:p>
        </w:tc>
      </w:tr>
      <w:tr w:rsidR="00C003CE" w:rsidRPr="00DC66CD" w14:paraId="00320B44" w14:textId="77777777" w:rsidTr="00DC6D23">
        <w:trPr>
          <w:trHeight w:val="267"/>
          <w:jc w:val="center"/>
        </w:trPr>
        <w:tc>
          <w:tcPr>
            <w:tcW w:w="3092" w:type="dxa"/>
            <w:tcBorders>
              <w:top w:val="nil"/>
              <w:left w:val="nil"/>
              <w:bottom w:val="nil"/>
              <w:right w:val="nil"/>
            </w:tcBorders>
            <w:shd w:val="clear" w:color="000000" w:fill="FFFFFF"/>
            <w:noWrap/>
            <w:vAlign w:val="center"/>
            <w:hideMark/>
          </w:tcPr>
          <w:p w14:paraId="6FC62884" w14:textId="31A98DF0" w:rsidR="00C003CE" w:rsidRPr="00DC66CD" w:rsidRDefault="0072211B" w:rsidP="00C003CE">
            <w:pPr>
              <w:pStyle w:val="TEKSTIIII"/>
              <w:ind w:firstLine="0"/>
              <w:rPr>
                <w:rFonts w:eastAsia="Times New Roman"/>
                <w:sz w:val="16"/>
                <w:szCs w:val="16"/>
              </w:rPr>
            </w:pPr>
            <w:r w:rsidRPr="00DC66CD">
              <w:rPr>
                <w:rFonts w:eastAsia="Times New Roman"/>
                <w:sz w:val="16"/>
                <w:szCs w:val="16"/>
              </w:rPr>
              <w:t xml:space="preserve"> </w:t>
            </w:r>
            <w:r w:rsidR="00C003CE" w:rsidRPr="00DC66CD">
              <w:rPr>
                <w:rFonts w:eastAsia="Times New Roman"/>
                <w:sz w:val="16"/>
                <w:szCs w:val="16"/>
              </w:rPr>
              <w:t>Garanci</w:t>
            </w:r>
          </w:p>
        </w:tc>
        <w:tc>
          <w:tcPr>
            <w:tcW w:w="1324" w:type="dxa"/>
            <w:tcBorders>
              <w:top w:val="nil"/>
              <w:left w:val="nil"/>
              <w:bottom w:val="nil"/>
              <w:right w:val="nil"/>
            </w:tcBorders>
            <w:shd w:val="clear" w:color="000000" w:fill="FFFFFF"/>
            <w:noWrap/>
            <w:vAlign w:val="center"/>
            <w:hideMark/>
          </w:tcPr>
          <w:p w14:paraId="200D303D"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25,591.0</w:t>
            </w:r>
          </w:p>
        </w:tc>
        <w:tc>
          <w:tcPr>
            <w:tcW w:w="1236" w:type="dxa"/>
            <w:tcBorders>
              <w:top w:val="nil"/>
              <w:left w:val="nil"/>
              <w:bottom w:val="nil"/>
              <w:right w:val="nil"/>
            </w:tcBorders>
            <w:shd w:val="clear" w:color="000000" w:fill="FFFFFF"/>
            <w:noWrap/>
            <w:vAlign w:val="center"/>
            <w:hideMark/>
          </w:tcPr>
          <w:p w14:paraId="3500575F"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23,182.0</w:t>
            </w:r>
          </w:p>
        </w:tc>
        <w:tc>
          <w:tcPr>
            <w:tcW w:w="1324" w:type="dxa"/>
            <w:tcBorders>
              <w:top w:val="nil"/>
              <w:left w:val="nil"/>
              <w:bottom w:val="nil"/>
              <w:right w:val="nil"/>
            </w:tcBorders>
            <w:shd w:val="clear" w:color="000000" w:fill="FFFFFF"/>
            <w:noWrap/>
            <w:vAlign w:val="center"/>
            <w:hideMark/>
          </w:tcPr>
          <w:p w14:paraId="6924AEBA"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19,768.2</w:t>
            </w:r>
          </w:p>
        </w:tc>
        <w:tc>
          <w:tcPr>
            <w:tcW w:w="1236" w:type="dxa"/>
            <w:tcBorders>
              <w:top w:val="nil"/>
              <w:left w:val="nil"/>
              <w:bottom w:val="nil"/>
              <w:right w:val="nil"/>
            </w:tcBorders>
            <w:shd w:val="clear" w:color="000000" w:fill="FFFFFF"/>
            <w:noWrap/>
            <w:vAlign w:val="center"/>
            <w:hideMark/>
          </w:tcPr>
          <w:p w14:paraId="3F4FFFE5"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29,454.3</w:t>
            </w:r>
          </w:p>
        </w:tc>
        <w:tc>
          <w:tcPr>
            <w:tcW w:w="1178" w:type="dxa"/>
            <w:tcBorders>
              <w:top w:val="nil"/>
              <w:left w:val="nil"/>
              <w:bottom w:val="nil"/>
              <w:right w:val="nil"/>
            </w:tcBorders>
            <w:shd w:val="clear" w:color="000000" w:fill="FFFFFF"/>
            <w:noWrap/>
            <w:vAlign w:val="center"/>
            <w:hideMark/>
          </w:tcPr>
          <w:p w14:paraId="7B18C45D"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27,956.9</w:t>
            </w:r>
          </w:p>
        </w:tc>
      </w:tr>
      <w:tr w:rsidR="00C003CE" w:rsidRPr="00DC66CD" w14:paraId="0C29928A" w14:textId="77777777" w:rsidTr="00DC6D23">
        <w:trPr>
          <w:trHeight w:val="267"/>
          <w:jc w:val="center"/>
        </w:trPr>
        <w:tc>
          <w:tcPr>
            <w:tcW w:w="3092" w:type="dxa"/>
            <w:tcBorders>
              <w:top w:val="nil"/>
              <w:left w:val="nil"/>
              <w:bottom w:val="single" w:sz="4" w:space="0" w:color="auto"/>
              <w:right w:val="nil"/>
            </w:tcBorders>
            <w:shd w:val="clear" w:color="000000" w:fill="FFFFFF"/>
            <w:noWrap/>
            <w:vAlign w:val="center"/>
            <w:hideMark/>
          </w:tcPr>
          <w:p w14:paraId="1AE6DD56" w14:textId="77777777" w:rsidR="00C003CE" w:rsidRPr="00DC66CD" w:rsidRDefault="00C003CE" w:rsidP="00C003CE">
            <w:pPr>
              <w:pStyle w:val="TEKSTIIII"/>
              <w:ind w:firstLine="0"/>
              <w:rPr>
                <w:rFonts w:eastAsia="Times New Roman"/>
                <w:b/>
                <w:bCs/>
                <w:sz w:val="16"/>
                <w:szCs w:val="16"/>
              </w:rPr>
            </w:pPr>
            <w:r w:rsidRPr="00DC66CD">
              <w:rPr>
                <w:rFonts w:eastAsia="Times New Roman"/>
                <w:b/>
                <w:bCs/>
                <w:sz w:val="16"/>
                <w:szCs w:val="16"/>
              </w:rPr>
              <w:t>PBB</w:t>
            </w:r>
          </w:p>
        </w:tc>
        <w:tc>
          <w:tcPr>
            <w:tcW w:w="1324" w:type="dxa"/>
            <w:tcBorders>
              <w:top w:val="nil"/>
              <w:left w:val="nil"/>
              <w:bottom w:val="single" w:sz="4" w:space="0" w:color="auto"/>
              <w:right w:val="nil"/>
            </w:tcBorders>
            <w:shd w:val="clear" w:color="000000" w:fill="FFFFFF"/>
            <w:noWrap/>
            <w:vAlign w:val="center"/>
            <w:hideMark/>
          </w:tcPr>
          <w:p w14:paraId="25C5F779"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1,434,308.0</w:t>
            </w:r>
          </w:p>
        </w:tc>
        <w:tc>
          <w:tcPr>
            <w:tcW w:w="1236" w:type="dxa"/>
            <w:tcBorders>
              <w:top w:val="nil"/>
              <w:left w:val="nil"/>
              <w:bottom w:val="single" w:sz="4" w:space="0" w:color="auto"/>
              <w:right w:val="nil"/>
            </w:tcBorders>
            <w:shd w:val="clear" w:color="000000" w:fill="FFFFFF"/>
            <w:noWrap/>
            <w:vAlign w:val="center"/>
            <w:hideMark/>
          </w:tcPr>
          <w:p w14:paraId="36B3ACE8"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1,472,479.6</w:t>
            </w:r>
          </w:p>
        </w:tc>
        <w:tc>
          <w:tcPr>
            <w:tcW w:w="1324" w:type="dxa"/>
            <w:tcBorders>
              <w:top w:val="nil"/>
              <w:left w:val="nil"/>
              <w:bottom w:val="single" w:sz="4" w:space="0" w:color="auto"/>
              <w:right w:val="nil"/>
            </w:tcBorders>
            <w:shd w:val="clear" w:color="000000" w:fill="FFFFFF"/>
            <w:noWrap/>
            <w:vAlign w:val="center"/>
            <w:hideMark/>
          </w:tcPr>
          <w:p w14:paraId="25FD12DB"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1,551,281.4</w:t>
            </w:r>
          </w:p>
        </w:tc>
        <w:tc>
          <w:tcPr>
            <w:tcW w:w="1236" w:type="dxa"/>
            <w:tcBorders>
              <w:top w:val="nil"/>
              <w:left w:val="nil"/>
              <w:bottom w:val="single" w:sz="4" w:space="0" w:color="auto"/>
              <w:right w:val="nil"/>
            </w:tcBorders>
            <w:shd w:val="clear" w:color="000000" w:fill="FFFFFF"/>
            <w:noWrap/>
            <w:vAlign w:val="center"/>
            <w:hideMark/>
          </w:tcPr>
          <w:p w14:paraId="78C9157A"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1,630,904.8</w:t>
            </w:r>
          </w:p>
        </w:tc>
        <w:tc>
          <w:tcPr>
            <w:tcW w:w="1178" w:type="dxa"/>
            <w:tcBorders>
              <w:top w:val="nil"/>
              <w:left w:val="nil"/>
              <w:bottom w:val="single" w:sz="4" w:space="0" w:color="auto"/>
              <w:right w:val="nil"/>
            </w:tcBorders>
            <w:shd w:val="clear" w:color="000000" w:fill="FFFFFF"/>
            <w:noWrap/>
            <w:vAlign w:val="center"/>
            <w:hideMark/>
          </w:tcPr>
          <w:p w14:paraId="5549D2D2" w14:textId="77777777" w:rsidR="00C003CE" w:rsidRPr="00DC66CD" w:rsidRDefault="00C003CE" w:rsidP="00DC6D23">
            <w:pPr>
              <w:pStyle w:val="TEKSTIIII"/>
              <w:ind w:firstLine="0"/>
              <w:jc w:val="right"/>
              <w:rPr>
                <w:rFonts w:eastAsia="Times New Roman"/>
                <w:b/>
                <w:bCs/>
                <w:sz w:val="16"/>
                <w:szCs w:val="16"/>
              </w:rPr>
            </w:pPr>
            <w:r w:rsidRPr="00DC66CD">
              <w:rPr>
                <w:rFonts w:eastAsia="Times New Roman"/>
                <w:b/>
                <w:bCs/>
                <w:sz w:val="16"/>
                <w:szCs w:val="16"/>
              </w:rPr>
              <w:t>1,705,246.4</w:t>
            </w:r>
          </w:p>
        </w:tc>
      </w:tr>
      <w:tr w:rsidR="00C003CE" w:rsidRPr="00DC66CD" w14:paraId="0231B509" w14:textId="77777777" w:rsidTr="00DC6D23">
        <w:trPr>
          <w:trHeight w:val="267"/>
          <w:jc w:val="center"/>
        </w:trPr>
        <w:tc>
          <w:tcPr>
            <w:tcW w:w="3092" w:type="dxa"/>
            <w:tcBorders>
              <w:top w:val="nil"/>
              <w:left w:val="nil"/>
              <w:bottom w:val="nil"/>
              <w:right w:val="nil"/>
            </w:tcBorders>
            <w:shd w:val="clear" w:color="000000" w:fill="FFFFFF"/>
            <w:noWrap/>
            <w:vAlign w:val="center"/>
            <w:hideMark/>
          </w:tcPr>
          <w:p w14:paraId="31E78037" w14:textId="6837A25A" w:rsidR="00C003CE" w:rsidRPr="00DC66CD" w:rsidRDefault="00C003CE" w:rsidP="00C003CE">
            <w:pPr>
              <w:pStyle w:val="TEKSTIIII"/>
              <w:ind w:firstLine="0"/>
              <w:rPr>
                <w:rFonts w:eastAsia="Times New Roman"/>
                <w:sz w:val="16"/>
                <w:szCs w:val="16"/>
              </w:rPr>
            </w:pPr>
            <w:r w:rsidRPr="00DC66CD">
              <w:rPr>
                <w:rFonts w:eastAsia="Times New Roman"/>
                <w:sz w:val="16"/>
                <w:szCs w:val="16"/>
              </w:rPr>
              <w:t xml:space="preserve">Stoku i </w:t>
            </w:r>
            <w:r w:rsidR="00DC6D23" w:rsidRPr="00DC66CD">
              <w:rPr>
                <w:rFonts w:eastAsia="Times New Roman"/>
                <w:sz w:val="16"/>
                <w:szCs w:val="16"/>
              </w:rPr>
              <w:t xml:space="preserve">borxhit gjithsej </w:t>
            </w:r>
            <w:r w:rsidRPr="00DC66CD">
              <w:rPr>
                <w:rFonts w:eastAsia="Times New Roman"/>
                <w:sz w:val="16"/>
                <w:szCs w:val="16"/>
              </w:rPr>
              <w:t>/PBB</w:t>
            </w:r>
          </w:p>
        </w:tc>
        <w:tc>
          <w:tcPr>
            <w:tcW w:w="1324" w:type="dxa"/>
            <w:tcBorders>
              <w:top w:val="nil"/>
              <w:left w:val="nil"/>
              <w:bottom w:val="nil"/>
              <w:right w:val="nil"/>
            </w:tcBorders>
            <w:shd w:val="clear" w:color="000000" w:fill="FFFFFF"/>
            <w:noWrap/>
            <w:vAlign w:val="center"/>
            <w:hideMark/>
          </w:tcPr>
          <w:p w14:paraId="192E8DC8"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72.7%</w:t>
            </w:r>
          </w:p>
        </w:tc>
        <w:tc>
          <w:tcPr>
            <w:tcW w:w="1236" w:type="dxa"/>
            <w:tcBorders>
              <w:top w:val="nil"/>
              <w:left w:val="nil"/>
              <w:bottom w:val="nil"/>
              <w:right w:val="nil"/>
            </w:tcBorders>
            <w:shd w:val="clear" w:color="000000" w:fill="FFFFFF"/>
            <w:noWrap/>
            <w:vAlign w:val="center"/>
            <w:hideMark/>
          </w:tcPr>
          <w:p w14:paraId="2A01F64B"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72.4%</w:t>
            </w:r>
          </w:p>
        </w:tc>
        <w:tc>
          <w:tcPr>
            <w:tcW w:w="1324" w:type="dxa"/>
            <w:tcBorders>
              <w:top w:val="nil"/>
              <w:left w:val="nil"/>
              <w:bottom w:val="nil"/>
              <w:right w:val="nil"/>
            </w:tcBorders>
            <w:shd w:val="clear" w:color="000000" w:fill="FFFFFF"/>
            <w:noWrap/>
            <w:vAlign w:val="center"/>
            <w:hideMark/>
          </w:tcPr>
          <w:p w14:paraId="28525D69"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70.1%</w:t>
            </w:r>
          </w:p>
        </w:tc>
        <w:tc>
          <w:tcPr>
            <w:tcW w:w="1236" w:type="dxa"/>
            <w:tcBorders>
              <w:top w:val="nil"/>
              <w:left w:val="nil"/>
              <w:bottom w:val="nil"/>
              <w:right w:val="nil"/>
            </w:tcBorders>
            <w:shd w:val="clear" w:color="000000" w:fill="FFFFFF"/>
            <w:noWrap/>
            <w:vAlign w:val="center"/>
            <w:hideMark/>
          </w:tcPr>
          <w:p w14:paraId="7AD64787"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67.8%</w:t>
            </w:r>
          </w:p>
        </w:tc>
        <w:tc>
          <w:tcPr>
            <w:tcW w:w="1178" w:type="dxa"/>
            <w:tcBorders>
              <w:top w:val="nil"/>
              <w:left w:val="nil"/>
              <w:bottom w:val="nil"/>
              <w:right w:val="nil"/>
            </w:tcBorders>
            <w:shd w:val="clear" w:color="000000" w:fill="FFFFFF"/>
            <w:noWrap/>
            <w:vAlign w:val="center"/>
            <w:hideMark/>
          </w:tcPr>
          <w:p w14:paraId="098303B4"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65.1%</w:t>
            </w:r>
          </w:p>
        </w:tc>
      </w:tr>
      <w:tr w:rsidR="00C003CE" w:rsidRPr="00DC66CD" w14:paraId="48859854" w14:textId="77777777" w:rsidTr="00DC6D23">
        <w:trPr>
          <w:trHeight w:val="267"/>
          <w:jc w:val="center"/>
        </w:trPr>
        <w:tc>
          <w:tcPr>
            <w:tcW w:w="3092" w:type="dxa"/>
            <w:tcBorders>
              <w:top w:val="nil"/>
              <w:left w:val="nil"/>
              <w:bottom w:val="nil"/>
              <w:right w:val="nil"/>
            </w:tcBorders>
            <w:shd w:val="clear" w:color="000000" w:fill="FFFFFF"/>
            <w:noWrap/>
            <w:vAlign w:val="center"/>
            <w:hideMark/>
          </w:tcPr>
          <w:p w14:paraId="47FAC6ED" w14:textId="2B50B0BB" w:rsidR="00C003CE" w:rsidRPr="00DC66CD" w:rsidRDefault="00C003CE" w:rsidP="00C003CE">
            <w:pPr>
              <w:pStyle w:val="TEKSTIIII"/>
              <w:ind w:firstLine="0"/>
              <w:rPr>
                <w:rFonts w:eastAsia="Times New Roman"/>
                <w:sz w:val="16"/>
                <w:szCs w:val="16"/>
              </w:rPr>
            </w:pPr>
            <w:r w:rsidRPr="00DC66CD">
              <w:rPr>
                <w:rFonts w:eastAsia="Times New Roman"/>
                <w:sz w:val="16"/>
                <w:szCs w:val="16"/>
              </w:rPr>
              <w:t xml:space="preserve">Stoku i </w:t>
            </w:r>
            <w:r w:rsidR="00DC6D23" w:rsidRPr="00DC66CD">
              <w:rPr>
                <w:rFonts w:eastAsia="Times New Roman"/>
                <w:sz w:val="16"/>
                <w:szCs w:val="16"/>
              </w:rPr>
              <w:t>borxhit të brendshëm</w:t>
            </w:r>
            <w:r w:rsidRPr="00DC66CD">
              <w:rPr>
                <w:rFonts w:eastAsia="Times New Roman"/>
                <w:sz w:val="16"/>
                <w:szCs w:val="16"/>
              </w:rPr>
              <w:t>/PBB</w:t>
            </w:r>
          </w:p>
        </w:tc>
        <w:tc>
          <w:tcPr>
            <w:tcW w:w="1324" w:type="dxa"/>
            <w:tcBorders>
              <w:top w:val="nil"/>
              <w:left w:val="nil"/>
              <w:bottom w:val="nil"/>
              <w:right w:val="nil"/>
            </w:tcBorders>
            <w:shd w:val="clear" w:color="000000" w:fill="FFFFFF"/>
            <w:noWrap/>
            <w:vAlign w:val="center"/>
            <w:hideMark/>
          </w:tcPr>
          <w:p w14:paraId="7AAE55D4"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38.4%</w:t>
            </w:r>
          </w:p>
        </w:tc>
        <w:tc>
          <w:tcPr>
            <w:tcW w:w="1236" w:type="dxa"/>
            <w:tcBorders>
              <w:top w:val="nil"/>
              <w:left w:val="nil"/>
              <w:bottom w:val="nil"/>
              <w:right w:val="nil"/>
            </w:tcBorders>
            <w:shd w:val="clear" w:color="000000" w:fill="FFFFFF"/>
            <w:noWrap/>
            <w:vAlign w:val="center"/>
            <w:hideMark/>
          </w:tcPr>
          <w:p w14:paraId="0D1F8DCB"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38.1%</w:t>
            </w:r>
          </w:p>
        </w:tc>
        <w:tc>
          <w:tcPr>
            <w:tcW w:w="1324" w:type="dxa"/>
            <w:tcBorders>
              <w:top w:val="nil"/>
              <w:left w:val="nil"/>
              <w:bottom w:val="nil"/>
              <w:right w:val="nil"/>
            </w:tcBorders>
            <w:shd w:val="clear" w:color="000000" w:fill="FFFFFF"/>
            <w:noWrap/>
            <w:vAlign w:val="center"/>
            <w:hideMark/>
          </w:tcPr>
          <w:p w14:paraId="0E8F6E41"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37.2%</w:t>
            </w:r>
          </w:p>
        </w:tc>
        <w:tc>
          <w:tcPr>
            <w:tcW w:w="1236" w:type="dxa"/>
            <w:tcBorders>
              <w:top w:val="nil"/>
              <w:left w:val="nil"/>
              <w:bottom w:val="nil"/>
              <w:right w:val="nil"/>
            </w:tcBorders>
            <w:shd w:val="clear" w:color="000000" w:fill="FFFFFF"/>
            <w:noWrap/>
            <w:vAlign w:val="center"/>
            <w:hideMark/>
          </w:tcPr>
          <w:p w14:paraId="2F856E5C"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35.6%</w:t>
            </w:r>
          </w:p>
        </w:tc>
        <w:tc>
          <w:tcPr>
            <w:tcW w:w="1178" w:type="dxa"/>
            <w:tcBorders>
              <w:top w:val="nil"/>
              <w:left w:val="nil"/>
              <w:bottom w:val="nil"/>
              <w:right w:val="nil"/>
            </w:tcBorders>
            <w:shd w:val="clear" w:color="000000" w:fill="FFFFFF"/>
            <w:noWrap/>
            <w:vAlign w:val="center"/>
            <w:hideMark/>
          </w:tcPr>
          <w:p w14:paraId="2CE7827C"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34.6%</w:t>
            </w:r>
          </w:p>
        </w:tc>
      </w:tr>
      <w:tr w:rsidR="00C003CE" w:rsidRPr="00DC66CD" w14:paraId="0BFCCD06" w14:textId="77777777" w:rsidTr="00DC6D23">
        <w:trPr>
          <w:trHeight w:val="267"/>
          <w:jc w:val="center"/>
        </w:trPr>
        <w:tc>
          <w:tcPr>
            <w:tcW w:w="3092" w:type="dxa"/>
            <w:tcBorders>
              <w:top w:val="nil"/>
              <w:left w:val="nil"/>
              <w:bottom w:val="single" w:sz="4" w:space="0" w:color="auto"/>
              <w:right w:val="nil"/>
            </w:tcBorders>
            <w:shd w:val="clear" w:color="000000" w:fill="FFFFFF"/>
            <w:noWrap/>
            <w:vAlign w:val="center"/>
            <w:hideMark/>
          </w:tcPr>
          <w:p w14:paraId="48319AB8" w14:textId="2B0561F6" w:rsidR="00C003CE" w:rsidRPr="00DC66CD" w:rsidRDefault="00C003CE" w:rsidP="00C003CE">
            <w:pPr>
              <w:pStyle w:val="TEKSTIIII"/>
              <w:ind w:firstLine="0"/>
              <w:rPr>
                <w:rFonts w:eastAsia="Times New Roman"/>
                <w:sz w:val="16"/>
                <w:szCs w:val="16"/>
              </w:rPr>
            </w:pPr>
            <w:r w:rsidRPr="00DC66CD">
              <w:rPr>
                <w:rFonts w:eastAsia="Times New Roman"/>
                <w:sz w:val="16"/>
                <w:szCs w:val="16"/>
              </w:rPr>
              <w:t xml:space="preserve">Stoku i </w:t>
            </w:r>
            <w:r w:rsidR="00DC6D23" w:rsidRPr="00DC66CD">
              <w:rPr>
                <w:rFonts w:eastAsia="Times New Roman"/>
                <w:sz w:val="16"/>
                <w:szCs w:val="16"/>
              </w:rPr>
              <w:t>borxhit të jashtëm</w:t>
            </w:r>
            <w:r w:rsidRPr="00DC66CD">
              <w:rPr>
                <w:rFonts w:eastAsia="Times New Roman"/>
                <w:sz w:val="16"/>
                <w:szCs w:val="16"/>
              </w:rPr>
              <w:t>/PBB</w:t>
            </w:r>
          </w:p>
        </w:tc>
        <w:tc>
          <w:tcPr>
            <w:tcW w:w="1324" w:type="dxa"/>
            <w:tcBorders>
              <w:top w:val="nil"/>
              <w:left w:val="nil"/>
              <w:bottom w:val="single" w:sz="4" w:space="0" w:color="auto"/>
              <w:right w:val="nil"/>
            </w:tcBorders>
            <w:shd w:val="clear" w:color="000000" w:fill="FFFFFF"/>
            <w:noWrap/>
            <w:vAlign w:val="center"/>
            <w:hideMark/>
          </w:tcPr>
          <w:p w14:paraId="32095445"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34.2%</w:t>
            </w:r>
          </w:p>
        </w:tc>
        <w:tc>
          <w:tcPr>
            <w:tcW w:w="1236" w:type="dxa"/>
            <w:tcBorders>
              <w:top w:val="nil"/>
              <w:left w:val="nil"/>
              <w:bottom w:val="single" w:sz="4" w:space="0" w:color="auto"/>
              <w:right w:val="nil"/>
            </w:tcBorders>
            <w:shd w:val="clear" w:color="000000" w:fill="FFFFFF"/>
            <w:noWrap/>
            <w:vAlign w:val="center"/>
            <w:hideMark/>
          </w:tcPr>
          <w:p w14:paraId="2AF2A339"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34.3%</w:t>
            </w:r>
          </w:p>
        </w:tc>
        <w:tc>
          <w:tcPr>
            <w:tcW w:w="1324" w:type="dxa"/>
            <w:tcBorders>
              <w:top w:val="nil"/>
              <w:left w:val="nil"/>
              <w:bottom w:val="single" w:sz="4" w:space="0" w:color="auto"/>
              <w:right w:val="nil"/>
            </w:tcBorders>
            <w:shd w:val="clear" w:color="000000" w:fill="FFFFFF"/>
            <w:noWrap/>
            <w:vAlign w:val="center"/>
            <w:hideMark/>
          </w:tcPr>
          <w:p w14:paraId="396C987A"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32.9%</w:t>
            </w:r>
          </w:p>
        </w:tc>
        <w:tc>
          <w:tcPr>
            <w:tcW w:w="1236" w:type="dxa"/>
            <w:tcBorders>
              <w:top w:val="nil"/>
              <w:left w:val="nil"/>
              <w:bottom w:val="single" w:sz="4" w:space="0" w:color="auto"/>
              <w:right w:val="nil"/>
            </w:tcBorders>
            <w:shd w:val="clear" w:color="000000" w:fill="FFFFFF"/>
            <w:noWrap/>
            <w:vAlign w:val="center"/>
            <w:hideMark/>
          </w:tcPr>
          <w:p w14:paraId="162240D6"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32.3%</w:t>
            </w:r>
          </w:p>
        </w:tc>
        <w:tc>
          <w:tcPr>
            <w:tcW w:w="1178" w:type="dxa"/>
            <w:tcBorders>
              <w:top w:val="nil"/>
              <w:left w:val="nil"/>
              <w:bottom w:val="single" w:sz="4" w:space="0" w:color="auto"/>
              <w:right w:val="nil"/>
            </w:tcBorders>
            <w:shd w:val="clear" w:color="000000" w:fill="FFFFFF"/>
            <w:noWrap/>
            <w:vAlign w:val="center"/>
            <w:hideMark/>
          </w:tcPr>
          <w:p w14:paraId="3B1E1447" w14:textId="77777777" w:rsidR="00C003CE" w:rsidRPr="00DC66CD" w:rsidRDefault="00C003CE" w:rsidP="00DC6D23">
            <w:pPr>
              <w:pStyle w:val="TEKSTIIII"/>
              <w:ind w:firstLine="0"/>
              <w:jc w:val="right"/>
              <w:rPr>
                <w:rFonts w:eastAsia="Times New Roman"/>
                <w:sz w:val="16"/>
                <w:szCs w:val="16"/>
              </w:rPr>
            </w:pPr>
            <w:r w:rsidRPr="00DC66CD">
              <w:rPr>
                <w:rFonts w:eastAsia="Times New Roman"/>
                <w:sz w:val="16"/>
                <w:szCs w:val="16"/>
              </w:rPr>
              <w:t>30.5%</w:t>
            </w:r>
          </w:p>
        </w:tc>
      </w:tr>
    </w:tbl>
    <w:p w14:paraId="7C5221DD" w14:textId="77777777" w:rsidR="00C003CE" w:rsidRPr="00DC66CD" w:rsidRDefault="00C003CE" w:rsidP="00C003CE">
      <w:pPr>
        <w:pStyle w:val="TEKSTIIII"/>
        <w:rPr>
          <w:i/>
        </w:rPr>
      </w:pPr>
      <w:r w:rsidRPr="00DC66CD">
        <w:rPr>
          <w:i/>
        </w:rPr>
        <w:t>Burimi: Ministria e Financave dhe Ekonomisë</w:t>
      </w:r>
    </w:p>
    <w:p w14:paraId="5C2D5045" w14:textId="77777777" w:rsidR="00C003CE" w:rsidRPr="00DC66CD" w:rsidRDefault="00C003CE" w:rsidP="00C003CE">
      <w:pPr>
        <w:pStyle w:val="TEKSTIIII"/>
      </w:pPr>
    </w:p>
    <w:p w14:paraId="75EA0E72" w14:textId="04A1A8B2" w:rsidR="00C003CE" w:rsidRPr="00DC66CD" w:rsidRDefault="00C003CE" w:rsidP="00C003CE">
      <w:pPr>
        <w:pStyle w:val="TEKSTIIII"/>
      </w:pPr>
      <w:r w:rsidRPr="00DC66CD">
        <w:t>Borxhi i qeverisjes qendrore ka ndjekur të njëjtën tendencë si në vitin 2018, për</w:t>
      </w:r>
      <w:r w:rsidR="00DC6D23" w:rsidRPr="00DC66CD">
        <w:t xml:space="preserve"> </w:t>
      </w:r>
      <w:r w:rsidRPr="00DC66CD">
        <w:t>sa i përket kompozimit sipas maturitetit dhe instrumenteve. Peshën më të madhe (60%) në stokun e borxhit të qeverisjes qendrore vazhdojnë ta mbajnë instrumentet e tregtueshme (bono thesari, obligacione, eurobond), duke reflektuar kushtet e favorshme të tregut të brendshëm dhe tregjeve ndërkombëtare.</w:t>
      </w:r>
    </w:p>
    <w:p w14:paraId="2F3932A9" w14:textId="77777777" w:rsidR="00C003CE" w:rsidRPr="00DC66CD" w:rsidRDefault="00C003CE" w:rsidP="00C003CE">
      <w:pPr>
        <w:pStyle w:val="TEKSTIIII"/>
      </w:pPr>
    </w:p>
    <w:p w14:paraId="405951FD" w14:textId="2E4A8827" w:rsidR="00C003CE" w:rsidRPr="00DC66CD" w:rsidRDefault="00C003CE" w:rsidP="00C003CE">
      <w:pPr>
        <w:pStyle w:val="TEKSTIIII"/>
        <w:rPr>
          <w:bCs/>
          <w:i/>
        </w:rPr>
      </w:pPr>
      <w:r w:rsidRPr="00DC66CD">
        <w:rPr>
          <w:bCs/>
          <w:i/>
        </w:rPr>
        <w:t xml:space="preserve">Grafiku 4.5.1 Kompozimi i </w:t>
      </w:r>
      <w:r w:rsidR="00DC6D23" w:rsidRPr="00DC66CD">
        <w:rPr>
          <w:bCs/>
          <w:i/>
        </w:rPr>
        <w:t xml:space="preserve">borxhit të qeverisjes qendrore sipas instrumenteve </w:t>
      </w:r>
    </w:p>
    <w:p w14:paraId="3F11FEF6" w14:textId="306EE77A" w:rsidR="00F33A8F" w:rsidRPr="00DC66CD" w:rsidRDefault="00F33A8F" w:rsidP="00F33A8F">
      <w:pPr>
        <w:pStyle w:val="TEKSTIIII"/>
        <w:jc w:val="center"/>
        <w:rPr>
          <w:bCs/>
        </w:rPr>
      </w:pPr>
      <w:r w:rsidRPr="00DC66CD">
        <w:rPr>
          <w:rFonts w:ascii="Times New Roman" w:hAnsi="Times New Roman"/>
          <w:noProof/>
          <w:lang w:val="en-US" w:eastAsia="en-US"/>
        </w:rPr>
        <w:drawing>
          <wp:inline distT="0" distB="0" distL="0" distR="0" wp14:anchorId="29B3116F" wp14:editId="54AE7D5E">
            <wp:extent cx="5613621" cy="1709530"/>
            <wp:effectExtent l="0" t="0" r="25400" b="241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024F5D91" w14:textId="0A062062" w:rsidR="00314D95" w:rsidRPr="00DC66CD" w:rsidRDefault="00314D95" w:rsidP="00314D95">
      <w:pPr>
        <w:pStyle w:val="TEKSTIIII"/>
        <w:rPr>
          <w:i/>
        </w:rPr>
      </w:pPr>
      <w:r w:rsidRPr="00DC66CD">
        <w:rPr>
          <w:i/>
        </w:rPr>
        <w:t xml:space="preserve">Burimi: Ministria e Financave dhe </w:t>
      </w:r>
      <w:r w:rsidR="00DC6D23" w:rsidRPr="00DC66CD">
        <w:rPr>
          <w:i/>
        </w:rPr>
        <w:t>Ekonomisë</w:t>
      </w:r>
    </w:p>
    <w:p w14:paraId="39C5362E" w14:textId="77777777" w:rsidR="00314D95" w:rsidRPr="00DC66CD" w:rsidRDefault="00314D95" w:rsidP="00314D95">
      <w:pPr>
        <w:pStyle w:val="TEKSTIIII"/>
      </w:pPr>
    </w:p>
    <w:p w14:paraId="5DBC4686" w14:textId="0B84A454" w:rsidR="00314D95" w:rsidRPr="00DC66CD" w:rsidRDefault="00314D95" w:rsidP="00314D95">
      <w:pPr>
        <w:pStyle w:val="TEKSTIIII"/>
      </w:pPr>
      <w:r w:rsidRPr="00DC66CD">
        <w:t xml:space="preserve">Në përputhje me objektivat për reduktimin e </w:t>
      </w:r>
      <w:r w:rsidR="00DC6D23" w:rsidRPr="00DC66CD">
        <w:t>ekspozimit</w:t>
      </w:r>
      <w:r w:rsidRPr="00DC66CD">
        <w:t xml:space="preserve"> të portofolit të borxhit ndaj risqeve, pesha e instrumenteve afatgjata u rrit me 0.4 pikë përqindje</w:t>
      </w:r>
      <w:r w:rsidR="00DC6D23" w:rsidRPr="00DC66CD">
        <w:t>je</w:t>
      </w:r>
      <w:r w:rsidRPr="00DC66CD">
        <w:t>.</w:t>
      </w:r>
    </w:p>
    <w:p w14:paraId="2C2D132D" w14:textId="77777777" w:rsidR="00314D95" w:rsidRPr="00DC66CD" w:rsidRDefault="00314D95" w:rsidP="00314D95">
      <w:pPr>
        <w:pStyle w:val="TEKSTIIII"/>
        <w:rPr>
          <w:rFonts w:ascii="Times New Roman" w:hAnsi="Times New Roman"/>
          <w:bCs/>
        </w:rPr>
      </w:pPr>
    </w:p>
    <w:p w14:paraId="198728BD" w14:textId="77777777" w:rsidR="00314D95" w:rsidRPr="00DC66CD" w:rsidRDefault="00314D95" w:rsidP="00314D95">
      <w:pPr>
        <w:pStyle w:val="TEKSTIIII"/>
        <w:rPr>
          <w:rFonts w:ascii="Times New Roman" w:hAnsi="Times New Roman"/>
          <w:bCs/>
        </w:rPr>
      </w:pPr>
    </w:p>
    <w:p w14:paraId="71329F24" w14:textId="77777777" w:rsidR="00314D95" w:rsidRPr="00DC66CD" w:rsidRDefault="00314D95" w:rsidP="00314D95">
      <w:pPr>
        <w:pStyle w:val="TEKSTIIII"/>
        <w:rPr>
          <w:rFonts w:ascii="Times New Roman" w:hAnsi="Times New Roman"/>
          <w:bCs/>
        </w:rPr>
      </w:pPr>
    </w:p>
    <w:p w14:paraId="3E102908" w14:textId="77777777" w:rsidR="00314D95" w:rsidRPr="00DC66CD" w:rsidRDefault="00314D95" w:rsidP="00314D95">
      <w:pPr>
        <w:pStyle w:val="TEKSTIIII"/>
        <w:rPr>
          <w:rFonts w:ascii="Times New Roman" w:hAnsi="Times New Roman"/>
          <w:bCs/>
        </w:rPr>
      </w:pPr>
    </w:p>
    <w:p w14:paraId="0D02E29D" w14:textId="77777777" w:rsidR="00314D95" w:rsidRPr="00DC66CD" w:rsidRDefault="00314D95" w:rsidP="00314D95">
      <w:pPr>
        <w:pStyle w:val="TEKSTIIII"/>
        <w:rPr>
          <w:rFonts w:ascii="Times New Roman" w:hAnsi="Times New Roman"/>
          <w:bCs/>
        </w:rPr>
      </w:pPr>
    </w:p>
    <w:p w14:paraId="1BFF1737" w14:textId="77777777" w:rsidR="00314D95" w:rsidRPr="00DC66CD" w:rsidRDefault="00314D95" w:rsidP="00314D95">
      <w:pPr>
        <w:pStyle w:val="TEKSTIIII"/>
        <w:rPr>
          <w:rFonts w:ascii="Times New Roman" w:hAnsi="Times New Roman"/>
          <w:bCs/>
        </w:rPr>
      </w:pPr>
    </w:p>
    <w:p w14:paraId="242A687B" w14:textId="77777777" w:rsidR="00314D95" w:rsidRPr="00DC66CD" w:rsidRDefault="00314D95" w:rsidP="00314D95">
      <w:pPr>
        <w:pStyle w:val="TEKSTIIII"/>
        <w:rPr>
          <w:rFonts w:ascii="Times New Roman" w:hAnsi="Times New Roman"/>
          <w:bCs/>
        </w:rPr>
      </w:pPr>
    </w:p>
    <w:p w14:paraId="42BC582F" w14:textId="77777777" w:rsidR="00314D95" w:rsidRPr="00DC66CD" w:rsidRDefault="00314D95" w:rsidP="00314D95">
      <w:pPr>
        <w:pStyle w:val="TEKSTIIII"/>
        <w:rPr>
          <w:rFonts w:ascii="Times New Roman" w:hAnsi="Times New Roman"/>
          <w:bCs/>
        </w:rPr>
      </w:pPr>
    </w:p>
    <w:p w14:paraId="785B8CA2" w14:textId="32502F4C" w:rsidR="00C003CE" w:rsidRPr="00DC66CD" w:rsidRDefault="00314D95" w:rsidP="00314D95">
      <w:pPr>
        <w:pStyle w:val="TEKSTIIII"/>
        <w:rPr>
          <w:i/>
        </w:rPr>
      </w:pPr>
      <w:r w:rsidRPr="00DC66CD">
        <w:rPr>
          <w:i/>
        </w:rPr>
        <w:t>Grafi</w:t>
      </w:r>
      <w:r w:rsidR="001E7569" w:rsidRPr="00DC66CD">
        <w:rPr>
          <w:i/>
        </w:rPr>
        <w:t xml:space="preserve">ku 4.5.2 </w:t>
      </w:r>
      <w:r w:rsidRPr="00DC66CD">
        <w:rPr>
          <w:i/>
        </w:rPr>
        <w:t>Kompozimi i borxhit sipas maturitetit origjinal të instrumenteve të huas</w:t>
      </w:r>
    </w:p>
    <w:tbl>
      <w:tblPr>
        <w:tblW w:w="0" w:type="auto"/>
        <w:jc w:val="center"/>
        <w:tblLook w:val="04A0" w:firstRow="1" w:lastRow="0" w:firstColumn="1" w:lastColumn="0" w:noHBand="0" w:noVBand="1"/>
      </w:tblPr>
      <w:tblGrid>
        <w:gridCol w:w="4654"/>
        <w:gridCol w:w="4626"/>
      </w:tblGrid>
      <w:tr w:rsidR="00314D95" w:rsidRPr="00DC66CD" w14:paraId="2EC6B964" w14:textId="77777777" w:rsidTr="001E7569">
        <w:trPr>
          <w:trHeight w:val="3374"/>
          <w:jc w:val="center"/>
        </w:trPr>
        <w:tc>
          <w:tcPr>
            <w:tcW w:w="4654" w:type="dxa"/>
          </w:tcPr>
          <w:p w14:paraId="25681CFF" w14:textId="4E8FD0ED" w:rsidR="00314D95" w:rsidRPr="00DC66CD" w:rsidRDefault="00314D95" w:rsidP="00807BDD">
            <w:pPr>
              <w:pStyle w:val="TEKSTIIII"/>
            </w:pPr>
            <w:r w:rsidRPr="00DC66CD">
              <w:rPr>
                <w:noProof/>
                <w:lang w:val="en-US" w:eastAsia="en-US"/>
              </w:rPr>
              <w:drawing>
                <wp:anchor distT="0" distB="0" distL="114300" distR="114300" simplePos="0" relativeHeight="251660288" behindDoc="1" locked="0" layoutInCell="1" allowOverlap="1" wp14:anchorId="7E4EE35E" wp14:editId="4DBF2001">
                  <wp:simplePos x="0" y="0"/>
                  <wp:positionH relativeFrom="column">
                    <wp:posOffset>10795</wp:posOffset>
                  </wp:positionH>
                  <wp:positionV relativeFrom="paragraph">
                    <wp:posOffset>56515</wp:posOffset>
                  </wp:positionV>
                  <wp:extent cx="2933700" cy="2026920"/>
                  <wp:effectExtent l="0" t="0" r="19050" b="11430"/>
                  <wp:wrapTight wrapText="bothSides">
                    <wp:wrapPolygon edited="0">
                      <wp:start x="0" y="0"/>
                      <wp:lineTo x="0" y="21519"/>
                      <wp:lineTo x="21600" y="21519"/>
                      <wp:lineTo x="21600" y="0"/>
                      <wp:lineTo x="0" y="0"/>
                    </wp:wrapPolygon>
                  </wp:wrapTight>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page">
                    <wp14:pctWidth>0</wp14:pctWidth>
                  </wp14:sizeRelH>
                  <wp14:sizeRelV relativeFrom="page">
                    <wp14:pctHeight>0</wp14:pctHeight>
                  </wp14:sizeRelV>
                </wp:anchor>
              </w:drawing>
            </w:r>
          </w:p>
        </w:tc>
        <w:tc>
          <w:tcPr>
            <w:tcW w:w="4626" w:type="dxa"/>
          </w:tcPr>
          <w:p w14:paraId="262D313D" w14:textId="1CB884EB" w:rsidR="00314D95" w:rsidRPr="00DC66CD" w:rsidRDefault="00314D95" w:rsidP="00807BDD">
            <w:pPr>
              <w:pStyle w:val="TEKSTIIII"/>
            </w:pPr>
            <w:r w:rsidRPr="00DC66CD">
              <w:rPr>
                <w:noProof/>
                <w:lang w:val="en-US" w:eastAsia="en-US"/>
              </w:rPr>
              <w:drawing>
                <wp:anchor distT="0" distB="0" distL="114300" distR="114300" simplePos="0" relativeHeight="251668480" behindDoc="1" locked="0" layoutInCell="1" allowOverlap="1" wp14:anchorId="757724FD" wp14:editId="2362B4A3">
                  <wp:simplePos x="0" y="0"/>
                  <wp:positionH relativeFrom="column">
                    <wp:posOffset>-17780</wp:posOffset>
                  </wp:positionH>
                  <wp:positionV relativeFrom="paragraph">
                    <wp:posOffset>48895</wp:posOffset>
                  </wp:positionV>
                  <wp:extent cx="2917190" cy="2026920"/>
                  <wp:effectExtent l="0" t="0" r="16510" b="11430"/>
                  <wp:wrapTight wrapText="bothSides">
                    <wp:wrapPolygon edited="0">
                      <wp:start x="0" y="0"/>
                      <wp:lineTo x="0" y="21519"/>
                      <wp:lineTo x="21581" y="21519"/>
                      <wp:lineTo x="21581" y="0"/>
                      <wp:lineTo x="0" y="0"/>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page">
                    <wp14:pctWidth>0</wp14:pctWidth>
                  </wp14:sizeRelH>
                  <wp14:sizeRelV relativeFrom="page">
                    <wp14:pctHeight>0</wp14:pctHeight>
                  </wp14:sizeRelV>
                </wp:anchor>
              </w:drawing>
            </w:r>
          </w:p>
        </w:tc>
      </w:tr>
    </w:tbl>
    <w:p w14:paraId="1C121928" w14:textId="77777777" w:rsidR="00807BDD" w:rsidRPr="00DC66CD" w:rsidRDefault="00807BDD" w:rsidP="00807BDD">
      <w:pPr>
        <w:pStyle w:val="TEKSTIIII"/>
        <w:rPr>
          <w:i/>
        </w:rPr>
      </w:pPr>
      <w:r w:rsidRPr="00DC66CD">
        <w:rPr>
          <w:i/>
        </w:rPr>
        <w:t>Burimi: Ministria e Financave dhe Ekonomisë</w:t>
      </w:r>
    </w:p>
    <w:p w14:paraId="7D5BDC95" w14:textId="77777777" w:rsidR="00807BDD" w:rsidRPr="00DC66CD" w:rsidRDefault="00807BDD" w:rsidP="00807BDD">
      <w:pPr>
        <w:pStyle w:val="TEKSTIIII"/>
        <w:rPr>
          <w:b/>
          <w:i/>
        </w:rPr>
      </w:pPr>
    </w:p>
    <w:p w14:paraId="482A4427" w14:textId="0A7696E4" w:rsidR="00807BDD" w:rsidRPr="00DC66CD" w:rsidRDefault="00807BDD" w:rsidP="00807BDD">
      <w:pPr>
        <w:pStyle w:val="TEKSTIIII"/>
        <w:rPr>
          <w:b/>
          <w:i/>
        </w:rPr>
      </w:pPr>
      <w:r w:rsidRPr="00DC66CD">
        <w:rPr>
          <w:b/>
          <w:i/>
        </w:rPr>
        <w:t xml:space="preserve">Burimet e </w:t>
      </w:r>
      <w:r w:rsidR="001E7569" w:rsidRPr="00DC66CD">
        <w:rPr>
          <w:b/>
          <w:i/>
        </w:rPr>
        <w:t>financimit</w:t>
      </w:r>
    </w:p>
    <w:p w14:paraId="1885681C" w14:textId="051C6547" w:rsidR="00807BDD" w:rsidRPr="00DC66CD" w:rsidRDefault="00807BDD" w:rsidP="00807BDD">
      <w:pPr>
        <w:pStyle w:val="TEKSTIIII"/>
      </w:pPr>
      <w:r w:rsidRPr="00DC66CD">
        <w:t>Gjatë periudhës janar</w:t>
      </w:r>
      <w:r w:rsidR="001E7569" w:rsidRPr="00DC66CD">
        <w:t>–</w:t>
      </w:r>
      <w:r w:rsidRPr="00DC66CD">
        <w:t>shtator 2019, Ministria e Financave dhe Ekonomisë ka emetuar në tregun e brendshëm tituj shtetërorë në vlerën 246.3 miliard</w:t>
      </w:r>
      <w:r w:rsidR="001E7569" w:rsidRPr="00DC66CD">
        <w:t>ë</w:t>
      </w:r>
      <w:r w:rsidRPr="00DC66CD">
        <w:t xml:space="preserve"> </w:t>
      </w:r>
      <w:r w:rsidR="001E7569" w:rsidRPr="00DC66CD">
        <w:t>lekë</w:t>
      </w:r>
      <w:r w:rsidRPr="00DC66CD">
        <w:t>, nga të cilat 235.9 miliard</w:t>
      </w:r>
      <w:r w:rsidR="001E7569" w:rsidRPr="00DC66CD">
        <w:t>ë</w:t>
      </w:r>
      <w:r w:rsidRPr="00DC66CD">
        <w:t xml:space="preserve"> </w:t>
      </w:r>
      <w:r w:rsidR="001E7569" w:rsidRPr="00DC66CD">
        <w:t xml:space="preserve">lekë </w:t>
      </w:r>
      <w:r w:rsidRPr="00DC66CD">
        <w:t>kanë shërbyer për rifinancimin e titujve ekzistues. Në linjë me objektivin për reduktimin e ekspozimit ndaj risqeve, financimi neto (huamarrja e re) është siguruar kryesisht nëpërmjet titujve afatgjatë.</w:t>
      </w:r>
    </w:p>
    <w:p w14:paraId="50F7A8C7" w14:textId="77777777" w:rsidR="00807BDD" w:rsidRPr="00DC66CD" w:rsidRDefault="00807BDD" w:rsidP="00807BDD">
      <w:pPr>
        <w:pStyle w:val="TEKSTIIII"/>
        <w:rPr>
          <w:bCs/>
        </w:rPr>
      </w:pPr>
    </w:p>
    <w:p w14:paraId="4812B362" w14:textId="6A49AE33" w:rsidR="00807BDD" w:rsidRPr="00DC66CD" w:rsidRDefault="001E7569" w:rsidP="00807BDD">
      <w:pPr>
        <w:pStyle w:val="TEKSTIIII"/>
        <w:rPr>
          <w:bCs/>
          <w:i/>
        </w:rPr>
      </w:pPr>
      <w:r w:rsidRPr="00DC66CD">
        <w:rPr>
          <w:bCs/>
          <w:i/>
        </w:rPr>
        <w:t>Tabela 4.5.2</w:t>
      </w:r>
      <w:r w:rsidR="00807BDD" w:rsidRPr="00DC66CD">
        <w:rPr>
          <w:bCs/>
          <w:i/>
        </w:rPr>
        <w:t xml:space="preserve"> Huamarrja e </w:t>
      </w:r>
      <w:r w:rsidRPr="00DC66CD">
        <w:rPr>
          <w:bCs/>
          <w:i/>
        </w:rPr>
        <w:t>brendshme</w:t>
      </w:r>
    </w:p>
    <w:tbl>
      <w:tblPr>
        <w:tblW w:w="9445" w:type="dxa"/>
        <w:jc w:val="center"/>
        <w:tblLook w:val="04A0" w:firstRow="1" w:lastRow="0" w:firstColumn="1" w:lastColumn="0" w:noHBand="0" w:noVBand="1"/>
      </w:tblPr>
      <w:tblGrid>
        <w:gridCol w:w="2993"/>
        <w:gridCol w:w="1669"/>
        <w:gridCol w:w="1598"/>
        <w:gridCol w:w="1630"/>
        <w:gridCol w:w="1555"/>
      </w:tblGrid>
      <w:tr w:rsidR="00807BDD" w:rsidRPr="00DC66CD" w14:paraId="4A502E3C" w14:textId="77777777" w:rsidTr="001E7569">
        <w:trPr>
          <w:trHeight w:val="237"/>
          <w:jc w:val="center"/>
        </w:trPr>
        <w:tc>
          <w:tcPr>
            <w:tcW w:w="2993" w:type="dxa"/>
            <w:vMerge w:val="restart"/>
            <w:tcBorders>
              <w:top w:val="single" w:sz="4" w:space="0" w:color="auto"/>
              <w:left w:val="nil"/>
              <w:bottom w:val="single" w:sz="4" w:space="0" w:color="000000"/>
              <w:right w:val="nil"/>
            </w:tcBorders>
            <w:shd w:val="clear" w:color="000000" w:fill="FFFFFF"/>
            <w:noWrap/>
            <w:vAlign w:val="center"/>
            <w:hideMark/>
          </w:tcPr>
          <w:p w14:paraId="10788F52" w14:textId="52D64C38" w:rsidR="00807BDD"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 xml:space="preserve">Lloji i </w:t>
            </w:r>
            <w:r w:rsidR="001E7569" w:rsidRPr="00DC66CD">
              <w:rPr>
                <w:rFonts w:eastAsia="Times New Roman"/>
                <w:b/>
                <w:bCs/>
                <w:sz w:val="20"/>
                <w:szCs w:val="20"/>
              </w:rPr>
              <w:t>instrumentit</w:t>
            </w:r>
          </w:p>
        </w:tc>
        <w:tc>
          <w:tcPr>
            <w:tcW w:w="6452" w:type="dxa"/>
            <w:gridSpan w:val="4"/>
            <w:tcBorders>
              <w:top w:val="single" w:sz="4" w:space="0" w:color="auto"/>
              <w:left w:val="nil"/>
              <w:bottom w:val="nil"/>
              <w:right w:val="nil"/>
            </w:tcBorders>
            <w:shd w:val="clear" w:color="000000" w:fill="FFFFFF"/>
            <w:noWrap/>
            <w:vAlign w:val="center"/>
            <w:hideMark/>
          </w:tcPr>
          <w:p w14:paraId="7C1EF2A9" w14:textId="061DA1AA" w:rsidR="00807BDD"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Janar</w:t>
            </w:r>
            <w:r w:rsidR="001E7569" w:rsidRPr="00DC66CD">
              <w:rPr>
                <w:rFonts w:eastAsia="Times New Roman"/>
                <w:b/>
                <w:bCs/>
                <w:sz w:val="20"/>
                <w:szCs w:val="20"/>
              </w:rPr>
              <w:t xml:space="preserve">–shtator </w:t>
            </w:r>
            <w:r w:rsidRPr="00DC66CD">
              <w:rPr>
                <w:rFonts w:eastAsia="Times New Roman"/>
                <w:b/>
                <w:bCs/>
                <w:sz w:val="20"/>
                <w:szCs w:val="20"/>
              </w:rPr>
              <w:t>2019</w:t>
            </w:r>
          </w:p>
        </w:tc>
      </w:tr>
      <w:tr w:rsidR="00807BDD" w:rsidRPr="00DC66CD" w14:paraId="2C99808E" w14:textId="77777777" w:rsidTr="001E7569">
        <w:trPr>
          <w:trHeight w:val="402"/>
          <w:jc w:val="center"/>
        </w:trPr>
        <w:tc>
          <w:tcPr>
            <w:tcW w:w="2993" w:type="dxa"/>
            <w:vMerge/>
            <w:tcBorders>
              <w:top w:val="single" w:sz="4" w:space="0" w:color="auto"/>
              <w:left w:val="nil"/>
              <w:bottom w:val="single" w:sz="4" w:space="0" w:color="000000"/>
              <w:right w:val="nil"/>
            </w:tcBorders>
            <w:vAlign w:val="center"/>
            <w:hideMark/>
          </w:tcPr>
          <w:p w14:paraId="010AA2EB" w14:textId="77777777" w:rsidR="00807BDD" w:rsidRPr="00DC66CD" w:rsidRDefault="00807BDD" w:rsidP="001E7569">
            <w:pPr>
              <w:pStyle w:val="TEKSTIIII"/>
              <w:ind w:firstLine="0"/>
              <w:jc w:val="center"/>
              <w:rPr>
                <w:rFonts w:eastAsia="Times New Roman"/>
                <w:b/>
                <w:bCs/>
                <w:sz w:val="20"/>
                <w:szCs w:val="20"/>
              </w:rPr>
            </w:pPr>
          </w:p>
        </w:tc>
        <w:tc>
          <w:tcPr>
            <w:tcW w:w="1669" w:type="dxa"/>
            <w:tcBorders>
              <w:top w:val="nil"/>
              <w:left w:val="nil"/>
              <w:bottom w:val="single" w:sz="4" w:space="0" w:color="auto"/>
              <w:right w:val="nil"/>
            </w:tcBorders>
            <w:shd w:val="clear" w:color="000000" w:fill="FFFFFF"/>
            <w:vAlign w:val="center"/>
            <w:hideMark/>
          </w:tcPr>
          <w:p w14:paraId="01573D35" w14:textId="77777777" w:rsidR="001E7569"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Emetime</w:t>
            </w:r>
            <w:r w:rsidR="0072211B" w:rsidRPr="00DC66CD">
              <w:rPr>
                <w:rFonts w:eastAsia="Times New Roman"/>
                <w:b/>
                <w:bCs/>
                <w:sz w:val="20"/>
                <w:szCs w:val="20"/>
              </w:rPr>
              <w:t xml:space="preserve"> </w:t>
            </w:r>
          </w:p>
          <w:p w14:paraId="1018D329" w14:textId="0AD3DA05" w:rsidR="00807BDD" w:rsidRPr="00DC66CD" w:rsidRDefault="00807BDD" w:rsidP="001E7569">
            <w:pPr>
              <w:pStyle w:val="TEKSTIIII"/>
              <w:ind w:firstLine="0"/>
              <w:jc w:val="center"/>
              <w:rPr>
                <w:rFonts w:eastAsia="Times New Roman"/>
                <w:b/>
                <w:sz w:val="20"/>
                <w:szCs w:val="20"/>
              </w:rPr>
            </w:pPr>
            <w:r w:rsidRPr="00DC66CD">
              <w:rPr>
                <w:rFonts w:eastAsia="Times New Roman"/>
                <w:b/>
                <w:sz w:val="20"/>
                <w:szCs w:val="20"/>
              </w:rPr>
              <w:t xml:space="preserve">(në mld </w:t>
            </w:r>
            <w:r w:rsidR="001E7569" w:rsidRPr="00DC66CD">
              <w:rPr>
                <w:rFonts w:eastAsia="Times New Roman"/>
                <w:b/>
                <w:sz w:val="20"/>
                <w:szCs w:val="20"/>
              </w:rPr>
              <w:t>lekë</w:t>
            </w:r>
            <w:r w:rsidRPr="00DC66CD">
              <w:rPr>
                <w:rFonts w:eastAsia="Times New Roman"/>
                <w:b/>
                <w:sz w:val="20"/>
                <w:szCs w:val="20"/>
              </w:rPr>
              <w:t>)</w:t>
            </w:r>
          </w:p>
        </w:tc>
        <w:tc>
          <w:tcPr>
            <w:tcW w:w="1598" w:type="dxa"/>
            <w:tcBorders>
              <w:top w:val="nil"/>
              <w:left w:val="nil"/>
              <w:bottom w:val="single" w:sz="4" w:space="0" w:color="auto"/>
              <w:right w:val="nil"/>
            </w:tcBorders>
            <w:shd w:val="clear" w:color="000000" w:fill="FFFFFF"/>
            <w:vAlign w:val="center"/>
            <w:hideMark/>
          </w:tcPr>
          <w:p w14:paraId="7C5FBB65" w14:textId="77777777" w:rsidR="001E7569"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Maturime</w:t>
            </w:r>
            <w:r w:rsidR="0072211B" w:rsidRPr="00DC66CD">
              <w:rPr>
                <w:rFonts w:eastAsia="Times New Roman"/>
                <w:b/>
                <w:bCs/>
                <w:sz w:val="20"/>
                <w:szCs w:val="20"/>
              </w:rPr>
              <w:t xml:space="preserve"> </w:t>
            </w:r>
          </w:p>
          <w:p w14:paraId="236991CE" w14:textId="7FA50544" w:rsidR="00807BDD" w:rsidRPr="00DC66CD" w:rsidRDefault="00807BDD" w:rsidP="001E7569">
            <w:pPr>
              <w:pStyle w:val="TEKSTIIII"/>
              <w:ind w:firstLine="0"/>
              <w:jc w:val="center"/>
              <w:rPr>
                <w:rFonts w:eastAsia="Times New Roman"/>
                <w:b/>
                <w:sz w:val="20"/>
                <w:szCs w:val="20"/>
              </w:rPr>
            </w:pPr>
            <w:r w:rsidRPr="00DC66CD">
              <w:rPr>
                <w:rFonts w:eastAsia="Times New Roman"/>
                <w:b/>
                <w:sz w:val="20"/>
                <w:szCs w:val="20"/>
              </w:rPr>
              <w:t xml:space="preserve">(në mld </w:t>
            </w:r>
            <w:r w:rsidR="001E7569" w:rsidRPr="00DC66CD">
              <w:rPr>
                <w:rFonts w:eastAsia="Times New Roman"/>
                <w:b/>
                <w:sz w:val="20"/>
                <w:szCs w:val="20"/>
              </w:rPr>
              <w:t>lekë</w:t>
            </w:r>
            <w:r w:rsidRPr="00DC66CD">
              <w:rPr>
                <w:rFonts w:eastAsia="Times New Roman"/>
                <w:b/>
                <w:sz w:val="20"/>
                <w:szCs w:val="20"/>
              </w:rPr>
              <w:t>)</w:t>
            </w:r>
          </w:p>
        </w:tc>
        <w:tc>
          <w:tcPr>
            <w:tcW w:w="1630" w:type="dxa"/>
            <w:tcBorders>
              <w:top w:val="nil"/>
              <w:left w:val="nil"/>
              <w:bottom w:val="single" w:sz="4" w:space="0" w:color="auto"/>
              <w:right w:val="nil"/>
            </w:tcBorders>
            <w:shd w:val="clear" w:color="000000" w:fill="FFFFFF"/>
            <w:vAlign w:val="center"/>
            <w:hideMark/>
          </w:tcPr>
          <w:p w14:paraId="240B5CDF" w14:textId="7CD2E983" w:rsidR="00807BDD" w:rsidRPr="00DC66CD" w:rsidRDefault="00807BDD" w:rsidP="001E7569">
            <w:pPr>
              <w:pStyle w:val="TEKSTIIII"/>
              <w:ind w:firstLine="0"/>
              <w:jc w:val="center"/>
              <w:rPr>
                <w:rFonts w:eastAsia="Times New Roman"/>
                <w:b/>
                <w:sz w:val="20"/>
                <w:szCs w:val="20"/>
              </w:rPr>
            </w:pPr>
            <w:r w:rsidRPr="00DC66CD">
              <w:rPr>
                <w:rFonts w:eastAsia="Times New Roman"/>
                <w:b/>
                <w:bCs/>
                <w:sz w:val="20"/>
                <w:szCs w:val="20"/>
              </w:rPr>
              <w:t xml:space="preserve">Financimi </w:t>
            </w:r>
            <w:r w:rsidR="001E7569" w:rsidRPr="00DC66CD">
              <w:rPr>
                <w:rFonts w:eastAsia="Times New Roman"/>
                <w:b/>
                <w:bCs/>
                <w:sz w:val="20"/>
                <w:szCs w:val="20"/>
              </w:rPr>
              <w:t xml:space="preserve">neto </w:t>
            </w:r>
            <w:r w:rsidRPr="00DC66CD">
              <w:rPr>
                <w:rFonts w:eastAsia="Times New Roman"/>
                <w:b/>
                <w:sz w:val="20"/>
                <w:szCs w:val="20"/>
              </w:rPr>
              <w:t xml:space="preserve">(në mld </w:t>
            </w:r>
            <w:r w:rsidR="001E7569" w:rsidRPr="00DC66CD">
              <w:rPr>
                <w:rFonts w:eastAsia="Times New Roman"/>
                <w:b/>
                <w:sz w:val="20"/>
                <w:szCs w:val="20"/>
              </w:rPr>
              <w:t>lekë</w:t>
            </w:r>
            <w:r w:rsidRPr="00DC66CD">
              <w:rPr>
                <w:rFonts w:eastAsia="Times New Roman"/>
                <w:b/>
                <w:sz w:val="20"/>
                <w:szCs w:val="20"/>
              </w:rPr>
              <w:t>)</w:t>
            </w:r>
          </w:p>
        </w:tc>
        <w:tc>
          <w:tcPr>
            <w:tcW w:w="1554" w:type="dxa"/>
            <w:tcBorders>
              <w:top w:val="nil"/>
              <w:left w:val="nil"/>
              <w:bottom w:val="single" w:sz="4" w:space="0" w:color="auto"/>
              <w:right w:val="nil"/>
            </w:tcBorders>
            <w:shd w:val="clear" w:color="000000" w:fill="FFFFFF"/>
            <w:vAlign w:val="center"/>
            <w:hideMark/>
          </w:tcPr>
          <w:p w14:paraId="62F6AEB7" w14:textId="186F4FDB" w:rsidR="00807BDD" w:rsidRPr="00DC66CD" w:rsidRDefault="00807BDD" w:rsidP="001E7569">
            <w:pPr>
              <w:pStyle w:val="TEKSTIIII"/>
              <w:ind w:firstLine="0"/>
              <w:jc w:val="center"/>
              <w:rPr>
                <w:rFonts w:eastAsia="Times New Roman"/>
                <w:b/>
                <w:sz w:val="20"/>
                <w:szCs w:val="20"/>
              </w:rPr>
            </w:pPr>
            <w:r w:rsidRPr="00DC66CD">
              <w:rPr>
                <w:rFonts w:eastAsia="Times New Roman"/>
                <w:b/>
                <w:bCs/>
                <w:sz w:val="20"/>
                <w:szCs w:val="20"/>
              </w:rPr>
              <w:t xml:space="preserve">Financimi </w:t>
            </w:r>
            <w:r w:rsidR="001E7569" w:rsidRPr="00DC66CD">
              <w:rPr>
                <w:rFonts w:eastAsia="Times New Roman"/>
                <w:b/>
                <w:bCs/>
                <w:sz w:val="20"/>
                <w:szCs w:val="20"/>
              </w:rPr>
              <w:t>neto</w:t>
            </w:r>
            <w:r w:rsidR="001E7569" w:rsidRPr="00DC66CD">
              <w:rPr>
                <w:rFonts w:eastAsia="Times New Roman"/>
                <w:b/>
                <w:sz w:val="20"/>
                <w:szCs w:val="20"/>
              </w:rPr>
              <w:t xml:space="preserve"> </w:t>
            </w:r>
            <w:r w:rsidRPr="00DC66CD">
              <w:rPr>
                <w:rFonts w:eastAsia="Times New Roman"/>
                <w:b/>
                <w:sz w:val="20"/>
                <w:szCs w:val="20"/>
              </w:rPr>
              <w:t>(në %)</w:t>
            </w:r>
          </w:p>
        </w:tc>
      </w:tr>
      <w:tr w:rsidR="00807BDD" w:rsidRPr="00DC66CD" w14:paraId="304E1387" w14:textId="77777777" w:rsidTr="001E7569">
        <w:trPr>
          <w:trHeight w:val="237"/>
          <w:jc w:val="center"/>
        </w:trPr>
        <w:tc>
          <w:tcPr>
            <w:tcW w:w="2993" w:type="dxa"/>
            <w:tcBorders>
              <w:top w:val="nil"/>
              <w:left w:val="nil"/>
              <w:bottom w:val="nil"/>
              <w:right w:val="nil"/>
            </w:tcBorders>
            <w:shd w:val="clear" w:color="000000" w:fill="FFFFFF"/>
            <w:noWrap/>
            <w:vAlign w:val="bottom"/>
            <w:hideMark/>
          </w:tcPr>
          <w:p w14:paraId="17E5901F" w14:textId="01AF98E6" w:rsidR="00807BDD" w:rsidRPr="00DC66CD" w:rsidRDefault="00807BDD" w:rsidP="00807BDD">
            <w:pPr>
              <w:pStyle w:val="TEKSTIIII"/>
              <w:ind w:firstLine="0"/>
              <w:rPr>
                <w:rFonts w:eastAsia="Times New Roman"/>
                <w:b/>
                <w:bCs/>
                <w:sz w:val="20"/>
                <w:szCs w:val="20"/>
              </w:rPr>
            </w:pPr>
            <w:r w:rsidRPr="00DC66CD">
              <w:rPr>
                <w:rFonts w:eastAsia="Times New Roman"/>
                <w:b/>
                <w:bCs/>
                <w:sz w:val="20"/>
                <w:szCs w:val="20"/>
              </w:rPr>
              <w:t xml:space="preserve">Instrumente </w:t>
            </w:r>
            <w:r w:rsidR="001E7569" w:rsidRPr="00DC66CD">
              <w:rPr>
                <w:rFonts w:eastAsia="Times New Roman"/>
                <w:b/>
                <w:bCs/>
                <w:sz w:val="20"/>
                <w:szCs w:val="20"/>
              </w:rPr>
              <w:t>afatshkurtra</w:t>
            </w:r>
          </w:p>
        </w:tc>
        <w:tc>
          <w:tcPr>
            <w:tcW w:w="1669" w:type="dxa"/>
            <w:tcBorders>
              <w:top w:val="nil"/>
              <w:left w:val="nil"/>
              <w:bottom w:val="nil"/>
              <w:right w:val="nil"/>
            </w:tcBorders>
            <w:shd w:val="clear" w:color="000000" w:fill="FFFFFF"/>
            <w:noWrap/>
            <w:vAlign w:val="bottom"/>
            <w:hideMark/>
          </w:tcPr>
          <w:p w14:paraId="5CD6A224"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164.3</w:t>
            </w:r>
          </w:p>
        </w:tc>
        <w:tc>
          <w:tcPr>
            <w:tcW w:w="1598" w:type="dxa"/>
            <w:tcBorders>
              <w:top w:val="nil"/>
              <w:left w:val="nil"/>
              <w:bottom w:val="nil"/>
              <w:right w:val="nil"/>
            </w:tcBorders>
            <w:shd w:val="clear" w:color="000000" w:fill="FFFFFF"/>
            <w:noWrap/>
            <w:vAlign w:val="bottom"/>
            <w:hideMark/>
          </w:tcPr>
          <w:p w14:paraId="311737B7"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163.2</w:t>
            </w:r>
          </w:p>
        </w:tc>
        <w:tc>
          <w:tcPr>
            <w:tcW w:w="1630" w:type="dxa"/>
            <w:tcBorders>
              <w:top w:val="nil"/>
              <w:left w:val="nil"/>
              <w:bottom w:val="nil"/>
              <w:right w:val="nil"/>
            </w:tcBorders>
            <w:shd w:val="clear" w:color="000000" w:fill="FFFFFF"/>
            <w:noWrap/>
            <w:vAlign w:val="bottom"/>
            <w:hideMark/>
          </w:tcPr>
          <w:p w14:paraId="62C12BE3"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1.1</w:t>
            </w:r>
          </w:p>
        </w:tc>
        <w:tc>
          <w:tcPr>
            <w:tcW w:w="1554" w:type="dxa"/>
            <w:tcBorders>
              <w:top w:val="nil"/>
              <w:left w:val="nil"/>
              <w:bottom w:val="nil"/>
              <w:right w:val="nil"/>
            </w:tcBorders>
            <w:shd w:val="clear" w:color="000000" w:fill="FFFFFF"/>
            <w:noWrap/>
            <w:vAlign w:val="bottom"/>
            <w:hideMark/>
          </w:tcPr>
          <w:p w14:paraId="27BD9D73"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10.6%</w:t>
            </w:r>
          </w:p>
        </w:tc>
      </w:tr>
      <w:tr w:rsidR="00807BDD" w:rsidRPr="00DC66CD" w14:paraId="046B4ED2" w14:textId="77777777" w:rsidTr="001E7569">
        <w:trPr>
          <w:trHeight w:val="237"/>
          <w:jc w:val="center"/>
        </w:trPr>
        <w:tc>
          <w:tcPr>
            <w:tcW w:w="2993" w:type="dxa"/>
            <w:tcBorders>
              <w:top w:val="nil"/>
              <w:left w:val="nil"/>
              <w:bottom w:val="nil"/>
              <w:right w:val="nil"/>
            </w:tcBorders>
            <w:shd w:val="clear" w:color="000000" w:fill="FFFFFF"/>
            <w:noWrap/>
            <w:vAlign w:val="bottom"/>
            <w:hideMark/>
          </w:tcPr>
          <w:p w14:paraId="3E4FF836" w14:textId="267623DE" w:rsidR="00807BDD" w:rsidRPr="00DC66CD" w:rsidRDefault="00807BDD" w:rsidP="00807BDD">
            <w:pPr>
              <w:pStyle w:val="TEKSTIIII"/>
              <w:ind w:firstLine="0"/>
              <w:rPr>
                <w:rFonts w:eastAsia="Times New Roman"/>
                <w:sz w:val="20"/>
                <w:szCs w:val="20"/>
              </w:rPr>
            </w:pPr>
            <w:r w:rsidRPr="00DC66CD">
              <w:rPr>
                <w:rFonts w:eastAsia="Times New Roman"/>
                <w:sz w:val="20"/>
                <w:szCs w:val="20"/>
              </w:rPr>
              <w:t xml:space="preserve">Bono </w:t>
            </w:r>
            <w:r w:rsidR="001E7569" w:rsidRPr="00DC66CD">
              <w:rPr>
                <w:rFonts w:eastAsia="Times New Roman"/>
                <w:sz w:val="20"/>
                <w:szCs w:val="20"/>
              </w:rPr>
              <w:t xml:space="preserve">thesari </w:t>
            </w:r>
          </w:p>
        </w:tc>
        <w:tc>
          <w:tcPr>
            <w:tcW w:w="1669" w:type="dxa"/>
            <w:tcBorders>
              <w:top w:val="nil"/>
              <w:left w:val="nil"/>
              <w:bottom w:val="nil"/>
              <w:right w:val="nil"/>
            </w:tcBorders>
            <w:shd w:val="clear" w:color="000000" w:fill="FFFFFF"/>
            <w:noWrap/>
            <w:vAlign w:val="bottom"/>
            <w:hideMark/>
          </w:tcPr>
          <w:p w14:paraId="1CF2051D"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164.3</w:t>
            </w:r>
          </w:p>
        </w:tc>
        <w:tc>
          <w:tcPr>
            <w:tcW w:w="1598" w:type="dxa"/>
            <w:tcBorders>
              <w:top w:val="nil"/>
              <w:left w:val="nil"/>
              <w:bottom w:val="nil"/>
              <w:right w:val="nil"/>
            </w:tcBorders>
            <w:shd w:val="clear" w:color="000000" w:fill="FFFFFF"/>
            <w:noWrap/>
            <w:vAlign w:val="bottom"/>
            <w:hideMark/>
          </w:tcPr>
          <w:p w14:paraId="0BBAE6AE"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163.2</w:t>
            </w:r>
          </w:p>
        </w:tc>
        <w:tc>
          <w:tcPr>
            <w:tcW w:w="1630" w:type="dxa"/>
            <w:tcBorders>
              <w:top w:val="nil"/>
              <w:left w:val="nil"/>
              <w:bottom w:val="nil"/>
              <w:right w:val="nil"/>
            </w:tcBorders>
            <w:shd w:val="clear" w:color="000000" w:fill="FFFFFF"/>
            <w:noWrap/>
            <w:vAlign w:val="bottom"/>
            <w:hideMark/>
          </w:tcPr>
          <w:p w14:paraId="1C305D15"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1.1</w:t>
            </w:r>
          </w:p>
        </w:tc>
        <w:tc>
          <w:tcPr>
            <w:tcW w:w="1554" w:type="dxa"/>
            <w:tcBorders>
              <w:top w:val="nil"/>
              <w:left w:val="nil"/>
              <w:bottom w:val="nil"/>
              <w:right w:val="nil"/>
            </w:tcBorders>
            <w:shd w:val="clear" w:color="000000" w:fill="FFFFFF"/>
            <w:noWrap/>
            <w:vAlign w:val="bottom"/>
            <w:hideMark/>
          </w:tcPr>
          <w:p w14:paraId="066FA721"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10.6%</w:t>
            </w:r>
          </w:p>
        </w:tc>
      </w:tr>
      <w:tr w:rsidR="00807BDD" w:rsidRPr="00DC66CD" w14:paraId="59B91078" w14:textId="77777777" w:rsidTr="001E7569">
        <w:trPr>
          <w:trHeight w:val="237"/>
          <w:jc w:val="center"/>
        </w:trPr>
        <w:tc>
          <w:tcPr>
            <w:tcW w:w="2993" w:type="dxa"/>
            <w:tcBorders>
              <w:top w:val="nil"/>
              <w:left w:val="nil"/>
              <w:bottom w:val="nil"/>
              <w:right w:val="nil"/>
            </w:tcBorders>
            <w:shd w:val="clear" w:color="000000" w:fill="FFFFFF"/>
            <w:noWrap/>
            <w:vAlign w:val="bottom"/>
            <w:hideMark/>
          </w:tcPr>
          <w:p w14:paraId="23BB79C0" w14:textId="00F2053D" w:rsidR="00807BDD" w:rsidRPr="00DC66CD" w:rsidRDefault="00807BDD" w:rsidP="00807BDD">
            <w:pPr>
              <w:pStyle w:val="TEKSTIIII"/>
              <w:ind w:firstLine="0"/>
              <w:rPr>
                <w:rFonts w:eastAsia="Times New Roman"/>
                <w:b/>
                <w:bCs/>
                <w:sz w:val="20"/>
                <w:szCs w:val="20"/>
              </w:rPr>
            </w:pPr>
            <w:r w:rsidRPr="00DC66CD">
              <w:rPr>
                <w:rFonts w:eastAsia="Times New Roman"/>
                <w:b/>
                <w:bCs/>
                <w:sz w:val="20"/>
                <w:szCs w:val="20"/>
              </w:rPr>
              <w:t xml:space="preserve">Instrumente </w:t>
            </w:r>
            <w:r w:rsidR="001E7569" w:rsidRPr="00DC66CD">
              <w:rPr>
                <w:rFonts w:eastAsia="Times New Roman"/>
                <w:b/>
                <w:bCs/>
                <w:sz w:val="20"/>
                <w:szCs w:val="20"/>
              </w:rPr>
              <w:t>afatgjata</w:t>
            </w:r>
          </w:p>
        </w:tc>
        <w:tc>
          <w:tcPr>
            <w:tcW w:w="1669" w:type="dxa"/>
            <w:tcBorders>
              <w:top w:val="nil"/>
              <w:left w:val="nil"/>
              <w:bottom w:val="nil"/>
              <w:right w:val="nil"/>
            </w:tcBorders>
            <w:shd w:val="clear" w:color="000000" w:fill="FFFFFF"/>
            <w:noWrap/>
            <w:vAlign w:val="bottom"/>
            <w:hideMark/>
          </w:tcPr>
          <w:p w14:paraId="6A3A7BB6"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82.0</w:t>
            </w:r>
          </w:p>
        </w:tc>
        <w:tc>
          <w:tcPr>
            <w:tcW w:w="1598" w:type="dxa"/>
            <w:tcBorders>
              <w:top w:val="nil"/>
              <w:left w:val="nil"/>
              <w:bottom w:val="nil"/>
              <w:right w:val="nil"/>
            </w:tcBorders>
            <w:shd w:val="clear" w:color="000000" w:fill="FFFFFF"/>
            <w:noWrap/>
            <w:vAlign w:val="bottom"/>
            <w:hideMark/>
          </w:tcPr>
          <w:p w14:paraId="60A8E176"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72.8</w:t>
            </w:r>
          </w:p>
        </w:tc>
        <w:tc>
          <w:tcPr>
            <w:tcW w:w="1630" w:type="dxa"/>
            <w:tcBorders>
              <w:top w:val="nil"/>
              <w:left w:val="nil"/>
              <w:bottom w:val="nil"/>
              <w:right w:val="nil"/>
            </w:tcBorders>
            <w:shd w:val="clear" w:color="000000" w:fill="FFFFFF"/>
            <w:noWrap/>
            <w:vAlign w:val="bottom"/>
            <w:hideMark/>
          </w:tcPr>
          <w:p w14:paraId="49DE5EBB"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9.2</w:t>
            </w:r>
          </w:p>
        </w:tc>
        <w:tc>
          <w:tcPr>
            <w:tcW w:w="1554" w:type="dxa"/>
            <w:tcBorders>
              <w:top w:val="nil"/>
              <w:left w:val="nil"/>
              <w:bottom w:val="nil"/>
              <w:right w:val="nil"/>
            </w:tcBorders>
            <w:shd w:val="clear" w:color="000000" w:fill="FFFFFF"/>
            <w:noWrap/>
            <w:vAlign w:val="bottom"/>
            <w:hideMark/>
          </w:tcPr>
          <w:p w14:paraId="72E5173A"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89.4%</w:t>
            </w:r>
          </w:p>
        </w:tc>
      </w:tr>
      <w:tr w:rsidR="00807BDD" w:rsidRPr="00DC66CD" w14:paraId="262C66A4" w14:textId="77777777" w:rsidTr="001E7569">
        <w:trPr>
          <w:trHeight w:val="237"/>
          <w:jc w:val="center"/>
        </w:trPr>
        <w:tc>
          <w:tcPr>
            <w:tcW w:w="2993" w:type="dxa"/>
            <w:tcBorders>
              <w:top w:val="nil"/>
              <w:left w:val="nil"/>
              <w:bottom w:val="nil"/>
              <w:right w:val="nil"/>
            </w:tcBorders>
            <w:shd w:val="clear" w:color="000000" w:fill="FFFFFF"/>
            <w:noWrap/>
            <w:vAlign w:val="bottom"/>
            <w:hideMark/>
          </w:tcPr>
          <w:p w14:paraId="2BB9A3F0" w14:textId="69AC71B2" w:rsidR="00807BDD" w:rsidRPr="00DC66CD" w:rsidRDefault="001E7569" w:rsidP="00807BDD">
            <w:pPr>
              <w:pStyle w:val="TEKSTIIII"/>
              <w:ind w:firstLine="0"/>
              <w:rPr>
                <w:rFonts w:eastAsia="Times New Roman"/>
                <w:sz w:val="20"/>
                <w:szCs w:val="20"/>
              </w:rPr>
            </w:pPr>
            <w:r w:rsidRPr="00DC66CD">
              <w:rPr>
                <w:rFonts w:eastAsia="Times New Roman"/>
                <w:sz w:val="20"/>
                <w:szCs w:val="20"/>
              </w:rPr>
              <w:t>Obligacione 2-vjeçare</w:t>
            </w:r>
          </w:p>
        </w:tc>
        <w:tc>
          <w:tcPr>
            <w:tcW w:w="1669" w:type="dxa"/>
            <w:tcBorders>
              <w:top w:val="nil"/>
              <w:left w:val="nil"/>
              <w:bottom w:val="nil"/>
              <w:right w:val="nil"/>
            </w:tcBorders>
            <w:shd w:val="clear" w:color="000000" w:fill="FFFFFF"/>
            <w:noWrap/>
            <w:vAlign w:val="bottom"/>
            <w:hideMark/>
          </w:tcPr>
          <w:p w14:paraId="0BD2E796"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31.8</w:t>
            </w:r>
          </w:p>
        </w:tc>
        <w:tc>
          <w:tcPr>
            <w:tcW w:w="1598" w:type="dxa"/>
            <w:tcBorders>
              <w:top w:val="nil"/>
              <w:left w:val="nil"/>
              <w:bottom w:val="nil"/>
              <w:right w:val="nil"/>
            </w:tcBorders>
            <w:shd w:val="clear" w:color="000000" w:fill="FFFFFF"/>
            <w:noWrap/>
            <w:vAlign w:val="bottom"/>
            <w:hideMark/>
          </w:tcPr>
          <w:p w14:paraId="350B1E37"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45.8</w:t>
            </w:r>
          </w:p>
        </w:tc>
        <w:tc>
          <w:tcPr>
            <w:tcW w:w="1630" w:type="dxa"/>
            <w:tcBorders>
              <w:top w:val="nil"/>
              <w:left w:val="nil"/>
              <w:bottom w:val="nil"/>
              <w:right w:val="nil"/>
            </w:tcBorders>
            <w:shd w:val="clear" w:color="000000" w:fill="FFFFFF"/>
            <w:noWrap/>
            <w:vAlign w:val="bottom"/>
            <w:hideMark/>
          </w:tcPr>
          <w:p w14:paraId="0692EAB7"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-14.0</w:t>
            </w:r>
          </w:p>
        </w:tc>
        <w:tc>
          <w:tcPr>
            <w:tcW w:w="1554" w:type="dxa"/>
            <w:tcBorders>
              <w:top w:val="nil"/>
              <w:left w:val="nil"/>
              <w:bottom w:val="nil"/>
              <w:right w:val="nil"/>
            </w:tcBorders>
            <w:shd w:val="clear" w:color="000000" w:fill="FFFFFF"/>
            <w:noWrap/>
            <w:vAlign w:val="bottom"/>
            <w:hideMark/>
          </w:tcPr>
          <w:p w14:paraId="4D4333F0"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-135.3%</w:t>
            </w:r>
          </w:p>
        </w:tc>
      </w:tr>
      <w:tr w:rsidR="00807BDD" w:rsidRPr="00DC66CD" w14:paraId="7E1EAF0B" w14:textId="77777777" w:rsidTr="001E7569">
        <w:trPr>
          <w:trHeight w:val="237"/>
          <w:jc w:val="center"/>
        </w:trPr>
        <w:tc>
          <w:tcPr>
            <w:tcW w:w="2993" w:type="dxa"/>
            <w:tcBorders>
              <w:top w:val="nil"/>
              <w:left w:val="nil"/>
              <w:bottom w:val="nil"/>
              <w:right w:val="nil"/>
            </w:tcBorders>
            <w:shd w:val="clear" w:color="000000" w:fill="FFFFFF"/>
            <w:noWrap/>
            <w:vAlign w:val="bottom"/>
            <w:hideMark/>
          </w:tcPr>
          <w:p w14:paraId="106A5D00" w14:textId="1716BAC4" w:rsidR="00807BDD" w:rsidRPr="00DC66CD" w:rsidRDefault="001E7569" w:rsidP="00807BDD">
            <w:pPr>
              <w:pStyle w:val="TEKSTIIII"/>
              <w:ind w:firstLine="0"/>
              <w:rPr>
                <w:rFonts w:eastAsia="Times New Roman"/>
                <w:sz w:val="20"/>
                <w:szCs w:val="20"/>
              </w:rPr>
            </w:pPr>
            <w:r w:rsidRPr="00DC66CD">
              <w:rPr>
                <w:rFonts w:eastAsia="Times New Roman"/>
                <w:sz w:val="20"/>
                <w:szCs w:val="20"/>
              </w:rPr>
              <w:t>Obligacione 3-vjeçare</w:t>
            </w:r>
          </w:p>
        </w:tc>
        <w:tc>
          <w:tcPr>
            <w:tcW w:w="1669" w:type="dxa"/>
            <w:tcBorders>
              <w:top w:val="nil"/>
              <w:left w:val="nil"/>
              <w:bottom w:val="nil"/>
              <w:right w:val="nil"/>
            </w:tcBorders>
            <w:shd w:val="clear" w:color="000000" w:fill="FFFFFF"/>
            <w:noWrap/>
            <w:vAlign w:val="bottom"/>
            <w:hideMark/>
          </w:tcPr>
          <w:p w14:paraId="5B7E7E0C"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14.1</w:t>
            </w:r>
          </w:p>
        </w:tc>
        <w:tc>
          <w:tcPr>
            <w:tcW w:w="1598" w:type="dxa"/>
            <w:tcBorders>
              <w:top w:val="nil"/>
              <w:left w:val="nil"/>
              <w:bottom w:val="nil"/>
              <w:right w:val="nil"/>
            </w:tcBorders>
            <w:shd w:val="clear" w:color="000000" w:fill="FFFFFF"/>
            <w:noWrap/>
            <w:vAlign w:val="bottom"/>
            <w:hideMark/>
          </w:tcPr>
          <w:p w14:paraId="1EB68347"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10.7</w:t>
            </w:r>
          </w:p>
        </w:tc>
        <w:tc>
          <w:tcPr>
            <w:tcW w:w="1630" w:type="dxa"/>
            <w:tcBorders>
              <w:top w:val="nil"/>
              <w:left w:val="nil"/>
              <w:bottom w:val="nil"/>
              <w:right w:val="nil"/>
            </w:tcBorders>
            <w:shd w:val="clear" w:color="000000" w:fill="FFFFFF"/>
            <w:noWrap/>
            <w:vAlign w:val="bottom"/>
            <w:hideMark/>
          </w:tcPr>
          <w:p w14:paraId="5AD70A5E"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3.4</w:t>
            </w:r>
          </w:p>
        </w:tc>
        <w:tc>
          <w:tcPr>
            <w:tcW w:w="1554" w:type="dxa"/>
            <w:tcBorders>
              <w:top w:val="nil"/>
              <w:left w:val="nil"/>
              <w:bottom w:val="nil"/>
              <w:right w:val="nil"/>
            </w:tcBorders>
            <w:shd w:val="clear" w:color="000000" w:fill="FFFFFF"/>
            <w:noWrap/>
            <w:vAlign w:val="bottom"/>
            <w:hideMark/>
          </w:tcPr>
          <w:p w14:paraId="06B58E3F"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32.6%</w:t>
            </w:r>
          </w:p>
        </w:tc>
      </w:tr>
      <w:tr w:rsidR="00807BDD" w:rsidRPr="00DC66CD" w14:paraId="533F9B93" w14:textId="77777777" w:rsidTr="001E7569">
        <w:trPr>
          <w:trHeight w:val="237"/>
          <w:jc w:val="center"/>
        </w:trPr>
        <w:tc>
          <w:tcPr>
            <w:tcW w:w="2993" w:type="dxa"/>
            <w:tcBorders>
              <w:top w:val="nil"/>
              <w:left w:val="nil"/>
              <w:bottom w:val="nil"/>
              <w:right w:val="nil"/>
            </w:tcBorders>
            <w:shd w:val="clear" w:color="000000" w:fill="FFFFFF"/>
            <w:noWrap/>
            <w:vAlign w:val="bottom"/>
            <w:hideMark/>
          </w:tcPr>
          <w:p w14:paraId="7A2E46FB" w14:textId="779418E3" w:rsidR="00807BDD" w:rsidRPr="00DC66CD" w:rsidRDefault="001E7569" w:rsidP="00807BDD">
            <w:pPr>
              <w:pStyle w:val="TEKSTIIII"/>
              <w:ind w:firstLine="0"/>
              <w:rPr>
                <w:rFonts w:eastAsia="Times New Roman"/>
                <w:sz w:val="20"/>
                <w:szCs w:val="20"/>
              </w:rPr>
            </w:pPr>
            <w:r w:rsidRPr="00DC66CD">
              <w:rPr>
                <w:rFonts w:eastAsia="Times New Roman"/>
                <w:sz w:val="20"/>
                <w:szCs w:val="20"/>
              </w:rPr>
              <w:t>Obligacione 5-vjeçare</w:t>
            </w:r>
          </w:p>
        </w:tc>
        <w:tc>
          <w:tcPr>
            <w:tcW w:w="1669" w:type="dxa"/>
            <w:tcBorders>
              <w:top w:val="nil"/>
              <w:left w:val="nil"/>
              <w:bottom w:val="nil"/>
              <w:right w:val="nil"/>
            </w:tcBorders>
            <w:shd w:val="clear" w:color="000000" w:fill="FFFFFF"/>
            <w:noWrap/>
            <w:vAlign w:val="bottom"/>
            <w:hideMark/>
          </w:tcPr>
          <w:p w14:paraId="5C66137A"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17.7</w:t>
            </w:r>
          </w:p>
        </w:tc>
        <w:tc>
          <w:tcPr>
            <w:tcW w:w="1598" w:type="dxa"/>
            <w:tcBorders>
              <w:top w:val="nil"/>
              <w:left w:val="nil"/>
              <w:bottom w:val="nil"/>
              <w:right w:val="nil"/>
            </w:tcBorders>
            <w:shd w:val="clear" w:color="000000" w:fill="FFFFFF"/>
            <w:noWrap/>
            <w:vAlign w:val="bottom"/>
            <w:hideMark/>
          </w:tcPr>
          <w:p w14:paraId="530618BE"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11.3</w:t>
            </w:r>
          </w:p>
        </w:tc>
        <w:tc>
          <w:tcPr>
            <w:tcW w:w="1630" w:type="dxa"/>
            <w:tcBorders>
              <w:top w:val="nil"/>
              <w:left w:val="nil"/>
              <w:bottom w:val="nil"/>
              <w:right w:val="nil"/>
            </w:tcBorders>
            <w:shd w:val="clear" w:color="000000" w:fill="FFFFFF"/>
            <w:noWrap/>
            <w:vAlign w:val="bottom"/>
            <w:hideMark/>
          </w:tcPr>
          <w:p w14:paraId="2BF020AB"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6.4</w:t>
            </w:r>
          </w:p>
        </w:tc>
        <w:tc>
          <w:tcPr>
            <w:tcW w:w="1554" w:type="dxa"/>
            <w:tcBorders>
              <w:top w:val="nil"/>
              <w:left w:val="nil"/>
              <w:bottom w:val="nil"/>
              <w:right w:val="nil"/>
            </w:tcBorders>
            <w:shd w:val="clear" w:color="000000" w:fill="FFFFFF"/>
            <w:noWrap/>
            <w:vAlign w:val="bottom"/>
            <w:hideMark/>
          </w:tcPr>
          <w:p w14:paraId="36220C53"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61.4%</w:t>
            </w:r>
          </w:p>
        </w:tc>
      </w:tr>
      <w:tr w:rsidR="00807BDD" w:rsidRPr="00DC66CD" w14:paraId="549A4894" w14:textId="77777777" w:rsidTr="001E7569">
        <w:trPr>
          <w:trHeight w:val="237"/>
          <w:jc w:val="center"/>
        </w:trPr>
        <w:tc>
          <w:tcPr>
            <w:tcW w:w="2993" w:type="dxa"/>
            <w:tcBorders>
              <w:top w:val="nil"/>
              <w:left w:val="nil"/>
              <w:bottom w:val="nil"/>
              <w:right w:val="nil"/>
            </w:tcBorders>
            <w:shd w:val="clear" w:color="000000" w:fill="FFFFFF"/>
            <w:noWrap/>
            <w:vAlign w:val="bottom"/>
            <w:hideMark/>
          </w:tcPr>
          <w:p w14:paraId="4A4044EC" w14:textId="39D9ACA4" w:rsidR="00807BDD" w:rsidRPr="00DC66CD" w:rsidRDefault="001E7569" w:rsidP="00807BDD">
            <w:pPr>
              <w:pStyle w:val="TEKSTIIII"/>
              <w:ind w:firstLine="0"/>
              <w:rPr>
                <w:rFonts w:eastAsia="Times New Roman"/>
                <w:sz w:val="20"/>
                <w:szCs w:val="20"/>
              </w:rPr>
            </w:pPr>
            <w:r w:rsidRPr="00DC66CD">
              <w:rPr>
                <w:rFonts w:eastAsia="Times New Roman"/>
                <w:sz w:val="20"/>
                <w:szCs w:val="20"/>
              </w:rPr>
              <w:t>Obligacione 7-vjeçare</w:t>
            </w:r>
          </w:p>
        </w:tc>
        <w:tc>
          <w:tcPr>
            <w:tcW w:w="1669" w:type="dxa"/>
            <w:tcBorders>
              <w:top w:val="nil"/>
              <w:left w:val="nil"/>
              <w:bottom w:val="nil"/>
              <w:right w:val="nil"/>
            </w:tcBorders>
            <w:shd w:val="clear" w:color="000000" w:fill="FFFFFF"/>
            <w:noWrap/>
            <w:vAlign w:val="bottom"/>
            <w:hideMark/>
          </w:tcPr>
          <w:p w14:paraId="1EA0E881"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8.9</w:t>
            </w:r>
          </w:p>
        </w:tc>
        <w:tc>
          <w:tcPr>
            <w:tcW w:w="1598" w:type="dxa"/>
            <w:tcBorders>
              <w:top w:val="nil"/>
              <w:left w:val="nil"/>
              <w:bottom w:val="nil"/>
              <w:right w:val="nil"/>
            </w:tcBorders>
            <w:shd w:val="clear" w:color="000000" w:fill="FFFFFF"/>
            <w:noWrap/>
            <w:vAlign w:val="bottom"/>
            <w:hideMark/>
          </w:tcPr>
          <w:p w14:paraId="1E045D61"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5.0</w:t>
            </w:r>
          </w:p>
        </w:tc>
        <w:tc>
          <w:tcPr>
            <w:tcW w:w="1630" w:type="dxa"/>
            <w:tcBorders>
              <w:top w:val="nil"/>
              <w:left w:val="nil"/>
              <w:bottom w:val="nil"/>
              <w:right w:val="nil"/>
            </w:tcBorders>
            <w:shd w:val="clear" w:color="000000" w:fill="FFFFFF"/>
            <w:noWrap/>
            <w:vAlign w:val="bottom"/>
            <w:hideMark/>
          </w:tcPr>
          <w:p w14:paraId="287F14C7"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3.9</w:t>
            </w:r>
          </w:p>
        </w:tc>
        <w:tc>
          <w:tcPr>
            <w:tcW w:w="1554" w:type="dxa"/>
            <w:tcBorders>
              <w:top w:val="nil"/>
              <w:left w:val="nil"/>
              <w:bottom w:val="nil"/>
              <w:right w:val="nil"/>
            </w:tcBorders>
            <w:shd w:val="clear" w:color="000000" w:fill="FFFFFF"/>
            <w:noWrap/>
            <w:vAlign w:val="bottom"/>
            <w:hideMark/>
          </w:tcPr>
          <w:p w14:paraId="2E4CD529"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38.0%</w:t>
            </w:r>
          </w:p>
        </w:tc>
      </w:tr>
      <w:tr w:rsidR="00807BDD" w:rsidRPr="00DC66CD" w14:paraId="594F31E0" w14:textId="77777777" w:rsidTr="001E7569">
        <w:trPr>
          <w:trHeight w:val="237"/>
          <w:jc w:val="center"/>
        </w:trPr>
        <w:tc>
          <w:tcPr>
            <w:tcW w:w="2993" w:type="dxa"/>
            <w:tcBorders>
              <w:top w:val="nil"/>
              <w:left w:val="nil"/>
              <w:bottom w:val="single" w:sz="4" w:space="0" w:color="auto"/>
              <w:right w:val="nil"/>
            </w:tcBorders>
            <w:shd w:val="clear" w:color="000000" w:fill="FFFFFF"/>
            <w:noWrap/>
            <w:vAlign w:val="bottom"/>
            <w:hideMark/>
          </w:tcPr>
          <w:p w14:paraId="3DDF48EE" w14:textId="721D8D4E" w:rsidR="00807BDD" w:rsidRPr="00DC66CD" w:rsidRDefault="00807BDD" w:rsidP="00807BDD">
            <w:pPr>
              <w:pStyle w:val="TEKSTIIII"/>
              <w:ind w:firstLine="0"/>
              <w:rPr>
                <w:rFonts w:eastAsia="Times New Roman"/>
                <w:sz w:val="20"/>
                <w:szCs w:val="20"/>
              </w:rPr>
            </w:pPr>
            <w:r w:rsidRPr="00DC66CD">
              <w:rPr>
                <w:rFonts w:eastAsia="Times New Roman"/>
                <w:sz w:val="20"/>
                <w:szCs w:val="20"/>
              </w:rPr>
              <w:t>Obli</w:t>
            </w:r>
            <w:r w:rsidR="001E7569" w:rsidRPr="00DC66CD">
              <w:rPr>
                <w:rFonts w:eastAsia="Times New Roman"/>
                <w:sz w:val="20"/>
                <w:szCs w:val="20"/>
              </w:rPr>
              <w:t>gacione 10-vjeçare</w:t>
            </w:r>
          </w:p>
        </w:tc>
        <w:tc>
          <w:tcPr>
            <w:tcW w:w="1669" w:type="dxa"/>
            <w:tcBorders>
              <w:top w:val="nil"/>
              <w:left w:val="nil"/>
              <w:bottom w:val="single" w:sz="4" w:space="0" w:color="auto"/>
              <w:right w:val="nil"/>
            </w:tcBorders>
            <w:shd w:val="clear" w:color="000000" w:fill="FFFFFF"/>
            <w:noWrap/>
            <w:vAlign w:val="bottom"/>
            <w:hideMark/>
          </w:tcPr>
          <w:p w14:paraId="39FDB345"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9.6</w:t>
            </w:r>
          </w:p>
        </w:tc>
        <w:tc>
          <w:tcPr>
            <w:tcW w:w="1598" w:type="dxa"/>
            <w:tcBorders>
              <w:top w:val="nil"/>
              <w:left w:val="nil"/>
              <w:bottom w:val="single" w:sz="4" w:space="0" w:color="auto"/>
              <w:right w:val="nil"/>
            </w:tcBorders>
            <w:shd w:val="clear" w:color="000000" w:fill="FFFFFF"/>
            <w:noWrap/>
            <w:vAlign w:val="bottom"/>
            <w:hideMark/>
          </w:tcPr>
          <w:p w14:paraId="54D32B9E"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0.0</w:t>
            </w:r>
          </w:p>
        </w:tc>
        <w:tc>
          <w:tcPr>
            <w:tcW w:w="1630" w:type="dxa"/>
            <w:tcBorders>
              <w:top w:val="nil"/>
              <w:left w:val="nil"/>
              <w:bottom w:val="single" w:sz="4" w:space="0" w:color="auto"/>
              <w:right w:val="nil"/>
            </w:tcBorders>
            <w:shd w:val="clear" w:color="000000" w:fill="FFFFFF"/>
            <w:noWrap/>
            <w:vAlign w:val="bottom"/>
            <w:hideMark/>
          </w:tcPr>
          <w:p w14:paraId="443D262A"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9.6</w:t>
            </w:r>
          </w:p>
        </w:tc>
        <w:tc>
          <w:tcPr>
            <w:tcW w:w="1554" w:type="dxa"/>
            <w:tcBorders>
              <w:top w:val="nil"/>
              <w:left w:val="nil"/>
              <w:bottom w:val="single" w:sz="4" w:space="0" w:color="auto"/>
              <w:right w:val="nil"/>
            </w:tcBorders>
            <w:shd w:val="clear" w:color="000000" w:fill="FFFFFF"/>
            <w:noWrap/>
            <w:vAlign w:val="bottom"/>
            <w:hideMark/>
          </w:tcPr>
          <w:p w14:paraId="78EDE3F5"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92.7%</w:t>
            </w:r>
          </w:p>
        </w:tc>
      </w:tr>
      <w:tr w:rsidR="00807BDD" w:rsidRPr="00DC66CD" w14:paraId="069B62FE" w14:textId="77777777" w:rsidTr="001E7569">
        <w:trPr>
          <w:trHeight w:val="237"/>
          <w:jc w:val="center"/>
        </w:trPr>
        <w:tc>
          <w:tcPr>
            <w:tcW w:w="2993" w:type="dxa"/>
            <w:tcBorders>
              <w:top w:val="nil"/>
              <w:left w:val="nil"/>
              <w:bottom w:val="single" w:sz="4" w:space="0" w:color="auto"/>
              <w:right w:val="nil"/>
            </w:tcBorders>
            <w:shd w:val="clear" w:color="000000" w:fill="FFFFFF"/>
            <w:noWrap/>
            <w:vAlign w:val="bottom"/>
            <w:hideMark/>
          </w:tcPr>
          <w:p w14:paraId="4E395297" w14:textId="77777777" w:rsidR="00807BDD"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Total</w:t>
            </w:r>
          </w:p>
        </w:tc>
        <w:tc>
          <w:tcPr>
            <w:tcW w:w="1669" w:type="dxa"/>
            <w:tcBorders>
              <w:top w:val="nil"/>
              <w:left w:val="nil"/>
              <w:bottom w:val="single" w:sz="4" w:space="0" w:color="auto"/>
              <w:right w:val="nil"/>
            </w:tcBorders>
            <w:shd w:val="clear" w:color="000000" w:fill="FFFFFF"/>
            <w:noWrap/>
            <w:vAlign w:val="bottom"/>
            <w:hideMark/>
          </w:tcPr>
          <w:p w14:paraId="08223A22"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246.3</w:t>
            </w:r>
          </w:p>
        </w:tc>
        <w:tc>
          <w:tcPr>
            <w:tcW w:w="1598" w:type="dxa"/>
            <w:tcBorders>
              <w:top w:val="nil"/>
              <w:left w:val="nil"/>
              <w:bottom w:val="single" w:sz="4" w:space="0" w:color="auto"/>
              <w:right w:val="nil"/>
            </w:tcBorders>
            <w:shd w:val="clear" w:color="000000" w:fill="FFFFFF"/>
            <w:noWrap/>
            <w:vAlign w:val="bottom"/>
            <w:hideMark/>
          </w:tcPr>
          <w:p w14:paraId="241CE493"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235.9</w:t>
            </w:r>
          </w:p>
        </w:tc>
        <w:tc>
          <w:tcPr>
            <w:tcW w:w="1630" w:type="dxa"/>
            <w:tcBorders>
              <w:top w:val="nil"/>
              <w:left w:val="nil"/>
              <w:bottom w:val="single" w:sz="4" w:space="0" w:color="auto"/>
              <w:right w:val="nil"/>
            </w:tcBorders>
            <w:shd w:val="clear" w:color="000000" w:fill="FFFFFF"/>
            <w:noWrap/>
            <w:vAlign w:val="bottom"/>
            <w:hideMark/>
          </w:tcPr>
          <w:p w14:paraId="0379940D"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10.3</w:t>
            </w:r>
          </w:p>
        </w:tc>
        <w:tc>
          <w:tcPr>
            <w:tcW w:w="1554" w:type="dxa"/>
            <w:tcBorders>
              <w:top w:val="nil"/>
              <w:left w:val="nil"/>
              <w:bottom w:val="single" w:sz="4" w:space="0" w:color="auto"/>
              <w:right w:val="nil"/>
            </w:tcBorders>
            <w:shd w:val="clear" w:color="000000" w:fill="FFFFFF"/>
            <w:noWrap/>
            <w:vAlign w:val="bottom"/>
            <w:hideMark/>
          </w:tcPr>
          <w:p w14:paraId="6A31767C"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100.0%</w:t>
            </w:r>
          </w:p>
        </w:tc>
      </w:tr>
    </w:tbl>
    <w:p w14:paraId="12316BFD" w14:textId="77777777" w:rsidR="00807BDD" w:rsidRPr="00DC66CD" w:rsidRDefault="00807BDD" w:rsidP="00807BDD">
      <w:pPr>
        <w:pStyle w:val="TEKSTIIII"/>
        <w:rPr>
          <w:i/>
        </w:rPr>
      </w:pPr>
      <w:r w:rsidRPr="00DC66CD">
        <w:rPr>
          <w:i/>
        </w:rPr>
        <w:t>Burimi: Ministria e Financave dhe Ekonomisë</w:t>
      </w:r>
    </w:p>
    <w:p w14:paraId="0D0887DA" w14:textId="77777777" w:rsidR="00807BDD" w:rsidRPr="00DC66CD" w:rsidRDefault="00807BDD" w:rsidP="00807BDD">
      <w:pPr>
        <w:pStyle w:val="TEKSTIIII"/>
      </w:pPr>
    </w:p>
    <w:p w14:paraId="1B507FDA" w14:textId="43FEDFD0" w:rsidR="00807BDD" w:rsidRPr="00DC66CD" w:rsidRDefault="00807BDD" w:rsidP="00807BDD">
      <w:pPr>
        <w:pStyle w:val="TEKSTIIII"/>
      </w:pPr>
      <w:r w:rsidRPr="00DC66CD">
        <w:t>Gjatë nëntëmujorit të vitit 2019, huamarrja e huaj bruto u realizua në vlerën 107.5 milion</w:t>
      </w:r>
      <w:r w:rsidR="001E7569" w:rsidRPr="00DC66CD">
        <w:t>ë</w:t>
      </w:r>
      <w:r w:rsidRPr="00DC66CD">
        <w:t xml:space="preserve"> </w:t>
      </w:r>
      <w:r w:rsidR="001E7569" w:rsidRPr="00DC66CD">
        <w:t xml:space="preserve">euro </w:t>
      </w:r>
      <w:r w:rsidRPr="00DC66CD">
        <w:t xml:space="preserve">dhe është siguruar kryesisht nëpërmjet burimeve shumëpalëshe dhe dypalëshe në </w:t>
      </w:r>
      <w:r w:rsidR="001E7569" w:rsidRPr="00DC66CD">
        <w:t>formën</w:t>
      </w:r>
      <w:r w:rsidRPr="00DC66CD">
        <w:t xml:space="preserve"> e huave që financojnë projektet ekzistuese. Niveli i realizimit të huamarrjes së huaj ka qenë në nivele të</w:t>
      </w:r>
      <w:r w:rsidR="0072211B" w:rsidRPr="00DC66CD">
        <w:t xml:space="preserve"> </w:t>
      </w:r>
      <w:r w:rsidRPr="00DC66CD">
        <w:t>krahasueshme me të njëjtën periudhë të një viti më parë.</w:t>
      </w:r>
    </w:p>
    <w:p w14:paraId="7A4596DF" w14:textId="77777777" w:rsidR="00807BDD" w:rsidRPr="00DC66CD" w:rsidRDefault="00807BDD" w:rsidP="00807BDD">
      <w:pPr>
        <w:pStyle w:val="TEKSTIIII"/>
        <w:rPr>
          <w:bCs/>
        </w:rPr>
      </w:pPr>
    </w:p>
    <w:p w14:paraId="5AB9F08E" w14:textId="37615C64" w:rsidR="00807BDD" w:rsidRPr="00DC66CD" w:rsidRDefault="001E7569" w:rsidP="00807BDD">
      <w:pPr>
        <w:pStyle w:val="TEKSTIIII"/>
        <w:rPr>
          <w:i/>
        </w:rPr>
      </w:pPr>
      <w:r w:rsidRPr="00DC66CD">
        <w:rPr>
          <w:bCs/>
          <w:i/>
        </w:rPr>
        <w:t>Tabela 4.5.3</w:t>
      </w:r>
      <w:r w:rsidR="00807BDD" w:rsidRPr="00DC66CD">
        <w:rPr>
          <w:bCs/>
          <w:i/>
        </w:rPr>
        <w:t xml:space="preserve"> Huamarrja e </w:t>
      </w:r>
      <w:r w:rsidRPr="00DC66CD">
        <w:rPr>
          <w:bCs/>
          <w:i/>
        </w:rPr>
        <w:t>huaj</w:t>
      </w:r>
    </w:p>
    <w:tbl>
      <w:tblPr>
        <w:tblW w:w="9329" w:type="dxa"/>
        <w:jc w:val="center"/>
        <w:tblLook w:val="04A0" w:firstRow="1" w:lastRow="0" w:firstColumn="1" w:lastColumn="0" w:noHBand="0" w:noVBand="1"/>
      </w:tblPr>
      <w:tblGrid>
        <w:gridCol w:w="2951"/>
        <w:gridCol w:w="1668"/>
        <w:gridCol w:w="1640"/>
        <w:gridCol w:w="1525"/>
        <w:gridCol w:w="1545"/>
      </w:tblGrid>
      <w:tr w:rsidR="00807BDD" w:rsidRPr="00DC66CD" w14:paraId="762F97F6" w14:textId="77777777" w:rsidTr="001E7569">
        <w:trPr>
          <w:trHeight w:val="250"/>
          <w:jc w:val="center"/>
        </w:trPr>
        <w:tc>
          <w:tcPr>
            <w:tcW w:w="2951" w:type="dxa"/>
            <w:tcBorders>
              <w:top w:val="single" w:sz="4" w:space="0" w:color="auto"/>
              <w:left w:val="nil"/>
              <w:bottom w:val="single" w:sz="4" w:space="0" w:color="auto"/>
              <w:right w:val="nil"/>
            </w:tcBorders>
            <w:shd w:val="clear" w:color="000000" w:fill="FFFFFF"/>
            <w:noWrap/>
            <w:vAlign w:val="center"/>
            <w:hideMark/>
          </w:tcPr>
          <w:p w14:paraId="2A4E680E" w14:textId="2D2232A9" w:rsidR="00807BDD" w:rsidRPr="00DC66CD" w:rsidRDefault="00807BDD" w:rsidP="001E7569">
            <w:pPr>
              <w:pStyle w:val="TEKSTIIII"/>
              <w:ind w:firstLine="0"/>
              <w:jc w:val="center"/>
              <w:rPr>
                <w:rFonts w:eastAsia="Times New Roman"/>
                <w:sz w:val="20"/>
                <w:szCs w:val="20"/>
              </w:rPr>
            </w:pPr>
          </w:p>
        </w:tc>
        <w:tc>
          <w:tcPr>
            <w:tcW w:w="3308"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CFAAD37" w14:textId="77777777" w:rsidR="00807BDD"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9m. 2018</w:t>
            </w:r>
          </w:p>
        </w:tc>
        <w:tc>
          <w:tcPr>
            <w:tcW w:w="3070" w:type="dxa"/>
            <w:gridSpan w:val="2"/>
            <w:tcBorders>
              <w:top w:val="single" w:sz="4" w:space="0" w:color="auto"/>
              <w:left w:val="nil"/>
              <w:bottom w:val="single" w:sz="4" w:space="0" w:color="auto"/>
              <w:right w:val="nil"/>
            </w:tcBorders>
            <w:shd w:val="clear" w:color="000000" w:fill="FFFFFF"/>
            <w:noWrap/>
            <w:vAlign w:val="center"/>
            <w:hideMark/>
          </w:tcPr>
          <w:p w14:paraId="57D3DF6F" w14:textId="77777777" w:rsidR="00807BDD"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9m. 2019</w:t>
            </w:r>
          </w:p>
        </w:tc>
      </w:tr>
      <w:tr w:rsidR="00807BDD" w:rsidRPr="00DC66CD" w14:paraId="010FDDD8" w14:textId="77777777" w:rsidTr="001E7569">
        <w:trPr>
          <w:trHeight w:val="491"/>
          <w:jc w:val="center"/>
        </w:trPr>
        <w:tc>
          <w:tcPr>
            <w:tcW w:w="2951" w:type="dxa"/>
            <w:vMerge w:val="restart"/>
            <w:tcBorders>
              <w:top w:val="nil"/>
              <w:left w:val="nil"/>
              <w:bottom w:val="nil"/>
              <w:right w:val="nil"/>
            </w:tcBorders>
            <w:shd w:val="clear" w:color="000000" w:fill="FFFFFF"/>
            <w:noWrap/>
            <w:vAlign w:val="center"/>
            <w:hideMark/>
          </w:tcPr>
          <w:p w14:paraId="1AE5B520" w14:textId="13FE3811" w:rsidR="00807BDD" w:rsidRPr="00DC66CD" w:rsidRDefault="00807BDD" w:rsidP="001E7569">
            <w:pPr>
              <w:pStyle w:val="TEKSTIIII"/>
              <w:ind w:firstLine="0"/>
              <w:jc w:val="center"/>
              <w:rPr>
                <w:rFonts w:eastAsia="Times New Roman"/>
                <w:b/>
                <w:sz w:val="20"/>
                <w:szCs w:val="20"/>
              </w:rPr>
            </w:pPr>
          </w:p>
        </w:tc>
        <w:tc>
          <w:tcPr>
            <w:tcW w:w="1668" w:type="dxa"/>
            <w:vMerge w:val="restart"/>
            <w:tcBorders>
              <w:top w:val="nil"/>
              <w:left w:val="nil"/>
              <w:bottom w:val="single" w:sz="4" w:space="0" w:color="000000"/>
              <w:right w:val="nil"/>
            </w:tcBorders>
            <w:shd w:val="clear" w:color="000000" w:fill="FFFFFF"/>
            <w:vAlign w:val="center"/>
            <w:hideMark/>
          </w:tcPr>
          <w:p w14:paraId="3999F8B6" w14:textId="1AB9A045" w:rsidR="00807BDD" w:rsidRPr="00DC66CD" w:rsidRDefault="00807BDD" w:rsidP="001E7569">
            <w:pPr>
              <w:pStyle w:val="TEKSTIIII"/>
              <w:ind w:firstLine="0"/>
              <w:jc w:val="center"/>
              <w:rPr>
                <w:rFonts w:eastAsia="Times New Roman"/>
                <w:b/>
                <w:sz w:val="20"/>
                <w:szCs w:val="20"/>
              </w:rPr>
            </w:pPr>
            <w:r w:rsidRPr="00DC66CD">
              <w:rPr>
                <w:rFonts w:eastAsia="Times New Roman"/>
                <w:b/>
                <w:bCs/>
                <w:sz w:val="20"/>
                <w:szCs w:val="20"/>
              </w:rPr>
              <w:t>Shuma</w:t>
            </w:r>
          </w:p>
          <w:p w14:paraId="796250BB" w14:textId="3B3FD951" w:rsidR="00807BDD" w:rsidRPr="00DC66CD" w:rsidRDefault="00807BDD" w:rsidP="001E7569">
            <w:pPr>
              <w:pStyle w:val="TEKSTIIII"/>
              <w:ind w:firstLine="0"/>
              <w:jc w:val="center"/>
              <w:rPr>
                <w:rFonts w:eastAsia="Times New Roman"/>
                <w:b/>
                <w:sz w:val="20"/>
                <w:szCs w:val="20"/>
              </w:rPr>
            </w:pPr>
            <w:r w:rsidRPr="00DC66CD">
              <w:rPr>
                <w:rFonts w:eastAsia="Times New Roman"/>
                <w:b/>
                <w:sz w:val="20"/>
                <w:szCs w:val="20"/>
              </w:rPr>
              <w:t xml:space="preserve">(në mln </w:t>
            </w:r>
            <w:r w:rsidR="001E7569" w:rsidRPr="00DC66CD">
              <w:rPr>
                <w:rFonts w:eastAsia="Times New Roman"/>
                <w:b/>
                <w:sz w:val="20"/>
                <w:szCs w:val="20"/>
              </w:rPr>
              <w:t>euro</w:t>
            </w:r>
            <w:r w:rsidRPr="00DC66CD">
              <w:rPr>
                <w:rFonts w:eastAsia="Times New Roman"/>
                <w:b/>
                <w:sz w:val="20"/>
                <w:szCs w:val="20"/>
              </w:rPr>
              <w:t>)</w:t>
            </w:r>
          </w:p>
        </w:tc>
        <w:tc>
          <w:tcPr>
            <w:tcW w:w="1640" w:type="dxa"/>
            <w:vMerge w:val="restart"/>
            <w:tcBorders>
              <w:top w:val="nil"/>
              <w:left w:val="nil"/>
              <w:bottom w:val="single" w:sz="4" w:space="0" w:color="000000"/>
              <w:right w:val="single" w:sz="4" w:space="0" w:color="auto"/>
            </w:tcBorders>
            <w:shd w:val="clear" w:color="000000" w:fill="FFFFFF"/>
            <w:noWrap/>
            <w:vAlign w:val="center"/>
            <w:hideMark/>
          </w:tcPr>
          <w:p w14:paraId="4BC01A68" w14:textId="5E464477" w:rsidR="00807BDD"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%/Total</w:t>
            </w:r>
          </w:p>
        </w:tc>
        <w:tc>
          <w:tcPr>
            <w:tcW w:w="1525" w:type="dxa"/>
            <w:vMerge w:val="restart"/>
            <w:tcBorders>
              <w:top w:val="nil"/>
              <w:left w:val="nil"/>
              <w:bottom w:val="single" w:sz="4" w:space="0" w:color="000000"/>
              <w:right w:val="nil"/>
            </w:tcBorders>
            <w:shd w:val="clear" w:color="000000" w:fill="FFFFFF"/>
            <w:vAlign w:val="center"/>
            <w:hideMark/>
          </w:tcPr>
          <w:p w14:paraId="1B80D544" w14:textId="77777777" w:rsidR="001E7569"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Shuma</w:t>
            </w:r>
            <w:r w:rsidR="0072211B" w:rsidRPr="00DC66CD">
              <w:rPr>
                <w:rFonts w:eastAsia="Times New Roman"/>
                <w:b/>
                <w:bCs/>
                <w:sz w:val="20"/>
                <w:szCs w:val="20"/>
              </w:rPr>
              <w:t xml:space="preserve"> </w:t>
            </w:r>
          </w:p>
          <w:p w14:paraId="23C1E704" w14:textId="6C3B0237" w:rsidR="00807BDD" w:rsidRPr="00DC66CD" w:rsidRDefault="00807BDD" w:rsidP="001E7569">
            <w:pPr>
              <w:pStyle w:val="TEKSTIIII"/>
              <w:ind w:firstLine="0"/>
              <w:jc w:val="center"/>
              <w:rPr>
                <w:rFonts w:eastAsia="Times New Roman"/>
                <w:b/>
                <w:sz w:val="20"/>
                <w:szCs w:val="20"/>
              </w:rPr>
            </w:pPr>
            <w:r w:rsidRPr="00DC66CD">
              <w:rPr>
                <w:rFonts w:eastAsia="Times New Roman"/>
                <w:b/>
                <w:sz w:val="20"/>
                <w:szCs w:val="20"/>
              </w:rPr>
              <w:t xml:space="preserve">(në mln </w:t>
            </w:r>
            <w:r w:rsidR="001E7569" w:rsidRPr="00DC66CD">
              <w:rPr>
                <w:rFonts w:eastAsia="Times New Roman"/>
                <w:b/>
                <w:sz w:val="20"/>
                <w:szCs w:val="20"/>
              </w:rPr>
              <w:t>euro</w:t>
            </w:r>
            <w:r w:rsidRPr="00DC66CD">
              <w:rPr>
                <w:rFonts w:eastAsia="Times New Roman"/>
                <w:b/>
                <w:sz w:val="20"/>
                <w:szCs w:val="20"/>
              </w:rPr>
              <w:t>)</w:t>
            </w:r>
          </w:p>
        </w:tc>
        <w:tc>
          <w:tcPr>
            <w:tcW w:w="1545" w:type="dxa"/>
            <w:vMerge w:val="restart"/>
            <w:tcBorders>
              <w:top w:val="nil"/>
              <w:left w:val="nil"/>
              <w:bottom w:val="single" w:sz="4" w:space="0" w:color="000000"/>
              <w:right w:val="nil"/>
            </w:tcBorders>
            <w:shd w:val="clear" w:color="000000" w:fill="FFFFFF"/>
            <w:noWrap/>
            <w:vAlign w:val="center"/>
            <w:hideMark/>
          </w:tcPr>
          <w:p w14:paraId="60C8591F" w14:textId="0167BCCA" w:rsidR="00807BDD" w:rsidRPr="00DC66CD" w:rsidRDefault="00807BDD" w:rsidP="001E7569">
            <w:pPr>
              <w:pStyle w:val="TEKSTIIII"/>
              <w:ind w:firstLine="0"/>
              <w:jc w:val="center"/>
              <w:rPr>
                <w:rFonts w:eastAsia="Times New Roman"/>
                <w:b/>
                <w:bCs/>
                <w:sz w:val="20"/>
                <w:szCs w:val="20"/>
              </w:rPr>
            </w:pPr>
            <w:r w:rsidRPr="00DC66CD">
              <w:rPr>
                <w:rFonts w:eastAsia="Times New Roman"/>
                <w:b/>
                <w:bCs/>
                <w:sz w:val="20"/>
                <w:szCs w:val="20"/>
              </w:rPr>
              <w:t>%/</w:t>
            </w:r>
            <w:r w:rsidR="001E7569" w:rsidRPr="00DC66CD">
              <w:rPr>
                <w:rFonts w:eastAsia="Times New Roman"/>
                <w:b/>
                <w:bCs/>
                <w:sz w:val="20"/>
                <w:szCs w:val="20"/>
              </w:rPr>
              <w:t>total</w:t>
            </w:r>
          </w:p>
        </w:tc>
      </w:tr>
      <w:tr w:rsidR="00807BDD" w:rsidRPr="00DC66CD" w14:paraId="056121A2" w14:textId="77777777" w:rsidTr="001E7569">
        <w:trPr>
          <w:trHeight w:val="491"/>
          <w:jc w:val="center"/>
        </w:trPr>
        <w:tc>
          <w:tcPr>
            <w:tcW w:w="2951" w:type="dxa"/>
            <w:vMerge/>
            <w:tcBorders>
              <w:top w:val="nil"/>
              <w:left w:val="nil"/>
              <w:bottom w:val="nil"/>
              <w:right w:val="nil"/>
            </w:tcBorders>
            <w:vAlign w:val="center"/>
            <w:hideMark/>
          </w:tcPr>
          <w:p w14:paraId="58BE6A4E" w14:textId="77777777" w:rsidR="00807BDD" w:rsidRPr="00DC66CD" w:rsidRDefault="00807BDD" w:rsidP="00807BDD">
            <w:pPr>
              <w:pStyle w:val="TEKSTIIII"/>
              <w:ind w:firstLine="0"/>
              <w:rPr>
                <w:rFonts w:eastAsia="Times New Roman"/>
                <w:sz w:val="20"/>
                <w:szCs w:val="20"/>
              </w:rPr>
            </w:pPr>
          </w:p>
        </w:tc>
        <w:tc>
          <w:tcPr>
            <w:tcW w:w="1668" w:type="dxa"/>
            <w:vMerge/>
            <w:tcBorders>
              <w:top w:val="nil"/>
              <w:left w:val="nil"/>
              <w:bottom w:val="single" w:sz="4" w:space="0" w:color="000000"/>
              <w:right w:val="nil"/>
            </w:tcBorders>
            <w:vAlign w:val="center"/>
            <w:hideMark/>
          </w:tcPr>
          <w:p w14:paraId="1C010D14" w14:textId="77777777" w:rsidR="00807BDD" w:rsidRPr="00DC66CD" w:rsidRDefault="00807BDD" w:rsidP="00807BDD">
            <w:pPr>
              <w:pStyle w:val="TEKSTIIII"/>
              <w:ind w:firstLine="0"/>
              <w:rPr>
                <w:rFonts w:eastAsia="Times New Roman"/>
                <w:sz w:val="20"/>
                <w:szCs w:val="20"/>
              </w:rPr>
            </w:pPr>
          </w:p>
        </w:tc>
        <w:tc>
          <w:tcPr>
            <w:tcW w:w="1640" w:type="dxa"/>
            <w:vMerge/>
            <w:tcBorders>
              <w:top w:val="nil"/>
              <w:left w:val="nil"/>
              <w:bottom w:val="single" w:sz="4" w:space="0" w:color="000000"/>
              <w:right w:val="single" w:sz="4" w:space="0" w:color="auto"/>
            </w:tcBorders>
            <w:vAlign w:val="center"/>
            <w:hideMark/>
          </w:tcPr>
          <w:p w14:paraId="6F5F75EE" w14:textId="77777777" w:rsidR="00807BDD" w:rsidRPr="00DC66CD" w:rsidRDefault="00807BDD" w:rsidP="00807BDD">
            <w:pPr>
              <w:pStyle w:val="TEKSTIIII"/>
              <w:ind w:firstLine="0"/>
              <w:rPr>
                <w:rFonts w:eastAsia="Times New Roman"/>
                <w:b/>
                <w:bCs/>
                <w:sz w:val="20"/>
                <w:szCs w:val="20"/>
              </w:rPr>
            </w:pPr>
          </w:p>
        </w:tc>
        <w:tc>
          <w:tcPr>
            <w:tcW w:w="1525" w:type="dxa"/>
            <w:vMerge/>
            <w:tcBorders>
              <w:top w:val="nil"/>
              <w:left w:val="nil"/>
              <w:bottom w:val="single" w:sz="4" w:space="0" w:color="000000"/>
              <w:right w:val="nil"/>
            </w:tcBorders>
            <w:vAlign w:val="center"/>
            <w:hideMark/>
          </w:tcPr>
          <w:p w14:paraId="3C3C181C" w14:textId="77777777" w:rsidR="00807BDD" w:rsidRPr="00DC66CD" w:rsidRDefault="00807BDD" w:rsidP="00807BDD">
            <w:pPr>
              <w:pStyle w:val="TEKSTIIII"/>
              <w:ind w:firstLine="0"/>
              <w:rPr>
                <w:rFonts w:eastAsia="Times New Roman"/>
                <w:sz w:val="20"/>
                <w:szCs w:val="20"/>
              </w:rPr>
            </w:pPr>
          </w:p>
        </w:tc>
        <w:tc>
          <w:tcPr>
            <w:tcW w:w="1545" w:type="dxa"/>
            <w:vMerge/>
            <w:tcBorders>
              <w:top w:val="nil"/>
              <w:left w:val="nil"/>
              <w:bottom w:val="single" w:sz="4" w:space="0" w:color="000000"/>
              <w:right w:val="nil"/>
            </w:tcBorders>
            <w:vAlign w:val="center"/>
            <w:hideMark/>
          </w:tcPr>
          <w:p w14:paraId="6875AC55" w14:textId="77777777" w:rsidR="00807BDD" w:rsidRPr="00DC66CD" w:rsidRDefault="00807BDD" w:rsidP="00807BDD">
            <w:pPr>
              <w:pStyle w:val="TEKSTIIII"/>
              <w:ind w:firstLine="0"/>
              <w:rPr>
                <w:rFonts w:eastAsia="Times New Roman"/>
                <w:b/>
                <w:bCs/>
                <w:sz w:val="20"/>
                <w:szCs w:val="20"/>
              </w:rPr>
            </w:pPr>
          </w:p>
        </w:tc>
      </w:tr>
      <w:tr w:rsidR="00807BDD" w:rsidRPr="00DC66CD" w14:paraId="1BAF3340" w14:textId="77777777" w:rsidTr="001E7569">
        <w:trPr>
          <w:trHeight w:val="250"/>
          <w:jc w:val="center"/>
        </w:trPr>
        <w:tc>
          <w:tcPr>
            <w:tcW w:w="2951" w:type="dxa"/>
            <w:tcBorders>
              <w:top w:val="nil"/>
              <w:left w:val="nil"/>
              <w:bottom w:val="nil"/>
              <w:right w:val="nil"/>
            </w:tcBorders>
            <w:shd w:val="clear" w:color="000000" w:fill="FFFFFF"/>
            <w:noWrap/>
            <w:vAlign w:val="center"/>
            <w:hideMark/>
          </w:tcPr>
          <w:p w14:paraId="7A53F4C7" w14:textId="2FE84896" w:rsidR="00807BDD" w:rsidRPr="00DC66CD" w:rsidRDefault="00807BDD" w:rsidP="00807BDD">
            <w:pPr>
              <w:pStyle w:val="TEKSTIIII"/>
              <w:ind w:firstLine="0"/>
              <w:rPr>
                <w:rFonts w:eastAsia="Times New Roman"/>
                <w:b/>
                <w:bCs/>
                <w:sz w:val="20"/>
                <w:szCs w:val="20"/>
              </w:rPr>
            </w:pPr>
            <w:r w:rsidRPr="00DC66CD">
              <w:rPr>
                <w:rFonts w:eastAsia="Times New Roman"/>
                <w:b/>
                <w:bCs/>
                <w:sz w:val="20"/>
                <w:szCs w:val="20"/>
              </w:rPr>
              <w:t xml:space="preserve">Disbursimet </w:t>
            </w:r>
            <w:r w:rsidR="001E7569" w:rsidRPr="00DC66CD">
              <w:rPr>
                <w:rFonts w:eastAsia="Times New Roman"/>
                <w:b/>
                <w:bCs/>
                <w:sz w:val="20"/>
                <w:szCs w:val="20"/>
              </w:rPr>
              <w:t>total</w:t>
            </w:r>
          </w:p>
        </w:tc>
        <w:tc>
          <w:tcPr>
            <w:tcW w:w="1668" w:type="dxa"/>
            <w:tcBorders>
              <w:top w:val="nil"/>
              <w:left w:val="nil"/>
              <w:bottom w:val="nil"/>
              <w:right w:val="nil"/>
            </w:tcBorders>
            <w:shd w:val="clear" w:color="000000" w:fill="FFFFFF"/>
            <w:noWrap/>
            <w:vAlign w:val="center"/>
            <w:hideMark/>
          </w:tcPr>
          <w:p w14:paraId="01E26797"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104.4</w:t>
            </w:r>
          </w:p>
        </w:tc>
        <w:tc>
          <w:tcPr>
            <w:tcW w:w="1640" w:type="dxa"/>
            <w:tcBorders>
              <w:top w:val="nil"/>
              <w:left w:val="nil"/>
              <w:bottom w:val="nil"/>
              <w:right w:val="single" w:sz="4" w:space="0" w:color="auto"/>
            </w:tcBorders>
            <w:shd w:val="clear" w:color="000000" w:fill="FFFFFF"/>
            <w:noWrap/>
            <w:vAlign w:val="center"/>
            <w:hideMark/>
          </w:tcPr>
          <w:p w14:paraId="65ACB18B"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100.0%</w:t>
            </w:r>
          </w:p>
        </w:tc>
        <w:tc>
          <w:tcPr>
            <w:tcW w:w="1525" w:type="dxa"/>
            <w:tcBorders>
              <w:top w:val="nil"/>
              <w:left w:val="nil"/>
              <w:bottom w:val="nil"/>
              <w:right w:val="nil"/>
            </w:tcBorders>
            <w:shd w:val="clear" w:color="000000" w:fill="FFFFFF"/>
            <w:noWrap/>
            <w:vAlign w:val="center"/>
            <w:hideMark/>
          </w:tcPr>
          <w:p w14:paraId="2D24095A"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107.5</w:t>
            </w:r>
          </w:p>
        </w:tc>
        <w:tc>
          <w:tcPr>
            <w:tcW w:w="1545" w:type="dxa"/>
            <w:tcBorders>
              <w:top w:val="nil"/>
              <w:left w:val="nil"/>
              <w:bottom w:val="nil"/>
              <w:right w:val="nil"/>
            </w:tcBorders>
            <w:shd w:val="clear" w:color="000000" w:fill="FFFFFF"/>
            <w:noWrap/>
            <w:vAlign w:val="center"/>
            <w:hideMark/>
          </w:tcPr>
          <w:p w14:paraId="5A8782BB" w14:textId="77777777" w:rsidR="00807BDD" w:rsidRPr="00DC66CD" w:rsidRDefault="00807BDD" w:rsidP="001E7569">
            <w:pPr>
              <w:pStyle w:val="TEKSTIIII"/>
              <w:ind w:firstLine="0"/>
              <w:jc w:val="right"/>
              <w:rPr>
                <w:rFonts w:eastAsia="Times New Roman"/>
                <w:b/>
                <w:bCs/>
                <w:sz w:val="20"/>
                <w:szCs w:val="20"/>
              </w:rPr>
            </w:pPr>
            <w:r w:rsidRPr="00DC66CD">
              <w:rPr>
                <w:rFonts w:eastAsia="Times New Roman"/>
                <w:b/>
                <w:bCs/>
                <w:sz w:val="20"/>
                <w:szCs w:val="20"/>
              </w:rPr>
              <w:t>100.0%</w:t>
            </w:r>
          </w:p>
        </w:tc>
      </w:tr>
      <w:tr w:rsidR="00807BDD" w:rsidRPr="00DC66CD" w14:paraId="484AA119" w14:textId="77777777" w:rsidTr="001E7569">
        <w:trPr>
          <w:trHeight w:val="250"/>
          <w:jc w:val="center"/>
        </w:trPr>
        <w:tc>
          <w:tcPr>
            <w:tcW w:w="2951" w:type="dxa"/>
            <w:tcBorders>
              <w:top w:val="nil"/>
              <w:left w:val="nil"/>
              <w:bottom w:val="nil"/>
              <w:right w:val="nil"/>
            </w:tcBorders>
            <w:shd w:val="clear" w:color="000000" w:fill="FFFFFF"/>
            <w:noWrap/>
            <w:vAlign w:val="center"/>
            <w:hideMark/>
          </w:tcPr>
          <w:p w14:paraId="2B4DE6A2" w14:textId="58CB8F0C" w:rsidR="00807BDD" w:rsidRPr="00DC66CD" w:rsidRDefault="00807BDD" w:rsidP="00807BDD">
            <w:pPr>
              <w:pStyle w:val="TEKSTIIII"/>
              <w:ind w:firstLine="0"/>
              <w:rPr>
                <w:rFonts w:eastAsia="Times New Roman"/>
                <w:sz w:val="20"/>
                <w:szCs w:val="20"/>
              </w:rPr>
            </w:pPr>
            <w:r w:rsidRPr="00DC66CD">
              <w:rPr>
                <w:rFonts w:eastAsia="Times New Roman"/>
                <w:sz w:val="20"/>
                <w:szCs w:val="20"/>
              </w:rPr>
              <w:t xml:space="preserve">Mbështetje </w:t>
            </w:r>
            <w:r w:rsidR="001E7569" w:rsidRPr="00DC66CD">
              <w:rPr>
                <w:rFonts w:eastAsia="Times New Roman"/>
                <w:sz w:val="20"/>
                <w:szCs w:val="20"/>
              </w:rPr>
              <w:t>buxhetore</w:t>
            </w:r>
          </w:p>
        </w:tc>
        <w:tc>
          <w:tcPr>
            <w:tcW w:w="1668" w:type="dxa"/>
            <w:tcBorders>
              <w:top w:val="nil"/>
              <w:left w:val="nil"/>
              <w:bottom w:val="nil"/>
              <w:right w:val="nil"/>
            </w:tcBorders>
            <w:shd w:val="clear" w:color="000000" w:fill="FFFFFF"/>
            <w:noWrap/>
            <w:vAlign w:val="center"/>
            <w:hideMark/>
          </w:tcPr>
          <w:p w14:paraId="66959A29"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0.2</w:t>
            </w:r>
          </w:p>
        </w:tc>
        <w:tc>
          <w:tcPr>
            <w:tcW w:w="1640" w:type="dxa"/>
            <w:tcBorders>
              <w:top w:val="nil"/>
              <w:left w:val="nil"/>
              <w:bottom w:val="nil"/>
              <w:right w:val="single" w:sz="4" w:space="0" w:color="auto"/>
            </w:tcBorders>
            <w:shd w:val="clear" w:color="000000" w:fill="FFFFFF"/>
            <w:noWrap/>
            <w:vAlign w:val="center"/>
            <w:hideMark/>
          </w:tcPr>
          <w:p w14:paraId="1447F169"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0.2%</w:t>
            </w:r>
          </w:p>
        </w:tc>
        <w:tc>
          <w:tcPr>
            <w:tcW w:w="1525" w:type="dxa"/>
            <w:tcBorders>
              <w:top w:val="nil"/>
              <w:left w:val="nil"/>
              <w:bottom w:val="nil"/>
              <w:right w:val="nil"/>
            </w:tcBorders>
            <w:shd w:val="clear" w:color="000000" w:fill="FFFFFF"/>
            <w:noWrap/>
            <w:vAlign w:val="center"/>
            <w:hideMark/>
          </w:tcPr>
          <w:p w14:paraId="27050CCE"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14.0</w:t>
            </w:r>
          </w:p>
        </w:tc>
        <w:tc>
          <w:tcPr>
            <w:tcW w:w="1545" w:type="dxa"/>
            <w:tcBorders>
              <w:top w:val="nil"/>
              <w:left w:val="nil"/>
              <w:bottom w:val="nil"/>
              <w:right w:val="nil"/>
            </w:tcBorders>
            <w:shd w:val="clear" w:color="000000" w:fill="FFFFFF"/>
            <w:noWrap/>
            <w:vAlign w:val="center"/>
            <w:hideMark/>
          </w:tcPr>
          <w:p w14:paraId="07C91581"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13.0%</w:t>
            </w:r>
          </w:p>
        </w:tc>
      </w:tr>
      <w:tr w:rsidR="00807BDD" w:rsidRPr="00DC66CD" w14:paraId="534900F4" w14:textId="77777777" w:rsidTr="001E7569">
        <w:trPr>
          <w:trHeight w:val="250"/>
          <w:jc w:val="center"/>
        </w:trPr>
        <w:tc>
          <w:tcPr>
            <w:tcW w:w="2951" w:type="dxa"/>
            <w:tcBorders>
              <w:top w:val="nil"/>
              <w:left w:val="nil"/>
              <w:bottom w:val="single" w:sz="4" w:space="0" w:color="auto"/>
              <w:right w:val="nil"/>
            </w:tcBorders>
            <w:shd w:val="clear" w:color="000000" w:fill="FFFFFF"/>
            <w:noWrap/>
            <w:vAlign w:val="center"/>
            <w:hideMark/>
          </w:tcPr>
          <w:p w14:paraId="72130E80" w14:textId="092BB641" w:rsidR="00807BDD" w:rsidRPr="00DC66CD" w:rsidRDefault="00807BDD" w:rsidP="00807BDD">
            <w:pPr>
              <w:pStyle w:val="TEKSTIIII"/>
              <w:ind w:firstLine="0"/>
              <w:rPr>
                <w:rFonts w:eastAsia="Times New Roman"/>
                <w:sz w:val="20"/>
                <w:szCs w:val="20"/>
              </w:rPr>
            </w:pPr>
            <w:r w:rsidRPr="00DC66CD">
              <w:rPr>
                <w:rFonts w:eastAsia="Times New Roman"/>
                <w:sz w:val="20"/>
                <w:szCs w:val="20"/>
              </w:rPr>
              <w:t>Hua për financim projektesh</w:t>
            </w:r>
            <w:r w:rsidR="0072211B" w:rsidRPr="00DC66CD">
              <w:rPr>
                <w:rFonts w:eastAsia="Times New Roman"/>
                <w:sz w:val="20"/>
                <w:szCs w:val="20"/>
              </w:rPr>
              <w:t xml:space="preserve"> </w:t>
            </w:r>
          </w:p>
        </w:tc>
        <w:tc>
          <w:tcPr>
            <w:tcW w:w="1668" w:type="dxa"/>
            <w:tcBorders>
              <w:top w:val="nil"/>
              <w:left w:val="nil"/>
              <w:bottom w:val="single" w:sz="4" w:space="0" w:color="auto"/>
              <w:right w:val="nil"/>
            </w:tcBorders>
            <w:shd w:val="clear" w:color="000000" w:fill="FFFFFF"/>
            <w:noWrap/>
            <w:vAlign w:val="center"/>
            <w:hideMark/>
          </w:tcPr>
          <w:p w14:paraId="60203D35"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104.1</w:t>
            </w:r>
          </w:p>
        </w:tc>
        <w:tc>
          <w:tcPr>
            <w:tcW w:w="1640" w:type="dxa"/>
            <w:tcBorders>
              <w:top w:val="nil"/>
              <w:left w:val="nil"/>
              <w:bottom w:val="single" w:sz="4" w:space="0" w:color="auto"/>
              <w:right w:val="single" w:sz="4" w:space="0" w:color="auto"/>
            </w:tcBorders>
            <w:shd w:val="clear" w:color="000000" w:fill="FFFFFF"/>
            <w:noWrap/>
            <w:vAlign w:val="center"/>
            <w:hideMark/>
          </w:tcPr>
          <w:p w14:paraId="4FD90C12"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99.8%</w:t>
            </w:r>
          </w:p>
        </w:tc>
        <w:tc>
          <w:tcPr>
            <w:tcW w:w="1525" w:type="dxa"/>
            <w:tcBorders>
              <w:top w:val="nil"/>
              <w:left w:val="nil"/>
              <w:bottom w:val="single" w:sz="4" w:space="0" w:color="auto"/>
              <w:right w:val="nil"/>
            </w:tcBorders>
            <w:shd w:val="clear" w:color="000000" w:fill="FFFFFF"/>
            <w:noWrap/>
            <w:vAlign w:val="center"/>
            <w:hideMark/>
          </w:tcPr>
          <w:p w14:paraId="54B0E501"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93.5</w:t>
            </w:r>
          </w:p>
        </w:tc>
        <w:tc>
          <w:tcPr>
            <w:tcW w:w="1545" w:type="dxa"/>
            <w:tcBorders>
              <w:top w:val="nil"/>
              <w:left w:val="nil"/>
              <w:bottom w:val="single" w:sz="4" w:space="0" w:color="auto"/>
              <w:right w:val="nil"/>
            </w:tcBorders>
            <w:shd w:val="clear" w:color="000000" w:fill="FFFFFF"/>
            <w:noWrap/>
            <w:vAlign w:val="center"/>
            <w:hideMark/>
          </w:tcPr>
          <w:p w14:paraId="214E48BB" w14:textId="77777777" w:rsidR="00807BDD" w:rsidRPr="00DC66CD" w:rsidRDefault="00807BDD" w:rsidP="001E7569">
            <w:pPr>
              <w:pStyle w:val="TEKSTIIII"/>
              <w:ind w:firstLine="0"/>
              <w:jc w:val="right"/>
              <w:rPr>
                <w:rFonts w:eastAsia="Times New Roman"/>
                <w:sz w:val="20"/>
                <w:szCs w:val="20"/>
              </w:rPr>
            </w:pPr>
            <w:r w:rsidRPr="00DC66CD">
              <w:rPr>
                <w:rFonts w:eastAsia="Times New Roman"/>
                <w:sz w:val="20"/>
                <w:szCs w:val="20"/>
              </w:rPr>
              <w:t>87.0%</w:t>
            </w:r>
          </w:p>
        </w:tc>
      </w:tr>
    </w:tbl>
    <w:p w14:paraId="32B6745F" w14:textId="77777777" w:rsidR="00807BDD" w:rsidRPr="00DC66CD" w:rsidRDefault="00807BDD" w:rsidP="00807BDD">
      <w:pPr>
        <w:pStyle w:val="TEKSTIIII"/>
        <w:rPr>
          <w:i/>
        </w:rPr>
      </w:pPr>
      <w:r w:rsidRPr="00DC66CD">
        <w:rPr>
          <w:i/>
        </w:rPr>
        <w:t>Burimi: Ministria e Financave dhe Ekonomisë</w:t>
      </w:r>
    </w:p>
    <w:p w14:paraId="1C9B3149" w14:textId="77777777" w:rsidR="00807BDD" w:rsidRPr="00DC66CD" w:rsidRDefault="00807BDD" w:rsidP="00807BDD">
      <w:pPr>
        <w:pStyle w:val="TEKSTIIII"/>
      </w:pPr>
    </w:p>
    <w:p w14:paraId="08BE9005" w14:textId="44780647" w:rsidR="00807BDD" w:rsidRPr="00DC66CD" w:rsidRDefault="00807BDD" w:rsidP="00807BDD">
      <w:pPr>
        <w:pStyle w:val="TEKSTIIII"/>
        <w:rPr>
          <w:b/>
          <w:i/>
        </w:rPr>
      </w:pPr>
      <w:r w:rsidRPr="00DC66CD">
        <w:rPr>
          <w:b/>
          <w:i/>
        </w:rPr>
        <w:t xml:space="preserve">Kosto dhe </w:t>
      </w:r>
      <w:r w:rsidR="001E7569" w:rsidRPr="00DC66CD">
        <w:rPr>
          <w:b/>
          <w:i/>
        </w:rPr>
        <w:t>risqet</w:t>
      </w:r>
    </w:p>
    <w:p w14:paraId="11A7C2C5" w14:textId="22C9639E" w:rsidR="00807BDD" w:rsidRPr="00DC66CD" w:rsidRDefault="00807BDD" w:rsidP="00807BDD">
      <w:pPr>
        <w:pStyle w:val="TEKSTIIII"/>
      </w:pPr>
      <w:r w:rsidRPr="00DC66CD">
        <w:t>Kushtet e favorshme në tregjet e brendshme dhe të jashtme për</w:t>
      </w:r>
      <w:r w:rsidR="001E7569" w:rsidRPr="00DC66CD">
        <w:t xml:space="preserve"> </w:t>
      </w:r>
      <w:r w:rsidRPr="00DC66CD">
        <w:t>sa i përket kërkesës për borxh</w:t>
      </w:r>
      <w:r w:rsidR="001E7569" w:rsidRPr="00DC66CD">
        <w:t>,</w:t>
      </w:r>
      <w:r w:rsidRPr="00DC66CD">
        <w:t xml:space="preserve"> si edhe mjedisi i favorshëm i normave të interesit gjatë vitit 2019, shoqëruar me një strategji huamarrje të mbështetur kryesisht në titujt afatgjatë me norma interesi fikse, mundësuan reduktimin e mëtejshëm të ekspozimit ndaj risqeve</w:t>
      </w:r>
      <w:r w:rsidR="001E7569" w:rsidRPr="00DC66CD">
        <w:t>,</w:t>
      </w:r>
      <w:r w:rsidRPr="00DC66CD">
        <w:t xml:space="preserve"> si edhe mbajtjen e kostos nën </w:t>
      </w:r>
      <w:r w:rsidR="001E7569" w:rsidRPr="00DC66CD">
        <w:t>kontroll</w:t>
      </w:r>
      <w:r w:rsidRPr="00DC66CD">
        <w:t xml:space="preserve"> gjatë vitit 2019.</w:t>
      </w:r>
    </w:p>
    <w:p w14:paraId="6BE7C6D2" w14:textId="2A05CC68" w:rsidR="00807BDD" w:rsidRPr="00DC66CD" w:rsidRDefault="00807BDD" w:rsidP="00807BDD">
      <w:pPr>
        <w:pStyle w:val="TEKSTIIII"/>
      </w:pPr>
      <w:r w:rsidRPr="00DC66CD">
        <w:t xml:space="preserve">Në portofolin e borxhit të brendshëm ka vazhduar ulja e kostos për njësi. Ulja e kostos për njësi të borxhit të brendshëm ndërkohë që maturiteti i borxhit vazhdon të rritet, reflekton një </w:t>
      </w:r>
      <w:r w:rsidR="001E7569" w:rsidRPr="00DC66CD">
        <w:t>përmirësimin</w:t>
      </w:r>
      <w:r w:rsidRPr="00DC66CD">
        <w:t xml:space="preserve"> në raportin ndërmjet kostos dhe riskut.</w:t>
      </w:r>
    </w:p>
    <w:p w14:paraId="35C35C87" w14:textId="77777777" w:rsidR="00807BDD" w:rsidRPr="00DC66CD" w:rsidRDefault="00807BDD" w:rsidP="00807BDD">
      <w:pPr>
        <w:pStyle w:val="TEKSTIIII"/>
        <w:rPr>
          <w:bCs/>
        </w:rPr>
      </w:pPr>
    </w:p>
    <w:p w14:paraId="22C172CC" w14:textId="2516DB24" w:rsidR="00807BDD" w:rsidRPr="00DC66CD" w:rsidRDefault="00807BDD" w:rsidP="00807BDD">
      <w:pPr>
        <w:pStyle w:val="TEKSTIIII"/>
        <w:rPr>
          <w:bCs/>
          <w:i/>
        </w:rPr>
      </w:pPr>
      <w:r w:rsidRPr="00DC66CD">
        <w:rPr>
          <w:bCs/>
          <w:i/>
        </w:rPr>
        <w:t xml:space="preserve">Grafiku 4.5.3 Borxhi i </w:t>
      </w:r>
      <w:r w:rsidR="001E7569" w:rsidRPr="00DC66CD">
        <w:rPr>
          <w:bCs/>
          <w:i/>
        </w:rPr>
        <w:t>brendshëm afatshkurtër/borxhi i brendshëm afatgjatë dhe</w:t>
      </w:r>
      <w:r w:rsidRPr="00DC66CD">
        <w:rPr>
          <w:bCs/>
          <w:i/>
        </w:rPr>
        <w:t xml:space="preserve"> NMP</w:t>
      </w:r>
    </w:p>
    <w:p w14:paraId="7AFC9F53" w14:textId="257A89A1" w:rsidR="00314D95" w:rsidRPr="00DC66CD" w:rsidRDefault="009A31B8" w:rsidP="00A24AB0">
      <w:pPr>
        <w:pStyle w:val="TEKSTIIII"/>
        <w:jc w:val="center"/>
      </w:pPr>
      <w:r w:rsidRPr="00DC66CD">
        <w:rPr>
          <w:rFonts w:ascii="Times New Roman" w:hAnsi="Times New Roman"/>
          <w:noProof/>
          <w:lang w:val="en-US" w:eastAsia="en-US"/>
        </w:rPr>
        <w:drawing>
          <wp:inline distT="0" distB="0" distL="0" distR="0" wp14:anchorId="68FEA4A7" wp14:editId="1BD950B8">
            <wp:extent cx="5335326" cy="1463040"/>
            <wp:effectExtent l="0" t="0" r="17780" b="381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7AC824F9" w14:textId="77777777" w:rsidR="00E5428A" w:rsidRPr="00DC66CD" w:rsidRDefault="00E5428A" w:rsidP="00E5428A">
      <w:pPr>
        <w:pStyle w:val="TEKSTIIII"/>
        <w:rPr>
          <w:i/>
        </w:rPr>
      </w:pPr>
      <w:r w:rsidRPr="00DC66CD">
        <w:rPr>
          <w:i/>
        </w:rPr>
        <w:t>Burimi: Ministria e Financave dhe Ekonomisë</w:t>
      </w:r>
    </w:p>
    <w:p w14:paraId="6B3F5A64" w14:textId="77777777" w:rsidR="00E5428A" w:rsidRPr="00DC66CD" w:rsidRDefault="00E5428A" w:rsidP="00E5428A">
      <w:pPr>
        <w:pStyle w:val="TEKSTIIII"/>
      </w:pPr>
    </w:p>
    <w:p w14:paraId="787BAAEE" w14:textId="5921DE8F" w:rsidR="00E5428A" w:rsidRPr="00DC66CD" w:rsidRDefault="00E5428A" w:rsidP="00E5428A">
      <w:pPr>
        <w:pStyle w:val="TEKSTIIII"/>
        <w:rPr>
          <w:bCs/>
        </w:rPr>
      </w:pPr>
      <w:r w:rsidRPr="00DC66CD">
        <w:rPr>
          <w:bCs/>
        </w:rPr>
        <w:t>Shpenzimet për interesa gjatë periudhës janar</w:t>
      </w:r>
      <w:r w:rsidR="00A24AB0" w:rsidRPr="00DC66CD">
        <w:t>–</w:t>
      </w:r>
      <w:r w:rsidRPr="00DC66CD">
        <w:rPr>
          <w:bCs/>
        </w:rPr>
        <w:t>shtator të vitit 2019 janë vlerësuar në 25.4 miliard</w:t>
      </w:r>
      <w:r w:rsidR="00A24AB0" w:rsidRPr="00DC66CD">
        <w:rPr>
          <w:bCs/>
        </w:rPr>
        <w:t>ë</w:t>
      </w:r>
      <w:r w:rsidRPr="00DC66CD">
        <w:rPr>
          <w:bCs/>
        </w:rPr>
        <w:t xml:space="preserve"> </w:t>
      </w:r>
      <w:r w:rsidR="00A24AB0" w:rsidRPr="00DC66CD">
        <w:rPr>
          <w:bCs/>
        </w:rPr>
        <w:t>lekë</w:t>
      </w:r>
      <w:r w:rsidRPr="00DC66CD">
        <w:rPr>
          <w:bCs/>
        </w:rPr>
        <w:t>. Krahasuar me të njëjtën periudhë të vitit 2018, në përputhje me parashikimet për buxhetin e vitit 2019, shpenzimet për interesa të borxhit shtetëror janë rritur me 2.1 miliard</w:t>
      </w:r>
      <w:r w:rsidR="00A24AB0" w:rsidRPr="00DC66CD">
        <w:rPr>
          <w:bCs/>
        </w:rPr>
        <w:t>ë</w:t>
      </w:r>
      <w:r w:rsidRPr="00DC66CD">
        <w:rPr>
          <w:bCs/>
        </w:rPr>
        <w:t xml:space="preserve"> </w:t>
      </w:r>
      <w:r w:rsidR="00A24AB0" w:rsidRPr="00DC66CD">
        <w:rPr>
          <w:bCs/>
        </w:rPr>
        <w:t>lekë</w:t>
      </w:r>
      <w:r w:rsidRPr="00DC66CD">
        <w:rPr>
          <w:bCs/>
        </w:rPr>
        <w:t>. Rritja e shpenzimeve për interesa i atribuohet kryesisht rritjes së stokut të borxhit në vlerë nominale.</w:t>
      </w:r>
    </w:p>
    <w:p w14:paraId="3B596F5C" w14:textId="77777777" w:rsidR="00E5428A" w:rsidRPr="00DC66CD" w:rsidRDefault="00E5428A" w:rsidP="00E5428A">
      <w:pPr>
        <w:pStyle w:val="TEKSTIIII"/>
        <w:rPr>
          <w:bCs/>
        </w:rPr>
      </w:pPr>
    </w:p>
    <w:p w14:paraId="711202D9" w14:textId="5D610BD4" w:rsidR="00E5428A" w:rsidRPr="00DC66CD" w:rsidRDefault="00E5428A" w:rsidP="00E5428A">
      <w:pPr>
        <w:pStyle w:val="TEKSTIIII"/>
        <w:rPr>
          <w:bCs/>
          <w:i/>
        </w:rPr>
      </w:pPr>
      <w:r w:rsidRPr="00DC66CD">
        <w:rPr>
          <w:bCs/>
          <w:i/>
        </w:rPr>
        <w:t xml:space="preserve">Grafiku 4.5.4 Interesat e </w:t>
      </w:r>
      <w:r w:rsidR="00A24AB0" w:rsidRPr="00DC66CD">
        <w:rPr>
          <w:bCs/>
          <w:i/>
        </w:rPr>
        <w:t>borxhit shtetëror në vl</w:t>
      </w:r>
      <w:r w:rsidRPr="00DC66CD">
        <w:rPr>
          <w:bCs/>
          <w:i/>
        </w:rPr>
        <w:t>erë absolute dhe relative ndaj PBB</w:t>
      </w:r>
      <w:r w:rsidR="00A24AB0" w:rsidRPr="00DC66CD">
        <w:rPr>
          <w:bCs/>
          <w:i/>
        </w:rPr>
        <w:t>-së</w:t>
      </w:r>
    </w:p>
    <w:p w14:paraId="5848C55B" w14:textId="6B70F9AA" w:rsidR="00E5428A" w:rsidRPr="00DC66CD" w:rsidRDefault="00BB4D08" w:rsidP="00A24AB0">
      <w:pPr>
        <w:pStyle w:val="TEKSTIIII"/>
        <w:jc w:val="center"/>
      </w:pPr>
      <w:r w:rsidRPr="00DC66CD">
        <w:rPr>
          <w:rFonts w:ascii="Times New Roman" w:hAnsi="Times New Roman"/>
          <w:noProof/>
          <w:lang w:val="en-US" w:eastAsia="en-US"/>
        </w:rPr>
        <w:drawing>
          <wp:inline distT="0" distB="0" distL="0" distR="0" wp14:anchorId="6826DC00" wp14:editId="2669AC65">
            <wp:extent cx="5637475" cy="1311965"/>
            <wp:effectExtent l="0" t="0" r="1905" b="254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6A5D015" w14:textId="77777777" w:rsidR="00A523CD" w:rsidRPr="00DC66CD" w:rsidRDefault="00A523CD" w:rsidP="00A523CD">
      <w:pPr>
        <w:pStyle w:val="TEKSTIIII"/>
        <w:rPr>
          <w:i/>
        </w:rPr>
      </w:pPr>
      <w:r w:rsidRPr="00DC66CD">
        <w:rPr>
          <w:i/>
        </w:rPr>
        <w:t>Burimi: Ministria e Financave dhe Ekonomisë</w:t>
      </w:r>
    </w:p>
    <w:p w14:paraId="122C77B8" w14:textId="77777777" w:rsidR="00A523CD" w:rsidRPr="00DC66CD" w:rsidRDefault="00A523CD" w:rsidP="00A523CD">
      <w:pPr>
        <w:pStyle w:val="TEKSTIIII"/>
      </w:pPr>
    </w:p>
    <w:p w14:paraId="4EF98943" w14:textId="190F88E4" w:rsidR="00A523CD" w:rsidRPr="00DC66CD" w:rsidRDefault="00A523CD" w:rsidP="00A523CD">
      <w:pPr>
        <w:pStyle w:val="TEKSTIIII"/>
      </w:pPr>
      <w:r w:rsidRPr="00DC66CD">
        <w:t>Në periudhën afatmesme, pritet një rritje graduale e shpenzimeve për interesa në vlerë nominale, si rezultat i rritjes së stokut të borxhit. Megjithatë, në terma relativ</w:t>
      </w:r>
      <w:r w:rsidR="00A24AB0" w:rsidRPr="00DC66CD">
        <w:t>ë</w:t>
      </w:r>
      <w:r w:rsidRPr="00DC66CD">
        <w:t xml:space="preserve"> ndaj PBB</w:t>
      </w:r>
      <w:r w:rsidR="00A24AB0" w:rsidRPr="00DC66CD">
        <w:t>-së</w:t>
      </w:r>
      <w:r w:rsidRPr="00DC66CD">
        <w:t xml:space="preserve"> dhe të ardhurave tatimore, kosto</w:t>
      </w:r>
      <w:r w:rsidR="00A24AB0" w:rsidRPr="00DC66CD">
        <w:t>ja</w:t>
      </w:r>
      <w:r w:rsidRPr="00DC66CD">
        <w:t xml:space="preserve"> e borxhit pritet të qëndroje në nivele të </w:t>
      </w:r>
      <w:r w:rsidR="00A24AB0" w:rsidRPr="00DC66CD">
        <w:t>qëndrueshme</w:t>
      </w:r>
      <w:r w:rsidRPr="00DC66CD">
        <w:t xml:space="preserve"> dhe nën mesataren e pesë v</w:t>
      </w:r>
      <w:r w:rsidR="00A24AB0" w:rsidRPr="00DC66CD">
        <w:t>jetëve</w:t>
      </w:r>
      <w:r w:rsidRPr="00DC66CD">
        <w:t xml:space="preserve"> të fundit.</w:t>
      </w:r>
      <w:r w:rsidR="0072211B" w:rsidRPr="00DC66CD">
        <w:t xml:space="preserve"> </w:t>
      </w:r>
    </w:p>
    <w:p w14:paraId="5613AAC0" w14:textId="77777777" w:rsidR="00A523CD" w:rsidRPr="00DC66CD" w:rsidRDefault="00A523CD" w:rsidP="00A523CD">
      <w:pPr>
        <w:pStyle w:val="TEKSTIIII"/>
        <w:rPr>
          <w:bCs/>
        </w:rPr>
      </w:pPr>
    </w:p>
    <w:p w14:paraId="4B8A78AB" w14:textId="2DBD4BAB" w:rsidR="00A523CD" w:rsidRPr="00DC66CD" w:rsidRDefault="00A523CD" w:rsidP="00A523CD">
      <w:pPr>
        <w:pStyle w:val="TEKSTIIII"/>
        <w:rPr>
          <w:bCs/>
          <w:i/>
        </w:rPr>
      </w:pPr>
      <w:r w:rsidRPr="00DC66CD">
        <w:rPr>
          <w:bCs/>
          <w:i/>
        </w:rPr>
        <w:t xml:space="preserve">Grafiku 4.5.5 Shpenzimet </w:t>
      </w:r>
      <w:r w:rsidR="00A24AB0" w:rsidRPr="00DC66CD">
        <w:rPr>
          <w:bCs/>
          <w:i/>
        </w:rPr>
        <w:t xml:space="preserve">për interesa dhe interesa </w:t>
      </w:r>
      <w:r w:rsidRPr="00DC66CD">
        <w:rPr>
          <w:bCs/>
          <w:i/>
        </w:rPr>
        <w:t xml:space="preserve">ndaj PBB-së dhe të </w:t>
      </w:r>
      <w:r w:rsidR="00A24AB0" w:rsidRPr="00DC66CD">
        <w:rPr>
          <w:bCs/>
          <w:i/>
        </w:rPr>
        <w:t>ardhurave tatimore</w:t>
      </w:r>
    </w:p>
    <w:p w14:paraId="6A616D2A" w14:textId="28A0268B" w:rsidR="00A523CD" w:rsidRPr="00DC66CD" w:rsidRDefault="00343D91" w:rsidP="00A24AB0">
      <w:pPr>
        <w:pStyle w:val="TEKSTIIII"/>
        <w:jc w:val="center"/>
      </w:pPr>
      <w:r w:rsidRPr="00DC66CD">
        <w:rPr>
          <w:rFonts w:ascii="Times New Roman" w:hAnsi="Times New Roman"/>
          <w:noProof/>
          <w:lang w:val="en-US" w:eastAsia="en-US"/>
        </w:rPr>
        <w:drawing>
          <wp:inline distT="0" distB="0" distL="0" distR="0" wp14:anchorId="22F373CC" wp14:editId="67D4956E">
            <wp:extent cx="5200153" cy="1614115"/>
            <wp:effectExtent l="0" t="0" r="19685" b="2476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33F0B4D1" w14:textId="77777777" w:rsidR="00CA263B" w:rsidRPr="00DC66CD" w:rsidRDefault="00CA263B" w:rsidP="00CA263B">
      <w:pPr>
        <w:pStyle w:val="TEKSTIIII"/>
        <w:rPr>
          <w:i/>
        </w:rPr>
      </w:pPr>
      <w:r w:rsidRPr="00DC66CD">
        <w:rPr>
          <w:i/>
        </w:rPr>
        <w:t>Burimi: Ministria e Financave dhe Ekonomisë</w:t>
      </w:r>
    </w:p>
    <w:p w14:paraId="345586B3" w14:textId="77777777" w:rsidR="00CA263B" w:rsidRPr="00DC66CD" w:rsidRDefault="00CA263B" w:rsidP="00CA263B">
      <w:pPr>
        <w:pStyle w:val="TEKSTIIII"/>
      </w:pPr>
    </w:p>
    <w:p w14:paraId="501D5386" w14:textId="56BDDE18" w:rsidR="00CA263B" w:rsidRPr="00DC66CD" w:rsidRDefault="00CA263B" w:rsidP="00CA263B">
      <w:pPr>
        <w:pStyle w:val="TEKSTIIII"/>
      </w:pPr>
      <w:r w:rsidRPr="00DC66CD">
        <w:t xml:space="preserve">Reduktimi i riskut të rifinancimit dhe </w:t>
      </w:r>
      <w:r w:rsidR="00185BCA" w:rsidRPr="00DC66CD">
        <w:t xml:space="preserve">i </w:t>
      </w:r>
      <w:r w:rsidRPr="00DC66CD">
        <w:t>riskut të normave të interesit në tregun e brendshëm është ndër objektivat parësor</w:t>
      </w:r>
      <w:r w:rsidR="00185BCA" w:rsidRPr="00DC66CD">
        <w:t>ë</w:t>
      </w:r>
      <w:r w:rsidRPr="00DC66CD">
        <w:t xml:space="preserve"> në menaxhimin e portofolit të borxhit. Në këtë drejtim, progres është bërë edhe gjatë nëntëmujorit të vitit 2019.</w:t>
      </w:r>
    </w:p>
    <w:p w14:paraId="101A14FF" w14:textId="5B4256ED" w:rsidR="00CA263B" w:rsidRPr="00DC66CD" w:rsidRDefault="00CA263B" w:rsidP="00CA263B">
      <w:pPr>
        <w:pStyle w:val="TEKSTIIII"/>
      </w:pPr>
      <w:r w:rsidRPr="00DC66CD">
        <w:t>Borxhi i jashtëm paraqet më pak risk se borxhi i brendshëm, kryesisht pasi është i kompozuar nga instrumente me afat të gjatë maturimi dhe një pjesë e konsiderueshme e tij është me terma koncesional</w:t>
      </w:r>
      <w:r w:rsidR="00185BCA" w:rsidRPr="00DC66CD">
        <w:t>ë</w:t>
      </w:r>
      <w:r w:rsidRPr="00DC66CD">
        <w:t>.</w:t>
      </w:r>
    </w:p>
    <w:p w14:paraId="53A441E5" w14:textId="76272E37" w:rsidR="00CA263B" w:rsidRPr="00DC66CD" w:rsidRDefault="00CA263B" w:rsidP="00CA263B">
      <w:pPr>
        <w:pStyle w:val="TEKSTIIII"/>
      </w:pPr>
      <w:r w:rsidRPr="00DC66CD">
        <w:t>Risku i rifinancimit është përmirësuar, pasi jetëgjatësia e borxhit të brendshëm është rritur</w:t>
      </w:r>
      <w:r w:rsidR="005442E8" w:rsidRPr="00DC66CD">
        <w:t>,</w:t>
      </w:r>
      <w:r w:rsidRPr="00DC66CD">
        <w:t xml:space="preserve"> duke prekur nivelin e 819 ditëve në fund të muajit shtator 2019, krahasuar me 783 ditë në fund të vitit 2018.</w:t>
      </w:r>
    </w:p>
    <w:p w14:paraId="69085DC7" w14:textId="73EE862C" w:rsidR="00CA263B" w:rsidRPr="00DC66CD" w:rsidRDefault="00CA263B" w:rsidP="00CA263B">
      <w:pPr>
        <w:pStyle w:val="TEKSTIIII"/>
      </w:pPr>
      <w:r w:rsidRPr="00DC66CD">
        <w:t>Risku i normave të interesit</w:t>
      </w:r>
      <w:r w:rsidR="005442E8" w:rsidRPr="00DC66CD">
        <w:t>,</w:t>
      </w:r>
      <w:r w:rsidRPr="00DC66CD">
        <w:t xml:space="preserve"> gjithashtu</w:t>
      </w:r>
      <w:r w:rsidR="005442E8" w:rsidRPr="00DC66CD">
        <w:t>, është përmirësuar</w:t>
      </w:r>
      <w:r w:rsidRPr="00DC66CD">
        <w:t xml:space="preserve"> si rezultat i reduktimit të peshës së instrumenteve me afat të shkurtër maturimi dhe instrumenteve me norma interesi të ndryshueshme, përkatësisht me 0.38 dhe 1.57 pikë përqindje</w:t>
      </w:r>
      <w:r w:rsidR="005442E8" w:rsidRPr="00DC66CD">
        <w:t>je</w:t>
      </w:r>
      <w:r w:rsidRPr="00DC66CD">
        <w:t>, krahasuar me fundin e vitit 2018. Gjithashtu, pesha e instrumenteve që rivlerësojnë normën e interesit në harkun kohor të një viti është ulur nga 54.3% në dhjetor 2018 në 50.8% në shtator 2019.</w:t>
      </w:r>
    </w:p>
    <w:p w14:paraId="01027FB3" w14:textId="77777777" w:rsidR="00CA263B" w:rsidRPr="00DC66CD" w:rsidRDefault="00CA263B" w:rsidP="00CA263B">
      <w:pPr>
        <w:pStyle w:val="TEKSTIIII"/>
        <w:rPr>
          <w:b/>
          <w:bCs/>
        </w:rPr>
      </w:pPr>
    </w:p>
    <w:p w14:paraId="57E9B8CA" w14:textId="24DC5C57" w:rsidR="00CA263B" w:rsidRPr="00DC66CD" w:rsidRDefault="00D3067C" w:rsidP="00CA263B">
      <w:pPr>
        <w:pStyle w:val="TEKSTIIII"/>
        <w:rPr>
          <w:bCs/>
          <w:i/>
        </w:rPr>
      </w:pPr>
      <w:r w:rsidRPr="00DC66CD">
        <w:rPr>
          <w:bCs/>
          <w:i/>
        </w:rPr>
        <w:t>Tabela 4.5.4</w:t>
      </w:r>
      <w:r w:rsidR="00CA263B" w:rsidRPr="00DC66CD">
        <w:rPr>
          <w:bCs/>
          <w:i/>
        </w:rPr>
        <w:t xml:space="preserve"> Treguesit e </w:t>
      </w:r>
      <w:r w:rsidRPr="00DC66CD">
        <w:rPr>
          <w:bCs/>
          <w:i/>
        </w:rPr>
        <w:t>riskut të normave të interesit në borxhin e brendshëm</w:t>
      </w:r>
    </w:p>
    <w:tbl>
      <w:tblPr>
        <w:tblW w:w="9358" w:type="dxa"/>
        <w:tblLook w:val="04A0" w:firstRow="1" w:lastRow="0" w:firstColumn="1" w:lastColumn="0" w:noHBand="0" w:noVBand="1"/>
      </w:tblPr>
      <w:tblGrid>
        <w:gridCol w:w="5370"/>
        <w:gridCol w:w="1600"/>
        <w:gridCol w:w="1205"/>
        <w:gridCol w:w="1183"/>
      </w:tblGrid>
      <w:tr w:rsidR="00CA263B" w:rsidRPr="00DC66CD" w14:paraId="79EFDD5D" w14:textId="77777777" w:rsidTr="00E372C0">
        <w:trPr>
          <w:trHeight w:val="266"/>
        </w:trPr>
        <w:tc>
          <w:tcPr>
            <w:tcW w:w="5370" w:type="dxa"/>
            <w:tcBorders>
              <w:top w:val="single" w:sz="4" w:space="0" w:color="auto"/>
              <w:left w:val="nil"/>
              <w:bottom w:val="single" w:sz="4" w:space="0" w:color="auto"/>
              <w:right w:val="nil"/>
            </w:tcBorders>
            <w:shd w:val="clear" w:color="000000" w:fill="FFFFFF"/>
            <w:noWrap/>
            <w:vAlign w:val="bottom"/>
            <w:hideMark/>
          </w:tcPr>
          <w:p w14:paraId="3C62F128" w14:textId="77777777" w:rsidR="00CA263B" w:rsidRPr="00DC66CD" w:rsidRDefault="00CA263B" w:rsidP="00D3067C">
            <w:pPr>
              <w:pStyle w:val="TEKSTIIII"/>
              <w:ind w:firstLine="0"/>
              <w:jc w:val="center"/>
              <w:rPr>
                <w:rFonts w:eastAsia="Times New Roman"/>
                <w:b/>
                <w:bCs/>
                <w:sz w:val="20"/>
                <w:szCs w:val="20"/>
              </w:rPr>
            </w:pPr>
            <w:r w:rsidRPr="00DC66CD">
              <w:rPr>
                <w:rFonts w:eastAsia="Times New Roman"/>
                <w:b/>
                <w:bCs/>
                <w:sz w:val="20"/>
                <w:szCs w:val="20"/>
              </w:rPr>
              <w:t>Treguesi</w:t>
            </w:r>
          </w:p>
        </w:tc>
        <w:tc>
          <w:tcPr>
            <w:tcW w:w="1600" w:type="dxa"/>
            <w:tcBorders>
              <w:top w:val="single" w:sz="4" w:space="0" w:color="auto"/>
              <w:left w:val="nil"/>
              <w:bottom w:val="single" w:sz="4" w:space="0" w:color="auto"/>
              <w:right w:val="nil"/>
            </w:tcBorders>
            <w:shd w:val="clear" w:color="000000" w:fill="FFFFFF"/>
            <w:noWrap/>
            <w:vAlign w:val="bottom"/>
            <w:hideMark/>
          </w:tcPr>
          <w:p w14:paraId="3ACA4D52" w14:textId="77777777" w:rsidR="00CA263B" w:rsidRPr="00DC66CD" w:rsidRDefault="00CA263B" w:rsidP="00D3067C">
            <w:pPr>
              <w:pStyle w:val="TEKSTIIII"/>
              <w:ind w:firstLine="0"/>
              <w:jc w:val="center"/>
              <w:rPr>
                <w:rFonts w:eastAsia="Times New Roman"/>
                <w:b/>
                <w:bCs/>
                <w:sz w:val="20"/>
                <w:szCs w:val="20"/>
              </w:rPr>
            </w:pPr>
            <w:r w:rsidRPr="00DC66CD">
              <w:rPr>
                <w:rFonts w:eastAsia="Times New Roman"/>
                <w:b/>
                <w:bCs/>
                <w:sz w:val="20"/>
                <w:szCs w:val="20"/>
              </w:rPr>
              <w:t>2017</w:t>
            </w:r>
          </w:p>
        </w:tc>
        <w:tc>
          <w:tcPr>
            <w:tcW w:w="1205" w:type="dxa"/>
            <w:tcBorders>
              <w:top w:val="single" w:sz="4" w:space="0" w:color="auto"/>
              <w:left w:val="nil"/>
              <w:bottom w:val="single" w:sz="4" w:space="0" w:color="auto"/>
              <w:right w:val="nil"/>
            </w:tcBorders>
            <w:shd w:val="clear" w:color="000000" w:fill="FFFFFF"/>
            <w:noWrap/>
            <w:vAlign w:val="bottom"/>
            <w:hideMark/>
          </w:tcPr>
          <w:p w14:paraId="7E0508B2" w14:textId="77777777" w:rsidR="00CA263B" w:rsidRPr="00DC66CD" w:rsidRDefault="00CA263B" w:rsidP="00D3067C">
            <w:pPr>
              <w:pStyle w:val="TEKSTIIII"/>
              <w:ind w:firstLine="0"/>
              <w:jc w:val="center"/>
              <w:rPr>
                <w:rFonts w:eastAsia="Times New Roman"/>
                <w:b/>
                <w:bCs/>
                <w:sz w:val="20"/>
                <w:szCs w:val="20"/>
              </w:rPr>
            </w:pPr>
            <w:r w:rsidRPr="00DC66CD">
              <w:rPr>
                <w:rFonts w:eastAsia="Times New Roman"/>
                <w:b/>
                <w:bCs/>
                <w:sz w:val="20"/>
                <w:szCs w:val="20"/>
              </w:rPr>
              <w:t>2018</w:t>
            </w:r>
          </w:p>
        </w:tc>
        <w:tc>
          <w:tcPr>
            <w:tcW w:w="1183" w:type="dxa"/>
            <w:tcBorders>
              <w:top w:val="single" w:sz="4" w:space="0" w:color="auto"/>
              <w:left w:val="nil"/>
              <w:bottom w:val="single" w:sz="4" w:space="0" w:color="auto"/>
              <w:right w:val="nil"/>
            </w:tcBorders>
            <w:shd w:val="clear" w:color="000000" w:fill="FFFFFF"/>
            <w:noWrap/>
            <w:vAlign w:val="bottom"/>
            <w:hideMark/>
          </w:tcPr>
          <w:p w14:paraId="222B8090" w14:textId="77777777" w:rsidR="00CA263B" w:rsidRPr="00DC66CD" w:rsidRDefault="00CA263B" w:rsidP="00D3067C">
            <w:pPr>
              <w:pStyle w:val="TEKSTIIII"/>
              <w:ind w:firstLine="0"/>
              <w:jc w:val="center"/>
              <w:rPr>
                <w:rFonts w:eastAsia="Times New Roman"/>
                <w:b/>
                <w:bCs/>
                <w:sz w:val="20"/>
                <w:szCs w:val="20"/>
              </w:rPr>
            </w:pPr>
            <w:r w:rsidRPr="00DC66CD">
              <w:rPr>
                <w:rFonts w:eastAsia="Times New Roman"/>
                <w:b/>
                <w:bCs/>
                <w:sz w:val="20"/>
                <w:szCs w:val="20"/>
              </w:rPr>
              <w:t>Sht-2019</w:t>
            </w:r>
          </w:p>
        </w:tc>
      </w:tr>
      <w:tr w:rsidR="00CA263B" w:rsidRPr="00DC66CD" w14:paraId="6972A0C5" w14:textId="77777777" w:rsidTr="00E372C0">
        <w:trPr>
          <w:trHeight w:val="266"/>
        </w:trPr>
        <w:tc>
          <w:tcPr>
            <w:tcW w:w="5370" w:type="dxa"/>
            <w:tcBorders>
              <w:top w:val="nil"/>
              <w:left w:val="nil"/>
              <w:bottom w:val="nil"/>
              <w:right w:val="nil"/>
            </w:tcBorders>
            <w:shd w:val="clear" w:color="000000" w:fill="FFFFFF"/>
            <w:noWrap/>
            <w:vAlign w:val="bottom"/>
            <w:hideMark/>
          </w:tcPr>
          <w:p w14:paraId="020C3CD0" w14:textId="0284675B" w:rsidR="00CA263B" w:rsidRPr="00DC66CD" w:rsidRDefault="00CA263B" w:rsidP="003E1A85">
            <w:pPr>
              <w:pStyle w:val="TEKSTIIII"/>
              <w:ind w:firstLine="0"/>
              <w:rPr>
                <w:rFonts w:eastAsia="Times New Roman"/>
                <w:sz w:val="20"/>
                <w:szCs w:val="20"/>
              </w:rPr>
            </w:pPr>
            <w:r w:rsidRPr="00DC66CD">
              <w:rPr>
                <w:rFonts w:eastAsia="Times New Roman"/>
                <w:sz w:val="20"/>
                <w:szCs w:val="20"/>
              </w:rPr>
              <w:t>Obligacione me norma interesi të ndryshueshme/</w:t>
            </w:r>
            <w:r w:rsidR="00D3067C" w:rsidRPr="00DC66CD">
              <w:rPr>
                <w:rFonts w:eastAsia="Times New Roman"/>
                <w:sz w:val="20"/>
                <w:szCs w:val="20"/>
              </w:rPr>
              <w:t>totalit</w:t>
            </w:r>
          </w:p>
        </w:tc>
        <w:tc>
          <w:tcPr>
            <w:tcW w:w="1600" w:type="dxa"/>
            <w:tcBorders>
              <w:top w:val="nil"/>
              <w:left w:val="nil"/>
              <w:bottom w:val="nil"/>
              <w:right w:val="nil"/>
            </w:tcBorders>
            <w:shd w:val="clear" w:color="000000" w:fill="FFFFFF"/>
            <w:noWrap/>
            <w:vAlign w:val="bottom"/>
            <w:hideMark/>
          </w:tcPr>
          <w:p w14:paraId="2A85AD23" w14:textId="77777777" w:rsidR="00CA263B" w:rsidRPr="00DC66CD" w:rsidRDefault="00CA263B" w:rsidP="00D3067C">
            <w:pPr>
              <w:pStyle w:val="TEKSTIIII"/>
              <w:ind w:firstLine="0"/>
              <w:jc w:val="right"/>
              <w:rPr>
                <w:rFonts w:eastAsia="Times New Roman"/>
                <w:sz w:val="20"/>
                <w:szCs w:val="20"/>
              </w:rPr>
            </w:pPr>
            <w:r w:rsidRPr="00DC66CD">
              <w:rPr>
                <w:rFonts w:eastAsia="Times New Roman"/>
                <w:sz w:val="20"/>
                <w:szCs w:val="20"/>
              </w:rPr>
              <w:t>8.8%</w:t>
            </w:r>
          </w:p>
        </w:tc>
        <w:tc>
          <w:tcPr>
            <w:tcW w:w="1205" w:type="dxa"/>
            <w:tcBorders>
              <w:top w:val="nil"/>
              <w:left w:val="nil"/>
              <w:bottom w:val="nil"/>
              <w:right w:val="nil"/>
            </w:tcBorders>
            <w:shd w:val="clear" w:color="000000" w:fill="FFFFFF"/>
            <w:noWrap/>
            <w:vAlign w:val="bottom"/>
            <w:hideMark/>
          </w:tcPr>
          <w:p w14:paraId="654FECAF" w14:textId="77777777" w:rsidR="00CA263B" w:rsidRPr="00DC66CD" w:rsidRDefault="00CA263B" w:rsidP="00D3067C">
            <w:pPr>
              <w:pStyle w:val="TEKSTIIII"/>
              <w:ind w:firstLine="0"/>
              <w:jc w:val="right"/>
              <w:rPr>
                <w:rFonts w:eastAsia="Times New Roman"/>
                <w:sz w:val="20"/>
                <w:szCs w:val="20"/>
              </w:rPr>
            </w:pPr>
            <w:r w:rsidRPr="00DC66CD">
              <w:rPr>
                <w:rFonts w:eastAsia="Times New Roman"/>
                <w:sz w:val="20"/>
                <w:szCs w:val="20"/>
              </w:rPr>
              <w:t>6.5%</w:t>
            </w:r>
          </w:p>
        </w:tc>
        <w:tc>
          <w:tcPr>
            <w:tcW w:w="1183" w:type="dxa"/>
            <w:tcBorders>
              <w:top w:val="nil"/>
              <w:left w:val="nil"/>
              <w:bottom w:val="nil"/>
              <w:right w:val="nil"/>
            </w:tcBorders>
            <w:shd w:val="clear" w:color="000000" w:fill="FFFFFF"/>
            <w:noWrap/>
            <w:vAlign w:val="bottom"/>
            <w:hideMark/>
          </w:tcPr>
          <w:p w14:paraId="4637E5AB" w14:textId="77777777" w:rsidR="00CA263B" w:rsidRPr="00DC66CD" w:rsidRDefault="00CA263B" w:rsidP="00D3067C">
            <w:pPr>
              <w:pStyle w:val="TEKSTIIII"/>
              <w:ind w:firstLine="0"/>
              <w:jc w:val="right"/>
              <w:rPr>
                <w:rFonts w:eastAsia="Times New Roman"/>
                <w:sz w:val="20"/>
                <w:szCs w:val="20"/>
              </w:rPr>
            </w:pPr>
            <w:r w:rsidRPr="00DC66CD">
              <w:rPr>
                <w:rFonts w:eastAsia="Times New Roman"/>
                <w:sz w:val="20"/>
                <w:szCs w:val="20"/>
              </w:rPr>
              <w:t>4.9%</w:t>
            </w:r>
          </w:p>
        </w:tc>
      </w:tr>
      <w:tr w:rsidR="00CA263B" w:rsidRPr="00DC66CD" w14:paraId="5337C15C" w14:textId="77777777" w:rsidTr="00E372C0">
        <w:trPr>
          <w:trHeight w:val="266"/>
        </w:trPr>
        <w:tc>
          <w:tcPr>
            <w:tcW w:w="5370" w:type="dxa"/>
            <w:tcBorders>
              <w:top w:val="nil"/>
              <w:left w:val="nil"/>
              <w:bottom w:val="nil"/>
              <w:right w:val="nil"/>
            </w:tcBorders>
            <w:shd w:val="clear" w:color="000000" w:fill="FFFFFF"/>
            <w:noWrap/>
            <w:vAlign w:val="bottom"/>
            <w:hideMark/>
          </w:tcPr>
          <w:p w14:paraId="6D8E82A0" w14:textId="0D89C59D" w:rsidR="00CA263B" w:rsidRPr="00DC66CD" w:rsidRDefault="00CA263B" w:rsidP="00C45E0E">
            <w:pPr>
              <w:pStyle w:val="TEKSTIIII"/>
              <w:ind w:firstLine="0"/>
              <w:rPr>
                <w:rFonts w:eastAsia="Times New Roman"/>
                <w:sz w:val="20"/>
                <w:szCs w:val="20"/>
              </w:rPr>
            </w:pPr>
            <w:r w:rsidRPr="00DC66CD">
              <w:rPr>
                <w:rFonts w:eastAsia="Times New Roman"/>
                <w:sz w:val="20"/>
                <w:szCs w:val="20"/>
              </w:rPr>
              <w:t>Obligacionet me norma interesi fikse/</w:t>
            </w:r>
            <w:r w:rsidR="00D3067C" w:rsidRPr="00DC66CD">
              <w:rPr>
                <w:rFonts w:eastAsia="Times New Roman"/>
                <w:sz w:val="20"/>
                <w:szCs w:val="20"/>
              </w:rPr>
              <w:t>totalit</w:t>
            </w:r>
          </w:p>
        </w:tc>
        <w:tc>
          <w:tcPr>
            <w:tcW w:w="1600" w:type="dxa"/>
            <w:tcBorders>
              <w:top w:val="nil"/>
              <w:left w:val="nil"/>
              <w:bottom w:val="nil"/>
              <w:right w:val="nil"/>
            </w:tcBorders>
            <w:shd w:val="clear" w:color="000000" w:fill="FFFFFF"/>
            <w:noWrap/>
            <w:vAlign w:val="bottom"/>
            <w:hideMark/>
          </w:tcPr>
          <w:p w14:paraId="0F3624E5" w14:textId="77777777" w:rsidR="00CA263B" w:rsidRPr="00DC66CD" w:rsidRDefault="00CA263B" w:rsidP="00D3067C">
            <w:pPr>
              <w:pStyle w:val="TEKSTIIII"/>
              <w:ind w:firstLine="0"/>
              <w:jc w:val="right"/>
              <w:rPr>
                <w:rFonts w:eastAsia="Times New Roman"/>
                <w:sz w:val="20"/>
                <w:szCs w:val="20"/>
              </w:rPr>
            </w:pPr>
            <w:r w:rsidRPr="00DC66CD">
              <w:rPr>
                <w:rFonts w:eastAsia="Times New Roman"/>
                <w:sz w:val="20"/>
                <w:szCs w:val="20"/>
              </w:rPr>
              <w:t>55.6%</w:t>
            </w:r>
          </w:p>
        </w:tc>
        <w:tc>
          <w:tcPr>
            <w:tcW w:w="1205" w:type="dxa"/>
            <w:tcBorders>
              <w:top w:val="nil"/>
              <w:left w:val="nil"/>
              <w:bottom w:val="nil"/>
              <w:right w:val="nil"/>
            </w:tcBorders>
            <w:shd w:val="clear" w:color="000000" w:fill="FFFFFF"/>
            <w:noWrap/>
            <w:vAlign w:val="bottom"/>
            <w:hideMark/>
          </w:tcPr>
          <w:p w14:paraId="2B3226E8" w14:textId="77777777" w:rsidR="00CA263B" w:rsidRPr="00DC66CD" w:rsidRDefault="00CA263B" w:rsidP="00D3067C">
            <w:pPr>
              <w:pStyle w:val="TEKSTIIII"/>
              <w:ind w:firstLine="0"/>
              <w:jc w:val="right"/>
              <w:rPr>
                <w:rFonts w:eastAsia="Times New Roman"/>
                <w:sz w:val="20"/>
                <w:szCs w:val="20"/>
              </w:rPr>
            </w:pPr>
            <w:r w:rsidRPr="00DC66CD">
              <w:rPr>
                <w:rFonts w:eastAsia="Times New Roman"/>
                <w:sz w:val="20"/>
                <w:szCs w:val="20"/>
              </w:rPr>
              <w:t>59.1%</w:t>
            </w:r>
          </w:p>
        </w:tc>
        <w:tc>
          <w:tcPr>
            <w:tcW w:w="1183" w:type="dxa"/>
            <w:tcBorders>
              <w:top w:val="nil"/>
              <w:left w:val="nil"/>
              <w:bottom w:val="nil"/>
              <w:right w:val="nil"/>
            </w:tcBorders>
            <w:shd w:val="clear" w:color="000000" w:fill="FFFFFF"/>
            <w:noWrap/>
            <w:vAlign w:val="bottom"/>
            <w:hideMark/>
          </w:tcPr>
          <w:p w14:paraId="3E0B5139" w14:textId="77777777" w:rsidR="00CA263B" w:rsidRPr="00DC66CD" w:rsidRDefault="00CA263B" w:rsidP="00D3067C">
            <w:pPr>
              <w:pStyle w:val="TEKSTIIII"/>
              <w:ind w:firstLine="0"/>
              <w:jc w:val="right"/>
              <w:rPr>
                <w:rFonts w:eastAsia="Times New Roman"/>
                <w:sz w:val="20"/>
                <w:szCs w:val="20"/>
              </w:rPr>
            </w:pPr>
            <w:r w:rsidRPr="00DC66CD">
              <w:rPr>
                <w:rFonts w:eastAsia="Times New Roman"/>
                <w:sz w:val="20"/>
                <w:szCs w:val="20"/>
              </w:rPr>
              <w:t>61.0%</w:t>
            </w:r>
          </w:p>
        </w:tc>
      </w:tr>
      <w:tr w:rsidR="00CA263B" w:rsidRPr="00DC66CD" w14:paraId="48CB4FD3" w14:textId="77777777" w:rsidTr="00E372C0">
        <w:trPr>
          <w:trHeight w:val="266"/>
        </w:trPr>
        <w:tc>
          <w:tcPr>
            <w:tcW w:w="5370" w:type="dxa"/>
            <w:tcBorders>
              <w:top w:val="nil"/>
              <w:left w:val="nil"/>
              <w:bottom w:val="single" w:sz="4" w:space="0" w:color="auto"/>
              <w:right w:val="nil"/>
            </w:tcBorders>
            <w:shd w:val="clear" w:color="000000" w:fill="FFFFFF"/>
            <w:noWrap/>
            <w:vAlign w:val="bottom"/>
            <w:hideMark/>
          </w:tcPr>
          <w:p w14:paraId="1D01D578" w14:textId="081776B3" w:rsidR="00CA263B" w:rsidRPr="00DC66CD" w:rsidRDefault="00CA263B" w:rsidP="003E1A85">
            <w:pPr>
              <w:pStyle w:val="TEKSTIIII"/>
              <w:ind w:firstLine="0"/>
              <w:rPr>
                <w:rFonts w:eastAsia="Times New Roman"/>
                <w:sz w:val="20"/>
                <w:szCs w:val="20"/>
              </w:rPr>
            </w:pPr>
            <w:r w:rsidRPr="00DC66CD">
              <w:rPr>
                <w:rFonts w:eastAsia="Times New Roman"/>
                <w:sz w:val="20"/>
                <w:szCs w:val="20"/>
              </w:rPr>
              <w:t>Borxhi i rivlerësuar në një vit/</w:t>
            </w:r>
            <w:r w:rsidR="00D3067C" w:rsidRPr="00DC66CD">
              <w:rPr>
                <w:rFonts w:eastAsia="Times New Roman"/>
                <w:sz w:val="20"/>
                <w:szCs w:val="20"/>
              </w:rPr>
              <w:t>totalit</w:t>
            </w:r>
          </w:p>
        </w:tc>
        <w:tc>
          <w:tcPr>
            <w:tcW w:w="1600" w:type="dxa"/>
            <w:tcBorders>
              <w:top w:val="nil"/>
              <w:left w:val="nil"/>
              <w:bottom w:val="single" w:sz="4" w:space="0" w:color="auto"/>
              <w:right w:val="nil"/>
            </w:tcBorders>
            <w:shd w:val="clear" w:color="000000" w:fill="FFFFFF"/>
            <w:noWrap/>
            <w:vAlign w:val="bottom"/>
            <w:hideMark/>
          </w:tcPr>
          <w:p w14:paraId="6A671769" w14:textId="77777777" w:rsidR="00CA263B" w:rsidRPr="00DC66CD" w:rsidRDefault="00CA263B" w:rsidP="00D3067C">
            <w:pPr>
              <w:pStyle w:val="TEKSTIIII"/>
              <w:ind w:firstLine="0"/>
              <w:jc w:val="right"/>
              <w:rPr>
                <w:rFonts w:eastAsia="Times New Roman"/>
                <w:sz w:val="20"/>
                <w:szCs w:val="20"/>
              </w:rPr>
            </w:pPr>
            <w:r w:rsidRPr="00DC66CD">
              <w:rPr>
                <w:rFonts w:eastAsia="Times New Roman"/>
                <w:sz w:val="20"/>
                <w:szCs w:val="20"/>
              </w:rPr>
              <w:t>56.7%</w:t>
            </w:r>
          </w:p>
        </w:tc>
        <w:tc>
          <w:tcPr>
            <w:tcW w:w="1205" w:type="dxa"/>
            <w:tcBorders>
              <w:top w:val="nil"/>
              <w:left w:val="nil"/>
              <w:bottom w:val="single" w:sz="4" w:space="0" w:color="auto"/>
              <w:right w:val="nil"/>
            </w:tcBorders>
            <w:shd w:val="clear" w:color="000000" w:fill="FFFFFF"/>
            <w:noWrap/>
            <w:vAlign w:val="bottom"/>
            <w:hideMark/>
          </w:tcPr>
          <w:p w14:paraId="0FFA078A" w14:textId="77777777" w:rsidR="00CA263B" w:rsidRPr="00DC66CD" w:rsidRDefault="00CA263B" w:rsidP="00D3067C">
            <w:pPr>
              <w:pStyle w:val="TEKSTIIII"/>
              <w:ind w:firstLine="0"/>
              <w:jc w:val="right"/>
              <w:rPr>
                <w:rFonts w:eastAsia="Times New Roman"/>
                <w:sz w:val="20"/>
                <w:szCs w:val="20"/>
              </w:rPr>
            </w:pPr>
            <w:r w:rsidRPr="00DC66CD">
              <w:rPr>
                <w:rFonts w:eastAsia="Times New Roman"/>
                <w:sz w:val="20"/>
                <w:szCs w:val="20"/>
              </w:rPr>
              <w:t>54.3%</w:t>
            </w:r>
          </w:p>
        </w:tc>
        <w:tc>
          <w:tcPr>
            <w:tcW w:w="1183" w:type="dxa"/>
            <w:tcBorders>
              <w:top w:val="nil"/>
              <w:left w:val="nil"/>
              <w:bottom w:val="single" w:sz="4" w:space="0" w:color="auto"/>
              <w:right w:val="nil"/>
            </w:tcBorders>
            <w:shd w:val="clear" w:color="000000" w:fill="FFFFFF"/>
            <w:noWrap/>
            <w:vAlign w:val="bottom"/>
            <w:hideMark/>
          </w:tcPr>
          <w:p w14:paraId="05FFFE4C" w14:textId="77777777" w:rsidR="00CA263B" w:rsidRPr="00DC66CD" w:rsidRDefault="00CA263B" w:rsidP="00D3067C">
            <w:pPr>
              <w:pStyle w:val="TEKSTIIII"/>
              <w:ind w:firstLine="0"/>
              <w:jc w:val="right"/>
              <w:rPr>
                <w:rFonts w:eastAsia="Times New Roman"/>
                <w:sz w:val="20"/>
                <w:szCs w:val="20"/>
              </w:rPr>
            </w:pPr>
            <w:r w:rsidRPr="00DC66CD">
              <w:rPr>
                <w:rFonts w:eastAsia="Times New Roman"/>
                <w:sz w:val="20"/>
                <w:szCs w:val="20"/>
              </w:rPr>
              <w:t>50.8%</w:t>
            </w:r>
          </w:p>
        </w:tc>
      </w:tr>
    </w:tbl>
    <w:p w14:paraId="3AC21D8E" w14:textId="77777777" w:rsidR="00CA263B" w:rsidRPr="00DC66CD" w:rsidRDefault="00CA263B" w:rsidP="00CA263B">
      <w:pPr>
        <w:pStyle w:val="TEKSTIIII"/>
        <w:rPr>
          <w:i/>
        </w:rPr>
      </w:pPr>
      <w:r w:rsidRPr="00DC66CD">
        <w:rPr>
          <w:i/>
        </w:rPr>
        <w:t>Burimi: Ministria e Financave dhe Ekonomisë</w:t>
      </w:r>
    </w:p>
    <w:p w14:paraId="43F4AA80" w14:textId="77777777" w:rsidR="00CA263B" w:rsidRPr="00DC66CD" w:rsidRDefault="00CA263B" w:rsidP="00CA263B">
      <w:pPr>
        <w:pStyle w:val="TEKSTIIII"/>
      </w:pPr>
    </w:p>
    <w:p w14:paraId="1C3DC925" w14:textId="796EE25C" w:rsidR="00CA263B" w:rsidRPr="00DC66CD" w:rsidRDefault="00CA263B" w:rsidP="00CA263B">
      <w:pPr>
        <w:pStyle w:val="TEKSTIIII"/>
      </w:pPr>
      <w:r w:rsidRPr="00DC66CD">
        <w:t>Pavarësisht zhvillimeve pozitive të tregut të brendshëm, portofoli i borxhit vazhdon të jetë i ekspozuar ndaj riskut të rifinancimit dhe riskut të normave të interesit. Nisur nga ky fakt, në të ardhmen, menaxhimi i borxhit të vazhdojë përpjekjet për zgjatjen e mëtejshme të jetëgjatësisë së borxhit të brendshëm</w:t>
      </w:r>
      <w:r w:rsidR="00C45E0E" w:rsidRPr="00DC66CD">
        <w:t>,</w:t>
      </w:r>
      <w:r w:rsidRPr="00DC66CD">
        <w:t xml:space="preserve"> si edhe mbajtjen nën kontroll të peshës së instrumenteve me norma interesi të ndryshueshme.</w:t>
      </w:r>
    </w:p>
    <w:p w14:paraId="663D07EE" w14:textId="56681E84" w:rsidR="00CA263B" w:rsidRPr="00DC66CD" w:rsidRDefault="00CA263B" w:rsidP="00CA263B">
      <w:pPr>
        <w:pStyle w:val="TEKSTIIII"/>
        <w:rPr>
          <w:b/>
          <w:i/>
        </w:rPr>
      </w:pPr>
      <w:r w:rsidRPr="00DC66CD">
        <w:rPr>
          <w:b/>
          <w:i/>
        </w:rPr>
        <w:t xml:space="preserve">Zhvillimi i </w:t>
      </w:r>
      <w:r w:rsidR="00C45E0E" w:rsidRPr="00DC66CD">
        <w:rPr>
          <w:b/>
          <w:i/>
        </w:rPr>
        <w:t>tregut</w:t>
      </w:r>
    </w:p>
    <w:p w14:paraId="4E66240E" w14:textId="539491ED" w:rsidR="00CA263B" w:rsidRPr="00DC66CD" w:rsidRDefault="00CA263B" w:rsidP="00CA263B">
      <w:pPr>
        <w:pStyle w:val="TEKSTIIII"/>
      </w:pPr>
      <w:r w:rsidRPr="00DC66CD">
        <w:t>Tregu primar i titujve shtetërorë gjatë periudhës janar</w:t>
      </w:r>
      <w:r w:rsidR="00C45E0E" w:rsidRPr="00DC66CD">
        <w:t>–</w:t>
      </w:r>
      <w:r w:rsidRPr="00DC66CD">
        <w:t>shtator të vitit 2019</w:t>
      </w:r>
      <w:r w:rsidR="00C45E0E" w:rsidRPr="00DC66CD">
        <w:t>,</w:t>
      </w:r>
      <w:r w:rsidRPr="00DC66CD">
        <w:t xml:space="preserve"> përgjithësisht është karakterizuar nga zhvillime pozitive, ndër të cilat mund të përmenden kërkesa e kënaqshme e tregut në raport me nevojat e qeverisë për huamarrje dhe rënia e normave të interesit në krahasim me ato të vitit 2018.</w:t>
      </w:r>
    </w:p>
    <w:p w14:paraId="7AE5FD0B" w14:textId="7CCC34D1" w:rsidR="00CA263B" w:rsidRPr="00DC66CD" w:rsidRDefault="00CA263B" w:rsidP="00CA263B">
      <w:pPr>
        <w:pStyle w:val="TEKSTIIII"/>
      </w:pPr>
      <w:r w:rsidRPr="00DC66CD">
        <w:t>Gjatë periudhës janar</w:t>
      </w:r>
      <w:r w:rsidR="00C45E0E" w:rsidRPr="00DC66CD">
        <w:t>–</w:t>
      </w:r>
      <w:r w:rsidRPr="00DC66CD">
        <w:t>shtator të vitit 2019</w:t>
      </w:r>
      <w:r w:rsidR="00C45E0E" w:rsidRPr="00DC66CD">
        <w:t>,</w:t>
      </w:r>
      <w:r w:rsidRPr="00DC66CD">
        <w:t xml:space="preserve"> kërkesa për tituj shtetërorë ka rezultuar në vlerën 318.7 miliard</w:t>
      </w:r>
      <w:r w:rsidR="00C45E0E" w:rsidRPr="00DC66CD">
        <w:t>ë</w:t>
      </w:r>
      <w:r w:rsidRPr="00DC66CD">
        <w:t xml:space="preserve"> </w:t>
      </w:r>
      <w:r w:rsidR="00C45E0E" w:rsidRPr="00DC66CD">
        <w:t>lekë</w:t>
      </w:r>
      <w:r w:rsidRPr="00DC66CD">
        <w:t>, nga të cilat 190.1 miliard</w:t>
      </w:r>
      <w:r w:rsidR="00C45E0E" w:rsidRPr="00DC66CD">
        <w:t>ë</w:t>
      </w:r>
      <w:r w:rsidRPr="00DC66CD">
        <w:t xml:space="preserve"> </w:t>
      </w:r>
      <w:r w:rsidR="00C45E0E" w:rsidRPr="00DC66CD">
        <w:t xml:space="preserve">lekë </w:t>
      </w:r>
      <w:r w:rsidRPr="00DC66CD">
        <w:t>për bono thesari dhe 128.7 miliard</w:t>
      </w:r>
      <w:r w:rsidR="00C45E0E" w:rsidRPr="00DC66CD">
        <w:t>ë</w:t>
      </w:r>
      <w:r w:rsidRPr="00DC66CD">
        <w:t xml:space="preserve"> </w:t>
      </w:r>
      <w:r w:rsidR="00C45E0E" w:rsidRPr="00DC66CD">
        <w:t xml:space="preserve">lekë </w:t>
      </w:r>
      <w:r w:rsidRPr="00DC66CD">
        <w:t>për obligacione. Kërkesa gjatë nëntëmujorit të vitit 2019 ka qenë relativisht më e lartë se oferta e qeverisë për tituj shtetërorë, duke rezultuar në një raport të përgjithshëm mbulimi prej 1.26.</w:t>
      </w:r>
    </w:p>
    <w:p w14:paraId="64297845" w14:textId="77777777" w:rsidR="00CA263B" w:rsidRPr="00DC66CD" w:rsidRDefault="00CA263B" w:rsidP="00CA263B">
      <w:pPr>
        <w:pStyle w:val="TEKSTIIII"/>
        <w:rPr>
          <w:bCs/>
        </w:rPr>
      </w:pPr>
    </w:p>
    <w:p w14:paraId="25F7D0DA" w14:textId="41133CCC" w:rsidR="00CA263B" w:rsidRPr="00DC66CD" w:rsidRDefault="00CA263B" w:rsidP="00CA263B">
      <w:pPr>
        <w:pStyle w:val="TEKSTIIII"/>
        <w:rPr>
          <w:bCs/>
          <w:i/>
        </w:rPr>
      </w:pPr>
      <w:r w:rsidRPr="00DC66CD">
        <w:rPr>
          <w:bCs/>
          <w:i/>
        </w:rPr>
        <w:t xml:space="preserve">Grafiku 4.5.6 Kërkesa dhe oferta për tituj shtetërorë në tregun e brendshëm </w:t>
      </w:r>
    </w:p>
    <w:p w14:paraId="16779C7D" w14:textId="77777777" w:rsidR="003E1A85" w:rsidRPr="00DC66CD" w:rsidRDefault="003E1A85" w:rsidP="00CA263B">
      <w:pPr>
        <w:pStyle w:val="TEKSTIIII"/>
        <w:rPr>
          <w:bCs/>
        </w:rPr>
      </w:pPr>
    </w:p>
    <w:p w14:paraId="63DD180E" w14:textId="78A71C5F" w:rsidR="00CA263B" w:rsidRPr="00DC66CD" w:rsidRDefault="006B4E10" w:rsidP="00C45E0E">
      <w:pPr>
        <w:pStyle w:val="TEKSTIIII"/>
        <w:jc w:val="center"/>
      </w:pPr>
      <w:r w:rsidRPr="00DC66CD">
        <w:rPr>
          <w:rFonts w:ascii="Times New Roman" w:hAnsi="Times New Roman"/>
          <w:noProof/>
          <w:lang w:val="en-US" w:eastAsia="en-US"/>
        </w:rPr>
        <w:drawing>
          <wp:inline distT="0" distB="0" distL="0" distR="0" wp14:anchorId="3DF86FE8" wp14:editId="7AFA3A0D">
            <wp:extent cx="5319423" cy="1630018"/>
            <wp:effectExtent l="0" t="0" r="14605" b="889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5EDBB58" w14:textId="77777777" w:rsidR="009235AA" w:rsidRPr="00DC66CD" w:rsidRDefault="009235AA" w:rsidP="009235AA">
      <w:pPr>
        <w:pStyle w:val="TEKSTIIII"/>
        <w:rPr>
          <w:i/>
        </w:rPr>
      </w:pPr>
      <w:r w:rsidRPr="00DC66CD">
        <w:rPr>
          <w:i/>
        </w:rPr>
        <w:t>Burimi: Ministria e Financave dhe Ekonomisë</w:t>
      </w:r>
    </w:p>
    <w:p w14:paraId="6C38FCA0" w14:textId="77777777" w:rsidR="009235AA" w:rsidRPr="00DC66CD" w:rsidRDefault="009235AA" w:rsidP="009235AA">
      <w:pPr>
        <w:pStyle w:val="TEKSTIIII"/>
      </w:pPr>
    </w:p>
    <w:p w14:paraId="61408846" w14:textId="251FD59C" w:rsidR="009235AA" w:rsidRPr="00DC66CD" w:rsidRDefault="009235AA" w:rsidP="009235AA">
      <w:pPr>
        <w:pStyle w:val="TEKSTIIII"/>
      </w:pPr>
      <w:r w:rsidRPr="00DC66CD">
        <w:t>Në vazhdim të angazhimit të marrë</w:t>
      </w:r>
      <w:r w:rsidR="00E40043" w:rsidRPr="00DC66CD">
        <w:t>,</w:t>
      </w:r>
      <w:r w:rsidRPr="00DC66CD">
        <w:t xml:space="preserve"> në lidhje me përmirësimin e mëtejshëm të tregut primar të titujve shtetërorë, si edhe hedhjen e hapave për funksionimin e tregut sekondar, përgjatë vitit 2019 janë ndërmarrë aktivitete që kanë për qëllim reduktimin e fragmentizimit të kërkesës dhe krijimin e madhësive </w:t>
      </w:r>
      <w:r w:rsidRPr="00DC66CD">
        <w:rPr>
          <w:i/>
        </w:rPr>
        <w:t>benchmark</w:t>
      </w:r>
      <w:r w:rsidRPr="00DC66CD">
        <w:t xml:space="preserve"> për titujt afatgjatë. Për sa i përket krijimit të madhësive </w:t>
      </w:r>
      <w:r w:rsidRPr="00DC66CD">
        <w:rPr>
          <w:i/>
        </w:rPr>
        <w:t>benchmark</w:t>
      </w:r>
      <w:r w:rsidRPr="00DC66CD">
        <w:t>, ka vazhduar implementimi</w:t>
      </w:r>
      <w:r w:rsidR="0072211B" w:rsidRPr="00DC66CD">
        <w:t xml:space="preserve"> </w:t>
      </w:r>
      <w:r w:rsidRPr="00DC66CD">
        <w:t>i projektit pilot për emetimin e obligacione</w:t>
      </w:r>
      <w:r w:rsidR="00E40043" w:rsidRPr="00DC66CD">
        <w:t>ve 5-</w:t>
      </w:r>
      <w:r w:rsidRPr="00DC66CD">
        <w:t>vjeçare referencë, pasi rezultatet paraprake të këtij projekti kanë qenë pozitive në kuadër të rritjes së aktivitetit të tregtimit të titujve në tregun sekondar. Nisur nga këto rezultate, gjatë vitit 2019 k</w:t>
      </w:r>
      <w:r w:rsidR="00E40043" w:rsidRPr="00DC66CD">
        <w:t>y projekt është shtrirë edhe te</w:t>
      </w:r>
      <w:r w:rsidRPr="00DC66CD">
        <w:t xml:space="preserve"> obligacionet</w:t>
      </w:r>
      <w:r w:rsidR="00E40043" w:rsidRPr="00DC66CD">
        <w:t xml:space="preserve"> 3-</w:t>
      </w:r>
      <w:r w:rsidRPr="00DC66CD">
        <w:t>vjeçare. Për më tepër, numri i titujve të emetuar është konsoliduar duke përdorur</w:t>
      </w:r>
      <w:r w:rsidR="0072211B" w:rsidRPr="00DC66CD">
        <w:t xml:space="preserve"> </w:t>
      </w:r>
      <w:r w:rsidRPr="00DC66CD">
        <w:t>ankandet e rihapjes së titujve ekzistues në vend të emetimeve të reja.</w:t>
      </w:r>
    </w:p>
    <w:p w14:paraId="247CE102" w14:textId="77777777" w:rsidR="009235AA" w:rsidRPr="00DC66CD" w:rsidRDefault="009235AA" w:rsidP="009235AA">
      <w:pPr>
        <w:pStyle w:val="TEKSTIIII"/>
        <w:rPr>
          <w:bCs/>
        </w:rPr>
      </w:pPr>
    </w:p>
    <w:p w14:paraId="0B20F966" w14:textId="68026F52" w:rsidR="009235AA" w:rsidRPr="00DC66CD" w:rsidRDefault="00E40043" w:rsidP="009235AA">
      <w:pPr>
        <w:pStyle w:val="TEKSTIIII"/>
        <w:rPr>
          <w:bCs/>
          <w:i/>
        </w:rPr>
      </w:pPr>
      <w:r w:rsidRPr="00DC66CD">
        <w:rPr>
          <w:bCs/>
          <w:i/>
        </w:rPr>
        <w:t>Grafiku 4.5.7</w:t>
      </w:r>
      <w:r w:rsidR="009235AA" w:rsidRPr="00DC66CD">
        <w:rPr>
          <w:bCs/>
          <w:i/>
        </w:rPr>
        <w:t xml:space="preserve"> Ecuria e ankandeve në tregun primar</w:t>
      </w:r>
    </w:p>
    <w:p w14:paraId="26A564A5" w14:textId="77777777" w:rsidR="00136C15" w:rsidRPr="00DC66CD" w:rsidRDefault="00136C15" w:rsidP="009235AA">
      <w:pPr>
        <w:pStyle w:val="TEKSTIIII"/>
        <w:rPr>
          <w:bCs/>
        </w:rPr>
      </w:pPr>
    </w:p>
    <w:p w14:paraId="3212D127" w14:textId="16EE9C63" w:rsidR="00136C15" w:rsidRPr="00DC66CD" w:rsidRDefault="00136C15" w:rsidP="00E40043">
      <w:pPr>
        <w:pStyle w:val="TEKSTIIII"/>
        <w:jc w:val="center"/>
      </w:pPr>
      <w:r w:rsidRPr="00DC66CD">
        <w:rPr>
          <w:rFonts w:ascii="Times New Roman" w:hAnsi="Times New Roman"/>
          <w:noProof/>
          <w:lang w:val="en-US" w:eastAsia="en-US"/>
        </w:rPr>
        <w:drawing>
          <wp:inline distT="0" distB="0" distL="0" distR="0" wp14:anchorId="5AF245EC" wp14:editId="5650122F">
            <wp:extent cx="5502303" cy="1383527"/>
            <wp:effectExtent l="0" t="0" r="22225" b="2667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35A3822" w14:textId="77777777" w:rsidR="000832B0" w:rsidRPr="00DC66CD" w:rsidRDefault="000832B0" w:rsidP="009235AA">
      <w:pPr>
        <w:pStyle w:val="TEKSTIIII"/>
      </w:pPr>
    </w:p>
    <w:p w14:paraId="73C67C86" w14:textId="77777777" w:rsidR="000832B0" w:rsidRPr="00DC66CD" w:rsidRDefault="000832B0" w:rsidP="000832B0">
      <w:pPr>
        <w:pStyle w:val="TEKSTIIII"/>
        <w:rPr>
          <w:i/>
        </w:rPr>
      </w:pPr>
      <w:r w:rsidRPr="00DC66CD">
        <w:rPr>
          <w:i/>
        </w:rPr>
        <w:t>Burimi: Ministria e Financave dhe Ekonomisë</w:t>
      </w:r>
    </w:p>
    <w:p w14:paraId="20A420A9" w14:textId="77777777" w:rsidR="000832B0" w:rsidRPr="00DC66CD" w:rsidRDefault="000832B0" w:rsidP="000832B0">
      <w:pPr>
        <w:pStyle w:val="TEKSTIIII"/>
      </w:pPr>
    </w:p>
    <w:p w14:paraId="5385B029" w14:textId="1DC20162" w:rsidR="000832B0" w:rsidRPr="00DC66CD" w:rsidRDefault="000832B0" w:rsidP="000832B0">
      <w:pPr>
        <w:pStyle w:val="TEKSTIIII"/>
      </w:pPr>
      <w:r w:rsidRPr="00DC66CD">
        <w:t xml:space="preserve">Në periudhën afatmesme, zhvillimi i tregut primar do të bazohet kryesisht në aktivitetet të cilat kanë për qëllim rritjen e likuiditetit, </w:t>
      </w:r>
      <w:r w:rsidR="00E40043" w:rsidRPr="00DC66CD">
        <w:t>eficiencës</w:t>
      </w:r>
      <w:r w:rsidRPr="00DC66CD">
        <w:t xml:space="preserve"> dhe transparencës.</w:t>
      </w:r>
    </w:p>
    <w:p w14:paraId="5B737F68" w14:textId="1DB210A3" w:rsidR="000832B0" w:rsidRPr="00DC66CD" w:rsidRDefault="000832B0" w:rsidP="000832B0">
      <w:pPr>
        <w:pStyle w:val="TEKSTIIII"/>
        <w:rPr>
          <w:b/>
          <w:i/>
        </w:rPr>
      </w:pPr>
      <w:r w:rsidRPr="00DC66CD">
        <w:rPr>
          <w:b/>
          <w:i/>
        </w:rPr>
        <w:t xml:space="preserve">Ecuria e </w:t>
      </w:r>
      <w:r w:rsidR="00E40043" w:rsidRPr="00DC66CD">
        <w:rPr>
          <w:b/>
          <w:i/>
        </w:rPr>
        <w:t>normave të interesit</w:t>
      </w:r>
    </w:p>
    <w:p w14:paraId="78EB8F18" w14:textId="22D12C53" w:rsidR="000832B0" w:rsidRPr="00DC66CD" w:rsidRDefault="000832B0" w:rsidP="000832B0">
      <w:pPr>
        <w:pStyle w:val="TEKSTIIII"/>
      </w:pPr>
      <w:r w:rsidRPr="00DC66CD">
        <w:t>Krahasuar me fundin e vitit 2018, normat e interesit gjatë vitit 2019</w:t>
      </w:r>
      <w:r w:rsidR="00E40043" w:rsidRPr="00DC66CD">
        <w:t>,</w:t>
      </w:r>
      <w:r w:rsidRPr="00DC66CD">
        <w:t xml:space="preserve"> kanë shfaqur tendenca rënëse, duke reflektuar vazhdimin e politikave lehtësuese të ndërmarra nga Banka e Shqipërisë, si edhe reduktimin e nevojave për hua të qeverisë në gjysmën e parë të vitit, për shkak të likuiditetit të mjaftueshëm të siguruar nga emetimi i </w:t>
      </w:r>
      <w:r w:rsidR="00E40043" w:rsidRPr="00DC66CD">
        <w:t xml:space="preserve">eurobondit </w:t>
      </w:r>
      <w:r w:rsidRPr="00DC66CD">
        <w:t>gjatë vitit 2018.</w:t>
      </w:r>
    </w:p>
    <w:p w14:paraId="72BD9DED" w14:textId="77777777" w:rsidR="000832B0" w:rsidRPr="00DC66CD" w:rsidRDefault="000832B0" w:rsidP="000832B0">
      <w:pPr>
        <w:pStyle w:val="TEKSTIIII"/>
      </w:pPr>
    </w:p>
    <w:p w14:paraId="217738E3" w14:textId="77777777" w:rsidR="002E3350" w:rsidRPr="00DC66CD" w:rsidRDefault="002E3350" w:rsidP="000832B0">
      <w:pPr>
        <w:pStyle w:val="TEKSTIIII"/>
      </w:pPr>
    </w:p>
    <w:p w14:paraId="75CE32DB" w14:textId="77777777" w:rsidR="002E3350" w:rsidRPr="00DC66CD" w:rsidRDefault="002E3350" w:rsidP="000832B0">
      <w:pPr>
        <w:pStyle w:val="TEKSTIIII"/>
      </w:pPr>
    </w:p>
    <w:p w14:paraId="0281E5F6" w14:textId="77777777" w:rsidR="002E3350" w:rsidRPr="00DC66CD" w:rsidRDefault="002E3350" w:rsidP="000832B0">
      <w:pPr>
        <w:pStyle w:val="TEKSTIIII"/>
      </w:pPr>
    </w:p>
    <w:p w14:paraId="4C5FBF25" w14:textId="77777777" w:rsidR="002E3350" w:rsidRPr="00DC66CD" w:rsidRDefault="002E3350" w:rsidP="000832B0">
      <w:pPr>
        <w:pStyle w:val="TEKSTIIII"/>
      </w:pPr>
    </w:p>
    <w:p w14:paraId="1034D1CD" w14:textId="77777777" w:rsidR="002E3350" w:rsidRPr="00DC66CD" w:rsidRDefault="002E3350" w:rsidP="000832B0">
      <w:pPr>
        <w:pStyle w:val="TEKSTIIII"/>
      </w:pPr>
    </w:p>
    <w:p w14:paraId="55616A68" w14:textId="77777777" w:rsidR="002E3350" w:rsidRPr="00DC66CD" w:rsidRDefault="002E3350" w:rsidP="000832B0">
      <w:pPr>
        <w:pStyle w:val="TEKSTIIII"/>
      </w:pPr>
    </w:p>
    <w:p w14:paraId="38522B31" w14:textId="77777777" w:rsidR="002E3350" w:rsidRPr="00DC66CD" w:rsidRDefault="002E3350" w:rsidP="000832B0">
      <w:pPr>
        <w:pStyle w:val="TEKSTIIII"/>
      </w:pPr>
    </w:p>
    <w:p w14:paraId="6F60771E" w14:textId="5157B4DE" w:rsidR="000832B0" w:rsidRPr="00DC66CD" w:rsidRDefault="00E40043" w:rsidP="000832B0">
      <w:pPr>
        <w:pStyle w:val="TEKSTIIII"/>
        <w:rPr>
          <w:i/>
        </w:rPr>
      </w:pPr>
      <w:r w:rsidRPr="00DC66CD">
        <w:rPr>
          <w:i/>
        </w:rPr>
        <w:t>Grafiku 4.5.8</w:t>
      </w:r>
      <w:r w:rsidR="000832B0" w:rsidRPr="00DC66CD">
        <w:rPr>
          <w:i/>
        </w:rPr>
        <w:t xml:space="preserve"> Yield-i </w:t>
      </w:r>
      <w:r w:rsidRPr="00DC66CD">
        <w:rPr>
          <w:i/>
        </w:rPr>
        <w:t>mesatar i ponderuar</w:t>
      </w:r>
    </w:p>
    <w:p w14:paraId="1302315F" w14:textId="3E8B226E" w:rsidR="002E3350" w:rsidRPr="00DC66CD" w:rsidRDefault="002E3350" w:rsidP="00E40043">
      <w:pPr>
        <w:pStyle w:val="TEKSTIIII"/>
        <w:jc w:val="center"/>
      </w:pPr>
      <w:r w:rsidRPr="00DC66CD">
        <w:rPr>
          <w:noProof/>
          <w:lang w:val="en-US" w:eastAsia="en-US"/>
        </w:rPr>
        <w:drawing>
          <wp:inline distT="0" distB="0" distL="0" distR="0" wp14:anchorId="57279091" wp14:editId="5435865B">
            <wp:extent cx="5351228" cy="1706089"/>
            <wp:effectExtent l="0" t="0" r="1905"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54507" cy="1707134"/>
                    </a:xfrm>
                    <a:prstGeom prst="rect">
                      <a:avLst/>
                    </a:prstGeom>
                    <a:noFill/>
                  </pic:spPr>
                </pic:pic>
              </a:graphicData>
            </a:graphic>
          </wp:inline>
        </w:drawing>
      </w:r>
    </w:p>
    <w:p w14:paraId="4450B97B" w14:textId="77777777" w:rsidR="00FF7A04" w:rsidRPr="00DC66CD" w:rsidRDefault="00FF7A04" w:rsidP="00FF7A04">
      <w:pPr>
        <w:pStyle w:val="TEKSTIIII"/>
      </w:pPr>
    </w:p>
    <w:p w14:paraId="5B2A661D" w14:textId="77777777" w:rsidR="00FF7A04" w:rsidRPr="00DC66CD" w:rsidRDefault="00FF7A04" w:rsidP="00FF7A04">
      <w:pPr>
        <w:pStyle w:val="TEKSTIIII"/>
        <w:rPr>
          <w:i/>
        </w:rPr>
      </w:pPr>
      <w:r w:rsidRPr="00DC66CD">
        <w:rPr>
          <w:i/>
        </w:rPr>
        <w:t>Burimi: Ministria e Financave dhe Ekonomisë</w:t>
      </w:r>
    </w:p>
    <w:p w14:paraId="049C3C55" w14:textId="77777777" w:rsidR="00FF7A04" w:rsidRPr="00DC66CD" w:rsidRDefault="00FF7A04" w:rsidP="00FF7A04">
      <w:pPr>
        <w:pStyle w:val="TEKSTIIII"/>
      </w:pPr>
    </w:p>
    <w:p w14:paraId="78C33B87" w14:textId="0FC5781E" w:rsidR="00FF7A04" w:rsidRPr="00DC66CD" w:rsidRDefault="00FF7A04" w:rsidP="00FF7A04">
      <w:pPr>
        <w:pStyle w:val="TEKSTIIII"/>
      </w:pPr>
      <w:r w:rsidRPr="00DC66CD">
        <w:t xml:space="preserve">Gjatë periudhës afatmesme normat e interesit në tregun e brendshëm pritet të rriten gradualisht, por gjithsesi duke </w:t>
      </w:r>
      <w:r w:rsidR="00E40043" w:rsidRPr="00DC66CD">
        <w:t>qëndruar</w:t>
      </w:r>
      <w:r w:rsidRPr="00DC66CD">
        <w:t xml:space="preserve"> në nivele të krahasueshme me </w:t>
      </w:r>
      <w:r w:rsidR="00E40043" w:rsidRPr="00DC66CD">
        <w:t>mesataren</w:t>
      </w:r>
      <w:r w:rsidRPr="00DC66CD">
        <w:t xml:space="preserve"> e normat të viteve të fundit.</w:t>
      </w:r>
    </w:p>
    <w:p w14:paraId="5C8C9299" w14:textId="366FBFBC" w:rsidR="00FF7A04" w:rsidRPr="00DC66CD" w:rsidRDefault="00FF7A04" w:rsidP="00FF7A04">
      <w:pPr>
        <w:pStyle w:val="TEKSTIIII"/>
        <w:rPr>
          <w:b/>
        </w:rPr>
      </w:pPr>
      <w:r w:rsidRPr="00DC66CD">
        <w:rPr>
          <w:b/>
        </w:rPr>
        <w:t xml:space="preserve">Detyrimet </w:t>
      </w:r>
      <w:r w:rsidR="00E40043" w:rsidRPr="00DC66CD">
        <w:rPr>
          <w:b/>
        </w:rPr>
        <w:t>kontigjente</w:t>
      </w:r>
    </w:p>
    <w:p w14:paraId="17E0EF18" w14:textId="5FE00385" w:rsidR="00FF7A04" w:rsidRPr="00DC66CD" w:rsidRDefault="00FF7A04" w:rsidP="00FF7A04">
      <w:pPr>
        <w:pStyle w:val="TEKSTIIII"/>
      </w:pPr>
      <w:r w:rsidRPr="00DC66CD">
        <w:t>Në fund të muajit shtator 2019, portofoli i borxhit të garantuar vlerësohet në 43.1 miliard</w:t>
      </w:r>
      <w:r w:rsidR="00E40043" w:rsidRPr="00DC66CD">
        <w:t>ë</w:t>
      </w:r>
      <w:r w:rsidRPr="00DC66CD">
        <w:t xml:space="preserve"> </w:t>
      </w:r>
      <w:r w:rsidR="00E40043" w:rsidRPr="00DC66CD">
        <w:t xml:space="preserve">lekë </w:t>
      </w:r>
      <w:r w:rsidRPr="00DC66CD">
        <w:t>(2.5% e PBB</w:t>
      </w:r>
      <w:r w:rsidR="00E40043" w:rsidRPr="00DC66CD">
        <w:t>-së</w:t>
      </w:r>
      <w:r w:rsidRPr="00DC66CD">
        <w:t xml:space="preserve"> ) ose 3.9% e portofolit të borxhit të </w:t>
      </w:r>
      <w:r w:rsidR="00E40043" w:rsidRPr="00DC66CD">
        <w:t>qeverisjes qendrore.</w:t>
      </w:r>
      <w:r w:rsidRPr="00DC66CD">
        <w:t xml:space="preserve"> Garancitë në tregun e brendshëm përfaqësojnë 35.2% të totalit të stokut të borxhit të garantuar ose 15.2 miliard</w:t>
      </w:r>
      <w:r w:rsidR="00E40043" w:rsidRPr="00DC66CD">
        <w:t>ë</w:t>
      </w:r>
      <w:r w:rsidRPr="00DC66CD">
        <w:t xml:space="preserve"> </w:t>
      </w:r>
      <w:r w:rsidR="00E40043" w:rsidRPr="00DC66CD">
        <w:t>lekë</w:t>
      </w:r>
      <w:r w:rsidRPr="00DC66CD">
        <w:t>, ndërsa garancitë e emetuara në favor të kreditorëve të huaj përfaqësojnë 64.8% të stokut të borxhit të garantuar ose 28.0 miliard</w:t>
      </w:r>
      <w:r w:rsidR="00E40043" w:rsidRPr="00DC66CD">
        <w:t>ë</w:t>
      </w:r>
      <w:r w:rsidRPr="00DC66CD">
        <w:t xml:space="preserve"> </w:t>
      </w:r>
      <w:r w:rsidR="00E40043" w:rsidRPr="00DC66CD">
        <w:t>lekë</w:t>
      </w:r>
      <w:r w:rsidRPr="00DC66CD">
        <w:t xml:space="preserve">. Garancitë e brendshme përbëhen nga linja kredie afatshkurtra dhe me norma interesi tregtare, të cilat i janë akorduar KESH sh.a. nga bankat tregtare </w:t>
      </w:r>
      <w:r w:rsidR="00637183" w:rsidRPr="00DC66CD">
        <w:t>vendës</w:t>
      </w:r>
      <w:r w:rsidRPr="00DC66CD">
        <w:t xml:space="preserve">e. Në dallim nga garancitë e brendshme, garancitë e huaja janë kredi afatgjata të akorduara kryesisht me norma interesi </w:t>
      </w:r>
      <w:r w:rsidR="00E40043" w:rsidRPr="00DC66CD">
        <w:t>koncesionare</w:t>
      </w:r>
      <w:r w:rsidRPr="00DC66CD">
        <w:t>.</w:t>
      </w:r>
    </w:p>
    <w:p w14:paraId="2B413AB2" w14:textId="77777777" w:rsidR="00FF7A04" w:rsidRPr="00DC66CD" w:rsidRDefault="00FF7A04" w:rsidP="00FF7A04">
      <w:pPr>
        <w:pStyle w:val="TEKSTIIII"/>
        <w:rPr>
          <w:rFonts w:ascii="Times New Roman" w:hAnsi="Times New Roman"/>
          <w:bCs/>
        </w:rPr>
      </w:pPr>
    </w:p>
    <w:p w14:paraId="00758361" w14:textId="4A1BAA8C" w:rsidR="00FF7A04" w:rsidRPr="00DC66CD" w:rsidRDefault="00FF7A04" w:rsidP="00FF7A04">
      <w:pPr>
        <w:pStyle w:val="TEKSTIIII"/>
        <w:rPr>
          <w:i/>
        </w:rPr>
      </w:pPr>
      <w:r w:rsidRPr="00DC66CD">
        <w:rPr>
          <w:i/>
        </w:rPr>
        <w:t xml:space="preserve">Grafiku 4.5.9 Garancitë </w:t>
      </w:r>
      <w:r w:rsidR="00E40043" w:rsidRPr="00DC66CD">
        <w:rPr>
          <w:i/>
        </w:rPr>
        <w:t>shtetërore</w:t>
      </w:r>
    </w:p>
    <w:p w14:paraId="56521EC6" w14:textId="7AF11B52" w:rsidR="00FF7A04" w:rsidRPr="00DC66CD" w:rsidRDefault="00FF7A04" w:rsidP="00E40043">
      <w:pPr>
        <w:pStyle w:val="TEKSTIIII"/>
        <w:jc w:val="center"/>
      </w:pPr>
      <w:r w:rsidRPr="00DC66CD">
        <w:rPr>
          <w:noProof/>
          <w:lang w:val="en-US" w:eastAsia="en-US"/>
        </w:rPr>
        <w:drawing>
          <wp:inline distT="0" distB="0" distL="0" distR="0" wp14:anchorId="5AC49933" wp14:editId="0E5C0323">
            <wp:extent cx="5944235" cy="2432685"/>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4235" cy="2432685"/>
                    </a:xfrm>
                    <a:prstGeom prst="rect">
                      <a:avLst/>
                    </a:prstGeom>
                    <a:noFill/>
                  </pic:spPr>
                </pic:pic>
              </a:graphicData>
            </a:graphic>
          </wp:inline>
        </w:drawing>
      </w:r>
    </w:p>
    <w:p w14:paraId="334AB949" w14:textId="77777777" w:rsidR="00854635" w:rsidRPr="00DC66CD" w:rsidRDefault="00854635" w:rsidP="00854635">
      <w:pPr>
        <w:pStyle w:val="TEKSTIIII"/>
        <w:rPr>
          <w:bCs/>
          <w:i/>
        </w:rPr>
      </w:pPr>
      <w:r w:rsidRPr="00DC66CD">
        <w:rPr>
          <w:i/>
        </w:rPr>
        <w:t>Burimi: Ministria e Financave dhe Ekonomisë</w:t>
      </w:r>
    </w:p>
    <w:p w14:paraId="54B2EFB3" w14:textId="77777777" w:rsidR="00854635" w:rsidRPr="00DC66CD" w:rsidRDefault="00854635" w:rsidP="00854635">
      <w:pPr>
        <w:pStyle w:val="TEKSTIIII"/>
        <w:rPr>
          <w:bCs/>
        </w:rPr>
      </w:pPr>
    </w:p>
    <w:p w14:paraId="6FA2791F" w14:textId="6E7BC2FB" w:rsidR="00854635" w:rsidRPr="00DC66CD" w:rsidRDefault="00854635" w:rsidP="00854635">
      <w:pPr>
        <w:pStyle w:val="TEKSTIIII"/>
      </w:pPr>
      <w:r w:rsidRPr="00DC66CD">
        <w:t>Në periudhën afatmesme, niveli i garancive është planifikuar të qëndrojë në nivelin 5%</w:t>
      </w:r>
      <w:r w:rsidR="00E40043" w:rsidRPr="00DC66CD">
        <w:t>–6% ndaj PBB-së</w:t>
      </w:r>
      <w:r w:rsidRPr="00DC66CD">
        <w:t xml:space="preserve"> dhe garancitë e reja do të emetohen</w:t>
      </w:r>
      <w:r w:rsidR="00E40043" w:rsidRPr="00DC66CD">
        <w:t>,</w:t>
      </w:r>
      <w:r w:rsidRPr="00DC66CD">
        <w:t xml:space="preserve"> kry</w:t>
      </w:r>
      <w:r w:rsidR="00E40043" w:rsidRPr="00DC66CD">
        <w:t>e</w:t>
      </w:r>
      <w:r w:rsidRPr="00DC66CD">
        <w:t xml:space="preserve">sisht: </w:t>
      </w:r>
    </w:p>
    <w:p w14:paraId="6CB29E04" w14:textId="6B4B59B5" w:rsidR="00854635" w:rsidRPr="00DC66CD" w:rsidRDefault="00854635" w:rsidP="00854635">
      <w:pPr>
        <w:pStyle w:val="TEKSTIIII"/>
      </w:pPr>
      <w:r w:rsidRPr="00DC66CD">
        <w:t>-</w:t>
      </w:r>
      <w:r w:rsidR="00E40043" w:rsidRPr="00DC66CD">
        <w:t xml:space="preserve"> p</w:t>
      </w:r>
      <w:r w:rsidRPr="00DC66CD">
        <w:t>ër të mbështetur projektet zhvillimore të cilat kontribuojnë në përmirësimin e infrastrukturës,</w:t>
      </w:r>
      <w:r w:rsidR="0072211B" w:rsidRPr="00DC66CD">
        <w:t xml:space="preserve"> </w:t>
      </w:r>
      <w:r w:rsidRPr="00DC66CD">
        <w:t>zhvillimin rajonal, mbrojtjen e mjedisit dhe krijimin e vendeve të reja të punës;</w:t>
      </w:r>
    </w:p>
    <w:p w14:paraId="1B64F8B1" w14:textId="559C7AC0" w:rsidR="00854635" w:rsidRPr="00DC66CD" w:rsidRDefault="00E40043" w:rsidP="00854635">
      <w:pPr>
        <w:pStyle w:val="TEKSTIIII"/>
      </w:pPr>
      <w:r w:rsidRPr="00DC66CD">
        <w:t>- p</w:t>
      </w:r>
      <w:r w:rsidR="00854635" w:rsidRPr="00DC66CD">
        <w:t>ër të mbështetur masat e mundshme të ndërmarra në rast të përkeqësimit të sistemit financiar;</w:t>
      </w:r>
    </w:p>
    <w:p w14:paraId="0BA54DE2" w14:textId="0B507340" w:rsidR="00854635" w:rsidRPr="00DC66CD" w:rsidRDefault="00E40043" w:rsidP="00854635">
      <w:pPr>
        <w:pStyle w:val="TEKSTIIII"/>
      </w:pPr>
      <w:r w:rsidRPr="00DC66CD">
        <w:t>- p</w:t>
      </w:r>
      <w:r w:rsidR="00854635" w:rsidRPr="00DC66CD">
        <w:t>ër të menaxhuar risqet dhe kostot e portofolit ekzistues të detyrimeve kontingjente.</w:t>
      </w:r>
    </w:p>
    <w:p w14:paraId="082D2ACF" w14:textId="2E62E49F" w:rsidR="00854635" w:rsidRPr="00DC66CD" w:rsidRDefault="00E40043" w:rsidP="00854635">
      <w:pPr>
        <w:pStyle w:val="TEKSTIIII"/>
        <w:rPr>
          <w:rFonts w:eastAsia="MS Mincho"/>
          <w:b/>
          <w:bCs/>
        </w:rPr>
      </w:pPr>
      <w:r w:rsidRPr="00DC66CD">
        <w:rPr>
          <w:rFonts w:eastAsia="MS Mincho"/>
          <w:b/>
          <w:bCs/>
        </w:rPr>
        <w:t>Koncesionet dhe PPP-të</w:t>
      </w:r>
    </w:p>
    <w:p w14:paraId="47D001F1" w14:textId="1041BD60" w:rsidR="00854635" w:rsidRPr="00DC66CD" w:rsidRDefault="00854635" w:rsidP="00854635">
      <w:pPr>
        <w:pStyle w:val="TEKSTIIII"/>
        <w:rPr>
          <w:rFonts w:eastAsia="SimSun"/>
        </w:rPr>
      </w:pPr>
      <w:r w:rsidRPr="00DC66CD">
        <w:rPr>
          <w:rFonts w:eastAsia="SimSun"/>
        </w:rPr>
        <w:t>Ministria e Financave vlerëson dhe miraton paraprakisht të gjitha projektet koncesionare dhe të partneritetit publik privat (PPP), si edhe çdo ndryshim të tyre, nga pikëpamja e implikimeve individuale apo në grup, për shpenzimet buxhetore, deficitin buxhetor, qëndrueshmërinë e borxhit publik dhe detyrimet kontingjente eventuale. Shuma e përgjithshme e pagesave vjetore neto, që kryhen nga njësitë e qeverisjes së përgjithshme, të cilat rezultojnë nga kontrata koncesionare apo partneriteti publik privat (PPP), si rregull, nuk duhet të tejkalojnë kufirin prej 5 për qind të të ardhurave tatimore faktike të vitit paraardhës buxhetor. Në rast tejkalimi të këtij kufiri, Këshilli i Ministrave merr masa korrektuese në krahun e të ardhurave buxhetore, të nevojshme dhe të mjaftueshme, për t</w:t>
      </w:r>
      <w:r w:rsidR="002C582E" w:rsidRPr="00DC66CD">
        <w:rPr>
          <w:rFonts w:eastAsia="SimSun"/>
        </w:rPr>
        <w:t>’</w:t>
      </w:r>
      <w:r w:rsidRPr="00DC66CD">
        <w:rPr>
          <w:rFonts w:eastAsia="SimSun"/>
        </w:rPr>
        <w:t xml:space="preserve">u rikthyer brenda kufirit të lejuar, gjatë dy viteve të ardhshme buxhetore. </w:t>
      </w:r>
    </w:p>
    <w:p w14:paraId="74F33719" w14:textId="640B0AE8" w:rsidR="00854635" w:rsidRPr="00DC66CD" w:rsidRDefault="00854635" w:rsidP="00854635">
      <w:pPr>
        <w:pStyle w:val="TEKSTIIII"/>
        <w:rPr>
          <w:rFonts w:eastAsia="SimSun"/>
        </w:rPr>
      </w:pPr>
      <w:r w:rsidRPr="00DC66CD">
        <w:rPr>
          <w:rFonts w:eastAsia="SimSun"/>
        </w:rPr>
        <w:t>Aktualisht, janë aktive 13 kontrata koncesionare apo partneriteti publik privat (PPP)</w:t>
      </w:r>
      <w:r w:rsidRPr="00DC66CD">
        <w:rPr>
          <w:rFonts w:eastAsia="SimSun"/>
          <w:vertAlign w:val="superscript"/>
        </w:rPr>
        <w:footnoteReference w:id="15"/>
      </w:r>
      <w:r w:rsidRPr="00DC66CD">
        <w:rPr>
          <w:rFonts w:eastAsia="SimSun"/>
        </w:rPr>
        <w:t xml:space="preserve"> sipas </w:t>
      </w:r>
      <w:r w:rsidR="00505248" w:rsidRPr="00DC66CD">
        <w:rPr>
          <w:rFonts w:eastAsia="SimSun"/>
        </w:rPr>
        <w:t xml:space="preserve">tabelës </w:t>
      </w:r>
      <w:r w:rsidRPr="00DC66CD">
        <w:rPr>
          <w:rFonts w:eastAsia="SimSun"/>
        </w:rPr>
        <w:t>4.5.5 të mëposhtme:</w:t>
      </w:r>
    </w:p>
    <w:p w14:paraId="3195ACA6" w14:textId="77777777" w:rsidR="00854635" w:rsidRPr="00DC66CD" w:rsidRDefault="00854635" w:rsidP="00854635">
      <w:pPr>
        <w:pStyle w:val="TEKSTIIII"/>
        <w:rPr>
          <w:rFonts w:eastAsia="SimSun"/>
        </w:rPr>
      </w:pPr>
    </w:p>
    <w:p w14:paraId="560D2BCD" w14:textId="16AE5D6C" w:rsidR="00854635" w:rsidRPr="00537C20" w:rsidRDefault="00854635" w:rsidP="00854635">
      <w:pPr>
        <w:pStyle w:val="TEKSTIIII"/>
        <w:rPr>
          <w:rFonts w:eastAsia="SimSun"/>
          <w:bCs/>
          <w:i/>
        </w:rPr>
      </w:pPr>
      <w:r w:rsidRPr="00537C20">
        <w:rPr>
          <w:rFonts w:eastAsia="SimSun"/>
          <w:bCs/>
          <w:i/>
        </w:rPr>
        <w:t>Tabela 4.5.5 Koncesionet/PPP aktive me mbështetje financiare nga buxheti i shtetit</w:t>
      </w:r>
    </w:p>
    <w:p w14:paraId="52564CF6" w14:textId="77777777" w:rsidR="00854635" w:rsidRPr="00DC66CD" w:rsidRDefault="00854635" w:rsidP="00854635">
      <w:pPr>
        <w:pStyle w:val="TEKSTIIII"/>
        <w:ind w:firstLine="0"/>
        <w:jc w:val="center"/>
        <w:rPr>
          <w:rFonts w:eastAsia="SimSun"/>
        </w:rPr>
      </w:pPr>
      <w:r w:rsidRPr="00DC66CD">
        <w:rPr>
          <w:noProof/>
          <w:lang w:val="en-US" w:eastAsia="en-US"/>
        </w:rPr>
        <w:drawing>
          <wp:inline distT="0" distB="0" distL="0" distR="0" wp14:anchorId="70547751" wp14:editId="42553E5F">
            <wp:extent cx="5605670" cy="3465087"/>
            <wp:effectExtent l="0" t="0" r="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620945" cy="3474529"/>
                    </a:xfrm>
                    <a:prstGeom prst="rect">
                      <a:avLst/>
                    </a:prstGeom>
                    <a:noFill/>
                    <a:ln>
                      <a:noFill/>
                    </a:ln>
                  </pic:spPr>
                </pic:pic>
              </a:graphicData>
            </a:graphic>
          </wp:inline>
        </w:drawing>
      </w:r>
    </w:p>
    <w:p w14:paraId="53D34C03" w14:textId="77777777" w:rsidR="00854635" w:rsidRPr="00DC66CD" w:rsidRDefault="00854635" w:rsidP="00854635">
      <w:pPr>
        <w:pStyle w:val="TEKSTIIII"/>
        <w:rPr>
          <w:rFonts w:eastAsia="SimSun"/>
        </w:rPr>
      </w:pPr>
    </w:p>
    <w:p w14:paraId="6C17F657" w14:textId="202B4248" w:rsidR="00854635" w:rsidRPr="00DC66CD" w:rsidRDefault="00854635" w:rsidP="00854635">
      <w:pPr>
        <w:pStyle w:val="TEKSTIIII"/>
        <w:rPr>
          <w:rFonts w:eastAsia="SimSun"/>
        </w:rPr>
      </w:pPr>
      <w:r w:rsidRPr="00DC66CD">
        <w:rPr>
          <w:rFonts w:eastAsia="SimSun"/>
        </w:rPr>
        <w:t>Për sa i përket respektimit të nenit 4/2</w:t>
      </w:r>
      <w:r w:rsidR="009006AE" w:rsidRPr="00DC66CD">
        <w:rPr>
          <w:rFonts w:eastAsia="SimSun"/>
        </w:rPr>
        <w:t>,</w:t>
      </w:r>
      <w:r w:rsidRPr="00DC66CD">
        <w:rPr>
          <w:rFonts w:eastAsia="SimSun"/>
        </w:rPr>
        <w:t xml:space="preserve"> të ligjit</w:t>
      </w:r>
      <w:r w:rsidR="00E33D88" w:rsidRPr="00DC66CD">
        <w:rPr>
          <w:rFonts w:eastAsia="SimSun"/>
        </w:rPr>
        <w:t xml:space="preserve"> nr. </w:t>
      </w:r>
      <w:r w:rsidRPr="00DC66CD">
        <w:rPr>
          <w:rFonts w:eastAsia="SimSun"/>
        </w:rPr>
        <w:t>9936</w:t>
      </w:r>
      <w:r w:rsidR="00AC3889" w:rsidRPr="00DC66CD">
        <w:rPr>
          <w:rFonts w:eastAsia="SimSun"/>
        </w:rPr>
        <w:t>, datë 26.</w:t>
      </w:r>
      <w:r w:rsidRPr="00DC66CD">
        <w:rPr>
          <w:rFonts w:eastAsia="SimSun"/>
        </w:rPr>
        <w:t>6.2008</w:t>
      </w:r>
      <w:r w:rsidR="009006AE" w:rsidRPr="00DC66CD">
        <w:rPr>
          <w:rFonts w:eastAsia="SimSun"/>
        </w:rPr>
        <w:t>,</w:t>
      </w:r>
      <w:r w:rsidRPr="00DC66CD">
        <w:rPr>
          <w:rFonts w:eastAsia="SimSun"/>
        </w:rPr>
        <w:t xml:space="preserve"> </w:t>
      </w:r>
      <w:r w:rsidR="002A29AD" w:rsidRPr="00DC66CD">
        <w:rPr>
          <w:rFonts w:eastAsia="SimSun"/>
        </w:rPr>
        <w:t>“</w:t>
      </w:r>
      <w:r w:rsidRPr="00DC66CD">
        <w:rPr>
          <w:rFonts w:eastAsia="SimSun"/>
        </w:rPr>
        <w:t>Për menaxhimin e sistemit buxhetor</w:t>
      </w:r>
      <w:r w:rsidR="009006AE" w:rsidRPr="00DC66CD">
        <w:rPr>
          <w:rFonts w:eastAsia="SimSun"/>
        </w:rPr>
        <w:t>”,</w:t>
      </w:r>
      <w:r w:rsidRPr="00DC66CD">
        <w:rPr>
          <w:rFonts w:eastAsia="SimSun"/>
        </w:rPr>
        <w:t xml:space="preserve"> ku përcaktohet</w:t>
      </w:r>
      <w:r w:rsidR="009006AE" w:rsidRPr="00DC66CD">
        <w:rPr>
          <w:rFonts w:eastAsia="SimSun"/>
        </w:rPr>
        <w:t>,</w:t>
      </w:r>
      <w:r w:rsidRPr="00DC66CD">
        <w:rPr>
          <w:rFonts w:eastAsia="SimSun"/>
        </w:rPr>
        <w:t xml:space="preserve"> se</w:t>
      </w:r>
      <w:r w:rsidR="009006AE" w:rsidRPr="00DC66CD">
        <w:rPr>
          <w:rFonts w:eastAsia="SimSun"/>
        </w:rPr>
        <w:t>:</w:t>
      </w:r>
      <w:r w:rsidRPr="00DC66CD">
        <w:rPr>
          <w:rFonts w:eastAsia="SimSun"/>
        </w:rPr>
        <w:t xml:space="preserve"> </w:t>
      </w:r>
      <w:r w:rsidR="002A29AD" w:rsidRPr="00DC66CD">
        <w:rPr>
          <w:rFonts w:eastAsia="SimSun"/>
        </w:rPr>
        <w:t>“</w:t>
      </w:r>
      <w:r w:rsidRPr="00DC66CD">
        <w:rPr>
          <w:rFonts w:eastAsia="SimSun"/>
        </w:rPr>
        <w:t>...</w:t>
      </w:r>
      <w:r w:rsidR="009006AE" w:rsidRPr="00DC66CD">
        <w:rPr>
          <w:rFonts w:eastAsia="SimSun"/>
        </w:rPr>
        <w:t xml:space="preserve"> </w:t>
      </w:r>
      <w:r w:rsidRPr="00DC66CD">
        <w:rPr>
          <w:rFonts w:eastAsia="SimSun"/>
          <w:i/>
        </w:rPr>
        <w:t>shuma e përgjithshme e pagesave vjetore neto, që kryhen nga njësitë e qeverisjes së përgjithshme, të cilat rezultojnë nga kontrata koncesionare apo partneriteti publik privat (PPP), si rregull, nuk duhet të tejkalojnë kufirin prej 5 për qind të të ardhurave tatimore faktike të vitit paraardhës buxhetor</w:t>
      </w:r>
      <w:r w:rsidR="002A29AD" w:rsidRPr="00DC66CD">
        <w:rPr>
          <w:rFonts w:eastAsia="SimSun"/>
        </w:rPr>
        <w:t>”</w:t>
      </w:r>
      <w:r w:rsidRPr="00DC66CD">
        <w:rPr>
          <w:rFonts w:eastAsia="SimSun"/>
        </w:rPr>
        <w:t>, për vitin 2020</w:t>
      </w:r>
      <w:r w:rsidR="009006AE" w:rsidRPr="00DC66CD">
        <w:rPr>
          <w:rFonts w:eastAsia="SimSun"/>
        </w:rPr>
        <w:t>,</w:t>
      </w:r>
      <w:r w:rsidRPr="00DC66CD">
        <w:rPr>
          <w:rFonts w:eastAsia="SimSun"/>
        </w:rPr>
        <w:t xml:space="preserve"> vërehet se:</w:t>
      </w:r>
    </w:p>
    <w:p w14:paraId="6660303E" w14:textId="3986223D" w:rsidR="00854635" w:rsidRPr="00DC66CD" w:rsidRDefault="00010B63" w:rsidP="00854635">
      <w:pPr>
        <w:pStyle w:val="TEKSTIIII"/>
        <w:rPr>
          <w:rFonts w:cs="Times New Roman"/>
          <w:i/>
        </w:rPr>
      </w:pPr>
      <w:r w:rsidRPr="00DC66CD">
        <w:rPr>
          <w:rFonts w:cs="Times New Roman"/>
          <w:i/>
        </w:rPr>
        <w:t>- p</w:t>
      </w:r>
      <w:r w:rsidR="00854635" w:rsidRPr="00DC66CD">
        <w:rPr>
          <w:rFonts w:cs="Times New Roman"/>
          <w:i/>
        </w:rPr>
        <w:t xml:space="preserve">ër vitin 2020, kufiri i lejuar i pagesave neto për kontratat </w:t>
      </w:r>
      <w:r w:rsidRPr="00DC66CD">
        <w:rPr>
          <w:rFonts w:cs="Times New Roman"/>
          <w:i/>
        </w:rPr>
        <w:t>koncesionare</w:t>
      </w:r>
      <w:r w:rsidR="00854635" w:rsidRPr="00DC66CD">
        <w:rPr>
          <w:rFonts w:cs="Times New Roman"/>
          <w:i/>
        </w:rPr>
        <w:t xml:space="preserve">/PPP, prej 5% </w:t>
      </w:r>
      <w:r w:rsidRPr="00DC66CD">
        <w:rPr>
          <w:rFonts w:cs="Times New Roman"/>
          <w:i/>
        </w:rPr>
        <w:t>të</w:t>
      </w:r>
      <w:r w:rsidR="00854635" w:rsidRPr="00DC66CD">
        <w:rPr>
          <w:rFonts w:cs="Times New Roman"/>
          <w:i/>
        </w:rPr>
        <w:t xml:space="preserve"> të ardhurave tatimore të pritshme të vitit 2019, është rreth 22.42 miliardë lekë</w:t>
      </w:r>
      <w:r w:rsidRPr="00DC66CD">
        <w:rPr>
          <w:rFonts w:cs="Times New Roman"/>
          <w:i/>
        </w:rPr>
        <w:t>;</w:t>
      </w:r>
    </w:p>
    <w:p w14:paraId="1327AC7E" w14:textId="2280A595" w:rsidR="00854635" w:rsidRPr="00DC66CD" w:rsidRDefault="00010B63" w:rsidP="00854635">
      <w:pPr>
        <w:pStyle w:val="TEKSTIIII"/>
        <w:rPr>
          <w:rFonts w:cs="Times New Roman"/>
          <w:i/>
        </w:rPr>
      </w:pPr>
      <w:r w:rsidRPr="00DC66CD">
        <w:rPr>
          <w:rFonts w:cs="Times New Roman"/>
          <w:i/>
        </w:rPr>
        <w:t xml:space="preserve">- referuar tabelës </w:t>
      </w:r>
      <w:r w:rsidR="00854635" w:rsidRPr="00DC66CD">
        <w:rPr>
          <w:rFonts w:cs="Times New Roman"/>
          <w:i/>
        </w:rPr>
        <w:t>X, për vitin 2020 pagesat vjetore neto që parashikohen të kryhen nga njësitë e qeverisjes së përgjithshme për kontratat koncesionare apo PPP</w:t>
      </w:r>
      <w:r w:rsidR="00BA6994" w:rsidRPr="00DC66CD">
        <w:rPr>
          <w:rFonts w:cs="Times New Roman"/>
          <w:i/>
        </w:rPr>
        <w:t>-ve</w:t>
      </w:r>
      <w:r w:rsidR="00854635" w:rsidRPr="00DC66CD">
        <w:rPr>
          <w:rFonts w:cs="Times New Roman"/>
          <w:i/>
        </w:rPr>
        <w:t>, kapin vlerën rreth 14.6 miliardë lekë</w:t>
      </w:r>
      <w:r w:rsidRPr="00DC66CD">
        <w:rPr>
          <w:rFonts w:cs="Times New Roman"/>
          <w:i/>
        </w:rPr>
        <w:t>;</w:t>
      </w:r>
    </w:p>
    <w:p w14:paraId="74111BD0" w14:textId="3A0310F6" w:rsidR="00854635" w:rsidRPr="00DC66CD" w:rsidRDefault="00010B63" w:rsidP="00854635">
      <w:pPr>
        <w:pStyle w:val="TEKSTIIII"/>
        <w:rPr>
          <w:rFonts w:cs="Times New Roman"/>
          <w:i/>
        </w:rPr>
      </w:pPr>
      <w:r w:rsidRPr="00DC66CD">
        <w:rPr>
          <w:rFonts w:cs="Times New Roman"/>
          <w:i/>
        </w:rPr>
        <w:t>- rrje</w:t>
      </w:r>
      <w:r w:rsidR="00854635" w:rsidRPr="00DC66CD">
        <w:rPr>
          <w:rFonts w:cs="Times New Roman"/>
          <w:i/>
        </w:rPr>
        <w:t>dhimisht, në buxhetin 2020 është respektuar kufizimin ligjor i sipërcituar në zbatim të rregull</w:t>
      </w:r>
      <w:r w:rsidRPr="00DC66CD">
        <w:rPr>
          <w:rFonts w:cs="Times New Roman"/>
          <w:i/>
        </w:rPr>
        <w:t>ës</w:t>
      </w:r>
      <w:r w:rsidR="00854635" w:rsidRPr="00DC66CD">
        <w:rPr>
          <w:rFonts w:cs="Times New Roman"/>
          <w:i/>
        </w:rPr>
        <w:t xml:space="preserve"> fiskal</w:t>
      </w:r>
      <w:r w:rsidRPr="00DC66CD">
        <w:rPr>
          <w:rFonts w:cs="Times New Roman"/>
          <w:i/>
        </w:rPr>
        <w:t>e</w:t>
      </w:r>
      <w:r w:rsidR="00854635" w:rsidRPr="00DC66CD">
        <w:rPr>
          <w:rFonts w:cs="Times New Roman"/>
          <w:i/>
        </w:rPr>
        <w:t xml:space="preserve"> respektiv</w:t>
      </w:r>
      <w:r w:rsidRPr="00DC66CD">
        <w:rPr>
          <w:rFonts w:cs="Times New Roman"/>
          <w:i/>
        </w:rPr>
        <w:t>e</w:t>
      </w:r>
      <w:r w:rsidR="00854635" w:rsidRPr="00DC66CD">
        <w:rPr>
          <w:rFonts w:cs="Times New Roman"/>
          <w:i/>
        </w:rPr>
        <w:t>, pasi</w:t>
      </w:r>
      <w:r w:rsidR="0072211B" w:rsidRPr="00DC66CD">
        <w:rPr>
          <w:rFonts w:cs="Times New Roman"/>
          <w:i/>
        </w:rPr>
        <w:t xml:space="preserve"> </w:t>
      </w:r>
      <w:r w:rsidR="00854635" w:rsidRPr="00DC66CD">
        <w:rPr>
          <w:rFonts w:cs="Times New Roman"/>
          <w:i/>
        </w:rPr>
        <w:t>vlera e parashikuar prej 14.6 miliardë lekë</w:t>
      </w:r>
      <w:r w:rsidRPr="00DC66CD">
        <w:rPr>
          <w:rFonts w:cs="Times New Roman"/>
          <w:i/>
        </w:rPr>
        <w:t>sh</w:t>
      </w:r>
      <w:r w:rsidR="00854635" w:rsidRPr="00DC66CD">
        <w:rPr>
          <w:rFonts w:cs="Times New Roman"/>
          <w:i/>
        </w:rPr>
        <w:t xml:space="preserve"> për pagesat vjetore neto të kontratave koncesionare apo PPP për vitin 2020, përbën vetëm 3.3 për</w:t>
      </w:r>
      <w:r w:rsidRPr="00DC66CD">
        <w:rPr>
          <w:rFonts w:cs="Times New Roman"/>
          <w:i/>
        </w:rPr>
        <w:t xml:space="preserve"> </w:t>
      </w:r>
      <w:r w:rsidR="00854635" w:rsidRPr="00DC66CD">
        <w:rPr>
          <w:rFonts w:cs="Times New Roman"/>
          <w:i/>
        </w:rPr>
        <w:t>qind të totalit të të ardhurave tatimore të parashikuara për vitin 2019, prej rreth 448.3 miliardë lekë</w:t>
      </w:r>
      <w:r w:rsidRPr="00DC66CD">
        <w:rPr>
          <w:rFonts w:cs="Times New Roman"/>
          <w:i/>
        </w:rPr>
        <w:t>sh</w:t>
      </w:r>
      <w:r w:rsidR="00854635" w:rsidRPr="00DC66CD">
        <w:rPr>
          <w:rFonts w:cs="Times New Roman"/>
          <w:i/>
        </w:rPr>
        <w:t>.</w:t>
      </w:r>
    </w:p>
    <w:p w14:paraId="6C7FAAC8" w14:textId="61FD1037" w:rsidR="00854635" w:rsidRPr="00DC66CD" w:rsidRDefault="00854635" w:rsidP="00854635">
      <w:pPr>
        <w:pStyle w:val="TEKSTIIII"/>
        <w:rPr>
          <w:rFonts w:eastAsia="SimSun"/>
        </w:rPr>
      </w:pPr>
      <w:r w:rsidRPr="00DC66CD">
        <w:rPr>
          <w:rFonts w:eastAsia="SimSun"/>
        </w:rPr>
        <w:t>Gjatë vitit 2019, Ministria e Financave dhe Ekonomisë ka intensifikuar monitorimin e performancës së kontratave koncesionare/PPP-ve me mbështetje buxhetore, duke monitoruar jo vetëm ecurinë e pagesave faktike buxhetore</w:t>
      </w:r>
      <w:r w:rsidR="00FF4E5A" w:rsidRPr="00DC66CD">
        <w:rPr>
          <w:rFonts w:eastAsia="SimSun"/>
        </w:rPr>
        <w:t>,</w:t>
      </w:r>
      <w:r w:rsidRPr="00DC66CD">
        <w:rPr>
          <w:rFonts w:eastAsia="SimSun"/>
        </w:rPr>
        <w:t xml:space="preserve"> por edhe treguesit e performancës të planifikuar/</w:t>
      </w:r>
      <w:r w:rsidR="00FF4E5A" w:rsidRPr="00DC66CD">
        <w:rPr>
          <w:rFonts w:eastAsia="SimSun"/>
        </w:rPr>
        <w:t xml:space="preserve">të </w:t>
      </w:r>
      <w:r w:rsidRPr="00DC66CD">
        <w:rPr>
          <w:rFonts w:eastAsia="SimSun"/>
        </w:rPr>
        <w:t xml:space="preserve">realizuar për secilën kontratë koncesionare/PPP. Duke filluar nga viti 2019, monitorimi dhe raportimi mbi kontratat </w:t>
      </w:r>
      <w:r w:rsidR="00FF4E5A" w:rsidRPr="00DC66CD">
        <w:rPr>
          <w:rFonts w:eastAsia="SimSun"/>
        </w:rPr>
        <w:t>koncesionare</w:t>
      </w:r>
      <w:r w:rsidRPr="00DC66CD">
        <w:rPr>
          <w:rFonts w:eastAsia="SimSun"/>
        </w:rPr>
        <w:t>/PPP është institucionalizuar përmes përfshirjes në udhëzimin plotësues</w:t>
      </w:r>
      <w:r w:rsidR="00E33D88" w:rsidRPr="00DC66CD">
        <w:rPr>
          <w:rFonts w:eastAsia="SimSun"/>
        </w:rPr>
        <w:t xml:space="preserve"> nr. </w:t>
      </w:r>
      <w:r w:rsidR="00FF4E5A" w:rsidRPr="00DC66CD">
        <w:rPr>
          <w:rFonts w:eastAsia="SimSun"/>
        </w:rPr>
        <w:t>1, datë 17.</w:t>
      </w:r>
      <w:r w:rsidRPr="00DC66CD">
        <w:rPr>
          <w:rFonts w:eastAsia="SimSun"/>
        </w:rPr>
        <w:t>1.2019</w:t>
      </w:r>
      <w:r w:rsidR="00FF4E5A" w:rsidRPr="00DC66CD">
        <w:rPr>
          <w:rFonts w:eastAsia="SimSun"/>
        </w:rPr>
        <w:t>,</w:t>
      </w:r>
      <w:r w:rsidRPr="00DC66CD">
        <w:rPr>
          <w:rFonts w:eastAsia="SimSun"/>
        </w:rPr>
        <w:t xml:space="preserve"> </w:t>
      </w:r>
      <w:r w:rsidR="002A29AD" w:rsidRPr="00DC66CD">
        <w:rPr>
          <w:rFonts w:eastAsia="SimSun"/>
        </w:rPr>
        <w:t>“</w:t>
      </w:r>
      <w:r w:rsidRPr="00DC66CD">
        <w:rPr>
          <w:rFonts w:eastAsia="SimSun"/>
        </w:rPr>
        <w:t>Për zbatimin e buxhetit të vitit 2019</w:t>
      </w:r>
      <w:r w:rsidR="002A29AD" w:rsidRPr="00DC66CD">
        <w:rPr>
          <w:rFonts w:eastAsia="SimSun"/>
        </w:rPr>
        <w:t>”</w:t>
      </w:r>
      <w:r w:rsidRPr="00DC66CD">
        <w:rPr>
          <w:rFonts w:eastAsia="SimSun"/>
        </w:rPr>
        <w:t xml:space="preserve">, të </w:t>
      </w:r>
      <w:r w:rsidRPr="001A4BBB">
        <w:rPr>
          <w:rFonts w:eastAsia="SimSun"/>
        </w:rPr>
        <w:t>skedulit</w:t>
      </w:r>
      <w:r w:rsidRPr="00DC66CD">
        <w:rPr>
          <w:rFonts w:eastAsia="SimSun"/>
        </w:rPr>
        <w:t xml:space="preserve"> të detyrueshëm kohor të raportimit të tyre nga çdo autoritet kontraktor dhe të formateve standarde respektive, me qëllim thellimin e analizës dhe rritjen e transparencës. Ky monitorim është kryer në bazë mujore.</w:t>
      </w:r>
      <w:r w:rsidR="0072211B" w:rsidRPr="00DC66CD">
        <w:rPr>
          <w:rFonts w:eastAsia="SimSun"/>
        </w:rPr>
        <w:t xml:space="preserve"> </w:t>
      </w:r>
    </w:p>
    <w:p w14:paraId="1D112D05" w14:textId="25E93F72" w:rsidR="00854635" w:rsidRPr="00DC66CD" w:rsidRDefault="00854635" w:rsidP="00854635">
      <w:pPr>
        <w:pStyle w:val="TEKSTIIII"/>
        <w:rPr>
          <w:rFonts w:eastAsia="SimSun"/>
        </w:rPr>
      </w:pPr>
      <w:r w:rsidRPr="00DC66CD">
        <w:rPr>
          <w:rFonts w:eastAsia="SimSun"/>
        </w:rPr>
        <w:t>Për</w:t>
      </w:r>
      <w:r w:rsidR="00FF4E5A" w:rsidRPr="00DC66CD">
        <w:rPr>
          <w:rFonts w:eastAsia="SimSun"/>
        </w:rPr>
        <w:t xml:space="preserve"> </w:t>
      </w:r>
      <w:r w:rsidRPr="00DC66CD">
        <w:rPr>
          <w:rFonts w:eastAsia="SimSun"/>
        </w:rPr>
        <w:t xml:space="preserve">sa i përket ecurisë faktike të pagesave </w:t>
      </w:r>
      <w:r w:rsidR="00FF4E5A" w:rsidRPr="00DC66CD">
        <w:rPr>
          <w:rFonts w:eastAsia="SimSun"/>
        </w:rPr>
        <w:t>koncesionare</w:t>
      </w:r>
      <w:r w:rsidRPr="00DC66CD">
        <w:rPr>
          <w:rFonts w:eastAsia="SimSun"/>
        </w:rPr>
        <w:t xml:space="preserve">, për periudhën </w:t>
      </w:r>
      <w:r w:rsidR="00FF4E5A" w:rsidRPr="00DC66CD">
        <w:rPr>
          <w:rFonts w:eastAsia="SimSun"/>
        </w:rPr>
        <w:t>janar</w:t>
      </w:r>
      <w:r w:rsidR="00FF4E5A" w:rsidRPr="00DC66CD">
        <w:t>–</w:t>
      </w:r>
      <w:r w:rsidR="00FF4E5A" w:rsidRPr="00DC66CD">
        <w:rPr>
          <w:rFonts w:eastAsia="SimSun"/>
        </w:rPr>
        <w:t xml:space="preserve">nëntor </w:t>
      </w:r>
      <w:r w:rsidRPr="00DC66CD">
        <w:rPr>
          <w:rFonts w:eastAsia="SimSun"/>
        </w:rPr>
        <w:t>2019 dhe pritshmëritë deri në fund të vitit 2019, në vijim jepet një tablo përmbledhëse:</w:t>
      </w:r>
    </w:p>
    <w:p w14:paraId="0360184D" w14:textId="3F692820" w:rsidR="00854635" w:rsidRPr="00DC66CD" w:rsidRDefault="00854635" w:rsidP="00854635">
      <w:pPr>
        <w:pStyle w:val="TEKSTIIII"/>
        <w:rPr>
          <w:rFonts w:eastAsia="SimSun"/>
        </w:rPr>
      </w:pPr>
      <w:r w:rsidRPr="00DC66CD">
        <w:rPr>
          <w:rFonts w:eastAsia="SimSun"/>
        </w:rPr>
        <w:t xml:space="preserve">Fondet buxhetore të planifikuara për vitin 2019, me destinacion mbështetjen nga buxheti për kontratat </w:t>
      </w:r>
      <w:r w:rsidR="00FF4E5A" w:rsidRPr="00DC66CD">
        <w:rPr>
          <w:rFonts w:eastAsia="SimSun"/>
        </w:rPr>
        <w:t>koncesionare</w:t>
      </w:r>
      <w:r w:rsidRPr="00DC66CD">
        <w:rPr>
          <w:rFonts w:eastAsia="SimSun"/>
        </w:rPr>
        <w:t>/PPP, janë në total rreth 12.63 miliard</w:t>
      </w:r>
      <w:r w:rsidR="00FF4E5A" w:rsidRPr="00DC66CD">
        <w:rPr>
          <w:rFonts w:eastAsia="SimSun"/>
        </w:rPr>
        <w:t>ë</w:t>
      </w:r>
      <w:r w:rsidRPr="00DC66CD">
        <w:rPr>
          <w:rFonts w:eastAsia="SimSun"/>
        </w:rPr>
        <w:t xml:space="preserve"> lekë. Nga këto, rreth 6.38 miliard</w:t>
      </w:r>
      <w:r w:rsidR="00FF4E5A" w:rsidRPr="00DC66CD">
        <w:rPr>
          <w:rFonts w:eastAsia="SimSun"/>
        </w:rPr>
        <w:t>ë</w:t>
      </w:r>
      <w:r w:rsidRPr="00DC66CD">
        <w:rPr>
          <w:rFonts w:eastAsia="SimSun"/>
        </w:rPr>
        <w:t xml:space="preserve"> lekë janë investime dhe 6.25 miliard</w:t>
      </w:r>
      <w:r w:rsidR="00FF4E5A" w:rsidRPr="00DC66CD">
        <w:rPr>
          <w:rFonts w:eastAsia="SimSun"/>
        </w:rPr>
        <w:t>ë</w:t>
      </w:r>
      <w:r w:rsidRPr="00DC66CD">
        <w:rPr>
          <w:rFonts w:eastAsia="SimSun"/>
        </w:rPr>
        <w:t xml:space="preserve"> lekë shpenzime </w:t>
      </w:r>
      <w:r w:rsidR="00802D94" w:rsidRPr="00DC66CD">
        <w:rPr>
          <w:rFonts w:eastAsia="SimSun"/>
        </w:rPr>
        <w:t>korrente</w:t>
      </w:r>
      <w:r w:rsidRPr="00DC66CD">
        <w:rPr>
          <w:rFonts w:eastAsia="SimSun"/>
        </w:rPr>
        <w:t xml:space="preserve">. </w:t>
      </w:r>
    </w:p>
    <w:p w14:paraId="1890E305" w14:textId="100C948A" w:rsidR="00854635" w:rsidRPr="00DC66CD" w:rsidRDefault="00854635" w:rsidP="00854635">
      <w:pPr>
        <w:pStyle w:val="TEKSTIIII"/>
        <w:rPr>
          <w:rFonts w:eastAsia="SimSun"/>
        </w:rPr>
      </w:pPr>
      <w:r w:rsidRPr="00DC66CD">
        <w:rPr>
          <w:rFonts w:eastAsia="SimSun"/>
        </w:rPr>
        <w:t>Kundrejt faktit të vitit 2018 që kapi vlerën 8.76 miliardë lekë, plani 2019 rezulton 44.2% më i lartë ose rreth 3.87 miliard</w:t>
      </w:r>
      <w:r w:rsidR="00FF4E5A" w:rsidRPr="00DC66CD">
        <w:rPr>
          <w:rFonts w:eastAsia="SimSun"/>
        </w:rPr>
        <w:t>ë</w:t>
      </w:r>
      <w:r w:rsidRPr="00DC66CD">
        <w:rPr>
          <w:rFonts w:eastAsia="SimSun"/>
        </w:rPr>
        <w:t xml:space="preserve"> lekë më shumë.</w:t>
      </w:r>
    </w:p>
    <w:p w14:paraId="0961EE44" w14:textId="356D7908" w:rsidR="00854635" w:rsidRPr="00DC66CD" w:rsidRDefault="00854635" w:rsidP="00854635">
      <w:pPr>
        <w:pStyle w:val="TEKSTIIII"/>
        <w:rPr>
          <w:rFonts w:eastAsia="SimSun"/>
        </w:rPr>
      </w:pPr>
      <w:r w:rsidRPr="00DC66CD">
        <w:rPr>
          <w:rFonts w:eastAsia="SimSun"/>
        </w:rPr>
        <w:t>Pagesat faktike</w:t>
      </w:r>
      <w:r w:rsidR="00FF4E5A" w:rsidRPr="00DC66CD">
        <w:rPr>
          <w:rFonts w:eastAsia="SimSun"/>
        </w:rPr>
        <w:t>,</w:t>
      </w:r>
      <w:r w:rsidRPr="00DC66CD">
        <w:rPr>
          <w:rFonts w:eastAsia="SimSun"/>
        </w:rPr>
        <w:t xml:space="preserve"> në total për 11-mujorin 2019, rezultojnë 11.56 miliardë lekë ose 91.5% e planit vjetor 2019, të ndryshuar. Nivelin më të lartë të pagesave e ka shënuar muaji </w:t>
      </w:r>
      <w:r w:rsidR="00FF4E5A" w:rsidRPr="00DC66CD">
        <w:rPr>
          <w:rFonts w:eastAsia="SimSun"/>
        </w:rPr>
        <w:t xml:space="preserve">janar, </w:t>
      </w:r>
      <w:r w:rsidRPr="00DC66CD">
        <w:rPr>
          <w:rFonts w:eastAsia="SimSun"/>
        </w:rPr>
        <w:t>me 2.9 miliardë lekë nga të cilat 2.52 miliard</w:t>
      </w:r>
      <w:r w:rsidR="00FF4E5A" w:rsidRPr="00DC66CD">
        <w:rPr>
          <w:rFonts w:eastAsia="SimSun"/>
        </w:rPr>
        <w:t>ë</w:t>
      </w:r>
      <w:r w:rsidRPr="00DC66CD">
        <w:rPr>
          <w:rFonts w:eastAsia="SimSun"/>
        </w:rPr>
        <w:t xml:space="preserve"> lekë është pagesa për kontratën e MIE</w:t>
      </w:r>
      <w:r w:rsidR="00FF4E5A" w:rsidRPr="00DC66CD">
        <w:rPr>
          <w:rFonts w:eastAsia="SimSun"/>
        </w:rPr>
        <w:t>-s</w:t>
      </w:r>
      <w:r w:rsidRPr="00DC66CD">
        <w:rPr>
          <w:rFonts w:eastAsia="SimSun"/>
        </w:rPr>
        <w:t xml:space="preserve"> </w:t>
      </w:r>
      <w:r w:rsidR="002A29AD" w:rsidRPr="00DC66CD">
        <w:rPr>
          <w:rFonts w:eastAsia="SimSun"/>
        </w:rPr>
        <w:t>“</w:t>
      </w:r>
      <w:r w:rsidRPr="00DC66CD">
        <w:rPr>
          <w:rFonts w:eastAsia="SimSun"/>
        </w:rPr>
        <w:t xml:space="preserve">Ndërtimi dhe </w:t>
      </w:r>
      <w:r w:rsidR="00FF4E5A" w:rsidRPr="00DC66CD">
        <w:rPr>
          <w:rFonts w:eastAsia="SimSun"/>
        </w:rPr>
        <w:t xml:space="preserve">operimi </w:t>
      </w:r>
      <w:r w:rsidRPr="00DC66CD">
        <w:rPr>
          <w:rFonts w:eastAsia="SimSun"/>
        </w:rPr>
        <w:t>i Rrugës së Arbrit</w:t>
      </w:r>
      <w:r w:rsidR="002A29AD" w:rsidRPr="00DC66CD">
        <w:rPr>
          <w:rFonts w:eastAsia="SimSun"/>
        </w:rPr>
        <w:t>”</w:t>
      </w:r>
      <w:r w:rsidRPr="00DC66CD">
        <w:rPr>
          <w:rFonts w:eastAsia="SimSun"/>
        </w:rPr>
        <w:t xml:space="preserve">, specifikisht për ndërtimin, operimin dhe mirëmbajtjen e kësaj kontrate. </w:t>
      </w:r>
    </w:p>
    <w:p w14:paraId="0CFE6A11" w14:textId="5CC7487F" w:rsidR="00854635" w:rsidRPr="00DC66CD" w:rsidRDefault="00854635" w:rsidP="00854635">
      <w:pPr>
        <w:pStyle w:val="TEKSTIIII"/>
        <w:rPr>
          <w:rFonts w:eastAsia="SimSun"/>
        </w:rPr>
      </w:pPr>
      <w:r w:rsidRPr="00DC66CD">
        <w:rPr>
          <w:rFonts w:eastAsia="SimSun"/>
        </w:rPr>
        <w:t xml:space="preserve">Krahasuar me pagesat faktike për </w:t>
      </w:r>
      <w:r w:rsidR="00123D04" w:rsidRPr="00DC66CD">
        <w:rPr>
          <w:rFonts w:eastAsia="SimSun"/>
        </w:rPr>
        <w:t>11-mujor</w:t>
      </w:r>
      <w:r w:rsidRPr="00DC66CD">
        <w:rPr>
          <w:rFonts w:eastAsia="SimSun"/>
        </w:rPr>
        <w:t xml:space="preserve">in e vitit 2018, fakti </w:t>
      </w:r>
      <w:r w:rsidR="00123D04" w:rsidRPr="00DC66CD">
        <w:rPr>
          <w:rFonts w:eastAsia="SimSun"/>
        </w:rPr>
        <w:t>11-mujor</w:t>
      </w:r>
      <w:r w:rsidRPr="00DC66CD">
        <w:rPr>
          <w:rFonts w:eastAsia="SimSun"/>
        </w:rPr>
        <w:t xml:space="preserve"> i vitit 2019 rezulton në masën 4.1 miliard</w:t>
      </w:r>
      <w:r w:rsidR="00FF4E5A" w:rsidRPr="00DC66CD">
        <w:rPr>
          <w:rFonts w:eastAsia="SimSun"/>
        </w:rPr>
        <w:t>ë</w:t>
      </w:r>
      <w:r w:rsidRPr="00DC66CD">
        <w:rPr>
          <w:rFonts w:eastAsia="SimSun"/>
        </w:rPr>
        <w:t xml:space="preserve"> lekë më shumë ose 55.9 për</w:t>
      </w:r>
      <w:r w:rsidR="00FF4E5A" w:rsidRPr="00DC66CD">
        <w:rPr>
          <w:rFonts w:eastAsia="SimSun"/>
        </w:rPr>
        <w:t xml:space="preserve"> </w:t>
      </w:r>
      <w:r w:rsidRPr="00DC66CD">
        <w:rPr>
          <w:rFonts w:eastAsia="SimSun"/>
        </w:rPr>
        <w:t xml:space="preserve">qind më i lartë. </w:t>
      </w:r>
    </w:p>
    <w:p w14:paraId="1737CCF8" w14:textId="7F23CA75" w:rsidR="00854635" w:rsidRPr="00DC66CD" w:rsidRDefault="00854635" w:rsidP="00854635">
      <w:pPr>
        <w:pStyle w:val="TEKSTIIII"/>
        <w:rPr>
          <w:rFonts w:eastAsia="SimSun"/>
        </w:rPr>
      </w:pPr>
      <w:r w:rsidRPr="00DC66CD">
        <w:rPr>
          <w:rFonts w:eastAsia="SimSun"/>
        </w:rPr>
        <w:t>Theksojmë faktin</w:t>
      </w:r>
      <w:r w:rsidR="00FF4E5A" w:rsidRPr="00DC66CD">
        <w:rPr>
          <w:rFonts w:eastAsia="SimSun"/>
        </w:rPr>
        <w:t>, se</w:t>
      </w:r>
      <w:r w:rsidRPr="00DC66CD">
        <w:rPr>
          <w:rFonts w:eastAsia="SimSun"/>
        </w:rPr>
        <w:t xml:space="preserve"> për kontratën koncesionare/PPP</w:t>
      </w:r>
      <w:r w:rsidR="00FF4E5A" w:rsidRPr="00DC66CD">
        <w:rPr>
          <w:rFonts w:eastAsia="SimSun"/>
        </w:rPr>
        <w:t>,</w:t>
      </w:r>
      <w:r w:rsidRPr="00DC66CD">
        <w:rPr>
          <w:rFonts w:eastAsia="SimSun"/>
        </w:rPr>
        <w:t xml:space="preserve"> </w:t>
      </w:r>
      <w:r w:rsidR="002A29AD" w:rsidRPr="00DC66CD">
        <w:rPr>
          <w:rFonts w:eastAsia="SimSun"/>
        </w:rPr>
        <w:t>“</w:t>
      </w:r>
      <w:r w:rsidRPr="00DC66CD">
        <w:rPr>
          <w:rFonts w:eastAsia="SimSun"/>
        </w:rPr>
        <w:t>Ndërtimi i rrugës së Arbrit</w:t>
      </w:r>
      <w:r w:rsidR="002A29AD" w:rsidRPr="00DC66CD">
        <w:rPr>
          <w:rFonts w:eastAsia="SimSun"/>
        </w:rPr>
        <w:t>”</w:t>
      </w:r>
      <w:r w:rsidRPr="00DC66CD">
        <w:rPr>
          <w:rFonts w:eastAsia="SimSun"/>
        </w:rPr>
        <w:t>, në vitin 2018 nuk ka pasur asnjë pagesë buxhetore.</w:t>
      </w:r>
    </w:p>
    <w:p w14:paraId="52BF01D0" w14:textId="4A52BABC" w:rsidR="00854635" w:rsidRPr="00DC66CD" w:rsidRDefault="00854635" w:rsidP="00854635">
      <w:pPr>
        <w:pStyle w:val="TEKSTIIII"/>
        <w:rPr>
          <w:rFonts w:eastAsia="SimSun"/>
        </w:rPr>
      </w:pPr>
      <w:r w:rsidRPr="00DC66CD">
        <w:rPr>
          <w:rFonts w:eastAsia="SimSun"/>
        </w:rPr>
        <w:t>Bazuar në parashikimin e ecurisë së pagesave për muajin e fundit të vitit 2019, fondi i planifikuar për t</w:t>
      </w:r>
      <w:r w:rsidR="002C582E" w:rsidRPr="00DC66CD">
        <w:rPr>
          <w:rFonts w:eastAsia="SimSun"/>
        </w:rPr>
        <w:t>’</w:t>
      </w:r>
      <w:r w:rsidRPr="00DC66CD">
        <w:rPr>
          <w:rFonts w:eastAsia="SimSun"/>
        </w:rPr>
        <w:t>u shpenzuar është 742.5 milion</w:t>
      </w:r>
      <w:r w:rsidR="00FF4E5A" w:rsidRPr="00DC66CD">
        <w:rPr>
          <w:rFonts w:eastAsia="SimSun"/>
        </w:rPr>
        <w:t>ë</w:t>
      </w:r>
      <w:r w:rsidRPr="00DC66CD">
        <w:rPr>
          <w:rFonts w:eastAsia="SimSun"/>
        </w:rPr>
        <w:t xml:space="preserve"> lekë, nivel ky që do të përmbushte 97.4% planin vjetor për vitin 2019.</w:t>
      </w:r>
    </w:p>
    <w:p w14:paraId="1D02A1C2" w14:textId="3DC4F65A" w:rsidR="00854635" w:rsidRPr="00DC66CD" w:rsidRDefault="00854635" w:rsidP="00854635">
      <w:pPr>
        <w:pStyle w:val="TEKSTIIII"/>
        <w:rPr>
          <w:b/>
        </w:rPr>
      </w:pPr>
      <w:bookmarkStart w:id="22" w:name="_Toc30661222"/>
      <w:bookmarkStart w:id="23" w:name="_Toc30416398"/>
      <w:r w:rsidRPr="00DC66CD">
        <w:rPr>
          <w:b/>
        </w:rPr>
        <w:t>4.4 Analiza e ndjeshmërisë dhe krahasimi me programin e mëparshëm</w:t>
      </w:r>
      <w:bookmarkEnd w:id="22"/>
      <w:bookmarkEnd w:id="23"/>
    </w:p>
    <w:p w14:paraId="069CF8E2" w14:textId="0D21D416" w:rsidR="00854635" w:rsidRPr="00DC66CD" w:rsidRDefault="00854635" w:rsidP="00854635">
      <w:pPr>
        <w:pStyle w:val="TEKSTIIII"/>
      </w:pPr>
      <w:r w:rsidRPr="00DC66CD">
        <w:t>Ky seksion paraqet ndikimet e pritshme në kuadrin fiskal, si dhe rregullimet e mundshme të politikave fiskale. Kjo është në përputhje me të dy skenarët alternativë makroekonomik</w:t>
      </w:r>
      <w:r w:rsidR="00FF4E5A" w:rsidRPr="00DC66CD">
        <w:t>ë</w:t>
      </w:r>
      <w:r w:rsidRPr="00DC66CD">
        <w:t xml:space="preserve"> të paraqitura në nenin 3.3. </w:t>
      </w:r>
    </w:p>
    <w:p w14:paraId="4F04987E" w14:textId="42CAFC10" w:rsidR="00854635" w:rsidRPr="00DC66CD" w:rsidRDefault="00854635" w:rsidP="00854635">
      <w:pPr>
        <w:pStyle w:val="TEKSTIIII"/>
        <w:rPr>
          <w:rFonts w:eastAsia="Times New Roman"/>
        </w:rPr>
      </w:pPr>
      <w:r w:rsidRPr="00DC66CD">
        <w:rPr>
          <w:rFonts w:eastAsia="Times New Roman"/>
        </w:rPr>
        <w:t xml:space="preserve">Në rastin e skenarit </w:t>
      </w:r>
      <w:r w:rsidR="002A29AD" w:rsidRPr="00DC66CD">
        <w:rPr>
          <w:rFonts w:eastAsia="Times New Roman"/>
        </w:rPr>
        <w:t>“</w:t>
      </w:r>
      <w:r w:rsidRPr="00DC66CD">
        <w:rPr>
          <w:rFonts w:eastAsia="Times New Roman"/>
        </w:rPr>
        <w:t>pesimist</w:t>
      </w:r>
      <w:r w:rsidR="002A29AD" w:rsidRPr="00DC66CD">
        <w:rPr>
          <w:rFonts w:eastAsia="Times New Roman"/>
        </w:rPr>
        <w:t>”</w:t>
      </w:r>
      <w:r w:rsidRPr="00DC66CD">
        <w:rPr>
          <w:rFonts w:eastAsia="Times New Roman"/>
        </w:rPr>
        <w:t xml:space="preserve">, i cili supozon një rritje të konsiderueshme më të ulët se parashikimi i skenarit bazë gjatë çdo viti, kuadri fiskal përkatës do të bazohet në elasticitetin më të ulët të taksave se në skenarin bazë. Ky supozim reflekton arsyetimin se në përgjithësi një nivel dukshëm më i ulët i rritjes ekonomike pritet të çojë në arkëtim më të ulët të taksave për një numër </w:t>
      </w:r>
      <w:r w:rsidR="00FF4E5A" w:rsidRPr="00DC66CD">
        <w:rPr>
          <w:rFonts w:eastAsia="Times New Roman"/>
        </w:rPr>
        <w:t>komponentësh</w:t>
      </w:r>
      <w:r w:rsidRPr="00DC66CD">
        <w:rPr>
          <w:rFonts w:eastAsia="Times New Roman"/>
        </w:rPr>
        <w:t xml:space="preserve"> kryesorë të taksave. Ndërsa në rastin e skenarit </w:t>
      </w:r>
      <w:r w:rsidR="002A29AD" w:rsidRPr="00DC66CD">
        <w:rPr>
          <w:rFonts w:eastAsia="Times New Roman"/>
        </w:rPr>
        <w:t>“</w:t>
      </w:r>
      <w:r w:rsidRPr="00DC66CD">
        <w:rPr>
          <w:rFonts w:eastAsia="Times New Roman"/>
        </w:rPr>
        <w:t>optimist</w:t>
      </w:r>
      <w:r w:rsidR="002A29AD" w:rsidRPr="00DC66CD">
        <w:rPr>
          <w:rFonts w:eastAsia="Times New Roman"/>
        </w:rPr>
        <w:t>”</w:t>
      </w:r>
      <w:r w:rsidRPr="00DC66CD">
        <w:rPr>
          <w:rFonts w:eastAsia="Times New Roman"/>
        </w:rPr>
        <w:t xml:space="preserve"> makroekonomik, të ardhurat ndaj PBB-së janë supozuar më të larta se në skenarin bazë.</w:t>
      </w:r>
    </w:p>
    <w:p w14:paraId="0465A702" w14:textId="030B67A4" w:rsidR="00854635" w:rsidRPr="00DC66CD" w:rsidRDefault="00854635" w:rsidP="00854635">
      <w:pPr>
        <w:pStyle w:val="TEKSTIIII"/>
        <w:rPr>
          <w:rFonts w:eastAsia="Times New Roman"/>
        </w:rPr>
      </w:pPr>
      <w:r w:rsidRPr="00DC66CD">
        <w:rPr>
          <w:rFonts w:eastAsia="Times New Roman"/>
        </w:rPr>
        <w:t>Politika e konsoliduar fiskale është planifikuar të ruhet në çdo skenar makroekonomik. Megjithatë, objektivi sasior i deficitit fiskal vjetor ndryshon pak në çdo skenar</w:t>
      </w:r>
      <w:r w:rsidR="00FF4E5A" w:rsidRPr="00DC66CD">
        <w:rPr>
          <w:rFonts w:eastAsia="Times New Roman"/>
        </w:rPr>
        <w:t>,</w:t>
      </w:r>
      <w:r w:rsidRPr="00DC66CD">
        <w:rPr>
          <w:rFonts w:eastAsia="Times New Roman"/>
        </w:rPr>
        <w:t xml:space="preserve"> duke pasqyruar një rregullim kundër ciklik ndaj dinamikave të ndryshme të supozuara të ciklit ekonomik. Më konkretisht, është parashikuar një relaksim i objektivit të deficitit fiskal në rastin e skenarit </w:t>
      </w:r>
      <w:r w:rsidR="002A29AD" w:rsidRPr="00DC66CD">
        <w:rPr>
          <w:rFonts w:eastAsia="Times New Roman"/>
        </w:rPr>
        <w:t>“</w:t>
      </w:r>
      <w:r w:rsidRPr="00DC66CD">
        <w:rPr>
          <w:rFonts w:eastAsia="Times New Roman"/>
        </w:rPr>
        <w:t>pesimist</w:t>
      </w:r>
      <w:r w:rsidR="002A29AD" w:rsidRPr="00DC66CD">
        <w:rPr>
          <w:rFonts w:eastAsia="Times New Roman"/>
        </w:rPr>
        <w:t>”</w:t>
      </w:r>
      <w:r w:rsidRPr="00DC66CD">
        <w:rPr>
          <w:rFonts w:eastAsia="Times New Roman"/>
        </w:rPr>
        <w:t xml:space="preserve"> dhe një konsolidim i fortë fiskal në rastin e skenarit </w:t>
      </w:r>
      <w:r w:rsidR="002A29AD" w:rsidRPr="00DC66CD">
        <w:rPr>
          <w:rFonts w:eastAsia="Times New Roman"/>
        </w:rPr>
        <w:t>“</w:t>
      </w:r>
      <w:r w:rsidRPr="00DC66CD">
        <w:rPr>
          <w:rFonts w:eastAsia="Times New Roman"/>
        </w:rPr>
        <w:t>optimist</w:t>
      </w:r>
      <w:r w:rsidR="002A29AD" w:rsidRPr="00DC66CD">
        <w:rPr>
          <w:rFonts w:eastAsia="Times New Roman"/>
        </w:rPr>
        <w:t>”</w:t>
      </w:r>
      <w:r w:rsidRPr="00DC66CD">
        <w:rPr>
          <w:rFonts w:eastAsia="Times New Roman"/>
        </w:rPr>
        <w:t xml:space="preserve">. Pjesa e humbur (shtrëngim) e objektivit nominal të deficitit në skenarin </w:t>
      </w:r>
      <w:r w:rsidR="002A29AD" w:rsidRPr="00DC66CD">
        <w:rPr>
          <w:rFonts w:eastAsia="Times New Roman"/>
        </w:rPr>
        <w:t>“</w:t>
      </w:r>
      <w:r w:rsidRPr="00DC66CD">
        <w:rPr>
          <w:rFonts w:eastAsia="Times New Roman"/>
        </w:rPr>
        <w:t>pesimist</w:t>
      </w:r>
      <w:r w:rsidR="002A29AD" w:rsidRPr="00DC66CD">
        <w:rPr>
          <w:rFonts w:eastAsia="Times New Roman"/>
        </w:rPr>
        <w:t>”</w:t>
      </w:r>
      <w:r w:rsidRPr="00DC66CD">
        <w:rPr>
          <w:rFonts w:eastAsia="Times New Roman"/>
        </w:rPr>
        <w:t xml:space="preserve"> (</w:t>
      </w:r>
      <w:r w:rsidR="002A29AD" w:rsidRPr="00DC66CD">
        <w:rPr>
          <w:rFonts w:eastAsia="Times New Roman"/>
        </w:rPr>
        <w:t>“</w:t>
      </w:r>
      <w:r w:rsidRPr="00DC66CD">
        <w:rPr>
          <w:rFonts w:eastAsia="Times New Roman"/>
        </w:rPr>
        <w:t>optimist</w:t>
      </w:r>
      <w:r w:rsidR="002A29AD" w:rsidRPr="00DC66CD">
        <w:rPr>
          <w:rFonts w:eastAsia="Times New Roman"/>
        </w:rPr>
        <w:t>”</w:t>
      </w:r>
      <w:r w:rsidRPr="00DC66CD">
        <w:rPr>
          <w:rFonts w:eastAsia="Times New Roman"/>
        </w:rPr>
        <w:t xml:space="preserve">) është sa gjysma e devijimit të të ardhurave totale në secilin prej skenarëve alternativë kundrejt skenarit bazë. Borxhi publik pritet të reduktohet në çdo skenar. Megjithatë, në kundërshtim me skenarin bazë makroekonomik, trajektorja e reduktimit të borxhit publik është më i zbutur në rastin e skenarit </w:t>
      </w:r>
      <w:r w:rsidR="002A29AD" w:rsidRPr="00DC66CD">
        <w:rPr>
          <w:rFonts w:eastAsia="Times New Roman"/>
        </w:rPr>
        <w:t>“</w:t>
      </w:r>
      <w:r w:rsidRPr="00DC66CD">
        <w:rPr>
          <w:rFonts w:eastAsia="Times New Roman"/>
        </w:rPr>
        <w:t>pesimist</w:t>
      </w:r>
      <w:r w:rsidR="002A29AD" w:rsidRPr="00DC66CD">
        <w:rPr>
          <w:rFonts w:eastAsia="Times New Roman"/>
        </w:rPr>
        <w:t>”</w:t>
      </w:r>
      <w:r w:rsidR="00FF4E5A" w:rsidRPr="00DC66CD">
        <w:rPr>
          <w:rFonts w:eastAsia="Times New Roman"/>
        </w:rPr>
        <w:t>,</w:t>
      </w:r>
      <w:r w:rsidRPr="00DC66CD">
        <w:rPr>
          <w:rFonts w:eastAsia="Times New Roman"/>
        </w:rPr>
        <w:t xml:space="preserve"> si dhe në rastin e skenarit </w:t>
      </w:r>
      <w:r w:rsidR="002A29AD" w:rsidRPr="00DC66CD">
        <w:rPr>
          <w:rFonts w:eastAsia="Times New Roman"/>
        </w:rPr>
        <w:t>“</w:t>
      </w:r>
      <w:r w:rsidRPr="00DC66CD">
        <w:rPr>
          <w:rFonts w:eastAsia="Times New Roman"/>
        </w:rPr>
        <w:t>optimist</w:t>
      </w:r>
      <w:r w:rsidR="002A29AD" w:rsidRPr="00DC66CD">
        <w:rPr>
          <w:rFonts w:eastAsia="Times New Roman"/>
        </w:rPr>
        <w:t>”</w:t>
      </w:r>
      <w:r w:rsidRPr="00DC66CD">
        <w:rPr>
          <w:rFonts w:eastAsia="Times New Roman"/>
        </w:rPr>
        <w:t>.</w:t>
      </w:r>
    </w:p>
    <w:p w14:paraId="4AC4BD56" w14:textId="77777777" w:rsidR="00854635" w:rsidRPr="00DC66CD" w:rsidRDefault="00854635" w:rsidP="00854635">
      <w:pPr>
        <w:pStyle w:val="TEKSTIIII"/>
        <w:rPr>
          <w:rFonts w:eastAsia="Times New Roman"/>
        </w:rPr>
      </w:pPr>
    </w:p>
    <w:p w14:paraId="78A05C43" w14:textId="4FC18182" w:rsidR="00854635" w:rsidRPr="00DC66CD" w:rsidRDefault="00854635" w:rsidP="00854635">
      <w:pPr>
        <w:pStyle w:val="TEKSTIIII"/>
        <w:rPr>
          <w:rFonts w:eastAsia="Times New Roman"/>
        </w:rPr>
      </w:pPr>
      <w:r w:rsidRPr="00DC66CD">
        <w:rPr>
          <w:rFonts w:eastAsia="Times New Roman"/>
        </w:rPr>
        <w:t xml:space="preserve">Pjesa kryesore e shpenzimeve të cilat janë planifikuar për të absorbuar shumicën e efekteve fiskale në rastin e secilit skenar alternativ janë: </w:t>
      </w:r>
      <w:r w:rsidR="00FF4E5A" w:rsidRPr="00DC66CD">
        <w:rPr>
          <w:rFonts w:eastAsia="Times New Roman"/>
        </w:rPr>
        <w:t xml:space="preserve">Shpenzimet </w:t>
      </w:r>
      <w:r w:rsidRPr="00DC66CD">
        <w:rPr>
          <w:rFonts w:eastAsia="Times New Roman"/>
        </w:rPr>
        <w:t>korrente me financim të brendshëm. Edhe pse ekziston një linjë e qartë e kontigjencave për goditjet në normat e interesit në buxhetet afatmesme</w:t>
      </w:r>
      <w:r w:rsidR="00FF4E5A" w:rsidRPr="00DC66CD">
        <w:rPr>
          <w:rFonts w:eastAsia="Times New Roman"/>
        </w:rPr>
        <w:t>,</w:t>
      </w:r>
      <w:r w:rsidRPr="00DC66CD">
        <w:rPr>
          <w:rFonts w:eastAsia="Times New Roman"/>
        </w:rPr>
        <w:t xml:space="preserve"> si dhe kontingjenca të tjera të nënkuptuara, ne nuk llogarisim përdorimin </w:t>
      </w:r>
      <w:r w:rsidRPr="00DC66CD">
        <w:rPr>
          <w:rFonts w:eastAsia="Times New Roman"/>
          <w:i/>
        </w:rPr>
        <w:t>exante</w:t>
      </w:r>
      <w:r w:rsidRPr="00DC66CD">
        <w:rPr>
          <w:rFonts w:eastAsia="Times New Roman"/>
        </w:rPr>
        <w:t xml:space="preserve"> të tyre për të përmbushur objektivat e deficitit në skenarin pesimist. Sidoqoftë, në praktikë </w:t>
      </w:r>
      <w:r w:rsidRPr="00DC66CD">
        <w:rPr>
          <w:rFonts w:eastAsia="Times New Roman"/>
          <w:i/>
        </w:rPr>
        <w:t>(ex post)</w:t>
      </w:r>
      <w:r w:rsidRPr="00DC66CD">
        <w:rPr>
          <w:rFonts w:eastAsia="Times New Roman"/>
        </w:rPr>
        <w:t>, në rast se të ardhurat rezultojnë të jenë më të ulëta se në skenarin bazë, por në të njëjtën kohë nuk do të ketë goditje të normave të interesit dhe për më tepër nuk ka shpenzime sht</w:t>
      </w:r>
      <w:r w:rsidR="00FF4E5A" w:rsidRPr="00DC66CD">
        <w:rPr>
          <w:rFonts w:eastAsia="Times New Roman"/>
        </w:rPr>
        <w:t>esë në zërin e interesave, si te</w:t>
      </w:r>
      <w:r w:rsidRPr="00DC66CD">
        <w:rPr>
          <w:rFonts w:eastAsia="Times New Roman"/>
        </w:rPr>
        <w:t xml:space="preserve"> skenari i buxhetimit bazë (që është rasti më i besueshëm), atëherë një </w:t>
      </w:r>
      <w:r w:rsidR="00FF4E5A" w:rsidRPr="00DC66CD">
        <w:rPr>
          <w:rFonts w:eastAsia="Times New Roman"/>
        </w:rPr>
        <w:t>hapësirë</w:t>
      </w:r>
      <w:r w:rsidRPr="00DC66CD">
        <w:rPr>
          <w:rFonts w:eastAsia="Times New Roman"/>
        </w:rPr>
        <w:t xml:space="preserve"> fiskale që varion prej 0.3% të PBB-së për çdo vit do të ishte automatikisht në dispozicion për të absorbuar një pjesë të presioneve fiskale në rast të një skenari pesimist. Gjithashtu, nevojat më të larta për financimin e deficitit në rastin e skenarit </w:t>
      </w:r>
      <w:r w:rsidR="002A29AD" w:rsidRPr="00DC66CD">
        <w:rPr>
          <w:rFonts w:eastAsia="Times New Roman"/>
        </w:rPr>
        <w:t>“</w:t>
      </w:r>
      <w:r w:rsidRPr="00DC66CD">
        <w:rPr>
          <w:rFonts w:eastAsia="Times New Roman"/>
        </w:rPr>
        <w:t>pesimist</w:t>
      </w:r>
      <w:r w:rsidR="002A29AD" w:rsidRPr="00DC66CD">
        <w:rPr>
          <w:rFonts w:eastAsia="Times New Roman"/>
        </w:rPr>
        <w:t>”</w:t>
      </w:r>
      <w:r w:rsidRPr="00DC66CD">
        <w:rPr>
          <w:rFonts w:eastAsia="Times New Roman"/>
        </w:rPr>
        <w:t xml:space="preserve"> pritet të mbulohen nga huamarrja e brendshme neto më e lartë. Implikimet fiskale të skenarëve alternativë makroekonomikë janë paraqitur në tabelën dhe </w:t>
      </w:r>
      <w:r w:rsidR="00FF4E5A" w:rsidRPr="00DC66CD">
        <w:rPr>
          <w:rFonts w:eastAsia="Times New Roman"/>
        </w:rPr>
        <w:t>grafikët</w:t>
      </w:r>
      <w:r w:rsidRPr="00DC66CD">
        <w:rPr>
          <w:rFonts w:eastAsia="Times New Roman"/>
        </w:rPr>
        <w:t xml:space="preserve"> në vijim.</w:t>
      </w:r>
    </w:p>
    <w:p w14:paraId="3B00763E" w14:textId="77777777" w:rsidR="00854635" w:rsidRPr="00DC66CD" w:rsidRDefault="00854635" w:rsidP="00854635">
      <w:pPr>
        <w:pStyle w:val="TEKSTIIII"/>
      </w:pPr>
    </w:p>
    <w:p w14:paraId="1BC504C3" w14:textId="2031EC94" w:rsidR="00854635" w:rsidRPr="00DC66CD" w:rsidRDefault="00FF4E5A" w:rsidP="00854635">
      <w:pPr>
        <w:pStyle w:val="TEKSTIIII"/>
        <w:rPr>
          <w:i/>
        </w:rPr>
      </w:pPr>
      <w:r w:rsidRPr="00DC66CD">
        <w:rPr>
          <w:i/>
        </w:rPr>
        <w:t>Grafiku 4.6.1</w:t>
      </w:r>
      <w:r w:rsidR="00854635" w:rsidRPr="00DC66CD">
        <w:rPr>
          <w:i/>
        </w:rPr>
        <w:t xml:space="preserve"> Indikatorët </w:t>
      </w:r>
      <w:r w:rsidRPr="00DC66CD">
        <w:rPr>
          <w:i/>
        </w:rPr>
        <w:t>kryesorë</w:t>
      </w:r>
      <w:r w:rsidR="00854635" w:rsidRPr="00DC66CD">
        <w:rPr>
          <w:i/>
        </w:rPr>
        <w:t xml:space="preserve"> fiskalë për çdo skenar</w:t>
      </w:r>
    </w:p>
    <w:p w14:paraId="67E87055" w14:textId="4E97EB1B" w:rsidR="00FF7A04" w:rsidRPr="00DC66CD" w:rsidRDefault="00854635" w:rsidP="00FF4E5A">
      <w:pPr>
        <w:pStyle w:val="TEKSTIIII"/>
        <w:ind w:firstLine="0"/>
      </w:pPr>
      <w:r w:rsidRPr="00DC66CD">
        <w:rPr>
          <w:rFonts w:ascii="Times New Roman" w:hAnsi="Times New Roman"/>
          <w:noProof/>
          <w:lang w:val="en-US" w:eastAsia="en-US"/>
        </w:rPr>
        <w:drawing>
          <wp:inline distT="0" distB="0" distL="0" distR="0" wp14:anchorId="35234FD0" wp14:editId="67C55BBE">
            <wp:extent cx="5755640" cy="5915519"/>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55640" cy="5915519"/>
                    </a:xfrm>
                    <a:prstGeom prst="rect">
                      <a:avLst/>
                    </a:prstGeom>
                    <a:noFill/>
                    <a:ln>
                      <a:noFill/>
                    </a:ln>
                  </pic:spPr>
                </pic:pic>
              </a:graphicData>
            </a:graphic>
          </wp:inline>
        </w:drawing>
      </w:r>
    </w:p>
    <w:p w14:paraId="2F55668C" w14:textId="77777777" w:rsidR="00D30EED" w:rsidRPr="00DC66CD" w:rsidRDefault="00D30EED" w:rsidP="00D30EED">
      <w:pPr>
        <w:pStyle w:val="TEKSTIIII"/>
        <w:rPr>
          <w:i/>
        </w:rPr>
      </w:pPr>
      <w:r w:rsidRPr="00DC66CD">
        <w:rPr>
          <w:i/>
        </w:rPr>
        <w:t>Burimi: Ministria e Financave dhe Ekonomisë</w:t>
      </w:r>
    </w:p>
    <w:p w14:paraId="4215EDEE" w14:textId="5D594561" w:rsidR="00D30EED" w:rsidRPr="00DC66CD" w:rsidRDefault="00FF4E5A" w:rsidP="00D30EED">
      <w:pPr>
        <w:pStyle w:val="TEKSTIIII"/>
        <w:rPr>
          <w:i/>
        </w:rPr>
      </w:pPr>
      <w:r w:rsidRPr="00DC66CD">
        <w:rPr>
          <w:i/>
        </w:rPr>
        <w:t xml:space="preserve">Tabela 4.6.1 </w:t>
      </w:r>
      <w:r w:rsidR="00D30EED" w:rsidRPr="00DC66CD">
        <w:rPr>
          <w:i/>
        </w:rPr>
        <w:t>Indikatorët kryesorë fiskalë për çdo skenar</w:t>
      </w:r>
    </w:p>
    <w:p w14:paraId="48034FB7" w14:textId="7CD73B18" w:rsidR="00D30EED" w:rsidRPr="00DC66CD" w:rsidRDefault="003E1C1C" w:rsidP="00FF4E5A">
      <w:pPr>
        <w:pStyle w:val="TEKSTIIII"/>
        <w:jc w:val="center"/>
      </w:pPr>
      <w:r w:rsidRPr="00DC66CD">
        <w:rPr>
          <w:rFonts w:ascii="Times New Roman" w:hAnsi="Times New Roman"/>
          <w:noProof/>
          <w:lang w:val="en-US" w:eastAsia="en-US"/>
        </w:rPr>
        <w:drawing>
          <wp:inline distT="0" distB="0" distL="0" distR="0" wp14:anchorId="680300BA" wp14:editId="10AB5AD8">
            <wp:extent cx="5755640" cy="8032410"/>
            <wp:effectExtent l="0" t="0" r="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55640" cy="8032410"/>
                    </a:xfrm>
                    <a:prstGeom prst="rect">
                      <a:avLst/>
                    </a:prstGeom>
                    <a:noFill/>
                  </pic:spPr>
                </pic:pic>
              </a:graphicData>
            </a:graphic>
          </wp:inline>
        </w:drawing>
      </w:r>
    </w:p>
    <w:p w14:paraId="4EBFCE2D" w14:textId="77777777" w:rsidR="00D30EED" w:rsidRPr="00DC66CD" w:rsidRDefault="00D30EED" w:rsidP="00854635">
      <w:pPr>
        <w:pStyle w:val="TEKSTIIII"/>
        <w:ind w:firstLine="0"/>
        <w:jc w:val="center"/>
      </w:pPr>
    </w:p>
    <w:p w14:paraId="6071EC67" w14:textId="77777777" w:rsidR="006F605B" w:rsidRPr="00DC66CD" w:rsidRDefault="006F605B" w:rsidP="00854635">
      <w:pPr>
        <w:pStyle w:val="TEKSTIIII"/>
        <w:ind w:firstLine="0"/>
        <w:jc w:val="center"/>
      </w:pPr>
    </w:p>
    <w:p w14:paraId="0D8722C8" w14:textId="77777777" w:rsidR="006F605B" w:rsidRPr="00DC66CD" w:rsidRDefault="006F605B" w:rsidP="00854635">
      <w:pPr>
        <w:pStyle w:val="TEKSTIIII"/>
        <w:ind w:firstLine="0"/>
        <w:jc w:val="center"/>
      </w:pPr>
    </w:p>
    <w:p w14:paraId="1256609E" w14:textId="05EDB702" w:rsidR="006F605B" w:rsidRPr="00DC66CD" w:rsidRDefault="00064652" w:rsidP="00064652">
      <w:pPr>
        <w:pStyle w:val="TEKSTIIII"/>
        <w:rPr>
          <w:b/>
        </w:rPr>
      </w:pPr>
      <w:bookmarkStart w:id="24" w:name="_Toc30661223"/>
      <w:bookmarkStart w:id="25" w:name="_Toc30416399"/>
      <w:r w:rsidRPr="00DC66CD">
        <w:rPr>
          <w:b/>
        </w:rPr>
        <w:t xml:space="preserve">4.7 </w:t>
      </w:r>
      <w:r w:rsidR="006F605B" w:rsidRPr="00DC66CD">
        <w:rPr>
          <w:b/>
        </w:rPr>
        <w:t>Qeverisja fiskale dhe kuadri buxhetor</w:t>
      </w:r>
      <w:bookmarkEnd w:id="24"/>
      <w:bookmarkEnd w:id="25"/>
    </w:p>
    <w:p w14:paraId="2B789EF7" w14:textId="60FA9F29"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Qeverisja fiskale dhe kuadri buxhetor janë çështjet kryesore të ciklit të Menaxhimit të Financave Publike (MFP). Reforma e MFP</w:t>
      </w:r>
      <w:r w:rsidR="00FF4E5A" w:rsidRPr="00DC66CD">
        <w:rPr>
          <w:rFonts w:ascii="Garamond" w:hAnsi="Garamond"/>
          <w:sz w:val="24"/>
          <w:szCs w:val="24"/>
        </w:rPr>
        <w:t>-së</w:t>
      </w:r>
      <w:r w:rsidRPr="00DC66CD">
        <w:rPr>
          <w:rFonts w:ascii="Garamond" w:hAnsi="Garamond"/>
          <w:sz w:val="24"/>
          <w:szCs w:val="24"/>
        </w:rPr>
        <w:t xml:space="preserve"> është në zbatim. Gjatë vitit 2019, Ministria e Financave dhe Ekonomisë ka përgatitur strategjinë e re të MFP-së</w:t>
      </w:r>
      <w:r w:rsidR="00FF4E5A" w:rsidRPr="00DC66CD">
        <w:rPr>
          <w:rFonts w:ascii="Garamond" w:hAnsi="Garamond"/>
          <w:sz w:val="24"/>
          <w:szCs w:val="24"/>
        </w:rPr>
        <w:t>,</w:t>
      </w:r>
      <w:r w:rsidRPr="00DC66CD">
        <w:rPr>
          <w:rFonts w:ascii="Garamond" w:hAnsi="Garamond"/>
          <w:sz w:val="24"/>
          <w:szCs w:val="24"/>
        </w:rPr>
        <w:t xml:space="preserve"> 2019</w:t>
      </w:r>
      <w:r w:rsidR="00FF4E5A" w:rsidRPr="00DC66CD">
        <w:t>–</w:t>
      </w:r>
      <w:r w:rsidRPr="00DC66CD">
        <w:rPr>
          <w:rFonts w:ascii="Garamond" w:hAnsi="Garamond"/>
          <w:sz w:val="24"/>
          <w:szCs w:val="24"/>
        </w:rPr>
        <w:t xml:space="preserve">2022. Strategjia u miratua me </w:t>
      </w:r>
      <w:r w:rsidR="00FF4E5A" w:rsidRPr="00DC66CD">
        <w:rPr>
          <w:rFonts w:ascii="Garamond" w:hAnsi="Garamond"/>
          <w:sz w:val="24"/>
          <w:szCs w:val="24"/>
        </w:rPr>
        <w:t xml:space="preserve">vendim </w:t>
      </w:r>
      <w:r w:rsidRPr="00DC66CD">
        <w:rPr>
          <w:rFonts w:ascii="Garamond" w:hAnsi="Garamond"/>
          <w:sz w:val="24"/>
          <w:szCs w:val="24"/>
        </w:rPr>
        <w:t xml:space="preserve">të Këshillit të Ministrit më 18 dhjetor 2019. Ajo zëvendëson </w:t>
      </w:r>
      <w:r w:rsidR="00FF4E5A" w:rsidRPr="00DC66CD">
        <w:rPr>
          <w:rFonts w:ascii="Garamond" w:hAnsi="Garamond"/>
          <w:sz w:val="24"/>
          <w:szCs w:val="24"/>
        </w:rPr>
        <w:t xml:space="preserve">strategjinë </w:t>
      </w:r>
      <w:r w:rsidRPr="00DC66CD">
        <w:rPr>
          <w:rFonts w:ascii="Garamond" w:hAnsi="Garamond"/>
          <w:sz w:val="24"/>
          <w:szCs w:val="24"/>
        </w:rPr>
        <w:t>e mëparshme të periudhës 2014</w:t>
      </w:r>
      <w:r w:rsidR="00FF4E5A" w:rsidRPr="00DC66CD">
        <w:t>–</w:t>
      </w:r>
      <w:r w:rsidRPr="00DC66CD">
        <w:rPr>
          <w:rFonts w:ascii="Garamond" w:hAnsi="Garamond"/>
          <w:sz w:val="24"/>
          <w:szCs w:val="24"/>
        </w:rPr>
        <w:t xml:space="preserve">2020, duke u bazuar në </w:t>
      </w:r>
      <w:r w:rsidR="00FF4E5A" w:rsidRPr="00DC66CD">
        <w:rPr>
          <w:rFonts w:ascii="Garamond" w:hAnsi="Garamond"/>
          <w:sz w:val="24"/>
          <w:szCs w:val="24"/>
        </w:rPr>
        <w:t xml:space="preserve">rishikimin afatmesëm </w:t>
      </w:r>
      <w:r w:rsidRPr="00DC66CD">
        <w:rPr>
          <w:rFonts w:ascii="Garamond" w:hAnsi="Garamond"/>
          <w:sz w:val="24"/>
          <w:szCs w:val="24"/>
        </w:rPr>
        <w:t xml:space="preserve">të vitit 2018 (RA) të Strategjisë, e cila synon zgjatjen e </w:t>
      </w:r>
      <w:r w:rsidR="007A0D51" w:rsidRPr="00DC66CD">
        <w:rPr>
          <w:rFonts w:ascii="Garamond" w:hAnsi="Garamond"/>
          <w:sz w:val="24"/>
          <w:szCs w:val="24"/>
        </w:rPr>
        <w:t xml:space="preserve">strategjisë dhe planin e veprimit </w:t>
      </w:r>
      <w:r w:rsidRPr="00DC66CD">
        <w:rPr>
          <w:rFonts w:ascii="Garamond" w:hAnsi="Garamond"/>
          <w:sz w:val="24"/>
          <w:szCs w:val="24"/>
        </w:rPr>
        <w:t>për MFP përtej vitit 2020</w:t>
      </w:r>
      <w:r w:rsidR="007A0D51" w:rsidRPr="00DC66CD">
        <w:rPr>
          <w:rFonts w:ascii="Garamond" w:hAnsi="Garamond"/>
          <w:sz w:val="24"/>
          <w:szCs w:val="24"/>
        </w:rPr>
        <w:t>,</w:t>
      </w:r>
      <w:r w:rsidRPr="00DC66CD">
        <w:rPr>
          <w:rFonts w:ascii="Garamond" w:hAnsi="Garamond"/>
          <w:sz w:val="24"/>
          <w:szCs w:val="24"/>
        </w:rPr>
        <w:t xml:space="preserve"> me dy vite shtesë deri në vitin 2022</w:t>
      </w:r>
      <w:r w:rsidR="007A0D51" w:rsidRPr="00DC66CD">
        <w:rPr>
          <w:rFonts w:ascii="Garamond" w:hAnsi="Garamond"/>
          <w:sz w:val="24"/>
          <w:szCs w:val="24"/>
        </w:rPr>
        <w:t>,</w:t>
      </w:r>
      <w:r w:rsidRPr="00DC66CD">
        <w:rPr>
          <w:rFonts w:ascii="Garamond" w:hAnsi="Garamond"/>
          <w:sz w:val="24"/>
          <w:szCs w:val="24"/>
        </w:rPr>
        <w:t xml:space="preserve"> për të mundësuar një kalim të lehtë </w:t>
      </w:r>
      <w:r w:rsidR="007A0D51" w:rsidRPr="00DC66CD">
        <w:rPr>
          <w:rFonts w:ascii="Garamond" w:hAnsi="Garamond"/>
          <w:sz w:val="24"/>
          <w:szCs w:val="24"/>
        </w:rPr>
        <w:t>në Instrumentin e Ndihmës Paraa</w:t>
      </w:r>
      <w:r w:rsidRPr="00DC66CD">
        <w:rPr>
          <w:rFonts w:ascii="Garamond" w:hAnsi="Garamond"/>
          <w:sz w:val="24"/>
          <w:szCs w:val="24"/>
        </w:rPr>
        <w:t>derimit (IPA) pas vitit 2020.</w:t>
      </w:r>
    </w:p>
    <w:p w14:paraId="7381E88B" w14:textId="09B8C542" w:rsidR="006F605B" w:rsidRPr="00DC66CD" w:rsidRDefault="006F605B" w:rsidP="006F605B">
      <w:pPr>
        <w:spacing w:after="0" w:line="240" w:lineRule="auto"/>
        <w:ind w:firstLine="284"/>
        <w:jc w:val="both"/>
        <w:rPr>
          <w:rFonts w:ascii="Garamond" w:hAnsi="Garamond"/>
          <w:i/>
          <w:sz w:val="24"/>
          <w:szCs w:val="24"/>
        </w:rPr>
      </w:pPr>
      <w:r w:rsidRPr="00DC66CD">
        <w:rPr>
          <w:rFonts w:ascii="Garamond" w:hAnsi="Garamond"/>
          <w:i/>
          <w:sz w:val="24"/>
          <w:szCs w:val="24"/>
        </w:rPr>
        <w:t>Programi do të përshkruajë ndryshime të parashikuara në qeverisjen fiskale të vendit, d.m.th.</w:t>
      </w:r>
      <w:r w:rsidR="007A0D51" w:rsidRPr="00DC66CD">
        <w:rPr>
          <w:rFonts w:ascii="Garamond" w:hAnsi="Garamond"/>
          <w:i/>
          <w:sz w:val="24"/>
          <w:szCs w:val="24"/>
        </w:rPr>
        <w:t>,</w:t>
      </w:r>
      <w:r w:rsidRPr="00DC66CD">
        <w:rPr>
          <w:rFonts w:ascii="Garamond" w:hAnsi="Garamond"/>
          <w:i/>
          <w:sz w:val="24"/>
          <w:szCs w:val="24"/>
        </w:rPr>
        <w:t xml:space="preserve"> në grupin e mekanizmave, rregullave dhe institucioneve që mbështesin politikën fiskale, siç janë:</w:t>
      </w:r>
    </w:p>
    <w:p w14:paraId="59C31D85" w14:textId="403BA8CE" w:rsidR="006F605B" w:rsidRPr="00DC66CD" w:rsidRDefault="006F605B" w:rsidP="006F605B">
      <w:pPr>
        <w:spacing w:after="0" w:line="240" w:lineRule="auto"/>
        <w:ind w:firstLine="284"/>
        <w:jc w:val="both"/>
        <w:rPr>
          <w:rFonts w:ascii="Garamond" w:hAnsi="Garamond"/>
          <w:i/>
          <w:sz w:val="24"/>
          <w:szCs w:val="24"/>
        </w:rPr>
      </w:pPr>
      <w:r w:rsidRPr="00DC66CD" w:rsidDel="00770F5B">
        <w:rPr>
          <w:rFonts w:ascii="Garamond" w:hAnsi="Garamond"/>
          <w:i/>
          <w:sz w:val="24"/>
          <w:szCs w:val="24"/>
        </w:rPr>
        <w:t xml:space="preserve"> </w:t>
      </w:r>
      <w:r w:rsidRPr="00DC66CD">
        <w:rPr>
          <w:rFonts w:ascii="Garamond" w:hAnsi="Garamond"/>
          <w:i/>
          <w:sz w:val="24"/>
          <w:szCs w:val="24"/>
        </w:rPr>
        <w:t>1</w:t>
      </w:r>
      <w:r w:rsidR="007A0D51" w:rsidRPr="00DC66CD">
        <w:rPr>
          <w:rFonts w:ascii="Garamond" w:hAnsi="Garamond"/>
          <w:i/>
          <w:sz w:val="24"/>
          <w:szCs w:val="24"/>
        </w:rPr>
        <w:t>. Rregullat fiskale numerike</w:t>
      </w:r>
    </w:p>
    <w:p w14:paraId="2D506F6E" w14:textId="1243353A"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Objektivi kryesor i </w:t>
      </w:r>
      <w:r w:rsidR="006F0CA5" w:rsidRPr="00DC66CD">
        <w:rPr>
          <w:rFonts w:ascii="Garamond" w:hAnsi="Garamond"/>
          <w:sz w:val="24"/>
          <w:szCs w:val="24"/>
        </w:rPr>
        <w:t xml:space="preserve">qeverisë në strategjinë </w:t>
      </w:r>
      <w:r w:rsidRPr="00DC66CD">
        <w:rPr>
          <w:rFonts w:ascii="Garamond" w:hAnsi="Garamond"/>
          <w:sz w:val="24"/>
          <w:szCs w:val="24"/>
        </w:rPr>
        <w:t>e re të MFP</w:t>
      </w:r>
      <w:r w:rsidR="006F0CA5" w:rsidRPr="00DC66CD">
        <w:rPr>
          <w:rFonts w:ascii="Garamond" w:hAnsi="Garamond"/>
          <w:sz w:val="24"/>
          <w:szCs w:val="24"/>
        </w:rPr>
        <w:t>-së,</w:t>
      </w:r>
      <w:r w:rsidRPr="00DC66CD">
        <w:rPr>
          <w:rFonts w:ascii="Garamond" w:hAnsi="Garamond"/>
          <w:sz w:val="24"/>
          <w:szCs w:val="24"/>
        </w:rPr>
        <w:t xml:space="preserve"> 2019</w:t>
      </w:r>
      <w:r w:rsidR="006F0CA5" w:rsidRPr="00DC66CD">
        <w:t>–</w:t>
      </w:r>
      <w:r w:rsidRPr="00DC66CD">
        <w:rPr>
          <w:rFonts w:ascii="Garamond" w:hAnsi="Garamond"/>
          <w:sz w:val="24"/>
          <w:szCs w:val="24"/>
        </w:rPr>
        <w:t>2022</w:t>
      </w:r>
      <w:r w:rsidR="006F0CA5" w:rsidRPr="00DC66CD">
        <w:rPr>
          <w:rFonts w:ascii="Garamond" w:hAnsi="Garamond"/>
          <w:sz w:val="24"/>
          <w:szCs w:val="24"/>
        </w:rPr>
        <w:t>,</w:t>
      </w:r>
      <w:r w:rsidRPr="00DC66CD">
        <w:rPr>
          <w:rFonts w:ascii="Garamond" w:hAnsi="Garamond"/>
          <w:sz w:val="24"/>
          <w:szCs w:val="24"/>
        </w:rPr>
        <w:t xml:space="preserve"> do të vazhdojë të jetë fo</w:t>
      </w:r>
      <w:r w:rsidR="00EA7130" w:rsidRPr="00DC66CD">
        <w:rPr>
          <w:rFonts w:ascii="Garamond" w:hAnsi="Garamond"/>
          <w:sz w:val="24"/>
          <w:szCs w:val="24"/>
        </w:rPr>
        <w:t>rcimi i kuadrit afatmesëm makro</w:t>
      </w:r>
      <w:r w:rsidRPr="00DC66CD">
        <w:rPr>
          <w:rFonts w:ascii="Garamond" w:hAnsi="Garamond"/>
          <w:sz w:val="24"/>
          <w:szCs w:val="24"/>
        </w:rPr>
        <w:t>fiskal</w:t>
      </w:r>
      <w:r w:rsidR="00EA7130" w:rsidRPr="00DC66CD">
        <w:rPr>
          <w:rFonts w:ascii="Garamond" w:hAnsi="Garamond"/>
          <w:sz w:val="24"/>
          <w:szCs w:val="24"/>
        </w:rPr>
        <w:t>,</w:t>
      </w:r>
      <w:r w:rsidRPr="00DC66CD">
        <w:rPr>
          <w:rFonts w:ascii="Garamond" w:hAnsi="Garamond"/>
          <w:sz w:val="24"/>
          <w:szCs w:val="24"/>
        </w:rPr>
        <w:t xml:space="preserve"> duke përmirësuar rregullat procedurale që do të kërkojnë të eliminojnë riskun e paragjykimeve sistematike optimiste në parashikimet e PBB-së dhe të ardhurave nga buxheti. Gjithashtu, qeveria do të përpiqet të forcojë më tej monitorimin dhe menaxhimin e riskut fiskal. Qeveria e Shqipërisë do të punojë për të adresuar rekomandimin e bërë nga vlerësime të ndryshme që kuadri fiskal duhet të strukturohet rreth një spiranc</w:t>
      </w:r>
      <w:r w:rsidR="006F0CA5" w:rsidRPr="00DC66CD">
        <w:rPr>
          <w:rFonts w:ascii="Garamond" w:hAnsi="Garamond"/>
          <w:sz w:val="24"/>
          <w:szCs w:val="24"/>
        </w:rPr>
        <w:t>e</w:t>
      </w:r>
      <w:r w:rsidRPr="00DC66CD">
        <w:rPr>
          <w:rFonts w:ascii="Garamond" w:hAnsi="Garamond"/>
          <w:sz w:val="24"/>
          <w:szCs w:val="24"/>
        </w:rPr>
        <w:t xml:space="preserve"> fiskale më operative, siç është bilanci primar, se</w:t>
      </w:r>
      <w:r w:rsidR="006F0CA5" w:rsidRPr="00DC66CD">
        <w:rPr>
          <w:rFonts w:ascii="Garamond" w:hAnsi="Garamond"/>
          <w:sz w:val="24"/>
          <w:szCs w:val="24"/>
        </w:rPr>
        <w:t xml:space="preserve"> </w:t>
      </w:r>
      <w:r w:rsidRPr="00DC66CD">
        <w:rPr>
          <w:rFonts w:ascii="Garamond" w:hAnsi="Garamond"/>
          <w:sz w:val="24"/>
          <w:szCs w:val="24"/>
        </w:rPr>
        <w:t>sa raporti i borxhit dhe që në mënyrë që borxhi të jetë në një rënie derisa të arrijë 45 për</w:t>
      </w:r>
      <w:r w:rsidR="006F0CA5" w:rsidRPr="00DC66CD">
        <w:rPr>
          <w:rFonts w:ascii="Garamond" w:hAnsi="Garamond"/>
          <w:sz w:val="24"/>
          <w:szCs w:val="24"/>
        </w:rPr>
        <w:t xml:space="preserve"> </w:t>
      </w:r>
      <w:r w:rsidRPr="00DC66CD">
        <w:rPr>
          <w:rFonts w:ascii="Garamond" w:hAnsi="Garamond"/>
          <w:sz w:val="24"/>
          <w:szCs w:val="24"/>
        </w:rPr>
        <w:t>qind të PBB-së, dhe të përgatisë një udhëzim operacional.</w:t>
      </w:r>
    </w:p>
    <w:p w14:paraId="11C5E91C" w14:textId="60E096B2" w:rsidR="006F605B" w:rsidRPr="00DC66CD" w:rsidRDefault="006F605B" w:rsidP="006F605B">
      <w:pPr>
        <w:spacing w:after="0" w:line="240" w:lineRule="auto"/>
        <w:ind w:firstLine="284"/>
        <w:jc w:val="both"/>
        <w:rPr>
          <w:rFonts w:ascii="Garamond" w:hAnsi="Garamond"/>
          <w:i/>
          <w:sz w:val="24"/>
          <w:szCs w:val="24"/>
        </w:rPr>
      </w:pPr>
      <w:r w:rsidRPr="00DC66CD">
        <w:rPr>
          <w:rFonts w:ascii="Garamond" w:hAnsi="Garamond"/>
          <w:i/>
          <w:sz w:val="24"/>
          <w:szCs w:val="24"/>
        </w:rPr>
        <w:t>2</w:t>
      </w:r>
      <w:r w:rsidR="0033233A" w:rsidRPr="00DC66CD">
        <w:rPr>
          <w:rFonts w:ascii="Garamond" w:hAnsi="Garamond"/>
          <w:i/>
          <w:sz w:val="24"/>
          <w:szCs w:val="24"/>
        </w:rPr>
        <w:t>.</w:t>
      </w:r>
      <w:r w:rsidRPr="00DC66CD">
        <w:rPr>
          <w:rFonts w:ascii="Garamond" w:hAnsi="Garamond"/>
          <w:i/>
          <w:sz w:val="24"/>
          <w:szCs w:val="24"/>
        </w:rPr>
        <w:t xml:space="preserve"> Institucionet e pavarura fiskale për të monitoruar performancën fiskale dhe/ose këshillojnë qeverinë p</w:t>
      </w:r>
      <w:r w:rsidR="008F4791" w:rsidRPr="00DC66CD">
        <w:rPr>
          <w:rFonts w:ascii="Garamond" w:hAnsi="Garamond"/>
          <w:i/>
          <w:sz w:val="24"/>
          <w:szCs w:val="24"/>
        </w:rPr>
        <w:t>ër çështje të politikës fiskale</w:t>
      </w:r>
    </w:p>
    <w:p w14:paraId="708CA34C" w14:textId="133D67B3"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Qeveria, krijimin e planifikuar</w:t>
      </w:r>
      <w:r w:rsidR="006F0CA5" w:rsidRPr="00DC66CD">
        <w:rPr>
          <w:rFonts w:ascii="Garamond" w:hAnsi="Garamond"/>
          <w:sz w:val="24"/>
          <w:szCs w:val="24"/>
        </w:rPr>
        <w:t>,</w:t>
      </w:r>
      <w:r w:rsidRPr="00DC66CD">
        <w:rPr>
          <w:rFonts w:ascii="Garamond" w:hAnsi="Garamond"/>
          <w:sz w:val="24"/>
          <w:szCs w:val="24"/>
        </w:rPr>
        <w:t xml:space="preserve"> fillimisht të një </w:t>
      </w:r>
      <w:r w:rsidR="006F0CA5" w:rsidRPr="00DC66CD">
        <w:rPr>
          <w:rFonts w:ascii="Garamond" w:hAnsi="Garamond"/>
          <w:sz w:val="24"/>
          <w:szCs w:val="24"/>
        </w:rPr>
        <w:t xml:space="preserve">këshilli fiskal, </w:t>
      </w:r>
      <w:r w:rsidRPr="00DC66CD">
        <w:rPr>
          <w:rFonts w:ascii="Garamond" w:hAnsi="Garamond"/>
          <w:sz w:val="24"/>
          <w:szCs w:val="24"/>
        </w:rPr>
        <w:t>e zëvendësoi me futjen e rregullave fiskale në LOB, i cili ka bërë të mundur që MFE</w:t>
      </w:r>
      <w:r w:rsidR="006F0CA5" w:rsidRPr="00DC66CD">
        <w:rPr>
          <w:rFonts w:ascii="Garamond" w:hAnsi="Garamond"/>
          <w:sz w:val="24"/>
          <w:szCs w:val="24"/>
        </w:rPr>
        <w:t>-ja</w:t>
      </w:r>
      <w:r w:rsidRPr="00DC66CD">
        <w:rPr>
          <w:rFonts w:ascii="Garamond" w:hAnsi="Garamond"/>
          <w:sz w:val="24"/>
          <w:szCs w:val="24"/>
        </w:rPr>
        <w:t xml:space="preserve"> të ketë një spirancë efektive për përcaktimin e hapësirave fiskale, duke filluar me buxhetin e vitit 2017. Ndryshimet në LOB janë të hollësishme dhe të qarta. Ata arrijnë të njëjtin objektiv me atë të një këshilli fiskal, d.m.th</w:t>
      </w:r>
      <w:r w:rsidR="006F0CA5" w:rsidRPr="00DC66CD">
        <w:rPr>
          <w:rFonts w:ascii="Garamond" w:hAnsi="Garamond"/>
          <w:sz w:val="24"/>
          <w:szCs w:val="24"/>
        </w:rPr>
        <w:t>.,</w:t>
      </w:r>
      <w:r w:rsidRPr="00DC66CD">
        <w:rPr>
          <w:rFonts w:ascii="Garamond" w:hAnsi="Garamond"/>
          <w:sz w:val="24"/>
          <w:szCs w:val="24"/>
        </w:rPr>
        <w:t xml:space="preserve"> parashikime më realiste të të ardhurave dhe shpenzimeve. Në kontekstin e </w:t>
      </w:r>
      <w:r w:rsidR="006F0CA5" w:rsidRPr="00DC66CD">
        <w:rPr>
          <w:rFonts w:ascii="Garamond" w:hAnsi="Garamond"/>
          <w:sz w:val="24"/>
          <w:szCs w:val="24"/>
        </w:rPr>
        <w:t>administratës publike shqiptare</w:t>
      </w:r>
      <w:r w:rsidRPr="00DC66CD">
        <w:rPr>
          <w:rFonts w:ascii="Garamond" w:hAnsi="Garamond"/>
          <w:sz w:val="24"/>
          <w:szCs w:val="24"/>
        </w:rPr>
        <w:t xml:space="preserve">, ato kanë </w:t>
      </w:r>
      <w:r w:rsidR="006F0CA5" w:rsidRPr="00DC66CD">
        <w:rPr>
          <w:rFonts w:ascii="Garamond" w:hAnsi="Garamond"/>
          <w:sz w:val="24"/>
          <w:szCs w:val="24"/>
        </w:rPr>
        <w:t>përparësinë</w:t>
      </w:r>
      <w:r w:rsidRPr="00DC66CD">
        <w:rPr>
          <w:rFonts w:ascii="Garamond" w:hAnsi="Garamond"/>
          <w:sz w:val="24"/>
          <w:szCs w:val="24"/>
        </w:rPr>
        <w:t xml:space="preserve"> e të </w:t>
      </w:r>
      <w:r w:rsidR="006F0CA5" w:rsidRPr="00DC66CD">
        <w:rPr>
          <w:rFonts w:ascii="Garamond" w:hAnsi="Garamond"/>
          <w:sz w:val="24"/>
          <w:szCs w:val="24"/>
        </w:rPr>
        <w:t>qenit</w:t>
      </w:r>
      <w:r w:rsidRPr="00DC66CD">
        <w:rPr>
          <w:rFonts w:ascii="Garamond" w:hAnsi="Garamond"/>
          <w:sz w:val="24"/>
          <w:szCs w:val="24"/>
        </w:rPr>
        <w:t xml:space="preserve"> të përfshirë në ligj dhe të jenë menjëherë të zbatueshëm.</w:t>
      </w:r>
    </w:p>
    <w:p w14:paraId="625485AF" w14:textId="7742F01B" w:rsidR="006F605B" w:rsidRPr="00DC66CD" w:rsidRDefault="006F605B" w:rsidP="006F605B">
      <w:pPr>
        <w:spacing w:after="0" w:line="240" w:lineRule="auto"/>
        <w:ind w:firstLine="284"/>
        <w:jc w:val="both"/>
        <w:rPr>
          <w:rFonts w:ascii="Garamond" w:hAnsi="Garamond"/>
          <w:i/>
          <w:sz w:val="24"/>
          <w:szCs w:val="24"/>
        </w:rPr>
      </w:pPr>
      <w:r w:rsidRPr="00DC66CD">
        <w:rPr>
          <w:rFonts w:ascii="Garamond" w:hAnsi="Garamond"/>
          <w:i/>
          <w:sz w:val="24"/>
          <w:szCs w:val="24"/>
        </w:rPr>
        <w:t>3</w:t>
      </w:r>
      <w:r w:rsidR="0033233A" w:rsidRPr="00DC66CD">
        <w:rPr>
          <w:rFonts w:ascii="Garamond" w:hAnsi="Garamond"/>
          <w:i/>
          <w:sz w:val="24"/>
          <w:szCs w:val="24"/>
        </w:rPr>
        <w:t>.</w:t>
      </w:r>
      <w:r w:rsidRPr="00DC66CD">
        <w:rPr>
          <w:rFonts w:ascii="Garamond" w:hAnsi="Garamond"/>
          <w:i/>
          <w:sz w:val="24"/>
          <w:szCs w:val="24"/>
        </w:rPr>
        <w:t xml:space="preserve"> </w:t>
      </w:r>
      <w:r w:rsidR="0033233A" w:rsidRPr="00DC66CD">
        <w:rPr>
          <w:rFonts w:ascii="Garamond" w:hAnsi="Garamond"/>
          <w:i/>
          <w:sz w:val="24"/>
          <w:szCs w:val="24"/>
        </w:rPr>
        <w:t xml:space="preserve">Kuadri </w:t>
      </w:r>
      <w:r w:rsidRPr="00DC66CD">
        <w:rPr>
          <w:rFonts w:ascii="Garamond" w:hAnsi="Garamond"/>
          <w:i/>
          <w:sz w:val="24"/>
          <w:szCs w:val="24"/>
        </w:rPr>
        <w:t>buxhetor afatmesëm</w:t>
      </w:r>
    </w:p>
    <w:p w14:paraId="5F996FBA" w14:textId="453A1BD8"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Shumë boshllëqe janë identifikuar në procesin e PBA-së. Me ndihmën e asistencës teknike të MFP-së, janë adresuar disa nga këto dobësi, për shembull</w:t>
      </w:r>
      <w:r w:rsidR="006F0CA5" w:rsidRPr="00DC66CD">
        <w:rPr>
          <w:rFonts w:ascii="Garamond" w:hAnsi="Garamond"/>
          <w:sz w:val="24"/>
          <w:szCs w:val="24"/>
        </w:rPr>
        <w:t>,</w:t>
      </w:r>
      <w:r w:rsidRPr="00DC66CD">
        <w:rPr>
          <w:rFonts w:ascii="Garamond" w:hAnsi="Garamond"/>
          <w:sz w:val="24"/>
          <w:szCs w:val="24"/>
        </w:rPr>
        <w:t xml:space="preserve"> miratimi i një metodologjie të re për përgatitjen e PBA-së dhe udhëzimeve të reja për përgatitjen e buxhetit. Këto ndryshime rregullatore kanë kontribuar në forcimin e kapacitetit të MFE-së dhe të </w:t>
      </w:r>
      <w:r w:rsidR="006F0CA5" w:rsidRPr="00DC66CD">
        <w:rPr>
          <w:rFonts w:ascii="Garamond" w:hAnsi="Garamond"/>
          <w:sz w:val="24"/>
          <w:szCs w:val="24"/>
        </w:rPr>
        <w:t xml:space="preserve">ministrive të linjës </w:t>
      </w:r>
      <w:r w:rsidRPr="00DC66CD">
        <w:rPr>
          <w:rFonts w:ascii="Garamond" w:hAnsi="Garamond"/>
          <w:sz w:val="24"/>
          <w:szCs w:val="24"/>
        </w:rPr>
        <w:t xml:space="preserve">për formulimin dhe përgatitjen e PBA-së dhe </w:t>
      </w:r>
      <w:r w:rsidR="006F0CA5" w:rsidRPr="00DC66CD">
        <w:rPr>
          <w:rFonts w:ascii="Garamond" w:hAnsi="Garamond"/>
          <w:sz w:val="24"/>
          <w:szCs w:val="24"/>
        </w:rPr>
        <w:t xml:space="preserve">të </w:t>
      </w:r>
      <w:r w:rsidRPr="00DC66CD">
        <w:rPr>
          <w:rFonts w:ascii="Garamond" w:hAnsi="Garamond"/>
          <w:sz w:val="24"/>
          <w:szCs w:val="24"/>
        </w:rPr>
        <w:t xml:space="preserve">buxhetit, por ende duhet të punohet për të forcuar rolin udhëzues të dokumentit të PBA-së dhe cilësinë e fazës strategjike të përgatitjes së buxhetit. Për më tepër, rishikimi i parashtrimeve të kërkesave buxhetore të </w:t>
      </w:r>
      <w:r w:rsidR="006F0CA5" w:rsidRPr="00DC66CD">
        <w:rPr>
          <w:rFonts w:ascii="Garamond" w:hAnsi="Garamond"/>
          <w:sz w:val="24"/>
          <w:szCs w:val="24"/>
        </w:rPr>
        <w:t xml:space="preserve">institucioneve buxhetore </w:t>
      </w:r>
      <w:r w:rsidRPr="00DC66CD">
        <w:rPr>
          <w:rFonts w:ascii="Garamond" w:hAnsi="Garamond"/>
          <w:sz w:val="24"/>
          <w:szCs w:val="24"/>
        </w:rPr>
        <w:t>zbuloi se më shumë theks duhet t</w:t>
      </w:r>
      <w:r w:rsidR="002C582E" w:rsidRPr="00DC66CD">
        <w:rPr>
          <w:rFonts w:ascii="Garamond" w:hAnsi="Garamond"/>
          <w:sz w:val="24"/>
          <w:szCs w:val="24"/>
        </w:rPr>
        <w:t>’</w:t>
      </w:r>
      <w:r w:rsidRPr="00DC66CD">
        <w:rPr>
          <w:rFonts w:ascii="Garamond" w:hAnsi="Garamond"/>
          <w:sz w:val="24"/>
          <w:szCs w:val="24"/>
        </w:rPr>
        <w:t>i kushtohet zbatimit të buxhetimit</w:t>
      </w:r>
      <w:r w:rsidR="006F0CA5" w:rsidRPr="00DC66CD">
        <w:rPr>
          <w:rFonts w:ascii="Garamond" w:hAnsi="Garamond"/>
          <w:sz w:val="24"/>
          <w:szCs w:val="24"/>
        </w:rPr>
        <w:t>,</w:t>
      </w:r>
      <w:r w:rsidRPr="00DC66CD">
        <w:rPr>
          <w:rFonts w:ascii="Garamond" w:hAnsi="Garamond"/>
          <w:sz w:val="24"/>
          <w:szCs w:val="24"/>
        </w:rPr>
        <w:t xml:space="preserve"> bazuar në </w:t>
      </w:r>
      <w:r w:rsidR="006F0CA5" w:rsidRPr="00DC66CD">
        <w:rPr>
          <w:rFonts w:ascii="Garamond" w:hAnsi="Garamond"/>
          <w:sz w:val="24"/>
          <w:szCs w:val="24"/>
        </w:rPr>
        <w:t>p</w:t>
      </w:r>
      <w:r w:rsidRPr="00DC66CD">
        <w:rPr>
          <w:rFonts w:ascii="Garamond" w:hAnsi="Garamond"/>
          <w:sz w:val="24"/>
          <w:szCs w:val="24"/>
        </w:rPr>
        <w:t>erformance</w:t>
      </w:r>
      <w:r w:rsidR="006F0CA5" w:rsidRPr="00DC66CD">
        <w:rPr>
          <w:rFonts w:ascii="Garamond" w:hAnsi="Garamond"/>
          <w:sz w:val="24"/>
          <w:szCs w:val="24"/>
        </w:rPr>
        <w:t>,</w:t>
      </w:r>
      <w:r w:rsidRPr="00DC66CD">
        <w:rPr>
          <w:rFonts w:ascii="Garamond" w:hAnsi="Garamond"/>
          <w:sz w:val="24"/>
          <w:szCs w:val="24"/>
        </w:rPr>
        <w:t xml:space="preserve"> ku bëhet përcaktimi i qëllimeve strategjike, objektivave dhe treguesve të rezultatit në nivel programi.</w:t>
      </w:r>
      <w:r w:rsidR="0072211B" w:rsidRPr="00DC66CD">
        <w:rPr>
          <w:rFonts w:ascii="Garamond" w:hAnsi="Garamond"/>
          <w:sz w:val="24"/>
          <w:szCs w:val="24"/>
        </w:rPr>
        <w:t xml:space="preserve"> </w:t>
      </w:r>
      <w:r w:rsidRPr="00DC66CD">
        <w:rPr>
          <w:rFonts w:ascii="Garamond" w:hAnsi="Garamond"/>
          <w:sz w:val="24"/>
          <w:szCs w:val="24"/>
        </w:rPr>
        <w:t>Buxhetimi i Përgjegjshëm Gjinor (BPGJ) në Shqipëri ka përparuar gjatë pesë v</w:t>
      </w:r>
      <w:r w:rsidR="006F0CA5" w:rsidRPr="00DC66CD">
        <w:rPr>
          <w:rFonts w:ascii="Garamond" w:hAnsi="Garamond"/>
          <w:sz w:val="24"/>
          <w:szCs w:val="24"/>
        </w:rPr>
        <w:t>jetët</w:t>
      </w:r>
      <w:r w:rsidRPr="00DC66CD">
        <w:rPr>
          <w:rFonts w:ascii="Garamond" w:hAnsi="Garamond"/>
          <w:sz w:val="24"/>
          <w:szCs w:val="24"/>
        </w:rPr>
        <w:t xml:space="preserve"> </w:t>
      </w:r>
      <w:r w:rsidR="006F0CA5" w:rsidRPr="00DC66CD">
        <w:rPr>
          <w:rFonts w:ascii="Garamond" w:hAnsi="Garamond"/>
          <w:sz w:val="24"/>
          <w:szCs w:val="24"/>
        </w:rPr>
        <w:t>e</w:t>
      </w:r>
      <w:r w:rsidRPr="00DC66CD">
        <w:rPr>
          <w:rFonts w:ascii="Garamond" w:hAnsi="Garamond"/>
          <w:sz w:val="24"/>
          <w:szCs w:val="24"/>
        </w:rPr>
        <w:t xml:space="preserve"> fundit. Ndryshimet e fundit në LOB </w:t>
      </w:r>
      <w:r w:rsidR="006F0CA5" w:rsidRPr="00DC66CD">
        <w:rPr>
          <w:rFonts w:ascii="Garamond" w:hAnsi="Garamond"/>
          <w:sz w:val="24"/>
          <w:szCs w:val="24"/>
        </w:rPr>
        <w:t>m</w:t>
      </w:r>
      <w:r w:rsidRPr="00DC66CD">
        <w:rPr>
          <w:rFonts w:ascii="Garamond" w:hAnsi="Garamond"/>
          <w:sz w:val="24"/>
          <w:szCs w:val="24"/>
        </w:rPr>
        <w:t>ë 2016</w:t>
      </w:r>
      <w:r w:rsidR="006F0CA5" w:rsidRPr="00DC66CD">
        <w:rPr>
          <w:rFonts w:ascii="Garamond" w:hAnsi="Garamond"/>
          <w:sz w:val="24"/>
          <w:szCs w:val="24"/>
        </w:rPr>
        <w:t>,</w:t>
      </w:r>
      <w:r w:rsidRPr="00DC66CD">
        <w:rPr>
          <w:rFonts w:ascii="Garamond" w:hAnsi="Garamond"/>
          <w:sz w:val="24"/>
          <w:szCs w:val="24"/>
        </w:rPr>
        <w:t xml:space="preserve"> si dhe </w:t>
      </w:r>
      <w:r w:rsidR="006F0CA5" w:rsidRPr="00DC66CD">
        <w:rPr>
          <w:rFonts w:ascii="Garamond" w:hAnsi="Garamond"/>
          <w:sz w:val="24"/>
          <w:szCs w:val="24"/>
        </w:rPr>
        <w:t xml:space="preserve">ligji i financave vendore </w:t>
      </w:r>
      <w:r w:rsidRPr="00DC66CD">
        <w:rPr>
          <w:rFonts w:ascii="Garamond" w:hAnsi="Garamond"/>
          <w:sz w:val="24"/>
          <w:szCs w:val="24"/>
        </w:rPr>
        <w:t>i miratuar në vitin 2017</w:t>
      </w:r>
      <w:r w:rsidR="006F0CA5" w:rsidRPr="00DC66CD">
        <w:rPr>
          <w:rFonts w:ascii="Garamond" w:hAnsi="Garamond"/>
          <w:sz w:val="24"/>
          <w:szCs w:val="24"/>
        </w:rPr>
        <w:t>,</w:t>
      </w:r>
      <w:r w:rsidRPr="00DC66CD">
        <w:rPr>
          <w:rFonts w:ascii="Garamond" w:hAnsi="Garamond"/>
          <w:sz w:val="24"/>
          <w:szCs w:val="24"/>
        </w:rPr>
        <w:t xml:space="preserve"> kanë bërë që të gjithë institucionet e pushtetit qendror dhe vendor të menaxhojnë të gjitha politikat dhe buxhetet e tyre</w:t>
      </w:r>
      <w:r w:rsidR="006F0CA5" w:rsidRPr="00DC66CD">
        <w:rPr>
          <w:rFonts w:ascii="Garamond" w:hAnsi="Garamond"/>
          <w:sz w:val="24"/>
          <w:szCs w:val="24"/>
        </w:rPr>
        <w:t>,</w:t>
      </w:r>
      <w:r w:rsidRPr="00DC66CD">
        <w:rPr>
          <w:rFonts w:ascii="Garamond" w:hAnsi="Garamond"/>
          <w:sz w:val="24"/>
          <w:szCs w:val="24"/>
        </w:rPr>
        <w:t xml:space="preserve"> në përputhje të plotë me parimet </w:t>
      </w:r>
      <w:r w:rsidR="006F0CA5" w:rsidRPr="00DC66CD">
        <w:rPr>
          <w:rFonts w:ascii="Garamond" w:hAnsi="Garamond"/>
          <w:sz w:val="24"/>
          <w:szCs w:val="24"/>
        </w:rPr>
        <w:t>e barazisë gjinore</w:t>
      </w:r>
      <w:r w:rsidRPr="00DC66CD">
        <w:rPr>
          <w:rFonts w:ascii="Garamond" w:hAnsi="Garamond"/>
          <w:sz w:val="24"/>
          <w:szCs w:val="24"/>
        </w:rPr>
        <w:t xml:space="preserve">. Megjithatë, ekzistojnë ende sfida të konsiderueshme në </w:t>
      </w:r>
      <w:r w:rsidR="006F0CA5" w:rsidRPr="00DC66CD">
        <w:rPr>
          <w:rFonts w:ascii="Garamond" w:hAnsi="Garamond"/>
          <w:sz w:val="24"/>
          <w:szCs w:val="24"/>
        </w:rPr>
        <w:t xml:space="preserve">strategjinë </w:t>
      </w:r>
      <w:r w:rsidRPr="00DC66CD">
        <w:rPr>
          <w:rFonts w:ascii="Garamond" w:hAnsi="Garamond"/>
          <w:sz w:val="24"/>
          <w:szCs w:val="24"/>
        </w:rPr>
        <w:t>e MFP-së</w:t>
      </w:r>
      <w:r w:rsidR="006F0CA5" w:rsidRPr="00DC66CD">
        <w:rPr>
          <w:rFonts w:ascii="Garamond" w:hAnsi="Garamond"/>
          <w:sz w:val="24"/>
          <w:szCs w:val="24"/>
        </w:rPr>
        <w:t>,</w:t>
      </w:r>
      <w:r w:rsidRPr="00DC66CD">
        <w:rPr>
          <w:rFonts w:ascii="Garamond" w:hAnsi="Garamond"/>
          <w:sz w:val="24"/>
          <w:szCs w:val="24"/>
        </w:rPr>
        <w:t xml:space="preserve"> 2019</w:t>
      </w:r>
      <w:r w:rsidR="006F0CA5" w:rsidRPr="00DC66CD">
        <w:t>–</w:t>
      </w:r>
      <w:r w:rsidRPr="00DC66CD">
        <w:rPr>
          <w:rFonts w:ascii="Garamond" w:hAnsi="Garamond"/>
          <w:sz w:val="24"/>
          <w:szCs w:val="24"/>
        </w:rPr>
        <w:t>2022</w:t>
      </w:r>
      <w:r w:rsidR="006F0CA5" w:rsidRPr="00DC66CD">
        <w:rPr>
          <w:rFonts w:ascii="Garamond" w:hAnsi="Garamond"/>
          <w:sz w:val="24"/>
          <w:szCs w:val="24"/>
        </w:rPr>
        <w:t>,</w:t>
      </w:r>
      <w:r w:rsidRPr="00DC66CD">
        <w:rPr>
          <w:rFonts w:ascii="Garamond" w:hAnsi="Garamond"/>
          <w:sz w:val="24"/>
          <w:szCs w:val="24"/>
        </w:rPr>
        <w:t xml:space="preserve"> në mënyrë që të zbatohet plotësisht BPGJ</w:t>
      </w:r>
      <w:r w:rsidR="006F0CA5" w:rsidRPr="00DC66CD">
        <w:rPr>
          <w:rFonts w:ascii="Garamond" w:hAnsi="Garamond"/>
          <w:sz w:val="24"/>
          <w:szCs w:val="24"/>
        </w:rPr>
        <w:t>-ja</w:t>
      </w:r>
      <w:r w:rsidRPr="00DC66CD">
        <w:rPr>
          <w:rFonts w:ascii="Garamond" w:hAnsi="Garamond"/>
          <w:sz w:val="24"/>
          <w:szCs w:val="24"/>
        </w:rPr>
        <w:t xml:space="preserve"> në ciklin MFP, në nivelin qendror dhe vendor.</w:t>
      </w:r>
    </w:p>
    <w:p w14:paraId="2D051B98" w14:textId="32682209" w:rsidR="006F605B" w:rsidRPr="00DC66CD" w:rsidRDefault="006F605B" w:rsidP="006F605B">
      <w:pPr>
        <w:spacing w:after="0" w:line="240" w:lineRule="auto"/>
        <w:ind w:firstLine="284"/>
        <w:jc w:val="both"/>
        <w:rPr>
          <w:rFonts w:ascii="Garamond" w:hAnsi="Garamond"/>
          <w:i/>
          <w:sz w:val="24"/>
          <w:szCs w:val="24"/>
        </w:rPr>
      </w:pPr>
      <w:r w:rsidRPr="00DC66CD">
        <w:rPr>
          <w:rFonts w:ascii="Garamond" w:hAnsi="Garamond"/>
          <w:i/>
          <w:sz w:val="24"/>
          <w:szCs w:val="24"/>
        </w:rPr>
        <w:t>4</w:t>
      </w:r>
      <w:r w:rsidR="006F0CA5" w:rsidRPr="00DC66CD">
        <w:rPr>
          <w:rFonts w:ascii="Garamond" w:hAnsi="Garamond"/>
          <w:i/>
          <w:sz w:val="24"/>
          <w:szCs w:val="24"/>
        </w:rPr>
        <w:t>.</w:t>
      </w:r>
      <w:r w:rsidRPr="00DC66CD">
        <w:rPr>
          <w:rFonts w:ascii="Garamond" w:hAnsi="Garamond"/>
          <w:i/>
          <w:sz w:val="24"/>
          <w:szCs w:val="24"/>
        </w:rPr>
        <w:t xml:space="preserve"> Përdorimi i parashikimeve reale, të paanshme për planifikimin e buxhetit dhe vlerësimin e rregullt të tyre</w:t>
      </w:r>
    </w:p>
    <w:p w14:paraId="3800504A" w14:textId="16918692"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Siç u shpjegua më lart, përmirësimi i rregullave procedurale do të çojë në eliminimin e rrezikut sistematik optimist të paragjykimeve në parashikimet e PBB-së dhe të ardhurave buxhetore. Për këtë qëllim, në Strategjinë e re të MFP-së, MFE</w:t>
      </w:r>
      <w:r w:rsidR="00364F19" w:rsidRPr="00DC66CD">
        <w:rPr>
          <w:rFonts w:ascii="Garamond" w:hAnsi="Garamond"/>
          <w:sz w:val="24"/>
          <w:szCs w:val="24"/>
        </w:rPr>
        <w:t>-ja</w:t>
      </w:r>
      <w:r w:rsidRPr="00DC66CD">
        <w:rPr>
          <w:rFonts w:ascii="Garamond" w:hAnsi="Garamond"/>
          <w:sz w:val="24"/>
          <w:szCs w:val="24"/>
        </w:rPr>
        <w:t xml:space="preserve"> ka planifikuar të blejë dhe të përdorë një softuer të përshtatshëm t</w:t>
      </w:r>
      <w:r w:rsidR="00364F19" w:rsidRPr="00DC66CD">
        <w:rPr>
          <w:rFonts w:ascii="Garamond" w:hAnsi="Garamond"/>
          <w:sz w:val="24"/>
          <w:szCs w:val="24"/>
        </w:rPr>
        <w:t>ë</w:t>
      </w:r>
      <w:r w:rsidRPr="00DC66CD">
        <w:rPr>
          <w:rFonts w:ascii="Garamond" w:hAnsi="Garamond"/>
          <w:sz w:val="24"/>
          <w:szCs w:val="24"/>
        </w:rPr>
        <w:t xml:space="preserve"> TI-së</w:t>
      </w:r>
      <w:r w:rsidR="00364F19" w:rsidRPr="00DC66CD">
        <w:rPr>
          <w:rFonts w:ascii="Garamond" w:hAnsi="Garamond"/>
          <w:sz w:val="24"/>
          <w:szCs w:val="24"/>
        </w:rPr>
        <w:t>,</w:t>
      </w:r>
      <w:r w:rsidRPr="00DC66CD">
        <w:rPr>
          <w:rFonts w:ascii="Garamond" w:hAnsi="Garamond"/>
          <w:sz w:val="24"/>
          <w:szCs w:val="24"/>
        </w:rPr>
        <w:t xml:space="preserve"> për modelet e parashikimit të të ardhurave dhe të përgatisë udhëzimet për përdoruesit që të përdorin</w:t>
      </w:r>
      <w:r w:rsidR="00364F19" w:rsidRPr="00DC66CD">
        <w:rPr>
          <w:rFonts w:ascii="Garamond" w:hAnsi="Garamond"/>
          <w:sz w:val="24"/>
          <w:szCs w:val="24"/>
        </w:rPr>
        <w:t>,</w:t>
      </w:r>
      <w:r w:rsidRPr="00DC66CD">
        <w:rPr>
          <w:rFonts w:ascii="Garamond" w:hAnsi="Garamond"/>
          <w:sz w:val="24"/>
          <w:szCs w:val="24"/>
        </w:rPr>
        <w:t xml:space="preserve"> siç duhet modelet e të ardhurave nga taksat.</w:t>
      </w:r>
    </w:p>
    <w:p w14:paraId="7F14F7F4" w14:textId="77777777" w:rsidR="006F605B" w:rsidRPr="00DC66CD" w:rsidRDefault="006F605B" w:rsidP="006F605B">
      <w:pPr>
        <w:spacing w:after="0" w:line="240" w:lineRule="auto"/>
        <w:ind w:firstLine="284"/>
        <w:jc w:val="both"/>
        <w:rPr>
          <w:rFonts w:ascii="Garamond" w:hAnsi="Garamond"/>
          <w:sz w:val="24"/>
          <w:szCs w:val="24"/>
        </w:rPr>
      </w:pPr>
    </w:p>
    <w:p w14:paraId="62793A02" w14:textId="3E4A98C9" w:rsidR="006F605B" w:rsidRPr="00DC66CD" w:rsidRDefault="006F605B" w:rsidP="006F605B">
      <w:pPr>
        <w:spacing w:after="0" w:line="240" w:lineRule="auto"/>
        <w:ind w:firstLine="284"/>
        <w:jc w:val="both"/>
        <w:rPr>
          <w:rFonts w:ascii="Garamond" w:hAnsi="Garamond"/>
          <w:i/>
          <w:sz w:val="24"/>
          <w:szCs w:val="24"/>
        </w:rPr>
      </w:pPr>
      <w:r w:rsidRPr="00DC66CD" w:rsidDel="00C26C06">
        <w:rPr>
          <w:rFonts w:ascii="Garamond" w:hAnsi="Garamond"/>
          <w:i/>
          <w:sz w:val="24"/>
          <w:szCs w:val="24"/>
        </w:rPr>
        <w:t xml:space="preserve"> </w:t>
      </w:r>
      <w:r w:rsidRPr="00DC66CD">
        <w:rPr>
          <w:rFonts w:ascii="Garamond" w:hAnsi="Garamond"/>
          <w:i/>
          <w:sz w:val="24"/>
          <w:szCs w:val="24"/>
        </w:rPr>
        <w:t>5</w:t>
      </w:r>
      <w:r w:rsidR="00364F19" w:rsidRPr="00DC66CD">
        <w:rPr>
          <w:rFonts w:ascii="Garamond" w:hAnsi="Garamond"/>
          <w:i/>
          <w:sz w:val="24"/>
          <w:szCs w:val="24"/>
        </w:rPr>
        <w:t>.</w:t>
      </w:r>
      <w:r w:rsidRPr="00DC66CD">
        <w:rPr>
          <w:rFonts w:ascii="Garamond" w:hAnsi="Garamond"/>
          <w:i/>
          <w:sz w:val="24"/>
          <w:szCs w:val="24"/>
        </w:rPr>
        <w:t xml:space="preserve"> Disponueshmëria dhe cilësia e të dhënave fiskale dhe përputhja me standardet ESA</w:t>
      </w:r>
    </w:p>
    <w:p w14:paraId="5FB34DFE" w14:textId="779196CE"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sz w:val="24"/>
          <w:szCs w:val="24"/>
        </w:rPr>
        <w:t>Progres është arritur drejt fuqizimit të INSTAT</w:t>
      </w:r>
      <w:r w:rsidR="00364F19" w:rsidRPr="00DC66CD">
        <w:rPr>
          <w:rFonts w:ascii="Garamond" w:eastAsia="Times New Roman" w:hAnsi="Garamond"/>
          <w:sz w:val="24"/>
          <w:szCs w:val="24"/>
        </w:rPr>
        <w:t>-it</w:t>
      </w:r>
      <w:r w:rsidRPr="00DC66CD">
        <w:rPr>
          <w:rFonts w:ascii="Garamond" w:eastAsia="Times New Roman" w:hAnsi="Garamond"/>
          <w:sz w:val="24"/>
          <w:szCs w:val="24"/>
        </w:rPr>
        <w:t xml:space="preserve">, megjithatë në </w:t>
      </w:r>
      <w:r w:rsidR="00364F19" w:rsidRPr="00DC66CD">
        <w:rPr>
          <w:rFonts w:ascii="Garamond" w:eastAsia="Times New Roman" w:hAnsi="Garamond"/>
          <w:sz w:val="24"/>
          <w:szCs w:val="24"/>
        </w:rPr>
        <w:t xml:space="preserve">strategjinë </w:t>
      </w:r>
      <w:r w:rsidRPr="00DC66CD">
        <w:rPr>
          <w:rFonts w:ascii="Garamond" w:eastAsia="Times New Roman" w:hAnsi="Garamond"/>
          <w:sz w:val="24"/>
          <w:szCs w:val="24"/>
        </w:rPr>
        <w:t>e MFP</w:t>
      </w:r>
      <w:r w:rsidR="00364F19" w:rsidRPr="00DC66CD">
        <w:rPr>
          <w:rFonts w:ascii="Garamond" w:eastAsia="Times New Roman" w:hAnsi="Garamond"/>
          <w:sz w:val="24"/>
          <w:szCs w:val="24"/>
        </w:rPr>
        <w:t>-së,</w:t>
      </w:r>
      <w:r w:rsidRPr="00DC66CD">
        <w:rPr>
          <w:rFonts w:ascii="Garamond" w:eastAsia="Times New Roman" w:hAnsi="Garamond"/>
          <w:sz w:val="24"/>
          <w:szCs w:val="24"/>
        </w:rPr>
        <w:t xml:space="preserve"> 2019</w:t>
      </w:r>
      <w:r w:rsidR="00364F19" w:rsidRPr="00DC66CD">
        <w:t>–</w:t>
      </w:r>
      <w:r w:rsidRPr="00DC66CD">
        <w:rPr>
          <w:rFonts w:ascii="Garamond" w:eastAsia="Times New Roman" w:hAnsi="Garamond"/>
          <w:sz w:val="24"/>
          <w:szCs w:val="24"/>
        </w:rPr>
        <w:t>2022</w:t>
      </w:r>
      <w:r w:rsidR="00364F19" w:rsidRPr="00DC66CD">
        <w:rPr>
          <w:rFonts w:ascii="Garamond" w:eastAsia="Times New Roman" w:hAnsi="Garamond"/>
          <w:sz w:val="24"/>
          <w:szCs w:val="24"/>
        </w:rPr>
        <w:t>,</w:t>
      </w:r>
      <w:r w:rsidRPr="00DC66CD">
        <w:rPr>
          <w:rFonts w:ascii="Garamond" w:eastAsia="Times New Roman" w:hAnsi="Garamond"/>
          <w:sz w:val="24"/>
          <w:szCs w:val="24"/>
        </w:rPr>
        <w:t xml:space="preserve"> është përfshirë përgatitja e një sistemi statistikor gjithëpërfshirës, të standardizuar për njësitë e qeverisë së përgjithshme, i cili do të duhet të përgatitet dhe do të shoqërohet me rishikime të politikave, procedurave standarde dhe formateve për të mundësuar përgatitjen e raporteve sipas ESA 2010. Në këtë kontekst, forcimi i </w:t>
      </w:r>
      <w:r w:rsidR="00364F19" w:rsidRPr="00DC66CD">
        <w:rPr>
          <w:rFonts w:ascii="Garamond" w:eastAsia="Times New Roman" w:hAnsi="Garamond"/>
          <w:sz w:val="24"/>
          <w:szCs w:val="24"/>
        </w:rPr>
        <w:t xml:space="preserve">grupit </w:t>
      </w:r>
      <w:r w:rsidRPr="00DC66CD">
        <w:rPr>
          <w:rFonts w:ascii="Garamond" w:eastAsia="Times New Roman" w:hAnsi="Garamond"/>
          <w:sz w:val="24"/>
          <w:szCs w:val="24"/>
        </w:rPr>
        <w:t>ndërinstitucional të punës dhe zhvillimi i një sistemi të integruar të përpilimit të SFQ</w:t>
      </w:r>
      <w:r w:rsidR="00364F19" w:rsidRPr="00DC66CD">
        <w:rPr>
          <w:rFonts w:ascii="Garamond" w:eastAsia="Times New Roman" w:hAnsi="Garamond"/>
          <w:sz w:val="24"/>
          <w:szCs w:val="24"/>
        </w:rPr>
        <w:t>-së</w:t>
      </w:r>
      <w:r w:rsidRPr="00DC66CD">
        <w:rPr>
          <w:rFonts w:ascii="Garamond" w:eastAsia="Times New Roman" w:hAnsi="Garamond"/>
          <w:sz w:val="24"/>
          <w:szCs w:val="24"/>
        </w:rPr>
        <w:t xml:space="preserve"> do të jetë në fokus në vitet e ardhshme, si pjesë e strategjisë së MFP-së</w:t>
      </w:r>
      <w:r w:rsidR="00364F19" w:rsidRPr="00DC66CD">
        <w:rPr>
          <w:rFonts w:ascii="Garamond" w:eastAsia="Times New Roman" w:hAnsi="Garamond"/>
          <w:sz w:val="24"/>
          <w:szCs w:val="24"/>
        </w:rPr>
        <w:t>,</w:t>
      </w:r>
      <w:r w:rsidRPr="00DC66CD">
        <w:rPr>
          <w:rFonts w:ascii="Garamond" w:eastAsia="Times New Roman" w:hAnsi="Garamond"/>
          <w:sz w:val="24"/>
          <w:szCs w:val="24"/>
        </w:rPr>
        <w:t xml:space="preserve"> 2019</w:t>
      </w:r>
      <w:r w:rsidR="00364F19" w:rsidRPr="00DC66CD">
        <w:t>–</w:t>
      </w:r>
      <w:r w:rsidRPr="00DC66CD">
        <w:rPr>
          <w:rFonts w:ascii="Garamond" w:eastAsia="Times New Roman" w:hAnsi="Garamond"/>
          <w:sz w:val="24"/>
          <w:szCs w:val="24"/>
        </w:rPr>
        <w:t>2022. Për më tepër, tabelat e njoftimeve për EDP</w:t>
      </w:r>
      <w:r w:rsidR="00614D98" w:rsidRPr="00DC66CD">
        <w:rPr>
          <w:rFonts w:ascii="Garamond" w:eastAsia="Times New Roman" w:hAnsi="Garamond"/>
          <w:sz w:val="24"/>
          <w:szCs w:val="24"/>
        </w:rPr>
        <w:t>-në</w:t>
      </w:r>
      <w:r w:rsidRPr="00DC66CD">
        <w:rPr>
          <w:rFonts w:ascii="Garamond" w:eastAsia="Times New Roman" w:hAnsi="Garamond"/>
          <w:sz w:val="24"/>
          <w:szCs w:val="24"/>
        </w:rPr>
        <w:t xml:space="preserve"> janë dërguar rregullisht në EUROSTAT që nga viti 2014, megjithatë kërkojnë zhvillime të mëtejshme.</w:t>
      </w:r>
    </w:p>
    <w:p w14:paraId="53A3387F" w14:textId="0D6F4534" w:rsidR="006F605B" w:rsidRPr="00DC66CD" w:rsidRDefault="00064652" w:rsidP="00064652">
      <w:pPr>
        <w:pStyle w:val="TEKSTIIII"/>
        <w:rPr>
          <w:b/>
          <w:i/>
        </w:rPr>
      </w:pPr>
      <w:bookmarkStart w:id="26" w:name="_Toc30661224"/>
      <w:r w:rsidRPr="00DC66CD">
        <w:rPr>
          <w:b/>
          <w:i/>
        </w:rPr>
        <w:t xml:space="preserve">4.8 </w:t>
      </w:r>
      <w:r w:rsidR="006F605B" w:rsidRPr="00DC66CD">
        <w:rPr>
          <w:b/>
          <w:i/>
        </w:rPr>
        <w:t>Fiscal governance and budgetary frameworks</w:t>
      </w:r>
      <w:bookmarkEnd w:id="26"/>
    </w:p>
    <w:p w14:paraId="16195AC9" w14:textId="6389BC5A"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Autoritetet pritet të shpalosin strategjinë e tyre të politikave</w:t>
      </w:r>
      <w:r w:rsidR="008E3A4F" w:rsidRPr="00DC66CD">
        <w:rPr>
          <w:rFonts w:ascii="Garamond" w:hAnsi="Garamond"/>
          <w:sz w:val="24"/>
          <w:szCs w:val="24"/>
        </w:rPr>
        <w:t>,</w:t>
      </w:r>
      <w:r w:rsidRPr="00DC66CD">
        <w:rPr>
          <w:rFonts w:ascii="Garamond" w:hAnsi="Garamond"/>
          <w:sz w:val="24"/>
          <w:szCs w:val="24"/>
        </w:rPr>
        <w:t xml:space="preserve"> në lidhje me qëndrueshmërinë e financave publike. Në mbështetje të kësaj strategjie, programet do të paraqesin një analizë të qëndrueshmërisë afatgjatë të financave publike, veçanërisht</w:t>
      </w:r>
      <w:r w:rsidR="008E3A4F" w:rsidRPr="00DC66CD">
        <w:rPr>
          <w:rFonts w:ascii="Garamond" w:hAnsi="Garamond"/>
          <w:sz w:val="24"/>
          <w:szCs w:val="24"/>
        </w:rPr>
        <w:t>,</w:t>
      </w:r>
      <w:r w:rsidRPr="00DC66CD">
        <w:rPr>
          <w:rFonts w:ascii="Garamond" w:hAnsi="Garamond"/>
          <w:sz w:val="24"/>
          <w:szCs w:val="24"/>
        </w:rPr>
        <w:t xml:space="preserve"> në dritën e tendencave të parashikuara në shpenzimet e pensioneve dhe kujdesit shëndetësor. Politikat themelore duhet të përshkruhen siç duhet dhe parashikimet duhet të bazohen në </w:t>
      </w:r>
      <w:r w:rsidR="002A29AD" w:rsidRPr="00DC66CD">
        <w:rPr>
          <w:rFonts w:ascii="Garamond" w:hAnsi="Garamond"/>
          <w:sz w:val="24"/>
          <w:szCs w:val="24"/>
        </w:rPr>
        <w:t>“</w:t>
      </w:r>
      <w:r w:rsidRPr="00DC66CD">
        <w:rPr>
          <w:rFonts w:ascii="Garamond" w:hAnsi="Garamond"/>
          <w:sz w:val="24"/>
          <w:szCs w:val="24"/>
        </w:rPr>
        <w:t>skenari aktual i politikës</w:t>
      </w:r>
      <w:r w:rsidR="002A29AD" w:rsidRPr="00DC66CD">
        <w:rPr>
          <w:rFonts w:ascii="Garamond" w:hAnsi="Garamond"/>
          <w:sz w:val="24"/>
          <w:szCs w:val="24"/>
        </w:rPr>
        <w:t>”</w:t>
      </w:r>
      <w:r w:rsidRPr="00DC66CD">
        <w:rPr>
          <w:rFonts w:ascii="Garamond" w:hAnsi="Garamond"/>
          <w:sz w:val="24"/>
          <w:szCs w:val="24"/>
        </w:rPr>
        <w:t>. Në rast të reformave të planifikuara</w:t>
      </w:r>
      <w:r w:rsidR="008E3A4F" w:rsidRPr="00DC66CD">
        <w:rPr>
          <w:rFonts w:ascii="Garamond" w:hAnsi="Garamond"/>
          <w:sz w:val="24"/>
          <w:szCs w:val="24"/>
        </w:rPr>
        <w:t>,</w:t>
      </w:r>
      <w:r w:rsidRPr="00DC66CD">
        <w:rPr>
          <w:rFonts w:ascii="Garamond" w:hAnsi="Garamond"/>
          <w:sz w:val="24"/>
          <w:szCs w:val="24"/>
        </w:rPr>
        <w:t xml:space="preserve"> por ende jo të implementuara, duhet të ofrohet një tabelë alternative e </w:t>
      </w:r>
      <w:r w:rsidR="002A29AD" w:rsidRPr="00DC66CD">
        <w:rPr>
          <w:rFonts w:ascii="Garamond" w:hAnsi="Garamond"/>
          <w:sz w:val="24"/>
          <w:szCs w:val="24"/>
        </w:rPr>
        <w:t>“</w:t>
      </w:r>
      <w:r w:rsidRPr="00DC66CD">
        <w:rPr>
          <w:rFonts w:ascii="Garamond" w:hAnsi="Garamond"/>
          <w:sz w:val="24"/>
          <w:szCs w:val="24"/>
        </w:rPr>
        <w:t>skenarit të reformës</w:t>
      </w:r>
      <w:r w:rsidR="002A29AD" w:rsidRPr="00DC66CD">
        <w:rPr>
          <w:rFonts w:ascii="Garamond" w:hAnsi="Garamond"/>
          <w:sz w:val="24"/>
          <w:szCs w:val="24"/>
        </w:rPr>
        <w:t>”</w:t>
      </w:r>
      <w:r w:rsidRPr="00DC66CD">
        <w:rPr>
          <w:rFonts w:ascii="Garamond" w:hAnsi="Garamond"/>
          <w:sz w:val="24"/>
          <w:szCs w:val="24"/>
        </w:rPr>
        <w:t xml:space="preserve"> dhe të përshkruhen reformat, siç janë në fushën e pensioneve dhe kujdesit shëndetësor.</w:t>
      </w:r>
    </w:p>
    <w:p w14:paraId="0F13ACB4" w14:textId="32A1D95B"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Strategjia e MFP-së</w:t>
      </w:r>
      <w:r w:rsidR="008E3A4F" w:rsidRPr="00DC66CD">
        <w:rPr>
          <w:rFonts w:ascii="Garamond" w:hAnsi="Garamond"/>
          <w:sz w:val="24"/>
          <w:szCs w:val="24"/>
        </w:rPr>
        <w:t>,</w:t>
      </w:r>
      <w:r w:rsidRPr="00DC66CD">
        <w:rPr>
          <w:rFonts w:ascii="Garamond" w:hAnsi="Garamond"/>
          <w:sz w:val="24"/>
          <w:szCs w:val="24"/>
        </w:rPr>
        <w:t xml:space="preserve"> 2019</w:t>
      </w:r>
      <w:r w:rsidR="008E3A4F" w:rsidRPr="00DC66CD">
        <w:t>–</w:t>
      </w:r>
      <w:r w:rsidRPr="00DC66CD">
        <w:rPr>
          <w:rFonts w:ascii="Garamond" w:hAnsi="Garamond"/>
          <w:sz w:val="24"/>
          <w:szCs w:val="24"/>
        </w:rPr>
        <w:t>2022</w:t>
      </w:r>
      <w:r w:rsidR="008E3A4F" w:rsidRPr="00DC66CD">
        <w:rPr>
          <w:rFonts w:ascii="Garamond" w:hAnsi="Garamond"/>
          <w:sz w:val="24"/>
          <w:szCs w:val="24"/>
        </w:rPr>
        <w:t>,</w:t>
      </w:r>
      <w:r w:rsidRPr="00DC66CD">
        <w:rPr>
          <w:rFonts w:ascii="Garamond" w:hAnsi="Garamond"/>
          <w:sz w:val="24"/>
          <w:szCs w:val="24"/>
        </w:rPr>
        <w:t xml:space="preserve"> synon të konsolidojë mësimet e marra dhe rezultatet e rën</w:t>
      </w:r>
      <w:r w:rsidR="008E3A4F" w:rsidRPr="00DC66CD">
        <w:rPr>
          <w:rFonts w:ascii="Garamond" w:hAnsi="Garamond"/>
          <w:sz w:val="24"/>
          <w:szCs w:val="24"/>
        </w:rPr>
        <w:t>a</w:t>
      </w:r>
      <w:r w:rsidRPr="00DC66CD">
        <w:rPr>
          <w:rFonts w:ascii="Garamond" w:hAnsi="Garamond"/>
          <w:sz w:val="24"/>
          <w:szCs w:val="24"/>
        </w:rPr>
        <w:t xml:space="preserve"> dakord pas </w:t>
      </w:r>
      <w:r w:rsidR="008E3A4F" w:rsidRPr="00DC66CD">
        <w:rPr>
          <w:rFonts w:ascii="Garamond" w:hAnsi="Garamond"/>
          <w:sz w:val="24"/>
          <w:szCs w:val="24"/>
        </w:rPr>
        <w:t xml:space="preserve">rishikimit afatmesëm </w:t>
      </w:r>
      <w:r w:rsidRPr="00DC66CD">
        <w:rPr>
          <w:rFonts w:ascii="Garamond" w:hAnsi="Garamond"/>
          <w:sz w:val="24"/>
          <w:szCs w:val="24"/>
        </w:rPr>
        <w:t>të realizuar në 2018 dhe të shërbejë si një kuadër dhe udhëzues për të udhëhequr përmirësimet në rezultatet e MFP-së</w:t>
      </w:r>
      <w:r w:rsidR="008E3A4F" w:rsidRPr="00DC66CD">
        <w:rPr>
          <w:rFonts w:ascii="Garamond" w:hAnsi="Garamond"/>
          <w:sz w:val="24"/>
          <w:szCs w:val="24"/>
        </w:rPr>
        <w:t>,</w:t>
      </w:r>
      <w:r w:rsidRPr="00DC66CD">
        <w:rPr>
          <w:rFonts w:ascii="Garamond" w:hAnsi="Garamond"/>
          <w:sz w:val="24"/>
          <w:szCs w:val="24"/>
        </w:rPr>
        <w:t xml:space="preserve"> për vitin 2019</w:t>
      </w:r>
      <w:r w:rsidR="008E3A4F" w:rsidRPr="00DC66CD">
        <w:t>–</w:t>
      </w:r>
      <w:r w:rsidRPr="00DC66CD">
        <w:rPr>
          <w:rFonts w:ascii="Garamond" w:hAnsi="Garamond"/>
          <w:sz w:val="24"/>
          <w:szCs w:val="24"/>
        </w:rPr>
        <w:t xml:space="preserve">2022. Kjo </w:t>
      </w:r>
      <w:r w:rsidR="008E3A4F" w:rsidRPr="00DC66CD">
        <w:rPr>
          <w:rFonts w:ascii="Garamond" w:hAnsi="Garamond"/>
          <w:sz w:val="24"/>
          <w:szCs w:val="24"/>
        </w:rPr>
        <w:t xml:space="preserve">strategji </w:t>
      </w:r>
      <w:r w:rsidRPr="00DC66CD">
        <w:rPr>
          <w:rFonts w:ascii="Garamond" w:hAnsi="Garamond"/>
          <w:sz w:val="24"/>
          <w:szCs w:val="24"/>
        </w:rPr>
        <w:t xml:space="preserve">e rishikuar mundëson që </w:t>
      </w:r>
      <w:r w:rsidR="008E3A4F" w:rsidRPr="00DC66CD">
        <w:rPr>
          <w:rFonts w:ascii="Garamond" w:hAnsi="Garamond"/>
          <w:sz w:val="24"/>
          <w:szCs w:val="24"/>
        </w:rPr>
        <w:t xml:space="preserve">qeveria e Shqipërisë </w:t>
      </w:r>
      <w:r w:rsidRPr="00DC66CD">
        <w:rPr>
          <w:rFonts w:ascii="Garamond" w:hAnsi="Garamond"/>
          <w:sz w:val="24"/>
          <w:szCs w:val="24"/>
        </w:rPr>
        <w:t>të përfshijë masat e kërkuara të MFP-së që janë shfaqur që nga viti 2014</w:t>
      </w:r>
      <w:r w:rsidR="008E3A4F" w:rsidRPr="00DC66CD">
        <w:rPr>
          <w:rFonts w:ascii="Garamond" w:hAnsi="Garamond"/>
          <w:sz w:val="24"/>
          <w:szCs w:val="24"/>
        </w:rPr>
        <w:t>,</w:t>
      </w:r>
      <w:r w:rsidRPr="00DC66CD">
        <w:rPr>
          <w:rFonts w:ascii="Garamond" w:hAnsi="Garamond"/>
          <w:sz w:val="24"/>
          <w:szCs w:val="24"/>
        </w:rPr>
        <w:t xml:space="preserve"> brenda </w:t>
      </w:r>
      <w:r w:rsidR="008E3A4F" w:rsidRPr="00DC66CD">
        <w:rPr>
          <w:rFonts w:ascii="Garamond" w:hAnsi="Garamond"/>
          <w:sz w:val="24"/>
          <w:szCs w:val="24"/>
        </w:rPr>
        <w:t>këtij</w:t>
      </w:r>
      <w:r w:rsidRPr="00DC66CD">
        <w:rPr>
          <w:rFonts w:ascii="Garamond" w:hAnsi="Garamond"/>
          <w:sz w:val="24"/>
          <w:szCs w:val="24"/>
        </w:rPr>
        <w:t xml:space="preserve"> kuadri</w:t>
      </w:r>
      <w:r w:rsidR="008E3A4F" w:rsidRPr="00DC66CD">
        <w:rPr>
          <w:rFonts w:ascii="Garamond" w:hAnsi="Garamond"/>
          <w:sz w:val="24"/>
          <w:szCs w:val="24"/>
        </w:rPr>
        <w:t>,</w:t>
      </w:r>
      <w:r w:rsidRPr="00DC66CD">
        <w:rPr>
          <w:rFonts w:ascii="Garamond" w:hAnsi="Garamond"/>
          <w:sz w:val="24"/>
          <w:szCs w:val="24"/>
        </w:rPr>
        <w:t xml:space="preserve"> në mënyrë që këto prioritete të adresohen në mënyrë efektive. Edhe pse janë bërë ndryshime në </w:t>
      </w:r>
      <w:r w:rsidR="008E3A4F" w:rsidRPr="00DC66CD">
        <w:rPr>
          <w:rFonts w:ascii="Garamond" w:hAnsi="Garamond"/>
          <w:sz w:val="24"/>
          <w:szCs w:val="24"/>
        </w:rPr>
        <w:t>strategji</w:t>
      </w:r>
      <w:r w:rsidRPr="00DC66CD">
        <w:rPr>
          <w:rFonts w:ascii="Garamond" w:hAnsi="Garamond"/>
          <w:sz w:val="24"/>
          <w:szCs w:val="24"/>
        </w:rPr>
        <w:t xml:space="preserve">, themeli mbetet i njëjtë me vizionin dhe objektivin e përgjithshëm që ruhet: </w:t>
      </w:r>
    </w:p>
    <w:p w14:paraId="00D53B9A" w14:textId="1535DA7B"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Vizioni i Strategjisë së Reformës së MFP</w:t>
      </w:r>
      <w:r w:rsidR="008E3A4F" w:rsidRPr="00DC66CD">
        <w:rPr>
          <w:rFonts w:ascii="Garamond" w:hAnsi="Garamond"/>
          <w:sz w:val="24"/>
          <w:szCs w:val="24"/>
        </w:rPr>
        <w:t>-së</w:t>
      </w:r>
      <w:r w:rsidRPr="00DC66CD">
        <w:rPr>
          <w:rFonts w:ascii="Garamond" w:hAnsi="Garamond"/>
          <w:sz w:val="24"/>
          <w:szCs w:val="24"/>
        </w:rPr>
        <w:t xml:space="preserve"> është të sigurojë një sistem të financave publike që promovon transparencën, përgjegjshmërinë, disiplinën fiskale dhe efikasitetin në menaxhimin dhe përdorimin e burimeve publike për ofrimin e shërbimeve më të mira dhe zhvillimin ekonomik.</w:t>
      </w:r>
    </w:p>
    <w:p w14:paraId="0F5C3DFE" w14:textId="542F264E"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Objektivi i përgjithshëm i Strategjisë së Reformës së MFP-së është të arrihet një buxhet më i balancuar dhe i qëndrueshëm me një raport të zvogëluar të borxhit përmes menaxhimit më të fortë financiar dhe proceseve të kontrollit dhe auditimit dhe</w:t>
      </w:r>
      <w:r w:rsidR="008E3A4F" w:rsidRPr="00DC66CD">
        <w:rPr>
          <w:rFonts w:ascii="Garamond" w:hAnsi="Garamond"/>
          <w:sz w:val="24"/>
          <w:szCs w:val="24"/>
        </w:rPr>
        <w:t>,</w:t>
      </w:r>
      <w:r w:rsidRPr="00DC66CD">
        <w:rPr>
          <w:rFonts w:ascii="Garamond" w:hAnsi="Garamond"/>
          <w:sz w:val="24"/>
          <w:szCs w:val="24"/>
        </w:rPr>
        <w:t xml:space="preserve"> kur ekzekutimi i buxhetit është i lidhur siç duhet me politikat e qeverisë. Strategjia është riorganizuar për të reflektuar prioritetet në ndryshim të reformave të MFP-së</w:t>
      </w:r>
      <w:r w:rsidR="008E3A4F" w:rsidRPr="00DC66CD">
        <w:rPr>
          <w:rFonts w:ascii="Garamond" w:hAnsi="Garamond"/>
          <w:sz w:val="24"/>
          <w:szCs w:val="24"/>
        </w:rPr>
        <w:t>,</w:t>
      </w:r>
      <w:r w:rsidRPr="00DC66CD">
        <w:rPr>
          <w:rFonts w:ascii="Garamond" w:hAnsi="Garamond"/>
          <w:sz w:val="24"/>
          <w:szCs w:val="24"/>
        </w:rPr>
        <w:t xml:space="preserve"> që nga viti 2014</w:t>
      </w:r>
      <w:r w:rsidR="008E3A4F" w:rsidRPr="00DC66CD">
        <w:rPr>
          <w:rFonts w:ascii="Garamond" w:hAnsi="Garamond"/>
          <w:sz w:val="24"/>
          <w:szCs w:val="24"/>
        </w:rPr>
        <w:t>,</w:t>
      </w:r>
      <w:r w:rsidRPr="00DC66CD">
        <w:rPr>
          <w:rFonts w:ascii="Garamond" w:hAnsi="Garamond"/>
          <w:sz w:val="24"/>
          <w:szCs w:val="24"/>
        </w:rPr>
        <w:t xml:space="preserve"> dhe tani adresohet përmes shtatë (jo gjashtë) </w:t>
      </w:r>
      <w:r w:rsidR="008E3A4F" w:rsidRPr="00DC66CD">
        <w:rPr>
          <w:rFonts w:ascii="Garamond" w:hAnsi="Garamond"/>
          <w:sz w:val="24"/>
          <w:szCs w:val="24"/>
        </w:rPr>
        <w:t>“Objektivave specifikë”</w:t>
      </w:r>
      <w:r w:rsidRPr="00DC66CD">
        <w:rPr>
          <w:rFonts w:ascii="Garamond" w:hAnsi="Garamond"/>
          <w:sz w:val="24"/>
          <w:szCs w:val="24"/>
        </w:rPr>
        <w:t xml:space="preserve">(më parë </w:t>
      </w:r>
      <w:r w:rsidR="008E3A4F" w:rsidRPr="00DC66CD">
        <w:rPr>
          <w:rFonts w:ascii="Garamond" w:hAnsi="Garamond"/>
          <w:sz w:val="24"/>
          <w:szCs w:val="24"/>
        </w:rPr>
        <w:t>shtyllat</w:t>
      </w:r>
      <w:r w:rsidRPr="00DC66CD">
        <w:rPr>
          <w:rFonts w:ascii="Garamond" w:hAnsi="Garamond"/>
          <w:sz w:val="24"/>
          <w:szCs w:val="24"/>
        </w:rPr>
        <w:t>)</w:t>
      </w:r>
      <w:r w:rsidR="008E3A4F" w:rsidRPr="00DC66CD">
        <w:rPr>
          <w:rFonts w:ascii="Garamond" w:hAnsi="Garamond"/>
          <w:sz w:val="24"/>
          <w:szCs w:val="24"/>
        </w:rPr>
        <w:t>,</w:t>
      </w:r>
      <w:r w:rsidRPr="00DC66CD">
        <w:rPr>
          <w:rFonts w:ascii="Garamond" w:hAnsi="Garamond"/>
          <w:sz w:val="24"/>
          <w:szCs w:val="24"/>
        </w:rPr>
        <w:t xml:space="preserve"> në përputhje me kuadrin e rishikuar strategjik të planifikimit dhe monitorimit që është prezantuar së fundmi nga Kryeministria (KM): </w:t>
      </w:r>
    </w:p>
    <w:p w14:paraId="31C4D621" w14:textId="044DC221"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i/>
          <w:sz w:val="24"/>
          <w:szCs w:val="24"/>
        </w:rPr>
        <w:t>Objektivi specifik 1</w:t>
      </w:r>
      <w:r w:rsidR="008E3A4F" w:rsidRPr="00DC66CD">
        <w:rPr>
          <w:rFonts w:ascii="Garamond" w:hAnsi="Garamond"/>
          <w:i/>
          <w:sz w:val="24"/>
          <w:szCs w:val="24"/>
        </w:rPr>
        <w:t xml:space="preserve">. </w:t>
      </w:r>
      <w:r w:rsidRPr="00DC66CD">
        <w:rPr>
          <w:rFonts w:ascii="Garamond" w:hAnsi="Garamond"/>
          <w:sz w:val="24"/>
          <w:szCs w:val="24"/>
        </w:rPr>
        <w:t xml:space="preserve">Kuadri fiskal i qëndrueshëm dhe i matur. Përmes këtij objektivi, </w:t>
      </w:r>
      <w:r w:rsidR="008E3A4F" w:rsidRPr="00DC66CD">
        <w:rPr>
          <w:rFonts w:ascii="Garamond" w:hAnsi="Garamond"/>
          <w:sz w:val="24"/>
          <w:szCs w:val="24"/>
        </w:rPr>
        <w:t xml:space="preserve">qeveria </w:t>
      </w:r>
      <w:r w:rsidRPr="00DC66CD">
        <w:rPr>
          <w:rFonts w:ascii="Garamond" w:hAnsi="Garamond"/>
          <w:sz w:val="24"/>
          <w:szCs w:val="24"/>
        </w:rPr>
        <w:t>pret që të ketë një kuadër të kujdesshëm makroekonomik dhe politikë fiskale që synon uljen e raportit të borxhit/PBB-së</w:t>
      </w:r>
      <w:r w:rsidR="008E3A4F" w:rsidRPr="00DC66CD">
        <w:rPr>
          <w:rFonts w:ascii="Garamond" w:hAnsi="Garamond"/>
          <w:sz w:val="24"/>
          <w:szCs w:val="24"/>
        </w:rPr>
        <w:t>,</w:t>
      </w:r>
      <w:r w:rsidRPr="00DC66CD">
        <w:rPr>
          <w:rFonts w:ascii="Garamond" w:hAnsi="Garamond"/>
          <w:sz w:val="24"/>
          <w:szCs w:val="24"/>
        </w:rPr>
        <w:t xml:space="preserve"> për një periudhë afatmesme në 60 për</w:t>
      </w:r>
      <w:r w:rsidR="008E3A4F" w:rsidRPr="00DC66CD">
        <w:rPr>
          <w:rFonts w:ascii="Garamond" w:hAnsi="Garamond"/>
          <w:sz w:val="24"/>
          <w:szCs w:val="24"/>
        </w:rPr>
        <w:t xml:space="preserve"> </w:t>
      </w:r>
      <w:r w:rsidRPr="00DC66CD">
        <w:rPr>
          <w:rFonts w:ascii="Garamond" w:hAnsi="Garamond"/>
          <w:sz w:val="24"/>
          <w:szCs w:val="24"/>
        </w:rPr>
        <w:t>qind dhe të mbajë në mënyrë më efektive risqet fiskale.</w:t>
      </w:r>
    </w:p>
    <w:p w14:paraId="24AE376C" w14:textId="35998523"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i/>
          <w:sz w:val="24"/>
          <w:szCs w:val="24"/>
        </w:rPr>
        <w:t>Objektivi specifik 2</w:t>
      </w:r>
      <w:r w:rsidR="008E3A4F" w:rsidRPr="00DC66CD">
        <w:rPr>
          <w:rFonts w:ascii="Garamond" w:hAnsi="Garamond"/>
          <w:i/>
          <w:sz w:val="24"/>
          <w:szCs w:val="24"/>
        </w:rPr>
        <w:t>.</w:t>
      </w:r>
      <w:r w:rsidRPr="00DC66CD">
        <w:rPr>
          <w:rFonts w:ascii="Garamond" w:hAnsi="Garamond"/>
          <w:sz w:val="24"/>
          <w:szCs w:val="24"/>
        </w:rPr>
        <w:t xml:space="preserve"> Planifikim i integruar dhe efikas. Qeveria njeh nevojën për të përafruar më tej dokumentet kryesore të planifikimit të qeverisë, të tilla si Strategjia Kombëtare për Zhvillim dhe Integrim (SKZHI-II), Strategjitë Sektoriale dhe Programi Buxhetor Afatmesëm (PBA), që janë në fokus të </w:t>
      </w:r>
      <w:r w:rsidR="00486CD6" w:rsidRPr="00DC66CD">
        <w:rPr>
          <w:rFonts w:ascii="Garamond" w:hAnsi="Garamond"/>
          <w:sz w:val="24"/>
          <w:szCs w:val="24"/>
        </w:rPr>
        <w:t xml:space="preserve">objektivit specifik </w:t>
      </w:r>
      <w:r w:rsidRPr="00DC66CD">
        <w:rPr>
          <w:rFonts w:ascii="Garamond" w:hAnsi="Garamond"/>
          <w:sz w:val="24"/>
          <w:szCs w:val="24"/>
        </w:rPr>
        <w:t>2. Proceset e buxhetit vjetor dhe PBA-së do të vazhdojnë të përmirësohen dhe detyrimet e prapambetura do të minimizohen. Gjithashtu është e rëndësishme që Menaxhimi i Investimeve Publike (PIM) të drejtohet ndërmjet MFE</w:t>
      </w:r>
      <w:r w:rsidR="00486CD6" w:rsidRPr="00DC66CD">
        <w:rPr>
          <w:rFonts w:ascii="Garamond" w:hAnsi="Garamond"/>
          <w:sz w:val="24"/>
          <w:szCs w:val="24"/>
        </w:rPr>
        <w:t>-së</w:t>
      </w:r>
      <w:r w:rsidRPr="00DC66CD">
        <w:rPr>
          <w:rFonts w:ascii="Garamond" w:hAnsi="Garamond"/>
          <w:sz w:val="24"/>
          <w:szCs w:val="24"/>
        </w:rPr>
        <w:t xml:space="preserve"> dhe KM</w:t>
      </w:r>
      <w:r w:rsidR="00486CD6" w:rsidRPr="00DC66CD">
        <w:rPr>
          <w:rFonts w:ascii="Garamond" w:hAnsi="Garamond"/>
          <w:sz w:val="24"/>
          <w:szCs w:val="24"/>
        </w:rPr>
        <w:t>-së</w:t>
      </w:r>
      <w:r w:rsidRPr="00DC66CD">
        <w:rPr>
          <w:rFonts w:ascii="Garamond" w:hAnsi="Garamond"/>
          <w:sz w:val="24"/>
          <w:szCs w:val="24"/>
        </w:rPr>
        <w:t xml:space="preserve"> dhe që mbikëqyrja të forcohet. </w:t>
      </w:r>
    </w:p>
    <w:p w14:paraId="3522E36F" w14:textId="547DC1F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i/>
          <w:sz w:val="24"/>
          <w:szCs w:val="24"/>
        </w:rPr>
        <w:t>Objektivi specifik 3</w:t>
      </w:r>
      <w:r w:rsidR="008E3A4F" w:rsidRPr="00DC66CD">
        <w:rPr>
          <w:rFonts w:ascii="Garamond" w:hAnsi="Garamond"/>
          <w:i/>
          <w:sz w:val="24"/>
          <w:szCs w:val="24"/>
        </w:rPr>
        <w:t>.</w:t>
      </w:r>
      <w:r w:rsidR="00486CD6" w:rsidRPr="00DC66CD">
        <w:rPr>
          <w:rFonts w:ascii="Garamond" w:hAnsi="Garamond"/>
          <w:i/>
          <w:sz w:val="24"/>
          <w:szCs w:val="24"/>
        </w:rPr>
        <w:t xml:space="preserve"> </w:t>
      </w:r>
      <w:r w:rsidRPr="00DC66CD">
        <w:rPr>
          <w:rFonts w:ascii="Garamond" w:hAnsi="Garamond"/>
          <w:sz w:val="24"/>
          <w:szCs w:val="24"/>
        </w:rPr>
        <w:t xml:space="preserve">Mobilizimi i të ardhurave. Fokusi i </w:t>
      </w:r>
      <w:r w:rsidR="00486CD6" w:rsidRPr="00DC66CD">
        <w:rPr>
          <w:rFonts w:ascii="Garamond" w:hAnsi="Garamond"/>
          <w:sz w:val="24"/>
          <w:szCs w:val="24"/>
        </w:rPr>
        <w:t xml:space="preserve">objektivit specifik </w:t>
      </w:r>
      <w:r w:rsidRPr="00DC66CD">
        <w:rPr>
          <w:rFonts w:ascii="Garamond" w:hAnsi="Garamond"/>
          <w:sz w:val="24"/>
          <w:szCs w:val="24"/>
        </w:rPr>
        <w:t>3 është rritja e mobilizimit të të ardhurave me përmirësim të efikasitetit në mbledhjen e burimeve të të ardhurave</w:t>
      </w:r>
      <w:r w:rsidR="00486CD6" w:rsidRPr="00DC66CD">
        <w:rPr>
          <w:rFonts w:ascii="Garamond" w:hAnsi="Garamond"/>
          <w:sz w:val="24"/>
          <w:szCs w:val="24"/>
        </w:rPr>
        <w:t>,</w:t>
      </w:r>
      <w:r w:rsidRPr="00DC66CD">
        <w:rPr>
          <w:rFonts w:ascii="Garamond" w:hAnsi="Garamond"/>
          <w:sz w:val="24"/>
          <w:szCs w:val="24"/>
        </w:rPr>
        <w:t xml:space="preserve"> që përfshijnë si tatimet dhe doganat që çojnë në një stabilitet më të madh në financimin e buxhetit në nivelin kombëtar dhe atë të qeverisjes vendore (QV). Informaliteti gjithashtu do të zvogëlohet.</w:t>
      </w:r>
    </w:p>
    <w:p w14:paraId="29E4DE2F" w14:textId="7E488A3C"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i/>
          <w:sz w:val="24"/>
          <w:szCs w:val="24"/>
        </w:rPr>
        <w:t>Objektivi specifik 4</w:t>
      </w:r>
      <w:r w:rsidR="00587BFB" w:rsidRPr="00DC66CD">
        <w:rPr>
          <w:rFonts w:ascii="Garamond" w:hAnsi="Garamond"/>
          <w:i/>
          <w:sz w:val="24"/>
          <w:szCs w:val="24"/>
        </w:rPr>
        <w:t>.</w:t>
      </w:r>
      <w:r w:rsidRPr="00DC66CD">
        <w:rPr>
          <w:rFonts w:ascii="Garamond" w:hAnsi="Garamond"/>
          <w:i/>
          <w:sz w:val="24"/>
          <w:szCs w:val="24"/>
        </w:rPr>
        <w:t xml:space="preserve"> </w:t>
      </w:r>
      <w:r w:rsidRPr="00DC66CD">
        <w:rPr>
          <w:rFonts w:ascii="Garamond" w:hAnsi="Garamond"/>
          <w:sz w:val="24"/>
          <w:szCs w:val="24"/>
        </w:rPr>
        <w:t xml:space="preserve">Ekzekutimi efektiv i </w:t>
      </w:r>
      <w:r w:rsidR="00587BFB" w:rsidRPr="00DC66CD">
        <w:rPr>
          <w:rFonts w:ascii="Garamond" w:hAnsi="Garamond"/>
          <w:sz w:val="24"/>
          <w:szCs w:val="24"/>
        </w:rPr>
        <w:t>buxhetit</w:t>
      </w:r>
      <w:r w:rsidRPr="00DC66CD">
        <w:rPr>
          <w:rFonts w:ascii="Garamond" w:hAnsi="Garamond"/>
          <w:sz w:val="24"/>
          <w:szCs w:val="24"/>
        </w:rPr>
        <w:t>. Do të fokusohet në integrimin e plotë të Sistemit të Informacionit të Menaxhimit Financiar (SIMF) me sistemet e tjera të MFP-së, duke minimizuar operacionet manuale dhe duke siguruar më shumë saktësi dhe afat për raportimin e të gjitha operacioneve financiare të qeverisë. Qëllimi i tij i përgjithshëm është të sigurojë përdorim efikas dhe efektiv të burimeve buxhetore të miratuara. Ndërhyrjet do të synojnë minimizimin e detyrimeve të prapambetur</w:t>
      </w:r>
      <w:r w:rsidR="00587BFB" w:rsidRPr="00DC66CD">
        <w:rPr>
          <w:rFonts w:ascii="Garamond" w:hAnsi="Garamond"/>
          <w:sz w:val="24"/>
          <w:szCs w:val="24"/>
        </w:rPr>
        <w:t xml:space="preserve">a; të ulin kostot e huamarrjes </w:t>
      </w:r>
      <w:r w:rsidRPr="00DC66CD">
        <w:rPr>
          <w:rFonts w:ascii="Garamond" w:hAnsi="Garamond"/>
          <w:sz w:val="24"/>
          <w:szCs w:val="24"/>
        </w:rPr>
        <w:t>dhe rritjen e efikasitetit dhe transparencës së sistemit të prokurimit.</w:t>
      </w:r>
    </w:p>
    <w:p w14:paraId="62AC3242" w14:textId="767261FB"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i/>
          <w:sz w:val="24"/>
          <w:szCs w:val="24"/>
        </w:rPr>
        <w:t>Objektivi Specifik 5</w:t>
      </w:r>
      <w:r w:rsidR="00587BFB" w:rsidRPr="00DC66CD">
        <w:rPr>
          <w:rFonts w:ascii="Garamond" w:hAnsi="Garamond"/>
          <w:sz w:val="24"/>
          <w:szCs w:val="24"/>
        </w:rPr>
        <w:t>.</w:t>
      </w:r>
      <w:r w:rsidRPr="00DC66CD">
        <w:rPr>
          <w:rFonts w:ascii="Garamond" w:hAnsi="Garamond"/>
          <w:sz w:val="24"/>
          <w:szCs w:val="24"/>
        </w:rPr>
        <w:t xml:space="preserve"> Transparenca e </w:t>
      </w:r>
      <w:r w:rsidR="00587BFB" w:rsidRPr="00DC66CD">
        <w:rPr>
          <w:rFonts w:ascii="Garamond" w:hAnsi="Garamond"/>
          <w:sz w:val="24"/>
          <w:szCs w:val="24"/>
        </w:rPr>
        <w:t>financave publike</w:t>
      </w:r>
      <w:r w:rsidRPr="00DC66CD">
        <w:rPr>
          <w:rFonts w:ascii="Garamond" w:hAnsi="Garamond"/>
          <w:sz w:val="24"/>
          <w:szCs w:val="24"/>
        </w:rPr>
        <w:t xml:space="preserve">. Ky objektiv kërkon përgjegjëshmëri dhe transparencë të </w:t>
      </w:r>
      <w:r w:rsidR="00587BFB" w:rsidRPr="00DC66CD">
        <w:rPr>
          <w:rFonts w:ascii="Garamond" w:hAnsi="Garamond"/>
          <w:sz w:val="24"/>
          <w:szCs w:val="24"/>
        </w:rPr>
        <w:t>përmirësuar</w:t>
      </w:r>
      <w:r w:rsidRPr="00DC66CD">
        <w:rPr>
          <w:rFonts w:ascii="Garamond" w:hAnsi="Garamond"/>
          <w:sz w:val="24"/>
          <w:szCs w:val="24"/>
        </w:rPr>
        <w:t xml:space="preserve"> nëpërmjet raportimit më të mirë të performancës financiare dhe jofinanciare, në përputhje me standardet ndërkombëtare për të përmirësuar mbulimin, cilësinë dhe aksesin e informacionit mbi financat publike. Përpjekje të mëtejshme do të bëhen për të përfshirë publikun në procesin e buxhetimit.</w:t>
      </w:r>
    </w:p>
    <w:p w14:paraId="3C23DCE1" w14:textId="5F6F3EF0"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i/>
          <w:sz w:val="24"/>
          <w:szCs w:val="24"/>
        </w:rPr>
        <w:t>Objektivi specifik 6</w:t>
      </w:r>
      <w:r w:rsidR="00587BFB" w:rsidRPr="00DC66CD">
        <w:rPr>
          <w:rFonts w:ascii="Garamond" w:hAnsi="Garamond"/>
          <w:sz w:val="24"/>
          <w:szCs w:val="24"/>
        </w:rPr>
        <w:t>.</w:t>
      </w:r>
      <w:r w:rsidRPr="00DC66CD">
        <w:rPr>
          <w:rFonts w:ascii="Garamond" w:hAnsi="Garamond"/>
          <w:sz w:val="24"/>
          <w:szCs w:val="24"/>
        </w:rPr>
        <w:t xml:space="preserve"> Kontroll efektiv i brendshëm. Në fokus të këtij objektivi</w:t>
      </w:r>
      <w:r w:rsidR="0072211B" w:rsidRPr="00DC66CD">
        <w:rPr>
          <w:rFonts w:ascii="Garamond" w:hAnsi="Garamond"/>
          <w:sz w:val="24"/>
          <w:szCs w:val="24"/>
        </w:rPr>
        <w:t xml:space="preserve"> </w:t>
      </w:r>
      <w:r w:rsidRPr="00DC66CD">
        <w:rPr>
          <w:rFonts w:ascii="Garamond" w:hAnsi="Garamond"/>
          <w:sz w:val="24"/>
          <w:szCs w:val="24"/>
        </w:rPr>
        <w:t>janë disiplina financiare, kontrolli dhe transparenca përmes Auditimit të Brendshëm (AB), Kontrollit të Menaxhimit Financiar (KMF) dhe Inspektimit Financiar Publik të përmirësuar dhe efikas në nivelet qendrore dhe vendore.</w:t>
      </w:r>
    </w:p>
    <w:p w14:paraId="3BB70D77" w14:textId="65863205"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i/>
          <w:sz w:val="24"/>
          <w:szCs w:val="24"/>
        </w:rPr>
        <w:t>Objektivi specifik 7</w:t>
      </w:r>
      <w:r w:rsidR="00587BFB" w:rsidRPr="00DC66CD">
        <w:rPr>
          <w:rFonts w:ascii="Garamond" w:hAnsi="Garamond"/>
          <w:i/>
          <w:sz w:val="24"/>
          <w:szCs w:val="24"/>
        </w:rPr>
        <w:t>.</w:t>
      </w:r>
      <w:r w:rsidRPr="00DC66CD">
        <w:rPr>
          <w:rFonts w:ascii="Garamond" w:hAnsi="Garamond"/>
          <w:sz w:val="24"/>
          <w:szCs w:val="24"/>
        </w:rPr>
        <w:t xml:space="preserve"> Mbikëqyrja efektive e jashtme e financave publike. Së fundmi, ky objektiv kërkon të rrisë mbikëqyrjen efektive të jashtme të financave publike</w:t>
      </w:r>
      <w:r w:rsidR="004A1F99" w:rsidRPr="00DC66CD">
        <w:rPr>
          <w:rFonts w:ascii="Garamond" w:hAnsi="Garamond"/>
          <w:sz w:val="24"/>
          <w:szCs w:val="24"/>
        </w:rPr>
        <w:t>,</w:t>
      </w:r>
      <w:r w:rsidRPr="00DC66CD">
        <w:rPr>
          <w:rFonts w:ascii="Garamond" w:hAnsi="Garamond"/>
          <w:sz w:val="24"/>
          <w:szCs w:val="24"/>
        </w:rPr>
        <w:t xml:space="preserve"> duke rritur aftësinë e Institucionit Suprem të Auditimit të Shqipërisë (ALSAI) (i njohur si Kontrolli i Lartë i Shtetit (KLSH)). Auditimet financiare dhe të performancës do të rriten, kështu që vlera dhe përfitimet e tyre për shoqërinë mund të maksimizohen.</w:t>
      </w:r>
    </w:p>
    <w:p w14:paraId="3C78D81C" w14:textId="0CDDCE2F"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sz w:val="24"/>
          <w:szCs w:val="24"/>
        </w:rPr>
        <w:t xml:space="preserve">Në kuadër të zbatimit të </w:t>
      </w:r>
      <w:r w:rsidR="004A1F99" w:rsidRPr="00DC66CD">
        <w:rPr>
          <w:rFonts w:ascii="Garamond" w:eastAsia="Times New Roman" w:hAnsi="Garamond"/>
          <w:sz w:val="24"/>
          <w:szCs w:val="24"/>
        </w:rPr>
        <w:t xml:space="preserve">strategjisë </w:t>
      </w:r>
      <w:r w:rsidRPr="00DC66CD">
        <w:rPr>
          <w:rFonts w:ascii="Garamond" w:eastAsia="Times New Roman" w:hAnsi="Garamond"/>
          <w:sz w:val="24"/>
          <w:szCs w:val="24"/>
        </w:rPr>
        <w:t>së MFP-së</w:t>
      </w:r>
      <w:r w:rsidR="004A1F99" w:rsidRPr="00DC66CD">
        <w:rPr>
          <w:rFonts w:ascii="Garamond" w:eastAsia="Times New Roman" w:hAnsi="Garamond"/>
          <w:sz w:val="24"/>
          <w:szCs w:val="24"/>
        </w:rPr>
        <w:t>,</w:t>
      </w:r>
      <w:r w:rsidRPr="00DC66CD">
        <w:rPr>
          <w:rFonts w:ascii="Garamond" w:eastAsia="Times New Roman" w:hAnsi="Garamond"/>
          <w:sz w:val="24"/>
          <w:szCs w:val="24"/>
        </w:rPr>
        <w:t xml:space="preserve"> 2019</w:t>
      </w:r>
      <w:r w:rsidR="004A1F99" w:rsidRPr="00DC66CD">
        <w:t>–</w:t>
      </w:r>
      <w:r w:rsidRPr="00DC66CD">
        <w:rPr>
          <w:rFonts w:ascii="Garamond" w:eastAsia="Times New Roman" w:hAnsi="Garamond"/>
          <w:sz w:val="24"/>
          <w:szCs w:val="24"/>
        </w:rPr>
        <w:t xml:space="preserve">2022, </w:t>
      </w:r>
      <w:r w:rsidR="002210DD" w:rsidRPr="00DC66CD">
        <w:rPr>
          <w:rFonts w:ascii="Garamond" w:eastAsia="Times New Roman" w:hAnsi="Garamond"/>
          <w:sz w:val="24"/>
          <w:szCs w:val="24"/>
        </w:rPr>
        <w:t xml:space="preserve">qeveria </w:t>
      </w:r>
      <w:r w:rsidRPr="00DC66CD">
        <w:rPr>
          <w:rFonts w:ascii="Garamond" w:eastAsia="Times New Roman" w:hAnsi="Garamond"/>
          <w:sz w:val="24"/>
          <w:szCs w:val="24"/>
        </w:rPr>
        <w:t xml:space="preserve">e Shqipërisë do të promovojë dhe </w:t>
      </w:r>
      <w:r w:rsidR="002210DD" w:rsidRPr="00DC66CD">
        <w:rPr>
          <w:rFonts w:ascii="Garamond" w:eastAsia="Times New Roman" w:hAnsi="Garamond"/>
          <w:sz w:val="24"/>
          <w:szCs w:val="24"/>
        </w:rPr>
        <w:t xml:space="preserve">do të </w:t>
      </w:r>
      <w:r w:rsidRPr="00DC66CD">
        <w:rPr>
          <w:rFonts w:ascii="Garamond" w:eastAsia="Times New Roman" w:hAnsi="Garamond"/>
          <w:sz w:val="24"/>
          <w:szCs w:val="24"/>
        </w:rPr>
        <w:t>thellojë reformat për të përshpejtuar zbatimin e tyre dhe për të përmbushur objektivat gjatë 2019</w:t>
      </w:r>
      <w:r w:rsidR="002210DD" w:rsidRPr="00DC66CD">
        <w:t>–</w:t>
      </w:r>
      <w:r w:rsidRPr="00DC66CD">
        <w:rPr>
          <w:rFonts w:ascii="Garamond" w:eastAsia="Times New Roman" w:hAnsi="Garamond"/>
          <w:sz w:val="24"/>
          <w:szCs w:val="24"/>
        </w:rPr>
        <w:t xml:space="preserve">2022. Fokusi i qeverisë në këtë dokument do të jetë: </w:t>
      </w:r>
      <w:r w:rsidR="002210DD" w:rsidRPr="00DC66CD">
        <w:rPr>
          <w:rFonts w:ascii="Garamond" w:eastAsia="Times New Roman" w:hAnsi="Garamond"/>
          <w:sz w:val="24"/>
          <w:szCs w:val="24"/>
        </w:rPr>
        <w:t>u</w:t>
      </w:r>
      <w:r w:rsidRPr="00DC66CD">
        <w:rPr>
          <w:rFonts w:ascii="Garamond" w:eastAsia="Times New Roman" w:hAnsi="Garamond"/>
          <w:sz w:val="24"/>
          <w:szCs w:val="24"/>
        </w:rPr>
        <w:t xml:space="preserve">lja e borxhit publik; </w:t>
      </w:r>
      <w:r w:rsidR="002210DD" w:rsidRPr="00DC66CD">
        <w:rPr>
          <w:rFonts w:ascii="Garamond" w:eastAsia="Times New Roman" w:hAnsi="Garamond"/>
          <w:sz w:val="24"/>
          <w:szCs w:val="24"/>
        </w:rPr>
        <w:t>s</w:t>
      </w:r>
      <w:r w:rsidRPr="00DC66CD">
        <w:rPr>
          <w:rFonts w:ascii="Garamond" w:eastAsia="Times New Roman" w:hAnsi="Garamond"/>
          <w:sz w:val="24"/>
          <w:szCs w:val="24"/>
        </w:rPr>
        <w:t xml:space="preserve">hlyerja dhe parandalimi i detyrimeve të prapambetura; </w:t>
      </w:r>
      <w:r w:rsidR="002210DD" w:rsidRPr="00DC66CD">
        <w:rPr>
          <w:rFonts w:ascii="Garamond" w:eastAsia="Times New Roman" w:hAnsi="Garamond"/>
          <w:sz w:val="24"/>
          <w:szCs w:val="24"/>
        </w:rPr>
        <w:t>m</w:t>
      </w:r>
      <w:r w:rsidRPr="00DC66CD">
        <w:rPr>
          <w:rFonts w:ascii="Garamond" w:eastAsia="Times New Roman" w:hAnsi="Garamond"/>
          <w:sz w:val="24"/>
          <w:szCs w:val="24"/>
        </w:rPr>
        <w:t xml:space="preserve">obilizim i vazhdueshëm për të mbledhur të ardhurat nga tatimet dhe doganat; </w:t>
      </w:r>
      <w:r w:rsidR="002210DD" w:rsidRPr="00DC66CD">
        <w:rPr>
          <w:rFonts w:ascii="Garamond" w:eastAsia="Times New Roman" w:hAnsi="Garamond"/>
          <w:sz w:val="24"/>
          <w:szCs w:val="24"/>
        </w:rPr>
        <w:t>t</w:t>
      </w:r>
      <w:r w:rsidRPr="00DC66CD">
        <w:rPr>
          <w:rFonts w:ascii="Garamond" w:eastAsia="Times New Roman" w:hAnsi="Garamond"/>
          <w:sz w:val="24"/>
          <w:szCs w:val="24"/>
        </w:rPr>
        <w:t xml:space="preserve">ë përmirësojë menaxhimin e projekteve të investimeve publike përfshirë partneritetet publike dhe koncesionet; </w:t>
      </w:r>
      <w:r w:rsidR="002210DD" w:rsidRPr="00DC66CD">
        <w:rPr>
          <w:rFonts w:ascii="Garamond" w:eastAsia="Times New Roman" w:hAnsi="Garamond"/>
          <w:sz w:val="24"/>
          <w:szCs w:val="24"/>
        </w:rPr>
        <w:t>s</w:t>
      </w:r>
      <w:r w:rsidRPr="00DC66CD">
        <w:rPr>
          <w:rFonts w:ascii="Garamond" w:eastAsia="Times New Roman" w:hAnsi="Garamond"/>
          <w:sz w:val="24"/>
          <w:szCs w:val="24"/>
        </w:rPr>
        <w:t xml:space="preserve">igurimi i një lidhje më të mirë të planeve strategjike me Programin Buxhetor Afatmesëm; </w:t>
      </w:r>
      <w:r w:rsidR="002210DD" w:rsidRPr="00DC66CD">
        <w:rPr>
          <w:rFonts w:ascii="Garamond" w:eastAsia="Times New Roman" w:hAnsi="Garamond"/>
          <w:sz w:val="24"/>
          <w:szCs w:val="24"/>
        </w:rPr>
        <w:t>n</w:t>
      </w:r>
      <w:r w:rsidRPr="00DC66CD">
        <w:rPr>
          <w:rFonts w:ascii="Garamond" w:eastAsia="Times New Roman" w:hAnsi="Garamond"/>
          <w:sz w:val="24"/>
          <w:szCs w:val="24"/>
        </w:rPr>
        <w:t xml:space="preserve">jë angazhim më i strukturuar dhe në kohë me qytetarët, organizatat e shoqërisë civile dhe akademinë për planifikimin, monitorimin dhe raportimin e buxhetit; </w:t>
      </w:r>
      <w:r w:rsidR="002210DD" w:rsidRPr="00DC66CD">
        <w:rPr>
          <w:rFonts w:ascii="Garamond" w:eastAsia="Times New Roman" w:hAnsi="Garamond"/>
          <w:sz w:val="24"/>
          <w:szCs w:val="24"/>
        </w:rPr>
        <w:t>r</w:t>
      </w:r>
      <w:r w:rsidRPr="00DC66CD">
        <w:rPr>
          <w:rFonts w:ascii="Garamond" w:eastAsia="Times New Roman" w:hAnsi="Garamond"/>
          <w:sz w:val="24"/>
          <w:szCs w:val="24"/>
        </w:rPr>
        <w:t>ritje e përpjekjeve për të përmirësuar shkallën e zbatimit të rekomandimeve dhe gjetjeve të Kontrollit të Lartë të Shtetit.</w:t>
      </w:r>
    </w:p>
    <w:p w14:paraId="3ED3F13B" w14:textId="53BB1186" w:rsidR="006F605B" w:rsidRPr="00DC66CD" w:rsidRDefault="00E20355" w:rsidP="00E20355">
      <w:pPr>
        <w:pStyle w:val="TEKSTIIII"/>
        <w:rPr>
          <w:b/>
        </w:rPr>
      </w:pPr>
      <w:bookmarkStart w:id="27" w:name="_Toc484076181"/>
      <w:bookmarkStart w:id="28" w:name="_Toc30661226"/>
      <w:r w:rsidRPr="00DC66CD">
        <w:rPr>
          <w:b/>
        </w:rPr>
        <w:t xml:space="preserve">5. </w:t>
      </w:r>
      <w:r w:rsidR="006F605B" w:rsidRPr="00DC66CD">
        <w:rPr>
          <w:b/>
        </w:rPr>
        <w:t xml:space="preserve">REFORMAT STRUKTURORE PARËSORE </w:t>
      </w:r>
      <w:r w:rsidR="002210DD" w:rsidRPr="00DC66CD">
        <w:rPr>
          <w:b/>
        </w:rPr>
        <w:t>M</w:t>
      </w:r>
      <w:r w:rsidR="006F605B" w:rsidRPr="00DC66CD">
        <w:rPr>
          <w:b/>
        </w:rPr>
        <w:t>Ë 2020</w:t>
      </w:r>
      <w:r w:rsidR="002210DD" w:rsidRPr="00DC66CD">
        <w:rPr>
          <w:b/>
        </w:rPr>
        <w:t>–</w:t>
      </w:r>
      <w:r w:rsidR="006F605B" w:rsidRPr="00DC66CD">
        <w:rPr>
          <w:b/>
        </w:rPr>
        <w:t>202</w:t>
      </w:r>
      <w:bookmarkEnd w:id="27"/>
      <w:r w:rsidR="006F605B" w:rsidRPr="00DC66CD">
        <w:rPr>
          <w:b/>
        </w:rPr>
        <w:t>2</w:t>
      </w:r>
      <w:bookmarkEnd w:id="28"/>
    </w:p>
    <w:p w14:paraId="44B0EAD4" w14:textId="6E5735F5" w:rsidR="006F605B" w:rsidRPr="00DC66CD" w:rsidRDefault="00E20355" w:rsidP="00E20355">
      <w:pPr>
        <w:pStyle w:val="TEKSTIIII"/>
        <w:rPr>
          <w:b/>
        </w:rPr>
      </w:pPr>
      <w:bookmarkStart w:id="29" w:name="_Toc484076182"/>
      <w:bookmarkStart w:id="30" w:name="_Toc30661227"/>
      <w:r w:rsidRPr="00DC66CD">
        <w:rPr>
          <w:b/>
        </w:rPr>
        <w:t xml:space="preserve">5.1 </w:t>
      </w:r>
      <w:r w:rsidR="006F605B" w:rsidRPr="00DC66CD">
        <w:rPr>
          <w:b/>
        </w:rPr>
        <w:t xml:space="preserve">Identifikimi i pengesave kyçe për zhvillim dhe </w:t>
      </w:r>
      <w:r w:rsidR="002210DD" w:rsidRPr="00DC66CD">
        <w:rPr>
          <w:b/>
        </w:rPr>
        <w:t xml:space="preserve">për </w:t>
      </w:r>
      <w:r w:rsidR="006F605B" w:rsidRPr="00DC66CD">
        <w:rPr>
          <w:b/>
        </w:rPr>
        <w:t xml:space="preserve">konkurrueshmëri dhe </w:t>
      </w:r>
      <w:r w:rsidR="002210DD" w:rsidRPr="00DC66CD">
        <w:rPr>
          <w:b/>
        </w:rPr>
        <w:t xml:space="preserve">për </w:t>
      </w:r>
      <w:r w:rsidR="006F605B" w:rsidRPr="00DC66CD">
        <w:rPr>
          <w:b/>
        </w:rPr>
        <w:t>rritje përfshirëse</w:t>
      </w:r>
      <w:bookmarkEnd w:id="29"/>
      <w:bookmarkEnd w:id="30"/>
    </w:p>
    <w:p w14:paraId="522DA234" w14:textId="34148138" w:rsidR="006F605B" w:rsidRPr="00DC66CD" w:rsidRDefault="006F605B" w:rsidP="00E20355">
      <w:pPr>
        <w:pStyle w:val="TEKSTIIII"/>
        <w:rPr>
          <w:rFonts w:eastAsia="Times New Roman"/>
        </w:rPr>
      </w:pPr>
      <w:r w:rsidRPr="00DC66CD">
        <w:rPr>
          <w:rFonts w:eastAsia="Times New Roman"/>
        </w:rPr>
        <w:t xml:space="preserve">Programi i mëparshëm i Reformës Ekonomike (ERP) përvijoi diagnostikimin e hollësishëm të pengesave për konkurrencën dhe </w:t>
      </w:r>
      <w:r w:rsidR="00DB05B7" w:rsidRPr="00DC66CD">
        <w:rPr>
          <w:rFonts w:eastAsia="Times New Roman"/>
        </w:rPr>
        <w:t xml:space="preserve">për </w:t>
      </w:r>
      <w:r w:rsidRPr="00DC66CD">
        <w:rPr>
          <w:rFonts w:eastAsia="Times New Roman"/>
        </w:rPr>
        <w:t>rritjen e mëtejshme ekonomike dhe zhvillimin e Shqipërisë, dhe përfshiu masa reformash që synojnë adresimin e tyre. Për shkak të natyrës së këtyre reformave strukturore dhe pengesave që adresojnë, procesi pritet të vazhdojë në afat të gjatë.</w:t>
      </w:r>
    </w:p>
    <w:p w14:paraId="16C1F9DC" w14:textId="2EDD8DB6" w:rsidR="006F605B" w:rsidRPr="00DC66CD" w:rsidRDefault="006F605B" w:rsidP="006F605B">
      <w:pPr>
        <w:snapToGrid w:val="0"/>
        <w:spacing w:after="0" w:line="240" w:lineRule="auto"/>
        <w:ind w:firstLine="284"/>
        <w:jc w:val="both"/>
        <w:rPr>
          <w:rFonts w:ascii="Garamond" w:eastAsia="Times New Roman" w:hAnsi="Garamond"/>
          <w:sz w:val="24"/>
          <w:szCs w:val="24"/>
        </w:rPr>
      </w:pPr>
      <w:r w:rsidRPr="00DC66CD">
        <w:rPr>
          <w:rFonts w:ascii="Garamond" w:eastAsia="Times New Roman" w:hAnsi="Garamond"/>
          <w:sz w:val="24"/>
          <w:szCs w:val="24"/>
        </w:rPr>
        <w:t>Megjithëse raportet e ndryshme të prodhuara nga organizatat ndërkombëtare deklarojnë se konkurrenca e Shqipërisë është përmirësuar, janë identifikuar pengesa të cilat duhet të adresohen në mënyrë që të sigurohet zhvillimi i mëtejshëm në vend. Raporti i FMN-së i korrikut 2019 deklaroi se gjatë periudhës afatmesme, rritja e PBB-së parashikohet të rritet</w:t>
      </w:r>
      <w:r w:rsidR="006D27FF" w:rsidRPr="00DC66CD">
        <w:rPr>
          <w:rFonts w:ascii="Garamond" w:eastAsia="Times New Roman" w:hAnsi="Garamond"/>
          <w:sz w:val="24"/>
          <w:szCs w:val="24"/>
        </w:rPr>
        <w:t>,</w:t>
      </w:r>
      <w:r w:rsidRPr="00DC66CD">
        <w:rPr>
          <w:rFonts w:ascii="Garamond" w:eastAsia="Times New Roman" w:hAnsi="Garamond"/>
          <w:sz w:val="24"/>
          <w:szCs w:val="24"/>
        </w:rPr>
        <w:t xml:space="preserve"> pasi aktiviteti pritet të nxitet si pasojë e rritjes në BE, duke rritur pjesëmarrjes në tregun e punës, forcimin gradual të eksporteve përfshirë turizmin dhe investimet e nevojshme për ngushtimin e hendekut të madh të infrastrukturës së vendit. Për këtë qëllim, reformat strukturore në ata sektorë shihen si përparësi nga qeveria dhe do të vazhdojnë të përfshihen në ERP.</w:t>
      </w:r>
    </w:p>
    <w:p w14:paraId="2A9B1B87" w14:textId="25312E65" w:rsidR="006F605B" w:rsidRPr="00DC66CD" w:rsidRDefault="006F605B" w:rsidP="006F605B">
      <w:pPr>
        <w:snapToGrid w:val="0"/>
        <w:spacing w:after="0" w:line="240" w:lineRule="auto"/>
        <w:ind w:firstLine="284"/>
        <w:jc w:val="both"/>
        <w:rPr>
          <w:rFonts w:ascii="Garamond" w:eastAsia="Times New Roman" w:hAnsi="Garamond"/>
          <w:sz w:val="24"/>
          <w:szCs w:val="24"/>
        </w:rPr>
      </w:pPr>
      <w:r w:rsidRPr="00DC66CD">
        <w:rPr>
          <w:rFonts w:ascii="Garamond" w:eastAsia="Times New Roman" w:hAnsi="Garamond"/>
          <w:sz w:val="24"/>
          <w:szCs w:val="24"/>
        </w:rPr>
        <w:t xml:space="preserve">Raporti i </w:t>
      </w:r>
      <w:r w:rsidR="006D27FF" w:rsidRPr="00DC66CD">
        <w:rPr>
          <w:rFonts w:ascii="Garamond" w:eastAsia="Times New Roman" w:hAnsi="Garamond"/>
          <w:sz w:val="24"/>
          <w:szCs w:val="24"/>
        </w:rPr>
        <w:t xml:space="preserve">të bërit biznes </w:t>
      </w:r>
      <w:r w:rsidRPr="00DC66CD">
        <w:rPr>
          <w:rFonts w:ascii="Garamond" w:eastAsia="Times New Roman" w:hAnsi="Garamond"/>
          <w:sz w:val="24"/>
          <w:szCs w:val="24"/>
        </w:rPr>
        <w:t xml:space="preserve">2020 identifikoi pengesat në lidhje me përmirësimin e të bërit biznes dhe rritjen e konkurrencës së përgjithshme, ku ekonomia shqiptare duhet të përmirësohet në vijim: </w:t>
      </w:r>
      <w:r w:rsidR="002A29AD" w:rsidRPr="00DC66CD">
        <w:rPr>
          <w:rFonts w:ascii="Garamond" w:eastAsia="Times New Roman" w:hAnsi="Garamond"/>
          <w:sz w:val="24"/>
          <w:szCs w:val="24"/>
        </w:rPr>
        <w:t>“</w:t>
      </w:r>
      <w:r w:rsidRPr="00DC66CD">
        <w:rPr>
          <w:rFonts w:ascii="Garamond" w:eastAsia="Times New Roman" w:hAnsi="Garamond"/>
          <w:sz w:val="24"/>
          <w:szCs w:val="24"/>
        </w:rPr>
        <w:t>trajtimi i lejeve të ndërtimit</w:t>
      </w:r>
      <w:r w:rsidR="002A29AD" w:rsidRPr="00DC66CD">
        <w:rPr>
          <w:rFonts w:ascii="Garamond" w:eastAsia="Times New Roman" w:hAnsi="Garamond"/>
          <w:sz w:val="24"/>
          <w:szCs w:val="24"/>
        </w:rPr>
        <w:t>”</w:t>
      </w:r>
      <w:r w:rsidRPr="00DC66CD">
        <w:rPr>
          <w:rFonts w:ascii="Garamond" w:eastAsia="Times New Roman" w:hAnsi="Garamond"/>
          <w:sz w:val="24"/>
          <w:szCs w:val="24"/>
        </w:rPr>
        <w:t xml:space="preserve">, </w:t>
      </w:r>
      <w:r w:rsidR="002A29AD" w:rsidRPr="00DC66CD">
        <w:rPr>
          <w:rFonts w:ascii="Garamond" w:eastAsia="Times New Roman" w:hAnsi="Garamond"/>
          <w:sz w:val="24"/>
          <w:szCs w:val="24"/>
        </w:rPr>
        <w:t>“</w:t>
      </w:r>
      <w:r w:rsidRPr="00DC66CD">
        <w:rPr>
          <w:rFonts w:ascii="Garamond" w:eastAsia="Times New Roman" w:hAnsi="Garamond"/>
          <w:sz w:val="24"/>
          <w:szCs w:val="24"/>
        </w:rPr>
        <w:t>marrja e energjisë elektrike</w:t>
      </w:r>
      <w:r w:rsidR="002A29AD" w:rsidRPr="00DC66CD">
        <w:rPr>
          <w:rFonts w:ascii="Garamond" w:eastAsia="Times New Roman" w:hAnsi="Garamond"/>
          <w:sz w:val="24"/>
          <w:szCs w:val="24"/>
        </w:rPr>
        <w:t>”</w:t>
      </w:r>
      <w:r w:rsidRPr="00DC66CD">
        <w:rPr>
          <w:rFonts w:ascii="Garamond" w:eastAsia="Times New Roman" w:hAnsi="Garamond"/>
          <w:sz w:val="24"/>
          <w:szCs w:val="24"/>
        </w:rPr>
        <w:t xml:space="preserve">, </w:t>
      </w:r>
      <w:r w:rsidR="002A29AD" w:rsidRPr="00DC66CD">
        <w:rPr>
          <w:rFonts w:ascii="Garamond" w:eastAsia="Times New Roman" w:hAnsi="Garamond"/>
          <w:sz w:val="24"/>
          <w:szCs w:val="24"/>
        </w:rPr>
        <w:t>“</w:t>
      </w:r>
      <w:r w:rsidRPr="00DC66CD">
        <w:rPr>
          <w:rFonts w:ascii="Garamond" w:eastAsia="Times New Roman" w:hAnsi="Garamond"/>
          <w:sz w:val="24"/>
          <w:szCs w:val="24"/>
        </w:rPr>
        <w:t>regjistrimi i pronës</w:t>
      </w:r>
      <w:r w:rsidR="002A29AD" w:rsidRPr="00DC66CD">
        <w:rPr>
          <w:rFonts w:ascii="Garamond" w:eastAsia="Times New Roman" w:hAnsi="Garamond"/>
          <w:sz w:val="24"/>
          <w:szCs w:val="24"/>
        </w:rPr>
        <w:t>”</w:t>
      </w:r>
      <w:r w:rsidRPr="00DC66CD">
        <w:rPr>
          <w:rFonts w:ascii="Garamond" w:eastAsia="Times New Roman" w:hAnsi="Garamond"/>
          <w:sz w:val="24"/>
          <w:szCs w:val="24"/>
        </w:rPr>
        <w:t xml:space="preserve">, </w:t>
      </w:r>
      <w:r w:rsidR="002A29AD" w:rsidRPr="00DC66CD">
        <w:rPr>
          <w:rFonts w:ascii="Garamond" w:eastAsia="Times New Roman" w:hAnsi="Garamond"/>
          <w:sz w:val="24"/>
          <w:szCs w:val="24"/>
        </w:rPr>
        <w:t>“</w:t>
      </w:r>
      <w:r w:rsidRPr="00DC66CD">
        <w:rPr>
          <w:rFonts w:ascii="Garamond" w:eastAsia="Times New Roman" w:hAnsi="Garamond"/>
          <w:sz w:val="24"/>
          <w:szCs w:val="24"/>
        </w:rPr>
        <w:t>mbrojtja e investitorëve të pakicave</w:t>
      </w:r>
      <w:r w:rsidR="002A29AD" w:rsidRPr="00DC66CD">
        <w:rPr>
          <w:rFonts w:ascii="Garamond" w:eastAsia="Times New Roman" w:hAnsi="Garamond"/>
          <w:sz w:val="24"/>
          <w:szCs w:val="24"/>
        </w:rPr>
        <w:t>”</w:t>
      </w:r>
      <w:r w:rsidRPr="00DC66CD">
        <w:rPr>
          <w:rFonts w:ascii="Garamond" w:eastAsia="Times New Roman" w:hAnsi="Garamond"/>
          <w:sz w:val="24"/>
          <w:szCs w:val="24"/>
        </w:rPr>
        <w:t xml:space="preserve">, </w:t>
      </w:r>
      <w:r w:rsidR="002A29AD" w:rsidRPr="00DC66CD">
        <w:rPr>
          <w:rFonts w:ascii="Garamond" w:eastAsia="Times New Roman" w:hAnsi="Garamond"/>
          <w:sz w:val="24"/>
          <w:szCs w:val="24"/>
        </w:rPr>
        <w:t>“</w:t>
      </w:r>
      <w:r w:rsidR="006D27FF" w:rsidRPr="00DC66CD">
        <w:rPr>
          <w:rFonts w:ascii="Garamond" w:eastAsia="Times New Roman" w:hAnsi="Garamond"/>
          <w:sz w:val="24"/>
          <w:szCs w:val="24"/>
        </w:rPr>
        <w:t xml:space="preserve">pagimi </w:t>
      </w:r>
      <w:r w:rsidRPr="00DC66CD">
        <w:rPr>
          <w:rFonts w:ascii="Garamond" w:eastAsia="Times New Roman" w:hAnsi="Garamond"/>
          <w:sz w:val="24"/>
          <w:szCs w:val="24"/>
        </w:rPr>
        <w:t>i taksave</w:t>
      </w:r>
      <w:r w:rsidR="002A29AD" w:rsidRPr="00DC66CD">
        <w:rPr>
          <w:rFonts w:ascii="Garamond" w:eastAsia="Times New Roman" w:hAnsi="Garamond"/>
          <w:sz w:val="24"/>
          <w:szCs w:val="24"/>
        </w:rPr>
        <w:t>”</w:t>
      </w:r>
      <w:r w:rsidRPr="00DC66CD">
        <w:rPr>
          <w:rFonts w:ascii="Garamond" w:eastAsia="Times New Roman" w:hAnsi="Garamond"/>
          <w:sz w:val="24"/>
          <w:szCs w:val="24"/>
        </w:rPr>
        <w:t xml:space="preserve"> dhe </w:t>
      </w:r>
      <w:r w:rsidR="002A29AD" w:rsidRPr="00DC66CD">
        <w:rPr>
          <w:rFonts w:ascii="Garamond" w:eastAsia="Times New Roman" w:hAnsi="Garamond"/>
          <w:sz w:val="24"/>
          <w:szCs w:val="24"/>
        </w:rPr>
        <w:t>“</w:t>
      </w:r>
      <w:r w:rsidRPr="00DC66CD">
        <w:rPr>
          <w:rFonts w:ascii="Garamond" w:eastAsia="Times New Roman" w:hAnsi="Garamond"/>
          <w:sz w:val="24"/>
          <w:szCs w:val="24"/>
        </w:rPr>
        <w:t>zbatimi i kontratave</w:t>
      </w:r>
      <w:r w:rsidR="002A29AD" w:rsidRPr="00DC66CD">
        <w:rPr>
          <w:rFonts w:ascii="Garamond" w:eastAsia="Times New Roman" w:hAnsi="Garamond"/>
          <w:sz w:val="24"/>
          <w:szCs w:val="24"/>
        </w:rPr>
        <w:t>”</w:t>
      </w:r>
      <w:r w:rsidRPr="00DC66CD">
        <w:rPr>
          <w:rFonts w:ascii="Garamond" w:eastAsia="Times New Roman" w:hAnsi="Garamond"/>
          <w:sz w:val="24"/>
          <w:szCs w:val="24"/>
        </w:rPr>
        <w:t>.</w:t>
      </w:r>
    </w:p>
    <w:p w14:paraId="1B7BE323" w14:textId="77777777" w:rsidR="006F605B" w:rsidRPr="00DC66CD" w:rsidRDefault="006F605B" w:rsidP="006F605B">
      <w:pPr>
        <w:snapToGrid w:val="0"/>
        <w:spacing w:after="0" w:line="240" w:lineRule="auto"/>
        <w:ind w:firstLine="284"/>
        <w:jc w:val="both"/>
        <w:rPr>
          <w:rFonts w:ascii="Garamond" w:eastAsia="Times New Roman" w:hAnsi="Garamond"/>
          <w:sz w:val="24"/>
          <w:szCs w:val="24"/>
        </w:rPr>
      </w:pPr>
    </w:p>
    <w:p w14:paraId="7AC56810" w14:textId="07BE7A32" w:rsidR="006F605B" w:rsidRPr="00DC66CD" w:rsidRDefault="006F605B" w:rsidP="006F605B">
      <w:pPr>
        <w:snapToGrid w:val="0"/>
        <w:spacing w:after="0" w:line="240" w:lineRule="auto"/>
        <w:ind w:firstLine="284"/>
        <w:jc w:val="both"/>
        <w:rPr>
          <w:rFonts w:ascii="Garamond" w:eastAsia="Times New Roman" w:hAnsi="Garamond"/>
          <w:sz w:val="24"/>
          <w:szCs w:val="24"/>
        </w:rPr>
      </w:pPr>
      <w:r w:rsidRPr="00DC66CD">
        <w:rPr>
          <w:rFonts w:ascii="Garamond" w:eastAsia="Times New Roman" w:hAnsi="Garamond"/>
          <w:sz w:val="24"/>
          <w:szCs w:val="24"/>
        </w:rPr>
        <w:t xml:space="preserve">Në raportin e </w:t>
      </w:r>
      <w:r w:rsidR="00276B1A" w:rsidRPr="00DC66CD">
        <w:rPr>
          <w:rFonts w:ascii="Garamond" w:eastAsia="Times New Roman" w:hAnsi="Garamond"/>
          <w:sz w:val="24"/>
          <w:szCs w:val="24"/>
        </w:rPr>
        <w:t>2019-ës</w:t>
      </w:r>
      <w:r w:rsidRPr="00DC66CD">
        <w:rPr>
          <w:rFonts w:ascii="Garamond" w:eastAsia="Times New Roman" w:hAnsi="Garamond"/>
          <w:sz w:val="24"/>
          <w:szCs w:val="24"/>
        </w:rPr>
        <w:t xml:space="preserve"> për Shqipërinë, Komisioni Evropian përcakton se vendi ynë ka bërë një përparim dhe është e përgatitur në mënyrë të moderuar në zhvillimin e një ekonomie funksionale të tregut. Sipas raportit, rritja ekonomike u rrit më tej dhe papunësia u ul. Ka pasur një rritje të fortë në eksporte dhe bankat pësuan një ulje të numrit të kredive të këqija dhe </w:t>
      </w:r>
      <w:r w:rsidR="006D27FF" w:rsidRPr="00DC66CD">
        <w:rPr>
          <w:rFonts w:ascii="Garamond" w:eastAsia="Times New Roman" w:hAnsi="Garamond"/>
          <w:sz w:val="24"/>
          <w:szCs w:val="24"/>
        </w:rPr>
        <w:t xml:space="preserve">të </w:t>
      </w:r>
      <w:r w:rsidRPr="00DC66CD">
        <w:rPr>
          <w:rFonts w:ascii="Garamond" w:eastAsia="Times New Roman" w:hAnsi="Garamond"/>
          <w:sz w:val="24"/>
          <w:szCs w:val="24"/>
        </w:rPr>
        <w:t>përdorimit të valutës së huaj. Mjedisi i biznesit është përmirësuar në disa aspekte, ndërsa zbatimi i reformës në drejtësi pritet të kontribuojë në forcimin e mjedisit të biznesit dhe tërheqjen e investimeve. Raporti vazhdon të thotë se është arritur një përparim në rritjen e pjesëmarrjes së tregut të punës dhe cilësinë dhe efektivitetin e institucioneve dhe shërbimeve të tregut të punës, megjithatë shkalla e punësimit dhe pjesëmarrja e tregut të punës mbesin të ulëta, ndërsa ekonomia informale është ende një ofrues i rëndësishëm i punës.</w:t>
      </w:r>
    </w:p>
    <w:p w14:paraId="73EC1D0F" w14:textId="77777777" w:rsidR="006F605B" w:rsidRPr="00DC66CD" w:rsidRDefault="006F605B" w:rsidP="006F605B">
      <w:pPr>
        <w:snapToGrid w:val="0"/>
        <w:spacing w:after="0" w:line="240" w:lineRule="auto"/>
        <w:ind w:firstLine="284"/>
        <w:jc w:val="both"/>
        <w:rPr>
          <w:rFonts w:ascii="Garamond" w:eastAsia="Times New Roman" w:hAnsi="Garamond"/>
          <w:sz w:val="24"/>
          <w:szCs w:val="24"/>
        </w:rPr>
      </w:pPr>
      <w:r w:rsidRPr="00DC66CD">
        <w:rPr>
          <w:rFonts w:ascii="Garamond" w:eastAsia="Times New Roman" w:hAnsi="Garamond"/>
          <w:sz w:val="24"/>
          <w:szCs w:val="24"/>
        </w:rPr>
        <w:t xml:space="preserve">Raporti i OECD-së </w:t>
      </w:r>
      <w:r w:rsidRPr="00DC66CD">
        <w:rPr>
          <w:rFonts w:ascii="Garamond" w:hAnsi="Garamond"/>
          <w:i/>
          <w:sz w:val="24"/>
          <w:szCs w:val="24"/>
        </w:rPr>
        <w:t>Competitiveness in SEE: A Policy Outlook 2018</w:t>
      </w:r>
      <w:r w:rsidRPr="00DC66CD">
        <w:rPr>
          <w:rFonts w:ascii="Garamond" w:eastAsia="Times New Roman" w:hAnsi="Garamond"/>
          <w:sz w:val="24"/>
          <w:szCs w:val="24"/>
        </w:rPr>
        <w:t>, shton se investimet në rritje në arsim dhe kompetenca janë thelbësore për rritjen e kapitalit njerëzor dhe përmirësimin e produktivitetit të punës, si një shtytës afatgjatë të konkurrencës ekonomike. Mbyllja e hendekut midis nevojave të sektorit privat dhe aftësive të ofruara nga sistemi arsimor është thelbësore për uljen e shkallës së papunësisë, veçanërisht në mesin e të rinjve (raportuar me 20.9% në korrik 2019). Politikat e aktivizimit duhet të mbështesin gratë, të rinjtë dhe grupet e cenueshme për të gjetur punë të përshtatshme dhe për të rritur mundësitë e tyre të punësimit.</w:t>
      </w:r>
    </w:p>
    <w:p w14:paraId="2A4BC923" w14:textId="75DBF911" w:rsidR="006F605B" w:rsidRPr="00DC66CD" w:rsidRDefault="006F605B" w:rsidP="006F605B">
      <w:pPr>
        <w:snapToGrid w:val="0"/>
        <w:spacing w:after="0" w:line="240" w:lineRule="auto"/>
        <w:ind w:firstLine="284"/>
        <w:jc w:val="both"/>
        <w:rPr>
          <w:rFonts w:ascii="Garamond" w:eastAsia="Times New Roman" w:hAnsi="Garamond"/>
          <w:sz w:val="24"/>
          <w:szCs w:val="24"/>
        </w:rPr>
      </w:pPr>
      <w:r w:rsidRPr="00DC66CD">
        <w:rPr>
          <w:rFonts w:ascii="Garamond" w:eastAsia="Times New Roman" w:hAnsi="Garamond"/>
          <w:sz w:val="24"/>
          <w:szCs w:val="24"/>
        </w:rPr>
        <w:t>Sipas Indeksit të Performancës Industriale Konkurruese të UNIDO</w:t>
      </w:r>
      <w:r w:rsidR="006D27FF" w:rsidRPr="00DC66CD">
        <w:rPr>
          <w:rFonts w:ascii="Garamond" w:eastAsia="Times New Roman" w:hAnsi="Garamond"/>
          <w:sz w:val="24"/>
          <w:szCs w:val="24"/>
        </w:rPr>
        <w:t>-s</w:t>
      </w:r>
      <w:r w:rsidRPr="00DC66CD">
        <w:rPr>
          <w:rFonts w:ascii="Garamond" w:eastAsia="Times New Roman" w:hAnsi="Garamond"/>
          <w:sz w:val="24"/>
          <w:szCs w:val="24"/>
        </w:rPr>
        <w:t xml:space="preserve"> për </w:t>
      </w:r>
      <w:r w:rsidR="00433A3A" w:rsidRPr="00DC66CD">
        <w:rPr>
          <w:rFonts w:ascii="Garamond" w:eastAsia="Times New Roman" w:hAnsi="Garamond"/>
          <w:sz w:val="24"/>
          <w:szCs w:val="24"/>
        </w:rPr>
        <w:t>2019–</w:t>
      </w:r>
      <w:r w:rsidR="006D27FF" w:rsidRPr="00DC66CD">
        <w:rPr>
          <w:rFonts w:ascii="Garamond" w:eastAsia="Times New Roman" w:hAnsi="Garamond"/>
          <w:sz w:val="24"/>
          <w:szCs w:val="24"/>
        </w:rPr>
        <w:t>ën</w:t>
      </w:r>
      <w:r w:rsidRPr="00DC66CD">
        <w:rPr>
          <w:rFonts w:ascii="Garamond" w:eastAsia="Times New Roman" w:hAnsi="Garamond"/>
          <w:sz w:val="24"/>
          <w:szCs w:val="24"/>
        </w:rPr>
        <w:t>, Shqipëria renditet në vendin e 109-të nga 150 vende, duke zbritur me 5 vende nga viti i kaluar. Gati 80% e sektorit të prodhimit përbëhet nga teknologjia e ulët, e ndjekur nga ajo e bazuar në burime, ndërsa teknolo</w:t>
      </w:r>
      <w:r w:rsidR="006D27FF" w:rsidRPr="00DC66CD">
        <w:rPr>
          <w:rFonts w:ascii="Garamond" w:eastAsia="Times New Roman" w:hAnsi="Garamond"/>
          <w:sz w:val="24"/>
          <w:szCs w:val="24"/>
        </w:rPr>
        <w:t>gjia e lartë është pothuajse jo</w:t>
      </w:r>
      <w:r w:rsidRPr="00DC66CD">
        <w:rPr>
          <w:rFonts w:ascii="Garamond" w:eastAsia="Times New Roman" w:hAnsi="Garamond"/>
          <w:sz w:val="24"/>
          <w:szCs w:val="24"/>
        </w:rPr>
        <w:t>ekzistente me 0.2%. Ka nevojë për një zhvendosje drejt prodhimit me vlerë të lartë të shtuar, veçanërisht prodhim i bazuar në teknologji të lartë, e cila do të rritë vlerën e shtuar për frymë të prodhimit</w:t>
      </w:r>
      <w:r w:rsidR="006D27FF" w:rsidRPr="00DC66CD">
        <w:rPr>
          <w:rFonts w:ascii="Garamond" w:eastAsia="Times New Roman" w:hAnsi="Garamond"/>
          <w:sz w:val="24"/>
          <w:szCs w:val="24"/>
        </w:rPr>
        <w:t>,</w:t>
      </w:r>
      <w:r w:rsidRPr="00DC66CD">
        <w:rPr>
          <w:rFonts w:ascii="Garamond" w:eastAsia="Times New Roman" w:hAnsi="Garamond"/>
          <w:sz w:val="24"/>
          <w:szCs w:val="24"/>
        </w:rPr>
        <w:t xml:space="preserve"> duke u përkthyer në standarde më të mira jetese për qytetarët.</w:t>
      </w:r>
    </w:p>
    <w:p w14:paraId="23638CF0" w14:textId="3D33434B" w:rsidR="006F605B" w:rsidRPr="00DC66CD" w:rsidRDefault="00E20355" w:rsidP="00E20355">
      <w:pPr>
        <w:pStyle w:val="TEKSTIIII"/>
        <w:rPr>
          <w:b/>
        </w:rPr>
      </w:pPr>
      <w:bookmarkStart w:id="31" w:name="_Toc484076183"/>
      <w:bookmarkStart w:id="32" w:name="_Toc30661228"/>
      <w:r w:rsidRPr="00DC66CD">
        <w:rPr>
          <w:b/>
        </w:rPr>
        <w:t xml:space="preserve">5.2 </w:t>
      </w:r>
      <w:r w:rsidR="006F605B" w:rsidRPr="00DC66CD">
        <w:rPr>
          <w:b/>
        </w:rPr>
        <w:t>Përmbledhje e masave t</w:t>
      </w:r>
      <w:r w:rsidR="008B5731">
        <w:rPr>
          <w:b/>
        </w:rPr>
        <w:t>ë</w:t>
      </w:r>
      <w:r w:rsidR="006F605B" w:rsidRPr="00DC66CD">
        <w:rPr>
          <w:b/>
        </w:rPr>
        <w:t xml:space="preserve"> reformave</w:t>
      </w:r>
      <w:bookmarkEnd w:id="31"/>
      <w:bookmarkEnd w:id="32"/>
    </w:p>
    <w:tbl>
      <w:tblPr>
        <w:tblStyle w:val="TableGrid1"/>
        <w:tblW w:w="0" w:type="auto"/>
        <w:tblLook w:val="04A0" w:firstRow="1" w:lastRow="0" w:firstColumn="1" w:lastColumn="0" w:noHBand="0" w:noVBand="1"/>
      </w:tblPr>
      <w:tblGrid>
        <w:gridCol w:w="9280"/>
      </w:tblGrid>
      <w:tr w:rsidR="006F605B" w:rsidRPr="00DC66CD" w14:paraId="77DED136" w14:textId="77777777" w:rsidTr="00E6012B">
        <w:tc>
          <w:tcPr>
            <w:tcW w:w="9280" w:type="dxa"/>
            <w:shd w:val="clear" w:color="auto" w:fill="C6D9F1" w:themeFill="text2" w:themeFillTint="33"/>
          </w:tcPr>
          <w:p w14:paraId="7609FA93" w14:textId="77777777" w:rsidR="006F605B" w:rsidRPr="00DC66CD" w:rsidRDefault="006F605B" w:rsidP="00E20355">
            <w:pPr>
              <w:pStyle w:val="Default"/>
              <w:jc w:val="both"/>
              <w:rPr>
                <w:rFonts w:ascii="Garamond" w:hAnsi="Garamond"/>
                <w:sz w:val="20"/>
                <w:szCs w:val="20"/>
                <w:lang w:val="sq-AL"/>
              </w:rPr>
            </w:pPr>
            <w:r w:rsidRPr="00DC66CD">
              <w:rPr>
                <w:rFonts w:ascii="Garamond" w:hAnsi="Garamond"/>
                <w:b/>
                <w:bCs/>
                <w:sz w:val="20"/>
                <w:szCs w:val="20"/>
                <w:lang w:val="sq-AL"/>
              </w:rPr>
              <w:t>I. Energjia dhe transporti</w:t>
            </w:r>
          </w:p>
        </w:tc>
      </w:tr>
      <w:tr w:rsidR="006F605B" w:rsidRPr="00DC66CD" w14:paraId="1D4E62C4" w14:textId="77777777" w:rsidTr="00083200">
        <w:trPr>
          <w:trHeight w:val="300"/>
        </w:trPr>
        <w:tc>
          <w:tcPr>
            <w:tcW w:w="9280" w:type="dxa"/>
          </w:tcPr>
          <w:p w14:paraId="3A0CEF8A" w14:textId="77777777"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Reforma 01: Liberalizimi i mëtejshëm i tregut të energjisë</w:t>
            </w:r>
          </w:p>
        </w:tc>
      </w:tr>
      <w:tr w:rsidR="006F605B" w:rsidRPr="00DC66CD" w14:paraId="3AE5D402" w14:textId="77777777" w:rsidTr="00083200">
        <w:tc>
          <w:tcPr>
            <w:tcW w:w="9280" w:type="dxa"/>
          </w:tcPr>
          <w:p w14:paraId="632FC6AD" w14:textId="4DEF5942"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 xml:space="preserve">Reforma 02: Diversifikimi i burimeve të energjisë përmes promovimit të burimeve të rinovueshme të energjisë dhe përmirësimi i </w:t>
            </w:r>
            <w:r w:rsidR="006D27FF" w:rsidRPr="00DC66CD">
              <w:rPr>
                <w:rFonts w:ascii="Garamond" w:hAnsi="Garamond"/>
                <w:i/>
                <w:sz w:val="20"/>
                <w:szCs w:val="20"/>
                <w:lang w:val="sq-AL"/>
              </w:rPr>
              <w:t>eficiencës</w:t>
            </w:r>
            <w:r w:rsidRPr="00DC66CD">
              <w:rPr>
                <w:rFonts w:ascii="Garamond" w:hAnsi="Garamond"/>
                <w:i/>
                <w:sz w:val="20"/>
                <w:szCs w:val="20"/>
                <w:lang w:val="sq-AL"/>
              </w:rPr>
              <w:t xml:space="preserve"> së energjisë</w:t>
            </w:r>
          </w:p>
        </w:tc>
      </w:tr>
      <w:tr w:rsidR="006F605B" w:rsidRPr="00DC66CD" w14:paraId="78DE415B" w14:textId="77777777" w:rsidTr="00083200">
        <w:tc>
          <w:tcPr>
            <w:tcW w:w="9280" w:type="dxa"/>
          </w:tcPr>
          <w:p w14:paraId="1E031F8E" w14:textId="1D5E94F7"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Reforma 03: Rehabilitimi dhe ndërtimi i segmentit hekurudhor Durrës</w:t>
            </w:r>
            <w:r w:rsidR="006D27FF" w:rsidRPr="00DC66CD">
              <w:rPr>
                <w:sz w:val="20"/>
                <w:szCs w:val="20"/>
                <w:lang w:val="sq-AL"/>
              </w:rPr>
              <w:t>–</w:t>
            </w:r>
            <w:r w:rsidRPr="00DC66CD">
              <w:rPr>
                <w:rFonts w:ascii="Garamond" w:hAnsi="Garamond"/>
                <w:i/>
                <w:sz w:val="20"/>
                <w:szCs w:val="20"/>
                <w:lang w:val="sq-AL"/>
              </w:rPr>
              <w:t>Rinas</w:t>
            </w:r>
            <w:r w:rsidR="006D27FF" w:rsidRPr="00DC66CD">
              <w:rPr>
                <w:sz w:val="20"/>
                <w:szCs w:val="20"/>
                <w:lang w:val="sq-AL"/>
              </w:rPr>
              <w:t>–</w:t>
            </w:r>
            <w:r w:rsidRPr="00DC66CD">
              <w:rPr>
                <w:rFonts w:ascii="Garamond" w:hAnsi="Garamond"/>
                <w:i/>
                <w:sz w:val="20"/>
                <w:szCs w:val="20"/>
                <w:lang w:val="sq-AL"/>
              </w:rPr>
              <w:t>Tiranë</w:t>
            </w:r>
          </w:p>
        </w:tc>
      </w:tr>
      <w:tr w:rsidR="006F605B" w:rsidRPr="00DC66CD" w14:paraId="622F4AC6" w14:textId="77777777" w:rsidTr="00E6012B">
        <w:tc>
          <w:tcPr>
            <w:tcW w:w="9280" w:type="dxa"/>
            <w:shd w:val="clear" w:color="auto" w:fill="C6D9F1" w:themeFill="text2" w:themeFillTint="33"/>
          </w:tcPr>
          <w:p w14:paraId="017E37CC" w14:textId="77777777" w:rsidR="006F605B" w:rsidRPr="00DC66CD" w:rsidRDefault="006F605B" w:rsidP="00E20355">
            <w:pPr>
              <w:pStyle w:val="Default"/>
              <w:rPr>
                <w:rFonts w:ascii="Garamond" w:hAnsi="Garamond"/>
                <w:sz w:val="20"/>
                <w:szCs w:val="20"/>
                <w:lang w:val="sq-AL"/>
              </w:rPr>
            </w:pPr>
            <w:r w:rsidRPr="00DC66CD">
              <w:rPr>
                <w:rFonts w:ascii="Garamond" w:hAnsi="Garamond"/>
                <w:b/>
                <w:bCs/>
                <w:sz w:val="20"/>
                <w:szCs w:val="20"/>
                <w:lang w:val="sq-AL"/>
              </w:rPr>
              <w:t>II. Bujqësia, industria dhe shërbimet</w:t>
            </w:r>
          </w:p>
        </w:tc>
      </w:tr>
      <w:tr w:rsidR="006F605B" w:rsidRPr="00DC66CD" w14:paraId="02EF4D3F" w14:textId="77777777" w:rsidTr="00083200">
        <w:tc>
          <w:tcPr>
            <w:tcW w:w="9280" w:type="dxa"/>
          </w:tcPr>
          <w:p w14:paraId="4B547A94" w14:textId="77777777"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Reforma 04: Defragmentimi dhe konsolidimi i tokës bujqësore</w:t>
            </w:r>
          </w:p>
        </w:tc>
      </w:tr>
      <w:tr w:rsidR="006F605B" w:rsidRPr="00DC66CD" w14:paraId="272C169E" w14:textId="77777777" w:rsidTr="00083200">
        <w:tc>
          <w:tcPr>
            <w:tcW w:w="9280" w:type="dxa"/>
          </w:tcPr>
          <w:p w14:paraId="31731652" w14:textId="77777777"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Reforma 05: Reforma e ujësjellës-kanalizimeve</w:t>
            </w:r>
          </w:p>
        </w:tc>
      </w:tr>
      <w:tr w:rsidR="006F605B" w:rsidRPr="00DC66CD" w14:paraId="19717BA8" w14:textId="77777777" w:rsidTr="00083200">
        <w:tc>
          <w:tcPr>
            <w:tcW w:w="9280" w:type="dxa"/>
          </w:tcPr>
          <w:p w14:paraId="616C792C" w14:textId="77777777" w:rsidR="006F605B" w:rsidRPr="00DC66CD" w:rsidRDefault="006F605B" w:rsidP="00E20355">
            <w:pPr>
              <w:snapToGrid w:val="0"/>
              <w:rPr>
                <w:rFonts w:ascii="Garamond" w:hAnsi="Garamond"/>
                <w:i/>
                <w:sz w:val="20"/>
                <w:szCs w:val="20"/>
                <w:lang w:val="sq-AL"/>
              </w:rPr>
            </w:pPr>
            <w:r w:rsidRPr="00DC66CD">
              <w:rPr>
                <w:rFonts w:ascii="Garamond" w:hAnsi="Garamond"/>
                <w:i/>
                <w:sz w:val="20"/>
                <w:szCs w:val="20"/>
                <w:lang w:val="sq-AL"/>
              </w:rPr>
              <w:t>Reforma 06: Rritja e standardeve të shërbimeve në sektorin e turizmit</w:t>
            </w:r>
          </w:p>
        </w:tc>
      </w:tr>
      <w:tr w:rsidR="006F605B" w:rsidRPr="00DC66CD" w14:paraId="1FAC0D26" w14:textId="77777777" w:rsidTr="00E6012B">
        <w:tc>
          <w:tcPr>
            <w:tcW w:w="9280" w:type="dxa"/>
            <w:shd w:val="clear" w:color="auto" w:fill="C6D9F1" w:themeFill="text2" w:themeFillTint="33"/>
          </w:tcPr>
          <w:p w14:paraId="31A19A5F" w14:textId="77777777" w:rsidR="006F605B" w:rsidRPr="00DC66CD" w:rsidRDefault="006F605B" w:rsidP="00E20355">
            <w:pPr>
              <w:pStyle w:val="Default"/>
              <w:rPr>
                <w:rFonts w:ascii="Garamond" w:hAnsi="Garamond"/>
                <w:sz w:val="20"/>
                <w:szCs w:val="20"/>
                <w:lang w:val="sq-AL"/>
              </w:rPr>
            </w:pPr>
            <w:r w:rsidRPr="00DC66CD">
              <w:rPr>
                <w:rFonts w:ascii="Garamond" w:hAnsi="Garamond"/>
                <w:b/>
                <w:bCs/>
                <w:sz w:val="20"/>
                <w:szCs w:val="20"/>
                <w:lang w:val="sq-AL"/>
              </w:rPr>
              <w:t>III. Klima e biznesit dhe reduktimi i ekonomisë informale</w:t>
            </w:r>
          </w:p>
        </w:tc>
      </w:tr>
      <w:tr w:rsidR="006F605B" w:rsidRPr="00DC66CD" w14:paraId="44D2068A" w14:textId="77777777" w:rsidTr="00083200">
        <w:tc>
          <w:tcPr>
            <w:tcW w:w="9280" w:type="dxa"/>
          </w:tcPr>
          <w:p w14:paraId="26812E18" w14:textId="77777777" w:rsidR="006F605B" w:rsidRPr="00DC66CD" w:rsidRDefault="006F605B" w:rsidP="00E20355">
            <w:pPr>
              <w:snapToGrid w:val="0"/>
              <w:rPr>
                <w:rFonts w:ascii="Garamond" w:hAnsi="Garamond"/>
                <w:i/>
                <w:sz w:val="20"/>
                <w:szCs w:val="20"/>
                <w:lang w:val="sq-AL"/>
              </w:rPr>
            </w:pPr>
            <w:r w:rsidRPr="00DC66CD">
              <w:rPr>
                <w:rFonts w:ascii="Garamond" w:hAnsi="Garamond"/>
                <w:i/>
                <w:sz w:val="20"/>
                <w:szCs w:val="20"/>
                <w:lang w:val="sq-AL"/>
              </w:rPr>
              <w:t>Reforma 07: Reforma e taksës së pronës dhe krijimi i kadastrës fiskale</w:t>
            </w:r>
          </w:p>
        </w:tc>
      </w:tr>
      <w:tr w:rsidR="006F605B" w:rsidRPr="00DC66CD" w14:paraId="03992DCB" w14:textId="77777777" w:rsidTr="00083200">
        <w:tc>
          <w:tcPr>
            <w:tcW w:w="9280" w:type="dxa"/>
          </w:tcPr>
          <w:p w14:paraId="4851C256" w14:textId="77777777" w:rsidR="006F605B" w:rsidRPr="00DC66CD" w:rsidRDefault="006F605B" w:rsidP="00E20355">
            <w:pPr>
              <w:snapToGrid w:val="0"/>
              <w:rPr>
                <w:rFonts w:ascii="Garamond" w:hAnsi="Garamond"/>
                <w:i/>
                <w:sz w:val="20"/>
                <w:szCs w:val="20"/>
                <w:lang w:val="sq-AL"/>
              </w:rPr>
            </w:pPr>
            <w:r w:rsidRPr="00DC66CD">
              <w:rPr>
                <w:rFonts w:ascii="Garamond" w:hAnsi="Garamond"/>
                <w:i/>
                <w:sz w:val="20"/>
                <w:szCs w:val="20"/>
                <w:lang w:val="sq-AL"/>
              </w:rPr>
              <w:t>Reforma 08: Zhvillimi i kuadrit ligjor në mbështetje të start up inovative</w:t>
            </w:r>
          </w:p>
        </w:tc>
      </w:tr>
      <w:tr w:rsidR="006F605B" w:rsidRPr="00DC66CD" w14:paraId="5E5B02EB" w14:textId="77777777" w:rsidTr="00083200">
        <w:tc>
          <w:tcPr>
            <w:tcW w:w="9280" w:type="dxa"/>
          </w:tcPr>
          <w:p w14:paraId="267E8257" w14:textId="77777777"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Reforma 09: Përmirësimi i aksesit në financë për NVM-të</w:t>
            </w:r>
          </w:p>
        </w:tc>
      </w:tr>
      <w:tr w:rsidR="006F605B" w:rsidRPr="00DC66CD" w14:paraId="64CB6816" w14:textId="77777777" w:rsidTr="00083200">
        <w:tc>
          <w:tcPr>
            <w:tcW w:w="9280" w:type="dxa"/>
          </w:tcPr>
          <w:p w14:paraId="648BDDDE" w14:textId="77777777" w:rsidR="006F605B" w:rsidRPr="00DC66CD" w:rsidRDefault="006F605B" w:rsidP="00E20355">
            <w:pPr>
              <w:snapToGrid w:val="0"/>
              <w:rPr>
                <w:rFonts w:ascii="Garamond" w:hAnsi="Garamond"/>
                <w:i/>
                <w:sz w:val="20"/>
                <w:szCs w:val="20"/>
                <w:lang w:val="sq-AL"/>
              </w:rPr>
            </w:pPr>
            <w:r w:rsidRPr="00DC66CD">
              <w:rPr>
                <w:rFonts w:ascii="Garamond" w:hAnsi="Garamond"/>
                <w:i/>
                <w:sz w:val="20"/>
                <w:szCs w:val="20"/>
                <w:lang w:val="sq-AL"/>
              </w:rPr>
              <w:t>Reforma 10: Modernizimi i instrumenteve të pagesave retail</w:t>
            </w:r>
          </w:p>
        </w:tc>
      </w:tr>
      <w:tr w:rsidR="006F605B" w:rsidRPr="00DC66CD" w14:paraId="3E666625" w14:textId="77777777" w:rsidTr="00E6012B">
        <w:tc>
          <w:tcPr>
            <w:tcW w:w="9280" w:type="dxa"/>
            <w:shd w:val="clear" w:color="auto" w:fill="C6D9F1" w:themeFill="text2" w:themeFillTint="33"/>
          </w:tcPr>
          <w:p w14:paraId="6A64F70C" w14:textId="77777777" w:rsidR="006F605B" w:rsidRPr="00DC66CD" w:rsidRDefault="006F605B" w:rsidP="00E20355">
            <w:pPr>
              <w:pStyle w:val="Default"/>
              <w:rPr>
                <w:rFonts w:ascii="Garamond" w:hAnsi="Garamond"/>
                <w:sz w:val="20"/>
                <w:szCs w:val="20"/>
                <w:lang w:val="sq-AL"/>
              </w:rPr>
            </w:pPr>
            <w:r w:rsidRPr="00DC66CD">
              <w:rPr>
                <w:rFonts w:ascii="Garamond" w:hAnsi="Garamond"/>
                <w:b/>
                <w:bCs/>
                <w:sz w:val="20"/>
                <w:szCs w:val="20"/>
                <w:lang w:val="sq-AL"/>
              </w:rPr>
              <w:t>IV. Kërkim, zhvillim dhe inovacion, dhe ekonomia digjitale</w:t>
            </w:r>
          </w:p>
        </w:tc>
      </w:tr>
      <w:tr w:rsidR="006F605B" w:rsidRPr="00DC66CD" w14:paraId="5C2DD1B3" w14:textId="77777777" w:rsidTr="00083200">
        <w:tc>
          <w:tcPr>
            <w:tcW w:w="9280" w:type="dxa"/>
          </w:tcPr>
          <w:p w14:paraId="79696AA9" w14:textId="77777777"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Reforma 11: Përmirësimi i kapaciteteve institucionale të sistemit të kërkim dhe inovacion</w:t>
            </w:r>
          </w:p>
        </w:tc>
      </w:tr>
      <w:tr w:rsidR="006F605B" w:rsidRPr="00DC66CD" w14:paraId="005F9490" w14:textId="77777777" w:rsidTr="00083200">
        <w:tc>
          <w:tcPr>
            <w:tcW w:w="9280" w:type="dxa"/>
          </w:tcPr>
          <w:p w14:paraId="64D2A70D" w14:textId="77777777" w:rsidR="006F605B" w:rsidRPr="00DC66CD" w:rsidRDefault="006F605B" w:rsidP="00E20355">
            <w:pPr>
              <w:snapToGrid w:val="0"/>
              <w:rPr>
                <w:rFonts w:ascii="Garamond" w:hAnsi="Garamond"/>
                <w:i/>
                <w:sz w:val="20"/>
                <w:szCs w:val="20"/>
                <w:lang w:val="sq-AL"/>
              </w:rPr>
            </w:pPr>
            <w:r w:rsidRPr="00DC66CD">
              <w:rPr>
                <w:rFonts w:ascii="Garamond" w:hAnsi="Garamond"/>
                <w:i/>
                <w:sz w:val="20"/>
                <w:szCs w:val="20"/>
                <w:lang w:val="sq-AL"/>
              </w:rPr>
              <w:t>Reforma 12: Zhvillimi i infrastrukturës broadband dhe ekonomisë digjitale</w:t>
            </w:r>
          </w:p>
        </w:tc>
      </w:tr>
      <w:tr w:rsidR="006F605B" w:rsidRPr="00DC66CD" w14:paraId="54F0D0A0" w14:textId="77777777" w:rsidTr="00E6012B">
        <w:tc>
          <w:tcPr>
            <w:tcW w:w="9280" w:type="dxa"/>
            <w:shd w:val="clear" w:color="auto" w:fill="C6D9F1" w:themeFill="text2" w:themeFillTint="33"/>
          </w:tcPr>
          <w:p w14:paraId="6DD30EEF" w14:textId="77777777" w:rsidR="006F605B" w:rsidRPr="00DC66CD" w:rsidRDefault="006F605B" w:rsidP="00E20355">
            <w:pPr>
              <w:pStyle w:val="Default"/>
              <w:rPr>
                <w:rFonts w:ascii="Garamond" w:hAnsi="Garamond"/>
                <w:b/>
                <w:bCs/>
                <w:sz w:val="20"/>
                <w:szCs w:val="20"/>
                <w:lang w:val="sq-AL"/>
              </w:rPr>
            </w:pPr>
            <w:r w:rsidRPr="00DC66CD">
              <w:rPr>
                <w:rFonts w:ascii="Garamond" w:hAnsi="Garamond"/>
                <w:b/>
                <w:bCs/>
                <w:sz w:val="20"/>
                <w:szCs w:val="20"/>
                <w:lang w:val="sq-AL"/>
              </w:rPr>
              <w:t>V. Tregtia</w:t>
            </w:r>
          </w:p>
        </w:tc>
      </w:tr>
      <w:tr w:rsidR="006F605B" w:rsidRPr="00DC66CD" w14:paraId="18AD563C" w14:textId="77777777" w:rsidTr="00083200">
        <w:tc>
          <w:tcPr>
            <w:tcW w:w="9280" w:type="dxa"/>
          </w:tcPr>
          <w:p w14:paraId="35805E45" w14:textId="77777777" w:rsidR="006F605B" w:rsidRPr="00DC66CD" w:rsidRDefault="006F605B" w:rsidP="00E20355">
            <w:pPr>
              <w:pStyle w:val="Default"/>
              <w:rPr>
                <w:rFonts w:ascii="Garamond" w:hAnsi="Garamond"/>
                <w:b/>
                <w:bCs/>
                <w:sz w:val="20"/>
                <w:szCs w:val="20"/>
                <w:lang w:val="sq-AL"/>
              </w:rPr>
            </w:pPr>
            <w:r w:rsidRPr="00DC66CD">
              <w:rPr>
                <w:rFonts w:ascii="Garamond" w:hAnsi="Garamond"/>
                <w:i/>
                <w:sz w:val="20"/>
                <w:szCs w:val="20"/>
                <w:lang w:val="sq-AL"/>
              </w:rPr>
              <w:t>Reforma 13: Lehtësimi i lëvizjes ndërkufitare të mallrave</w:t>
            </w:r>
          </w:p>
        </w:tc>
      </w:tr>
      <w:tr w:rsidR="006F605B" w:rsidRPr="00DC66CD" w14:paraId="2DB55804" w14:textId="77777777" w:rsidTr="00E6012B">
        <w:tc>
          <w:tcPr>
            <w:tcW w:w="9280" w:type="dxa"/>
            <w:shd w:val="clear" w:color="auto" w:fill="C6D9F1" w:themeFill="text2" w:themeFillTint="33"/>
          </w:tcPr>
          <w:p w14:paraId="4CD1F51E" w14:textId="35326138" w:rsidR="006F605B" w:rsidRPr="00DC66CD" w:rsidRDefault="006F605B" w:rsidP="00E20355">
            <w:pPr>
              <w:pStyle w:val="Default"/>
              <w:rPr>
                <w:rFonts w:ascii="Garamond" w:hAnsi="Garamond"/>
                <w:sz w:val="20"/>
                <w:szCs w:val="20"/>
                <w:lang w:val="sq-AL"/>
              </w:rPr>
            </w:pPr>
            <w:r w:rsidRPr="00DC66CD">
              <w:rPr>
                <w:rFonts w:ascii="Garamond" w:hAnsi="Garamond"/>
                <w:b/>
                <w:bCs/>
                <w:sz w:val="20"/>
                <w:szCs w:val="20"/>
                <w:lang w:val="sq-AL"/>
              </w:rPr>
              <w:t xml:space="preserve">V. Arsimi dhe </w:t>
            </w:r>
            <w:r w:rsidR="00C20EFC" w:rsidRPr="00DC66CD">
              <w:rPr>
                <w:rFonts w:ascii="Garamond" w:hAnsi="Garamond"/>
                <w:b/>
                <w:bCs/>
                <w:sz w:val="20"/>
                <w:szCs w:val="20"/>
                <w:lang w:val="sq-AL"/>
              </w:rPr>
              <w:t>aftësitë</w:t>
            </w:r>
          </w:p>
        </w:tc>
      </w:tr>
      <w:tr w:rsidR="006F605B" w:rsidRPr="00DC66CD" w14:paraId="592807C8" w14:textId="77777777" w:rsidTr="00083200">
        <w:tc>
          <w:tcPr>
            <w:tcW w:w="9280" w:type="dxa"/>
          </w:tcPr>
          <w:p w14:paraId="20FE5C4F" w14:textId="55950300" w:rsidR="006F605B" w:rsidRPr="00DC66CD" w:rsidRDefault="006F605B" w:rsidP="00E6012B">
            <w:pPr>
              <w:snapToGrid w:val="0"/>
              <w:rPr>
                <w:rFonts w:ascii="Garamond" w:hAnsi="Garamond"/>
                <w:sz w:val="20"/>
                <w:szCs w:val="20"/>
                <w:lang w:val="sq-AL"/>
              </w:rPr>
            </w:pPr>
            <w:r w:rsidRPr="00DC66CD">
              <w:rPr>
                <w:rFonts w:ascii="Garamond" w:hAnsi="Garamond"/>
                <w:i/>
                <w:sz w:val="20"/>
                <w:szCs w:val="20"/>
                <w:lang w:val="sq-AL"/>
              </w:rPr>
              <w:t>Reforma 14: Finalizimi i reformës kur</w:t>
            </w:r>
            <w:r w:rsidR="00E6012B" w:rsidRPr="00DC66CD">
              <w:rPr>
                <w:rFonts w:ascii="Garamond" w:hAnsi="Garamond"/>
                <w:i/>
                <w:sz w:val="20"/>
                <w:szCs w:val="20"/>
                <w:lang w:val="sq-AL"/>
              </w:rPr>
              <w:t>r</w:t>
            </w:r>
            <w:r w:rsidRPr="00DC66CD">
              <w:rPr>
                <w:rFonts w:ascii="Garamond" w:hAnsi="Garamond"/>
                <w:i/>
                <w:sz w:val="20"/>
                <w:szCs w:val="20"/>
                <w:lang w:val="sq-AL"/>
              </w:rPr>
              <w:t>ikulare parauniversitare, trajnimi dhe punësimi i mësuesve</w:t>
            </w:r>
          </w:p>
        </w:tc>
      </w:tr>
      <w:tr w:rsidR="006F605B" w:rsidRPr="00DC66CD" w14:paraId="1E2A4384" w14:textId="77777777" w:rsidTr="00083200">
        <w:tc>
          <w:tcPr>
            <w:tcW w:w="9280" w:type="dxa"/>
          </w:tcPr>
          <w:p w14:paraId="6FBF6FA0" w14:textId="77777777" w:rsidR="006F605B" w:rsidRPr="00DC66CD" w:rsidRDefault="006F605B" w:rsidP="00E20355">
            <w:pPr>
              <w:snapToGrid w:val="0"/>
              <w:rPr>
                <w:rFonts w:ascii="Garamond" w:hAnsi="Garamond"/>
                <w:i/>
                <w:sz w:val="20"/>
                <w:szCs w:val="20"/>
                <w:lang w:val="sq-AL"/>
              </w:rPr>
            </w:pPr>
            <w:r w:rsidRPr="00DC66CD">
              <w:rPr>
                <w:rFonts w:ascii="Garamond" w:hAnsi="Garamond"/>
                <w:i/>
                <w:sz w:val="20"/>
                <w:szCs w:val="20"/>
                <w:lang w:val="sq-AL"/>
              </w:rPr>
              <w:t>Reforma 15: Arsimi përfshirës</w:t>
            </w:r>
          </w:p>
        </w:tc>
      </w:tr>
      <w:tr w:rsidR="006F605B" w:rsidRPr="00DC66CD" w14:paraId="27C61827" w14:textId="77777777" w:rsidTr="00083200">
        <w:tc>
          <w:tcPr>
            <w:tcW w:w="9280" w:type="dxa"/>
          </w:tcPr>
          <w:p w14:paraId="566CD221" w14:textId="77777777"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Reforma 16: Modernizimi i financimit të sistemit arsimor parashkollor</w:t>
            </w:r>
          </w:p>
        </w:tc>
      </w:tr>
      <w:tr w:rsidR="006F605B" w:rsidRPr="00DC66CD" w14:paraId="162C06F1" w14:textId="77777777" w:rsidTr="00083200">
        <w:tc>
          <w:tcPr>
            <w:tcW w:w="9280" w:type="dxa"/>
          </w:tcPr>
          <w:p w14:paraId="759953AD" w14:textId="45756C7F"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Reforma 17: Përmirësimi i cilësisë dhe mbulimit të AFP</w:t>
            </w:r>
            <w:r w:rsidR="00C20EFC" w:rsidRPr="00DC66CD">
              <w:rPr>
                <w:rFonts w:ascii="Garamond" w:hAnsi="Garamond"/>
                <w:i/>
                <w:sz w:val="20"/>
                <w:szCs w:val="20"/>
                <w:lang w:val="sq-AL"/>
              </w:rPr>
              <w:t>-së,</w:t>
            </w:r>
            <w:r w:rsidRPr="00DC66CD">
              <w:rPr>
                <w:rFonts w:ascii="Garamond" w:hAnsi="Garamond"/>
                <w:i/>
                <w:sz w:val="20"/>
                <w:szCs w:val="20"/>
                <w:lang w:val="sq-AL"/>
              </w:rPr>
              <w:t xml:space="preserve"> duke siguruar lidhjet me tregun e punës</w:t>
            </w:r>
          </w:p>
        </w:tc>
      </w:tr>
      <w:tr w:rsidR="006F605B" w:rsidRPr="00DC66CD" w14:paraId="1DCE8138" w14:textId="77777777" w:rsidTr="00E6012B">
        <w:tc>
          <w:tcPr>
            <w:tcW w:w="9280" w:type="dxa"/>
            <w:shd w:val="clear" w:color="auto" w:fill="C6D9F1" w:themeFill="text2" w:themeFillTint="33"/>
          </w:tcPr>
          <w:p w14:paraId="3212FF07" w14:textId="77777777" w:rsidR="006F605B" w:rsidRPr="00DC66CD" w:rsidRDefault="006F605B" w:rsidP="00E20355">
            <w:pPr>
              <w:pStyle w:val="Default"/>
              <w:rPr>
                <w:rFonts w:ascii="Garamond" w:hAnsi="Garamond"/>
                <w:sz w:val="20"/>
                <w:szCs w:val="20"/>
                <w:lang w:val="sq-AL"/>
              </w:rPr>
            </w:pPr>
            <w:r w:rsidRPr="00DC66CD">
              <w:rPr>
                <w:rFonts w:ascii="Garamond" w:hAnsi="Garamond"/>
                <w:b/>
                <w:bCs/>
                <w:sz w:val="20"/>
                <w:szCs w:val="20"/>
                <w:lang w:val="sq-AL"/>
              </w:rPr>
              <w:t>VI. Punësimi dhe tregu i punës</w:t>
            </w:r>
          </w:p>
        </w:tc>
      </w:tr>
      <w:tr w:rsidR="006F605B" w:rsidRPr="00DC66CD" w14:paraId="2E8EAEBD" w14:textId="77777777" w:rsidTr="00083200">
        <w:tc>
          <w:tcPr>
            <w:tcW w:w="9280" w:type="dxa"/>
          </w:tcPr>
          <w:p w14:paraId="163FF45F" w14:textId="7D4086D4" w:rsidR="006F605B" w:rsidRPr="00DC66CD" w:rsidRDefault="006F605B" w:rsidP="00C20EFC">
            <w:pPr>
              <w:snapToGrid w:val="0"/>
              <w:rPr>
                <w:rFonts w:ascii="Garamond" w:hAnsi="Garamond"/>
                <w:sz w:val="20"/>
                <w:szCs w:val="20"/>
                <w:lang w:val="sq-AL"/>
              </w:rPr>
            </w:pPr>
            <w:r w:rsidRPr="00DC66CD">
              <w:rPr>
                <w:rFonts w:ascii="Garamond" w:hAnsi="Garamond"/>
                <w:i/>
                <w:sz w:val="20"/>
                <w:szCs w:val="20"/>
                <w:lang w:val="sq-AL"/>
              </w:rPr>
              <w:t xml:space="preserve">Reforma 18: Përmirësimi i punësueshmërisë </w:t>
            </w:r>
            <w:r w:rsidR="00C20EFC" w:rsidRPr="00DC66CD">
              <w:rPr>
                <w:rFonts w:ascii="Garamond" w:hAnsi="Garamond"/>
                <w:i/>
                <w:sz w:val="20"/>
                <w:szCs w:val="20"/>
                <w:lang w:val="sq-AL"/>
              </w:rPr>
              <w:t>s</w:t>
            </w:r>
            <w:r w:rsidRPr="00DC66CD">
              <w:rPr>
                <w:rFonts w:ascii="Garamond" w:hAnsi="Garamond"/>
                <w:i/>
                <w:sz w:val="20"/>
                <w:szCs w:val="20"/>
                <w:lang w:val="sq-AL"/>
              </w:rPr>
              <w:t>ë papunësuarve punëkërkues nga grupet më të cenuara përmes adresimit më të mirë të PNP-ve dhe shërbimeve të punësimit</w:t>
            </w:r>
          </w:p>
        </w:tc>
      </w:tr>
      <w:tr w:rsidR="006F605B" w:rsidRPr="00DC66CD" w14:paraId="49FD327C" w14:textId="77777777" w:rsidTr="00E6012B">
        <w:tc>
          <w:tcPr>
            <w:tcW w:w="9280" w:type="dxa"/>
            <w:shd w:val="clear" w:color="auto" w:fill="C6D9F1" w:themeFill="text2" w:themeFillTint="33"/>
          </w:tcPr>
          <w:p w14:paraId="32D2546A" w14:textId="77777777" w:rsidR="006F605B" w:rsidRPr="00DC66CD" w:rsidRDefault="006F605B" w:rsidP="00E20355">
            <w:pPr>
              <w:pStyle w:val="Default"/>
              <w:rPr>
                <w:rFonts w:ascii="Garamond" w:hAnsi="Garamond"/>
                <w:sz w:val="20"/>
                <w:szCs w:val="20"/>
                <w:lang w:val="sq-AL"/>
              </w:rPr>
            </w:pPr>
            <w:r w:rsidRPr="00DC66CD">
              <w:rPr>
                <w:rFonts w:ascii="Garamond" w:hAnsi="Garamond"/>
                <w:b/>
                <w:bCs/>
                <w:sz w:val="20"/>
                <w:szCs w:val="20"/>
                <w:lang w:val="sq-AL"/>
              </w:rPr>
              <w:t>VII. Mbrojtja dhe përfshirja sociale</w:t>
            </w:r>
          </w:p>
        </w:tc>
      </w:tr>
      <w:tr w:rsidR="006F605B" w:rsidRPr="00DC66CD" w14:paraId="74B241FA" w14:textId="77777777" w:rsidTr="00083200">
        <w:tc>
          <w:tcPr>
            <w:tcW w:w="9280" w:type="dxa"/>
          </w:tcPr>
          <w:p w14:paraId="11869FEF" w14:textId="77777777" w:rsidR="006F605B" w:rsidRPr="00DC66CD" w:rsidRDefault="006F605B" w:rsidP="00E20355">
            <w:pPr>
              <w:snapToGrid w:val="0"/>
              <w:rPr>
                <w:rFonts w:ascii="Garamond" w:hAnsi="Garamond"/>
                <w:sz w:val="20"/>
                <w:szCs w:val="20"/>
                <w:lang w:val="sq-AL"/>
              </w:rPr>
            </w:pPr>
            <w:r w:rsidRPr="00DC66CD">
              <w:rPr>
                <w:rFonts w:ascii="Garamond" w:hAnsi="Garamond"/>
                <w:i/>
                <w:sz w:val="20"/>
                <w:szCs w:val="20"/>
                <w:lang w:val="sq-AL"/>
              </w:rPr>
              <w:t>Reforma 19: Forcimi i mbrojtjes sociale dhe masave të përfshirjes sociale</w:t>
            </w:r>
          </w:p>
        </w:tc>
      </w:tr>
    </w:tbl>
    <w:p w14:paraId="325E032B" w14:textId="7327695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Masat e reformës pjesë të ERP</w:t>
      </w:r>
      <w:r w:rsidR="006E5AE5" w:rsidRPr="00DC66CD">
        <w:rPr>
          <w:rFonts w:ascii="Garamond" w:hAnsi="Garamond"/>
          <w:sz w:val="24"/>
          <w:szCs w:val="24"/>
        </w:rPr>
        <w:t>-së,</w:t>
      </w:r>
      <w:r w:rsidRPr="00DC66CD">
        <w:rPr>
          <w:rFonts w:ascii="Garamond" w:hAnsi="Garamond"/>
          <w:sz w:val="24"/>
          <w:szCs w:val="24"/>
        </w:rPr>
        <w:t xml:space="preserve"> 2019</w:t>
      </w:r>
      <w:r w:rsidR="006E5AE5" w:rsidRPr="00DC66CD">
        <w:t>–</w:t>
      </w:r>
      <w:r w:rsidRPr="00DC66CD">
        <w:rPr>
          <w:rFonts w:ascii="Garamond" w:hAnsi="Garamond"/>
          <w:sz w:val="24"/>
          <w:szCs w:val="24"/>
        </w:rPr>
        <w:t>2021</w:t>
      </w:r>
      <w:r w:rsidR="006E5AE5" w:rsidRPr="00DC66CD">
        <w:rPr>
          <w:rFonts w:ascii="Garamond" w:hAnsi="Garamond"/>
          <w:sz w:val="24"/>
          <w:szCs w:val="24"/>
        </w:rPr>
        <w:t>,</w:t>
      </w:r>
      <w:r w:rsidRPr="00DC66CD">
        <w:rPr>
          <w:rFonts w:ascii="Garamond" w:hAnsi="Garamond"/>
          <w:sz w:val="24"/>
          <w:szCs w:val="24"/>
        </w:rPr>
        <w:t xml:space="preserve"> nën fushën tematike të </w:t>
      </w:r>
      <w:r w:rsidR="002A29AD" w:rsidRPr="00DC66CD">
        <w:rPr>
          <w:rFonts w:ascii="Garamond" w:hAnsi="Garamond"/>
          <w:sz w:val="24"/>
          <w:szCs w:val="24"/>
        </w:rPr>
        <w:t>“</w:t>
      </w:r>
      <w:r w:rsidRPr="00DC66CD">
        <w:rPr>
          <w:rFonts w:ascii="Garamond" w:hAnsi="Garamond"/>
          <w:sz w:val="24"/>
          <w:szCs w:val="24"/>
        </w:rPr>
        <w:t>mjedisi i biznesit dhe ulja e ekonomisë informale</w:t>
      </w:r>
      <w:r w:rsidR="002A29AD" w:rsidRPr="00DC66CD">
        <w:rPr>
          <w:rFonts w:ascii="Garamond" w:hAnsi="Garamond"/>
          <w:sz w:val="24"/>
          <w:szCs w:val="24"/>
        </w:rPr>
        <w:t>”</w:t>
      </w:r>
      <w:r w:rsidRPr="00DC66CD">
        <w:rPr>
          <w:rFonts w:ascii="Garamond" w:hAnsi="Garamond"/>
          <w:sz w:val="24"/>
          <w:szCs w:val="24"/>
        </w:rPr>
        <w:t>, përkatësisht reforma 7</w:t>
      </w:r>
      <w:r w:rsidR="006E5AE5"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sz w:val="24"/>
          <w:szCs w:val="24"/>
        </w:rPr>
        <w:t>“</w:t>
      </w:r>
      <w:r w:rsidRPr="00DC66CD">
        <w:rPr>
          <w:rFonts w:ascii="Garamond" w:hAnsi="Garamond"/>
          <w:sz w:val="24"/>
          <w:szCs w:val="24"/>
        </w:rPr>
        <w:t>Ulja e barrës rregullatore për bizneset</w:t>
      </w:r>
      <w:r w:rsidR="002A29AD" w:rsidRPr="00DC66CD">
        <w:rPr>
          <w:rFonts w:ascii="Garamond" w:hAnsi="Garamond"/>
          <w:sz w:val="24"/>
          <w:szCs w:val="24"/>
        </w:rPr>
        <w:t>”</w:t>
      </w:r>
      <w:r w:rsidRPr="00DC66CD">
        <w:rPr>
          <w:rFonts w:ascii="Garamond" w:hAnsi="Garamond"/>
          <w:sz w:val="24"/>
          <w:szCs w:val="24"/>
        </w:rPr>
        <w:t>, dhe reforma 8</w:t>
      </w:r>
      <w:r w:rsidR="006E5AE5"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sz w:val="24"/>
          <w:szCs w:val="24"/>
        </w:rPr>
        <w:t>“</w:t>
      </w:r>
      <w:r w:rsidRPr="00DC66CD">
        <w:rPr>
          <w:rFonts w:ascii="Garamond" w:hAnsi="Garamond"/>
          <w:sz w:val="24"/>
          <w:szCs w:val="24"/>
        </w:rPr>
        <w:t xml:space="preserve">Ulja e burokracisë dhe rritja e efikasitetit të institucioneve që ofrojnë shërbime për qytetarët dhe sipërmarrësit </w:t>
      </w:r>
      <w:r w:rsidR="002A29AD" w:rsidRPr="00DC66CD">
        <w:rPr>
          <w:rFonts w:ascii="Garamond" w:hAnsi="Garamond"/>
          <w:sz w:val="24"/>
          <w:szCs w:val="24"/>
        </w:rPr>
        <w:t>“</w:t>
      </w:r>
      <w:r w:rsidRPr="00DC66CD">
        <w:rPr>
          <w:rFonts w:ascii="Garamond" w:hAnsi="Garamond"/>
          <w:sz w:val="24"/>
          <w:szCs w:val="24"/>
        </w:rPr>
        <w:t>janë tërhequr nga ERP</w:t>
      </w:r>
      <w:r w:rsidR="006E5AE5" w:rsidRPr="00DC66CD">
        <w:rPr>
          <w:rFonts w:ascii="Garamond" w:hAnsi="Garamond"/>
          <w:sz w:val="24"/>
          <w:szCs w:val="24"/>
        </w:rPr>
        <w:t>-ja,</w:t>
      </w:r>
      <w:r w:rsidRPr="00DC66CD">
        <w:rPr>
          <w:rFonts w:ascii="Garamond" w:hAnsi="Garamond"/>
          <w:sz w:val="24"/>
          <w:szCs w:val="24"/>
        </w:rPr>
        <w:t xml:space="preserve"> 2020</w:t>
      </w:r>
      <w:r w:rsidR="006E5AE5" w:rsidRPr="00DC66CD">
        <w:t>–</w:t>
      </w:r>
      <w:r w:rsidRPr="00DC66CD">
        <w:rPr>
          <w:rFonts w:ascii="Garamond" w:hAnsi="Garamond"/>
          <w:sz w:val="24"/>
          <w:szCs w:val="24"/>
        </w:rPr>
        <w:t>2022</w:t>
      </w:r>
      <w:r w:rsidR="006E5AE5" w:rsidRPr="00DC66CD">
        <w:rPr>
          <w:rFonts w:ascii="Garamond" w:hAnsi="Garamond"/>
          <w:sz w:val="24"/>
          <w:szCs w:val="24"/>
        </w:rPr>
        <w:t>,</w:t>
      </w:r>
      <w:r w:rsidRPr="00DC66CD">
        <w:rPr>
          <w:rFonts w:ascii="Garamond" w:hAnsi="Garamond"/>
          <w:sz w:val="24"/>
          <w:szCs w:val="24"/>
        </w:rPr>
        <w:t xml:space="preserve"> sepse objektivi i tyre kryesor cilësohet i arritur: ulja e burokracisë, zvogëlimi i barrës administrative dhe transferimi 100% në shërbimet </w:t>
      </w:r>
      <w:r w:rsidRPr="00DC66CD">
        <w:rPr>
          <w:rFonts w:ascii="Garamond" w:hAnsi="Garamond"/>
          <w:i/>
          <w:sz w:val="24"/>
          <w:szCs w:val="24"/>
        </w:rPr>
        <w:t>online</w:t>
      </w:r>
      <w:r w:rsidRPr="00DC66CD">
        <w:rPr>
          <w:rFonts w:ascii="Garamond" w:hAnsi="Garamond"/>
          <w:sz w:val="24"/>
          <w:szCs w:val="24"/>
        </w:rPr>
        <w:t xml:space="preserve">. Duke filluar nga 1 janari 2020, 472 shërbime do të ofrohen </w:t>
      </w:r>
      <w:r w:rsidRPr="00DC66CD">
        <w:rPr>
          <w:rFonts w:ascii="Garamond" w:hAnsi="Garamond"/>
          <w:i/>
          <w:sz w:val="24"/>
          <w:szCs w:val="24"/>
        </w:rPr>
        <w:t>online</w:t>
      </w:r>
      <w:r w:rsidRPr="00DC66CD">
        <w:rPr>
          <w:rFonts w:ascii="Garamond" w:hAnsi="Garamond"/>
          <w:sz w:val="24"/>
          <w:szCs w:val="24"/>
        </w:rPr>
        <w:t xml:space="preserve">, pra 100% e shërbime </w:t>
      </w:r>
      <w:r w:rsidRPr="00DC66CD">
        <w:rPr>
          <w:rFonts w:ascii="Garamond" w:hAnsi="Garamond"/>
          <w:i/>
          <w:sz w:val="24"/>
          <w:szCs w:val="24"/>
        </w:rPr>
        <w:t>online</w:t>
      </w:r>
      <w:r w:rsidRPr="00DC66CD">
        <w:rPr>
          <w:rFonts w:ascii="Garamond" w:hAnsi="Garamond"/>
          <w:sz w:val="24"/>
          <w:szCs w:val="24"/>
        </w:rPr>
        <w:t xml:space="preserve">. Në qershor 2020 blloku i dytë i shërbimeve do të jetë në dispozicion </w:t>
      </w:r>
      <w:r w:rsidRPr="00DC66CD">
        <w:rPr>
          <w:rFonts w:ascii="Garamond" w:hAnsi="Garamond"/>
          <w:i/>
          <w:sz w:val="24"/>
          <w:szCs w:val="24"/>
        </w:rPr>
        <w:t>online</w:t>
      </w:r>
      <w:r w:rsidRPr="00DC66CD">
        <w:rPr>
          <w:rFonts w:ascii="Garamond" w:hAnsi="Garamond"/>
          <w:sz w:val="24"/>
          <w:szCs w:val="24"/>
        </w:rPr>
        <w:t xml:space="preserve"> dhe deri në fund të vitit 2020</w:t>
      </w:r>
      <w:r w:rsidR="006E5AE5" w:rsidRPr="00DC66CD">
        <w:rPr>
          <w:rFonts w:ascii="Garamond" w:hAnsi="Garamond"/>
          <w:sz w:val="24"/>
          <w:szCs w:val="24"/>
        </w:rPr>
        <w:t>,</w:t>
      </w:r>
      <w:r w:rsidRPr="00DC66CD">
        <w:rPr>
          <w:rFonts w:ascii="Garamond" w:hAnsi="Garamond"/>
          <w:sz w:val="24"/>
          <w:szCs w:val="24"/>
        </w:rPr>
        <w:t xml:space="preserve"> të gjitha shërbimet do të vihen në dispozicion në internet. Aktivitetet e masave konsiderohen si veprimtari ditore funksionale të autoriteteve qeveritare.</w:t>
      </w:r>
    </w:p>
    <w:p w14:paraId="5BAC69A7" w14:textId="0515EE49"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Gjithashtu, masa e reformës 10</w:t>
      </w:r>
      <w:r w:rsidR="006E5AE5"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sz w:val="24"/>
          <w:szCs w:val="24"/>
        </w:rPr>
        <w:t>“</w:t>
      </w:r>
      <w:r w:rsidRPr="00DC66CD">
        <w:rPr>
          <w:rFonts w:ascii="Garamond" w:hAnsi="Garamond"/>
          <w:sz w:val="24"/>
          <w:szCs w:val="24"/>
        </w:rPr>
        <w:t>Sigurimi i një regjimi të vetëm dhe transparent të investimeve ligjore në vend</w:t>
      </w:r>
      <w:r w:rsidR="002A29AD" w:rsidRPr="00DC66CD">
        <w:rPr>
          <w:rFonts w:ascii="Garamond" w:hAnsi="Garamond"/>
          <w:sz w:val="24"/>
          <w:szCs w:val="24"/>
        </w:rPr>
        <w:t>”</w:t>
      </w:r>
      <w:r w:rsidRPr="00DC66CD">
        <w:rPr>
          <w:rFonts w:ascii="Garamond" w:hAnsi="Garamond"/>
          <w:sz w:val="24"/>
          <w:szCs w:val="24"/>
        </w:rPr>
        <w:t xml:space="preserve"> është tërhequr nga ERP</w:t>
      </w:r>
      <w:r w:rsidR="006E5AE5" w:rsidRPr="00DC66CD">
        <w:rPr>
          <w:rFonts w:ascii="Garamond" w:hAnsi="Garamond"/>
          <w:sz w:val="24"/>
          <w:szCs w:val="24"/>
        </w:rPr>
        <w:t>-ja,</w:t>
      </w:r>
      <w:r w:rsidRPr="00DC66CD">
        <w:rPr>
          <w:rFonts w:ascii="Garamond" w:hAnsi="Garamond"/>
          <w:sz w:val="24"/>
          <w:szCs w:val="24"/>
        </w:rPr>
        <w:t xml:space="preserve"> 2020</w:t>
      </w:r>
      <w:r w:rsidR="006E5AE5" w:rsidRPr="00DC66CD">
        <w:t>–</w:t>
      </w:r>
      <w:r w:rsidRPr="00DC66CD">
        <w:rPr>
          <w:rFonts w:ascii="Garamond" w:hAnsi="Garamond"/>
          <w:sz w:val="24"/>
          <w:szCs w:val="24"/>
        </w:rPr>
        <w:t>2022</w:t>
      </w:r>
      <w:r w:rsidR="006E5AE5" w:rsidRPr="00DC66CD">
        <w:rPr>
          <w:rFonts w:ascii="Garamond" w:hAnsi="Garamond"/>
          <w:sz w:val="24"/>
          <w:szCs w:val="24"/>
        </w:rPr>
        <w:t>,</w:t>
      </w:r>
      <w:r w:rsidRPr="00DC66CD">
        <w:rPr>
          <w:rFonts w:ascii="Garamond" w:hAnsi="Garamond"/>
          <w:sz w:val="24"/>
          <w:szCs w:val="24"/>
        </w:rPr>
        <w:t xml:space="preserve"> pasi projektligji është konsoliduar dhe përfunduar dhe pritet që së shpejti të kalojë në </w:t>
      </w:r>
      <w:r w:rsidR="006E5AE5" w:rsidRPr="00DC66CD">
        <w:rPr>
          <w:rFonts w:ascii="Garamond" w:hAnsi="Garamond"/>
          <w:sz w:val="24"/>
          <w:szCs w:val="24"/>
        </w:rPr>
        <w:t xml:space="preserve">parlament </w:t>
      </w:r>
      <w:r w:rsidRPr="00DC66CD">
        <w:rPr>
          <w:rFonts w:ascii="Garamond" w:hAnsi="Garamond"/>
          <w:sz w:val="24"/>
          <w:szCs w:val="24"/>
        </w:rPr>
        <w:t>për miratim. Masa e reformës konsiderohet</w:t>
      </w:r>
      <w:r w:rsidR="006E5AE5" w:rsidRPr="00DC66CD">
        <w:rPr>
          <w:rFonts w:ascii="Garamond" w:hAnsi="Garamond"/>
          <w:sz w:val="24"/>
          <w:szCs w:val="24"/>
        </w:rPr>
        <w:t>,</w:t>
      </w:r>
      <w:r w:rsidRPr="00DC66CD">
        <w:rPr>
          <w:rFonts w:ascii="Garamond" w:hAnsi="Garamond"/>
          <w:sz w:val="24"/>
          <w:szCs w:val="24"/>
        </w:rPr>
        <w:t xml:space="preserve"> gjithashtu</w:t>
      </w:r>
      <w:r w:rsidR="006E5AE5" w:rsidRPr="00DC66CD">
        <w:rPr>
          <w:rFonts w:ascii="Garamond" w:hAnsi="Garamond"/>
          <w:sz w:val="24"/>
          <w:szCs w:val="24"/>
        </w:rPr>
        <w:t>,</w:t>
      </w:r>
      <w:r w:rsidRPr="00DC66CD">
        <w:rPr>
          <w:rFonts w:ascii="Garamond" w:hAnsi="Garamond"/>
          <w:sz w:val="24"/>
          <w:szCs w:val="24"/>
        </w:rPr>
        <w:t xml:space="preserve"> e maturuar.</w:t>
      </w:r>
    </w:p>
    <w:p w14:paraId="3350AF07" w14:textId="1AFBCE02" w:rsidR="006F605B" w:rsidRPr="00DC66CD" w:rsidRDefault="00E20355" w:rsidP="00E20355">
      <w:pPr>
        <w:pStyle w:val="TEKSTIIII"/>
      </w:pPr>
      <w:bookmarkStart w:id="33" w:name="_Toc484076184"/>
      <w:bookmarkStart w:id="34" w:name="_Toc30661229"/>
      <w:r w:rsidRPr="00DC66CD">
        <w:t xml:space="preserve">5.3 </w:t>
      </w:r>
      <w:r w:rsidR="006F605B" w:rsidRPr="00DC66CD">
        <w:t>Analiza sipas fushave dhe masave të masave të reformave</w:t>
      </w:r>
      <w:bookmarkEnd w:id="33"/>
      <w:bookmarkEnd w:id="34"/>
    </w:p>
    <w:p w14:paraId="39576B5F" w14:textId="25AF6508" w:rsidR="006F605B" w:rsidRPr="00DC66CD" w:rsidRDefault="00E20355" w:rsidP="00E20355">
      <w:pPr>
        <w:pStyle w:val="TEKSTIIII"/>
      </w:pPr>
      <w:bookmarkStart w:id="35" w:name="_Toc484076186"/>
      <w:bookmarkStart w:id="36" w:name="_Toc30661230"/>
      <w:r w:rsidRPr="00DC66CD">
        <w:t xml:space="preserve">5.3.1 </w:t>
      </w:r>
      <w:r w:rsidR="006F605B" w:rsidRPr="00DC66CD">
        <w:t>Reformat në tregun e energjisë dhe transportit</w:t>
      </w:r>
      <w:bookmarkEnd w:id="35"/>
      <w:bookmarkEnd w:id="36"/>
    </w:p>
    <w:p w14:paraId="69BEFCD7" w14:textId="6D061D17" w:rsidR="006F605B" w:rsidRPr="00DC66CD" w:rsidRDefault="00E20355" w:rsidP="00E20355">
      <w:pPr>
        <w:pStyle w:val="TEKSTIIII"/>
        <w:rPr>
          <w:i/>
        </w:rPr>
      </w:pPr>
      <w:r w:rsidRPr="00DC66CD">
        <w:rPr>
          <w:i/>
        </w:rPr>
        <w:t xml:space="preserve">a) </w:t>
      </w:r>
      <w:r w:rsidR="006F605B" w:rsidRPr="00DC66CD">
        <w:rPr>
          <w:i/>
        </w:rPr>
        <w:t>Analiza e pengesave kryesore</w:t>
      </w:r>
    </w:p>
    <w:p w14:paraId="5EF6C26F" w14:textId="032306B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Sektori i energjisë është një nga sektorët strategjikë në Shqipëri dhe vazhdon të mbetet prioritet i </w:t>
      </w:r>
      <w:r w:rsidR="006E5AE5" w:rsidRPr="00DC66CD">
        <w:rPr>
          <w:rFonts w:ascii="Garamond" w:hAnsi="Garamond"/>
          <w:sz w:val="24"/>
          <w:szCs w:val="24"/>
        </w:rPr>
        <w:t xml:space="preserve">qeverisë, </w:t>
      </w:r>
      <w:r w:rsidRPr="00DC66CD">
        <w:rPr>
          <w:rFonts w:ascii="Garamond" w:hAnsi="Garamond"/>
          <w:sz w:val="24"/>
          <w:szCs w:val="24"/>
        </w:rPr>
        <w:t>duke pasur parasysh larminë e burimeve të energjisë</w:t>
      </w:r>
      <w:r w:rsidR="007206A4" w:rsidRPr="00DC66CD">
        <w:rPr>
          <w:rFonts w:ascii="Garamond" w:hAnsi="Garamond"/>
          <w:sz w:val="24"/>
          <w:szCs w:val="24"/>
        </w:rPr>
        <w:t xml:space="preserve"> (ujë, erë, diellor, naftë, gaz</w:t>
      </w:r>
      <w:r w:rsidRPr="00DC66CD">
        <w:rPr>
          <w:rFonts w:ascii="Garamond" w:hAnsi="Garamond"/>
          <w:sz w:val="24"/>
          <w:szCs w:val="24"/>
        </w:rPr>
        <w:t xml:space="preserve"> etj.) që vendi ynë posedon, të cilat deri më tani nuk janë shfrytëzuar plotësisht. Referuar Strategjisë Kombëtare të Energjisë</w:t>
      </w:r>
      <w:r w:rsidR="006E5AE5" w:rsidRPr="00DC66CD">
        <w:rPr>
          <w:rFonts w:ascii="Garamond" w:hAnsi="Garamond"/>
          <w:sz w:val="24"/>
          <w:szCs w:val="24"/>
        </w:rPr>
        <w:t>,</w:t>
      </w:r>
      <w:r w:rsidRPr="00DC66CD">
        <w:rPr>
          <w:rFonts w:ascii="Garamond" w:hAnsi="Garamond"/>
          <w:sz w:val="24"/>
          <w:szCs w:val="24"/>
        </w:rPr>
        <w:t xml:space="preserve"> 2018–2030, sektori i energjisë ka potencialin e të qenit një burim i qëndrueshëm i rritjes për vendin në terma afatshkurtër drejt mesatar</w:t>
      </w:r>
      <w:r w:rsidR="006E5AE5" w:rsidRPr="00DC66CD">
        <w:rPr>
          <w:rFonts w:ascii="Garamond" w:hAnsi="Garamond"/>
          <w:sz w:val="24"/>
          <w:szCs w:val="24"/>
        </w:rPr>
        <w:t>ë</w:t>
      </w:r>
      <w:r w:rsidRPr="00DC66CD">
        <w:rPr>
          <w:rFonts w:ascii="Garamond" w:hAnsi="Garamond"/>
          <w:sz w:val="24"/>
          <w:szCs w:val="24"/>
        </w:rPr>
        <w:t xml:space="preserve"> dhe afatgjatë. Importet e energjisë el</w:t>
      </w:r>
      <w:r w:rsidR="006E5AE5" w:rsidRPr="00DC66CD">
        <w:rPr>
          <w:rFonts w:ascii="Garamond" w:hAnsi="Garamond"/>
          <w:sz w:val="24"/>
          <w:szCs w:val="24"/>
        </w:rPr>
        <w:t>ektrike (60% e konsumit vjetor/</w:t>
      </w:r>
      <w:r w:rsidRPr="00DC66CD">
        <w:rPr>
          <w:rFonts w:ascii="Garamond" w:hAnsi="Garamond"/>
          <w:sz w:val="24"/>
          <w:szCs w:val="24"/>
        </w:rPr>
        <w:t>nevojës) mbeten të larta dhe kërkojnë përdorim më të mirë të të gjitha burimeve potenciale të energjisë të disponueshme. Në thelb, Shqipëria ka potencialin për të rritur sasinë e energjisë elektrike të prodhuar brenda vendit dhe</w:t>
      </w:r>
      <w:r w:rsidR="006E5AE5" w:rsidRPr="00DC66CD">
        <w:rPr>
          <w:rFonts w:ascii="Garamond" w:hAnsi="Garamond"/>
          <w:sz w:val="24"/>
          <w:szCs w:val="24"/>
        </w:rPr>
        <w:t>,</w:t>
      </w:r>
      <w:r w:rsidRPr="00DC66CD">
        <w:rPr>
          <w:rFonts w:ascii="Garamond" w:hAnsi="Garamond"/>
          <w:sz w:val="24"/>
          <w:szCs w:val="24"/>
        </w:rPr>
        <w:t xml:space="preserve"> për këtë arsye</w:t>
      </w:r>
      <w:r w:rsidR="006E5AE5" w:rsidRPr="00DC66CD">
        <w:rPr>
          <w:rFonts w:ascii="Garamond" w:hAnsi="Garamond"/>
          <w:sz w:val="24"/>
          <w:szCs w:val="24"/>
        </w:rPr>
        <w:t>,</w:t>
      </w:r>
      <w:r w:rsidRPr="00DC66CD">
        <w:rPr>
          <w:rFonts w:ascii="Garamond" w:hAnsi="Garamond"/>
          <w:sz w:val="24"/>
          <w:szCs w:val="24"/>
        </w:rPr>
        <w:t xml:space="preserve"> të zvogëlojë importet e nevojshme të energjisë. Pothuajse 100% e energjisë elektrike e prodhuar </w:t>
      </w:r>
      <w:r w:rsidR="006E5AE5" w:rsidRPr="00DC66CD">
        <w:rPr>
          <w:rFonts w:ascii="Garamond" w:hAnsi="Garamond"/>
          <w:sz w:val="24"/>
          <w:szCs w:val="24"/>
        </w:rPr>
        <w:t>në Shqipëri prodhohet nga HEC-et</w:t>
      </w:r>
      <w:r w:rsidRPr="00DC66CD">
        <w:rPr>
          <w:rFonts w:ascii="Garamond" w:hAnsi="Garamond"/>
          <w:sz w:val="24"/>
          <w:szCs w:val="24"/>
        </w:rPr>
        <w:t>, por vetëm 50% e këtij potenciali është përdorur dhe prodhimi i energjisë elektrike varet shumë nga paqëndrueshmëria e rrjedhës s</w:t>
      </w:r>
      <w:r w:rsidR="006E5AE5" w:rsidRPr="00DC66CD">
        <w:rPr>
          <w:rFonts w:ascii="Garamond" w:hAnsi="Garamond"/>
          <w:sz w:val="24"/>
          <w:szCs w:val="24"/>
        </w:rPr>
        <w:t>ë ujit në kaskadën e lumit Drin</w:t>
      </w:r>
      <w:r w:rsidRPr="00DC66CD">
        <w:rPr>
          <w:rFonts w:ascii="Garamond" w:hAnsi="Garamond"/>
          <w:sz w:val="24"/>
          <w:szCs w:val="24"/>
        </w:rPr>
        <w:t>.</w:t>
      </w:r>
    </w:p>
    <w:p w14:paraId="3B8DFF9B" w14:textId="6E8112BD"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Bazuar në </w:t>
      </w:r>
      <w:r w:rsidR="00A26D29" w:rsidRPr="00DC66CD">
        <w:rPr>
          <w:rFonts w:ascii="Garamond" w:hAnsi="Garamond"/>
          <w:sz w:val="24"/>
          <w:szCs w:val="24"/>
        </w:rPr>
        <w:t xml:space="preserve">raportin </w:t>
      </w:r>
      <w:r w:rsidRPr="00DC66CD">
        <w:rPr>
          <w:rFonts w:ascii="Garamond" w:hAnsi="Garamond"/>
          <w:sz w:val="24"/>
          <w:szCs w:val="24"/>
        </w:rPr>
        <w:t xml:space="preserve">ERE të </w:t>
      </w:r>
      <w:r w:rsidR="00433A3A" w:rsidRPr="00DC66CD">
        <w:rPr>
          <w:rFonts w:ascii="Garamond" w:hAnsi="Garamond"/>
          <w:sz w:val="24"/>
          <w:szCs w:val="24"/>
        </w:rPr>
        <w:t>2018–</w:t>
      </w:r>
      <w:r w:rsidR="00A26D29" w:rsidRPr="00DC66CD">
        <w:rPr>
          <w:rFonts w:ascii="Garamond" w:hAnsi="Garamond"/>
          <w:sz w:val="24"/>
          <w:szCs w:val="24"/>
        </w:rPr>
        <w:t>ës</w:t>
      </w:r>
      <w:r w:rsidRPr="00DC66CD">
        <w:rPr>
          <w:rFonts w:ascii="Garamond" w:hAnsi="Garamond"/>
          <w:sz w:val="24"/>
          <w:szCs w:val="24"/>
        </w:rPr>
        <w:t xml:space="preserve">, kapaciteti i instaluar (i licencuar) në vendin tonë është 2.204 </w:t>
      </w:r>
      <w:r w:rsidR="00A26D29" w:rsidRPr="00DC66CD">
        <w:rPr>
          <w:rFonts w:ascii="Garamond" w:hAnsi="Garamond"/>
          <w:sz w:val="24"/>
          <w:szCs w:val="24"/>
        </w:rPr>
        <w:t>mw</w:t>
      </w:r>
      <w:r w:rsidRPr="00DC66CD">
        <w:rPr>
          <w:rFonts w:ascii="Garamond" w:hAnsi="Garamond"/>
          <w:sz w:val="24"/>
          <w:szCs w:val="24"/>
        </w:rPr>
        <w:t xml:space="preserve">, nga të cilat 1.448 </w:t>
      </w:r>
      <w:r w:rsidR="00A26D29" w:rsidRPr="00DC66CD">
        <w:rPr>
          <w:rFonts w:ascii="Garamond" w:hAnsi="Garamond"/>
          <w:sz w:val="24"/>
          <w:szCs w:val="24"/>
        </w:rPr>
        <w:t xml:space="preserve">mw </w:t>
      </w:r>
      <w:r w:rsidRPr="00DC66CD">
        <w:rPr>
          <w:rFonts w:ascii="Garamond" w:hAnsi="Garamond"/>
          <w:sz w:val="24"/>
          <w:szCs w:val="24"/>
        </w:rPr>
        <w:t>është kapaciteti i instaluar i hidrocentraleve (HEC) në kaskadën e lumit Drin të shoqërisë KESH sh.a</w:t>
      </w:r>
      <w:r w:rsidR="00A26D29" w:rsidRPr="00DC66CD">
        <w:rPr>
          <w:rFonts w:ascii="Garamond" w:hAnsi="Garamond"/>
          <w:sz w:val="24"/>
          <w:szCs w:val="24"/>
        </w:rPr>
        <w:t>.</w:t>
      </w:r>
      <w:r w:rsidRPr="00DC66CD">
        <w:rPr>
          <w:rFonts w:ascii="Garamond" w:hAnsi="Garamond"/>
          <w:sz w:val="24"/>
          <w:szCs w:val="24"/>
        </w:rPr>
        <w:t xml:space="preserve">, 756 </w:t>
      </w:r>
      <w:r w:rsidR="00A26D29" w:rsidRPr="00DC66CD">
        <w:rPr>
          <w:rFonts w:ascii="Garamond" w:hAnsi="Garamond"/>
          <w:sz w:val="24"/>
          <w:szCs w:val="24"/>
        </w:rPr>
        <w:t xml:space="preserve">mw </w:t>
      </w:r>
      <w:r w:rsidRPr="00DC66CD">
        <w:rPr>
          <w:rFonts w:ascii="Garamond" w:hAnsi="Garamond"/>
          <w:sz w:val="24"/>
          <w:szCs w:val="24"/>
        </w:rPr>
        <w:t xml:space="preserve">kapaciteti total i instaluar nga prodhuesit privatë/koncesionarëve të energjisë elektrike dhe 98 </w:t>
      </w:r>
      <w:r w:rsidR="00A26D29" w:rsidRPr="00DC66CD">
        <w:rPr>
          <w:rFonts w:ascii="Garamond" w:hAnsi="Garamond"/>
          <w:sz w:val="24"/>
          <w:szCs w:val="24"/>
        </w:rPr>
        <w:t xml:space="preserve">mw, </w:t>
      </w:r>
      <w:r w:rsidRPr="00DC66CD">
        <w:rPr>
          <w:rFonts w:ascii="Garamond" w:hAnsi="Garamond"/>
          <w:sz w:val="24"/>
          <w:szCs w:val="24"/>
        </w:rPr>
        <w:t xml:space="preserve">kapaciteti i instaluar i TEC-it të Vlorës. Prodhimi neto i energjisë elektrike nga HEC-et në vend ishte 8,552,152 </w:t>
      </w:r>
      <w:r w:rsidR="00A26D29" w:rsidRPr="00DC66CD">
        <w:rPr>
          <w:rFonts w:ascii="Garamond" w:hAnsi="Garamond"/>
          <w:sz w:val="24"/>
          <w:szCs w:val="24"/>
        </w:rPr>
        <w:t>mwh</w:t>
      </w:r>
      <w:r w:rsidRPr="00DC66CD">
        <w:rPr>
          <w:rFonts w:ascii="Garamond" w:hAnsi="Garamond"/>
          <w:sz w:val="24"/>
          <w:szCs w:val="24"/>
        </w:rPr>
        <w:t xml:space="preserve">. Prodhimi publik neto i energjisë elektrike është realizuar 100% nga HEC-et, prej të cilave 5,850,932 </w:t>
      </w:r>
      <w:r w:rsidR="00A26D29" w:rsidRPr="00DC66CD">
        <w:rPr>
          <w:rFonts w:ascii="Garamond" w:hAnsi="Garamond"/>
          <w:sz w:val="24"/>
          <w:szCs w:val="24"/>
        </w:rPr>
        <w:t xml:space="preserve">mwh </w:t>
      </w:r>
      <w:r w:rsidRPr="00DC66CD">
        <w:rPr>
          <w:rFonts w:ascii="Garamond" w:hAnsi="Garamond"/>
          <w:sz w:val="24"/>
          <w:szCs w:val="24"/>
        </w:rPr>
        <w:t xml:space="preserve">është prodhuar nga KESH (prodhues publik, që është 68.4% e prodhimit të përgjithshëm) dhe 2.701.220 </w:t>
      </w:r>
      <w:r w:rsidR="00A26D29" w:rsidRPr="00DC66CD">
        <w:rPr>
          <w:rFonts w:ascii="Garamond" w:hAnsi="Garamond"/>
          <w:sz w:val="24"/>
          <w:szCs w:val="24"/>
        </w:rPr>
        <w:t xml:space="preserve">mwh </w:t>
      </w:r>
      <w:r w:rsidRPr="00DC66CD">
        <w:rPr>
          <w:rFonts w:ascii="Garamond" w:hAnsi="Garamond"/>
          <w:sz w:val="24"/>
          <w:szCs w:val="24"/>
        </w:rPr>
        <w:t xml:space="preserve">nga HEC-et e tjera (31.6% e prodhimit të përgjithshëm). Prodhimi nga HEC-et në kaskadën e lumit Drini ka pjesën kryesore të prodhimit </w:t>
      </w:r>
      <w:r w:rsidR="00637183" w:rsidRPr="00DC66CD">
        <w:rPr>
          <w:rFonts w:ascii="Garamond" w:hAnsi="Garamond"/>
          <w:sz w:val="24"/>
          <w:szCs w:val="24"/>
        </w:rPr>
        <w:t>vendës</w:t>
      </w:r>
      <w:r w:rsidRPr="00DC66CD">
        <w:rPr>
          <w:rFonts w:ascii="Garamond" w:hAnsi="Garamond"/>
          <w:sz w:val="24"/>
          <w:szCs w:val="24"/>
        </w:rPr>
        <w:t>.</w:t>
      </w:r>
    </w:p>
    <w:p w14:paraId="5193AAA2" w14:textId="6A0EC37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Puna vazhdon me qëllim rritjen e kapacitetit prodhimit nga hidrocentralet përmes ndërtimit të HEC-ve të dhëna më herët në marrëveshje koncesionesh ose HEC-ve të vogla nën 2 </w:t>
      </w:r>
      <w:r w:rsidR="0063009D" w:rsidRPr="00DC66CD">
        <w:rPr>
          <w:rFonts w:ascii="Garamond" w:hAnsi="Garamond"/>
          <w:sz w:val="24"/>
          <w:szCs w:val="24"/>
        </w:rPr>
        <w:t xml:space="preserve">mw </w:t>
      </w:r>
      <w:r w:rsidRPr="00DC66CD">
        <w:rPr>
          <w:rFonts w:ascii="Garamond" w:hAnsi="Garamond"/>
          <w:sz w:val="24"/>
          <w:szCs w:val="24"/>
        </w:rPr>
        <w:t>dhe masa për të shfrytëzuar potencialin domethënës nëpërmjet kapacitetit të burimeve të rinovueshme në vend, si era dhe dielli. Në këtë kontekst, Shqipëria tashmë po eksploron investime të reja të mundshme në centralet me erë dhe diellorë. Për më tepër, ulja e niv</w:t>
      </w:r>
      <w:r w:rsidR="0063009D" w:rsidRPr="00DC66CD">
        <w:rPr>
          <w:rFonts w:ascii="Garamond" w:hAnsi="Garamond"/>
          <w:sz w:val="24"/>
          <w:szCs w:val="24"/>
        </w:rPr>
        <w:t>elit të humbjeve teknike dhe jo</w:t>
      </w:r>
      <w:r w:rsidRPr="00DC66CD">
        <w:rPr>
          <w:rFonts w:ascii="Garamond" w:hAnsi="Garamond"/>
          <w:sz w:val="24"/>
          <w:szCs w:val="24"/>
        </w:rPr>
        <w:t>teknike në rrjetet e shpërndarjes dhe investimi në rrjetin e shpërndarjes mbetet një tjetër përparësi për sektorin.</w:t>
      </w:r>
    </w:p>
    <w:p w14:paraId="2905F413" w14:textId="4B8FA91E"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Ndryshimet e paraqitura në </w:t>
      </w:r>
      <w:r w:rsidR="002E4C00" w:rsidRPr="00DC66CD">
        <w:rPr>
          <w:rFonts w:ascii="Garamond" w:hAnsi="Garamond"/>
          <w:sz w:val="24"/>
          <w:szCs w:val="24"/>
        </w:rPr>
        <w:t>ligjin</w:t>
      </w:r>
      <w:r w:rsidR="00E33D88" w:rsidRPr="00DC66CD">
        <w:rPr>
          <w:rFonts w:ascii="Garamond" w:hAnsi="Garamond"/>
          <w:sz w:val="24"/>
          <w:szCs w:val="24"/>
        </w:rPr>
        <w:t xml:space="preserve"> nr. </w:t>
      </w:r>
      <w:r w:rsidRPr="00DC66CD">
        <w:rPr>
          <w:rFonts w:ascii="Garamond" w:hAnsi="Garamond"/>
          <w:sz w:val="24"/>
          <w:szCs w:val="24"/>
        </w:rPr>
        <w:t>7/2018</w:t>
      </w:r>
      <w:r w:rsidR="002E4C00" w:rsidRPr="00DC66CD">
        <w:rPr>
          <w:rFonts w:ascii="Garamond" w:hAnsi="Garamond"/>
          <w:sz w:val="24"/>
          <w:szCs w:val="24"/>
        </w:rPr>
        <w:t>,</w:t>
      </w:r>
      <w:r w:rsidRPr="00DC66CD">
        <w:rPr>
          <w:rFonts w:ascii="Garamond" w:hAnsi="Garamond"/>
          <w:sz w:val="24"/>
          <w:szCs w:val="24"/>
        </w:rPr>
        <w:t xml:space="preserve"> </w:t>
      </w:r>
      <w:r w:rsidR="002E4C00" w:rsidRPr="00DC66CD">
        <w:rPr>
          <w:rFonts w:ascii="Garamond" w:hAnsi="Garamond"/>
          <w:sz w:val="24"/>
          <w:szCs w:val="24"/>
        </w:rPr>
        <w:t>të datës 15.</w:t>
      </w:r>
      <w:r w:rsidRPr="00DC66CD">
        <w:rPr>
          <w:rFonts w:ascii="Garamond" w:hAnsi="Garamond"/>
          <w:sz w:val="24"/>
          <w:szCs w:val="24"/>
        </w:rPr>
        <w:t>2.2018</w:t>
      </w:r>
      <w:r w:rsidR="002E4C00" w:rsidRPr="00DC66CD">
        <w:rPr>
          <w:rFonts w:ascii="Garamond" w:hAnsi="Garamond"/>
          <w:sz w:val="24"/>
          <w:szCs w:val="24"/>
        </w:rPr>
        <w:t>,</w:t>
      </w:r>
      <w:r w:rsidRPr="00DC66CD">
        <w:rPr>
          <w:rFonts w:ascii="Garamond" w:hAnsi="Garamond"/>
          <w:sz w:val="24"/>
          <w:szCs w:val="24"/>
        </w:rPr>
        <w:t xml:space="preserve"> heqin pengesat ligjore për krijimin e Bursës Shqiptare të Energjisë. Themelimi i Bursës Shqiptare të Energjisë synon të përmbushë detyrimet e Republikës së Shqipërisë si anëtar i Komunitetit të Energjisë dhe të zbatojë politikat e </w:t>
      </w:r>
      <w:r w:rsidR="002E4C00" w:rsidRPr="00DC66CD">
        <w:rPr>
          <w:rFonts w:ascii="Garamond" w:hAnsi="Garamond"/>
          <w:sz w:val="24"/>
          <w:szCs w:val="24"/>
        </w:rPr>
        <w:t xml:space="preserve">qeverisë </w:t>
      </w:r>
      <w:r w:rsidRPr="00DC66CD">
        <w:rPr>
          <w:rFonts w:ascii="Garamond" w:hAnsi="Garamond"/>
          <w:sz w:val="24"/>
          <w:szCs w:val="24"/>
        </w:rPr>
        <w:t>për liberalizimin e tregut të energjisë elektrike dhe krijimin e një tregu të tregtimit të energjisë elektrike.</w:t>
      </w:r>
    </w:p>
    <w:p w14:paraId="647153F8" w14:textId="50A84C1F" w:rsidR="006F605B" w:rsidRPr="00DC66CD" w:rsidRDefault="006F605B" w:rsidP="006F605B">
      <w:pPr>
        <w:pStyle w:val="BodyText"/>
        <w:ind w:left="0" w:firstLine="284"/>
        <w:jc w:val="both"/>
        <w:rPr>
          <w:rFonts w:ascii="Garamond" w:eastAsia="Calibri" w:hAnsi="Garamond"/>
          <w:sz w:val="24"/>
          <w:szCs w:val="24"/>
          <w:lang w:val="sq-AL"/>
        </w:rPr>
      </w:pPr>
      <w:r w:rsidRPr="00DC66CD">
        <w:rPr>
          <w:rFonts w:ascii="Garamond" w:eastAsia="Calibri" w:hAnsi="Garamond"/>
          <w:sz w:val="24"/>
          <w:szCs w:val="24"/>
          <w:lang w:val="sq-AL"/>
        </w:rPr>
        <w:t>Në 4 v</w:t>
      </w:r>
      <w:r w:rsidR="002E4C00" w:rsidRPr="00DC66CD">
        <w:rPr>
          <w:rFonts w:ascii="Garamond" w:eastAsia="Calibri" w:hAnsi="Garamond"/>
          <w:sz w:val="24"/>
          <w:szCs w:val="24"/>
          <w:lang w:val="sq-AL"/>
        </w:rPr>
        <w:t>jetët</w:t>
      </w:r>
      <w:r w:rsidRPr="00DC66CD">
        <w:rPr>
          <w:rFonts w:ascii="Garamond" w:eastAsia="Calibri" w:hAnsi="Garamond"/>
          <w:sz w:val="24"/>
          <w:szCs w:val="24"/>
          <w:lang w:val="sq-AL"/>
        </w:rPr>
        <w:t xml:space="preserve"> e fundit, Shqipëria ka parë përmirësime të mëdha në qasjen ndaj burimeve të rinovueshme. Historikisht, e vetmja politikë e zhvillimit të kapaciteteve të reja të prodhimit ka qenë në sektorin e </w:t>
      </w:r>
      <w:r w:rsidR="00AA51FE" w:rsidRPr="00DC66CD">
        <w:rPr>
          <w:rFonts w:ascii="Garamond" w:eastAsia="Calibri" w:hAnsi="Garamond"/>
          <w:sz w:val="24"/>
          <w:szCs w:val="24"/>
          <w:lang w:val="sq-AL"/>
        </w:rPr>
        <w:t xml:space="preserve">hidrocentraleve </w:t>
      </w:r>
      <w:r w:rsidRPr="00DC66CD">
        <w:rPr>
          <w:rFonts w:ascii="Garamond" w:eastAsia="Calibri" w:hAnsi="Garamond"/>
          <w:sz w:val="24"/>
          <w:szCs w:val="24"/>
          <w:lang w:val="sq-AL"/>
        </w:rPr>
        <w:t>dhe kjo ka provuar të jetë me një kosto të madhe mjedisore dhe në të vërtetë ka rritur varësinë nga klima dhe ulur sigurinë e furnizimit.</w:t>
      </w:r>
    </w:p>
    <w:p w14:paraId="6AAF2D7A" w14:textId="5EAF198E" w:rsidR="006F605B" w:rsidRPr="00DC66CD" w:rsidRDefault="006F605B" w:rsidP="006F605B">
      <w:pPr>
        <w:pStyle w:val="BodyText"/>
        <w:ind w:left="0" w:firstLine="284"/>
        <w:jc w:val="both"/>
        <w:rPr>
          <w:rFonts w:ascii="Garamond" w:eastAsia="Calibri" w:hAnsi="Garamond"/>
          <w:sz w:val="24"/>
          <w:szCs w:val="24"/>
          <w:lang w:val="sq-AL"/>
        </w:rPr>
      </w:pPr>
      <w:r w:rsidRPr="00DC66CD">
        <w:rPr>
          <w:rFonts w:ascii="Garamond" w:eastAsia="Calibri" w:hAnsi="Garamond"/>
          <w:sz w:val="24"/>
          <w:szCs w:val="24"/>
          <w:lang w:val="sq-AL"/>
        </w:rPr>
        <w:t xml:space="preserve">Në politikat </w:t>
      </w:r>
      <w:r w:rsidR="00AA51FE" w:rsidRPr="00DC66CD">
        <w:rPr>
          <w:rFonts w:ascii="Garamond" w:eastAsia="Calibri" w:hAnsi="Garamond"/>
          <w:sz w:val="24"/>
          <w:szCs w:val="24"/>
          <w:lang w:val="sq-AL"/>
        </w:rPr>
        <w:t xml:space="preserve">energjetike </w:t>
      </w:r>
      <w:r w:rsidRPr="00DC66CD">
        <w:rPr>
          <w:rFonts w:ascii="Garamond" w:eastAsia="Calibri" w:hAnsi="Garamond"/>
          <w:sz w:val="24"/>
          <w:szCs w:val="24"/>
          <w:lang w:val="sq-AL"/>
        </w:rPr>
        <w:t xml:space="preserve">të Shqipërisë përfshihet dhe promovimi i përdorimit të burimeve të rinovueshme të energjisë </w:t>
      </w:r>
      <w:r w:rsidR="00AA51FE" w:rsidRPr="00DC66CD">
        <w:rPr>
          <w:rFonts w:ascii="Garamond" w:eastAsia="Calibri" w:hAnsi="Garamond"/>
          <w:sz w:val="24"/>
          <w:szCs w:val="24"/>
          <w:lang w:val="sq-AL"/>
        </w:rPr>
        <w:t>përveç</w:t>
      </w:r>
      <w:r w:rsidRPr="00DC66CD">
        <w:rPr>
          <w:rFonts w:ascii="Garamond" w:eastAsia="Calibri" w:hAnsi="Garamond"/>
          <w:sz w:val="24"/>
          <w:szCs w:val="24"/>
          <w:lang w:val="sq-AL"/>
        </w:rPr>
        <w:t xml:space="preserve"> hidrocentraleve</w:t>
      </w:r>
      <w:r w:rsidR="00AA51FE" w:rsidRPr="00DC66CD">
        <w:rPr>
          <w:rFonts w:ascii="Garamond" w:eastAsia="Calibri" w:hAnsi="Garamond"/>
          <w:sz w:val="24"/>
          <w:szCs w:val="24"/>
          <w:lang w:val="sq-AL"/>
        </w:rPr>
        <w:t>,</w:t>
      </w:r>
      <w:r w:rsidRPr="00DC66CD">
        <w:rPr>
          <w:rFonts w:ascii="Garamond" w:eastAsia="Calibri" w:hAnsi="Garamond"/>
          <w:sz w:val="24"/>
          <w:szCs w:val="24"/>
          <w:lang w:val="sq-AL"/>
        </w:rPr>
        <w:t xml:space="preserve"> për shkak të potencialit të rëndësishëm që ka vendi ynë për prodhimin e energjisë nga dielli dhe era, si rezultat i pozicionit të favorshëm gjeografik, kushteve klimatike dhe intensitetit të lartë të rrezatimit diellor për prodhimin e energjisë diellore. Për të arritur objektivin kombëtar, janë aprovuar tarifat e rregulluara për këto burime dhe metodologjitë për përcaktimin e çmimit të blerjes së energjisë elektrike t</w:t>
      </w:r>
      <w:r w:rsidR="008B5731">
        <w:rPr>
          <w:rFonts w:ascii="Garamond" w:eastAsia="Calibri" w:hAnsi="Garamond"/>
          <w:sz w:val="24"/>
          <w:szCs w:val="24"/>
          <w:lang w:val="sq-AL"/>
        </w:rPr>
        <w:t xml:space="preserve">ë </w:t>
      </w:r>
      <w:r w:rsidRPr="00DC66CD">
        <w:rPr>
          <w:rFonts w:ascii="Garamond" w:eastAsia="Calibri" w:hAnsi="Garamond"/>
          <w:sz w:val="24"/>
          <w:szCs w:val="24"/>
          <w:lang w:val="sq-AL"/>
        </w:rPr>
        <w:t>prodhuar prej tyre dhe</w:t>
      </w:r>
      <w:r w:rsidR="00AA51FE" w:rsidRPr="00DC66CD">
        <w:rPr>
          <w:rFonts w:ascii="Garamond" w:eastAsia="Calibri" w:hAnsi="Garamond"/>
          <w:sz w:val="24"/>
          <w:szCs w:val="24"/>
          <w:lang w:val="sq-AL"/>
        </w:rPr>
        <w:t>,</w:t>
      </w:r>
      <w:r w:rsidRPr="00DC66CD">
        <w:rPr>
          <w:rFonts w:ascii="Garamond" w:eastAsia="Calibri" w:hAnsi="Garamond"/>
          <w:sz w:val="24"/>
          <w:szCs w:val="24"/>
          <w:lang w:val="sq-AL"/>
        </w:rPr>
        <w:t xml:space="preserve"> siç reflektohet në </w:t>
      </w:r>
      <w:r w:rsidR="00AA51FE" w:rsidRPr="00DC66CD">
        <w:rPr>
          <w:rFonts w:ascii="Garamond" w:eastAsia="Calibri" w:hAnsi="Garamond"/>
          <w:sz w:val="24"/>
          <w:szCs w:val="24"/>
          <w:lang w:val="sq-AL"/>
        </w:rPr>
        <w:t>ligjin</w:t>
      </w:r>
      <w:r w:rsidR="00E33D88" w:rsidRPr="00DC66CD">
        <w:rPr>
          <w:rFonts w:ascii="Garamond" w:eastAsia="Calibri" w:hAnsi="Garamond"/>
          <w:sz w:val="24"/>
          <w:szCs w:val="24"/>
          <w:lang w:val="sq-AL"/>
        </w:rPr>
        <w:t xml:space="preserve"> nr. </w:t>
      </w:r>
      <w:r w:rsidRPr="00DC66CD">
        <w:rPr>
          <w:rFonts w:ascii="Garamond" w:eastAsia="Calibri" w:hAnsi="Garamond"/>
          <w:sz w:val="24"/>
          <w:szCs w:val="24"/>
          <w:lang w:val="sq-AL"/>
        </w:rPr>
        <w:t>7/2017, janë krijuar dy tip</w:t>
      </w:r>
      <w:r w:rsidR="00AA51FE" w:rsidRPr="00DC66CD">
        <w:rPr>
          <w:rFonts w:ascii="Garamond" w:eastAsia="Calibri" w:hAnsi="Garamond"/>
          <w:sz w:val="24"/>
          <w:szCs w:val="24"/>
          <w:lang w:val="sq-AL"/>
        </w:rPr>
        <w:t>a</w:t>
      </w:r>
      <w:r w:rsidRPr="00DC66CD">
        <w:rPr>
          <w:rFonts w:ascii="Garamond" w:eastAsia="Calibri" w:hAnsi="Garamond"/>
          <w:sz w:val="24"/>
          <w:szCs w:val="24"/>
          <w:lang w:val="sq-AL"/>
        </w:rPr>
        <w:t xml:space="preserve"> të skemave të mbështetjes financiare për BRE-të:</w:t>
      </w:r>
    </w:p>
    <w:p w14:paraId="44BAC5CF" w14:textId="65BE4BAE"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Tarifa FiT</w:t>
      </w:r>
      <w:r w:rsidR="00AA51FE"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i/>
          <w:sz w:val="24"/>
          <w:szCs w:val="24"/>
        </w:rPr>
        <w:t>“</w:t>
      </w:r>
      <w:r w:rsidRPr="00DC66CD">
        <w:rPr>
          <w:rFonts w:ascii="Garamond" w:hAnsi="Garamond"/>
          <w:i/>
          <w:sz w:val="24"/>
          <w:szCs w:val="24"/>
        </w:rPr>
        <w:t>Feed in Tariff</w:t>
      </w:r>
      <w:r w:rsidR="002A29AD" w:rsidRPr="00DC66CD">
        <w:rPr>
          <w:rFonts w:ascii="Garamond" w:hAnsi="Garamond"/>
          <w:i/>
          <w:sz w:val="24"/>
          <w:szCs w:val="24"/>
        </w:rPr>
        <w:t>”</w:t>
      </w:r>
      <w:r w:rsidRPr="00DC66CD">
        <w:rPr>
          <w:rFonts w:ascii="Garamond" w:hAnsi="Garamond"/>
          <w:sz w:val="24"/>
          <w:szCs w:val="24"/>
        </w:rPr>
        <w:t xml:space="preserve"> është një mbështetje ligjore për çmimin e blerjes së energjisë elektrike të prodhuar nga burime të rinovueshme me kapacitet prodhimi të kufizuar deri në </w:t>
      </w:r>
      <w:r w:rsidR="00AA51FE" w:rsidRPr="00DC66CD">
        <w:rPr>
          <w:rFonts w:ascii="Garamond" w:hAnsi="Garamond"/>
          <w:sz w:val="24"/>
          <w:szCs w:val="24"/>
        </w:rPr>
        <w:t xml:space="preserve">2 mw </w:t>
      </w:r>
      <w:r w:rsidRPr="00DC66CD">
        <w:rPr>
          <w:rFonts w:ascii="Garamond" w:hAnsi="Garamond"/>
          <w:sz w:val="24"/>
          <w:szCs w:val="24"/>
        </w:rPr>
        <w:t>për energjinë e prodhuar nga dielli, deri n</w:t>
      </w:r>
      <w:r w:rsidR="00AA51FE" w:rsidRPr="00DC66CD">
        <w:rPr>
          <w:rFonts w:ascii="Garamond" w:hAnsi="Garamond"/>
          <w:sz w:val="24"/>
          <w:szCs w:val="24"/>
        </w:rPr>
        <w:t>ë</w:t>
      </w:r>
      <w:r w:rsidRPr="00DC66CD">
        <w:rPr>
          <w:rFonts w:ascii="Garamond" w:hAnsi="Garamond"/>
          <w:sz w:val="24"/>
          <w:szCs w:val="24"/>
        </w:rPr>
        <w:t xml:space="preserve"> 3 </w:t>
      </w:r>
      <w:r w:rsidR="00AA51FE" w:rsidRPr="00DC66CD">
        <w:rPr>
          <w:rFonts w:ascii="Garamond" w:hAnsi="Garamond"/>
          <w:sz w:val="24"/>
          <w:szCs w:val="24"/>
        </w:rPr>
        <w:t xml:space="preserve">mw </w:t>
      </w:r>
      <w:r w:rsidRPr="00DC66CD">
        <w:rPr>
          <w:rFonts w:ascii="Garamond" w:hAnsi="Garamond"/>
          <w:sz w:val="24"/>
          <w:szCs w:val="24"/>
        </w:rPr>
        <w:t xml:space="preserve">për energjinë e prodhuar nga </w:t>
      </w:r>
      <w:r w:rsidR="00AA51FE" w:rsidRPr="00DC66CD">
        <w:rPr>
          <w:rFonts w:ascii="Garamond" w:hAnsi="Garamond"/>
          <w:sz w:val="24"/>
          <w:szCs w:val="24"/>
        </w:rPr>
        <w:t xml:space="preserve">era, </w:t>
      </w:r>
      <w:r w:rsidRPr="00DC66CD">
        <w:rPr>
          <w:rFonts w:ascii="Garamond" w:hAnsi="Garamond"/>
          <w:sz w:val="24"/>
          <w:szCs w:val="24"/>
        </w:rPr>
        <w:t>si dhe deri n</w:t>
      </w:r>
      <w:r w:rsidR="00AA51FE" w:rsidRPr="00DC66CD">
        <w:rPr>
          <w:rFonts w:ascii="Garamond" w:hAnsi="Garamond"/>
          <w:sz w:val="24"/>
          <w:szCs w:val="24"/>
        </w:rPr>
        <w:t>ë</w:t>
      </w:r>
      <w:r w:rsidRPr="00DC66CD">
        <w:rPr>
          <w:rFonts w:ascii="Garamond" w:hAnsi="Garamond"/>
          <w:sz w:val="24"/>
          <w:szCs w:val="24"/>
        </w:rPr>
        <w:t xml:space="preserve"> 15 </w:t>
      </w:r>
      <w:r w:rsidR="00AA51FE" w:rsidRPr="00DC66CD">
        <w:rPr>
          <w:rFonts w:ascii="Garamond" w:hAnsi="Garamond"/>
          <w:sz w:val="24"/>
          <w:szCs w:val="24"/>
        </w:rPr>
        <w:t xml:space="preserve">mw </w:t>
      </w:r>
      <w:r w:rsidRPr="00DC66CD">
        <w:rPr>
          <w:rFonts w:ascii="Garamond" w:hAnsi="Garamond"/>
          <w:sz w:val="24"/>
          <w:szCs w:val="24"/>
        </w:rPr>
        <w:t xml:space="preserve">për energjinë e prodhuar nga </w:t>
      </w:r>
      <w:r w:rsidR="00AA51FE" w:rsidRPr="00DC66CD">
        <w:rPr>
          <w:rFonts w:ascii="Garamond" w:hAnsi="Garamond"/>
          <w:sz w:val="24"/>
          <w:szCs w:val="24"/>
        </w:rPr>
        <w:t>hidrocentralet</w:t>
      </w:r>
      <w:r w:rsidRPr="00DC66CD">
        <w:rPr>
          <w:rFonts w:ascii="Garamond" w:hAnsi="Garamond"/>
          <w:sz w:val="24"/>
          <w:szCs w:val="24"/>
        </w:rPr>
        <w:t>. Kjo është një metodologji e propozuar nga MIE dhe e aprovuar me VKM</w:t>
      </w:r>
      <w:r w:rsidR="00AA51FE" w:rsidRPr="00DC66CD">
        <w:rPr>
          <w:rFonts w:ascii="Garamond" w:hAnsi="Garamond"/>
          <w:sz w:val="24"/>
          <w:szCs w:val="24"/>
        </w:rPr>
        <w:t>,</w:t>
      </w:r>
      <w:r w:rsidRPr="00DC66CD">
        <w:rPr>
          <w:rFonts w:ascii="Garamond" w:hAnsi="Garamond"/>
          <w:sz w:val="24"/>
          <w:szCs w:val="24"/>
        </w:rPr>
        <w:t xml:space="preserve"> ku i propozohet ERE-s përcaktimi i çmimit fiks me t</w:t>
      </w:r>
      <w:r w:rsidR="00AA51FE" w:rsidRPr="00DC66CD">
        <w:rPr>
          <w:rFonts w:ascii="Garamond" w:hAnsi="Garamond"/>
          <w:sz w:val="24"/>
          <w:szCs w:val="24"/>
        </w:rPr>
        <w:t>ë</w:t>
      </w:r>
      <w:r w:rsidRPr="00DC66CD">
        <w:rPr>
          <w:rFonts w:ascii="Garamond" w:hAnsi="Garamond"/>
          <w:sz w:val="24"/>
          <w:szCs w:val="24"/>
        </w:rPr>
        <w:t xml:space="preserve"> cilin</w:t>
      </w:r>
      <w:r w:rsidR="0072211B" w:rsidRPr="00DC66CD">
        <w:rPr>
          <w:rFonts w:ascii="Garamond" w:hAnsi="Garamond"/>
          <w:sz w:val="24"/>
          <w:szCs w:val="24"/>
        </w:rPr>
        <w:t xml:space="preserve"> </w:t>
      </w:r>
      <w:r w:rsidRPr="00DC66CD">
        <w:rPr>
          <w:rFonts w:ascii="Garamond" w:hAnsi="Garamond"/>
          <w:sz w:val="24"/>
          <w:szCs w:val="24"/>
        </w:rPr>
        <w:t>prodhuesi do t</w:t>
      </w:r>
      <w:r w:rsidR="00AA51FE" w:rsidRPr="00DC66CD">
        <w:rPr>
          <w:rFonts w:ascii="Garamond" w:hAnsi="Garamond"/>
          <w:sz w:val="24"/>
          <w:szCs w:val="24"/>
        </w:rPr>
        <w:t>;</w:t>
      </w:r>
      <w:r w:rsidRPr="00DC66CD">
        <w:rPr>
          <w:rFonts w:ascii="Garamond" w:hAnsi="Garamond"/>
          <w:sz w:val="24"/>
          <w:szCs w:val="24"/>
        </w:rPr>
        <w:t>i shesë OSHEE-s</w:t>
      </w:r>
      <w:r w:rsidR="00AA51FE" w:rsidRPr="00DC66CD">
        <w:rPr>
          <w:rFonts w:ascii="Garamond" w:hAnsi="Garamond"/>
          <w:sz w:val="24"/>
          <w:szCs w:val="24"/>
        </w:rPr>
        <w:t>ë</w:t>
      </w:r>
      <w:r w:rsidRPr="00DC66CD">
        <w:rPr>
          <w:rFonts w:ascii="Garamond" w:hAnsi="Garamond"/>
          <w:sz w:val="24"/>
          <w:szCs w:val="24"/>
        </w:rPr>
        <w:t xml:space="preserve"> energjinë elektrike t</w:t>
      </w:r>
      <w:r w:rsidR="00AA51FE" w:rsidRPr="00DC66CD">
        <w:rPr>
          <w:rFonts w:ascii="Garamond" w:hAnsi="Garamond"/>
          <w:sz w:val="24"/>
          <w:szCs w:val="24"/>
        </w:rPr>
        <w:t>ë</w:t>
      </w:r>
      <w:r w:rsidRPr="00DC66CD">
        <w:rPr>
          <w:rFonts w:ascii="Garamond" w:hAnsi="Garamond"/>
          <w:sz w:val="24"/>
          <w:szCs w:val="24"/>
        </w:rPr>
        <w:t xml:space="preserve"> prodhuar për 15 vjet.</w:t>
      </w:r>
    </w:p>
    <w:p w14:paraId="4C437129" w14:textId="4E3E63B4" w:rsidR="006F605B" w:rsidRPr="00DC66CD" w:rsidRDefault="00AA51FE"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 Tarifa e FiP, </w:t>
      </w:r>
      <w:r w:rsidR="002A29AD" w:rsidRPr="00DC66CD">
        <w:rPr>
          <w:rFonts w:ascii="Garamond" w:hAnsi="Garamond"/>
          <w:i/>
          <w:sz w:val="24"/>
          <w:szCs w:val="24"/>
        </w:rPr>
        <w:t>“</w:t>
      </w:r>
      <w:r w:rsidR="006F605B" w:rsidRPr="00DC66CD">
        <w:rPr>
          <w:rFonts w:ascii="Garamond" w:hAnsi="Garamond"/>
          <w:i/>
          <w:sz w:val="24"/>
          <w:szCs w:val="24"/>
        </w:rPr>
        <w:t>Feed</w:t>
      </w:r>
      <w:r w:rsidR="006B711A" w:rsidRPr="00DC66CD">
        <w:rPr>
          <w:rFonts w:ascii="Garamond" w:hAnsi="Garamond"/>
          <w:i/>
          <w:sz w:val="24"/>
          <w:szCs w:val="24"/>
        </w:rPr>
        <w:t xml:space="preserve"> </w:t>
      </w:r>
      <w:r w:rsidR="006F605B" w:rsidRPr="00DC66CD">
        <w:rPr>
          <w:rFonts w:ascii="Garamond" w:hAnsi="Garamond"/>
          <w:i/>
          <w:sz w:val="24"/>
          <w:szCs w:val="24"/>
        </w:rPr>
        <w:t>in</w:t>
      </w:r>
      <w:r w:rsidR="006B711A" w:rsidRPr="00DC66CD">
        <w:rPr>
          <w:rFonts w:ascii="Garamond" w:hAnsi="Garamond"/>
          <w:i/>
          <w:sz w:val="24"/>
          <w:szCs w:val="24"/>
        </w:rPr>
        <w:t xml:space="preserve"> </w:t>
      </w:r>
      <w:r w:rsidR="006F605B" w:rsidRPr="00DC66CD">
        <w:rPr>
          <w:rFonts w:ascii="Garamond" w:hAnsi="Garamond"/>
          <w:i/>
          <w:sz w:val="24"/>
          <w:szCs w:val="24"/>
        </w:rPr>
        <w:t>Premium</w:t>
      </w:r>
      <w:r w:rsidR="002A29AD" w:rsidRPr="00DC66CD">
        <w:rPr>
          <w:rFonts w:ascii="Garamond" w:hAnsi="Garamond"/>
          <w:i/>
          <w:sz w:val="24"/>
          <w:szCs w:val="24"/>
        </w:rPr>
        <w:t>”</w:t>
      </w:r>
      <w:r w:rsidR="006F605B" w:rsidRPr="00DC66CD">
        <w:rPr>
          <w:rFonts w:ascii="Garamond" w:hAnsi="Garamond"/>
          <w:sz w:val="24"/>
          <w:szCs w:val="24"/>
        </w:rPr>
        <w:t xml:space="preserve"> është mbështetje ligjore për çmimin e blerjes së energjisë elektrike të prodhuar nga burime të rinovueshme me kapacitet prodhimi mbi 2</w:t>
      </w:r>
      <w:r w:rsidRPr="00DC66CD">
        <w:rPr>
          <w:rFonts w:ascii="Garamond" w:hAnsi="Garamond"/>
          <w:sz w:val="24"/>
          <w:szCs w:val="24"/>
        </w:rPr>
        <w:t xml:space="preserve"> mw </w:t>
      </w:r>
      <w:r w:rsidR="006F605B" w:rsidRPr="00DC66CD">
        <w:rPr>
          <w:rFonts w:ascii="Garamond" w:hAnsi="Garamond"/>
          <w:sz w:val="24"/>
          <w:szCs w:val="24"/>
        </w:rPr>
        <w:t xml:space="preserve">për energjinë e prodhuar nga dielli, mbi 3 </w:t>
      </w:r>
      <w:r w:rsidRPr="00DC66CD">
        <w:rPr>
          <w:rFonts w:ascii="Garamond" w:hAnsi="Garamond"/>
          <w:sz w:val="24"/>
          <w:szCs w:val="24"/>
        </w:rPr>
        <w:t xml:space="preserve">mw </w:t>
      </w:r>
      <w:r w:rsidR="006F605B" w:rsidRPr="00DC66CD">
        <w:rPr>
          <w:rFonts w:ascii="Garamond" w:hAnsi="Garamond"/>
          <w:sz w:val="24"/>
          <w:szCs w:val="24"/>
        </w:rPr>
        <w:t xml:space="preserve">për energjinë e prodhuar nga </w:t>
      </w:r>
      <w:r w:rsidRPr="00DC66CD">
        <w:rPr>
          <w:rFonts w:ascii="Garamond" w:hAnsi="Garamond"/>
          <w:sz w:val="24"/>
          <w:szCs w:val="24"/>
        </w:rPr>
        <w:t xml:space="preserve">era, </w:t>
      </w:r>
      <w:r w:rsidR="006F605B" w:rsidRPr="00DC66CD">
        <w:rPr>
          <w:rFonts w:ascii="Garamond" w:hAnsi="Garamond"/>
          <w:sz w:val="24"/>
          <w:szCs w:val="24"/>
        </w:rPr>
        <w:t xml:space="preserve">si dhe mbi 15 </w:t>
      </w:r>
      <w:r w:rsidRPr="00DC66CD">
        <w:rPr>
          <w:rFonts w:ascii="Garamond" w:hAnsi="Garamond"/>
          <w:sz w:val="24"/>
          <w:szCs w:val="24"/>
        </w:rPr>
        <w:t xml:space="preserve">mw </w:t>
      </w:r>
      <w:r w:rsidR="006F605B" w:rsidRPr="00DC66CD">
        <w:rPr>
          <w:rFonts w:ascii="Garamond" w:hAnsi="Garamond"/>
          <w:sz w:val="24"/>
          <w:szCs w:val="24"/>
        </w:rPr>
        <w:t xml:space="preserve">për energjinë e prodhuar nga </w:t>
      </w:r>
      <w:r w:rsidRPr="00DC66CD">
        <w:rPr>
          <w:rFonts w:ascii="Garamond" w:hAnsi="Garamond"/>
          <w:sz w:val="24"/>
          <w:szCs w:val="24"/>
        </w:rPr>
        <w:t>hidrocentralet</w:t>
      </w:r>
      <w:r w:rsidR="006F605B" w:rsidRPr="00DC66CD">
        <w:rPr>
          <w:rFonts w:ascii="Garamond" w:hAnsi="Garamond"/>
          <w:sz w:val="24"/>
          <w:szCs w:val="24"/>
        </w:rPr>
        <w:t>. Këto projekte janë aprovuar me një procedurë transparente të tenderimit, të miratuar me VKM</w:t>
      </w:r>
      <w:r w:rsidRPr="00DC66CD">
        <w:rPr>
          <w:rFonts w:ascii="Garamond" w:hAnsi="Garamond"/>
          <w:sz w:val="24"/>
          <w:szCs w:val="24"/>
        </w:rPr>
        <w:t>-në</w:t>
      </w:r>
      <w:r w:rsidR="00E33D88" w:rsidRPr="00DC66CD">
        <w:rPr>
          <w:rFonts w:ascii="Garamond" w:hAnsi="Garamond"/>
          <w:sz w:val="24"/>
          <w:szCs w:val="24"/>
        </w:rPr>
        <w:t xml:space="preserve"> nr. </w:t>
      </w:r>
      <w:r w:rsidRPr="00DC66CD">
        <w:rPr>
          <w:rFonts w:ascii="Garamond" w:hAnsi="Garamond"/>
          <w:sz w:val="24"/>
          <w:szCs w:val="24"/>
        </w:rPr>
        <w:t>349, datë 12.</w:t>
      </w:r>
      <w:r w:rsidR="006F605B" w:rsidRPr="00DC66CD">
        <w:rPr>
          <w:rFonts w:ascii="Garamond" w:hAnsi="Garamond"/>
          <w:sz w:val="24"/>
          <w:szCs w:val="24"/>
        </w:rPr>
        <w:t>6.2018</w:t>
      </w:r>
      <w:r w:rsidRPr="00DC66CD">
        <w:rPr>
          <w:rFonts w:ascii="Garamond" w:hAnsi="Garamond"/>
          <w:sz w:val="24"/>
          <w:szCs w:val="24"/>
        </w:rPr>
        <w:t>,</w:t>
      </w:r>
      <w:r w:rsidR="006F605B" w:rsidRPr="00DC66CD">
        <w:rPr>
          <w:rFonts w:ascii="Garamond" w:hAnsi="Garamond"/>
          <w:sz w:val="24"/>
          <w:szCs w:val="24"/>
        </w:rPr>
        <w:t xml:space="preserve"> </w:t>
      </w:r>
      <w:r w:rsidR="002A29AD" w:rsidRPr="00DC66CD">
        <w:rPr>
          <w:rFonts w:ascii="Garamond" w:hAnsi="Garamond"/>
          <w:sz w:val="24"/>
          <w:szCs w:val="24"/>
        </w:rPr>
        <w:t>“</w:t>
      </w:r>
      <w:r w:rsidR="006F605B" w:rsidRPr="00DC66CD">
        <w:rPr>
          <w:rFonts w:ascii="Garamond" w:hAnsi="Garamond"/>
          <w:sz w:val="24"/>
          <w:szCs w:val="24"/>
        </w:rPr>
        <w:t>Për miratimin e masave mbështetëse për promovimin e përdorimit të energjisë elektrike nga burimet e rinovueshme të diellit dhe erës, si dhe procedurat për zgjedhjen e p</w:t>
      </w:r>
      <w:r w:rsidR="00186AA0" w:rsidRPr="00DC66CD">
        <w:rPr>
          <w:rFonts w:ascii="Garamond" w:hAnsi="Garamond"/>
          <w:sz w:val="24"/>
          <w:szCs w:val="24"/>
        </w:rPr>
        <w:t>rojekteve për përfitimin e tyre</w:t>
      </w:r>
      <w:r w:rsidR="002A29AD" w:rsidRPr="00DC66CD">
        <w:rPr>
          <w:rFonts w:ascii="Garamond" w:hAnsi="Garamond"/>
          <w:sz w:val="24"/>
          <w:szCs w:val="24"/>
        </w:rPr>
        <w:t>”</w:t>
      </w:r>
      <w:r w:rsidR="006F605B" w:rsidRPr="00DC66CD">
        <w:rPr>
          <w:rFonts w:ascii="Garamond" w:hAnsi="Garamond"/>
          <w:sz w:val="24"/>
          <w:szCs w:val="24"/>
        </w:rPr>
        <w:t>.</w:t>
      </w:r>
    </w:p>
    <w:p w14:paraId="52591F5D" w14:textId="011035BE"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Procedurat për zgjedhjen e projekteve që përfitojnë nga këto masa kanë të bëjnë me njoftimin e paraqitur nga MIE, për përcaktimin e afateve përkatëse, kriteret, vlerësimet e pikë</w:t>
      </w:r>
      <w:r w:rsidR="007206A4" w:rsidRPr="00DC66CD">
        <w:rPr>
          <w:rFonts w:ascii="Garamond" w:hAnsi="Garamond"/>
          <w:sz w:val="24"/>
          <w:szCs w:val="24"/>
        </w:rPr>
        <w:t>s së lidhjes, pronësinë e tokës</w:t>
      </w:r>
      <w:r w:rsidR="00AC5DB2" w:rsidRPr="00DC66CD">
        <w:rPr>
          <w:rFonts w:ascii="Garamond" w:hAnsi="Garamond"/>
          <w:sz w:val="24"/>
          <w:szCs w:val="24"/>
        </w:rPr>
        <w:t xml:space="preserve"> etj.,</w:t>
      </w:r>
      <w:r w:rsidRPr="00DC66CD">
        <w:rPr>
          <w:rFonts w:ascii="Garamond" w:hAnsi="Garamond"/>
          <w:sz w:val="24"/>
          <w:szCs w:val="24"/>
        </w:rPr>
        <w:t xml:space="preserve"> </w:t>
      </w:r>
      <w:r w:rsidR="00AC5DB2" w:rsidRPr="00DC66CD">
        <w:rPr>
          <w:rFonts w:ascii="Garamond" w:hAnsi="Garamond"/>
          <w:sz w:val="24"/>
          <w:szCs w:val="24"/>
        </w:rPr>
        <w:t xml:space="preserve">përmes </w:t>
      </w:r>
      <w:r w:rsidRPr="00DC66CD">
        <w:rPr>
          <w:rFonts w:ascii="Garamond" w:hAnsi="Garamond"/>
          <w:sz w:val="24"/>
          <w:szCs w:val="24"/>
        </w:rPr>
        <w:t>një PPA</w:t>
      </w:r>
      <w:r w:rsidR="00AC5DB2" w:rsidRPr="00DC66CD">
        <w:rPr>
          <w:rFonts w:ascii="Garamond" w:hAnsi="Garamond"/>
          <w:sz w:val="24"/>
          <w:szCs w:val="24"/>
        </w:rPr>
        <w:t>-je</w:t>
      </w:r>
      <w:r w:rsidRPr="00DC66CD">
        <w:rPr>
          <w:rFonts w:ascii="Garamond" w:hAnsi="Garamond"/>
          <w:sz w:val="24"/>
          <w:szCs w:val="24"/>
        </w:rPr>
        <w:t xml:space="preserve"> (</w:t>
      </w:r>
      <w:r w:rsidR="00AC5DB2" w:rsidRPr="00DC66CD">
        <w:rPr>
          <w:rFonts w:ascii="Garamond" w:hAnsi="Garamond"/>
          <w:sz w:val="24"/>
          <w:szCs w:val="24"/>
        </w:rPr>
        <w:t xml:space="preserve">marrëveshja </w:t>
      </w:r>
      <w:r w:rsidRPr="00DC66CD">
        <w:rPr>
          <w:rFonts w:ascii="Garamond" w:hAnsi="Garamond"/>
          <w:sz w:val="24"/>
          <w:szCs w:val="24"/>
        </w:rPr>
        <w:t>për blerjen e energjisë) ose një kontratë parablerje</w:t>
      </w:r>
      <w:r w:rsidR="00AC5DB2" w:rsidRPr="00DC66CD">
        <w:rPr>
          <w:rFonts w:ascii="Garamond" w:hAnsi="Garamond"/>
          <w:sz w:val="24"/>
          <w:szCs w:val="24"/>
        </w:rPr>
        <w:t>je</w:t>
      </w:r>
      <w:r w:rsidRPr="00DC66CD">
        <w:rPr>
          <w:rFonts w:ascii="Garamond" w:hAnsi="Garamond"/>
          <w:sz w:val="24"/>
          <w:szCs w:val="24"/>
        </w:rPr>
        <w:t>. Energjia që del nga ankandi i blerë me një çmim fiks, për 15 vjet është pikat kryesore t</w:t>
      </w:r>
      <w:r w:rsidR="00AC5DB2" w:rsidRPr="00DC66CD">
        <w:rPr>
          <w:rFonts w:ascii="Garamond" w:hAnsi="Garamond"/>
          <w:sz w:val="24"/>
          <w:szCs w:val="24"/>
        </w:rPr>
        <w:t>ë kontratës së ardhshme të para</w:t>
      </w:r>
      <w:r w:rsidRPr="00DC66CD">
        <w:rPr>
          <w:rFonts w:ascii="Garamond" w:hAnsi="Garamond"/>
          <w:sz w:val="24"/>
          <w:szCs w:val="24"/>
        </w:rPr>
        <w:t>blerjes. Në këtë rast, kjo kontratë është një kontratë për diferencë (CfD) dhe mund të ushtrohet në një treg të liberalizuar të energjisë elektrike.</w:t>
      </w:r>
    </w:p>
    <w:p w14:paraId="40151B16" w14:textId="66231E14" w:rsidR="006F605B" w:rsidRPr="00DC66CD" w:rsidRDefault="008403BE" w:rsidP="006F605B">
      <w:pPr>
        <w:spacing w:after="0" w:line="240" w:lineRule="auto"/>
        <w:ind w:firstLine="284"/>
        <w:jc w:val="both"/>
        <w:rPr>
          <w:rFonts w:ascii="Garamond" w:hAnsi="Garamond"/>
          <w:sz w:val="24"/>
          <w:szCs w:val="24"/>
        </w:rPr>
      </w:pPr>
      <w:r w:rsidRPr="00DC66CD">
        <w:rPr>
          <w:rFonts w:ascii="Garamond" w:hAnsi="Garamond"/>
          <w:sz w:val="24"/>
          <w:szCs w:val="24"/>
        </w:rPr>
        <w:t>Eficienc</w:t>
      </w:r>
      <w:r w:rsidR="006F605B" w:rsidRPr="00DC66CD">
        <w:rPr>
          <w:rFonts w:ascii="Garamond" w:hAnsi="Garamond"/>
          <w:sz w:val="24"/>
          <w:szCs w:val="24"/>
        </w:rPr>
        <w:t>a e energjisë një rol të madh në Strategjinë Kombëtare të Energjisë, në veçanti, janë marrë në konsideratë dy politika afatshkurtra dhe afatmesme: rritja e kursimit të energjisë dhe zvogëlimi i emetimeve të gazrave ser</w:t>
      </w:r>
      <w:r w:rsidR="00AC5DB2" w:rsidRPr="00DC66CD">
        <w:rPr>
          <w:rFonts w:ascii="Garamond" w:hAnsi="Garamond"/>
          <w:sz w:val="24"/>
          <w:szCs w:val="24"/>
        </w:rPr>
        <w:t>r</w:t>
      </w:r>
      <w:r w:rsidR="006F605B" w:rsidRPr="00DC66CD">
        <w:rPr>
          <w:rFonts w:ascii="Garamond" w:hAnsi="Garamond"/>
          <w:sz w:val="24"/>
          <w:szCs w:val="24"/>
        </w:rPr>
        <w:t>ë. Një nga objektivat kryesor</w:t>
      </w:r>
      <w:r w:rsidR="00AC5DB2" w:rsidRPr="00DC66CD">
        <w:rPr>
          <w:rFonts w:ascii="Garamond" w:hAnsi="Garamond"/>
          <w:sz w:val="24"/>
          <w:szCs w:val="24"/>
        </w:rPr>
        <w:t>ë</w:t>
      </w:r>
      <w:r w:rsidR="006F605B" w:rsidRPr="00DC66CD">
        <w:rPr>
          <w:rFonts w:ascii="Garamond" w:hAnsi="Garamond"/>
          <w:sz w:val="24"/>
          <w:szCs w:val="24"/>
        </w:rPr>
        <w:t xml:space="preserve"> ishte diversifikimi përmes ndërtimit të burimeve të rinovueshme të energjisë dhe masave të </w:t>
      </w:r>
      <w:r w:rsidR="00AC5DB2" w:rsidRPr="00DC66CD">
        <w:rPr>
          <w:rFonts w:ascii="Garamond" w:hAnsi="Garamond"/>
          <w:sz w:val="24"/>
          <w:szCs w:val="24"/>
        </w:rPr>
        <w:t>eficiencës</w:t>
      </w:r>
      <w:r w:rsidR="006F605B" w:rsidRPr="00DC66CD">
        <w:rPr>
          <w:rFonts w:ascii="Garamond" w:hAnsi="Garamond"/>
          <w:sz w:val="24"/>
          <w:szCs w:val="24"/>
        </w:rPr>
        <w:t xml:space="preserve"> së energjisë, për të arritur sigurinë politike dhe makroekonomike të prodhimit të energjisë.</w:t>
      </w:r>
    </w:p>
    <w:p w14:paraId="04BCEED7" w14:textId="761072F3"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Ulja e konsumit të energjisë</w:t>
      </w:r>
      <w:r w:rsidR="00AC5DB2" w:rsidRPr="00DC66CD">
        <w:rPr>
          <w:rFonts w:ascii="Garamond" w:hAnsi="Garamond"/>
          <w:sz w:val="24"/>
          <w:szCs w:val="24"/>
        </w:rPr>
        <w:t>,</w:t>
      </w:r>
      <w:r w:rsidRPr="00DC66CD">
        <w:rPr>
          <w:rFonts w:ascii="Garamond" w:hAnsi="Garamond"/>
          <w:sz w:val="24"/>
          <w:szCs w:val="24"/>
        </w:rPr>
        <w:t xml:space="preserve"> duke rritur </w:t>
      </w:r>
      <w:r w:rsidR="00AC5DB2" w:rsidRPr="00DC66CD">
        <w:rPr>
          <w:rFonts w:ascii="Garamond" w:hAnsi="Garamond"/>
          <w:sz w:val="24"/>
          <w:szCs w:val="24"/>
        </w:rPr>
        <w:t>eficiencën</w:t>
      </w:r>
      <w:r w:rsidRPr="00DC66CD">
        <w:rPr>
          <w:rFonts w:ascii="Garamond" w:hAnsi="Garamond"/>
          <w:sz w:val="24"/>
          <w:szCs w:val="24"/>
        </w:rPr>
        <w:t xml:space="preserve"> e energjisë</w:t>
      </w:r>
      <w:r w:rsidR="00AC5DB2" w:rsidRPr="00DC66CD">
        <w:rPr>
          <w:rFonts w:ascii="Garamond" w:hAnsi="Garamond"/>
          <w:sz w:val="24"/>
          <w:szCs w:val="24"/>
        </w:rPr>
        <w:t>,</w:t>
      </w:r>
      <w:r w:rsidRPr="00DC66CD">
        <w:rPr>
          <w:rFonts w:ascii="Garamond" w:hAnsi="Garamond"/>
          <w:sz w:val="24"/>
          <w:szCs w:val="24"/>
        </w:rPr>
        <w:t xml:space="preserve"> është një mënyrë shumë e suksesshme për të përmbushur objektivat kryesor</w:t>
      </w:r>
      <w:r w:rsidR="00AC5DB2" w:rsidRPr="00DC66CD">
        <w:rPr>
          <w:rFonts w:ascii="Garamond" w:hAnsi="Garamond"/>
          <w:sz w:val="24"/>
          <w:szCs w:val="24"/>
        </w:rPr>
        <w:t>ë</w:t>
      </w:r>
      <w:r w:rsidRPr="00DC66CD">
        <w:rPr>
          <w:rFonts w:ascii="Garamond" w:hAnsi="Garamond"/>
          <w:sz w:val="24"/>
          <w:szCs w:val="24"/>
        </w:rPr>
        <w:t xml:space="preserve"> të politikës energjetike për sigurinë e furnizimit, kostot e përballueshme të shërbimeve energjetike dhe qëndrueshmërinë e mjedisit.</w:t>
      </w:r>
    </w:p>
    <w:p w14:paraId="5F236B65" w14:textId="7777777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Sektorët e transportit dhe të banimit kanë pjesën më të lartë në konsumin e përgjithshëm të energjisë (përkatësisht 39% dhe 27%). Kjo tregon nevojën për të përmirësuar politikën e efikasitetit të energjisë dhe zbatimin e masave të efikasitetit të energjisë për të shfrytëzuar potencialin e lartë të efikasitetit të energjisë në dispozicion në vend.</w:t>
      </w:r>
    </w:p>
    <w:p w14:paraId="6CDBF1DB" w14:textId="47874245"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Agjencia Kombëtare e </w:t>
      </w:r>
      <w:r w:rsidR="00AC5DB2" w:rsidRPr="00DC66CD">
        <w:rPr>
          <w:rFonts w:ascii="Garamond" w:hAnsi="Garamond"/>
          <w:sz w:val="24"/>
          <w:szCs w:val="24"/>
        </w:rPr>
        <w:t>Eficiencës</w:t>
      </w:r>
      <w:r w:rsidRPr="00DC66CD">
        <w:rPr>
          <w:rFonts w:ascii="Garamond" w:hAnsi="Garamond"/>
          <w:sz w:val="24"/>
          <w:szCs w:val="24"/>
        </w:rPr>
        <w:t xml:space="preserve"> së Energjisë</w:t>
      </w:r>
      <w:r w:rsidR="00AC5DB2" w:rsidRPr="00DC66CD">
        <w:rPr>
          <w:rFonts w:ascii="Garamond" w:hAnsi="Garamond"/>
          <w:sz w:val="24"/>
          <w:szCs w:val="24"/>
        </w:rPr>
        <w:t>,</w:t>
      </w:r>
      <w:r w:rsidRPr="00DC66CD">
        <w:rPr>
          <w:rFonts w:ascii="Garamond" w:hAnsi="Garamond"/>
          <w:sz w:val="24"/>
          <w:szCs w:val="24"/>
        </w:rPr>
        <w:t xml:space="preserve"> </w:t>
      </w:r>
      <w:r w:rsidR="00AC5DB2" w:rsidRPr="00DC66CD">
        <w:rPr>
          <w:rFonts w:ascii="Garamond" w:hAnsi="Garamond"/>
          <w:sz w:val="24"/>
          <w:szCs w:val="24"/>
        </w:rPr>
        <w:t>e</w:t>
      </w:r>
      <w:r w:rsidRPr="00DC66CD">
        <w:rPr>
          <w:rFonts w:ascii="Garamond" w:hAnsi="Garamond"/>
          <w:sz w:val="24"/>
          <w:szCs w:val="24"/>
        </w:rPr>
        <w:t xml:space="preserve"> cil</w:t>
      </w:r>
      <w:r w:rsidR="00AC5DB2" w:rsidRPr="00DC66CD">
        <w:rPr>
          <w:rFonts w:ascii="Garamond" w:hAnsi="Garamond"/>
          <w:sz w:val="24"/>
          <w:szCs w:val="24"/>
        </w:rPr>
        <w:t>a</w:t>
      </w:r>
      <w:r w:rsidRPr="00DC66CD">
        <w:rPr>
          <w:rFonts w:ascii="Garamond" w:hAnsi="Garamond"/>
          <w:sz w:val="24"/>
          <w:szCs w:val="24"/>
        </w:rPr>
        <w:t xml:space="preserve"> është një person juridik publik, buxhetor, përgjegjës për zbatimin e politikave dhe promovimin e masave të efikasitetit të energjisë në Shqipëri, ka filluar të funksionojë që nga tetori i vitit 2018, por nuk është plotësuar ende me stafin e plotë.</w:t>
      </w:r>
    </w:p>
    <w:p w14:paraId="6FF69612" w14:textId="54623F79"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Duke pasur parasysh vendndodhjen gjeografike të vendit, sektori i transportit në Shqipëri është i rëndësishëm strategjik për konkurrencën dhe </w:t>
      </w:r>
      <w:r w:rsidR="009D5BEC" w:rsidRPr="00DC66CD">
        <w:rPr>
          <w:rFonts w:ascii="Garamond" w:hAnsi="Garamond"/>
          <w:sz w:val="24"/>
          <w:szCs w:val="24"/>
        </w:rPr>
        <w:t xml:space="preserve">për </w:t>
      </w:r>
      <w:r w:rsidRPr="00DC66CD">
        <w:rPr>
          <w:rFonts w:ascii="Garamond" w:hAnsi="Garamond"/>
          <w:sz w:val="24"/>
          <w:szCs w:val="24"/>
        </w:rPr>
        <w:t xml:space="preserve">rritjen ekonomike. Shqipëria renditet në vendin e 109-të nga 140 vendet për infrastrukturën e transportit në Raportin Global të Konkurrencës së Forumit Ekonomik Botëror 2018, </w:t>
      </w:r>
      <w:r w:rsidRPr="00E27730">
        <w:rPr>
          <w:rFonts w:ascii="Garamond" w:hAnsi="Garamond"/>
          <w:sz w:val="24"/>
          <w:szCs w:val="24"/>
        </w:rPr>
        <w:t>i cili është nën moshat e tij rajonalë</w:t>
      </w:r>
      <w:r w:rsidRPr="00DC66CD">
        <w:rPr>
          <w:rFonts w:ascii="Garamond" w:hAnsi="Garamond"/>
          <w:sz w:val="24"/>
          <w:szCs w:val="24"/>
        </w:rPr>
        <w:t>. Transporti hekurudhor është joefikas. Rrjeti hekurudhor shqiptar operon nën kapacitetin e tij aktual, për shkak të mungesës së investimeve, operacioneve të mirëmbajtjes dhe rrjetit të vjetërsuar. Ndarja e operacioneve të trenave nga menaxhimi i infrastrukturës ende nuk është arritur. Legjislacioni zbatues është duke u përgatitur për krijimin e strukturave dhe agjencive përkatëse, veçanërisht të Autoritetit Rregullator të Hekurudhave. Infrastruktura detare është e pazhvilluar me kapacitete joadekuate. Cilësia e ulët e infrastrukturës së saj të transportit është një pengesë për integrimin e Shqipërisë në zinxhirët rajonalë dhe globalë të furnizimit dhe ka një ndikim të drejtpërdrejtë në zhvillimin e turizmit dhe shërbimeve të tranzitit. Mungesa e infrastrukturës e kombinuar me mirëmbajtjen e pahijshme çon në një numër shumë të lartë të aksidenteve në komunikacionin rrugor. Flota e automjeteve shqiptare është rritur në mënyrë dramatike brenda dhjetë v</w:t>
      </w:r>
      <w:r w:rsidR="009D5BEC" w:rsidRPr="00DC66CD">
        <w:rPr>
          <w:rFonts w:ascii="Garamond" w:hAnsi="Garamond"/>
          <w:sz w:val="24"/>
          <w:szCs w:val="24"/>
        </w:rPr>
        <w:t>jetëve</w:t>
      </w:r>
      <w:r w:rsidRPr="00DC66CD">
        <w:rPr>
          <w:rFonts w:ascii="Garamond" w:hAnsi="Garamond"/>
          <w:sz w:val="24"/>
          <w:szCs w:val="24"/>
        </w:rPr>
        <w:t xml:space="preserve"> të fundit, dhe numri i përgjithshëm i aksidenteve fatale të trafikut pas disa uljes në të kaluarën ka ngecur në 2</w:t>
      </w:r>
      <w:r w:rsidR="009D5BEC" w:rsidRPr="00DC66CD">
        <w:t>–</w:t>
      </w:r>
      <w:r w:rsidRPr="00DC66CD">
        <w:rPr>
          <w:rFonts w:ascii="Garamond" w:hAnsi="Garamond"/>
          <w:sz w:val="24"/>
          <w:szCs w:val="24"/>
        </w:rPr>
        <w:t>3 v</w:t>
      </w:r>
      <w:r w:rsidR="009D5BEC" w:rsidRPr="00DC66CD">
        <w:rPr>
          <w:rFonts w:ascii="Garamond" w:hAnsi="Garamond"/>
          <w:sz w:val="24"/>
          <w:szCs w:val="24"/>
        </w:rPr>
        <w:t>jetët</w:t>
      </w:r>
      <w:r w:rsidRPr="00DC66CD">
        <w:rPr>
          <w:rFonts w:ascii="Garamond" w:hAnsi="Garamond"/>
          <w:sz w:val="24"/>
          <w:szCs w:val="24"/>
        </w:rPr>
        <w:t xml:space="preserve"> e fundit. Shkalla e vlerësuar e fatalitetit në Shqipëri ës</w:t>
      </w:r>
      <w:r w:rsidR="008650EE" w:rsidRPr="00DC66CD">
        <w:rPr>
          <w:rFonts w:ascii="Garamond" w:hAnsi="Garamond"/>
          <w:sz w:val="24"/>
          <w:szCs w:val="24"/>
        </w:rPr>
        <w:t>htë 136 vdekje për milion banor</w:t>
      </w:r>
      <w:r w:rsidRPr="00DC66CD">
        <w:rPr>
          <w:rFonts w:ascii="Garamond" w:hAnsi="Garamond"/>
          <w:sz w:val="24"/>
          <w:szCs w:val="24"/>
        </w:rPr>
        <w:t>, që është pothuajse tr</w:t>
      </w:r>
      <w:r w:rsidR="008650EE" w:rsidRPr="00DC66CD">
        <w:rPr>
          <w:rFonts w:ascii="Garamond" w:hAnsi="Garamond"/>
          <w:sz w:val="24"/>
          <w:szCs w:val="24"/>
        </w:rPr>
        <w:t>i</w:t>
      </w:r>
      <w:r w:rsidRPr="00DC66CD">
        <w:rPr>
          <w:rFonts w:ascii="Garamond" w:hAnsi="Garamond"/>
          <w:sz w:val="24"/>
          <w:szCs w:val="24"/>
        </w:rPr>
        <w:t xml:space="preserve"> herë më shumë se mesatarja e BE-së prej 49 vdekjeve për milion </w:t>
      </w:r>
      <w:r w:rsidRPr="00DC66CD">
        <w:rPr>
          <w:rFonts w:ascii="Garamond" w:hAnsi="Garamond"/>
          <w:i/>
          <w:sz w:val="24"/>
          <w:szCs w:val="24"/>
        </w:rPr>
        <w:t>(WHO Global Status Report 2018).</w:t>
      </w:r>
      <w:r w:rsidRPr="00DC66CD">
        <w:rPr>
          <w:rFonts w:ascii="Garamond" w:hAnsi="Garamond"/>
          <w:sz w:val="24"/>
          <w:szCs w:val="24"/>
        </w:rPr>
        <w:t xml:space="preserve"> Pothuajse 40% e të gjithë personave të vrarë në rrugë janë këmbësorë, krahasuar me rreth 21% në BE. Nuk ka të dhëna për koston e aksidenteve, por ato ka të ngjarë të kenë një ndikim të rëndësishëm në ekonomi, për shkak të frekuencës së tyre.</w:t>
      </w:r>
    </w:p>
    <w:p w14:paraId="2160F4D8" w14:textId="620867E5" w:rsidR="006F605B" w:rsidRPr="00DC66CD" w:rsidRDefault="00186AA0" w:rsidP="00186AA0">
      <w:pPr>
        <w:pStyle w:val="TEKSTIIII"/>
        <w:rPr>
          <w:i/>
        </w:rPr>
      </w:pPr>
      <w:r w:rsidRPr="00DC66CD">
        <w:rPr>
          <w:i/>
        </w:rPr>
        <w:t xml:space="preserve">b) </w:t>
      </w:r>
      <w:r w:rsidR="006F605B" w:rsidRPr="00DC66CD">
        <w:rPr>
          <w:i/>
        </w:rPr>
        <w:t>Masat e reformave</w:t>
      </w:r>
    </w:p>
    <w:p w14:paraId="1F9DB3C6" w14:textId="77777777" w:rsidR="006F605B" w:rsidRPr="00DC66CD" w:rsidRDefault="006F605B" w:rsidP="00186AA0">
      <w:pPr>
        <w:pStyle w:val="TEKSTIIII"/>
        <w:rPr>
          <w:i/>
        </w:rPr>
      </w:pPr>
      <w:r w:rsidRPr="00DC66CD">
        <w:rPr>
          <w:i/>
        </w:rPr>
        <w:t>Reforma 01: Liberalizimi i mëtejshëm i tregut të energjisë</w:t>
      </w:r>
    </w:p>
    <w:p w14:paraId="00067A57" w14:textId="7786AE87" w:rsidR="006F605B" w:rsidRPr="00DC66CD" w:rsidRDefault="00186AA0" w:rsidP="00186AA0">
      <w:pPr>
        <w:pStyle w:val="TEKSTIIII"/>
        <w:rPr>
          <w:i/>
        </w:rPr>
      </w:pPr>
      <w:r w:rsidRPr="00DC66CD">
        <w:rPr>
          <w:i/>
        </w:rPr>
        <w:t xml:space="preserve">1. </w:t>
      </w:r>
      <w:r w:rsidR="006F605B" w:rsidRPr="00DC66CD">
        <w:rPr>
          <w:i/>
        </w:rPr>
        <w:t>Përshkrimi</w:t>
      </w:r>
    </w:p>
    <w:p w14:paraId="1390130E" w14:textId="3DA6A72F" w:rsidR="006F605B" w:rsidRPr="00DC66CD" w:rsidRDefault="006F605B" w:rsidP="006F605B">
      <w:pPr>
        <w:spacing w:after="0" w:line="240" w:lineRule="auto"/>
        <w:ind w:firstLine="284"/>
        <w:jc w:val="both"/>
        <w:rPr>
          <w:rFonts w:ascii="Garamond" w:hAnsi="Garamond"/>
          <w:color w:val="0D0D0D" w:themeColor="text1" w:themeTint="F2"/>
          <w:sz w:val="24"/>
          <w:szCs w:val="24"/>
        </w:rPr>
      </w:pPr>
      <w:r w:rsidRPr="00DC66CD">
        <w:rPr>
          <w:rFonts w:ascii="Garamond" w:hAnsi="Garamond"/>
          <w:sz w:val="24"/>
          <w:szCs w:val="24"/>
        </w:rPr>
        <w:t>Në përputhje me masat e paraqitura në dokumentet e mëparshme të ERP</w:t>
      </w:r>
      <w:r w:rsidR="008650EE" w:rsidRPr="00DC66CD">
        <w:rPr>
          <w:rFonts w:ascii="Garamond" w:hAnsi="Garamond"/>
          <w:sz w:val="24"/>
          <w:szCs w:val="24"/>
        </w:rPr>
        <w:t>-së</w:t>
      </w:r>
      <w:r w:rsidRPr="00DC66CD">
        <w:rPr>
          <w:rFonts w:ascii="Garamond" w:hAnsi="Garamond"/>
          <w:sz w:val="24"/>
          <w:szCs w:val="24"/>
        </w:rPr>
        <w:t xml:space="preserve"> dhe referuar </w:t>
      </w:r>
      <w:r w:rsidR="008650EE" w:rsidRPr="00DC66CD">
        <w:rPr>
          <w:rFonts w:ascii="Garamond" w:hAnsi="Garamond"/>
          <w:sz w:val="24"/>
          <w:szCs w:val="24"/>
        </w:rPr>
        <w:t>objektivave/piketave të arritur</w:t>
      </w:r>
      <w:r w:rsidRPr="00DC66CD">
        <w:rPr>
          <w:rFonts w:ascii="Garamond" w:hAnsi="Garamond"/>
          <w:sz w:val="24"/>
          <w:szCs w:val="24"/>
        </w:rPr>
        <w:t xml:space="preserve"> tashmë, për periudhën raportuese ERP</w:t>
      </w:r>
      <w:r w:rsidR="008650EE" w:rsidRPr="00DC66CD">
        <w:rPr>
          <w:rFonts w:ascii="Garamond" w:hAnsi="Garamond"/>
          <w:sz w:val="24"/>
          <w:szCs w:val="24"/>
        </w:rPr>
        <w:t>,</w:t>
      </w:r>
      <w:r w:rsidRPr="00DC66CD">
        <w:rPr>
          <w:rFonts w:ascii="Garamond" w:hAnsi="Garamond"/>
          <w:sz w:val="24"/>
          <w:szCs w:val="24"/>
        </w:rPr>
        <w:t xml:space="preserve"> 2020</w:t>
      </w:r>
      <w:r w:rsidR="008650EE" w:rsidRPr="00DC66CD">
        <w:t>–</w:t>
      </w:r>
      <w:r w:rsidRPr="00DC66CD">
        <w:rPr>
          <w:rFonts w:ascii="Garamond" w:hAnsi="Garamond"/>
          <w:sz w:val="24"/>
          <w:szCs w:val="24"/>
        </w:rPr>
        <w:t>2022</w:t>
      </w:r>
      <w:r w:rsidR="008650EE" w:rsidRPr="00DC66CD">
        <w:rPr>
          <w:rFonts w:ascii="Garamond" w:hAnsi="Garamond"/>
          <w:sz w:val="24"/>
          <w:szCs w:val="24"/>
        </w:rPr>
        <w:t>,</w:t>
      </w:r>
      <w:r w:rsidRPr="00DC66CD">
        <w:rPr>
          <w:rFonts w:ascii="Garamond" w:hAnsi="Garamond"/>
          <w:sz w:val="24"/>
          <w:szCs w:val="24"/>
        </w:rPr>
        <w:t xml:space="preserve"> fokusi do të jetë në: </w:t>
      </w:r>
      <w:r w:rsidRPr="00DC66CD">
        <w:rPr>
          <w:rFonts w:ascii="Garamond" w:hAnsi="Garamond"/>
          <w:color w:val="0D0D0D" w:themeColor="text1" w:themeTint="F2"/>
          <w:sz w:val="24"/>
          <w:szCs w:val="24"/>
        </w:rPr>
        <w:t>Rritjen e konkurrencës ndërmjet furnizuesve të energjisë</w:t>
      </w:r>
      <w:r w:rsidR="008650EE" w:rsidRPr="00DC66CD">
        <w:rPr>
          <w:rFonts w:ascii="Garamond" w:hAnsi="Garamond"/>
          <w:color w:val="0D0D0D" w:themeColor="text1" w:themeTint="F2"/>
          <w:sz w:val="24"/>
          <w:szCs w:val="24"/>
        </w:rPr>
        <w:t>,</w:t>
      </w:r>
      <w:r w:rsidRPr="00DC66CD">
        <w:rPr>
          <w:rFonts w:ascii="Garamond" w:hAnsi="Garamond"/>
          <w:color w:val="0D0D0D" w:themeColor="text1" w:themeTint="F2"/>
          <w:sz w:val="24"/>
          <w:szCs w:val="24"/>
        </w:rPr>
        <w:t xml:space="preserve"> duke rritur përfitimet nga </w:t>
      </w:r>
      <w:r w:rsidR="008650EE" w:rsidRPr="00DC66CD">
        <w:rPr>
          <w:rFonts w:ascii="Garamond" w:hAnsi="Garamond"/>
          <w:color w:val="0D0D0D" w:themeColor="text1" w:themeTint="F2"/>
          <w:sz w:val="24"/>
          <w:szCs w:val="24"/>
        </w:rPr>
        <w:t>eficienca</w:t>
      </w:r>
      <w:r w:rsidRPr="00DC66CD">
        <w:rPr>
          <w:rFonts w:ascii="Garamond" w:hAnsi="Garamond"/>
          <w:color w:val="0D0D0D" w:themeColor="text1" w:themeTint="F2"/>
          <w:sz w:val="24"/>
          <w:szCs w:val="24"/>
        </w:rPr>
        <w:t xml:space="preserve"> dhe produktiviteti, të cilat çojnë në kosto më të ulëta të prodhimit, si dhe në çmime më të ulëta të energjisë elektrike, nëpërmjet iniciativave ligjore dhe rregullator</w:t>
      </w:r>
      <w:r w:rsidR="008650EE" w:rsidRPr="00DC66CD">
        <w:rPr>
          <w:rFonts w:ascii="Garamond" w:hAnsi="Garamond"/>
          <w:color w:val="0D0D0D" w:themeColor="text1" w:themeTint="F2"/>
          <w:sz w:val="24"/>
          <w:szCs w:val="24"/>
        </w:rPr>
        <w:t>e</w:t>
      </w:r>
      <w:r w:rsidRPr="00DC66CD">
        <w:rPr>
          <w:rFonts w:ascii="Garamond" w:hAnsi="Garamond"/>
          <w:color w:val="0D0D0D" w:themeColor="text1" w:themeTint="F2"/>
          <w:sz w:val="24"/>
          <w:szCs w:val="24"/>
        </w:rPr>
        <w:t xml:space="preserve"> dhe rritjen e sigurisë së furnizimit.</w:t>
      </w:r>
    </w:p>
    <w:p w14:paraId="1937C373" w14:textId="0A3103F5" w:rsidR="006F605B" w:rsidRPr="00DC66CD" w:rsidRDefault="00186AA0" w:rsidP="00186AA0">
      <w:pPr>
        <w:pStyle w:val="TEKSTIIII"/>
        <w:rPr>
          <w:b/>
        </w:rPr>
      </w:pPr>
      <w:r w:rsidRPr="00DC66CD">
        <w:rPr>
          <w:b/>
        </w:rPr>
        <w:t xml:space="preserve">- </w:t>
      </w:r>
      <w:r w:rsidR="006F605B" w:rsidRPr="00DC66CD">
        <w:rPr>
          <w:b/>
        </w:rPr>
        <w:t>Liberalizimi i tregut të energjisë elektrike</w:t>
      </w:r>
      <w:r w:rsidR="008650EE" w:rsidRPr="00DC66CD">
        <w:rPr>
          <w:b/>
        </w:rPr>
        <w:t xml:space="preserve"> (konsumatorë në tregun e lirë)</w:t>
      </w:r>
    </w:p>
    <w:p w14:paraId="0B51DF3A" w14:textId="1AB6C833" w:rsidR="006F605B" w:rsidRPr="00DC66CD" w:rsidRDefault="006F605B" w:rsidP="006F605B">
      <w:pPr>
        <w:spacing w:after="0" w:line="240" w:lineRule="auto"/>
        <w:ind w:firstLine="284"/>
        <w:jc w:val="both"/>
        <w:rPr>
          <w:rFonts w:ascii="Garamond" w:hAnsi="Garamond"/>
          <w:sz w:val="24"/>
          <w:szCs w:val="24"/>
          <w:lang w:eastAsia="en-GB"/>
        </w:rPr>
      </w:pPr>
      <w:r w:rsidRPr="00DC66CD">
        <w:rPr>
          <w:rFonts w:ascii="Garamond" w:hAnsi="Garamond"/>
          <w:sz w:val="24"/>
          <w:szCs w:val="24"/>
          <w:lang w:eastAsia="en-GB"/>
        </w:rPr>
        <w:t>Siç është parashikuar edhe në ligj</w:t>
      </w:r>
      <w:r w:rsidR="00B87B09" w:rsidRPr="00DC66CD">
        <w:rPr>
          <w:rFonts w:ascii="Garamond" w:hAnsi="Garamond"/>
          <w:sz w:val="24"/>
          <w:szCs w:val="24"/>
          <w:lang w:eastAsia="en-GB"/>
        </w:rPr>
        <w:t>:</w:t>
      </w:r>
      <w:r w:rsidRPr="00DC66CD">
        <w:rPr>
          <w:rFonts w:ascii="Garamond" w:hAnsi="Garamond"/>
          <w:sz w:val="24"/>
          <w:szCs w:val="24"/>
          <w:lang w:eastAsia="en-GB"/>
        </w:rPr>
        <w:t xml:space="preserve"> </w:t>
      </w:r>
      <w:r w:rsidR="002A29AD" w:rsidRPr="00DC66CD">
        <w:rPr>
          <w:rFonts w:ascii="Garamond" w:hAnsi="Garamond"/>
          <w:i/>
          <w:sz w:val="24"/>
          <w:szCs w:val="24"/>
          <w:lang w:eastAsia="en-GB"/>
        </w:rPr>
        <w:t>“</w:t>
      </w:r>
      <w:r w:rsidRPr="00DC66CD">
        <w:rPr>
          <w:rFonts w:ascii="Garamond" w:hAnsi="Garamond"/>
          <w:i/>
          <w:sz w:val="24"/>
          <w:szCs w:val="24"/>
          <w:lang w:eastAsia="en-GB"/>
        </w:rPr>
        <w:t>Konsumatori fundor i furnizuar me energji elektrike nga furnizuesi i mundësisë së fundit dhe në kuptim të nenit 109</w:t>
      </w:r>
      <w:r w:rsidR="00B87B09" w:rsidRPr="00DC66CD">
        <w:rPr>
          <w:rFonts w:ascii="Garamond" w:hAnsi="Garamond"/>
          <w:i/>
          <w:sz w:val="24"/>
          <w:szCs w:val="24"/>
          <w:lang w:eastAsia="en-GB"/>
        </w:rPr>
        <w:t>,</w:t>
      </w:r>
      <w:r w:rsidRPr="00DC66CD">
        <w:rPr>
          <w:rFonts w:ascii="Garamond" w:hAnsi="Garamond"/>
          <w:i/>
          <w:sz w:val="24"/>
          <w:szCs w:val="24"/>
          <w:lang w:eastAsia="en-GB"/>
        </w:rPr>
        <w:t xml:space="preserve"> të këtij ligji del për herë të parë në një treg të liberalizuar, është i detyruar të lidhë një kontratë furnizimi me një furnizues të ri</w:t>
      </w:r>
      <w:r w:rsidR="00B87B09" w:rsidRPr="00DC66CD">
        <w:rPr>
          <w:rFonts w:ascii="Garamond" w:hAnsi="Garamond"/>
          <w:i/>
          <w:sz w:val="24"/>
          <w:szCs w:val="24"/>
          <w:lang w:eastAsia="en-GB"/>
        </w:rPr>
        <w:t>,</w:t>
      </w:r>
      <w:r w:rsidRPr="00DC66CD">
        <w:rPr>
          <w:rFonts w:ascii="Garamond" w:hAnsi="Garamond"/>
          <w:i/>
          <w:sz w:val="24"/>
          <w:szCs w:val="24"/>
          <w:lang w:eastAsia="en-GB"/>
        </w:rPr>
        <w:t xml:space="preserve"> brenda 2 v</w:t>
      </w:r>
      <w:r w:rsidR="00B87B09" w:rsidRPr="00DC66CD">
        <w:rPr>
          <w:rFonts w:ascii="Garamond" w:hAnsi="Garamond"/>
          <w:i/>
          <w:sz w:val="24"/>
          <w:szCs w:val="24"/>
          <w:lang w:eastAsia="en-GB"/>
        </w:rPr>
        <w:t>jetëve</w:t>
      </w:r>
      <w:r w:rsidRPr="00DC66CD">
        <w:rPr>
          <w:rFonts w:ascii="Garamond" w:hAnsi="Garamond"/>
          <w:i/>
          <w:sz w:val="24"/>
          <w:szCs w:val="24"/>
          <w:lang w:eastAsia="en-GB"/>
        </w:rPr>
        <w:t xml:space="preserve"> nga fillimi i kontratës së furnizimit nga furnizuesi i mundësisë së fundit. Në fund të kësaj periudhe, operatori i sistemit ndërpret furnizimin me energji elektrike për këtë klient. Duke filluar nga 1 janari 2018, të gjithë konsumatorët e lidhur në rrjetin 35 kV duhet të sigurojnë energjinë elektrike të nevojshme në tregun e parregulluar</w:t>
      </w:r>
      <w:r w:rsidR="002A29AD" w:rsidRPr="00DC66CD">
        <w:rPr>
          <w:rFonts w:ascii="Garamond" w:hAnsi="Garamond"/>
          <w:i/>
          <w:sz w:val="24"/>
          <w:szCs w:val="24"/>
          <w:lang w:eastAsia="en-GB"/>
        </w:rPr>
        <w:t>”</w:t>
      </w:r>
      <w:r w:rsidRPr="00DC66CD">
        <w:rPr>
          <w:rFonts w:ascii="Garamond" w:hAnsi="Garamond"/>
          <w:sz w:val="24"/>
          <w:szCs w:val="24"/>
          <w:lang w:eastAsia="en-GB"/>
        </w:rPr>
        <w:t>. Aktualisht janë 98 konsumatorë të lidhur në rrjetin 35 kV</w:t>
      </w:r>
      <w:r w:rsidR="00A82967" w:rsidRPr="00DC66CD">
        <w:rPr>
          <w:rFonts w:ascii="Garamond" w:hAnsi="Garamond"/>
          <w:sz w:val="24"/>
          <w:szCs w:val="24"/>
          <w:lang w:eastAsia="en-GB"/>
        </w:rPr>
        <w:t>,</w:t>
      </w:r>
      <w:r w:rsidRPr="00DC66CD">
        <w:rPr>
          <w:rFonts w:ascii="Garamond" w:hAnsi="Garamond"/>
          <w:sz w:val="24"/>
          <w:szCs w:val="24"/>
          <w:lang w:eastAsia="en-GB"/>
        </w:rPr>
        <w:t xml:space="preserve"> por deri tani vetëm 1/3 e tyre (28 konsumatorë) të lidhur në rrjetin 35 kV, kanë zgjedhur të sigurojnë energjinë elektrike të nevojshme në tregun e liberalizuar.</w:t>
      </w:r>
    </w:p>
    <w:p w14:paraId="5EED6A30" w14:textId="07A8A3CE" w:rsidR="006F605B" w:rsidRPr="00DC66CD" w:rsidRDefault="00186AA0" w:rsidP="00186AA0">
      <w:pPr>
        <w:pStyle w:val="ListParagraph"/>
        <w:widowControl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 </w:t>
      </w:r>
      <w:r w:rsidR="006F605B" w:rsidRPr="00DC66CD">
        <w:rPr>
          <w:rFonts w:ascii="Garamond" w:hAnsi="Garamond" w:cs="Times New Roman"/>
          <w:b/>
          <w:sz w:val="24"/>
          <w:szCs w:val="24"/>
        </w:rPr>
        <w:t xml:space="preserve">Ndarja e </w:t>
      </w:r>
      <w:r w:rsidR="00A82967" w:rsidRPr="00DC66CD">
        <w:rPr>
          <w:rFonts w:ascii="Garamond" w:hAnsi="Garamond" w:cs="Times New Roman"/>
          <w:b/>
          <w:sz w:val="24"/>
          <w:szCs w:val="24"/>
        </w:rPr>
        <w:t>aktivitetit të shpërndarjes nga furnizimi</w:t>
      </w:r>
    </w:p>
    <w:p w14:paraId="7AFFD198" w14:textId="190597F2" w:rsidR="00186AA0" w:rsidRPr="00DC66CD" w:rsidRDefault="006F605B" w:rsidP="00186AA0">
      <w:pPr>
        <w:spacing w:after="0" w:line="240" w:lineRule="auto"/>
        <w:ind w:firstLine="284"/>
        <w:jc w:val="both"/>
        <w:rPr>
          <w:rFonts w:ascii="Garamond" w:hAnsi="Garamond"/>
          <w:sz w:val="24"/>
          <w:szCs w:val="24"/>
        </w:rPr>
      </w:pPr>
      <w:r w:rsidRPr="00DC66CD">
        <w:rPr>
          <w:rFonts w:ascii="Garamond" w:hAnsi="Garamond"/>
          <w:sz w:val="24"/>
          <w:szCs w:val="24"/>
        </w:rPr>
        <w:t>Sikurse është raportuar edhe më herët, ndarja ligjore dhe funksionale e Operatorit të Shpërndarjes së Energjisë Elektrike (OSHEE Sh.a), ka për qëllim ndarjen e shpërndarjes nga veprimtaria e furnizimit. Modeli i ndarjes është miratuar nga Këshilli Mbikëqyrës i OSHEE Sh.a dhe nga Ministri i Energjisë dhe Industrisë në cilësinë e Asamblesë së Përgjithshme të Shoqërisë. Themelimi i tr</w:t>
      </w:r>
      <w:r w:rsidR="00276B1A" w:rsidRPr="00DC66CD">
        <w:rPr>
          <w:rFonts w:ascii="Garamond" w:hAnsi="Garamond"/>
          <w:sz w:val="24"/>
          <w:szCs w:val="24"/>
        </w:rPr>
        <w:t>i</w:t>
      </w:r>
      <w:r w:rsidRPr="00DC66CD">
        <w:rPr>
          <w:rFonts w:ascii="Garamond" w:hAnsi="Garamond"/>
          <w:sz w:val="24"/>
          <w:szCs w:val="24"/>
        </w:rPr>
        <w:t xml:space="preserve"> kompanive bija ka përfunduar dhe ato janë</w:t>
      </w:r>
      <w:r w:rsidR="00186AA0" w:rsidRPr="00DC66CD">
        <w:rPr>
          <w:rFonts w:ascii="Garamond" w:hAnsi="Garamond"/>
          <w:sz w:val="24"/>
          <w:szCs w:val="24"/>
        </w:rPr>
        <w:t>:</w:t>
      </w:r>
    </w:p>
    <w:p w14:paraId="0C638D39" w14:textId="5B39DFD8" w:rsidR="00186AA0" w:rsidRPr="00DC66CD" w:rsidRDefault="00186AA0" w:rsidP="00186AA0">
      <w:pPr>
        <w:spacing w:after="0" w:line="240" w:lineRule="auto"/>
        <w:ind w:firstLine="284"/>
        <w:jc w:val="both"/>
        <w:rPr>
          <w:rFonts w:ascii="Garamond" w:hAnsi="Garamond"/>
          <w:sz w:val="24"/>
          <w:szCs w:val="24"/>
        </w:rPr>
      </w:pPr>
      <w:r w:rsidRPr="00DC66CD">
        <w:rPr>
          <w:rFonts w:ascii="Garamond" w:hAnsi="Garamond"/>
          <w:sz w:val="24"/>
          <w:szCs w:val="24"/>
        </w:rPr>
        <w:t xml:space="preserve">- </w:t>
      </w:r>
      <w:r w:rsidR="006F605B" w:rsidRPr="00DC66CD">
        <w:rPr>
          <w:rFonts w:ascii="Garamond" w:hAnsi="Garamond"/>
          <w:b/>
          <w:sz w:val="24"/>
          <w:szCs w:val="24"/>
        </w:rPr>
        <w:t xml:space="preserve">Furnizuesi i Shërbimit Universal </w:t>
      </w:r>
      <w:r w:rsidR="006F605B" w:rsidRPr="00DC66CD">
        <w:rPr>
          <w:rFonts w:ascii="Garamond" w:hAnsi="Garamond"/>
          <w:sz w:val="24"/>
          <w:szCs w:val="24"/>
        </w:rPr>
        <w:t>(FSHU), me objekt të aktivitetit</w:t>
      </w:r>
      <w:r w:rsidR="00F36EAC" w:rsidRPr="00DC66CD">
        <w:rPr>
          <w:rFonts w:ascii="Garamond" w:hAnsi="Garamond"/>
          <w:sz w:val="24"/>
          <w:szCs w:val="24"/>
        </w:rPr>
        <w:t>:</w:t>
      </w:r>
      <w:r w:rsidR="006F605B" w:rsidRPr="00DC66CD">
        <w:rPr>
          <w:rFonts w:ascii="Garamond" w:hAnsi="Garamond"/>
          <w:sz w:val="24"/>
          <w:szCs w:val="24"/>
        </w:rPr>
        <w:t xml:space="preserve"> </w:t>
      </w:r>
      <w:r w:rsidR="002A29AD" w:rsidRPr="00DC66CD">
        <w:rPr>
          <w:rFonts w:ascii="Garamond" w:hAnsi="Garamond"/>
          <w:sz w:val="24"/>
          <w:szCs w:val="24"/>
        </w:rPr>
        <w:t>“</w:t>
      </w:r>
      <w:r w:rsidR="006F605B" w:rsidRPr="00DC66CD">
        <w:rPr>
          <w:rFonts w:ascii="Garamond" w:hAnsi="Garamond"/>
          <w:i/>
          <w:sz w:val="24"/>
          <w:szCs w:val="24"/>
        </w:rPr>
        <w:t>Furnizimi me energji elektrike i klientëve fundorë që operojnë në tregun e rregulluar të përcaktuar me legjislacionin në fuqi</w:t>
      </w:r>
      <w:r w:rsidR="002A29AD" w:rsidRPr="00DC66CD">
        <w:rPr>
          <w:rFonts w:ascii="Garamond" w:hAnsi="Garamond"/>
          <w:i/>
          <w:sz w:val="24"/>
          <w:szCs w:val="24"/>
        </w:rPr>
        <w:t>”</w:t>
      </w:r>
      <w:r w:rsidR="00F36EAC" w:rsidRPr="00DC66CD">
        <w:rPr>
          <w:rFonts w:ascii="Garamond" w:hAnsi="Garamond"/>
          <w:i/>
          <w:sz w:val="24"/>
          <w:szCs w:val="24"/>
        </w:rPr>
        <w:t>;</w:t>
      </w:r>
      <w:r w:rsidRPr="00DC66CD">
        <w:rPr>
          <w:rFonts w:ascii="Garamond" w:hAnsi="Garamond"/>
          <w:sz w:val="24"/>
          <w:szCs w:val="24"/>
        </w:rPr>
        <w:t xml:space="preserve"> </w:t>
      </w:r>
    </w:p>
    <w:p w14:paraId="3C1EF2D3" w14:textId="6F43080F" w:rsidR="00186AA0" w:rsidRPr="00DC66CD" w:rsidRDefault="00186AA0" w:rsidP="00186AA0">
      <w:pPr>
        <w:spacing w:after="0" w:line="240" w:lineRule="auto"/>
        <w:ind w:firstLine="284"/>
        <w:jc w:val="both"/>
        <w:rPr>
          <w:rFonts w:ascii="Garamond" w:hAnsi="Garamond"/>
          <w:sz w:val="24"/>
          <w:szCs w:val="24"/>
        </w:rPr>
      </w:pPr>
      <w:r w:rsidRPr="00DC66CD">
        <w:rPr>
          <w:rFonts w:ascii="Garamond" w:hAnsi="Garamond"/>
          <w:sz w:val="24"/>
          <w:szCs w:val="24"/>
        </w:rPr>
        <w:t xml:space="preserve">- </w:t>
      </w:r>
      <w:r w:rsidR="006F605B" w:rsidRPr="00DC66CD">
        <w:rPr>
          <w:rFonts w:ascii="Garamond" w:hAnsi="Garamond"/>
          <w:b/>
          <w:sz w:val="24"/>
          <w:szCs w:val="24"/>
        </w:rPr>
        <w:t xml:space="preserve">Furnizuesi i Tregut të Lirë </w:t>
      </w:r>
      <w:r w:rsidR="006F605B" w:rsidRPr="00DC66CD">
        <w:rPr>
          <w:rFonts w:ascii="Garamond" w:hAnsi="Garamond"/>
          <w:sz w:val="24"/>
          <w:szCs w:val="24"/>
        </w:rPr>
        <w:t xml:space="preserve">(FTL), me objekt të aktivitetit </w:t>
      </w:r>
      <w:r w:rsidR="002A29AD" w:rsidRPr="00DC66CD">
        <w:rPr>
          <w:rFonts w:ascii="Garamond" w:hAnsi="Garamond"/>
          <w:sz w:val="24"/>
          <w:szCs w:val="24"/>
        </w:rPr>
        <w:t>“</w:t>
      </w:r>
      <w:r w:rsidR="006F605B" w:rsidRPr="00DC66CD">
        <w:rPr>
          <w:rFonts w:ascii="Garamond" w:hAnsi="Garamond"/>
          <w:i/>
          <w:sz w:val="24"/>
          <w:szCs w:val="24"/>
        </w:rPr>
        <w:t>Blerja dhe menaxhimi i energjisë elektri</w:t>
      </w:r>
      <w:r w:rsidR="007206A4" w:rsidRPr="00DC66CD">
        <w:rPr>
          <w:rFonts w:ascii="Garamond" w:hAnsi="Garamond"/>
          <w:i/>
          <w:sz w:val="24"/>
          <w:szCs w:val="24"/>
        </w:rPr>
        <w:t>ke dhe operimi në tregun e lirë</w:t>
      </w:r>
      <w:r w:rsidR="006F605B" w:rsidRPr="00DC66CD">
        <w:rPr>
          <w:rFonts w:ascii="Garamond" w:hAnsi="Garamond"/>
          <w:i/>
          <w:sz w:val="24"/>
          <w:szCs w:val="24"/>
        </w:rPr>
        <w:t xml:space="preserve"> etj.</w:t>
      </w:r>
      <w:r w:rsidR="002A29AD" w:rsidRPr="00DC66CD">
        <w:rPr>
          <w:rFonts w:ascii="Garamond" w:hAnsi="Garamond"/>
          <w:i/>
          <w:sz w:val="24"/>
          <w:szCs w:val="24"/>
        </w:rPr>
        <w:t>”</w:t>
      </w:r>
      <w:r w:rsidR="00F36EAC" w:rsidRPr="00DC66CD">
        <w:rPr>
          <w:rFonts w:ascii="Garamond" w:hAnsi="Garamond"/>
          <w:i/>
          <w:sz w:val="24"/>
          <w:szCs w:val="24"/>
        </w:rPr>
        <w:t>;</w:t>
      </w:r>
    </w:p>
    <w:p w14:paraId="0A633948" w14:textId="41AF5CC2" w:rsidR="006F605B" w:rsidRPr="00DC66CD" w:rsidRDefault="00186AA0" w:rsidP="00186AA0">
      <w:pPr>
        <w:spacing w:after="0" w:line="240" w:lineRule="auto"/>
        <w:ind w:firstLine="284"/>
        <w:jc w:val="both"/>
        <w:rPr>
          <w:rFonts w:ascii="Garamond" w:hAnsi="Garamond"/>
          <w:sz w:val="24"/>
          <w:szCs w:val="24"/>
        </w:rPr>
      </w:pPr>
      <w:r w:rsidRPr="00DC66CD">
        <w:rPr>
          <w:rFonts w:ascii="Garamond" w:hAnsi="Garamond"/>
          <w:sz w:val="24"/>
          <w:szCs w:val="24"/>
        </w:rPr>
        <w:t xml:space="preserve">- </w:t>
      </w:r>
      <w:r w:rsidR="006F605B" w:rsidRPr="00DC66CD">
        <w:rPr>
          <w:rFonts w:ascii="Garamond" w:hAnsi="Garamond"/>
          <w:b/>
          <w:sz w:val="24"/>
          <w:szCs w:val="24"/>
        </w:rPr>
        <w:t>Operatori i Sistemit të Shpërndarjes</w:t>
      </w:r>
      <w:r w:rsidR="006F605B" w:rsidRPr="00DC66CD">
        <w:rPr>
          <w:rFonts w:ascii="Garamond" w:hAnsi="Garamond"/>
          <w:sz w:val="24"/>
          <w:szCs w:val="24"/>
        </w:rPr>
        <w:t xml:space="preserve"> (OSSH), me objekt të aktivitetit </w:t>
      </w:r>
      <w:r w:rsidR="002A29AD" w:rsidRPr="00DC66CD">
        <w:rPr>
          <w:rFonts w:ascii="Garamond" w:hAnsi="Garamond"/>
          <w:sz w:val="24"/>
          <w:szCs w:val="24"/>
        </w:rPr>
        <w:t>“</w:t>
      </w:r>
      <w:r w:rsidR="006F605B" w:rsidRPr="00DC66CD">
        <w:rPr>
          <w:rFonts w:ascii="Garamond" w:hAnsi="Garamond"/>
          <w:i/>
          <w:sz w:val="24"/>
          <w:szCs w:val="24"/>
        </w:rPr>
        <w:t>Shpërndarja e energjisë elektrike, ndërtimi, funksionimi dhe mirëmbajtja e rrjetit të shpërndarjes së energjisë elektrike për furnizimin me energji elektrike konsumatorëve, lidhja e konsumatorëve dhe shfrytëzuesve të rrjetit të shpërndarjes së energjisë elektrike, shërbimet e matjes etj.</w:t>
      </w:r>
      <w:r w:rsidR="002A29AD" w:rsidRPr="00DC66CD">
        <w:rPr>
          <w:rFonts w:ascii="Garamond" w:hAnsi="Garamond"/>
          <w:sz w:val="24"/>
          <w:szCs w:val="24"/>
        </w:rPr>
        <w:t>”</w:t>
      </w:r>
      <w:r w:rsidR="006F605B" w:rsidRPr="00DC66CD">
        <w:rPr>
          <w:rFonts w:ascii="Garamond" w:hAnsi="Garamond"/>
          <w:sz w:val="24"/>
          <w:szCs w:val="24"/>
        </w:rPr>
        <w:t>.</w:t>
      </w:r>
    </w:p>
    <w:p w14:paraId="1B994405" w14:textId="5CCD7CCC" w:rsidR="006F605B" w:rsidRPr="00DC66CD" w:rsidRDefault="006F605B" w:rsidP="006F605B">
      <w:pPr>
        <w:tabs>
          <w:tab w:val="left" w:pos="270"/>
        </w:tabs>
        <w:autoSpaceDE w:val="0"/>
        <w:autoSpaceDN w:val="0"/>
        <w:adjustRightInd w:val="0"/>
        <w:spacing w:after="0" w:line="240" w:lineRule="auto"/>
        <w:ind w:firstLine="284"/>
        <w:jc w:val="both"/>
        <w:rPr>
          <w:rFonts w:ascii="Garamond" w:hAnsi="Garamond"/>
          <w:sz w:val="24"/>
          <w:szCs w:val="24"/>
        </w:rPr>
      </w:pPr>
      <w:r w:rsidRPr="00DC66CD">
        <w:rPr>
          <w:rFonts w:ascii="Garamond" w:hAnsi="Garamond"/>
          <w:sz w:val="24"/>
          <w:szCs w:val="24"/>
        </w:rPr>
        <w:t>Enti Rregullator i Energjisë, ERE</w:t>
      </w:r>
      <w:r w:rsidR="00F36EAC" w:rsidRPr="00DC66CD">
        <w:rPr>
          <w:rFonts w:ascii="Garamond" w:hAnsi="Garamond"/>
          <w:sz w:val="24"/>
          <w:szCs w:val="24"/>
        </w:rPr>
        <w:t>,</w:t>
      </w:r>
      <w:r w:rsidRPr="00DC66CD">
        <w:rPr>
          <w:rFonts w:ascii="Garamond" w:hAnsi="Garamond"/>
          <w:sz w:val="24"/>
          <w:szCs w:val="24"/>
        </w:rPr>
        <w:t xml:space="preserve"> me vendimet e </w:t>
      </w:r>
      <w:r w:rsidR="00F36EAC" w:rsidRPr="00DC66CD">
        <w:rPr>
          <w:rFonts w:ascii="Garamond" w:hAnsi="Garamond"/>
          <w:sz w:val="24"/>
          <w:szCs w:val="24"/>
        </w:rPr>
        <w:t xml:space="preserve">bordit </w:t>
      </w:r>
      <w:r w:rsidRPr="00DC66CD">
        <w:rPr>
          <w:rFonts w:ascii="Garamond" w:hAnsi="Garamond"/>
          <w:sz w:val="24"/>
          <w:szCs w:val="24"/>
        </w:rPr>
        <w:t>të saj</w:t>
      </w:r>
      <w:r w:rsidR="00E33D88" w:rsidRPr="00DC66CD">
        <w:rPr>
          <w:rFonts w:ascii="Garamond" w:hAnsi="Garamond"/>
          <w:sz w:val="24"/>
          <w:szCs w:val="24"/>
        </w:rPr>
        <w:t xml:space="preserve"> nr. </w:t>
      </w:r>
      <w:r w:rsidRPr="00DC66CD">
        <w:rPr>
          <w:rFonts w:ascii="Garamond" w:hAnsi="Garamond"/>
          <w:sz w:val="24"/>
          <w:szCs w:val="24"/>
        </w:rPr>
        <w:t>198 dhe 199</w:t>
      </w:r>
      <w:r w:rsidR="00F36EAC" w:rsidRPr="00DC66CD">
        <w:rPr>
          <w:rFonts w:ascii="Garamond" w:hAnsi="Garamond"/>
          <w:sz w:val="24"/>
          <w:szCs w:val="24"/>
        </w:rPr>
        <w:t>,</w:t>
      </w:r>
      <w:r w:rsidRPr="00DC66CD">
        <w:rPr>
          <w:rFonts w:ascii="Garamond" w:hAnsi="Garamond"/>
          <w:sz w:val="24"/>
          <w:szCs w:val="24"/>
        </w:rPr>
        <w:t xml:space="preserve"> të datës 3 shtator 2018,</w:t>
      </w:r>
      <w:r w:rsidR="00E33D88" w:rsidRPr="00DC66CD">
        <w:rPr>
          <w:rFonts w:ascii="Garamond" w:hAnsi="Garamond"/>
          <w:sz w:val="24"/>
          <w:szCs w:val="24"/>
        </w:rPr>
        <w:t xml:space="preserve"> nr. </w:t>
      </w:r>
      <w:r w:rsidRPr="00DC66CD">
        <w:rPr>
          <w:rFonts w:ascii="Garamond" w:hAnsi="Garamond"/>
          <w:sz w:val="24"/>
          <w:szCs w:val="24"/>
        </w:rPr>
        <w:t>215</w:t>
      </w:r>
      <w:r w:rsidR="00F36EAC" w:rsidRPr="00DC66CD">
        <w:rPr>
          <w:rFonts w:ascii="Garamond" w:hAnsi="Garamond"/>
          <w:sz w:val="24"/>
          <w:szCs w:val="24"/>
        </w:rPr>
        <w:t>,</w:t>
      </w:r>
      <w:r w:rsidRPr="00DC66CD">
        <w:rPr>
          <w:rFonts w:ascii="Garamond" w:hAnsi="Garamond"/>
          <w:sz w:val="24"/>
          <w:szCs w:val="24"/>
        </w:rPr>
        <w:t xml:space="preserve"> të datës 11 tetori 2018 dhe</w:t>
      </w:r>
      <w:r w:rsidR="00E33D88" w:rsidRPr="00DC66CD">
        <w:rPr>
          <w:rFonts w:ascii="Garamond" w:hAnsi="Garamond"/>
          <w:sz w:val="24"/>
          <w:szCs w:val="24"/>
        </w:rPr>
        <w:t xml:space="preserve"> nr. </w:t>
      </w:r>
      <w:r w:rsidRPr="00DC66CD">
        <w:rPr>
          <w:rFonts w:ascii="Garamond" w:hAnsi="Garamond"/>
          <w:sz w:val="24"/>
          <w:szCs w:val="24"/>
        </w:rPr>
        <w:t>216</w:t>
      </w:r>
      <w:r w:rsidR="00F36EAC" w:rsidRPr="00DC66CD">
        <w:rPr>
          <w:rFonts w:ascii="Garamond" w:hAnsi="Garamond"/>
          <w:sz w:val="24"/>
          <w:szCs w:val="24"/>
        </w:rPr>
        <w:t>,</w:t>
      </w:r>
      <w:r w:rsidRPr="00DC66CD">
        <w:rPr>
          <w:rFonts w:ascii="Garamond" w:hAnsi="Garamond"/>
          <w:sz w:val="24"/>
          <w:szCs w:val="24"/>
        </w:rPr>
        <w:t xml:space="preserve"> të datës 11 tetor 2018</w:t>
      </w:r>
      <w:r w:rsidR="00F36EAC" w:rsidRPr="00DC66CD">
        <w:rPr>
          <w:rFonts w:ascii="Garamond" w:hAnsi="Garamond"/>
          <w:sz w:val="24"/>
          <w:szCs w:val="24"/>
        </w:rPr>
        <w:t>,</w:t>
      </w:r>
      <w:r w:rsidRPr="00DC66CD">
        <w:rPr>
          <w:rFonts w:ascii="Garamond" w:hAnsi="Garamond"/>
          <w:sz w:val="24"/>
          <w:szCs w:val="24"/>
        </w:rPr>
        <w:t xml:space="preserve"> licencuar këto tri kompani të reja në aktivitetet përkatëse.</w:t>
      </w:r>
    </w:p>
    <w:p w14:paraId="61D32485" w14:textId="02F1E8FC"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Me vendimin</w:t>
      </w:r>
      <w:r w:rsidR="00E33D88" w:rsidRPr="00DC66CD">
        <w:rPr>
          <w:rFonts w:ascii="Garamond" w:hAnsi="Garamond"/>
          <w:sz w:val="24"/>
          <w:szCs w:val="24"/>
        </w:rPr>
        <w:t xml:space="preserve"> nr. </w:t>
      </w:r>
      <w:r w:rsidRPr="00DC66CD">
        <w:rPr>
          <w:rFonts w:ascii="Garamond" w:hAnsi="Garamond"/>
          <w:sz w:val="24"/>
          <w:szCs w:val="24"/>
        </w:rPr>
        <w:t xml:space="preserve">264, të datës 20 dhjetor 2018, Bordi i ERE-s ka rënë dakord për të vendosur një periudhë tranzitore prej 12 muajsh për transferimin e licencave të mësipërme. Deri në fund të periudhës kalimtare (12 muaj), aktivitetet në sistemin e shpërndarjes së energjisë elektrike, furnizimi me energji elektrike dhe detyrimi i shërbimit universal të furnizimit me energji elektrike, do të vazhdojnë të kryhen nga OSHEE </w:t>
      </w:r>
      <w:r w:rsidR="00AC22AE" w:rsidRPr="00DC66CD">
        <w:rPr>
          <w:rFonts w:ascii="Garamond" w:hAnsi="Garamond"/>
          <w:sz w:val="24"/>
          <w:szCs w:val="24"/>
        </w:rPr>
        <w:t>sh.a.</w:t>
      </w:r>
    </w:p>
    <w:p w14:paraId="3205ECF2" w14:textId="5EF0C1F3" w:rsidR="00452C18" w:rsidRPr="00DC66CD" w:rsidRDefault="006F605B" w:rsidP="00452C18">
      <w:pPr>
        <w:spacing w:after="0" w:line="240" w:lineRule="auto"/>
        <w:ind w:firstLine="284"/>
        <w:jc w:val="both"/>
        <w:rPr>
          <w:rFonts w:ascii="Garamond" w:hAnsi="Garamond"/>
          <w:sz w:val="24"/>
          <w:szCs w:val="24"/>
        </w:rPr>
      </w:pPr>
      <w:r w:rsidRPr="00DC66CD">
        <w:rPr>
          <w:rFonts w:ascii="Garamond" w:hAnsi="Garamond"/>
          <w:sz w:val="24"/>
          <w:szCs w:val="24"/>
        </w:rPr>
        <w:t xml:space="preserve">Aktualisht, kompania </w:t>
      </w:r>
      <w:r w:rsidR="00AC22AE" w:rsidRPr="00DC66CD">
        <w:rPr>
          <w:rFonts w:ascii="Garamond" w:hAnsi="Garamond"/>
          <w:sz w:val="24"/>
          <w:szCs w:val="24"/>
        </w:rPr>
        <w:t>“</w:t>
      </w:r>
      <w:r w:rsidRPr="00DC66CD">
        <w:rPr>
          <w:rFonts w:ascii="Garamond" w:hAnsi="Garamond"/>
          <w:sz w:val="24"/>
          <w:szCs w:val="24"/>
        </w:rPr>
        <w:t>Deloitte</w:t>
      </w:r>
      <w:r w:rsidR="00AC22AE" w:rsidRPr="00DC66CD">
        <w:rPr>
          <w:rFonts w:ascii="Garamond" w:hAnsi="Garamond"/>
          <w:sz w:val="24"/>
          <w:szCs w:val="24"/>
        </w:rPr>
        <w:t>”</w:t>
      </w:r>
      <w:r w:rsidRPr="00DC66CD">
        <w:rPr>
          <w:rFonts w:ascii="Garamond" w:hAnsi="Garamond"/>
          <w:sz w:val="24"/>
          <w:szCs w:val="24"/>
        </w:rPr>
        <w:t xml:space="preserve"> po kryen vler</w:t>
      </w:r>
      <w:r w:rsidR="00452C18" w:rsidRPr="00DC66CD">
        <w:rPr>
          <w:rFonts w:ascii="Garamond" w:hAnsi="Garamond"/>
          <w:sz w:val="24"/>
          <w:szCs w:val="24"/>
        </w:rPr>
        <w:t xml:space="preserve">ësimin e pasurive të OSHEE </w:t>
      </w:r>
      <w:r w:rsidR="00AC22AE" w:rsidRPr="00DC66CD">
        <w:rPr>
          <w:rFonts w:ascii="Garamond" w:hAnsi="Garamond"/>
          <w:sz w:val="24"/>
          <w:szCs w:val="24"/>
        </w:rPr>
        <w:t>sh.a.</w:t>
      </w:r>
    </w:p>
    <w:p w14:paraId="606877CE" w14:textId="674CBA41" w:rsidR="006F605B" w:rsidRPr="00DC66CD" w:rsidRDefault="00452C18" w:rsidP="00452C18">
      <w:pPr>
        <w:spacing w:after="0" w:line="240" w:lineRule="auto"/>
        <w:ind w:firstLine="284"/>
        <w:jc w:val="both"/>
        <w:rPr>
          <w:rFonts w:ascii="Garamond" w:hAnsi="Garamond"/>
          <w:sz w:val="24"/>
          <w:szCs w:val="24"/>
        </w:rPr>
      </w:pPr>
      <w:r w:rsidRPr="00DC66CD">
        <w:rPr>
          <w:rFonts w:ascii="Garamond" w:hAnsi="Garamond"/>
          <w:sz w:val="24"/>
          <w:szCs w:val="24"/>
        </w:rPr>
        <w:t xml:space="preserve">- </w:t>
      </w:r>
      <w:r w:rsidR="006F605B" w:rsidRPr="00DC66CD">
        <w:rPr>
          <w:rFonts w:ascii="Garamond" w:hAnsi="Garamond" w:cs="Times New Roman"/>
          <w:b/>
          <w:sz w:val="24"/>
          <w:szCs w:val="24"/>
        </w:rPr>
        <w:t>Themelimi i Bursës Shqiptare të Energjisë</w:t>
      </w:r>
    </w:p>
    <w:p w14:paraId="22C90091" w14:textId="77777777" w:rsidR="006F605B" w:rsidRPr="00DC66CD" w:rsidRDefault="006F605B" w:rsidP="006F605B">
      <w:pPr>
        <w:spacing w:after="0" w:line="240" w:lineRule="auto"/>
        <w:ind w:firstLine="284"/>
        <w:jc w:val="both"/>
        <w:rPr>
          <w:rFonts w:ascii="Garamond" w:eastAsia="Arial Narrow" w:hAnsi="Garamond"/>
          <w:sz w:val="24"/>
          <w:szCs w:val="24"/>
        </w:rPr>
      </w:pPr>
      <w:r w:rsidRPr="00DC66CD">
        <w:rPr>
          <w:rFonts w:ascii="Garamond" w:eastAsia="Arial Narrow" w:hAnsi="Garamond"/>
          <w:sz w:val="24"/>
          <w:szCs w:val="24"/>
        </w:rPr>
        <w:t>Në përputhje me dispozitat e ndryshimeve të bëra në ligjin për sektorin e energjisë, Këshilli i Ministrave:</w:t>
      </w:r>
    </w:p>
    <w:p w14:paraId="14276F47" w14:textId="7C7D413E" w:rsidR="006F605B" w:rsidRPr="00DC66CD" w:rsidRDefault="00452C18" w:rsidP="00452C18">
      <w:pPr>
        <w:pStyle w:val="TEKSTIIII"/>
      </w:pPr>
      <w:r w:rsidRPr="00DC66CD">
        <w:t>-</w:t>
      </w:r>
      <w:r w:rsidR="00577FE3" w:rsidRPr="00DC66CD">
        <w:t xml:space="preserve"> </w:t>
      </w:r>
      <w:r w:rsidR="00AC22AE" w:rsidRPr="00DC66CD">
        <w:t>m</w:t>
      </w:r>
      <w:r w:rsidR="006F605B" w:rsidRPr="00DC66CD">
        <w:t>e vendimin</w:t>
      </w:r>
      <w:r w:rsidR="00E33D88" w:rsidRPr="00DC66CD">
        <w:t xml:space="preserve"> nr. </w:t>
      </w:r>
      <w:r w:rsidR="006F605B" w:rsidRPr="00DC66CD">
        <w:t xml:space="preserve">322, datë 15.5.2019, ka vendosur </w:t>
      </w:r>
      <w:r w:rsidR="002A29AD" w:rsidRPr="00DC66CD">
        <w:t>“</w:t>
      </w:r>
      <w:r w:rsidR="006F605B" w:rsidRPr="00DC66CD">
        <w:t xml:space="preserve">Krijimin dhe përcaktimin e formës ligjore dhe të strukturës së pronësisë së kapitalit të </w:t>
      </w:r>
      <w:r w:rsidR="00AC22AE" w:rsidRPr="00DC66CD">
        <w:t>operatorit të tregut</w:t>
      </w:r>
      <w:r w:rsidR="002A29AD" w:rsidRPr="00DC66CD">
        <w:t>”</w:t>
      </w:r>
      <w:r w:rsidR="006F605B" w:rsidRPr="00DC66CD">
        <w:t>;</w:t>
      </w:r>
    </w:p>
    <w:p w14:paraId="47E4BDE6" w14:textId="7967274F" w:rsidR="006F605B" w:rsidRPr="00DC66CD" w:rsidRDefault="00452C18" w:rsidP="00452C18">
      <w:pPr>
        <w:pStyle w:val="TEKSTIIII"/>
      </w:pPr>
      <w:r w:rsidRPr="00DC66CD">
        <w:t>-</w:t>
      </w:r>
      <w:r w:rsidR="00577FE3" w:rsidRPr="00DC66CD">
        <w:t xml:space="preserve"> </w:t>
      </w:r>
      <w:r w:rsidR="00AC22AE" w:rsidRPr="00DC66CD">
        <w:t>m</w:t>
      </w:r>
      <w:r w:rsidR="006F605B" w:rsidRPr="00DC66CD">
        <w:t>e vendimin</w:t>
      </w:r>
      <w:r w:rsidR="00E33D88" w:rsidRPr="00DC66CD">
        <w:t xml:space="preserve"> nr. </w:t>
      </w:r>
      <w:r w:rsidR="006F605B" w:rsidRPr="00DC66CD">
        <w:t xml:space="preserve">609, datë 11.9.2019, ka vendosur </w:t>
      </w:r>
      <w:r w:rsidR="002A29AD" w:rsidRPr="00DC66CD">
        <w:t>“</w:t>
      </w:r>
      <w:r w:rsidR="006F605B" w:rsidRPr="00DC66CD">
        <w:t>Përcaktimin e kritereve dhe procedurave të përzgjedhjes së pjesëmarrësve në kapitalin e operatorit të tregut</w:t>
      </w:r>
      <w:r w:rsidR="00AC22AE" w:rsidRPr="00DC66CD">
        <w:t>”</w:t>
      </w:r>
      <w:r w:rsidR="006F605B" w:rsidRPr="00DC66CD">
        <w:t>.</w:t>
      </w:r>
    </w:p>
    <w:p w14:paraId="1B08461D" w14:textId="1513B109" w:rsidR="00452C18" w:rsidRPr="00DC66CD" w:rsidRDefault="006F605B" w:rsidP="00452C18">
      <w:pPr>
        <w:spacing w:after="0" w:line="240" w:lineRule="auto"/>
        <w:ind w:firstLine="284"/>
        <w:jc w:val="both"/>
        <w:rPr>
          <w:rFonts w:ascii="Garamond" w:eastAsia="Arial Narrow" w:hAnsi="Garamond"/>
          <w:sz w:val="24"/>
          <w:szCs w:val="24"/>
        </w:rPr>
      </w:pPr>
      <w:r w:rsidRPr="00DC66CD">
        <w:rPr>
          <w:rFonts w:ascii="Garamond" w:eastAsia="Arial Narrow" w:hAnsi="Garamond"/>
          <w:sz w:val="24"/>
          <w:szCs w:val="24"/>
        </w:rPr>
        <w:t>VKM</w:t>
      </w:r>
      <w:r w:rsidR="00AC22AE" w:rsidRPr="00DC66CD">
        <w:rPr>
          <w:rFonts w:ascii="Garamond" w:eastAsia="Arial Narrow" w:hAnsi="Garamond"/>
          <w:sz w:val="24"/>
          <w:szCs w:val="24"/>
        </w:rPr>
        <w:t>-të</w:t>
      </w:r>
      <w:r w:rsidRPr="00DC66CD">
        <w:rPr>
          <w:rFonts w:ascii="Garamond" w:eastAsia="Arial Narrow" w:hAnsi="Garamond"/>
          <w:sz w:val="24"/>
          <w:szCs w:val="24"/>
        </w:rPr>
        <w:t xml:space="preserve"> kanë </w:t>
      </w:r>
      <w:r w:rsidRPr="00DC66CD">
        <w:rPr>
          <w:rFonts w:ascii="Garamond" w:hAnsi="Garamond"/>
          <w:sz w:val="24"/>
          <w:szCs w:val="24"/>
        </w:rPr>
        <w:t>përmbyllur kuadrin e nevojshëm ligjor për krijimin e Operatorit të Tregut në Shqipëri</w:t>
      </w:r>
      <w:r w:rsidR="00452C18" w:rsidRPr="00DC66CD">
        <w:rPr>
          <w:rFonts w:ascii="Garamond" w:eastAsia="Arial Narrow" w:hAnsi="Garamond"/>
          <w:sz w:val="24"/>
          <w:szCs w:val="24"/>
        </w:rPr>
        <w:t>.</w:t>
      </w:r>
    </w:p>
    <w:p w14:paraId="589E8D67" w14:textId="5CA7814A" w:rsidR="006F605B" w:rsidRPr="00DC66CD" w:rsidRDefault="00452C18" w:rsidP="00452C18">
      <w:pPr>
        <w:spacing w:after="0" w:line="240" w:lineRule="auto"/>
        <w:ind w:firstLine="284"/>
        <w:jc w:val="both"/>
        <w:rPr>
          <w:rFonts w:ascii="Garamond" w:eastAsia="Arial Narrow" w:hAnsi="Garamond"/>
          <w:sz w:val="24"/>
          <w:szCs w:val="24"/>
        </w:rPr>
      </w:pPr>
      <w:r w:rsidRPr="00DC66CD">
        <w:rPr>
          <w:rFonts w:ascii="Garamond" w:eastAsia="Arial Narrow" w:hAnsi="Garamond"/>
          <w:sz w:val="24"/>
          <w:szCs w:val="24"/>
        </w:rPr>
        <w:t xml:space="preserve">- </w:t>
      </w:r>
      <w:r w:rsidR="006F605B" w:rsidRPr="00DC66CD">
        <w:rPr>
          <w:rFonts w:ascii="Garamond" w:hAnsi="Garamond" w:cs="Times New Roman"/>
          <w:b/>
          <w:sz w:val="24"/>
          <w:szCs w:val="24"/>
        </w:rPr>
        <w:t xml:space="preserve">Siguria e </w:t>
      </w:r>
      <w:r w:rsidR="00AC22AE" w:rsidRPr="00DC66CD">
        <w:rPr>
          <w:rFonts w:ascii="Garamond" w:hAnsi="Garamond" w:cs="Times New Roman"/>
          <w:b/>
          <w:sz w:val="24"/>
          <w:szCs w:val="24"/>
        </w:rPr>
        <w:t>furnizimit</w:t>
      </w:r>
    </w:p>
    <w:p w14:paraId="55A38C12" w14:textId="70471E17" w:rsidR="006F605B" w:rsidRPr="00DC66CD" w:rsidRDefault="00452C18" w:rsidP="00452C18">
      <w:pPr>
        <w:pStyle w:val="TEKSTIIII"/>
        <w:rPr>
          <w:color w:val="0D0D0D"/>
        </w:rPr>
      </w:pPr>
      <w:r w:rsidRPr="00DC66CD">
        <w:rPr>
          <w:rFonts w:eastAsia="Times New Roman"/>
          <w:color w:val="0D0D0D"/>
          <w:kern w:val="24"/>
        </w:rPr>
        <w:t>-</w:t>
      </w:r>
      <w:r w:rsidR="00577FE3" w:rsidRPr="00DC66CD">
        <w:rPr>
          <w:rFonts w:eastAsia="Times New Roman"/>
          <w:color w:val="0D0D0D"/>
          <w:kern w:val="24"/>
        </w:rPr>
        <w:t xml:space="preserve"> </w:t>
      </w:r>
      <w:r w:rsidR="006F605B" w:rsidRPr="00DC66CD">
        <w:rPr>
          <w:rFonts w:eastAsia="Times New Roman"/>
          <w:color w:val="0D0D0D"/>
          <w:kern w:val="24"/>
        </w:rPr>
        <w:t xml:space="preserve">Investimet </w:t>
      </w:r>
      <w:r w:rsidR="006F605B" w:rsidRPr="00DC66CD">
        <w:t>në rrjetin shpërndarës/transmisionit dhe gjenerues (</w:t>
      </w:r>
      <w:r w:rsidR="00AC22AE" w:rsidRPr="00DC66CD">
        <w:t xml:space="preserve">Përfundimi </w:t>
      </w:r>
      <w:r w:rsidR="006F605B" w:rsidRPr="00DC66CD">
        <w:t>i projektit në sistemin e transmetimit - Ndërtimi i linjës së I</w:t>
      </w:r>
      <w:r w:rsidR="00AC22AE" w:rsidRPr="00DC66CD">
        <w:t>nterkoneksio</w:t>
      </w:r>
      <w:r w:rsidR="006F605B" w:rsidRPr="00DC66CD">
        <w:t>nit 400 kV (Shqipëri</w:t>
      </w:r>
      <w:r w:rsidR="00AC22AE" w:rsidRPr="00DC66CD">
        <w:t>–</w:t>
      </w:r>
      <w:r w:rsidR="006F605B" w:rsidRPr="00DC66CD">
        <w:t xml:space="preserve">Republika e Maqedonisë së Veriut) </w:t>
      </w:r>
      <w:r w:rsidR="00AC22AE" w:rsidRPr="00DC66CD">
        <w:t>Aktivitetet e planifikuara 2019–</w:t>
      </w:r>
      <w:r w:rsidR="006F605B" w:rsidRPr="00DC66CD">
        <w:t xml:space="preserve">2021 - Zbatimi i projektit Elbasan (Shqipëri) - Linja e </w:t>
      </w:r>
      <w:r w:rsidR="00AC22AE" w:rsidRPr="00DC66CD">
        <w:t xml:space="preserve">interkoneksionit </w:t>
      </w:r>
      <w:r w:rsidR="006F605B" w:rsidRPr="00DC66CD">
        <w:t>të Manastirit (Republika e Maqedonisë së Veriut)</w:t>
      </w:r>
      <w:r w:rsidR="006F605B" w:rsidRPr="00DC66CD">
        <w:rPr>
          <w:color w:val="0D0D0D"/>
        </w:rPr>
        <w:t xml:space="preserve"> 400 kv: </w:t>
      </w:r>
      <w:r w:rsidR="00AC22AE" w:rsidRPr="00DC66CD">
        <w:rPr>
          <w:color w:val="0D0D0D"/>
        </w:rPr>
        <w:t xml:space="preserve">loti 1 dhe loti </w:t>
      </w:r>
      <w:r w:rsidR="006F605B" w:rsidRPr="00DC66CD">
        <w:rPr>
          <w:color w:val="0D0D0D"/>
        </w:rPr>
        <w:t>2)</w:t>
      </w:r>
      <w:r w:rsidR="00AC22AE" w:rsidRPr="00DC66CD">
        <w:rPr>
          <w:color w:val="0D0D0D"/>
        </w:rPr>
        <w:t>;</w:t>
      </w:r>
    </w:p>
    <w:p w14:paraId="7E417EB4" w14:textId="6D1F437F" w:rsidR="006F605B" w:rsidRPr="00DC66CD" w:rsidRDefault="00452C18" w:rsidP="00452C18">
      <w:pPr>
        <w:pStyle w:val="TEKSTIIII"/>
      </w:pPr>
      <w:r w:rsidRPr="00DC66CD">
        <w:t>-</w:t>
      </w:r>
      <w:r w:rsidR="00577FE3" w:rsidRPr="00DC66CD">
        <w:t xml:space="preserve"> </w:t>
      </w:r>
      <w:r w:rsidR="006F605B" w:rsidRPr="00DC66CD">
        <w:t xml:space="preserve">Ulje e mëtejshme e nivelit të humbjeve në rrjetin e shpërndarjes – </w:t>
      </w:r>
      <w:r w:rsidR="00AC22AE" w:rsidRPr="00DC66CD">
        <w:t xml:space="preserve">niveli </w:t>
      </w:r>
      <w:r w:rsidR="006F605B" w:rsidRPr="00DC66CD">
        <w:t>i humbjeve n</w:t>
      </w:r>
      <w:r w:rsidR="00AC22AE" w:rsidRPr="00DC66CD">
        <w:t>ë</w:t>
      </w:r>
      <w:r w:rsidR="006F605B" w:rsidRPr="00DC66CD">
        <w:t xml:space="preserve"> rrjetin e shpërndarjes</w:t>
      </w:r>
      <w:r w:rsidR="00AC22AE" w:rsidRPr="00DC66CD">
        <w:t>:</w:t>
      </w:r>
    </w:p>
    <w:p w14:paraId="31A6BC5F" w14:textId="32CFB6F5" w:rsidR="006F605B" w:rsidRPr="00DC66CD" w:rsidRDefault="00AC22AE" w:rsidP="00452C18">
      <w:pPr>
        <w:pStyle w:val="TEKSTIIII"/>
      </w:pPr>
      <w:r w:rsidRPr="00DC66CD">
        <w:t>Viti 2018 –</w:t>
      </w:r>
      <w:r w:rsidR="006F605B" w:rsidRPr="00DC66CD">
        <w:t xml:space="preserve"> 23.96%</w:t>
      </w:r>
      <w:r w:rsidRPr="00DC66CD">
        <w:t>;</w:t>
      </w:r>
    </w:p>
    <w:p w14:paraId="64956173" w14:textId="65AAB67C" w:rsidR="006F605B" w:rsidRPr="00DC66CD" w:rsidRDefault="00AC22AE" w:rsidP="00452C18">
      <w:pPr>
        <w:pStyle w:val="TEKSTIIII"/>
      </w:pPr>
      <w:r w:rsidRPr="00DC66CD">
        <w:t xml:space="preserve">Viti </w:t>
      </w:r>
      <w:r w:rsidR="006F605B" w:rsidRPr="00DC66CD">
        <w:t>2019</w:t>
      </w:r>
      <w:r w:rsidRPr="00DC66CD">
        <w:t xml:space="preserve"> (janar–korrik</w:t>
      </w:r>
      <w:r w:rsidR="006F605B" w:rsidRPr="00DC66CD">
        <w:t>) – 23.10%</w:t>
      </w:r>
      <w:r w:rsidRPr="00DC66CD">
        <w:t>.</w:t>
      </w:r>
    </w:p>
    <w:p w14:paraId="51C869EB" w14:textId="3616FC82" w:rsidR="006F605B" w:rsidRPr="00DC66CD" w:rsidRDefault="006F605B" w:rsidP="00452C18">
      <w:pPr>
        <w:pStyle w:val="TEKSTIIII"/>
      </w:pPr>
      <w:r w:rsidRPr="00DC66CD">
        <w:t xml:space="preserve">Rritje e mëtejshme e nivelit të mbledhjes së </w:t>
      </w:r>
      <w:r w:rsidR="00AC22AE" w:rsidRPr="00DC66CD">
        <w:t xml:space="preserve">faturave </w:t>
      </w:r>
      <w:r w:rsidRPr="00DC66CD">
        <w:t xml:space="preserve">– </w:t>
      </w:r>
      <w:r w:rsidR="00AC22AE" w:rsidRPr="00DC66CD">
        <w:t xml:space="preserve">niveli </w:t>
      </w:r>
      <w:r w:rsidRPr="00DC66CD">
        <w:t>i mbledhjes së faturave</w:t>
      </w:r>
      <w:r w:rsidR="00AC22AE" w:rsidRPr="00DC66CD">
        <w:t>:</w:t>
      </w:r>
    </w:p>
    <w:p w14:paraId="109440DA" w14:textId="6127AFF3" w:rsidR="006F605B" w:rsidRPr="00DC66CD" w:rsidRDefault="006F605B" w:rsidP="00452C18">
      <w:pPr>
        <w:pStyle w:val="TEKSTIIII"/>
      </w:pPr>
      <w:r w:rsidRPr="00DC66CD">
        <w:t>Viti 2018 -– 101.9%</w:t>
      </w:r>
      <w:r w:rsidR="00AC22AE" w:rsidRPr="00DC66CD">
        <w:t>;</w:t>
      </w:r>
    </w:p>
    <w:p w14:paraId="2288B4ED" w14:textId="636D584B" w:rsidR="006F605B" w:rsidRPr="00DC66CD" w:rsidRDefault="006F605B" w:rsidP="00452C18">
      <w:pPr>
        <w:pStyle w:val="TEKSTIIII"/>
      </w:pPr>
      <w:r w:rsidRPr="00DC66CD">
        <w:t>Viti 2019 (Janar – Korrik) – 96.56%</w:t>
      </w:r>
      <w:r w:rsidR="00AC22AE" w:rsidRPr="00DC66CD">
        <w:t>.</w:t>
      </w:r>
    </w:p>
    <w:p w14:paraId="7E42F772" w14:textId="7836C6DC" w:rsidR="006F605B" w:rsidRPr="00DC66CD" w:rsidRDefault="00452C18" w:rsidP="00452C18">
      <w:pPr>
        <w:pStyle w:val="TEKSTIIII"/>
        <w:rPr>
          <w:i/>
        </w:rPr>
      </w:pPr>
      <w:r w:rsidRPr="00DC66CD">
        <w:rPr>
          <w:i/>
        </w:rPr>
        <w:t xml:space="preserve">2. </w:t>
      </w:r>
      <w:r w:rsidR="006F605B" w:rsidRPr="00DC66CD">
        <w:rPr>
          <w:i/>
        </w:rPr>
        <w:t>Aktivitetet e planifikuara</w:t>
      </w:r>
    </w:p>
    <w:p w14:paraId="6A1BC154" w14:textId="74E12A82" w:rsidR="006F605B" w:rsidRPr="00DC66CD" w:rsidRDefault="006F605B" w:rsidP="00452C18">
      <w:pPr>
        <w:pStyle w:val="TEKSTIIII"/>
        <w:rPr>
          <w:rFonts w:cs="Times New Roman"/>
          <w:b/>
        </w:rPr>
      </w:pPr>
      <w:r w:rsidRPr="00DC66CD">
        <w:rPr>
          <w:rFonts w:cs="Times New Roman"/>
        </w:rPr>
        <w:t>Liberalizimi i tregut të energjisë elektrike (konsumatorë në tregun e lirë</w:t>
      </w:r>
      <w:r w:rsidR="00AC22AE" w:rsidRPr="00DC66CD">
        <w:rPr>
          <w:rFonts w:cs="Times New Roman"/>
        </w:rPr>
        <w:t>)</w:t>
      </w:r>
    </w:p>
    <w:p w14:paraId="45D4A987" w14:textId="4C18456F" w:rsidR="006F605B" w:rsidRPr="00DC66CD" w:rsidRDefault="00452C18" w:rsidP="00452C18">
      <w:pPr>
        <w:pStyle w:val="TEKSTIIII"/>
        <w:rPr>
          <w:rFonts w:cs="Times New Roman"/>
        </w:rPr>
      </w:pPr>
      <w:r w:rsidRPr="00DC66CD">
        <w:rPr>
          <w:rFonts w:cs="Times New Roman"/>
          <w:lang w:eastAsia="en-GB"/>
        </w:rPr>
        <w:t xml:space="preserve">a) </w:t>
      </w:r>
      <w:r w:rsidR="006F605B" w:rsidRPr="00DC66CD">
        <w:rPr>
          <w:rFonts w:cs="Times New Roman"/>
          <w:lang w:eastAsia="en-GB"/>
        </w:rPr>
        <w:t>Të gjithë konsumatorët e lidhur në 35 kV, deri në fund të vitit 2019</w:t>
      </w:r>
      <w:r w:rsidR="00AC22AE" w:rsidRPr="00DC66CD">
        <w:rPr>
          <w:rFonts w:cs="Times New Roman"/>
          <w:lang w:eastAsia="en-GB"/>
        </w:rPr>
        <w:t>,</w:t>
      </w:r>
      <w:r w:rsidR="006F605B" w:rsidRPr="00DC66CD">
        <w:rPr>
          <w:rFonts w:cs="Times New Roman"/>
          <w:lang w:eastAsia="en-GB"/>
        </w:rPr>
        <w:t xml:space="preserve"> nuk do të jenë në gjendje të sigurojnë energjinë elektrike të nevojshme nga OSHEE </w:t>
      </w:r>
      <w:r w:rsidR="00AC22AE" w:rsidRPr="00DC66CD">
        <w:rPr>
          <w:rFonts w:cs="Times New Roman"/>
          <w:lang w:eastAsia="en-GB"/>
        </w:rPr>
        <w:t xml:space="preserve">sh.a., </w:t>
      </w:r>
      <w:r w:rsidR="006F605B" w:rsidRPr="00DC66CD">
        <w:rPr>
          <w:rFonts w:cs="Times New Roman"/>
          <w:lang w:eastAsia="en-GB"/>
        </w:rPr>
        <w:t>si Furnizues i Mundësisë së Fundit</w:t>
      </w:r>
      <w:r w:rsidR="00AC22AE" w:rsidRPr="00DC66CD">
        <w:rPr>
          <w:rFonts w:cs="Times New Roman"/>
          <w:lang w:eastAsia="en-GB"/>
        </w:rPr>
        <w:t>.</w:t>
      </w:r>
    </w:p>
    <w:p w14:paraId="0A787D1C" w14:textId="605A5D99" w:rsidR="006F605B" w:rsidRPr="00DC66CD" w:rsidRDefault="00452C18" w:rsidP="00452C18">
      <w:pPr>
        <w:pStyle w:val="TEKSTIIII"/>
        <w:rPr>
          <w:rFonts w:cs="Times New Roman"/>
          <w:b/>
        </w:rPr>
      </w:pPr>
      <w:r w:rsidRPr="00DC66CD">
        <w:rPr>
          <w:rFonts w:cs="Times New Roman"/>
          <w:b/>
        </w:rPr>
        <w:t xml:space="preserve">b) </w:t>
      </w:r>
      <w:r w:rsidR="006F605B" w:rsidRPr="00DC66CD">
        <w:rPr>
          <w:rFonts w:cs="Times New Roman"/>
          <w:b/>
        </w:rPr>
        <w:t xml:space="preserve">Ndarja e </w:t>
      </w:r>
      <w:r w:rsidR="00AC22AE" w:rsidRPr="00DC66CD">
        <w:rPr>
          <w:rFonts w:cs="Times New Roman"/>
          <w:b/>
        </w:rPr>
        <w:t>aktivitetit të shpërndarjes nga furnizimi</w:t>
      </w:r>
    </w:p>
    <w:p w14:paraId="4B643F36" w14:textId="3799A576" w:rsidR="006F605B" w:rsidRPr="00DC66CD" w:rsidRDefault="006F605B" w:rsidP="00452C18">
      <w:pPr>
        <w:pStyle w:val="TEKSTIIII"/>
        <w:rPr>
          <w:rFonts w:cs="Times New Roman"/>
        </w:rPr>
      </w:pPr>
      <w:r w:rsidRPr="00DC66CD">
        <w:rPr>
          <w:rFonts w:cs="Times New Roman"/>
        </w:rPr>
        <w:t>Ndarja efektive e OSHEE sh.a</w:t>
      </w:r>
      <w:r w:rsidR="00AC22AE" w:rsidRPr="00DC66CD">
        <w:rPr>
          <w:rFonts w:cs="Times New Roman"/>
        </w:rPr>
        <w:t>.</w:t>
      </w:r>
      <w:r w:rsidRPr="00DC66CD">
        <w:rPr>
          <w:rFonts w:cs="Times New Roman"/>
        </w:rPr>
        <w:t xml:space="preserve"> do t</w:t>
      </w:r>
      <w:r w:rsidR="008B5731">
        <w:rPr>
          <w:rFonts w:cs="Times New Roman"/>
        </w:rPr>
        <w:t>ë</w:t>
      </w:r>
      <w:r w:rsidRPr="00DC66CD">
        <w:rPr>
          <w:rFonts w:cs="Times New Roman"/>
        </w:rPr>
        <w:t xml:space="preserve"> ndodh</w:t>
      </w:r>
      <w:r w:rsidR="00AC22AE" w:rsidRPr="00DC66CD">
        <w:rPr>
          <w:rFonts w:cs="Times New Roman"/>
        </w:rPr>
        <w:t>ë</w:t>
      </w:r>
      <w:r w:rsidRPr="00DC66CD">
        <w:rPr>
          <w:rFonts w:cs="Times New Roman"/>
        </w:rPr>
        <w:t xml:space="preserve"> duke filluar nga 1 </w:t>
      </w:r>
      <w:r w:rsidR="00AC22AE" w:rsidRPr="00DC66CD">
        <w:rPr>
          <w:rFonts w:cs="Times New Roman"/>
        </w:rPr>
        <w:t xml:space="preserve">janari </w:t>
      </w:r>
      <w:r w:rsidRPr="00DC66CD">
        <w:rPr>
          <w:rFonts w:cs="Times New Roman"/>
        </w:rPr>
        <w:t>2020</w:t>
      </w:r>
      <w:r w:rsidR="00AC22AE" w:rsidRPr="00DC66CD">
        <w:rPr>
          <w:rFonts w:cs="Times New Roman"/>
        </w:rPr>
        <w:t>.</w:t>
      </w:r>
    </w:p>
    <w:p w14:paraId="5FD9E29E" w14:textId="3D7A4BE1" w:rsidR="006F605B" w:rsidRPr="00DC66CD" w:rsidRDefault="00452C18" w:rsidP="00452C18">
      <w:pPr>
        <w:pStyle w:val="TEKSTIIII"/>
        <w:rPr>
          <w:rFonts w:cs="Times New Roman"/>
          <w:b/>
        </w:rPr>
      </w:pPr>
      <w:r w:rsidRPr="00DC66CD">
        <w:rPr>
          <w:rFonts w:cs="Times New Roman"/>
          <w:b/>
        </w:rPr>
        <w:t xml:space="preserve">c) </w:t>
      </w:r>
      <w:r w:rsidR="006F605B" w:rsidRPr="00DC66CD">
        <w:rPr>
          <w:rFonts w:cs="Times New Roman"/>
          <w:b/>
        </w:rPr>
        <w:t>Themelimi i Bursës Shqiptare të Energjisë</w:t>
      </w:r>
    </w:p>
    <w:p w14:paraId="44D7A5BC" w14:textId="34DBD703" w:rsidR="006F605B" w:rsidRPr="00DC66CD" w:rsidRDefault="00452C18" w:rsidP="00452C18">
      <w:pPr>
        <w:pStyle w:val="TEKSTIIII"/>
        <w:rPr>
          <w:b/>
        </w:rPr>
      </w:pPr>
      <w:r w:rsidRPr="00DC66CD">
        <w:t>-</w:t>
      </w:r>
      <w:r w:rsidRPr="00DC66CD">
        <w:rPr>
          <w:b/>
        </w:rPr>
        <w:t xml:space="preserve"> </w:t>
      </w:r>
      <w:r w:rsidR="006F605B" w:rsidRPr="00DC66CD">
        <w:t>Në zbatim të pikës 2</w:t>
      </w:r>
      <w:r w:rsidR="00AC22AE" w:rsidRPr="00DC66CD">
        <w:t>,</w:t>
      </w:r>
      <w:r w:rsidR="006F605B" w:rsidRPr="00DC66CD">
        <w:t xml:space="preserve"> të VKM</w:t>
      </w:r>
      <w:r w:rsidR="00AC22AE" w:rsidRPr="00DC66CD">
        <w:t>-së</w:t>
      </w:r>
      <w:r w:rsidR="00E33D88" w:rsidRPr="00DC66CD">
        <w:t xml:space="preserve"> nr. </w:t>
      </w:r>
      <w:r w:rsidR="00AC22AE" w:rsidRPr="00DC66CD">
        <w:t>609, datë 11.</w:t>
      </w:r>
      <w:r w:rsidR="006F605B" w:rsidRPr="00DC66CD">
        <w:t>9.2019, me urdhër të përbashkët të ministrit përgjegjës për energjinë dhe ministrit që ushtron të drejtat e pronësisë mbi OST</w:t>
      </w:r>
      <w:r w:rsidR="00AC22AE" w:rsidRPr="00DC66CD">
        <w:t>-në</w:t>
      </w:r>
      <w:r w:rsidR="006F605B" w:rsidRPr="00DC66CD">
        <w:t xml:space="preserve"> do të themelohet një komision i përbashkët</w:t>
      </w:r>
      <w:r w:rsidR="00AC22AE" w:rsidRPr="00DC66CD">
        <w:t>,</w:t>
      </w:r>
      <w:r w:rsidR="006F605B" w:rsidRPr="00DC66CD">
        <w:t xml:space="preserve"> i cili do të hartojë dokumentet standarde të procedurës së tenderimit dhe vlerësimin e ofertave</w:t>
      </w:r>
      <w:r w:rsidR="00AC22AE" w:rsidRPr="00DC66CD">
        <w:t>,</w:t>
      </w:r>
      <w:r w:rsidR="006F605B" w:rsidRPr="00DC66CD">
        <w:t xml:space="preserve"> bazuar në ofertë kriteret e kualifikimit. Ky proces po vazhdon.</w:t>
      </w:r>
    </w:p>
    <w:p w14:paraId="1FFDEB13" w14:textId="386BA7DB" w:rsidR="006F605B" w:rsidRPr="00DC66CD" w:rsidRDefault="00452C18" w:rsidP="00452C18">
      <w:pPr>
        <w:pStyle w:val="TEKSTIIII"/>
        <w:rPr>
          <w:b/>
        </w:rPr>
      </w:pPr>
      <w:r w:rsidRPr="00DC66CD">
        <w:rPr>
          <w:b/>
        </w:rPr>
        <w:t xml:space="preserve">d) </w:t>
      </w:r>
      <w:r w:rsidR="006F605B" w:rsidRPr="00DC66CD">
        <w:rPr>
          <w:b/>
        </w:rPr>
        <w:t xml:space="preserve">Siguria e </w:t>
      </w:r>
      <w:r w:rsidR="00AC22AE" w:rsidRPr="00DC66CD">
        <w:rPr>
          <w:b/>
        </w:rPr>
        <w:t>furnizimit</w:t>
      </w:r>
    </w:p>
    <w:p w14:paraId="6B300035" w14:textId="6722B314" w:rsidR="006F605B" w:rsidRPr="00DC66CD" w:rsidRDefault="00452C18" w:rsidP="00452C18">
      <w:pPr>
        <w:pStyle w:val="TEKSTIIII"/>
      </w:pPr>
      <w:r w:rsidRPr="00DC66CD">
        <w:rPr>
          <w:rFonts w:eastAsia="Times New Roman"/>
          <w:color w:val="0D0D0D"/>
          <w:kern w:val="24"/>
        </w:rPr>
        <w:t>-</w:t>
      </w:r>
      <w:r w:rsidR="00AC22AE" w:rsidRPr="00DC66CD">
        <w:rPr>
          <w:rFonts w:eastAsia="Times New Roman"/>
          <w:color w:val="0D0D0D"/>
          <w:kern w:val="24"/>
        </w:rPr>
        <w:t xml:space="preserve"> i</w:t>
      </w:r>
      <w:r w:rsidR="006F605B" w:rsidRPr="00DC66CD">
        <w:rPr>
          <w:rFonts w:eastAsia="Times New Roman"/>
          <w:color w:val="0D0D0D"/>
          <w:kern w:val="24"/>
        </w:rPr>
        <w:t xml:space="preserve">nvestimet </w:t>
      </w:r>
      <w:r w:rsidR="00AC22AE" w:rsidRPr="00DC66CD">
        <w:rPr>
          <w:color w:val="0D0D0D" w:themeColor="text1" w:themeTint="F2"/>
        </w:rPr>
        <w:t>në rrjetin shpërndarës</w:t>
      </w:r>
      <w:r w:rsidR="006F605B" w:rsidRPr="00DC66CD">
        <w:rPr>
          <w:color w:val="0D0D0D" w:themeColor="text1" w:themeTint="F2"/>
        </w:rPr>
        <w:t xml:space="preserve">/transmisionit dhe gjenerues (Përfundimi i projektit në sistemin e transmetimit - Ndërtimi i linjës së </w:t>
      </w:r>
      <w:r w:rsidR="00AC22AE" w:rsidRPr="00DC66CD">
        <w:rPr>
          <w:color w:val="0D0D0D" w:themeColor="text1" w:themeTint="F2"/>
        </w:rPr>
        <w:t xml:space="preserve">interkoneksionit </w:t>
      </w:r>
      <w:r w:rsidR="006F605B" w:rsidRPr="00DC66CD">
        <w:rPr>
          <w:color w:val="0D0D0D" w:themeColor="text1" w:themeTint="F2"/>
        </w:rPr>
        <w:t>400 kV (Shqipëri</w:t>
      </w:r>
      <w:r w:rsidR="00AC22AE" w:rsidRPr="00DC66CD">
        <w:t>–</w:t>
      </w:r>
      <w:r w:rsidR="006F605B" w:rsidRPr="00DC66CD">
        <w:rPr>
          <w:color w:val="0D0D0D" w:themeColor="text1" w:themeTint="F2"/>
        </w:rPr>
        <w:t>Republika e Maqedonisë së Veriut);</w:t>
      </w:r>
    </w:p>
    <w:p w14:paraId="2B84D5F6" w14:textId="7C07893C" w:rsidR="006F605B" w:rsidRPr="00DC66CD" w:rsidRDefault="00452C18" w:rsidP="00452C18">
      <w:pPr>
        <w:pStyle w:val="TEKSTIIII"/>
      </w:pPr>
      <w:r w:rsidRPr="00DC66CD">
        <w:t>-</w:t>
      </w:r>
      <w:r w:rsidR="00AC22AE" w:rsidRPr="00DC66CD">
        <w:t xml:space="preserve"> ulje </w:t>
      </w:r>
      <w:r w:rsidR="006F605B" w:rsidRPr="00DC66CD">
        <w:t>e mëtejshme e nivelit të humbjeve në rrjetin e shpërndarjes;</w:t>
      </w:r>
    </w:p>
    <w:p w14:paraId="2210F6A4" w14:textId="79931513" w:rsidR="006F605B" w:rsidRPr="00DC66CD" w:rsidRDefault="00452C18" w:rsidP="00452C18">
      <w:pPr>
        <w:pStyle w:val="TEKSTIIII"/>
      </w:pPr>
      <w:r w:rsidRPr="00DC66CD">
        <w:t>-</w:t>
      </w:r>
      <w:r w:rsidR="00AC22AE" w:rsidRPr="00DC66CD">
        <w:t xml:space="preserve"> rritje </w:t>
      </w:r>
      <w:r w:rsidR="006F605B" w:rsidRPr="00DC66CD">
        <w:t xml:space="preserve">e mëtejshme e nivelit të mbledhjes së </w:t>
      </w:r>
      <w:r w:rsidR="00AC22AE" w:rsidRPr="00DC66CD">
        <w:t>faturave</w:t>
      </w:r>
      <w:r w:rsidR="006F605B" w:rsidRPr="00DC66CD">
        <w:t>.</w:t>
      </w:r>
    </w:p>
    <w:p w14:paraId="51716078" w14:textId="110617E3" w:rsidR="006F605B" w:rsidRPr="00DC66CD" w:rsidRDefault="00452C18" w:rsidP="00452C18">
      <w:pPr>
        <w:pStyle w:val="TEKSTIIII"/>
      </w:pPr>
      <w:r w:rsidRPr="00DC66CD">
        <w:t xml:space="preserve">3. </w:t>
      </w:r>
      <w:r w:rsidR="006F605B" w:rsidRPr="00DC66CD">
        <w:t>Indikatorët e rezultateve</w:t>
      </w:r>
    </w:p>
    <w:tbl>
      <w:tblPr>
        <w:tblStyle w:val="TableGrid1"/>
        <w:tblW w:w="0" w:type="auto"/>
        <w:tblLook w:val="04A0" w:firstRow="1" w:lastRow="0" w:firstColumn="1" w:lastColumn="0" w:noHBand="0" w:noVBand="1"/>
      </w:tblPr>
      <w:tblGrid>
        <w:gridCol w:w="4047"/>
        <w:gridCol w:w="1717"/>
        <w:gridCol w:w="1767"/>
        <w:gridCol w:w="1749"/>
      </w:tblGrid>
      <w:tr w:rsidR="006F605B" w:rsidRPr="00DC66CD" w14:paraId="2E81BE93" w14:textId="77777777" w:rsidTr="00AC22AE">
        <w:tc>
          <w:tcPr>
            <w:tcW w:w="4248" w:type="dxa"/>
          </w:tcPr>
          <w:p w14:paraId="058EC1E0" w14:textId="77777777" w:rsidR="006F605B" w:rsidRPr="00DC66CD" w:rsidRDefault="006F605B" w:rsidP="00AC22AE">
            <w:pPr>
              <w:snapToGrid w:val="0"/>
              <w:jc w:val="center"/>
              <w:rPr>
                <w:rFonts w:ascii="Garamond" w:hAnsi="Garamond"/>
                <w:b/>
                <w:sz w:val="24"/>
                <w:szCs w:val="24"/>
                <w:lang w:val="sq-AL"/>
              </w:rPr>
            </w:pPr>
            <w:r w:rsidRPr="00DC66CD">
              <w:rPr>
                <w:rFonts w:ascii="Garamond" w:hAnsi="Garamond"/>
                <w:b/>
                <w:sz w:val="24"/>
                <w:szCs w:val="24"/>
                <w:lang w:val="sq-AL"/>
              </w:rPr>
              <w:t>Indikatori</w:t>
            </w:r>
          </w:p>
        </w:tc>
        <w:tc>
          <w:tcPr>
            <w:tcW w:w="1791" w:type="dxa"/>
          </w:tcPr>
          <w:p w14:paraId="50B05F87" w14:textId="77777777" w:rsidR="006F605B" w:rsidRPr="00DC66CD" w:rsidRDefault="006F605B" w:rsidP="00AC22AE">
            <w:pPr>
              <w:snapToGrid w:val="0"/>
              <w:jc w:val="center"/>
              <w:rPr>
                <w:rFonts w:ascii="Garamond" w:hAnsi="Garamond"/>
                <w:b/>
                <w:sz w:val="24"/>
                <w:szCs w:val="24"/>
                <w:lang w:val="sq-AL"/>
              </w:rPr>
            </w:pPr>
            <w:r w:rsidRPr="00DC66CD">
              <w:rPr>
                <w:rFonts w:ascii="Garamond" w:hAnsi="Garamond"/>
                <w:b/>
                <w:sz w:val="24"/>
                <w:szCs w:val="24"/>
                <w:lang w:val="sq-AL"/>
              </w:rPr>
              <w:t>Bazë (viti)</w:t>
            </w:r>
          </w:p>
        </w:tc>
        <w:tc>
          <w:tcPr>
            <w:tcW w:w="1791" w:type="dxa"/>
          </w:tcPr>
          <w:p w14:paraId="194D9DE1" w14:textId="662B75A2" w:rsidR="006F605B" w:rsidRPr="00DC66CD" w:rsidRDefault="00C27435" w:rsidP="00AC22AE">
            <w:pPr>
              <w:snapToGrid w:val="0"/>
              <w:jc w:val="center"/>
              <w:rPr>
                <w:rFonts w:ascii="Garamond" w:hAnsi="Garamond"/>
                <w:b/>
                <w:sz w:val="24"/>
                <w:szCs w:val="24"/>
                <w:lang w:val="sq-AL"/>
              </w:rPr>
            </w:pPr>
            <w:r w:rsidRPr="00DC66CD">
              <w:rPr>
                <w:rFonts w:ascii="Garamond" w:hAnsi="Garamond"/>
                <w:b/>
                <w:sz w:val="24"/>
                <w:szCs w:val="24"/>
                <w:lang w:val="sq-AL"/>
              </w:rPr>
              <w:t xml:space="preserve">Objektivi i ndërmjetëm </w:t>
            </w:r>
            <w:r w:rsidR="006F605B" w:rsidRPr="00DC66CD">
              <w:rPr>
                <w:rFonts w:ascii="Garamond" w:hAnsi="Garamond"/>
                <w:b/>
                <w:sz w:val="24"/>
                <w:szCs w:val="24"/>
                <w:lang w:val="sq-AL"/>
              </w:rPr>
              <w:t>(viti)</w:t>
            </w:r>
          </w:p>
        </w:tc>
        <w:tc>
          <w:tcPr>
            <w:tcW w:w="1792" w:type="dxa"/>
          </w:tcPr>
          <w:p w14:paraId="51AE806D" w14:textId="77777777" w:rsidR="006F605B" w:rsidRPr="00DC66CD" w:rsidRDefault="006F605B" w:rsidP="00AC22AE">
            <w:pPr>
              <w:snapToGrid w:val="0"/>
              <w:jc w:val="center"/>
              <w:rPr>
                <w:rFonts w:ascii="Garamond" w:hAnsi="Garamond"/>
                <w:b/>
                <w:sz w:val="24"/>
                <w:szCs w:val="24"/>
                <w:lang w:val="sq-AL"/>
              </w:rPr>
            </w:pPr>
            <w:r w:rsidRPr="00DC66CD">
              <w:rPr>
                <w:rFonts w:ascii="Garamond" w:hAnsi="Garamond"/>
                <w:b/>
                <w:sz w:val="24"/>
                <w:szCs w:val="24"/>
                <w:lang w:val="sq-AL"/>
              </w:rPr>
              <w:t>Objektivi (viti)</w:t>
            </w:r>
          </w:p>
        </w:tc>
      </w:tr>
      <w:tr w:rsidR="006F605B" w:rsidRPr="00DC66CD" w14:paraId="77126ACB" w14:textId="77777777" w:rsidTr="00AC22AE">
        <w:trPr>
          <w:trHeight w:val="291"/>
        </w:trPr>
        <w:tc>
          <w:tcPr>
            <w:tcW w:w="4248" w:type="dxa"/>
          </w:tcPr>
          <w:p w14:paraId="4278D33C" w14:textId="77777777" w:rsidR="006F605B" w:rsidRPr="00DC66CD" w:rsidRDefault="006F605B" w:rsidP="00452C18">
            <w:pPr>
              <w:snapToGrid w:val="0"/>
              <w:rPr>
                <w:rFonts w:ascii="Garamond" w:hAnsi="Garamond"/>
                <w:sz w:val="24"/>
                <w:szCs w:val="24"/>
                <w:lang w:val="sq-AL"/>
              </w:rPr>
            </w:pPr>
            <w:r w:rsidRPr="00DC66CD">
              <w:rPr>
                <w:rFonts w:ascii="Garamond" w:hAnsi="Garamond"/>
                <w:sz w:val="24"/>
                <w:szCs w:val="24"/>
                <w:lang w:val="sq-AL"/>
              </w:rPr>
              <w:t>Reduktimi i importeve të energjisë</w:t>
            </w:r>
          </w:p>
        </w:tc>
        <w:tc>
          <w:tcPr>
            <w:tcW w:w="1791" w:type="dxa"/>
          </w:tcPr>
          <w:p w14:paraId="304C89BA" w14:textId="77777777" w:rsidR="006F605B" w:rsidRPr="00DC66CD" w:rsidRDefault="006F605B" w:rsidP="00452C18">
            <w:pPr>
              <w:snapToGrid w:val="0"/>
              <w:rPr>
                <w:rFonts w:ascii="Garamond" w:hAnsi="Garamond"/>
                <w:sz w:val="24"/>
                <w:szCs w:val="24"/>
                <w:lang w:val="sq-AL"/>
              </w:rPr>
            </w:pPr>
          </w:p>
        </w:tc>
        <w:tc>
          <w:tcPr>
            <w:tcW w:w="1791" w:type="dxa"/>
          </w:tcPr>
          <w:p w14:paraId="034C71C0" w14:textId="77777777" w:rsidR="006F605B" w:rsidRPr="00DC66CD" w:rsidRDefault="006F605B" w:rsidP="00452C18">
            <w:pPr>
              <w:snapToGrid w:val="0"/>
              <w:rPr>
                <w:rFonts w:ascii="Garamond" w:hAnsi="Garamond"/>
                <w:sz w:val="24"/>
                <w:szCs w:val="24"/>
                <w:lang w:val="sq-AL"/>
              </w:rPr>
            </w:pPr>
          </w:p>
        </w:tc>
        <w:tc>
          <w:tcPr>
            <w:tcW w:w="1792" w:type="dxa"/>
          </w:tcPr>
          <w:p w14:paraId="26B489AD" w14:textId="77777777" w:rsidR="006F605B" w:rsidRPr="00DC66CD" w:rsidRDefault="006F605B" w:rsidP="00452C18">
            <w:pPr>
              <w:snapToGrid w:val="0"/>
              <w:rPr>
                <w:rFonts w:ascii="Garamond" w:hAnsi="Garamond"/>
                <w:sz w:val="24"/>
                <w:szCs w:val="24"/>
                <w:lang w:val="sq-AL"/>
              </w:rPr>
            </w:pPr>
          </w:p>
        </w:tc>
      </w:tr>
      <w:tr w:rsidR="006F605B" w:rsidRPr="00DC66CD" w14:paraId="2BDAB1B4" w14:textId="77777777" w:rsidTr="00AC22AE">
        <w:trPr>
          <w:trHeight w:val="489"/>
        </w:trPr>
        <w:tc>
          <w:tcPr>
            <w:tcW w:w="4248" w:type="dxa"/>
          </w:tcPr>
          <w:p w14:paraId="1897E064" w14:textId="77777777" w:rsidR="006F605B" w:rsidRPr="00DC66CD" w:rsidRDefault="006F605B" w:rsidP="00452C18">
            <w:pPr>
              <w:snapToGrid w:val="0"/>
              <w:rPr>
                <w:rFonts w:ascii="Garamond" w:hAnsi="Garamond"/>
                <w:sz w:val="24"/>
                <w:szCs w:val="24"/>
                <w:lang w:val="sq-AL"/>
              </w:rPr>
            </w:pPr>
            <w:r w:rsidRPr="00DC66CD">
              <w:rPr>
                <w:rFonts w:ascii="Garamond" w:hAnsi="Garamond"/>
                <w:sz w:val="24"/>
                <w:szCs w:val="24"/>
                <w:lang w:val="sq-AL"/>
              </w:rPr>
              <w:t>Rritja e kapacitetit kombëtar për prodhimin e energjisë</w:t>
            </w:r>
          </w:p>
        </w:tc>
        <w:tc>
          <w:tcPr>
            <w:tcW w:w="1791" w:type="dxa"/>
          </w:tcPr>
          <w:p w14:paraId="15880C83" w14:textId="77777777" w:rsidR="006F605B" w:rsidRPr="00DC66CD" w:rsidRDefault="006F605B" w:rsidP="00452C18">
            <w:pPr>
              <w:snapToGrid w:val="0"/>
              <w:rPr>
                <w:rFonts w:ascii="Garamond" w:hAnsi="Garamond"/>
                <w:sz w:val="24"/>
                <w:szCs w:val="24"/>
                <w:lang w:val="sq-AL"/>
              </w:rPr>
            </w:pPr>
          </w:p>
        </w:tc>
        <w:tc>
          <w:tcPr>
            <w:tcW w:w="1791" w:type="dxa"/>
          </w:tcPr>
          <w:p w14:paraId="1F54A933" w14:textId="77777777" w:rsidR="006F605B" w:rsidRPr="00DC66CD" w:rsidRDefault="006F605B" w:rsidP="00452C18">
            <w:pPr>
              <w:snapToGrid w:val="0"/>
              <w:rPr>
                <w:rFonts w:ascii="Garamond" w:hAnsi="Garamond"/>
                <w:sz w:val="24"/>
                <w:szCs w:val="24"/>
                <w:lang w:val="sq-AL"/>
              </w:rPr>
            </w:pPr>
          </w:p>
        </w:tc>
        <w:tc>
          <w:tcPr>
            <w:tcW w:w="1792" w:type="dxa"/>
          </w:tcPr>
          <w:p w14:paraId="0DEBD86E" w14:textId="77777777" w:rsidR="006F605B" w:rsidRPr="00DC66CD" w:rsidRDefault="006F605B" w:rsidP="00452C18">
            <w:pPr>
              <w:snapToGrid w:val="0"/>
              <w:rPr>
                <w:rFonts w:ascii="Garamond" w:hAnsi="Garamond"/>
                <w:sz w:val="24"/>
                <w:szCs w:val="24"/>
                <w:lang w:val="sq-AL"/>
              </w:rPr>
            </w:pPr>
          </w:p>
        </w:tc>
      </w:tr>
      <w:tr w:rsidR="006F605B" w:rsidRPr="00DC66CD" w14:paraId="6325D9A7" w14:textId="77777777" w:rsidTr="00AC22AE">
        <w:tc>
          <w:tcPr>
            <w:tcW w:w="4248" w:type="dxa"/>
          </w:tcPr>
          <w:p w14:paraId="7FE013A3" w14:textId="77777777" w:rsidR="006F605B" w:rsidRPr="00DC66CD" w:rsidRDefault="006F605B" w:rsidP="00452C18">
            <w:pPr>
              <w:snapToGrid w:val="0"/>
              <w:rPr>
                <w:rFonts w:ascii="Garamond" w:hAnsi="Garamond"/>
                <w:sz w:val="24"/>
                <w:szCs w:val="24"/>
                <w:lang w:val="sq-AL"/>
              </w:rPr>
            </w:pPr>
            <w:r w:rsidRPr="00DC66CD">
              <w:rPr>
                <w:rFonts w:ascii="Garamond" w:hAnsi="Garamond"/>
                <w:sz w:val="24"/>
                <w:szCs w:val="24"/>
                <w:lang w:val="sq-AL"/>
              </w:rPr>
              <w:t>Rritja e investimeve në rrjet</w:t>
            </w:r>
          </w:p>
        </w:tc>
        <w:tc>
          <w:tcPr>
            <w:tcW w:w="1791" w:type="dxa"/>
          </w:tcPr>
          <w:p w14:paraId="525E5ED5" w14:textId="77777777" w:rsidR="006F605B" w:rsidRPr="00DC66CD" w:rsidRDefault="006F605B" w:rsidP="00452C18">
            <w:pPr>
              <w:snapToGrid w:val="0"/>
              <w:rPr>
                <w:rFonts w:ascii="Garamond" w:hAnsi="Garamond"/>
                <w:sz w:val="24"/>
                <w:szCs w:val="24"/>
                <w:lang w:val="sq-AL"/>
              </w:rPr>
            </w:pPr>
          </w:p>
        </w:tc>
        <w:tc>
          <w:tcPr>
            <w:tcW w:w="1791" w:type="dxa"/>
          </w:tcPr>
          <w:p w14:paraId="0968ECB8" w14:textId="77777777" w:rsidR="006F605B" w:rsidRPr="00DC66CD" w:rsidRDefault="006F605B" w:rsidP="00452C18">
            <w:pPr>
              <w:snapToGrid w:val="0"/>
              <w:rPr>
                <w:rFonts w:ascii="Garamond" w:hAnsi="Garamond"/>
                <w:sz w:val="24"/>
                <w:szCs w:val="24"/>
                <w:lang w:val="sq-AL"/>
              </w:rPr>
            </w:pPr>
          </w:p>
        </w:tc>
        <w:tc>
          <w:tcPr>
            <w:tcW w:w="1792" w:type="dxa"/>
          </w:tcPr>
          <w:p w14:paraId="194E126F" w14:textId="77777777" w:rsidR="006F605B" w:rsidRPr="00DC66CD" w:rsidRDefault="006F605B" w:rsidP="00452C18">
            <w:pPr>
              <w:snapToGrid w:val="0"/>
              <w:rPr>
                <w:rFonts w:ascii="Garamond" w:hAnsi="Garamond"/>
                <w:sz w:val="24"/>
                <w:szCs w:val="24"/>
                <w:lang w:val="sq-AL"/>
              </w:rPr>
            </w:pPr>
          </w:p>
        </w:tc>
      </w:tr>
      <w:tr w:rsidR="006F605B" w:rsidRPr="00DC66CD" w14:paraId="715B4375" w14:textId="77777777" w:rsidTr="00AC22AE">
        <w:tc>
          <w:tcPr>
            <w:tcW w:w="4248" w:type="dxa"/>
          </w:tcPr>
          <w:p w14:paraId="3E1BD7C0" w14:textId="393D00ED" w:rsidR="006F605B" w:rsidRPr="00DC66CD" w:rsidRDefault="006F605B" w:rsidP="00AC22AE">
            <w:pPr>
              <w:snapToGrid w:val="0"/>
              <w:rPr>
                <w:rFonts w:ascii="Garamond" w:hAnsi="Garamond"/>
                <w:sz w:val="24"/>
                <w:szCs w:val="24"/>
                <w:lang w:val="sq-AL"/>
              </w:rPr>
            </w:pPr>
            <w:r w:rsidRPr="00DC66CD">
              <w:rPr>
                <w:rFonts w:ascii="Garamond" w:hAnsi="Garamond"/>
                <w:sz w:val="24"/>
                <w:szCs w:val="24"/>
                <w:lang w:val="sq-AL"/>
              </w:rPr>
              <w:t>Reduktimi i humbjeve teknike dhe joteknike në rrjet</w:t>
            </w:r>
          </w:p>
        </w:tc>
        <w:tc>
          <w:tcPr>
            <w:tcW w:w="1791" w:type="dxa"/>
          </w:tcPr>
          <w:p w14:paraId="4D30B2CC" w14:textId="77777777" w:rsidR="006F605B" w:rsidRPr="00DC66CD" w:rsidRDefault="006F605B" w:rsidP="00452C18">
            <w:pPr>
              <w:snapToGrid w:val="0"/>
              <w:rPr>
                <w:rFonts w:ascii="Garamond" w:hAnsi="Garamond"/>
                <w:sz w:val="24"/>
                <w:szCs w:val="24"/>
                <w:lang w:val="sq-AL"/>
              </w:rPr>
            </w:pPr>
          </w:p>
        </w:tc>
        <w:tc>
          <w:tcPr>
            <w:tcW w:w="1791" w:type="dxa"/>
          </w:tcPr>
          <w:p w14:paraId="604811FA" w14:textId="77777777" w:rsidR="006F605B" w:rsidRPr="00DC66CD" w:rsidRDefault="006F605B" w:rsidP="00452C18">
            <w:pPr>
              <w:snapToGrid w:val="0"/>
              <w:rPr>
                <w:rFonts w:ascii="Garamond" w:hAnsi="Garamond"/>
                <w:sz w:val="24"/>
                <w:szCs w:val="24"/>
                <w:lang w:val="sq-AL"/>
              </w:rPr>
            </w:pPr>
          </w:p>
        </w:tc>
        <w:tc>
          <w:tcPr>
            <w:tcW w:w="1792" w:type="dxa"/>
          </w:tcPr>
          <w:p w14:paraId="47E683CE" w14:textId="77777777" w:rsidR="006F605B" w:rsidRPr="00DC66CD" w:rsidRDefault="006F605B" w:rsidP="00452C18">
            <w:pPr>
              <w:snapToGrid w:val="0"/>
              <w:rPr>
                <w:rFonts w:ascii="Garamond" w:hAnsi="Garamond"/>
                <w:sz w:val="24"/>
                <w:szCs w:val="24"/>
                <w:lang w:val="sq-AL"/>
              </w:rPr>
            </w:pPr>
          </w:p>
        </w:tc>
      </w:tr>
      <w:tr w:rsidR="006F605B" w:rsidRPr="00DC66CD" w14:paraId="5C2D7A9E" w14:textId="77777777" w:rsidTr="00AC22AE">
        <w:tc>
          <w:tcPr>
            <w:tcW w:w="4248" w:type="dxa"/>
          </w:tcPr>
          <w:p w14:paraId="5537E699" w14:textId="77777777" w:rsidR="006F605B" w:rsidRPr="00DC66CD" w:rsidRDefault="006F605B" w:rsidP="00452C18">
            <w:pPr>
              <w:snapToGrid w:val="0"/>
              <w:rPr>
                <w:rFonts w:ascii="Garamond" w:hAnsi="Garamond"/>
                <w:sz w:val="24"/>
                <w:szCs w:val="24"/>
                <w:lang w:val="sq-AL"/>
              </w:rPr>
            </w:pPr>
            <w:r w:rsidRPr="00DC66CD">
              <w:rPr>
                <w:rFonts w:ascii="Garamond" w:hAnsi="Garamond"/>
                <w:sz w:val="24"/>
                <w:szCs w:val="24"/>
                <w:lang w:val="sq-AL"/>
              </w:rPr>
              <w:t>Rritja e mbledhjes së faturave</w:t>
            </w:r>
          </w:p>
        </w:tc>
        <w:tc>
          <w:tcPr>
            <w:tcW w:w="1791" w:type="dxa"/>
          </w:tcPr>
          <w:p w14:paraId="5C96689A" w14:textId="77777777" w:rsidR="006F605B" w:rsidRPr="00DC66CD" w:rsidRDefault="006F605B" w:rsidP="00452C18">
            <w:pPr>
              <w:snapToGrid w:val="0"/>
              <w:rPr>
                <w:rFonts w:ascii="Garamond" w:hAnsi="Garamond"/>
                <w:sz w:val="24"/>
                <w:szCs w:val="24"/>
                <w:lang w:val="sq-AL"/>
              </w:rPr>
            </w:pPr>
          </w:p>
        </w:tc>
        <w:tc>
          <w:tcPr>
            <w:tcW w:w="1791" w:type="dxa"/>
          </w:tcPr>
          <w:p w14:paraId="1137C0CD" w14:textId="77777777" w:rsidR="006F605B" w:rsidRPr="00DC66CD" w:rsidRDefault="006F605B" w:rsidP="00452C18">
            <w:pPr>
              <w:snapToGrid w:val="0"/>
              <w:rPr>
                <w:rFonts w:ascii="Garamond" w:hAnsi="Garamond"/>
                <w:sz w:val="24"/>
                <w:szCs w:val="24"/>
                <w:lang w:val="sq-AL"/>
              </w:rPr>
            </w:pPr>
          </w:p>
        </w:tc>
        <w:tc>
          <w:tcPr>
            <w:tcW w:w="1792" w:type="dxa"/>
          </w:tcPr>
          <w:p w14:paraId="22EC3EAF" w14:textId="77777777" w:rsidR="006F605B" w:rsidRPr="00DC66CD" w:rsidRDefault="006F605B" w:rsidP="00452C18">
            <w:pPr>
              <w:snapToGrid w:val="0"/>
              <w:rPr>
                <w:rFonts w:ascii="Garamond" w:hAnsi="Garamond"/>
                <w:sz w:val="24"/>
                <w:szCs w:val="24"/>
                <w:lang w:val="sq-AL"/>
              </w:rPr>
            </w:pPr>
          </w:p>
        </w:tc>
      </w:tr>
    </w:tbl>
    <w:p w14:paraId="57C5DE55" w14:textId="77777777" w:rsidR="006F605B" w:rsidRPr="00DC66CD" w:rsidRDefault="006F605B" w:rsidP="006F605B">
      <w:pPr>
        <w:snapToGrid w:val="0"/>
        <w:spacing w:after="0" w:line="240" w:lineRule="auto"/>
        <w:ind w:firstLine="284"/>
        <w:rPr>
          <w:rFonts w:ascii="Garamond" w:hAnsi="Garamond"/>
          <w:sz w:val="24"/>
          <w:szCs w:val="24"/>
        </w:rPr>
      </w:pPr>
    </w:p>
    <w:p w14:paraId="5CEF4209" w14:textId="7E130F92" w:rsidR="006F605B" w:rsidRPr="00DC66CD" w:rsidRDefault="00452C18" w:rsidP="00452C18">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4. </w:t>
      </w:r>
      <w:r w:rsidR="006F605B" w:rsidRPr="00DC66CD">
        <w:rPr>
          <w:rFonts w:ascii="Garamond" w:hAnsi="Garamond"/>
          <w:color w:val="000000" w:themeColor="text1"/>
          <w:sz w:val="24"/>
          <w:szCs w:val="24"/>
        </w:rPr>
        <w:t>Ndikimi i pritshëm në konkurrueshmëri</w:t>
      </w:r>
    </w:p>
    <w:p w14:paraId="61C54755" w14:textId="4AD89B3B"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 xml:space="preserve">Forcon lidhjet e </w:t>
      </w:r>
      <w:r w:rsidR="00664809" w:rsidRPr="00DC66CD">
        <w:rPr>
          <w:rFonts w:ascii="Garamond" w:hAnsi="Garamond"/>
          <w:color w:val="000000" w:themeColor="text1"/>
          <w:sz w:val="24"/>
          <w:szCs w:val="24"/>
        </w:rPr>
        <w:t>interkoneksionit</w:t>
      </w:r>
      <w:r w:rsidRPr="00DC66CD">
        <w:rPr>
          <w:rFonts w:ascii="Garamond" w:hAnsi="Garamond"/>
          <w:color w:val="000000" w:themeColor="text1"/>
          <w:sz w:val="24"/>
          <w:szCs w:val="24"/>
        </w:rPr>
        <w:t xml:space="preserve"> me rrjetin rajonal të energjisë elektrike, duke krijuar kushte për shkëmbimet tregtare dhe tranzitin e pakufizuar të energjisë elektrike në rajon. Liberalizimi i mëtejshëm i tregut të energjisë, i cili do të çojë në decentralizimin e sistemit të energjisë elektrike, do të ketë ndikime pozitive të drejtpërdrejta në konkurrencën</w:t>
      </w:r>
      <w:r w:rsidR="00664809"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duke mundësuar pjesëmarrjen e operatorëve privatë në tregun e energjisë elektrike dhe do të rrisë cilësinë e furnizimit. Kjo masë e reformës do të rrisë ndjeshëm investimet dhe do të kontribuojë në punësimin dhe konkurrencën në punë dhe</w:t>
      </w:r>
      <w:r w:rsidR="00664809"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gjithashtu</w:t>
      </w:r>
      <w:r w:rsidR="00664809"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do të lejojë uljen e kostos së energjisë për konsumatorët.</w:t>
      </w:r>
    </w:p>
    <w:p w14:paraId="241B6998" w14:textId="72C7F315" w:rsidR="006F605B" w:rsidRPr="00DC66CD" w:rsidRDefault="00452C18" w:rsidP="00452C18">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5. </w:t>
      </w:r>
      <w:r w:rsidR="006F605B" w:rsidRPr="00DC66CD">
        <w:rPr>
          <w:rFonts w:ascii="Garamond" w:hAnsi="Garamond"/>
          <w:color w:val="000000" w:themeColor="text1"/>
          <w:sz w:val="24"/>
          <w:szCs w:val="24"/>
        </w:rPr>
        <w:t>Kosto</w:t>
      </w:r>
      <w:r w:rsidR="00664809" w:rsidRPr="00DC66CD">
        <w:rPr>
          <w:rFonts w:ascii="Garamond" w:hAnsi="Garamond"/>
          <w:color w:val="000000" w:themeColor="text1"/>
          <w:sz w:val="24"/>
          <w:szCs w:val="24"/>
        </w:rPr>
        <w:t>ja</w:t>
      </w:r>
      <w:r w:rsidR="006F605B" w:rsidRPr="00DC66CD">
        <w:rPr>
          <w:rFonts w:ascii="Garamond" w:hAnsi="Garamond"/>
          <w:color w:val="000000" w:themeColor="text1"/>
          <w:sz w:val="24"/>
          <w:szCs w:val="24"/>
        </w:rPr>
        <w:t xml:space="preserve"> e parashikuar e aktiviteteve dhe burimi i financimit</w:t>
      </w:r>
    </w:p>
    <w:p w14:paraId="4AAEA41D" w14:textId="04FA2110"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color w:val="000000" w:themeColor="text1"/>
          <w:sz w:val="24"/>
          <w:szCs w:val="24"/>
        </w:rPr>
        <w:t>Për</w:t>
      </w:r>
      <w:r w:rsidR="00664809" w:rsidRPr="00DC66CD">
        <w:rPr>
          <w:rFonts w:ascii="Garamond" w:hAnsi="Garamond"/>
          <w:color w:val="000000" w:themeColor="text1"/>
          <w:sz w:val="24"/>
          <w:szCs w:val="24"/>
        </w:rPr>
        <w:t xml:space="preserve"> </w:t>
      </w:r>
      <w:r w:rsidRPr="00DC66CD">
        <w:rPr>
          <w:rFonts w:ascii="Garamond" w:hAnsi="Garamond"/>
          <w:color w:val="000000" w:themeColor="text1"/>
          <w:sz w:val="24"/>
          <w:szCs w:val="24"/>
        </w:rPr>
        <w:t>sa i përket reformës së liberalizimit të mëtejshëm të tregut të energjisë</w:t>
      </w:r>
      <w:r w:rsidRPr="00DC66CD">
        <w:rPr>
          <w:rFonts w:ascii="Garamond" w:hAnsi="Garamond"/>
          <w:color w:val="0D0D0D"/>
          <w:sz w:val="24"/>
          <w:szCs w:val="24"/>
        </w:rPr>
        <w:t>, nuk ka ndikim të drejtpërdrejtë në buxhetin e shtetit</w:t>
      </w:r>
      <w:r w:rsidR="00664809" w:rsidRPr="00DC66CD">
        <w:rPr>
          <w:rFonts w:ascii="Garamond" w:hAnsi="Garamond"/>
          <w:color w:val="0D0D0D"/>
          <w:sz w:val="24"/>
          <w:szCs w:val="24"/>
        </w:rPr>
        <w:t>,</w:t>
      </w:r>
      <w:r w:rsidRPr="00DC66CD">
        <w:rPr>
          <w:rFonts w:ascii="Garamond" w:hAnsi="Garamond"/>
          <w:color w:val="0D0D0D"/>
          <w:sz w:val="24"/>
          <w:szCs w:val="24"/>
        </w:rPr>
        <w:t xml:space="preserve"> por megjithatë investimet në rrjetin shpërndarës/transmetimit dhe prodhimin e energjisë janë përcaktuar në programet e zhvillimit të kompanive (KESH, OST dhe OSHEE). Në mbështetje të kësaj çështjeje, kostoja e preventivit për përfundimin e linjës interkonektive 400 kV Elbasan (Shqipëri) - Bitola (FYROM), pjesa e Shqipërisë - 70 milionë euro</w:t>
      </w:r>
      <w:r w:rsidR="00664809" w:rsidRPr="00DC66CD">
        <w:rPr>
          <w:rFonts w:ascii="Garamond" w:hAnsi="Garamond"/>
          <w:color w:val="0D0D0D"/>
          <w:sz w:val="24"/>
          <w:szCs w:val="24"/>
        </w:rPr>
        <w:t>,</w:t>
      </w:r>
      <w:r w:rsidRPr="00DC66CD">
        <w:rPr>
          <w:rFonts w:ascii="Garamond" w:hAnsi="Garamond"/>
          <w:color w:val="0D0D0D"/>
          <w:sz w:val="24"/>
          <w:szCs w:val="24"/>
        </w:rPr>
        <w:t xml:space="preserve"> </w:t>
      </w:r>
      <w:r w:rsidR="00664809" w:rsidRPr="00DC66CD">
        <w:rPr>
          <w:rFonts w:ascii="Garamond" w:hAnsi="Garamond"/>
          <w:color w:val="0D0D0D"/>
          <w:sz w:val="24"/>
          <w:szCs w:val="24"/>
        </w:rPr>
        <w:t xml:space="preserve">financuar </w:t>
      </w:r>
      <w:r w:rsidRPr="00DC66CD">
        <w:rPr>
          <w:rFonts w:ascii="Garamond" w:hAnsi="Garamond"/>
          <w:color w:val="0D0D0D"/>
          <w:sz w:val="24"/>
          <w:szCs w:val="24"/>
        </w:rPr>
        <w:t>50 milionë euro nga KfW (hua), 15 milionë euro nga WBIF (grant) dhe 5 milionë euro nga OST sh.a</w:t>
      </w:r>
      <w:r w:rsidR="00664809" w:rsidRPr="00DC66CD">
        <w:rPr>
          <w:rFonts w:ascii="Garamond" w:hAnsi="Garamond"/>
          <w:color w:val="0D0D0D"/>
          <w:sz w:val="24"/>
          <w:szCs w:val="24"/>
        </w:rPr>
        <w:t>.</w:t>
      </w:r>
      <w:r w:rsidRPr="00DC66CD">
        <w:rPr>
          <w:rFonts w:ascii="Garamond" w:hAnsi="Garamond"/>
          <w:color w:val="0D0D0D"/>
          <w:sz w:val="24"/>
          <w:szCs w:val="24"/>
        </w:rPr>
        <w:t xml:space="preserve"> (përfshirë TVSH-në).</w:t>
      </w:r>
    </w:p>
    <w:p w14:paraId="6EDEC12E" w14:textId="0AD32640" w:rsidR="006F605B" w:rsidRPr="00DC66CD" w:rsidRDefault="00452C18" w:rsidP="00452C18">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6. </w:t>
      </w:r>
      <w:r w:rsidR="006F605B" w:rsidRPr="00DC66CD">
        <w:rPr>
          <w:rFonts w:ascii="Garamond" w:hAnsi="Garamond"/>
          <w:color w:val="000000" w:themeColor="text1"/>
          <w:sz w:val="24"/>
          <w:szCs w:val="24"/>
        </w:rPr>
        <w:t>Ndikimi i pritshëm në rezultatet sociale, si</w:t>
      </w:r>
      <w:r w:rsidR="00664809" w:rsidRPr="00DC66CD">
        <w:rPr>
          <w:rFonts w:ascii="Garamond" w:hAnsi="Garamond"/>
          <w:color w:val="000000" w:themeColor="text1"/>
          <w:sz w:val="24"/>
          <w:szCs w:val="24"/>
        </w:rPr>
        <w:t>:</w:t>
      </w:r>
      <w:r w:rsidR="006F605B" w:rsidRPr="00DC66CD">
        <w:rPr>
          <w:rFonts w:ascii="Garamond" w:hAnsi="Garamond"/>
          <w:color w:val="000000" w:themeColor="text1"/>
          <w:sz w:val="24"/>
          <w:szCs w:val="24"/>
        </w:rPr>
        <w:t xml:space="preserve"> punësimi, ulja e varfërisë, barazia dhe gjinia</w:t>
      </w:r>
    </w:p>
    <w:p w14:paraId="72A5E60A" w14:textId="32FB728F"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color w:val="0D0D0D"/>
          <w:sz w:val="24"/>
          <w:szCs w:val="24"/>
        </w:rPr>
        <w:t>Kjo masë e reformës kontribuon në punësimin dhe konkurrencën në punë dhe</w:t>
      </w:r>
      <w:r w:rsidR="00664809" w:rsidRPr="00DC66CD">
        <w:rPr>
          <w:rFonts w:ascii="Garamond" w:hAnsi="Garamond"/>
          <w:color w:val="0D0D0D"/>
          <w:sz w:val="24"/>
          <w:szCs w:val="24"/>
        </w:rPr>
        <w:t>,</w:t>
      </w:r>
      <w:r w:rsidRPr="00DC66CD">
        <w:rPr>
          <w:rFonts w:ascii="Garamond" w:hAnsi="Garamond"/>
          <w:color w:val="0D0D0D"/>
          <w:sz w:val="24"/>
          <w:szCs w:val="24"/>
        </w:rPr>
        <w:t xml:space="preserve"> gjithashtu</w:t>
      </w:r>
      <w:r w:rsidR="00664809" w:rsidRPr="00DC66CD">
        <w:rPr>
          <w:rFonts w:ascii="Garamond" w:hAnsi="Garamond"/>
          <w:color w:val="0D0D0D"/>
          <w:sz w:val="24"/>
          <w:szCs w:val="24"/>
        </w:rPr>
        <w:t>,</w:t>
      </w:r>
      <w:r w:rsidRPr="00DC66CD">
        <w:rPr>
          <w:rFonts w:ascii="Garamond" w:hAnsi="Garamond"/>
          <w:color w:val="0D0D0D"/>
          <w:sz w:val="24"/>
          <w:szCs w:val="24"/>
        </w:rPr>
        <w:t xml:space="preserve"> do të lejojë uljen e kostos së energjisë për </w:t>
      </w:r>
      <w:r w:rsidR="00664809" w:rsidRPr="00DC66CD">
        <w:rPr>
          <w:rFonts w:ascii="Garamond" w:hAnsi="Garamond"/>
          <w:color w:val="0D0D0D"/>
          <w:sz w:val="24"/>
          <w:szCs w:val="24"/>
        </w:rPr>
        <w:t>konsumatorët</w:t>
      </w:r>
      <w:r w:rsidRPr="00DC66CD">
        <w:rPr>
          <w:rFonts w:ascii="Garamond" w:hAnsi="Garamond"/>
          <w:color w:val="0D0D0D"/>
          <w:sz w:val="24"/>
          <w:szCs w:val="24"/>
        </w:rPr>
        <w:t>. Kjo reformë do të kontribuojë në mënyrë indirekte në krijimin e vendeve të punës</w:t>
      </w:r>
      <w:r w:rsidR="00664809" w:rsidRPr="00DC66CD">
        <w:rPr>
          <w:rFonts w:ascii="Garamond" w:hAnsi="Garamond"/>
          <w:color w:val="0D0D0D"/>
          <w:sz w:val="24"/>
          <w:szCs w:val="24"/>
        </w:rPr>
        <w:t>,</w:t>
      </w:r>
      <w:r w:rsidRPr="00DC66CD">
        <w:rPr>
          <w:rFonts w:ascii="Garamond" w:hAnsi="Garamond"/>
          <w:color w:val="0D0D0D"/>
          <w:sz w:val="24"/>
          <w:szCs w:val="24"/>
        </w:rPr>
        <w:t xml:space="preserve"> duke siguruar furnizim të qëndrueshëm të energjisë me nivele çmimesh të arsyeshme dhe duke stimuluar mjedisin e përgjithshëm të biznesit</w:t>
      </w:r>
      <w:r w:rsidR="00664809" w:rsidRPr="00DC66CD">
        <w:rPr>
          <w:rFonts w:ascii="Garamond" w:hAnsi="Garamond"/>
          <w:color w:val="0D0D0D"/>
          <w:sz w:val="24"/>
          <w:szCs w:val="24"/>
        </w:rPr>
        <w:t>,</w:t>
      </w:r>
      <w:r w:rsidRPr="00DC66CD">
        <w:rPr>
          <w:rFonts w:ascii="Garamond" w:hAnsi="Garamond"/>
          <w:color w:val="0D0D0D"/>
          <w:sz w:val="24"/>
          <w:szCs w:val="24"/>
        </w:rPr>
        <w:t xml:space="preserve"> dhe duke e bërë sektorin më tërheqës për investitorët. Është një masë reforme neutrale e gjinive.</w:t>
      </w:r>
    </w:p>
    <w:p w14:paraId="2ADCD039" w14:textId="3A43CC11" w:rsidR="006F605B" w:rsidRPr="00DC66CD" w:rsidRDefault="00452C18" w:rsidP="00452C18">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7. </w:t>
      </w:r>
      <w:r w:rsidR="006F605B" w:rsidRPr="00DC66CD">
        <w:rPr>
          <w:rFonts w:ascii="Garamond" w:hAnsi="Garamond"/>
          <w:color w:val="000000" w:themeColor="text1"/>
          <w:sz w:val="24"/>
          <w:szCs w:val="24"/>
        </w:rPr>
        <w:t>Ndikimi i pritshëm në mjedis</w:t>
      </w:r>
    </w:p>
    <w:p w14:paraId="742CD380"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Duke marrë parasysh llojin e projektit, ndikimi në mjedis është i pakonsiderueshëm.</w:t>
      </w:r>
    </w:p>
    <w:p w14:paraId="76D38116" w14:textId="0FAFF475" w:rsidR="006F605B" w:rsidRPr="00DC66CD" w:rsidRDefault="00452C18" w:rsidP="00452C18">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8. </w:t>
      </w:r>
      <w:r w:rsidR="006F605B" w:rsidRPr="00DC66CD">
        <w:rPr>
          <w:rFonts w:ascii="Garamond" w:hAnsi="Garamond"/>
          <w:color w:val="000000" w:themeColor="text1"/>
          <w:sz w:val="24"/>
          <w:szCs w:val="24"/>
        </w:rPr>
        <w:t>Rreziqet e mundshme</w:t>
      </w:r>
    </w:p>
    <w:p w14:paraId="2B0C18DD" w14:textId="77777777" w:rsidR="006F605B" w:rsidRPr="00DC66CD" w:rsidRDefault="006F605B" w:rsidP="006F605B">
      <w:pPr>
        <w:snapToGrid w:val="0"/>
        <w:spacing w:after="0" w:line="240" w:lineRule="auto"/>
        <w:ind w:firstLine="284"/>
        <w:rPr>
          <w:rFonts w:ascii="Garamond" w:hAnsi="Garamond"/>
          <w:sz w:val="24"/>
          <w:szCs w:val="24"/>
        </w:rPr>
      </w:pPr>
    </w:p>
    <w:tbl>
      <w:tblPr>
        <w:tblStyle w:val="TableGrid1"/>
        <w:tblW w:w="0" w:type="auto"/>
        <w:tblLook w:val="04A0" w:firstRow="1" w:lastRow="0" w:firstColumn="1" w:lastColumn="0" w:noHBand="0" w:noVBand="1"/>
      </w:tblPr>
      <w:tblGrid>
        <w:gridCol w:w="3684"/>
        <w:gridCol w:w="1547"/>
        <w:gridCol w:w="4049"/>
      </w:tblGrid>
      <w:tr w:rsidR="006F605B" w:rsidRPr="00DC66CD" w14:paraId="7769F85A" w14:textId="77777777" w:rsidTr="00664809">
        <w:tc>
          <w:tcPr>
            <w:tcW w:w="3823" w:type="dxa"/>
          </w:tcPr>
          <w:p w14:paraId="0A22911C" w14:textId="77777777" w:rsidR="006F605B" w:rsidRPr="00DC66CD" w:rsidRDefault="006F605B" w:rsidP="00664809">
            <w:pPr>
              <w:snapToGrid w:val="0"/>
              <w:jc w:val="center"/>
              <w:rPr>
                <w:rFonts w:ascii="Garamond" w:hAnsi="Garamond"/>
                <w:b/>
                <w:lang w:val="sq-AL"/>
              </w:rPr>
            </w:pPr>
            <w:r w:rsidRPr="00DC66CD">
              <w:rPr>
                <w:rFonts w:ascii="Garamond" w:hAnsi="Garamond"/>
                <w:b/>
                <w:lang w:val="sq-AL"/>
              </w:rPr>
              <w:t>Rreziku</w:t>
            </w:r>
          </w:p>
        </w:tc>
        <w:tc>
          <w:tcPr>
            <w:tcW w:w="1559" w:type="dxa"/>
          </w:tcPr>
          <w:p w14:paraId="6B2582D6" w14:textId="5F087136" w:rsidR="006F605B" w:rsidRPr="00DC66CD" w:rsidRDefault="006F605B" w:rsidP="00664809">
            <w:pPr>
              <w:snapToGrid w:val="0"/>
              <w:jc w:val="center"/>
              <w:rPr>
                <w:rFonts w:ascii="Garamond" w:hAnsi="Garamond"/>
                <w:b/>
                <w:lang w:val="sq-AL"/>
              </w:rPr>
            </w:pPr>
            <w:r w:rsidRPr="00DC66CD">
              <w:rPr>
                <w:rFonts w:ascii="Garamond" w:hAnsi="Garamond"/>
                <w:b/>
                <w:lang w:val="sq-AL"/>
              </w:rPr>
              <w:t xml:space="preserve">Probabiliteti </w:t>
            </w:r>
            <w:r w:rsidR="00F85068" w:rsidRPr="00DC66CD">
              <w:rPr>
                <w:rFonts w:ascii="Garamond" w:hAnsi="Garamond"/>
                <w:b/>
                <w:lang w:val="sq-AL"/>
              </w:rPr>
              <w:t>(i ulët, i lartë)</w:t>
            </w:r>
          </w:p>
        </w:tc>
        <w:tc>
          <w:tcPr>
            <w:tcW w:w="4240" w:type="dxa"/>
          </w:tcPr>
          <w:p w14:paraId="19193744" w14:textId="77777777" w:rsidR="006F605B" w:rsidRPr="00DC66CD" w:rsidRDefault="006F605B" w:rsidP="00664809">
            <w:pPr>
              <w:snapToGrid w:val="0"/>
              <w:jc w:val="center"/>
              <w:rPr>
                <w:rFonts w:ascii="Garamond" w:hAnsi="Garamond"/>
                <w:b/>
                <w:lang w:val="sq-AL"/>
              </w:rPr>
            </w:pPr>
            <w:r w:rsidRPr="00DC66CD">
              <w:rPr>
                <w:rFonts w:ascii="Garamond" w:hAnsi="Garamond"/>
                <w:b/>
                <w:lang w:val="sq-AL"/>
              </w:rPr>
              <w:t>Veprimi i planifikuar për uljen e rrezikut</w:t>
            </w:r>
          </w:p>
        </w:tc>
      </w:tr>
      <w:tr w:rsidR="006F605B" w:rsidRPr="00DC66CD" w14:paraId="12F68505" w14:textId="77777777" w:rsidTr="00664809">
        <w:tc>
          <w:tcPr>
            <w:tcW w:w="3823" w:type="dxa"/>
          </w:tcPr>
          <w:p w14:paraId="37698DEE" w14:textId="1F2FB0F5" w:rsidR="006F605B" w:rsidRPr="00DC66CD" w:rsidRDefault="006F605B" w:rsidP="00664809">
            <w:pPr>
              <w:snapToGrid w:val="0"/>
              <w:rPr>
                <w:rFonts w:ascii="Garamond" w:hAnsi="Garamond"/>
                <w:lang w:val="sq-AL"/>
              </w:rPr>
            </w:pPr>
            <w:r w:rsidRPr="00DC66CD">
              <w:rPr>
                <w:rFonts w:ascii="Garamond" w:hAnsi="Garamond"/>
                <w:lang w:val="sq-AL"/>
              </w:rPr>
              <w:t xml:space="preserve">Për projektin </w:t>
            </w:r>
            <w:r w:rsidR="002A29AD" w:rsidRPr="00DC66CD">
              <w:rPr>
                <w:rFonts w:ascii="Garamond" w:hAnsi="Garamond"/>
                <w:lang w:val="sq-AL"/>
              </w:rPr>
              <w:t>“</w:t>
            </w:r>
            <w:r w:rsidRPr="00DC66CD">
              <w:rPr>
                <w:rFonts w:ascii="Garamond" w:hAnsi="Garamond"/>
                <w:lang w:val="sq-AL"/>
              </w:rPr>
              <w:t xml:space="preserve">Linja e </w:t>
            </w:r>
            <w:r w:rsidR="00664809" w:rsidRPr="00DC66CD">
              <w:rPr>
                <w:rFonts w:ascii="Garamond" w:hAnsi="Garamond"/>
                <w:lang w:val="sq-AL"/>
              </w:rPr>
              <w:t>Interkoneksionit</w:t>
            </w:r>
            <w:r w:rsidRPr="00DC66CD">
              <w:rPr>
                <w:rFonts w:ascii="Garamond" w:hAnsi="Garamond"/>
                <w:lang w:val="sq-AL"/>
              </w:rPr>
              <w:t xml:space="preserve"> 400 kV (Shqipëri</w:t>
            </w:r>
            <w:r w:rsidR="00664809" w:rsidRPr="00DC66CD">
              <w:rPr>
                <w:rFonts w:ascii="Garamond" w:hAnsi="Garamond"/>
                <w:lang w:val="sq-AL"/>
              </w:rPr>
              <w:t xml:space="preserve"> </w:t>
            </w:r>
            <w:r w:rsidR="00664809" w:rsidRPr="00DC66CD">
              <w:rPr>
                <w:lang w:val="sq-AL"/>
              </w:rPr>
              <w:t>–</w:t>
            </w:r>
            <w:r w:rsidR="00664809" w:rsidRPr="00DC66CD">
              <w:rPr>
                <w:rFonts w:ascii="Garamond" w:hAnsi="Garamond"/>
                <w:lang w:val="sq-AL"/>
              </w:rPr>
              <w:t xml:space="preserve"> </w:t>
            </w:r>
            <w:r w:rsidRPr="00DC66CD">
              <w:rPr>
                <w:rFonts w:ascii="Garamond" w:hAnsi="Garamond"/>
                <w:lang w:val="sq-AL"/>
              </w:rPr>
              <w:t>FYROM)</w:t>
            </w:r>
            <w:r w:rsidR="002A29AD" w:rsidRPr="00DC66CD">
              <w:rPr>
                <w:rFonts w:ascii="Garamond" w:hAnsi="Garamond"/>
                <w:lang w:val="sq-AL"/>
              </w:rPr>
              <w:t>”</w:t>
            </w:r>
            <w:r w:rsidRPr="00DC66CD">
              <w:rPr>
                <w:rFonts w:ascii="Garamond" w:hAnsi="Garamond"/>
                <w:lang w:val="sq-AL"/>
              </w:rPr>
              <w:t xml:space="preserve"> pengesa specifike mund të lindin gjatë procedurave të shpronësimit, të</w:t>
            </w:r>
            <w:r w:rsidR="0072211B" w:rsidRPr="00DC66CD">
              <w:rPr>
                <w:rFonts w:ascii="Garamond" w:hAnsi="Garamond"/>
                <w:lang w:val="sq-AL"/>
              </w:rPr>
              <w:t xml:space="preserve"> </w:t>
            </w:r>
            <w:r w:rsidRPr="00DC66CD">
              <w:rPr>
                <w:rFonts w:ascii="Garamond" w:hAnsi="Garamond"/>
                <w:lang w:val="sq-AL"/>
              </w:rPr>
              <w:t>prokurimit dhe të licencimit të nevojshme për zbatimin e projektit dhe</w:t>
            </w:r>
            <w:r w:rsidR="00664809" w:rsidRPr="00DC66CD">
              <w:rPr>
                <w:rFonts w:ascii="Garamond" w:hAnsi="Garamond"/>
                <w:lang w:val="sq-AL"/>
              </w:rPr>
              <w:t>,</w:t>
            </w:r>
            <w:r w:rsidRPr="00DC66CD">
              <w:rPr>
                <w:rFonts w:ascii="Garamond" w:hAnsi="Garamond"/>
                <w:lang w:val="sq-AL"/>
              </w:rPr>
              <w:t xml:space="preserve"> gjithashtu</w:t>
            </w:r>
            <w:r w:rsidR="00664809" w:rsidRPr="00DC66CD">
              <w:rPr>
                <w:rFonts w:ascii="Garamond" w:hAnsi="Garamond"/>
                <w:lang w:val="sq-AL"/>
              </w:rPr>
              <w:t>,</w:t>
            </w:r>
            <w:r w:rsidRPr="00DC66CD">
              <w:rPr>
                <w:rFonts w:ascii="Garamond" w:hAnsi="Garamond"/>
                <w:lang w:val="sq-AL"/>
              </w:rPr>
              <w:t xml:space="preserve"> bllokime teknike</w:t>
            </w:r>
            <w:r w:rsidR="00664809" w:rsidRPr="00DC66CD">
              <w:rPr>
                <w:rFonts w:ascii="Garamond" w:hAnsi="Garamond"/>
                <w:lang w:val="sq-AL"/>
              </w:rPr>
              <w:t>,</w:t>
            </w:r>
            <w:r w:rsidRPr="00DC66CD">
              <w:rPr>
                <w:rFonts w:ascii="Garamond" w:hAnsi="Garamond"/>
                <w:lang w:val="sq-AL"/>
              </w:rPr>
              <w:t xml:space="preserve"> duke pasur parasysh natyrën e projektit</w:t>
            </w:r>
          </w:p>
        </w:tc>
        <w:tc>
          <w:tcPr>
            <w:tcW w:w="1559" w:type="dxa"/>
          </w:tcPr>
          <w:p w14:paraId="6776B967" w14:textId="57F2BB85" w:rsidR="006F605B" w:rsidRPr="00DC66CD" w:rsidRDefault="00664809" w:rsidP="00452C18">
            <w:pPr>
              <w:snapToGrid w:val="0"/>
              <w:rPr>
                <w:rFonts w:ascii="Garamond" w:hAnsi="Garamond"/>
                <w:lang w:val="sq-AL"/>
              </w:rPr>
            </w:pPr>
            <w:r w:rsidRPr="00DC66CD">
              <w:rPr>
                <w:rFonts w:ascii="Garamond" w:hAnsi="Garamond"/>
                <w:lang w:val="sq-AL"/>
              </w:rPr>
              <w:t>I mesëm</w:t>
            </w:r>
          </w:p>
        </w:tc>
        <w:tc>
          <w:tcPr>
            <w:tcW w:w="4240" w:type="dxa"/>
          </w:tcPr>
          <w:p w14:paraId="50B38B5E" w14:textId="70A90FBF" w:rsidR="006F605B" w:rsidRPr="00DC66CD" w:rsidRDefault="006F605B" w:rsidP="00664809">
            <w:pPr>
              <w:snapToGrid w:val="0"/>
              <w:rPr>
                <w:rFonts w:ascii="Garamond" w:hAnsi="Garamond"/>
                <w:lang w:val="sq-AL"/>
              </w:rPr>
            </w:pPr>
            <w:r w:rsidRPr="00DC66CD">
              <w:rPr>
                <w:rFonts w:ascii="Garamond" w:hAnsi="Garamond"/>
                <w:lang w:val="sq-AL"/>
              </w:rPr>
              <w:t>Monitorim më i mirë, vlerësim dhe koordinim me grupet e interesit përgjatë gjithë fazave të projektit. Rritja e rëndësisë së masës së reformës</w:t>
            </w:r>
          </w:p>
        </w:tc>
      </w:tr>
      <w:tr w:rsidR="006F605B" w:rsidRPr="00DC66CD" w14:paraId="75040CBB" w14:textId="77777777" w:rsidTr="00664809">
        <w:tc>
          <w:tcPr>
            <w:tcW w:w="3823" w:type="dxa"/>
          </w:tcPr>
          <w:p w14:paraId="1659CB90" w14:textId="77777777" w:rsidR="006F605B" w:rsidRPr="00DC66CD" w:rsidRDefault="006F605B" w:rsidP="00452C18">
            <w:pPr>
              <w:snapToGrid w:val="0"/>
              <w:rPr>
                <w:rFonts w:ascii="Garamond" w:hAnsi="Garamond"/>
                <w:lang w:val="sq-AL"/>
              </w:rPr>
            </w:pPr>
            <w:r w:rsidRPr="00DC66CD">
              <w:rPr>
                <w:rFonts w:ascii="Garamond" w:hAnsi="Garamond"/>
                <w:lang w:val="sq-AL"/>
              </w:rPr>
              <w:t>Mungesa e kapaciteteve dhe e koordinimit ndërmjet institucioneve</w:t>
            </w:r>
          </w:p>
        </w:tc>
        <w:tc>
          <w:tcPr>
            <w:tcW w:w="1559" w:type="dxa"/>
          </w:tcPr>
          <w:p w14:paraId="0DE31660" w14:textId="1CD8EDFA" w:rsidR="006F605B" w:rsidRPr="00DC66CD" w:rsidRDefault="00664809" w:rsidP="00452C18">
            <w:pPr>
              <w:snapToGrid w:val="0"/>
              <w:rPr>
                <w:rFonts w:ascii="Garamond" w:hAnsi="Garamond"/>
                <w:lang w:val="sq-AL"/>
              </w:rPr>
            </w:pPr>
            <w:r w:rsidRPr="00DC66CD">
              <w:rPr>
                <w:rFonts w:ascii="Garamond" w:hAnsi="Garamond"/>
                <w:lang w:val="sq-AL"/>
              </w:rPr>
              <w:t>I ulët</w:t>
            </w:r>
          </w:p>
        </w:tc>
        <w:tc>
          <w:tcPr>
            <w:tcW w:w="4240" w:type="dxa"/>
            <w:vMerge w:val="restart"/>
          </w:tcPr>
          <w:p w14:paraId="5BDE2A27" w14:textId="5B11073E" w:rsidR="006F605B" w:rsidRPr="00DC66CD" w:rsidRDefault="006F605B" w:rsidP="00452C18">
            <w:pPr>
              <w:snapToGrid w:val="0"/>
              <w:rPr>
                <w:rFonts w:ascii="Garamond" w:hAnsi="Garamond"/>
                <w:lang w:val="sq-AL"/>
              </w:rPr>
            </w:pPr>
            <w:r w:rsidRPr="00DC66CD">
              <w:rPr>
                <w:rFonts w:ascii="Garamond" w:hAnsi="Garamond"/>
                <w:lang w:val="sq-AL"/>
              </w:rPr>
              <w:t>Monitorim më i mirë, vlerësim dhe koordinim me grupet e interesit përgjatë gjithë fazave të projektit. Rritja e</w:t>
            </w:r>
            <w:r w:rsidR="00E93E6E" w:rsidRPr="00DC66CD">
              <w:rPr>
                <w:rFonts w:ascii="Garamond" w:hAnsi="Garamond"/>
                <w:lang w:val="sq-AL"/>
              </w:rPr>
              <w:t xml:space="preserve"> rëndësisë së masës së reformës</w:t>
            </w:r>
          </w:p>
        </w:tc>
      </w:tr>
      <w:tr w:rsidR="006F605B" w:rsidRPr="00DC66CD" w14:paraId="7C50F219" w14:textId="77777777" w:rsidTr="00664809">
        <w:tc>
          <w:tcPr>
            <w:tcW w:w="3823" w:type="dxa"/>
          </w:tcPr>
          <w:p w14:paraId="376957B9" w14:textId="77777777" w:rsidR="006F605B" w:rsidRPr="00DC66CD" w:rsidRDefault="006F605B" w:rsidP="00452C18">
            <w:pPr>
              <w:snapToGrid w:val="0"/>
              <w:rPr>
                <w:rFonts w:ascii="Garamond" w:hAnsi="Garamond"/>
                <w:lang w:val="sq-AL"/>
              </w:rPr>
            </w:pPr>
            <w:r w:rsidRPr="00DC66CD">
              <w:rPr>
                <w:rFonts w:ascii="Garamond" w:hAnsi="Garamond"/>
                <w:lang w:val="sq-AL"/>
              </w:rPr>
              <w:t>Vonesa në miratimin e akteve nënligjore</w:t>
            </w:r>
          </w:p>
        </w:tc>
        <w:tc>
          <w:tcPr>
            <w:tcW w:w="1559" w:type="dxa"/>
          </w:tcPr>
          <w:p w14:paraId="5F571C5D" w14:textId="12EEDD36" w:rsidR="006F605B" w:rsidRPr="00DC66CD" w:rsidRDefault="00664809" w:rsidP="00452C18">
            <w:pPr>
              <w:snapToGrid w:val="0"/>
              <w:rPr>
                <w:rFonts w:ascii="Garamond" w:hAnsi="Garamond"/>
                <w:lang w:val="sq-AL"/>
              </w:rPr>
            </w:pPr>
            <w:r w:rsidRPr="00DC66CD">
              <w:rPr>
                <w:rFonts w:ascii="Garamond" w:hAnsi="Garamond"/>
                <w:lang w:val="sq-AL"/>
              </w:rPr>
              <w:t>I ulët</w:t>
            </w:r>
          </w:p>
        </w:tc>
        <w:tc>
          <w:tcPr>
            <w:tcW w:w="4240" w:type="dxa"/>
            <w:vMerge/>
          </w:tcPr>
          <w:p w14:paraId="2BE7F28E" w14:textId="77777777" w:rsidR="006F605B" w:rsidRPr="00DC66CD" w:rsidRDefault="006F605B" w:rsidP="00452C18">
            <w:pPr>
              <w:snapToGrid w:val="0"/>
              <w:rPr>
                <w:rFonts w:ascii="Garamond" w:hAnsi="Garamond"/>
                <w:lang w:val="sq-AL"/>
              </w:rPr>
            </w:pPr>
          </w:p>
        </w:tc>
      </w:tr>
    </w:tbl>
    <w:p w14:paraId="486491FB" w14:textId="77777777" w:rsidR="006F605B" w:rsidRPr="00DC66CD" w:rsidRDefault="006F605B" w:rsidP="006F605B">
      <w:pPr>
        <w:snapToGrid w:val="0"/>
        <w:spacing w:after="0" w:line="240" w:lineRule="auto"/>
        <w:ind w:firstLine="284"/>
        <w:rPr>
          <w:rFonts w:ascii="Garamond" w:hAnsi="Garamond"/>
          <w:sz w:val="24"/>
          <w:szCs w:val="24"/>
        </w:rPr>
      </w:pPr>
    </w:p>
    <w:p w14:paraId="55412F69" w14:textId="77777777" w:rsidR="006F605B" w:rsidRPr="00DC66CD" w:rsidRDefault="006F605B" w:rsidP="006F605B">
      <w:pPr>
        <w:snapToGrid w:val="0"/>
        <w:spacing w:after="0" w:line="240" w:lineRule="auto"/>
        <w:ind w:firstLine="284"/>
        <w:rPr>
          <w:rFonts w:ascii="Garamond" w:hAnsi="Garamond"/>
          <w:sz w:val="24"/>
          <w:szCs w:val="24"/>
        </w:rPr>
      </w:pPr>
    </w:p>
    <w:p w14:paraId="40C4B832" w14:textId="11AB3450" w:rsidR="006F605B" w:rsidRPr="00DC66CD" w:rsidRDefault="006F605B" w:rsidP="006F605B">
      <w:pPr>
        <w:pStyle w:val="Heading5"/>
        <w:spacing w:before="0" w:line="240" w:lineRule="auto"/>
        <w:ind w:firstLine="284"/>
        <w:rPr>
          <w:rFonts w:ascii="Garamond" w:hAnsi="Garamond"/>
          <w:i/>
          <w:color w:val="000000" w:themeColor="text1"/>
          <w:sz w:val="24"/>
          <w:szCs w:val="24"/>
        </w:rPr>
      </w:pPr>
      <w:r w:rsidRPr="00DC66CD">
        <w:rPr>
          <w:rFonts w:ascii="Garamond" w:hAnsi="Garamond"/>
          <w:i/>
          <w:color w:val="000000" w:themeColor="text1"/>
          <w:sz w:val="24"/>
          <w:szCs w:val="24"/>
        </w:rPr>
        <w:t xml:space="preserve">Reforma 02: Diversifikimi i burimeve të energjisë përmes nxitjes së burimeve të energjisë së rinovueshme dhe investimeve në </w:t>
      </w:r>
      <w:r w:rsidR="00664809" w:rsidRPr="00DC66CD">
        <w:rPr>
          <w:rFonts w:ascii="Garamond" w:hAnsi="Garamond"/>
          <w:i/>
          <w:color w:val="000000" w:themeColor="text1"/>
          <w:sz w:val="24"/>
          <w:szCs w:val="24"/>
        </w:rPr>
        <w:t>eficiencën</w:t>
      </w:r>
      <w:r w:rsidRPr="00DC66CD">
        <w:rPr>
          <w:rFonts w:ascii="Garamond" w:hAnsi="Garamond"/>
          <w:i/>
          <w:color w:val="000000" w:themeColor="text1"/>
          <w:sz w:val="24"/>
          <w:szCs w:val="24"/>
        </w:rPr>
        <w:t xml:space="preserve"> e energjisë</w:t>
      </w:r>
    </w:p>
    <w:p w14:paraId="55DB22F7" w14:textId="777C9FB0" w:rsidR="006F605B" w:rsidRPr="00DC66CD" w:rsidRDefault="00452C18" w:rsidP="00452C18">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1. </w:t>
      </w:r>
      <w:r w:rsidR="006F605B" w:rsidRPr="00DC66CD">
        <w:rPr>
          <w:rFonts w:ascii="Garamond" w:hAnsi="Garamond"/>
          <w:color w:val="000000" w:themeColor="text1"/>
          <w:sz w:val="24"/>
          <w:szCs w:val="24"/>
        </w:rPr>
        <w:t>Përshkrimi</w:t>
      </w:r>
    </w:p>
    <w:p w14:paraId="52D93E89" w14:textId="0164586B"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Kjo masë e reformës synon të kontribuojë në diversifikimin e burimeve përmes promovimit të prodhimit të energjisë së rinovueshme, përveç hidrocentraleve dhe në përmirësimin e </w:t>
      </w:r>
      <w:r w:rsidR="008403BE" w:rsidRPr="00DC66CD">
        <w:rPr>
          <w:rFonts w:ascii="Garamond" w:hAnsi="Garamond"/>
          <w:sz w:val="24"/>
          <w:szCs w:val="24"/>
        </w:rPr>
        <w:t>eficienc</w:t>
      </w:r>
      <w:r w:rsidRPr="00DC66CD">
        <w:rPr>
          <w:rFonts w:ascii="Garamond" w:hAnsi="Garamond"/>
          <w:sz w:val="24"/>
          <w:szCs w:val="24"/>
        </w:rPr>
        <w:t>ës së energjisë, duke përbërë një mjet t</w:t>
      </w:r>
      <w:r w:rsidR="008B5731">
        <w:rPr>
          <w:rFonts w:ascii="Garamond" w:hAnsi="Garamond"/>
          <w:sz w:val="24"/>
          <w:szCs w:val="24"/>
        </w:rPr>
        <w:t>ë</w:t>
      </w:r>
      <w:r w:rsidRPr="00DC66CD">
        <w:rPr>
          <w:rFonts w:ascii="Garamond" w:hAnsi="Garamond"/>
          <w:sz w:val="24"/>
          <w:szCs w:val="24"/>
        </w:rPr>
        <w:t xml:space="preserve"> rëndësishëm t</w:t>
      </w:r>
      <w:r w:rsidR="00C108AC" w:rsidRPr="00DC66CD">
        <w:rPr>
          <w:rFonts w:ascii="Garamond" w:hAnsi="Garamond"/>
          <w:sz w:val="24"/>
          <w:szCs w:val="24"/>
        </w:rPr>
        <w:t>ë</w:t>
      </w:r>
      <w:r w:rsidRPr="00DC66CD">
        <w:rPr>
          <w:rFonts w:ascii="Garamond" w:hAnsi="Garamond"/>
          <w:sz w:val="24"/>
          <w:szCs w:val="24"/>
        </w:rPr>
        <w:t xml:space="preserve"> politikave energjetike të Shqipërisë, për rritjen e sigurisë se furnizimit me energji, në një mënyrë të qëndrueshme dhe miqësore me mjedisin.</w:t>
      </w:r>
    </w:p>
    <w:p w14:paraId="734101AE" w14:textId="6746A40A"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Masa është në përputhje me </w:t>
      </w:r>
      <w:r w:rsidR="00C108AC" w:rsidRPr="00DC66CD">
        <w:rPr>
          <w:rFonts w:ascii="Garamond" w:hAnsi="Garamond"/>
          <w:sz w:val="24"/>
          <w:szCs w:val="24"/>
        </w:rPr>
        <w:t xml:space="preserve">politikën e energjisë </w:t>
      </w:r>
      <w:r w:rsidRPr="00DC66CD">
        <w:rPr>
          <w:rFonts w:ascii="Garamond" w:hAnsi="Garamond"/>
          <w:sz w:val="24"/>
          <w:szCs w:val="24"/>
        </w:rPr>
        <w:t>së Shqipërisë, Strategjinë Kombëtare të Zhvillimit dhe Integrimit (2015</w:t>
      </w:r>
      <w:r w:rsidR="00C108AC" w:rsidRPr="00DC66CD">
        <w:t>–</w:t>
      </w:r>
      <w:r w:rsidRPr="00DC66CD">
        <w:rPr>
          <w:rFonts w:ascii="Garamond" w:hAnsi="Garamond"/>
          <w:sz w:val="24"/>
          <w:szCs w:val="24"/>
        </w:rPr>
        <w:t>2020), Strategjinë Kombëtare të Energjisë (2018</w:t>
      </w:r>
      <w:r w:rsidR="00C108AC" w:rsidRPr="00DC66CD">
        <w:t>–</w:t>
      </w:r>
      <w:r w:rsidRPr="00DC66CD">
        <w:rPr>
          <w:rFonts w:ascii="Garamond" w:hAnsi="Garamond"/>
          <w:sz w:val="24"/>
          <w:szCs w:val="24"/>
        </w:rPr>
        <w:t>2030), Marrëveshjet Ndërkombëtare (Marrëveshja e Parisit, UNFCCC etj.), Plani aktual Kombëtar i Veprimit për Burimet e Rinovueshme të Energjisë (2019</w:t>
      </w:r>
      <w:r w:rsidR="00C108AC" w:rsidRPr="00DC66CD">
        <w:t>–</w:t>
      </w:r>
      <w:r w:rsidRPr="00DC66CD">
        <w:rPr>
          <w:rFonts w:ascii="Garamond" w:hAnsi="Garamond"/>
          <w:sz w:val="24"/>
          <w:szCs w:val="24"/>
        </w:rPr>
        <w:t xml:space="preserve">2020), si dhe në përputhje me Planin Kombëtar të Veprimit për </w:t>
      </w:r>
      <w:r w:rsidR="00C108AC" w:rsidRPr="00DC66CD">
        <w:rPr>
          <w:rFonts w:ascii="Garamond" w:hAnsi="Garamond"/>
          <w:sz w:val="24"/>
          <w:szCs w:val="24"/>
        </w:rPr>
        <w:t>Eficiencën</w:t>
      </w:r>
      <w:r w:rsidRPr="00DC66CD">
        <w:rPr>
          <w:rFonts w:ascii="Garamond" w:hAnsi="Garamond"/>
          <w:sz w:val="24"/>
          <w:szCs w:val="24"/>
        </w:rPr>
        <w:t xml:space="preserve"> e Energjisë së Shqipërisë (2017</w:t>
      </w:r>
      <w:r w:rsidR="00C108AC" w:rsidRPr="00DC66CD">
        <w:t>–</w:t>
      </w:r>
      <w:r w:rsidRPr="00DC66CD">
        <w:rPr>
          <w:rFonts w:ascii="Garamond" w:hAnsi="Garamond"/>
          <w:sz w:val="24"/>
          <w:szCs w:val="24"/>
        </w:rPr>
        <w:t>2020).</w:t>
      </w:r>
    </w:p>
    <w:p w14:paraId="1FEA7057" w14:textId="22D2B5B9"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Politika Energjetike e Shqipërisë përfshin promovimin e përdorimit të burimeve të rinovueshme të energjisë përtej hidrocentraleve</w:t>
      </w:r>
      <w:r w:rsidR="00C108AC" w:rsidRPr="00DC66CD">
        <w:rPr>
          <w:rFonts w:ascii="Garamond" w:hAnsi="Garamond"/>
          <w:sz w:val="24"/>
          <w:szCs w:val="24"/>
        </w:rPr>
        <w:t>,</w:t>
      </w:r>
      <w:r w:rsidRPr="00DC66CD">
        <w:rPr>
          <w:rFonts w:ascii="Garamond" w:hAnsi="Garamond"/>
          <w:sz w:val="24"/>
          <w:szCs w:val="24"/>
        </w:rPr>
        <w:t xml:space="preserve"> për shkak të potencialit të rëndësishëm që vendi paraqet për prodhimin e energjisë nga panelet fotovoltaik</w:t>
      </w:r>
      <w:r w:rsidR="00C108AC" w:rsidRPr="00DC66CD">
        <w:rPr>
          <w:rFonts w:ascii="Garamond" w:hAnsi="Garamond"/>
          <w:sz w:val="24"/>
          <w:szCs w:val="24"/>
        </w:rPr>
        <w:t>e</w:t>
      </w:r>
      <w:r w:rsidRPr="00DC66CD">
        <w:rPr>
          <w:rFonts w:ascii="Garamond" w:hAnsi="Garamond"/>
          <w:sz w:val="24"/>
          <w:szCs w:val="24"/>
        </w:rPr>
        <w:t xml:space="preserve"> dhe impiantet eolik</w:t>
      </w:r>
      <w:r w:rsidR="00C108AC" w:rsidRPr="00DC66CD">
        <w:rPr>
          <w:rFonts w:ascii="Garamond" w:hAnsi="Garamond"/>
          <w:sz w:val="24"/>
          <w:szCs w:val="24"/>
        </w:rPr>
        <w:t>e</w:t>
      </w:r>
      <w:r w:rsidRPr="00DC66CD">
        <w:rPr>
          <w:rFonts w:ascii="Garamond" w:hAnsi="Garamond"/>
          <w:sz w:val="24"/>
          <w:szCs w:val="24"/>
        </w:rPr>
        <w:t>, bazuar në pozicionin e tij të favorshëm gjeografik, kushtet klimatike dhe intensitetin e lartë të rrezatimit diellor për përdorimin e energji diellore. Qëllimi i Strategjisë Kombëtare të Energjisë është të rrisë kapacitetet e Burimeve t</w:t>
      </w:r>
      <w:r w:rsidR="008B5731">
        <w:rPr>
          <w:rFonts w:ascii="Garamond" w:hAnsi="Garamond"/>
          <w:sz w:val="24"/>
          <w:szCs w:val="24"/>
        </w:rPr>
        <w:t>ë</w:t>
      </w:r>
      <w:r w:rsidRPr="00DC66CD">
        <w:rPr>
          <w:rFonts w:ascii="Garamond" w:hAnsi="Garamond"/>
          <w:sz w:val="24"/>
          <w:szCs w:val="24"/>
        </w:rPr>
        <w:t xml:space="preserve"> Rinovueshme të </w:t>
      </w:r>
      <w:r w:rsidR="00C108AC" w:rsidRPr="00DC66CD">
        <w:rPr>
          <w:rFonts w:ascii="Garamond" w:hAnsi="Garamond"/>
          <w:sz w:val="24"/>
          <w:szCs w:val="24"/>
        </w:rPr>
        <w:t>Energjisë</w:t>
      </w:r>
      <w:r w:rsidRPr="00DC66CD">
        <w:rPr>
          <w:rFonts w:ascii="Garamond" w:hAnsi="Garamond"/>
          <w:sz w:val="24"/>
          <w:szCs w:val="24"/>
        </w:rPr>
        <w:t xml:space="preserve"> në 42% dhe të zvogëlojë emetimet e gazrave ser</w:t>
      </w:r>
      <w:r w:rsidR="00C108AC" w:rsidRPr="00DC66CD">
        <w:rPr>
          <w:rFonts w:ascii="Garamond" w:hAnsi="Garamond"/>
          <w:sz w:val="24"/>
          <w:szCs w:val="24"/>
        </w:rPr>
        <w:t>r</w:t>
      </w:r>
      <w:r w:rsidRPr="00DC66CD">
        <w:rPr>
          <w:rFonts w:ascii="Garamond" w:hAnsi="Garamond"/>
          <w:sz w:val="24"/>
          <w:szCs w:val="24"/>
        </w:rPr>
        <w:t>ë deri në 11.5% të emetimeve totale për periudhën 2020</w:t>
      </w:r>
      <w:r w:rsidR="00C108AC" w:rsidRPr="00DC66CD">
        <w:t>–</w:t>
      </w:r>
      <w:r w:rsidRPr="00DC66CD">
        <w:rPr>
          <w:rFonts w:ascii="Garamond" w:hAnsi="Garamond"/>
          <w:sz w:val="24"/>
          <w:szCs w:val="24"/>
        </w:rPr>
        <w:t>2030.</w:t>
      </w:r>
    </w:p>
    <w:p w14:paraId="7FE48475" w14:textId="136CA076"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Për sa i përket </w:t>
      </w:r>
      <w:r w:rsidR="002A29AD" w:rsidRPr="00DC66CD">
        <w:rPr>
          <w:rFonts w:ascii="Garamond" w:hAnsi="Garamond"/>
          <w:i/>
          <w:sz w:val="24"/>
          <w:szCs w:val="24"/>
        </w:rPr>
        <w:t>“</w:t>
      </w:r>
      <w:r w:rsidRPr="00DC66CD">
        <w:rPr>
          <w:rFonts w:ascii="Garamond" w:hAnsi="Garamond"/>
          <w:i/>
          <w:sz w:val="24"/>
          <w:szCs w:val="24"/>
        </w:rPr>
        <w:t xml:space="preserve">Planit </w:t>
      </w:r>
      <w:r w:rsidR="002F38BF" w:rsidRPr="00DC66CD">
        <w:rPr>
          <w:rFonts w:ascii="Garamond" w:hAnsi="Garamond"/>
          <w:i/>
          <w:sz w:val="24"/>
          <w:szCs w:val="24"/>
        </w:rPr>
        <w:t>kombëtar të veprimit të burimeve të rinovueshme të energjisë</w:t>
      </w:r>
      <w:r w:rsidR="002A29AD" w:rsidRPr="00DC66CD">
        <w:rPr>
          <w:rFonts w:ascii="Garamond" w:hAnsi="Garamond"/>
          <w:i/>
          <w:sz w:val="24"/>
          <w:szCs w:val="24"/>
        </w:rPr>
        <w:t>”</w:t>
      </w:r>
      <w:r w:rsidRPr="00DC66CD">
        <w:rPr>
          <w:rFonts w:ascii="Garamond" w:hAnsi="Garamond"/>
          <w:sz w:val="24"/>
          <w:szCs w:val="24"/>
        </w:rPr>
        <w:t>, që përcakton udhërrëfyesin për arritjen e objektivit kombëtar të konsumit të tyre (38%) deri në vitin 2020, është bërë rishikimi tij (miratuar me VKM</w:t>
      </w:r>
      <w:r w:rsidR="002F38BF" w:rsidRPr="00DC66CD">
        <w:rPr>
          <w:rFonts w:ascii="Garamond" w:hAnsi="Garamond"/>
          <w:sz w:val="24"/>
          <w:szCs w:val="24"/>
        </w:rPr>
        <w:t>-në</w:t>
      </w:r>
      <w:r w:rsidRPr="00DC66CD">
        <w:rPr>
          <w:rFonts w:ascii="Garamond" w:hAnsi="Garamond"/>
          <w:sz w:val="24"/>
          <w:szCs w:val="24"/>
        </w:rPr>
        <w:t xml:space="preserve"> 580, datë</w:t>
      </w:r>
      <w:r w:rsidR="002F38BF" w:rsidRPr="00DC66CD">
        <w:rPr>
          <w:rFonts w:ascii="Garamond" w:hAnsi="Garamond"/>
          <w:sz w:val="24"/>
          <w:szCs w:val="24"/>
        </w:rPr>
        <w:t xml:space="preserve"> 28.</w:t>
      </w:r>
      <w:r w:rsidRPr="00DC66CD">
        <w:rPr>
          <w:rFonts w:ascii="Garamond" w:hAnsi="Garamond"/>
          <w:sz w:val="24"/>
          <w:szCs w:val="24"/>
        </w:rPr>
        <w:t>8.2019)</w:t>
      </w:r>
      <w:r w:rsidR="002F38BF" w:rsidRPr="00DC66CD">
        <w:rPr>
          <w:rFonts w:ascii="Garamond" w:hAnsi="Garamond"/>
          <w:sz w:val="24"/>
          <w:szCs w:val="24"/>
        </w:rPr>
        <w:t>,</w:t>
      </w:r>
      <w:r w:rsidRPr="00DC66CD">
        <w:rPr>
          <w:rFonts w:ascii="Garamond" w:hAnsi="Garamond"/>
          <w:sz w:val="24"/>
          <w:szCs w:val="24"/>
        </w:rPr>
        <w:t xml:space="preserve"> me qëllim arritjen e këtij objektivi kombëtar nëpërmjet zgjerimit të kapaciteteve të instaluara të PV</w:t>
      </w:r>
      <w:r w:rsidR="002F38BF" w:rsidRPr="00DC66CD">
        <w:rPr>
          <w:rFonts w:ascii="Garamond" w:hAnsi="Garamond"/>
          <w:sz w:val="24"/>
          <w:szCs w:val="24"/>
        </w:rPr>
        <w:t>-së</w:t>
      </w:r>
      <w:r w:rsidRPr="00DC66CD">
        <w:rPr>
          <w:rFonts w:ascii="Garamond" w:hAnsi="Garamond"/>
          <w:sz w:val="24"/>
          <w:szCs w:val="24"/>
        </w:rPr>
        <w:t xml:space="preserve"> nga 120 </w:t>
      </w:r>
      <w:r w:rsidR="002F38BF" w:rsidRPr="00DC66CD">
        <w:rPr>
          <w:rFonts w:ascii="Garamond" w:hAnsi="Garamond"/>
          <w:sz w:val="24"/>
          <w:szCs w:val="24"/>
        </w:rPr>
        <w:t xml:space="preserve">mw </w:t>
      </w:r>
      <w:r w:rsidRPr="00DC66CD">
        <w:rPr>
          <w:rFonts w:ascii="Garamond" w:hAnsi="Garamond"/>
          <w:sz w:val="24"/>
          <w:szCs w:val="24"/>
        </w:rPr>
        <w:t xml:space="preserve">në 499 </w:t>
      </w:r>
      <w:r w:rsidR="002F38BF" w:rsidRPr="00DC66CD">
        <w:rPr>
          <w:rFonts w:ascii="Garamond" w:hAnsi="Garamond"/>
          <w:sz w:val="24"/>
          <w:szCs w:val="24"/>
        </w:rPr>
        <w:t>mw</w:t>
      </w:r>
      <w:r w:rsidRPr="00DC66CD">
        <w:rPr>
          <w:rFonts w:ascii="Garamond" w:hAnsi="Garamond"/>
          <w:sz w:val="24"/>
          <w:szCs w:val="24"/>
        </w:rPr>
        <w:t xml:space="preserve">, të eolikëve nga 70 </w:t>
      </w:r>
      <w:r w:rsidR="002F38BF" w:rsidRPr="00DC66CD">
        <w:rPr>
          <w:rFonts w:ascii="Garamond" w:hAnsi="Garamond"/>
          <w:sz w:val="24"/>
          <w:szCs w:val="24"/>
        </w:rPr>
        <w:t xml:space="preserve">mw </w:t>
      </w:r>
      <w:r w:rsidRPr="00DC66CD">
        <w:rPr>
          <w:rFonts w:ascii="Garamond" w:hAnsi="Garamond"/>
          <w:sz w:val="24"/>
          <w:szCs w:val="24"/>
        </w:rPr>
        <w:t xml:space="preserve">në 150 </w:t>
      </w:r>
      <w:r w:rsidR="002F38BF" w:rsidRPr="00DC66CD">
        <w:rPr>
          <w:rFonts w:ascii="Garamond" w:hAnsi="Garamond"/>
          <w:sz w:val="24"/>
          <w:szCs w:val="24"/>
        </w:rPr>
        <w:t xml:space="preserve">mw, </w:t>
      </w:r>
      <w:r w:rsidRPr="00DC66CD">
        <w:rPr>
          <w:rFonts w:ascii="Garamond" w:hAnsi="Garamond"/>
          <w:sz w:val="24"/>
          <w:szCs w:val="24"/>
        </w:rPr>
        <w:t xml:space="preserve">si dhe uljen e kapaciteteve të instaluar të </w:t>
      </w:r>
      <w:r w:rsidR="002F38BF" w:rsidRPr="00DC66CD">
        <w:rPr>
          <w:rFonts w:ascii="Garamond" w:hAnsi="Garamond"/>
          <w:sz w:val="24"/>
          <w:szCs w:val="24"/>
        </w:rPr>
        <w:t xml:space="preserve">hidrocentraleve </w:t>
      </w:r>
      <w:r w:rsidRPr="00DC66CD">
        <w:rPr>
          <w:rFonts w:ascii="Garamond" w:hAnsi="Garamond"/>
          <w:sz w:val="24"/>
          <w:szCs w:val="24"/>
        </w:rPr>
        <w:t xml:space="preserve">nga 600 </w:t>
      </w:r>
      <w:r w:rsidR="002F38BF" w:rsidRPr="00DC66CD">
        <w:rPr>
          <w:rFonts w:ascii="Garamond" w:hAnsi="Garamond"/>
          <w:sz w:val="24"/>
          <w:szCs w:val="24"/>
        </w:rPr>
        <w:t xml:space="preserve">mw </w:t>
      </w:r>
      <w:r w:rsidRPr="00DC66CD">
        <w:rPr>
          <w:rFonts w:ascii="Garamond" w:hAnsi="Garamond"/>
          <w:sz w:val="24"/>
          <w:szCs w:val="24"/>
        </w:rPr>
        <w:t xml:space="preserve">në 57 </w:t>
      </w:r>
      <w:r w:rsidR="002F38BF" w:rsidRPr="00DC66CD">
        <w:rPr>
          <w:rFonts w:ascii="Garamond" w:hAnsi="Garamond"/>
          <w:sz w:val="24"/>
          <w:szCs w:val="24"/>
        </w:rPr>
        <w:t>mw</w:t>
      </w:r>
      <w:r w:rsidRPr="00DC66CD">
        <w:rPr>
          <w:rFonts w:ascii="Garamond" w:hAnsi="Garamond"/>
          <w:sz w:val="24"/>
          <w:szCs w:val="24"/>
        </w:rPr>
        <w:t>. Legjislacioni sekondar nuk është përfunduar plotësisht.</w:t>
      </w:r>
    </w:p>
    <w:p w14:paraId="7CBA67F3" w14:textId="3DA02A96"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Në kuadër të kësaj reforme, janë ndërmarrë përpjekje të mëtejshme për të prezantuar skema të reja incentivuese të mbështetjes financiare për BRE</w:t>
      </w:r>
      <w:r w:rsidR="002F38BF" w:rsidRPr="00DC66CD">
        <w:rPr>
          <w:rFonts w:ascii="Garamond" w:hAnsi="Garamond"/>
          <w:sz w:val="24"/>
          <w:szCs w:val="24"/>
        </w:rPr>
        <w:t>-në</w:t>
      </w:r>
      <w:r w:rsidRPr="00DC66CD">
        <w:rPr>
          <w:rFonts w:ascii="Garamond" w:hAnsi="Garamond"/>
          <w:sz w:val="24"/>
          <w:szCs w:val="24"/>
        </w:rPr>
        <w:t xml:space="preserve">, siç parashikohet në </w:t>
      </w:r>
      <w:r w:rsidR="002F38BF" w:rsidRPr="00DC66CD">
        <w:rPr>
          <w:rFonts w:ascii="Garamond" w:hAnsi="Garamond"/>
          <w:sz w:val="24"/>
          <w:szCs w:val="24"/>
        </w:rPr>
        <w:t>ligjin</w:t>
      </w:r>
      <w:r w:rsidR="00E33D88" w:rsidRPr="00DC66CD">
        <w:rPr>
          <w:rFonts w:ascii="Garamond" w:hAnsi="Garamond"/>
          <w:sz w:val="24"/>
          <w:szCs w:val="24"/>
        </w:rPr>
        <w:t xml:space="preserve"> nr. </w:t>
      </w:r>
      <w:r w:rsidRPr="00DC66CD">
        <w:rPr>
          <w:rFonts w:ascii="Garamond" w:hAnsi="Garamond"/>
          <w:sz w:val="24"/>
          <w:szCs w:val="24"/>
        </w:rPr>
        <w:t xml:space="preserve">7/2017: </w:t>
      </w:r>
      <w:r w:rsidR="002A29AD" w:rsidRPr="00DC66CD">
        <w:rPr>
          <w:rFonts w:ascii="Garamond" w:hAnsi="Garamond"/>
          <w:i/>
          <w:sz w:val="24"/>
          <w:szCs w:val="24"/>
        </w:rPr>
        <w:t>“</w:t>
      </w:r>
      <w:r w:rsidRPr="00DC66CD">
        <w:rPr>
          <w:rFonts w:ascii="Garamond" w:hAnsi="Garamond"/>
          <w:i/>
          <w:sz w:val="24"/>
          <w:szCs w:val="24"/>
        </w:rPr>
        <w:t>Feed</w:t>
      </w:r>
      <w:r w:rsidR="006B711A" w:rsidRPr="00DC66CD">
        <w:rPr>
          <w:rFonts w:ascii="Garamond" w:hAnsi="Garamond"/>
          <w:i/>
          <w:sz w:val="24"/>
          <w:szCs w:val="24"/>
        </w:rPr>
        <w:t xml:space="preserve"> in </w:t>
      </w:r>
      <w:r w:rsidRPr="00DC66CD">
        <w:rPr>
          <w:rFonts w:ascii="Garamond" w:hAnsi="Garamond"/>
          <w:i/>
          <w:sz w:val="24"/>
          <w:szCs w:val="24"/>
        </w:rPr>
        <w:t>Tariff</w:t>
      </w:r>
      <w:r w:rsidR="002A29AD" w:rsidRPr="00DC66CD">
        <w:rPr>
          <w:rFonts w:ascii="Garamond" w:hAnsi="Garamond"/>
          <w:i/>
          <w:sz w:val="24"/>
          <w:szCs w:val="24"/>
        </w:rPr>
        <w:t>”</w:t>
      </w:r>
      <w:r w:rsidR="00776A2F" w:rsidRPr="00DC66CD">
        <w:rPr>
          <w:rFonts w:ascii="Garamond" w:hAnsi="Garamond"/>
          <w:i/>
          <w:sz w:val="24"/>
          <w:szCs w:val="24"/>
        </w:rPr>
        <w:t>,</w:t>
      </w:r>
      <w:r w:rsidRPr="00DC66CD">
        <w:rPr>
          <w:rFonts w:ascii="Garamond" w:hAnsi="Garamond"/>
          <w:sz w:val="24"/>
          <w:szCs w:val="24"/>
        </w:rPr>
        <w:t xml:space="preserve"> për çmimin e blerjes së energjisë elektrike të prodhuar nga burime të rinovueshme deri në 2</w:t>
      </w:r>
      <w:r w:rsidR="006B711A" w:rsidRPr="00DC66CD">
        <w:rPr>
          <w:rFonts w:ascii="Garamond" w:hAnsi="Garamond"/>
          <w:sz w:val="24"/>
          <w:szCs w:val="24"/>
        </w:rPr>
        <w:t xml:space="preserve"> mw </w:t>
      </w:r>
      <w:r w:rsidRPr="00DC66CD">
        <w:rPr>
          <w:rFonts w:ascii="Garamond" w:hAnsi="Garamond"/>
          <w:sz w:val="24"/>
          <w:szCs w:val="24"/>
        </w:rPr>
        <w:t xml:space="preserve">dhe </w:t>
      </w:r>
      <w:r w:rsidR="002A29AD" w:rsidRPr="00DC66CD">
        <w:rPr>
          <w:rFonts w:ascii="Garamond" w:hAnsi="Garamond"/>
          <w:i/>
          <w:sz w:val="24"/>
          <w:szCs w:val="24"/>
        </w:rPr>
        <w:t>“</w:t>
      </w:r>
      <w:r w:rsidRPr="00DC66CD">
        <w:rPr>
          <w:rFonts w:ascii="Garamond" w:hAnsi="Garamond"/>
          <w:i/>
          <w:sz w:val="24"/>
          <w:szCs w:val="24"/>
        </w:rPr>
        <w:t>Feed in Premium</w:t>
      </w:r>
      <w:r w:rsidR="002A29AD" w:rsidRPr="00DC66CD">
        <w:rPr>
          <w:rFonts w:ascii="Garamond" w:hAnsi="Garamond"/>
          <w:i/>
          <w:sz w:val="24"/>
          <w:szCs w:val="24"/>
        </w:rPr>
        <w:t>”</w:t>
      </w:r>
      <w:r w:rsidR="00776A2F" w:rsidRPr="00DC66CD">
        <w:rPr>
          <w:rFonts w:ascii="Garamond" w:hAnsi="Garamond"/>
          <w:sz w:val="24"/>
          <w:szCs w:val="24"/>
        </w:rPr>
        <w:t xml:space="preserve">, </w:t>
      </w:r>
      <w:r w:rsidRPr="00DC66CD">
        <w:rPr>
          <w:rFonts w:ascii="Garamond" w:hAnsi="Garamond"/>
          <w:sz w:val="24"/>
          <w:szCs w:val="24"/>
        </w:rPr>
        <w:t>për çmimin e blerjes së energjisë elektrike të prodhuar nga burime të rinovueshme me kapacitet prodhimi mbi 2</w:t>
      </w:r>
      <w:r w:rsidR="00776A2F" w:rsidRPr="00DC66CD">
        <w:rPr>
          <w:rFonts w:ascii="Garamond" w:hAnsi="Garamond"/>
          <w:sz w:val="24"/>
          <w:szCs w:val="24"/>
        </w:rPr>
        <w:t xml:space="preserve"> mw </w:t>
      </w:r>
      <w:r w:rsidRPr="00DC66CD">
        <w:rPr>
          <w:rFonts w:ascii="Garamond" w:hAnsi="Garamond"/>
          <w:sz w:val="24"/>
          <w:szCs w:val="24"/>
        </w:rPr>
        <w:t xml:space="preserve">(Procedura e ankandeve përmes kontratave për diferencë), për 15 vjet, sipas </w:t>
      </w:r>
      <w:r w:rsidR="00776A2F" w:rsidRPr="00DC66CD">
        <w:rPr>
          <w:rFonts w:ascii="Garamond" w:hAnsi="Garamond"/>
          <w:sz w:val="24"/>
          <w:szCs w:val="24"/>
        </w:rPr>
        <w:t>ligjit</w:t>
      </w:r>
      <w:r w:rsidR="00E33D88" w:rsidRPr="00DC66CD">
        <w:rPr>
          <w:rFonts w:ascii="Garamond" w:hAnsi="Garamond"/>
          <w:sz w:val="24"/>
          <w:szCs w:val="24"/>
        </w:rPr>
        <w:t xml:space="preserve"> nr. </w:t>
      </w:r>
      <w:r w:rsidRPr="00DC66CD">
        <w:rPr>
          <w:rFonts w:ascii="Garamond" w:hAnsi="Garamond"/>
          <w:sz w:val="24"/>
          <w:szCs w:val="24"/>
        </w:rPr>
        <w:t>7/2017. Ndihma financiare sigurohet vetëm për të arritur në 38% deri në vitin 2020</w:t>
      </w:r>
      <w:r w:rsidR="00776A2F" w:rsidRPr="00DC66CD">
        <w:rPr>
          <w:rFonts w:ascii="Garamond" w:hAnsi="Garamond"/>
          <w:sz w:val="24"/>
          <w:szCs w:val="24"/>
        </w:rPr>
        <w:t>,</w:t>
      </w:r>
      <w:r w:rsidRPr="00DC66CD">
        <w:rPr>
          <w:rFonts w:ascii="Garamond" w:hAnsi="Garamond"/>
          <w:sz w:val="24"/>
          <w:szCs w:val="24"/>
        </w:rPr>
        <w:t xml:space="preserve"> si një angazhim i drejtpërdrejtë për të subvencionuar energjinë e pastër përkundrejt importeve.</w:t>
      </w:r>
    </w:p>
    <w:p w14:paraId="1632C167" w14:textId="13E8EFF5"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Sipas </w:t>
      </w:r>
      <w:r w:rsidR="002A29AD" w:rsidRPr="00DC66CD">
        <w:rPr>
          <w:rFonts w:ascii="Garamond" w:hAnsi="Garamond"/>
          <w:i/>
          <w:sz w:val="24"/>
          <w:szCs w:val="24"/>
        </w:rPr>
        <w:t>“</w:t>
      </w:r>
      <w:r w:rsidRPr="00DC66CD">
        <w:rPr>
          <w:rFonts w:ascii="Garamond" w:hAnsi="Garamond"/>
          <w:i/>
          <w:sz w:val="24"/>
          <w:szCs w:val="24"/>
        </w:rPr>
        <w:t xml:space="preserve">Planit të 2-të dhe të 3-të </w:t>
      </w:r>
      <w:r w:rsidR="00776A2F" w:rsidRPr="00DC66CD">
        <w:rPr>
          <w:rFonts w:ascii="Garamond" w:hAnsi="Garamond"/>
          <w:i/>
          <w:sz w:val="24"/>
          <w:szCs w:val="24"/>
        </w:rPr>
        <w:t>kombëtar të veprimit për eficiencën e energjisë së Shqipërisë, 201</w:t>
      </w:r>
      <w:r w:rsidRPr="00DC66CD">
        <w:rPr>
          <w:rFonts w:ascii="Garamond" w:hAnsi="Garamond"/>
          <w:i/>
          <w:sz w:val="24"/>
          <w:szCs w:val="24"/>
        </w:rPr>
        <w:t xml:space="preserve"> </w:t>
      </w:r>
      <w:r w:rsidR="00776A2F" w:rsidRPr="00DC66CD">
        <w:rPr>
          <w:rFonts w:ascii="Garamond" w:hAnsi="Garamond"/>
          <w:i/>
          <w:sz w:val="24"/>
          <w:szCs w:val="24"/>
        </w:rPr>
        <w:t>–</w:t>
      </w:r>
      <w:r w:rsidRPr="00DC66CD">
        <w:rPr>
          <w:rFonts w:ascii="Garamond" w:hAnsi="Garamond"/>
          <w:i/>
          <w:sz w:val="24"/>
          <w:szCs w:val="24"/>
        </w:rPr>
        <w:t>2020</w:t>
      </w:r>
      <w:r w:rsidR="002A29AD" w:rsidRPr="00DC66CD">
        <w:rPr>
          <w:rFonts w:ascii="Garamond" w:hAnsi="Garamond"/>
          <w:i/>
          <w:sz w:val="24"/>
          <w:szCs w:val="24"/>
        </w:rPr>
        <w:t>”</w:t>
      </w:r>
      <w:r w:rsidR="00776A2F" w:rsidRPr="00DC66CD">
        <w:rPr>
          <w:rFonts w:ascii="Garamond" w:hAnsi="Garamond"/>
          <w:i/>
          <w:sz w:val="24"/>
          <w:szCs w:val="24"/>
        </w:rPr>
        <w:t>,</w:t>
      </w:r>
      <w:r w:rsidRPr="00DC66CD">
        <w:rPr>
          <w:rFonts w:ascii="Garamond" w:hAnsi="Garamond"/>
          <w:sz w:val="24"/>
          <w:szCs w:val="24"/>
        </w:rPr>
        <w:t xml:space="preserve"> i cili përcaktoi një përmbledhje gjithëpërfshirëse të statusit të zbatimit dhe planeve të ardhshme për politikën e </w:t>
      </w:r>
      <w:r w:rsidR="00776A2F" w:rsidRPr="00DC66CD">
        <w:rPr>
          <w:rFonts w:ascii="Garamond" w:hAnsi="Garamond"/>
          <w:sz w:val="24"/>
          <w:szCs w:val="24"/>
        </w:rPr>
        <w:t>eficiencës</w:t>
      </w:r>
      <w:r w:rsidRPr="00DC66CD">
        <w:rPr>
          <w:rFonts w:ascii="Garamond" w:hAnsi="Garamond"/>
          <w:sz w:val="24"/>
          <w:szCs w:val="24"/>
        </w:rPr>
        <w:t xml:space="preserve"> së energjisë në Shqipëri dhe përputhshmërinë me detyrimet e Shqipërisë nën Komunitetin e Energjisë, objektivi përfundimtar i kursimit kumulativ të energjisë deri në vitin 2020 është prej 123.7 ktoe (ose 6.8%); </w:t>
      </w:r>
      <w:r w:rsidR="00776A2F" w:rsidRPr="00DC66CD">
        <w:rPr>
          <w:rFonts w:ascii="Garamond" w:hAnsi="Garamond"/>
          <w:sz w:val="24"/>
          <w:szCs w:val="24"/>
        </w:rPr>
        <w:t xml:space="preserve">qeveria </w:t>
      </w:r>
      <w:r w:rsidRPr="00DC66CD">
        <w:rPr>
          <w:rFonts w:ascii="Garamond" w:hAnsi="Garamond"/>
          <w:sz w:val="24"/>
          <w:szCs w:val="24"/>
        </w:rPr>
        <w:t>po punon për krijimin e një kornize të plotë ligjore dhe institucionale për sektorin. Siç specifikohet në këtë plan, sektori i ndërtesave pritet të kontribuojë në masë të madhe në rritjen e kursimeve kombëtare të energjisë, me 30% ulje të konsumit përfundimtar të energjisë, planifikuar për t</w:t>
      </w:r>
      <w:r w:rsidR="002C582E" w:rsidRPr="00DC66CD">
        <w:rPr>
          <w:rFonts w:ascii="Garamond" w:hAnsi="Garamond"/>
          <w:sz w:val="24"/>
          <w:szCs w:val="24"/>
        </w:rPr>
        <w:t>’</w:t>
      </w:r>
      <w:r w:rsidRPr="00DC66CD">
        <w:rPr>
          <w:rFonts w:ascii="Garamond" w:hAnsi="Garamond"/>
          <w:sz w:val="24"/>
          <w:szCs w:val="24"/>
        </w:rPr>
        <w:t>u arritur brenda vitit 2020. Në këtë fushë janë n</w:t>
      </w:r>
      <w:r w:rsidR="00776A2F" w:rsidRPr="00DC66CD">
        <w:rPr>
          <w:rFonts w:ascii="Garamond" w:hAnsi="Garamond"/>
          <w:sz w:val="24"/>
          <w:szCs w:val="24"/>
        </w:rPr>
        <w:t>ë</w:t>
      </w:r>
      <w:r w:rsidRPr="00DC66CD">
        <w:rPr>
          <w:rFonts w:ascii="Garamond" w:hAnsi="Garamond"/>
          <w:sz w:val="24"/>
          <w:szCs w:val="24"/>
        </w:rPr>
        <w:t xml:space="preserve"> proces disa investime, kryesisht projekte IPPA</w:t>
      </w:r>
      <w:r w:rsidR="00776A2F" w:rsidRPr="00DC66CD">
        <w:rPr>
          <w:rFonts w:ascii="Garamond" w:hAnsi="Garamond"/>
          <w:sz w:val="24"/>
          <w:szCs w:val="24"/>
        </w:rPr>
        <w:t>,</w:t>
      </w:r>
      <w:r w:rsidRPr="00DC66CD">
        <w:rPr>
          <w:rFonts w:ascii="Garamond" w:hAnsi="Garamond"/>
          <w:sz w:val="24"/>
          <w:szCs w:val="24"/>
        </w:rPr>
        <w:t xml:space="preserve"> si dhe një tjetër me financim nga buxheti i shtetit për rikonstruksion e ndërtesave publike me masa të larta të </w:t>
      </w:r>
      <w:r w:rsidR="00776A2F" w:rsidRPr="00DC66CD">
        <w:rPr>
          <w:rFonts w:ascii="Garamond" w:hAnsi="Garamond"/>
          <w:sz w:val="24"/>
          <w:szCs w:val="24"/>
        </w:rPr>
        <w:t>eficiencës</w:t>
      </w:r>
      <w:r w:rsidRPr="00DC66CD">
        <w:rPr>
          <w:rFonts w:ascii="Garamond" w:hAnsi="Garamond"/>
          <w:sz w:val="24"/>
          <w:szCs w:val="24"/>
        </w:rPr>
        <w:t xml:space="preserve"> së energjisë.</w:t>
      </w:r>
    </w:p>
    <w:p w14:paraId="34324417" w14:textId="63DA3D5B"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Lind nevoja e krijimit të një kornize të plotë ligjore dhe institucionale</w:t>
      </w:r>
      <w:r w:rsidR="00776A2F" w:rsidRPr="00DC66CD">
        <w:rPr>
          <w:rFonts w:ascii="Garamond" w:hAnsi="Garamond"/>
          <w:sz w:val="24"/>
          <w:szCs w:val="24"/>
        </w:rPr>
        <w:t>,</w:t>
      </w:r>
      <w:r w:rsidRPr="00DC66CD">
        <w:rPr>
          <w:rFonts w:ascii="Garamond" w:hAnsi="Garamond"/>
          <w:sz w:val="24"/>
          <w:szCs w:val="24"/>
        </w:rPr>
        <w:t xml:space="preserve"> në përputhje me </w:t>
      </w:r>
      <w:r w:rsidR="00776A2F" w:rsidRPr="00DC66CD">
        <w:rPr>
          <w:rFonts w:ascii="Garamond" w:hAnsi="Garamond"/>
          <w:sz w:val="24"/>
          <w:szCs w:val="24"/>
        </w:rPr>
        <w:t>ligjin</w:t>
      </w:r>
      <w:r w:rsidR="00E33D88" w:rsidRPr="00DC66CD">
        <w:rPr>
          <w:rFonts w:ascii="Garamond" w:hAnsi="Garamond"/>
          <w:sz w:val="24"/>
          <w:szCs w:val="24"/>
        </w:rPr>
        <w:t xml:space="preserve"> nr. </w:t>
      </w:r>
      <w:r w:rsidRPr="00DC66CD">
        <w:rPr>
          <w:rFonts w:ascii="Garamond" w:hAnsi="Garamond"/>
          <w:sz w:val="24"/>
          <w:szCs w:val="24"/>
        </w:rPr>
        <w:t>124/2015</w:t>
      </w:r>
      <w:r w:rsidR="00776A2F"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i/>
          <w:sz w:val="24"/>
          <w:szCs w:val="24"/>
        </w:rPr>
        <w:t>“</w:t>
      </w:r>
      <w:r w:rsidRPr="00DC66CD">
        <w:rPr>
          <w:rFonts w:ascii="Garamond" w:hAnsi="Garamond"/>
          <w:i/>
          <w:sz w:val="24"/>
          <w:szCs w:val="24"/>
        </w:rPr>
        <w:t xml:space="preserve">Për </w:t>
      </w:r>
      <w:r w:rsidR="00776A2F" w:rsidRPr="00DC66CD">
        <w:rPr>
          <w:rFonts w:ascii="Garamond" w:hAnsi="Garamond"/>
          <w:i/>
          <w:sz w:val="24"/>
          <w:szCs w:val="24"/>
        </w:rPr>
        <w:t>eficiencën e energjisë</w:t>
      </w:r>
      <w:r w:rsidR="002A29AD" w:rsidRPr="00DC66CD">
        <w:rPr>
          <w:rFonts w:ascii="Garamond" w:hAnsi="Garamond"/>
          <w:i/>
          <w:sz w:val="24"/>
          <w:szCs w:val="24"/>
        </w:rPr>
        <w:t>”</w:t>
      </w:r>
      <w:r w:rsidRPr="00DC66CD">
        <w:rPr>
          <w:rFonts w:ascii="Garamond" w:hAnsi="Garamond"/>
          <w:sz w:val="24"/>
          <w:szCs w:val="24"/>
        </w:rPr>
        <w:t xml:space="preserve"> dhe me </w:t>
      </w:r>
      <w:r w:rsidR="00776A2F" w:rsidRPr="00DC66CD">
        <w:rPr>
          <w:rFonts w:ascii="Garamond" w:hAnsi="Garamond"/>
          <w:sz w:val="24"/>
          <w:szCs w:val="24"/>
        </w:rPr>
        <w:t>ligjin</w:t>
      </w:r>
      <w:r w:rsidR="00E33D88" w:rsidRPr="00DC66CD">
        <w:rPr>
          <w:rFonts w:ascii="Garamond" w:hAnsi="Garamond"/>
          <w:sz w:val="24"/>
          <w:szCs w:val="24"/>
        </w:rPr>
        <w:t xml:space="preserve"> nr. </w:t>
      </w:r>
      <w:r w:rsidRPr="00DC66CD">
        <w:rPr>
          <w:rFonts w:ascii="Garamond" w:hAnsi="Garamond"/>
          <w:sz w:val="24"/>
          <w:szCs w:val="24"/>
        </w:rPr>
        <w:t>116/2016</w:t>
      </w:r>
      <w:r w:rsidR="00776A2F"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i/>
          <w:sz w:val="24"/>
          <w:szCs w:val="24"/>
        </w:rPr>
        <w:t>“</w:t>
      </w:r>
      <w:r w:rsidRPr="00DC66CD">
        <w:rPr>
          <w:rFonts w:ascii="Garamond" w:hAnsi="Garamond"/>
          <w:i/>
          <w:sz w:val="24"/>
          <w:szCs w:val="24"/>
        </w:rPr>
        <w:t xml:space="preserve">Për </w:t>
      </w:r>
      <w:r w:rsidR="00776A2F" w:rsidRPr="00DC66CD">
        <w:rPr>
          <w:rFonts w:ascii="Garamond" w:hAnsi="Garamond"/>
          <w:i/>
          <w:sz w:val="24"/>
          <w:szCs w:val="24"/>
        </w:rPr>
        <w:t xml:space="preserve">performancën e energjisë </w:t>
      </w:r>
      <w:r w:rsidRPr="00DC66CD">
        <w:rPr>
          <w:rFonts w:ascii="Garamond" w:hAnsi="Garamond"/>
          <w:i/>
          <w:sz w:val="24"/>
          <w:szCs w:val="24"/>
        </w:rPr>
        <w:t xml:space="preserve">së </w:t>
      </w:r>
      <w:r w:rsidR="00776A2F" w:rsidRPr="00DC66CD">
        <w:rPr>
          <w:rFonts w:ascii="Garamond" w:hAnsi="Garamond"/>
          <w:i/>
          <w:sz w:val="24"/>
          <w:szCs w:val="24"/>
        </w:rPr>
        <w:t>ndërtesave</w:t>
      </w:r>
      <w:r w:rsidR="002A29AD" w:rsidRPr="00DC66CD">
        <w:rPr>
          <w:rFonts w:ascii="Garamond" w:hAnsi="Garamond"/>
          <w:i/>
          <w:sz w:val="24"/>
          <w:szCs w:val="24"/>
        </w:rPr>
        <w:t>”</w:t>
      </w:r>
      <w:r w:rsidRPr="00DC66CD">
        <w:rPr>
          <w:rFonts w:ascii="Garamond" w:hAnsi="Garamond"/>
          <w:sz w:val="24"/>
          <w:szCs w:val="24"/>
        </w:rPr>
        <w:t xml:space="preserve">, për krijimin e kushteve të favorshme (ekonomike, teknike dhe ligjore) për të vënë në zbatim shërbimet energjetike (ndërmarrjet ESCO), krijimin e </w:t>
      </w:r>
      <w:r w:rsidR="00776A2F" w:rsidRPr="00DC66CD">
        <w:rPr>
          <w:rFonts w:ascii="Garamond" w:hAnsi="Garamond"/>
          <w:sz w:val="24"/>
          <w:szCs w:val="24"/>
        </w:rPr>
        <w:t xml:space="preserve">fondit </w:t>
      </w:r>
      <w:r w:rsidRPr="00DC66CD">
        <w:rPr>
          <w:rFonts w:ascii="Garamond" w:hAnsi="Garamond"/>
          <w:sz w:val="24"/>
          <w:szCs w:val="24"/>
        </w:rPr>
        <w:t>EE për të garantuar arritjen e kursimit</w:t>
      </w:r>
      <w:r w:rsidR="003D1BE0" w:rsidRPr="00DC66CD">
        <w:rPr>
          <w:rFonts w:ascii="Garamond" w:hAnsi="Garamond"/>
          <w:sz w:val="24"/>
          <w:szCs w:val="24"/>
        </w:rPr>
        <w:t>,</w:t>
      </w:r>
      <w:r w:rsidRPr="00DC66CD">
        <w:rPr>
          <w:rFonts w:ascii="Garamond" w:hAnsi="Garamond"/>
          <w:sz w:val="24"/>
          <w:szCs w:val="24"/>
        </w:rPr>
        <w:t xml:space="preserve"> duke aplikuar masa të </w:t>
      </w:r>
      <w:r w:rsidR="003D1BE0" w:rsidRPr="00DC66CD">
        <w:rPr>
          <w:rFonts w:ascii="Garamond" w:hAnsi="Garamond"/>
          <w:sz w:val="24"/>
          <w:szCs w:val="24"/>
        </w:rPr>
        <w:t>eficiencës</w:t>
      </w:r>
      <w:r w:rsidRPr="00DC66CD">
        <w:rPr>
          <w:rFonts w:ascii="Garamond" w:hAnsi="Garamond"/>
          <w:sz w:val="24"/>
          <w:szCs w:val="24"/>
        </w:rPr>
        <w:t xml:space="preserve"> të energjisë, vënien n</w:t>
      </w:r>
      <w:r w:rsidR="00360C4A">
        <w:rPr>
          <w:rFonts w:ascii="Garamond" w:hAnsi="Garamond"/>
          <w:sz w:val="24"/>
          <w:szCs w:val="24"/>
        </w:rPr>
        <w:t>ë</w:t>
      </w:r>
      <w:r w:rsidRPr="00DC66CD">
        <w:rPr>
          <w:rFonts w:ascii="Garamond" w:hAnsi="Garamond"/>
          <w:sz w:val="24"/>
          <w:szCs w:val="24"/>
        </w:rPr>
        <w:t xml:space="preserve"> funksion të Certifikatën e Performancës së Ndërtesave etj.</w:t>
      </w:r>
    </w:p>
    <w:p w14:paraId="076AFEA0" w14:textId="736EA6D8"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Përmes kësaj mase synojmë zbatimin e përmirësimeve të EE</w:t>
      </w:r>
      <w:r w:rsidR="001C76C3" w:rsidRPr="00DC66CD">
        <w:rPr>
          <w:rFonts w:ascii="Garamond" w:hAnsi="Garamond"/>
          <w:sz w:val="24"/>
          <w:szCs w:val="24"/>
        </w:rPr>
        <w:t>-së</w:t>
      </w:r>
      <w:r w:rsidRPr="00DC66CD">
        <w:rPr>
          <w:rFonts w:ascii="Garamond" w:hAnsi="Garamond"/>
          <w:sz w:val="24"/>
          <w:szCs w:val="24"/>
        </w:rPr>
        <w:t xml:space="preserve"> në ndërtesat publike dhe private, familje, industri, transport etj., arritjen e objektivit të kursimit të energjisë prej 123.7 ktoe (ose 6.8%) të konsumit përfundimtar të energjisë elektrike dhe investimeve në projekte përmes fondit EE. Themelimi i </w:t>
      </w:r>
      <w:r w:rsidR="001C76C3" w:rsidRPr="00DC66CD">
        <w:rPr>
          <w:rFonts w:ascii="Garamond" w:hAnsi="Garamond"/>
          <w:sz w:val="24"/>
          <w:szCs w:val="24"/>
        </w:rPr>
        <w:t xml:space="preserve">Fondit </w:t>
      </w:r>
      <w:r w:rsidRPr="00DC66CD">
        <w:rPr>
          <w:rFonts w:ascii="Garamond" w:hAnsi="Garamond"/>
          <w:sz w:val="24"/>
          <w:szCs w:val="24"/>
        </w:rPr>
        <w:t xml:space="preserve">të </w:t>
      </w:r>
      <w:r w:rsidR="001C76C3" w:rsidRPr="00DC66CD">
        <w:rPr>
          <w:rFonts w:ascii="Garamond" w:hAnsi="Garamond"/>
          <w:sz w:val="24"/>
          <w:szCs w:val="24"/>
        </w:rPr>
        <w:t>Eficiencës</w:t>
      </w:r>
      <w:r w:rsidRPr="00DC66CD">
        <w:rPr>
          <w:rFonts w:ascii="Garamond" w:hAnsi="Garamond"/>
          <w:sz w:val="24"/>
          <w:szCs w:val="24"/>
        </w:rPr>
        <w:t xml:space="preserve"> së Energjisë është ende në proces. Zbatimi i tij është i rëndësishëm për të mbështetur zbatimin më të shpejtë të programeve të suksesshme të </w:t>
      </w:r>
      <w:r w:rsidR="001C76C3" w:rsidRPr="00DC66CD">
        <w:rPr>
          <w:rFonts w:ascii="Garamond" w:hAnsi="Garamond"/>
          <w:sz w:val="24"/>
          <w:szCs w:val="24"/>
        </w:rPr>
        <w:t>eficiencës</w:t>
      </w:r>
      <w:r w:rsidRPr="00DC66CD">
        <w:rPr>
          <w:rFonts w:ascii="Garamond" w:hAnsi="Garamond"/>
          <w:sz w:val="24"/>
          <w:szCs w:val="24"/>
        </w:rPr>
        <w:t xml:space="preserve"> së energjisë dhe për të përmirësuar investimet.</w:t>
      </w:r>
    </w:p>
    <w:p w14:paraId="3B83EE6E" w14:textId="7EFCF2F1" w:rsidR="006F605B" w:rsidRPr="00DC66CD" w:rsidRDefault="00452C18" w:rsidP="00452C18">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02D02C40" w14:textId="67C76E47" w:rsidR="00452C18" w:rsidRPr="00DC66CD" w:rsidRDefault="00452C18" w:rsidP="00452C18">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 xml:space="preserve">Aktivitetet e planifikuara </w:t>
      </w:r>
      <w:r w:rsidR="001C76C3" w:rsidRPr="00DC66CD">
        <w:rPr>
          <w:rFonts w:ascii="Garamond" w:hAnsi="Garamond" w:cs="Times New Roman"/>
          <w:b/>
          <w:sz w:val="24"/>
          <w:szCs w:val="24"/>
        </w:rPr>
        <w:t>m</w:t>
      </w:r>
      <w:r w:rsidR="006F605B" w:rsidRPr="00DC66CD">
        <w:rPr>
          <w:rFonts w:ascii="Garamond" w:hAnsi="Garamond" w:cs="Times New Roman"/>
          <w:b/>
          <w:sz w:val="24"/>
          <w:szCs w:val="24"/>
        </w:rPr>
        <w:t>ë 2020</w:t>
      </w:r>
      <w:r w:rsidR="001C76C3" w:rsidRPr="00DC66CD">
        <w:rPr>
          <w:rFonts w:ascii="Garamond" w:hAnsi="Garamond" w:cs="Times New Roman"/>
          <w:b/>
          <w:sz w:val="24"/>
          <w:szCs w:val="24"/>
        </w:rPr>
        <w:t>-ën</w:t>
      </w:r>
    </w:p>
    <w:p w14:paraId="7FD1EAC4" w14:textId="23706B4A" w:rsidR="006F605B" w:rsidRPr="00DC66CD" w:rsidRDefault="00452C18" w:rsidP="00452C18">
      <w:pPr>
        <w:pStyle w:val="TEKSTIIII"/>
        <w:rPr>
          <w:b/>
        </w:rPr>
      </w:pPr>
      <w:r w:rsidRPr="00DC66CD">
        <w:t>-</w:t>
      </w:r>
      <w:r w:rsidR="00B81888" w:rsidRPr="00DC66CD">
        <w:t xml:space="preserve"> </w:t>
      </w:r>
      <w:r w:rsidR="006F605B" w:rsidRPr="00DC66CD">
        <w:t xml:space="preserve">Përgatitja dhe miratimi i legjislacionit dytësor në zbatim të </w:t>
      </w:r>
      <w:r w:rsidR="00B81888" w:rsidRPr="00DC66CD">
        <w:t>ligjit</w:t>
      </w:r>
      <w:r w:rsidR="00E33D88" w:rsidRPr="00DC66CD">
        <w:t xml:space="preserve"> nr. </w:t>
      </w:r>
      <w:r w:rsidR="006F605B" w:rsidRPr="00DC66CD">
        <w:t>7/2017</w:t>
      </w:r>
      <w:r w:rsidR="00B81888" w:rsidRPr="00DC66CD">
        <w:t>, të datës 2.</w:t>
      </w:r>
      <w:r w:rsidR="006F605B" w:rsidRPr="00DC66CD">
        <w:t>2.2017</w:t>
      </w:r>
      <w:r w:rsidR="00B81888" w:rsidRPr="00DC66CD">
        <w:t>,</w:t>
      </w:r>
      <w:r w:rsidR="006F605B" w:rsidRPr="00DC66CD">
        <w:t xml:space="preserve"> </w:t>
      </w:r>
      <w:r w:rsidR="002A29AD" w:rsidRPr="00DC66CD">
        <w:rPr>
          <w:i/>
        </w:rPr>
        <w:t>“</w:t>
      </w:r>
      <w:r w:rsidR="006F605B" w:rsidRPr="00DC66CD">
        <w:rPr>
          <w:i/>
        </w:rPr>
        <w:t>Për promovimin e përdorimit të energjisë nga burimet e rinovueshme</w:t>
      </w:r>
      <w:r w:rsidR="002A29AD" w:rsidRPr="00DC66CD">
        <w:rPr>
          <w:i/>
        </w:rPr>
        <w:t>”</w:t>
      </w:r>
      <w:r w:rsidR="006F605B" w:rsidRPr="00DC66CD">
        <w:t xml:space="preserve"> (MIE/AKBN/OSHEE/OST/ERE);</w:t>
      </w:r>
    </w:p>
    <w:p w14:paraId="33285E42" w14:textId="5BAB2F2C" w:rsidR="006F605B" w:rsidRPr="00DC66CD" w:rsidRDefault="00452C18" w:rsidP="00452C18">
      <w:pPr>
        <w:pStyle w:val="TEKSTIIII"/>
      </w:pPr>
      <w:r w:rsidRPr="00DC66CD">
        <w:t>-</w:t>
      </w:r>
      <w:r w:rsidR="00B81888" w:rsidRPr="00DC66CD">
        <w:t xml:space="preserve"> </w:t>
      </w:r>
      <w:r w:rsidR="006F605B" w:rsidRPr="00DC66CD">
        <w:t xml:space="preserve">VKM </w:t>
      </w:r>
      <w:r w:rsidR="002A29AD" w:rsidRPr="00DC66CD">
        <w:t>“</w:t>
      </w:r>
      <w:r w:rsidR="006F605B" w:rsidRPr="00DC66CD">
        <w:t xml:space="preserve">Për </w:t>
      </w:r>
      <w:r w:rsidR="00B81888" w:rsidRPr="00DC66CD">
        <w:t xml:space="preserve">detyrimin e detyrimit </w:t>
      </w:r>
      <w:r w:rsidR="006F605B" w:rsidRPr="00DC66CD">
        <w:t>për të blerë energji elektrike të prodhuar nga prodhuesit e energjisë elektrike me përparësi</w:t>
      </w:r>
      <w:r w:rsidR="00B81888" w:rsidRPr="00DC66CD">
        <w:t>,</w:t>
      </w:r>
      <w:r w:rsidR="006F605B" w:rsidRPr="00DC66CD">
        <w:t xml:space="preserve"> që nuk përfitojnë nga skema e mbështetjes</w:t>
      </w:r>
      <w:r w:rsidR="00B81888" w:rsidRPr="00DC66CD">
        <w:t>,</w:t>
      </w:r>
      <w:r w:rsidR="006F605B" w:rsidRPr="00DC66CD">
        <w:t xml:space="preserve"> sipas kontratës së ndryshimit;</w:t>
      </w:r>
    </w:p>
    <w:p w14:paraId="2EB4E9F6" w14:textId="4CE440F1" w:rsidR="006F605B" w:rsidRPr="00DC66CD" w:rsidRDefault="00452C18" w:rsidP="00452C18">
      <w:pPr>
        <w:pStyle w:val="TEKSTIIII"/>
      </w:pPr>
      <w:r w:rsidRPr="00DC66CD">
        <w:t>-</w:t>
      </w:r>
      <w:r w:rsidR="00B81888" w:rsidRPr="00DC66CD">
        <w:t xml:space="preserve"> </w:t>
      </w:r>
      <w:r w:rsidR="006F605B" w:rsidRPr="00DC66CD">
        <w:t xml:space="preserve">VKM </w:t>
      </w:r>
      <w:r w:rsidR="002A29AD" w:rsidRPr="00DC66CD">
        <w:t>“</w:t>
      </w:r>
      <w:r w:rsidR="006F605B" w:rsidRPr="00DC66CD">
        <w:t xml:space="preserve">Për </w:t>
      </w:r>
      <w:r w:rsidR="00B81888" w:rsidRPr="00DC66CD">
        <w:t xml:space="preserve">metodologjinë </w:t>
      </w:r>
      <w:r w:rsidR="006F605B" w:rsidRPr="00DC66CD">
        <w:t xml:space="preserve">për llogaritjen e çmimit të energjisë elektrike për vetëprodhuesit që përfitojnë nga </w:t>
      </w:r>
      <w:r w:rsidR="00B81888" w:rsidRPr="00DC66CD">
        <w:t>skema e matjes neto</w:t>
      </w:r>
      <w:r w:rsidR="002A29AD" w:rsidRPr="00DC66CD">
        <w:t>”</w:t>
      </w:r>
      <w:r w:rsidR="006F605B" w:rsidRPr="00DC66CD">
        <w:t>.</w:t>
      </w:r>
    </w:p>
    <w:p w14:paraId="6D804FFE" w14:textId="1DFD0ACE" w:rsidR="006F605B" w:rsidRPr="00DC66CD" w:rsidRDefault="006F605B" w:rsidP="00452C18">
      <w:pPr>
        <w:pStyle w:val="TEKSTIIII"/>
      </w:pPr>
      <w:r w:rsidRPr="00DC66CD">
        <w:t xml:space="preserve">Rishikimi i </w:t>
      </w:r>
      <w:r w:rsidR="00B81888" w:rsidRPr="00DC66CD">
        <w:t>ligjit</w:t>
      </w:r>
      <w:r w:rsidR="00E33D88" w:rsidRPr="00DC66CD">
        <w:t xml:space="preserve"> nr. </w:t>
      </w:r>
      <w:r w:rsidR="00B81888" w:rsidRPr="00DC66CD">
        <w:t>124/</w:t>
      </w:r>
      <w:r w:rsidRPr="00DC66CD">
        <w:t>2015</w:t>
      </w:r>
      <w:r w:rsidR="00B81888" w:rsidRPr="00DC66CD">
        <w:t>,</w:t>
      </w:r>
      <w:r w:rsidRPr="00DC66CD">
        <w:t xml:space="preserve"> </w:t>
      </w:r>
      <w:r w:rsidR="002A29AD" w:rsidRPr="00DC66CD">
        <w:t>“</w:t>
      </w:r>
      <w:r w:rsidRPr="00DC66CD">
        <w:t xml:space="preserve">Për </w:t>
      </w:r>
      <w:r w:rsidR="00B81888" w:rsidRPr="00DC66CD">
        <w:t>eficiencën e energjisë</w:t>
      </w:r>
      <w:r w:rsidR="002A29AD" w:rsidRPr="00DC66CD">
        <w:t>”</w:t>
      </w:r>
      <w:r w:rsidRPr="00DC66CD">
        <w:t xml:space="preserve"> dhe përgatitja dhe aprovimi i legjislacionit dytësor</w:t>
      </w:r>
      <w:r w:rsidR="00B81888" w:rsidRPr="00DC66CD">
        <w:t>,</w:t>
      </w:r>
      <w:r w:rsidRPr="00DC66CD">
        <w:t xml:space="preserve"> bazuar në ligjin e mësipërm dhe në </w:t>
      </w:r>
      <w:r w:rsidR="00B81888" w:rsidRPr="00DC66CD">
        <w:t>ligjin</w:t>
      </w:r>
      <w:r w:rsidR="00E33D88" w:rsidRPr="00DC66CD">
        <w:t xml:space="preserve"> nr. </w:t>
      </w:r>
      <w:r w:rsidRPr="00DC66CD">
        <w:t xml:space="preserve">116/2016 të </w:t>
      </w:r>
      <w:r w:rsidR="00B81888" w:rsidRPr="00DC66CD">
        <w:t xml:space="preserve">datës </w:t>
      </w:r>
      <w:r w:rsidRPr="00DC66CD">
        <w:t>10.11.2016</w:t>
      </w:r>
      <w:r w:rsidR="00B81888" w:rsidRPr="00DC66CD">
        <w:t>,</w:t>
      </w:r>
      <w:r w:rsidRPr="00DC66CD">
        <w:t xml:space="preserve"> </w:t>
      </w:r>
      <w:r w:rsidR="002A29AD" w:rsidRPr="00DC66CD">
        <w:t>“</w:t>
      </w:r>
      <w:r w:rsidRPr="00DC66CD">
        <w:t xml:space="preserve">Për </w:t>
      </w:r>
      <w:r w:rsidR="00B81888" w:rsidRPr="00DC66CD">
        <w:t>performancën e energjisë në ndërtesa</w:t>
      </w:r>
      <w:r w:rsidR="002A29AD" w:rsidRPr="00DC66CD">
        <w:t>”</w:t>
      </w:r>
      <w:r w:rsidRPr="00DC66CD">
        <w:t xml:space="preserve"> (MIE/BERZH/AEE);</w:t>
      </w:r>
    </w:p>
    <w:p w14:paraId="6E89A401" w14:textId="25332FA6" w:rsidR="006F605B" w:rsidRPr="00DC66CD" w:rsidRDefault="00452C18" w:rsidP="00452C18">
      <w:pPr>
        <w:pStyle w:val="TEKSTIIII"/>
      </w:pPr>
      <w:r w:rsidRPr="00DC66CD">
        <w:t>-</w:t>
      </w:r>
      <w:r w:rsidR="006F605B" w:rsidRPr="00DC66CD">
        <w:t xml:space="preserve">VKM </w:t>
      </w:r>
      <w:r w:rsidR="002A29AD" w:rsidRPr="00DC66CD">
        <w:t>“</w:t>
      </w:r>
      <w:r w:rsidR="006F605B" w:rsidRPr="00DC66CD">
        <w:t xml:space="preserve">Për </w:t>
      </w:r>
      <w:r w:rsidR="00B81888" w:rsidRPr="00DC66CD">
        <w:t xml:space="preserve">miratimin e metodologjisë kombëtare të llogaritjes </w:t>
      </w:r>
      <w:r w:rsidR="006F605B" w:rsidRPr="00DC66CD">
        <w:t>së PEN</w:t>
      </w:r>
      <w:r w:rsidR="00B81888" w:rsidRPr="00DC66CD">
        <w:t>-it</w:t>
      </w:r>
      <w:r w:rsidR="002A29AD" w:rsidRPr="00DC66CD">
        <w:t>”</w:t>
      </w:r>
      <w:r w:rsidR="006F605B" w:rsidRPr="00DC66CD">
        <w:t>;</w:t>
      </w:r>
    </w:p>
    <w:p w14:paraId="3165A763" w14:textId="3E912045" w:rsidR="006F605B" w:rsidRPr="00DC66CD" w:rsidRDefault="00452C18" w:rsidP="00452C18">
      <w:pPr>
        <w:pStyle w:val="TEKSTIIII"/>
      </w:pPr>
      <w:r w:rsidRPr="00DC66CD">
        <w:t>-</w:t>
      </w:r>
      <w:r w:rsidR="006F605B" w:rsidRPr="00DC66CD">
        <w:t xml:space="preserve">VKM </w:t>
      </w:r>
      <w:r w:rsidR="002A29AD" w:rsidRPr="00DC66CD">
        <w:t>“</w:t>
      </w:r>
      <w:r w:rsidR="006F605B" w:rsidRPr="00DC66CD">
        <w:t>Për kërkesat minimale të PEN-it dhe ndërtimin e elementeve</w:t>
      </w:r>
      <w:r w:rsidR="002A29AD" w:rsidRPr="00DC66CD">
        <w:t>”</w:t>
      </w:r>
      <w:r w:rsidR="006F605B" w:rsidRPr="00DC66CD">
        <w:t>;</w:t>
      </w:r>
    </w:p>
    <w:p w14:paraId="23D33F88" w14:textId="3E6C49A9" w:rsidR="006F605B" w:rsidRPr="00DC66CD" w:rsidRDefault="00452C18" w:rsidP="00452C18">
      <w:pPr>
        <w:pStyle w:val="TEKSTIIII"/>
      </w:pPr>
      <w:r w:rsidRPr="00DC66CD">
        <w:t>-</w:t>
      </w:r>
      <w:r w:rsidR="006F605B" w:rsidRPr="00DC66CD">
        <w:t xml:space="preserve">VKM </w:t>
      </w:r>
      <w:r w:rsidR="002A29AD" w:rsidRPr="00DC66CD">
        <w:t>“</w:t>
      </w:r>
      <w:r w:rsidR="006F605B" w:rsidRPr="00DC66CD">
        <w:t>Për procedurat dhe kushtet e certifikimit të performancës së energjisë në ndërtesa</w:t>
      </w:r>
      <w:r w:rsidR="002A29AD" w:rsidRPr="00DC66CD">
        <w:t>”</w:t>
      </w:r>
      <w:r w:rsidR="006F605B" w:rsidRPr="00DC66CD">
        <w:t>.</w:t>
      </w:r>
    </w:p>
    <w:p w14:paraId="7A391194" w14:textId="41A878C6" w:rsidR="006F605B" w:rsidRPr="00DC66CD" w:rsidRDefault="00B81888" w:rsidP="00452C18">
      <w:pPr>
        <w:pStyle w:val="TEKSTIIII"/>
      </w:pPr>
      <w:r w:rsidRPr="00DC66CD">
        <w:t xml:space="preserve">- </w:t>
      </w:r>
      <w:r w:rsidR="006F605B" w:rsidRPr="00DC66CD">
        <w:t xml:space="preserve">Implementimi i </w:t>
      </w:r>
      <w:r w:rsidRPr="00DC66CD">
        <w:t xml:space="preserve">projektit </w:t>
      </w:r>
      <w:r w:rsidR="002A29AD" w:rsidRPr="00DC66CD">
        <w:t>“</w:t>
      </w:r>
      <w:r w:rsidR="006F605B" w:rsidRPr="00DC66CD">
        <w:t xml:space="preserve">Impianti PV 100 </w:t>
      </w:r>
      <w:r w:rsidRPr="00DC66CD">
        <w:t>mw</w:t>
      </w:r>
      <w:r w:rsidR="006F605B" w:rsidRPr="00DC66CD">
        <w:t>, Akërnia</w:t>
      </w:r>
      <w:r w:rsidR="002A29AD" w:rsidRPr="00DC66CD">
        <w:t>”</w:t>
      </w:r>
      <w:r w:rsidR="006F605B" w:rsidRPr="00DC66CD">
        <w:t xml:space="preserve"> (</w:t>
      </w:r>
      <w:r w:rsidRPr="00DC66CD">
        <w:t>Faza e lejeve</w:t>
      </w:r>
      <w:r w:rsidR="006F605B" w:rsidRPr="00DC66CD">
        <w:t>) (MIE);</w:t>
      </w:r>
    </w:p>
    <w:p w14:paraId="7A645E69" w14:textId="0792B628" w:rsidR="006F605B" w:rsidRPr="00DC66CD" w:rsidRDefault="00B81888" w:rsidP="00452C18">
      <w:pPr>
        <w:pStyle w:val="TEKSTIIII"/>
      </w:pPr>
      <w:r w:rsidRPr="00DC66CD">
        <w:t xml:space="preserve">- </w:t>
      </w:r>
      <w:r w:rsidR="006F605B" w:rsidRPr="00DC66CD">
        <w:t>Shpallja e procedurës konkuruese për zgjedhjen e projektit zhvillues për ndërtimin e një impianti fotovoltaik 70</w:t>
      </w:r>
      <w:r w:rsidRPr="00DC66CD">
        <w:t xml:space="preserve"> mw</w:t>
      </w:r>
      <w:r w:rsidR="006F605B" w:rsidRPr="00DC66CD">
        <w:t xml:space="preserve"> si pjesë e masave mbështetëse në zonën Karavasta (Lushnj</w:t>
      </w:r>
      <w:r w:rsidRPr="00DC66CD">
        <w:t>ë–</w:t>
      </w:r>
      <w:r w:rsidR="006F605B" w:rsidRPr="00DC66CD">
        <w:t>Fier) dhe ndërtim shtesë</w:t>
      </w:r>
      <w:r w:rsidRPr="00DC66CD">
        <w:t>,</w:t>
      </w:r>
      <w:r w:rsidR="006F605B" w:rsidRPr="00DC66CD">
        <w:t xml:space="preserve"> me kapacitet 70 </w:t>
      </w:r>
      <w:r w:rsidRPr="00DC66CD">
        <w:t>mw</w:t>
      </w:r>
      <w:r w:rsidR="006F605B" w:rsidRPr="00DC66CD">
        <w:t>, i cili nuk do të jetë pjesë e masave mbështetëse</w:t>
      </w:r>
      <w:r w:rsidRPr="00DC66CD">
        <w:t>,</w:t>
      </w:r>
      <w:r w:rsidR="006F605B" w:rsidRPr="00DC66CD">
        <w:t xml:space="preserve"> si dhe nënshkrimin e Kontratës s</w:t>
      </w:r>
      <w:r w:rsidRPr="00DC66CD">
        <w:t>ë</w:t>
      </w:r>
      <w:r w:rsidR="006F605B" w:rsidRPr="00DC66CD">
        <w:t xml:space="preserve"> Zhvillimit t</w:t>
      </w:r>
      <w:r w:rsidRPr="00DC66CD">
        <w:t>ë</w:t>
      </w:r>
      <w:r w:rsidR="006F605B" w:rsidRPr="00DC66CD">
        <w:t xml:space="preserve"> Projektit;</w:t>
      </w:r>
    </w:p>
    <w:p w14:paraId="7786E7E3" w14:textId="72AD60FC" w:rsidR="006F605B" w:rsidRPr="00DC66CD" w:rsidRDefault="006F605B" w:rsidP="00452C18">
      <w:pPr>
        <w:pStyle w:val="TEKSTIIII"/>
      </w:pPr>
      <w:r w:rsidRPr="00DC66CD">
        <w:t xml:space="preserve">Monitorimi i zbatimit të projekteve të reja të energjisë së erës dhe </w:t>
      </w:r>
      <w:r w:rsidR="00B81888" w:rsidRPr="00DC66CD">
        <w:t xml:space="preserve">të </w:t>
      </w:r>
      <w:r w:rsidRPr="00DC66CD">
        <w:t>diellit</w:t>
      </w:r>
      <w:r w:rsidR="00B81888" w:rsidRPr="00DC66CD">
        <w:t>,</w:t>
      </w:r>
      <w:r w:rsidRPr="00DC66CD">
        <w:t xml:space="preserve"> që janë të pajisura me miratimin përfundimtar për ndërtimin e kapaciteteve të reja të prodhimit të energjisë elektrike (MIE/AKBN);</w:t>
      </w:r>
    </w:p>
    <w:p w14:paraId="3E60F7C2" w14:textId="696706A6" w:rsidR="00452C18" w:rsidRPr="00DC66CD" w:rsidRDefault="006F605B" w:rsidP="00452C18">
      <w:pPr>
        <w:pStyle w:val="TEKSTIIII"/>
      </w:pPr>
      <w:r w:rsidRPr="00DC66CD">
        <w:t xml:space="preserve">Projekt pilot për promovimin e </w:t>
      </w:r>
      <w:r w:rsidR="00B81888" w:rsidRPr="00DC66CD">
        <w:t>eficiencës</w:t>
      </w:r>
      <w:r w:rsidRPr="00DC66CD">
        <w:t xml:space="preserve"> së energjisë</w:t>
      </w:r>
      <w:r w:rsidR="00452C18" w:rsidRPr="00DC66CD">
        <w:t>.</w:t>
      </w:r>
    </w:p>
    <w:p w14:paraId="419C759C" w14:textId="773764D4" w:rsidR="006F605B" w:rsidRPr="00DC66CD" w:rsidRDefault="00452C18" w:rsidP="00452C18">
      <w:pPr>
        <w:pStyle w:val="TEKSTIIII"/>
      </w:pPr>
      <w:r w:rsidRPr="00DC66CD">
        <w:rPr>
          <w:b/>
        </w:rPr>
        <w:t>b)</w:t>
      </w:r>
      <w:r w:rsidRPr="00DC66CD">
        <w:t xml:space="preserve"> </w:t>
      </w:r>
      <w:r w:rsidR="006F605B" w:rsidRPr="00DC66CD">
        <w:rPr>
          <w:rFonts w:cs="Times New Roman"/>
          <w:b/>
        </w:rPr>
        <w:t xml:space="preserve">Aktivitetet e planifikuara </w:t>
      </w:r>
      <w:r w:rsidR="00B81888" w:rsidRPr="00DC66CD">
        <w:rPr>
          <w:rFonts w:cs="Times New Roman"/>
          <w:b/>
        </w:rPr>
        <w:t>m</w:t>
      </w:r>
      <w:r w:rsidR="006F605B" w:rsidRPr="00DC66CD">
        <w:rPr>
          <w:rFonts w:cs="Times New Roman"/>
          <w:b/>
        </w:rPr>
        <w:t>ë 2021</w:t>
      </w:r>
      <w:r w:rsidR="00B81888" w:rsidRPr="00DC66CD">
        <w:rPr>
          <w:rFonts w:cs="Times New Roman"/>
          <w:b/>
        </w:rPr>
        <w:t>-shin</w:t>
      </w:r>
    </w:p>
    <w:p w14:paraId="2A58A81B" w14:textId="463CD4FD" w:rsidR="006F605B" w:rsidRPr="00DC66CD" w:rsidRDefault="006F605B" w:rsidP="00452C18">
      <w:pPr>
        <w:pStyle w:val="TEKSTIIII"/>
      </w:pPr>
      <w:r w:rsidRPr="00DC66CD">
        <w:t xml:space="preserve">Përgatitja dhe miratimi i legjislacionit dytësor në zbatim të </w:t>
      </w:r>
      <w:r w:rsidR="00B81888" w:rsidRPr="00DC66CD">
        <w:t>ligjit</w:t>
      </w:r>
      <w:r w:rsidR="00E33D88" w:rsidRPr="00DC66CD">
        <w:t xml:space="preserve"> nr. </w:t>
      </w:r>
      <w:r w:rsidR="00B81888" w:rsidRPr="00DC66CD">
        <w:t>7/2017, të datës 2.</w:t>
      </w:r>
      <w:r w:rsidRPr="00DC66CD">
        <w:t>2.2017</w:t>
      </w:r>
      <w:r w:rsidR="00B81888" w:rsidRPr="00DC66CD">
        <w:t>,</w:t>
      </w:r>
      <w:r w:rsidRPr="00DC66CD">
        <w:t xml:space="preserve"> </w:t>
      </w:r>
      <w:r w:rsidR="002A29AD" w:rsidRPr="00DC66CD">
        <w:rPr>
          <w:i/>
        </w:rPr>
        <w:t>“</w:t>
      </w:r>
      <w:r w:rsidRPr="00DC66CD">
        <w:rPr>
          <w:i/>
        </w:rPr>
        <w:t>Për promovimin e përdorimit të energjisë nga burimet e rinovueshme</w:t>
      </w:r>
      <w:r w:rsidR="002A29AD" w:rsidRPr="00DC66CD">
        <w:rPr>
          <w:i/>
        </w:rPr>
        <w:t>”</w:t>
      </w:r>
      <w:r w:rsidRPr="00DC66CD">
        <w:t xml:space="preserve"> (MIE/AKBN/OSHEE/OST/ERE);</w:t>
      </w:r>
    </w:p>
    <w:p w14:paraId="2635E3C2" w14:textId="65E0AB22" w:rsidR="006F605B" w:rsidRPr="00DC66CD" w:rsidRDefault="00452C18" w:rsidP="00452C18">
      <w:pPr>
        <w:pStyle w:val="TEKSTIIII"/>
      </w:pPr>
      <w:r w:rsidRPr="00DC66CD">
        <w:t>-</w:t>
      </w:r>
      <w:r w:rsidR="00B81888" w:rsidRPr="00DC66CD">
        <w:t xml:space="preserve"> </w:t>
      </w:r>
      <w:r w:rsidR="006F605B" w:rsidRPr="00DC66CD">
        <w:t xml:space="preserve">VKM </w:t>
      </w:r>
      <w:r w:rsidR="002A29AD" w:rsidRPr="00DC66CD">
        <w:t>“</w:t>
      </w:r>
      <w:r w:rsidR="006F605B" w:rsidRPr="00DC66CD">
        <w:t xml:space="preserve">Për </w:t>
      </w:r>
      <w:r w:rsidR="00B81888" w:rsidRPr="00DC66CD">
        <w:t xml:space="preserve">detyrimin </w:t>
      </w:r>
      <w:r w:rsidR="006F605B" w:rsidRPr="00DC66CD">
        <w:t>për blerjen e energjisë elektrike të prodhuar nga prodhuesit prioritarë të energjisë elektrike</w:t>
      </w:r>
      <w:r w:rsidR="00B81888" w:rsidRPr="00DC66CD">
        <w:t>,</w:t>
      </w:r>
      <w:r w:rsidR="006F605B" w:rsidRPr="00DC66CD">
        <w:t xml:space="preserve"> që nuk përfitojnë nga skema e mbështetjes sipas kontratës së ndryshimit</w:t>
      </w:r>
      <w:r w:rsidR="002A29AD" w:rsidRPr="00DC66CD">
        <w:t>”</w:t>
      </w:r>
      <w:r w:rsidR="006F605B" w:rsidRPr="00DC66CD">
        <w:t>;</w:t>
      </w:r>
    </w:p>
    <w:p w14:paraId="7C6F5C0B" w14:textId="7A455937" w:rsidR="006F605B" w:rsidRPr="00DC66CD" w:rsidRDefault="00452C18" w:rsidP="00452C18">
      <w:pPr>
        <w:pStyle w:val="TEKSTIIII"/>
      </w:pPr>
      <w:r w:rsidRPr="00DC66CD">
        <w:t>-</w:t>
      </w:r>
      <w:r w:rsidR="00B81888" w:rsidRPr="00DC66CD">
        <w:t xml:space="preserve"> </w:t>
      </w:r>
      <w:r w:rsidR="006F605B" w:rsidRPr="00DC66CD">
        <w:t xml:space="preserve">Projekti i VKM-së </w:t>
      </w:r>
      <w:r w:rsidR="002A29AD" w:rsidRPr="00DC66CD">
        <w:t>“</w:t>
      </w:r>
      <w:r w:rsidR="006F605B" w:rsidRPr="00DC66CD">
        <w:t>Për miratimin e llojeve të certifikatave dhe kriteret e nevojshme të certifikimit për instalimin e kazanëve dhe sobave të vogla të biomasës, PV diellore, termike, termodinamike, sistemeve gjeotermale të cekët</w:t>
      </w:r>
      <w:r w:rsidR="00B81888" w:rsidRPr="00DC66CD">
        <w:t>a</w:t>
      </w:r>
      <w:r w:rsidR="006F605B" w:rsidRPr="00DC66CD">
        <w:t xml:space="preserve"> dhe pompave të nxehtësisë;</w:t>
      </w:r>
    </w:p>
    <w:p w14:paraId="572B18A4" w14:textId="77123275" w:rsidR="006F605B" w:rsidRPr="00DC66CD" w:rsidRDefault="00452C18" w:rsidP="00452C18">
      <w:pPr>
        <w:pStyle w:val="TEKSTIIII"/>
      </w:pPr>
      <w:r w:rsidRPr="00DC66CD">
        <w:t>-</w:t>
      </w:r>
      <w:r w:rsidR="00B81888" w:rsidRPr="00DC66CD">
        <w:t xml:space="preserve"> </w:t>
      </w:r>
      <w:r w:rsidR="006F605B" w:rsidRPr="00DC66CD">
        <w:t xml:space="preserve">VKM </w:t>
      </w:r>
      <w:r w:rsidR="002A29AD" w:rsidRPr="00DC66CD">
        <w:t>“</w:t>
      </w:r>
      <w:r w:rsidR="006F605B" w:rsidRPr="00DC66CD">
        <w:t>Për metodologjinë e llogaritjes së pjesës së energjisë nga burimet e rinovueshme në bilancin kombëtar</w:t>
      </w:r>
      <w:r w:rsidR="002A29AD" w:rsidRPr="00DC66CD">
        <w:t>”</w:t>
      </w:r>
      <w:r w:rsidR="006F605B" w:rsidRPr="00DC66CD">
        <w:t>.</w:t>
      </w:r>
    </w:p>
    <w:p w14:paraId="2B5D3527" w14:textId="0A3B3F8D" w:rsidR="006F605B" w:rsidRPr="00DC66CD" w:rsidRDefault="00452C18" w:rsidP="00452C18">
      <w:pPr>
        <w:pStyle w:val="TEKSTIIII"/>
      </w:pPr>
      <w:r w:rsidRPr="00DC66CD">
        <w:t>-</w:t>
      </w:r>
      <w:r w:rsidR="00B81888" w:rsidRPr="00DC66CD">
        <w:t xml:space="preserve"> </w:t>
      </w:r>
      <w:r w:rsidR="006F605B" w:rsidRPr="00DC66CD">
        <w:t xml:space="preserve">Përgatitja dhe miratimi i legjislacionit dytësor në zbatim të </w:t>
      </w:r>
      <w:r w:rsidR="00B81888" w:rsidRPr="00DC66CD">
        <w:t>ligjit</w:t>
      </w:r>
      <w:r w:rsidR="00E33D88" w:rsidRPr="00DC66CD">
        <w:t xml:space="preserve"> nr. </w:t>
      </w:r>
      <w:r w:rsidR="00B81888" w:rsidRPr="00DC66CD">
        <w:t>124/</w:t>
      </w:r>
      <w:r w:rsidR="006F605B" w:rsidRPr="00DC66CD">
        <w:t>2015</w:t>
      </w:r>
      <w:r w:rsidR="00B81888" w:rsidRPr="00DC66CD">
        <w:t>,</w:t>
      </w:r>
      <w:r w:rsidR="006F605B" w:rsidRPr="00DC66CD">
        <w:t xml:space="preserve"> </w:t>
      </w:r>
      <w:r w:rsidR="002A29AD" w:rsidRPr="00DC66CD">
        <w:rPr>
          <w:i/>
        </w:rPr>
        <w:t>“</w:t>
      </w:r>
      <w:r w:rsidR="006F605B" w:rsidRPr="00DC66CD">
        <w:rPr>
          <w:i/>
        </w:rPr>
        <w:t xml:space="preserve">Për </w:t>
      </w:r>
      <w:r w:rsidR="00B81888" w:rsidRPr="00DC66CD">
        <w:rPr>
          <w:i/>
        </w:rPr>
        <w:t xml:space="preserve">eficiencën </w:t>
      </w:r>
      <w:r w:rsidR="006F605B" w:rsidRPr="00DC66CD">
        <w:rPr>
          <w:i/>
        </w:rPr>
        <w:t xml:space="preserve">e </w:t>
      </w:r>
      <w:r w:rsidR="00B81888" w:rsidRPr="00DC66CD">
        <w:rPr>
          <w:i/>
        </w:rPr>
        <w:t>energjisë</w:t>
      </w:r>
      <w:r w:rsidR="002A29AD" w:rsidRPr="00DC66CD">
        <w:rPr>
          <w:i/>
        </w:rPr>
        <w:t>”</w:t>
      </w:r>
      <w:r w:rsidR="006F605B" w:rsidRPr="00DC66CD">
        <w:t xml:space="preserve"> dhe </w:t>
      </w:r>
      <w:r w:rsidR="00B81888" w:rsidRPr="00DC66CD">
        <w:t>të ligjit</w:t>
      </w:r>
      <w:r w:rsidR="00E33D88" w:rsidRPr="00DC66CD">
        <w:t xml:space="preserve"> nr. </w:t>
      </w:r>
      <w:r w:rsidR="006F605B" w:rsidRPr="00DC66CD">
        <w:t>116/2016</w:t>
      </w:r>
      <w:r w:rsidR="00B81888" w:rsidRPr="00DC66CD">
        <w:t>,</w:t>
      </w:r>
      <w:r w:rsidR="006F605B" w:rsidRPr="00DC66CD">
        <w:t xml:space="preserve"> të </w:t>
      </w:r>
      <w:r w:rsidR="00B81888" w:rsidRPr="00DC66CD">
        <w:t xml:space="preserve">datës </w:t>
      </w:r>
      <w:r w:rsidR="006F605B" w:rsidRPr="00DC66CD">
        <w:t>10.11.2016</w:t>
      </w:r>
      <w:r w:rsidR="00B81888" w:rsidRPr="00DC66CD">
        <w:t>,</w:t>
      </w:r>
      <w:r w:rsidR="006F605B" w:rsidRPr="00DC66CD">
        <w:t xml:space="preserve"> </w:t>
      </w:r>
      <w:r w:rsidR="002A29AD" w:rsidRPr="00DC66CD">
        <w:rPr>
          <w:i/>
        </w:rPr>
        <w:t>“</w:t>
      </w:r>
      <w:r w:rsidR="006F605B" w:rsidRPr="00DC66CD">
        <w:rPr>
          <w:i/>
        </w:rPr>
        <w:t xml:space="preserve">Për </w:t>
      </w:r>
      <w:r w:rsidR="00B81888" w:rsidRPr="00DC66CD">
        <w:rPr>
          <w:i/>
        </w:rPr>
        <w:t>performancën e energjisë në ndërt</w:t>
      </w:r>
      <w:r w:rsidR="006F605B" w:rsidRPr="00DC66CD">
        <w:rPr>
          <w:i/>
        </w:rPr>
        <w:t>esa</w:t>
      </w:r>
      <w:r w:rsidR="002A29AD" w:rsidRPr="00DC66CD">
        <w:rPr>
          <w:i/>
        </w:rPr>
        <w:t>”</w:t>
      </w:r>
      <w:r w:rsidR="00B81888" w:rsidRPr="00DC66CD">
        <w:t xml:space="preserve"> </w:t>
      </w:r>
      <w:r w:rsidR="006F605B" w:rsidRPr="00DC66CD">
        <w:t>(MIE/EBRD/AEE);</w:t>
      </w:r>
    </w:p>
    <w:p w14:paraId="31CCF063" w14:textId="3463E0F4" w:rsidR="006F605B" w:rsidRPr="00DC66CD" w:rsidRDefault="00452C18" w:rsidP="00452C18">
      <w:pPr>
        <w:pStyle w:val="TEKSTIIII"/>
      </w:pPr>
      <w:r w:rsidRPr="00DC66CD">
        <w:t>-</w:t>
      </w:r>
      <w:r w:rsidR="00B81888" w:rsidRPr="00DC66CD">
        <w:t xml:space="preserve"> </w:t>
      </w:r>
      <w:r w:rsidR="006F605B" w:rsidRPr="00DC66CD">
        <w:t xml:space="preserve">VKM </w:t>
      </w:r>
      <w:r w:rsidR="002A29AD" w:rsidRPr="00DC66CD">
        <w:t>“</w:t>
      </w:r>
      <w:r w:rsidR="006F605B" w:rsidRPr="00DC66CD">
        <w:t>Për miratimin e kategorive, kushteve, kërkesave të kualifikimit për ndërmarrjet e shërbimit të energjisë</w:t>
      </w:r>
      <w:r w:rsidR="002A29AD" w:rsidRPr="00DC66CD">
        <w:t>”</w:t>
      </w:r>
      <w:r w:rsidR="006F605B" w:rsidRPr="00DC66CD">
        <w:t>;</w:t>
      </w:r>
    </w:p>
    <w:p w14:paraId="1E2EC9ED" w14:textId="3B95DB55" w:rsidR="006F605B" w:rsidRPr="00DC66CD" w:rsidRDefault="00452C18" w:rsidP="00452C18">
      <w:pPr>
        <w:pStyle w:val="TEKSTIIII"/>
      </w:pPr>
      <w:r w:rsidRPr="00DC66CD">
        <w:t>-</w:t>
      </w:r>
      <w:r w:rsidR="00B81888" w:rsidRPr="00DC66CD">
        <w:t xml:space="preserve"> </w:t>
      </w:r>
      <w:r w:rsidR="006F605B" w:rsidRPr="00DC66CD">
        <w:t xml:space="preserve">VKM </w:t>
      </w:r>
      <w:r w:rsidR="002A29AD" w:rsidRPr="00DC66CD">
        <w:t>“</w:t>
      </w:r>
      <w:r w:rsidR="006F605B" w:rsidRPr="00DC66CD">
        <w:t>Për përcaktimin e kategorive të ndërtesave, të cilat do t</w:t>
      </w:r>
      <w:r w:rsidR="002C582E" w:rsidRPr="00DC66CD">
        <w:t>’</w:t>
      </w:r>
      <w:r w:rsidR="006F605B" w:rsidRPr="00DC66CD">
        <w:t>i nënshtrohen përjashtimit nga performanca energjetike e ndërtesave (PEN)</w:t>
      </w:r>
      <w:r w:rsidR="002A29AD" w:rsidRPr="00DC66CD">
        <w:t>”</w:t>
      </w:r>
      <w:r w:rsidR="006F605B" w:rsidRPr="00DC66CD">
        <w:t>;</w:t>
      </w:r>
    </w:p>
    <w:p w14:paraId="04055946" w14:textId="4D216A51" w:rsidR="006F605B" w:rsidRPr="00DC66CD" w:rsidRDefault="00452C18" w:rsidP="00452C18">
      <w:pPr>
        <w:pStyle w:val="TEKSTIIII"/>
      </w:pPr>
      <w:r w:rsidRPr="00DC66CD">
        <w:t>-</w:t>
      </w:r>
      <w:r w:rsidR="00B81888" w:rsidRPr="00DC66CD">
        <w:t xml:space="preserve"> </w:t>
      </w:r>
      <w:r w:rsidR="006F605B" w:rsidRPr="00DC66CD">
        <w:t xml:space="preserve">VKM </w:t>
      </w:r>
      <w:r w:rsidR="002A29AD" w:rsidRPr="00DC66CD">
        <w:t>“</w:t>
      </w:r>
      <w:r w:rsidR="006F605B" w:rsidRPr="00DC66CD">
        <w:t>Për kriteret dhe procedurat për zgjedhjen dhe sasinë e certifikatave që duhen verifikuar, dhe procesin e mbikëqyrjes së certifikatave të performancës energjetike të ndërtesave.</w:t>
      </w:r>
    </w:p>
    <w:p w14:paraId="5C3E938A" w14:textId="6A274483" w:rsidR="006F605B" w:rsidRPr="00DC66CD" w:rsidRDefault="00B81888" w:rsidP="00452C18">
      <w:pPr>
        <w:pStyle w:val="TEKSTIIII"/>
      </w:pPr>
      <w:r w:rsidRPr="00DC66CD">
        <w:t xml:space="preserve">- </w:t>
      </w:r>
      <w:r w:rsidR="006F605B" w:rsidRPr="00DC66CD">
        <w:t xml:space="preserve">Implementimi i </w:t>
      </w:r>
      <w:r w:rsidRPr="00DC66CD">
        <w:t xml:space="preserve">projektit </w:t>
      </w:r>
      <w:r w:rsidR="002A29AD" w:rsidRPr="00DC66CD">
        <w:t>“</w:t>
      </w:r>
      <w:r w:rsidR="006F605B" w:rsidRPr="00DC66CD">
        <w:t xml:space="preserve">Impianti PV 100 </w:t>
      </w:r>
      <w:r w:rsidRPr="00DC66CD">
        <w:t>mw</w:t>
      </w:r>
      <w:r w:rsidR="006F605B" w:rsidRPr="00DC66CD">
        <w:t>, Akërnia</w:t>
      </w:r>
      <w:r w:rsidR="002A29AD" w:rsidRPr="00DC66CD">
        <w:t>”</w:t>
      </w:r>
      <w:r w:rsidR="006F605B" w:rsidRPr="00DC66CD">
        <w:t xml:space="preserve"> (Faza e </w:t>
      </w:r>
      <w:r w:rsidRPr="00DC66CD">
        <w:t>ndërtimit</w:t>
      </w:r>
      <w:r w:rsidR="006F605B" w:rsidRPr="00DC66CD">
        <w:t>)</w:t>
      </w:r>
      <w:r w:rsidR="00AA6758" w:rsidRPr="00DC66CD">
        <w:t>,</w:t>
      </w:r>
      <w:r w:rsidR="006F605B" w:rsidRPr="00DC66CD">
        <w:t xml:space="preserve"> (MIE);</w:t>
      </w:r>
    </w:p>
    <w:p w14:paraId="67AF0F6A" w14:textId="7F7C4202" w:rsidR="006F605B" w:rsidRPr="00DC66CD" w:rsidRDefault="00452C18" w:rsidP="00452C18">
      <w:pPr>
        <w:pStyle w:val="TEKSTIIII"/>
      </w:pPr>
      <w:r w:rsidRPr="00DC66CD">
        <w:t>-</w:t>
      </w:r>
      <w:r w:rsidR="00B81888" w:rsidRPr="00DC66CD">
        <w:t xml:space="preserve"> </w:t>
      </w:r>
      <w:r w:rsidR="006F605B" w:rsidRPr="00DC66CD">
        <w:t xml:space="preserve">Implementimi i </w:t>
      </w:r>
      <w:r w:rsidR="00B81888" w:rsidRPr="00DC66CD">
        <w:t xml:space="preserve">projektit </w:t>
      </w:r>
      <w:r w:rsidR="002A29AD" w:rsidRPr="00DC66CD">
        <w:t>“</w:t>
      </w:r>
      <w:r w:rsidR="006F605B" w:rsidRPr="00DC66CD">
        <w:t xml:space="preserve">Impianti PV 140 </w:t>
      </w:r>
      <w:r w:rsidR="00B81888" w:rsidRPr="00DC66CD">
        <w:t>mw</w:t>
      </w:r>
      <w:r w:rsidR="006F605B" w:rsidRPr="00DC66CD">
        <w:t>, Karavasta</w:t>
      </w:r>
      <w:r w:rsidR="002A29AD" w:rsidRPr="00DC66CD">
        <w:t>”</w:t>
      </w:r>
      <w:r w:rsidR="006F605B" w:rsidRPr="00DC66CD">
        <w:t xml:space="preserve"> (Faza e </w:t>
      </w:r>
      <w:r w:rsidR="00B81888" w:rsidRPr="00DC66CD">
        <w:t>lejeve)</w:t>
      </w:r>
      <w:r w:rsidR="00AA6758" w:rsidRPr="00DC66CD">
        <w:t>,</w:t>
      </w:r>
      <w:r w:rsidR="006F605B" w:rsidRPr="00DC66CD">
        <w:t xml:space="preserve"> (MIE);</w:t>
      </w:r>
    </w:p>
    <w:p w14:paraId="41EF4022" w14:textId="370EEDF5" w:rsidR="006F605B" w:rsidRPr="00DC66CD" w:rsidRDefault="00452C18" w:rsidP="00452C18">
      <w:pPr>
        <w:pStyle w:val="TEKSTIIII"/>
      </w:pPr>
      <w:r w:rsidRPr="00DC66CD">
        <w:t>-</w:t>
      </w:r>
      <w:r w:rsidR="00746700" w:rsidRPr="00DC66CD">
        <w:t xml:space="preserve"> </w:t>
      </w:r>
      <w:r w:rsidR="006F605B" w:rsidRPr="00DC66CD">
        <w:t xml:space="preserve">Monitorimi i zbatimit të projekteve të reja të energjisë së erës dhe </w:t>
      </w:r>
      <w:r w:rsidR="00746700" w:rsidRPr="00DC66CD">
        <w:t xml:space="preserve">të </w:t>
      </w:r>
      <w:r w:rsidR="006F605B" w:rsidRPr="00DC66CD">
        <w:t>diellit që janë të pajisura me</w:t>
      </w:r>
      <w:r w:rsidR="0072211B" w:rsidRPr="00DC66CD">
        <w:t xml:space="preserve"> </w:t>
      </w:r>
      <w:r w:rsidR="006F605B" w:rsidRPr="00DC66CD">
        <w:t>miratimin përfundimtar për ndërtimin e kapaciteteve të reja të p</w:t>
      </w:r>
      <w:r w:rsidR="00746700" w:rsidRPr="00DC66CD">
        <w:t>rodhimit të energjisë elektrike (MIE/</w:t>
      </w:r>
      <w:r w:rsidR="006F605B" w:rsidRPr="00DC66CD">
        <w:t>AKBN);</w:t>
      </w:r>
    </w:p>
    <w:p w14:paraId="127C1E0A" w14:textId="2B3E9C4A" w:rsidR="006F605B" w:rsidRPr="00DC66CD" w:rsidRDefault="00746700" w:rsidP="00452C18">
      <w:pPr>
        <w:pStyle w:val="TEKSTIIII"/>
      </w:pPr>
      <w:r w:rsidRPr="00DC66CD">
        <w:t xml:space="preserve">- </w:t>
      </w:r>
      <w:r w:rsidR="006F605B" w:rsidRPr="00DC66CD">
        <w:t xml:space="preserve">Projekt pilot për promovimin e </w:t>
      </w:r>
      <w:r w:rsidRPr="00DC66CD">
        <w:t>eficiencës</w:t>
      </w:r>
      <w:r w:rsidR="006F605B" w:rsidRPr="00DC66CD">
        <w:t xml:space="preserve"> së energjisë.</w:t>
      </w:r>
    </w:p>
    <w:p w14:paraId="3E991643" w14:textId="02312413" w:rsidR="006F605B" w:rsidRPr="00DC66CD" w:rsidRDefault="00452C18" w:rsidP="00452C18">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 xml:space="preserve">Aktivitetet e planifikuara </w:t>
      </w:r>
      <w:r w:rsidR="00931CE1" w:rsidRPr="00DC66CD">
        <w:rPr>
          <w:rFonts w:ascii="Garamond" w:hAnsi="Garamond" w:cs="Times New Roman"/>
          <w:b/>
          <w:sz w:val="24"/>
          <w:szCs w:val="24"/>
        </w:rPr>
        <w:t>m</w:t>
      </w:r>
      <w:r w:rsidR="006F605B" w:rsidRPr="00DC66CD">
        <w:rPr>
          <w:rFonts w:ascii="Garamond" w:hAnsi="Garamond" w:cs="Times New Roman"/>
          <w:b/>
          <w:sz w:val="24"/>
          <w:szCs w:val="24"/>
        </w:rPr>
        <w:t>ë 2022</w:t>
      </w:r>
      <w:r w:rsidR="00931CE1" w:rsidRPr="00DC66CD">
        <w:rPr>
          <w:rFonts w:ascii="Garamond" w:hAnsi="Garamond" w:cs="Times New Roman"/>
          <w:b/>
          <w:sz w:val="24"/>
          <w:szCs w:val="24"/>
        </w:rPr>
        <w:t>-shin</w:t>
      </w:r>
    </w:p>
    <w:p w14:paraId="11F7DDC3" w14:textId="3C5CB9CA" w:rsidR="006F605B" w:rsidRPr="00DC66CD" w:rsidRDefault="00452C18" w:rsidP="00452C18">
      <w:pPr>
        <w:pStyle w:val="TEKSTIIII"/>
      </w:pPr>
      <w:r w:rsidRPr="00DC66CD">
        <w:t>-</w:t>
      </w:r>
      <w:r w:rsidR="00931CE1" w:rsidRPr="00DC66CD">
        <w:t xml:space="preserve"> </w:t>
      </w:r>
      <w:r w:rsidR="006F605B" w:rsidRPr="00DC66CD">
        <w:t xml:space="preserve">Monitorimi i zbatimit të projekteve të reja të energjisë së erës dhe </w:t>
      </w:r>
      <w:r w:rsidR="00931CE1" w:rsidRPr="00DC66CD">
        <w:t xml:space="preserve">të </w:t>
      </w:r>
      <w:r w:rsidR="006F605B" w:rsidRPr="00DC66CD">
        <w:t>diellit që janë të pajisura me miratimin përfundimtar për ndërtimin e kapaciteteve të reja të p</w:t>
      </w:r>
      <w:r w:rsidR="00931CE1" w:rsidRPr="00DC66CD">
        <w:t>rodhimit të energjisë elektrike</w:t>
      </w:r>
      <w:r w:rsidR="006F605B" w:rsidRPr="00DC66CD">
        <w:t xml:space="preserve"> (MIE/AKBN);</w:t>
      </w:r>
    </w:p>
    <w:p w14:paraId="6D033803" w14:textId="11078FE0" w:rsidR="006F605B" w:rsidRPr="00DC66CD" w:rsidRDefault="00452C18" w:rsidP="00452C18">
      <w:pPr>
        <w:pStyle w:val="TEKSTIIII"/>
      </w:pPr>
      <w:r w:rsidRPr="00DC66CD">
        <w:t>-</w:t>
      </w:r>
      <w:r w:rsidR="00931CE1" w:rsidRPr="00DC66CD">
        <w:t xml:space="preserve"> </w:t>
      </w:r>
      <w:r w:rsidR="006F605B" w:rsidRPr="00DC66CD">
        <w:t xml:space="preserve">Implementimi i </w:t>
      </w:r>
      <w:r w:rsidR="00931CE1" w:rsidRPr="00DC66CD">
        <w:t xml:space="preserve">projektit </w:t>
      </w:r>
      <w:r w:rsidR="002A29AD" w:rsidRPr="00DC66CD">
        <w:t>“</w:t>
      </w:r>
      <w:r w:rsidR="006F605B" w:rsidRPr="00DC66CD">
        <w:t xml:space="preserve">Impianti PV 140 </w:t>
      </w:r>
      <w:r w:rsidR="00931CE1" w:rsidRPr="00DC66CD">
        <w:t>mw</w:t>
      </w:r>
      <w:r w:rsidR="006F605B" w:rsidRPr="00DC66CD">
        <w:t>, Karavasta</w:t>
      </w:r>
      <w:r w:rsidR="002A29AD" w:rsidRPr="00DC66CD">
        <w:t>”</w:t>
      </w:r>
      <w:r w:rsidR="006F605B" w:rsidRPr="00DC66CD">
        <w:t xml:space="preserve"> (Faza e </w:t>
      </w:r>
      <w:r w:rsidR="00AA6758" w:rsidRPr="00DC66CD">
        <w:t>ndërtimit</w:t>
      </w:r>
      <w:r w:rsidR="006F605B" w:rsidRPr="00DC66CD">
        <w:t>)</w:t>
      </w:r>
      <w:r w:rsidR="00AA6758" w:rsidRPr="00DC66CD">
        <w:t>,</w:t>
      </w:r>
      <w:r w:rsidR="006F605B" w:rsidRPr="00DC66CD">
        <w:t xml:space="preserve"> (MIE);</w:t>
      </w:r>
    </w:p>
    <w:p w14:paraId="2F88B171" w14:textId="4A458AC7" w:rsidR="006F605B" w:rsidRPr="00DC66CD" w:rsidRDefault="00452C18" w:rsidP="00452C18">
      <w:pPr>
        <w:pStyle w:val="TEKSTIIII"/>
      </w:pPr>
      <w:r w:rsidRPr="00DC66CD">
        <w:t>-</w:t>
      </w:r>
      <w:r w:rsidR="00931CE1" w:rsidRPr="00DC66CD">
        <w:t xml:space="preserve"> </w:t>
      </w:r>
      <w:r w:rsidR="006F605B" w:rsidRPr="00DC66CD">
        <w:t xml:space="preserve">Projekt pilot për promovimin e </w:t>
      </w:r>
      <w:r w:rsidR="00AA6758" w:rsidRPr="00DC66CD">
        <w:t>eficiencës</w:t>
      </w:r>
      <w:r w:rsidR="006F605B" w:rsidRPr="00DC66CD">
        <w:t xml:space="preserve"> së energjisë.</w:t>
      </w:r>
    </w:p>
    <w:p w14:paraId="2D689539" w14:textId="6B60A4B6" w:rsidR="006F605B" w:rsidRPr="00DC66CD" w:rsidRDefault="00E223A4" w:rsidP="00452C18">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3</w:t>
      </w:r>
      <w:r w:rsidR="00452C18" w:rsidRPr="00DC66CD">
        <w:rPr>
          <w:rFonts w:ascii="Garamond" w:hAnsi="Garamond"/>
          <w:color w:val="000000" w:themeColor="text1"/>
          <w:sz w:val="24"/>
          <w:szCs w:val="24"/>
        </w:rPr>
        <w:t xml:space="preserve">. </w:t>
      </w:r>
      <w:r w:rsidR="006F605B" w:rsidRPr="00DC66CD">
        <w:rPr>
          <w:rFonts w:ascii="Garamond" w:hAnsi="Garamond"/>
          <w:color w:val="000000" w:themeColor="text1"/>
          <w:sz w:val="24"/>
          <w:szCs w:val="24"/>
        </w:rPr>
        <w:t>Indikatorët e rezultateve</w:t>
      </w:r>
    </w:p>
    <w:tbl>
      <w:tblPr>
        <w:tblStyle w:val="TableGrid1"/>
        <w:tblW w:w="0" w:type="auto"/>
        <w:jc w:val="center"/>
        <w:tblLook w:val="04A0" w:firstRow="1" w:lastRow="0" w:firstColumn="1" w:lastColumn="0" w:noHBand="0" w:noVBand="1"/>
      </w:tblPr>
      <w:tblGrid>
        <w:gridCol w:w="4057"/>
        <w:gridCol w:w="1717"/>
        <w:gridCol w:w="1761"/>
        <w:gridCol w:w="1745"/>
      </w:tblGrid>
      <w:tr w:rsidR="006F605B" w:rsidRPr="00DC66CD" w14:paraId="6D6E7565" w14:textId="77777777" w:rsidTr="00A23DC6">
        <w:trPr>
          <w:jc w:val="center"/>
        </w:trPr>
        <w:tc>
          <w:tcPr>
            <w:tcW w:w="4248" w:type="dxa"/>
            <w:vAlign w:val="center"/>
          </w:tcPr>
          <w:p w14:paraId="203189E5" w14:textId="77777777" w:rsidR="006F605B" w:rsidRPr="00DC66CD" w:rsidRDefault="006F605B" w:rsidP="00AA6758">
            <w:pPr>
              <w:snapToGrid w:val="0"/>
              <w:jc w:val="center"/>
              <w:rPr>
                <w:rFonts w:ascii="Garamond" w:hAnsi="Garamond"/>
                <w:b/>
                <w:lang w:val="sq-AL"/>
              </w:rPr>
            </w:pPr>
            <w:r w:rsidRPr="00DC66CD">
              <w:rPr>
                <w:rFonts w:ascii="Garamond" w:hAnsi="Garamond"/>
                <w:b/>
                <w:lang w:val="sq-AL"/>
              </w:rPr>
              <w:t>Indikatori</w:t>
            </w:r>
          </w:p>
        </w:tc>
        <w:tc>
          <w:tcPr>
            <w:tcW w:w="1791" w:type="dxa"/>
            <w:vAlign w:val="center"/>
          </w:tcPr>
          <w:p w14:paraId="2783D608" w14:textId="77777777" w:rsidR="006F605B" w:rsidRPr="00DC66CD" w:rsidRDefault="006F605B" w:rsidP="00AA6758">
            <w:pPr>
              <w:snapToGrid w:val="0"/>
              <w:jc w:val="center"/>
              <w:rPr>
                <w:rFonts w:ascii="Garamond" w:hAnsi="Garamond"/>
                <w:b/>
                <w:lang w:val="sq-AL"/>
              </w:rPr>
            </w:pPr>
            <w:r w:rsidRPr="00DC66CD">
              <w:rPr>
                <w:rFonts w:ascii="Garamond" w:hAnsi="Garamond"/>
                <w:b/>
                <w:lang w:val="sq-AL"/>
              </w:rPr>
              <w:t>Bazë (viti)</w:t>
            </w:r>
          </w:p>
        </w:tc>
        <w:tc>
          <w:tcPr>
            <w:tcW w:w="1791" w:type="dxa"/>
            <w:vAlign w:val="center"/>
          </w:tcPr>
          <w:p w14:paraId="07B6C175" w14:textId="18531662" w:rsidR="006F605B" w:rsidRPr="00DC66CD" w:rsidRDefault="00C27435" w:rsidP="00AA6758">
            <w:pPr>
              <w:snapToGrid w:val="0"/>
              <w:jc w:val="center"/>
              <w:rPr>
                <w:rFonts w:ascii="Garamond" w:hAnsi="Garamond"/>
                <w:b/>
                <w:lang w:val="sq-AL"/>
              </w:rPr>
            </w:pPr>
            <w:r w:rsidRPr="00DC66CD">
              <w:rPr>
                <w:rFonts w:ascii="Garamond" w:hAnsi="Garamond"/>
                <w:b/>
                <w:lang w:val="sq-AL"/>
              </w:rPr>
              <w:t xml:space="preserve">Objektivi i ndërmjetëm </w:t>
            </w:r>
            <w:r w:rsidR="006F605B" w:rsidRPr="00DC66CD">
              <w:rPr>
                <w:rFonts w:ascii="Garamond" w:hAnsi="Garamond"/>
                <w:b/>
                <w:lang w:val="sq-AL"/>
              </w:rPr>
              <w:t>(viti)</w:t>
            </w:r>
          </w:p>
        </w:tc>
        <w:tc>
          <w:tcPr>
            <w:tcW w:w="1792" w:type="dxa"/>
            <w:vAlign w:val="center"/>
          </w:tcPr>
          <w:p w14:paraId="09286319" w14:textId="77777777" w:rsidR="006F605B" w:rsidRPr="00DC66CD" w:rsidRDefault="006F605B" w:rsidP="00AA6758">
            <w:pPr>
              <w:snapToGrid w:val="0"/>
              <w:jc w:val="center"/>
              <w:rPr>
                <w:rFonts w:ascii="Garamond" w:hAnsi="Garamond"/>
                <w:b/>
                <w:lang w:val="sq-AL"/>
              </w:rPr>
            </w:pPr>
            <w:r w:rsidRPr="00DC66CD">
              <w:rPr>
                <w:rFonts w:ascii="Garamond" w:hAnsi="Garamond"/>
                <w:b/>
                <w:lang w:val="sq-AL"/>
              </w:rPr>
              <w:t>Objektivi (viti)</w:t>
            </w:r>
          </w:p>
        </w:tc>
      </w:tr>
      <w:tr w:rsidR="006F605B" w:rsidRPr="00DC66CD" w14:paraId="7F67FDAE" w14:textId="77777777" w:rsidTr="00A23DC6">
        <w:trPr>
          <w:jc w:val="center"/>
        </w:trPr>
        <w:tc>
          <w:tcPr>
            <w:tcW w:w="4248" w:type="dxa"/>
          </w:tcPr>
          <w:p w14:paraId="419A9030" w14:textId="77777777" w:rsidR="006F605B" w:rsidRPr="00DC66CD" w:rsidRDefault="006F605B" w:rsidP="00452C18">
            <w:pPr>
              <w:snapToGrid w:val="0"/>
              <w:rPr>
                <w:rFonts w:ascii="Garamond" w:hAnsi="Garamond"/>
                <w:lang w:val="sq-AL"/>
              </w:rPr>
            </w:pPr>
            <w:r w:rsidRPr="00DC66CD">
              <w:rPr>
                <w:rStyle w:val="tlid-translation"/>
                <w:rFonts w:ascii="Garamond" w:hAnsi="Garamond"/>
                <w:lang w:val="sq-AL"/>
              </w:rPr>
              <w:t>Sasia e energjisë elektrike e prodhuar nga impiantet diellore PV dhe turbinat e erës</w:t>
            </w:r>
          </w:p>
        </w:tc>
        <w:tc>
          <w:tcPr>
            <w:tcW w:w="1791" w:type="dxa"/>
          </w:tcPr>
          <w:p w14:paraId="619A5BE0" w14:textId="77777777" w:rsidR="006F605B" w:rsidRPr="00DC66CD" w:rsidRDefault="006F605B" w:rsidP="00AA6758">
            <w:pPr>
              <w:snapToGrid w:val="0"/>
              <w:jc w:val="right"/>
              <w:rPr>
                <w:rFonts w:ascii="Garamond" w:hAnsi="Garamond"/>
                <w:lang w:val="sq-AL"/>
              </w:rPr>
            </w:pPr>
            <w:r w:rsidRPr="00DC66CD">
              <w:rPr>
                <w:rFonts w:ascii="Garamond" w:hAnsi="Garamond"/>
                <w:lang w:val="sq-AL"/>
              </w:rPr>
              <w:t>4%</w:t>
            </w:r>
          </w:p>
        </w:tc>
        <w:tc>
          <w:tcPr>
            <w:tcW w:w="1791" w:type="dxa"/>
          </w:tcPr>
          <w:p w14:paraId="79C3836D" w14:textId="77777777" w:rsidR="006F605B" w:rsidRPr="00DC66CD" w:rsidRDefault="006F605B" w:rsidP="00AA6758">
            <w:pPr>
              <w:snapToGrid w:val="0"/>
              <w:jc w:val="right"/>
              <w:rPr>
                <w:rFonts w:ascii="Garamond" w:hAnsi="Garamond"/>
                <w:lang w:val="sq-AL"/>
              </w:rPr>
            </w:pPr>
            <w:r w:rsidRPr="00DC66CD">
              <w:rPr>
                <w:rFonts w:ascii="Garamond" w:hAnsi="Garamond"/>
                <w:lang w:val="sq-AL"/>
              </w:rPr>
              <w:t>40%</w:t>
            </w:r>
          </w:p>
        </w:tc>
        <w:tc>
          <w:tcPr>
            <w:tcW w:w="1792" w:type="dxa"/>
          </w:tcPr>
          <w:p w14:paraId="5C95F1BE" w14:textId="77777777" w:rsidR="006F605B" w:rsidRPr="00DC66CD" w:rsidRDefault="006F605B" w:rsidP="00AA6758">
            <w:pPr>
              <w:snapToGrid w:val="0"/>
              <w:jc w:val="right"/>
              <w:rPr>
                <w:rFonts w:ascii="Garamond" w:hAnsi="Garamond"/>
                <w:lang w:val="sq-AL"/>
              </w:rPr>
            </w:pPr>
            <w:r w:rsidRPr="00DC66CD">
              <w:rPr>
                <w:rFonts w:ascii="Garamond" w:hAnsi="Garamond"/>
                <w:lang w:val="sq-AL"/>
              </w:rPr>
              <w:t>81%</w:t>
            </w:r>
          </w:p>
        </w:tc>
      </w:tr>
      <w:tr w:rsidR="006F605B" w:rsidRPr="00DC66CD" w14:paraId="6D1E8570" w14:textId="77777777" w:rsidTr="00A23DC6">
        <w:trPr>
          <w:jc w:val="center"/>
        </w:trPr>
        <w:tc>
          <w:tcPr>
            <w:tcW w:w="4248" w:type="dxa"/>
          </w:tcPr>
          <w:p w14:paraId="537BFF7C" w14:textId="77777777" w:rsidR="006F605B" w:rsidRPr="00DC66CD" w:rsidRDefault="006F605B" w:rsidP="00452C18">
            <w:pPr>
              <w:snapToGrid w:val="0"/>
              <w:rPr>
                <w:rFonts w:ascii="Garamond" w:hAnsi="Garamond"/>
                <w:lang w:val="sq-AL"/>
              </w:rPr>
            </w:pPr>
            <w:r w:rsidRPr="00DC66CD">
              <w:rPr>
                <w:rStyle w:val="tlid-translation"/>
                <w:rFonts w:ascii="Garamond" w:hAnsi="Garamond"/>
                <w:lang w:val="sq-AL"/>
              </w:rPr>
              <w:t>Plotësimi i legjislacionit sekondar dhe rregullator</w:t>
            </w:r>
          </w:p>
        </w:tc>
        <w:tc>
          <w:tcPr>
            <w:tcW w:w="1791" w:type="dxa"/>
          </w:tcPr>
          <w:p w14:paraId="57051AE0" w14:textId="77777777" w:rsidR="006F605B" w:rsidRPr="00DC66CD" w:rsidRDefault="006F605B" w:rsidP="00AA6758">
            <w:pPr>
              <w:snapToGrid w:val="0"/>
              <w:jc w:val="right"/>
              <w:rPr>
                <w:rFonts w:ascii="Garamond" w:hAnsi="Garamond"/>
                <w:lang w:val="sq-AL"/>
              </w:rPr>
            </w:pPr>
            <w:r w:rsidRPr="00DC66CD">
              <w:rPr>
                <w:rFonts w:ascii="Garamond" w:hAnsi="Garamond"/>
                <w:lang w:val="sq-AL"/>
              </w:rPr>
              <w:t>80%</w:t>
            </w:r>
          </w:p>
        </w:tc>
        <w:tc>
          <w:tcPr>
            <w:tcW w:w="1791" w:type="dxa"/>
          </w:tcPr>
          <w:p w14:paraId="79E4F39D" w14:textId="77777777" w:rsidR="006F605B" w:rsidRPr="00DC66CD" w:rsidRDefault="006F605B" w:rsidP="00AA6758">
            <w:pPr>
              <w:snapToGrid w:val="0"/>
              <w:jc w:val="right"/>
              <w:rPr>
                <w:rFonts w:ascii="Garamond" w:hAnsi="Garamond"/>
                <w:lang w:val="sq-AL"/>
              </w:rPr>
            </w:pPr>
            <w:r w:rsidRPr="00DC66CD">
              <w:rPr>
                <w:rFonts w:ascii="Garamond" w:hAnsi="Garamond"/>
                <w:lang w:val="sq-AL"/>
              </w:rPr>
              <w:t>100%</w:t>
            </w:r>
          </w:p>
        </w:tc>
        <w:tc>
          <w:tcPr>
            <w:tcW w:w="1792" w:type="dxa"/>
          </w:tcPr>
          <w:p w14:paraId="5F62D1FB" w14:textId="77777777" w:rsidR="006F605B" w:rsidRPr="00DC66CD" w:rsidRDefault="006F605B" w:rsidP="00AA6758">
            <w:pPr>
              <w:snapToGrid w:val="0"/>
              <w:jc w:val="right"/>
              <w:rPr>
                <w:rFonts w:ascii="Garamond" w:hAnsi="Garamond"/>
                <w:lang w:val="sq-AL"/>
              </w:rPr>
            </w:pPr>
            <w:r w:rsidRPr="00DC66CD">
              <w:rPr>
                <w:rFonts w:ascii="Garamond" w:hAnsi="Garamond"/>
                <w:lang w:val="sq-AL"/>
              </w:rPr>
              <w:t>-</w:t>
            </w:r>
          </w:p>
        </w:tc>
      </w:tr>
      <w:tr w:rsidR="006F605B" w:rsidRPr="00DC66CD" w14:paraId="582F86D5" w14:textId="77777777" w:rsidTr="00A23DC6">
        <w:trPr>
          <w:jc w:val="center"/>
        </w:trPr>
        <w:tc>
          <w:tcPr>
            <w:tcW w:w="4248" w:type="dxa"/>
          </w:tcPr>
          <w:p w14:paraId="46F2122C" w14:textId="5764CDEC" w:rsidR="006F605B" w:rsidRPr="00DC66CD" w:rsidRDefault="006F605B" w:rsidP="00AA6758">
            <w:pPr>
              <w:snapToGrid w:val="0"/>
              <w:rPr>
                <w:rFonts w:ascii="Garamond" w:hAnsi="Garamond"/>
                <w:lang w:val="sq-AL"/>
              </w:rPr>
            </w:pPr>
            <w:r w:rsidRPr="00DC66CD">
              <w:rPr>
                <w:rStyle w:val="tlid-translation"/>
                <w:rFonts w:ascii="Garamond" w:hAnsi="Garamond"/>
                <w:lang w:val="sq-AL"/>
              </w:rPr>
              <w:t>Raportet e auditimit të efikasitetit të energjisë/</w:t>
            </w:r>
            <w:r w:rsidR="00AA6758" w:rsidRPr="00DC66CD">
              <w:rPr>
                <w:rStyle w:val="tlid-translation"/>
                <w:rFonts w:ascii="Garamond" w:hAnsi="Garamond"/>
                <w:lang w:val="sq-AL"/>
              </w:rPr>
              <w:t>nr.</w:t>
            </w:r>
            <w:r w:rsidRPr="00DC66CD">
              <w:rPr>
                <w:rStyle w:val="tlid-translation"/>
                <w:rFonts w:ascii="Garamond" w:hAnsi="Garamond"/>
                <w:lang w:val="sq-AL"/>
              </w:rPr>
              <w:t xml:space="preserve"> i </w:t>
            </w:r>
            <w:r w:rsidR="00AA6758" w:rsidRPr="00DC66CD">
              <w:rPr>
                <w:rStyle w:val="tlid-translation"/>
                <w:rFonts w:ascii="Garamond" w:hAnsi="Garamond"/>
                <w:lang w:val="sq-AL"/>
              </w:rPr>
              <w:t xml:space="preserve">certifikatave </w:t>
            </w:r>
            <w:r w:rsidRPr="00DC66CD">
              <w:rPr>
                <w:rStyle w:val="tlid-translation"/>
                <w:rFonts w:ascii="Garamond" w:hAnsi="Garamond"/>
                <w:lang w:val="sq-AL"/>
              </w:rPr>
              <w:t>t</w:t>
            </w:r>
            <w:r w:rsidR="00AA6758" w:rsidRPr="00DC66CD">
              <w:rPr>
                <w:rStyle w:val="tlid-translation"/>
                <w:rFonts w:ascii="Garamond" w:hAnsi="Garamond"/>
                <w:lang w:val="sq-AL"/>
              </w:rPr>
              <w:t>ë</w:t>
            </w:r>
            <w:r w:rsidRPr="00DC66CD">
              <w:rPr>
                <w:rStyle w:val="tlid-translation"/>
                <w:rFonts w:ascii="Garamond" w:hAnsi="Garamond"/>
                <w:lang w:val="sq-AL"/>
              </w:rPr>
              <w:t xml:space="preserve"> </w:t>
            </w:r>
            <w:r w:rsidR="00AA6758" w:rsidRPr="00DC66CD">
              <w:rPr>
                <w:rStyle w:val="tlid-translation"/>
                <w:rFonts w:ascii="Garamond" w:hAnsi="Garamond"/>
                <w:lang w:val="sq-AL"/>
              </w:rPr>
              <w:t xml:space="preserve">performancës </w:t>
            </w:r>
            <w:r w:rsidRPr="00DC66CD">
              <w:rPr>
                <w:rStyle w:val="tlid-translation"/>
                <w:rFonts w:ascii="Garamond" w:hAnsi="Garamond"/>
                <w:lang w:val="sq-AL"/>
              </w:rPr>
              <w:t xml:space="preserve">së </w:t>
            </w:r>
            <w:r w:rsidR="00AA6758" w:rsidRPr="00DC66CD">
              <w:rPr>
                <w:rStyle w:val="tlid-translation"/>
                <w:rFonts w:ascii="Garamond" w:hAnsi="Garamond"/>
                <w:lang w:val="sq-AL"/>
              </w:rPr>
              <w:t>ndërtesave</w:t>
            </w:r>
          </w:p>
        </w:tc>
        <w:tc>
          <w:tcPr>
            <w:tcW w:w="1791" w:type="dxa"/>
          </w:tcPr>
          <w:p w14:paraId="4FAFFED2" w14:textId="77777777" w:rsidR="006F605B" w:rsidRPr="00DC66CD" w:rsidRDefault="006F605B" w:rsidP="00AA6758">
            <w:pPr>
              <w:snapToGrid w:val="0"/>
              <w:jc w:val="right"/>
              <w:rPr>
                <w:rFonts w:ascii="Garamond" w:hAnsi="Garamond"/>
                <w:lang w:val="sq-AL"/>
              </w:rPr>
            </w:pPr>
            <w:r w:rsidRPr="00DC66CD">
              <w:rPr>
                <w:rFonts w:ascii="Garamond" w:hAnsi="Garamond"/>
                <w:lang w:val="sq-AL"/>
              </w:rPr>
              <w:t>-</w:t>
            </w:r>
          </w:p>
        </w:tc>
        <w:tc>
          <w:tcPr>
            <w:tcW w:w="1791" w:type="dxa"/>
          </w:tcPr>
          <w:p w14:paraId="2DCF9A27" w14:textId="77777777" w:rsidR="006F605B" w:rsidRPr="00DC66CD" w:rsidRDefault="006F605B" w:rsidP="00AA6758">
            <w:pPr>
              <w:snapToGrid w:val="0"/>
              <w:jc w:val="right"/>
              <w:rPr>
                <w:rFonts w:ascii="Garamond" w:hAnsi="Garamond"/>
                <w:lang w:val="sq-AL"/>
              </w:rPr>
            </w:pPr>
            <w:r w:rsidRPr="00DC66CD">
              <w:rPr>
                <w:rFonts w:ascii="Garamond" w:hAnsi="Garamond"/>
                <w:lang w:val="sq-AL"/>
              </w:rPr>
              <w:t>-</w:t>
            </w:r>
          </w:p>
        </w:tc>
        <w:tc>
          <w:tcPr>
            <w:tcW w:w="1792" w:type="dxa"/>
          </w:tcPr>
          <w:p w14:paraId="1059982C" w14:textId="77777777" w:rsidR="006F605B" w:rsidRPr="00DC66CD" w:rsidRDefault="006F605B" w:rsidP="00AA6758">
            <w:pPr>
              <w:snapToGrid w:val="0"/>
              <w:jc w:val="right"/>
              <w:rPr>
                <w:rFonts w:ascii="Garamond" w:hAnsi="Garamond"/>
                <w:lang w:val="sq-AL"/>
              </w:rPr>
            </w:pPr>
            <w:r w:rsidRPr="00DC66CD">
              <w:rPr>
                <w:rFonts w:ascii="Garamond" w:hAnsi="Garamond"/>
                <w:lang w:val="sq-AL"/>
              </w:rPr>
              <w:t>-</w:t>
            </w:r>
          </w:p>
        </w:tc>
      </w:tr>
    </w:tbl>
    <w:p w14:paraId="325471B8" w14:textId="77777777" w:rsidR="006F605B" w:rsidRPr="00DC66CD" w:rsidRDefault="006F605B" w:rsidP="006F605B">
      <w:pPr>
        <w:snapToGrid w:val="0"/>
        <w:spacing w:after="0" w:line="240" w:lineRule="auto"/>
        <w:ind w:firstLine="284"/>
        <w:rPr>
          <w:rFonts w:ascii="Garamond" w:hAnsi="Garamond"/>
          <w:sz w:val="24"/>
          <w:szCs w:val="24"/>
        </w:rPr>
      </w:pPr>
    </w:p>
    <w:p w14:paraId="6C9B7F9A" w14:textId="734D78FD" w:rsidR="006F605B" w:rsidRPr="00DC66CD" w:rsidRDefault="00E223A4" w:rsidP="00F84EF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4</w:t>
      </w:r>
      <w:r w:rsidR="00F84EF0" w:rsidRPr="00DC66CD">
        <w:rPr>
          <w:rFonts w:ascii="Garamond" w:hAnsi="Garamond"/>
          <w:color w:val="000000" w:themeColor="text1"/>
          <w:sz w:val="24"/>
          <w:szCs w:val="24"/>
        </w:rPr>
        <w:t xml:space="preserve">. </w:t>
      </w:r>
      <w:r w:rsidR="006F605B" w:rsidRPr="00DC66CD">
        <w:rPr>
          <w:rFonts w:ascii="Garamond" w:hAnsi="Garamond"/>
          <w:color w:val="000000" w:themeColor="text1"/>
          <w:sz w:val="24"/>
          <w:szCs w:val="24"/>
        </w:rPr>
        <w:t>Ndikimi i pritshëm në konkurrueshmëri</w:t>
      </w:r>
    </w:p>
    <w:p w14:paraId="247B1608" w14:textId="594F1B3A"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Sektori i energjisë ka hyr</w:t>
      </w:r>
      <w:r w:rsidR="00A23DC6" w:rsidRPr="00DC66CD">
        <w:rPr>
          <w:rFonts w:ascii="Garamond" w:hAnsi="Garamond"/>
          <w:sz w:val="24"/>
          <w:szCs w:val="24"/>
        </w:rPr>
        <w:t>ë</w:t>
      </w:r>
      <w:r w:rsidRPr="00DC66CD">
        <w:rPr>
          <w:rFonts w:ascii="Garamond" w:hAnsi="Garamond"/>
          <w:sz w:val="24"/>
          <w:szCs w:val="24"/>
        </w:rPr>
        <w:t xml:space="preserve"> në një epokë të një transformimi të rëndësishëm</w:t>
      </w:r>
      <w:r w:rsidR="00A23DC6" w:rsidRPr="00DC66CD">
        <w:rPr>
          <w:rFonts w:ascii="Garamond" w:hAnsi="Garamond"/>
          <w:sz w:val="24"/>
          <w:szCs w:val="24"/>
        </w:rPr>
        <w:t>,</w:t>
      </w:r>
      <w:r w:rsidRPr="00DC66CD">
        <w:rPr>
          <w:rFonts w:ascii="Garamond" w:hAnsi="Garamond"/>
          <w:sz w:val="24"/>
          <w:szCs w:val="24"/>
        </w:rPr>
        <w:t xml:space="preserve"> për shkak të rritjes së depërtimit të energjisë së rinovueshme.</w:t>
      </w:r>
    </w:p>
    <w:p w14:paraId="2108F7B7" w14:textId="3973536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Diversifikimi i burimeve të energjisë (të rinovueshme) do të ketë ndikim të drejtpërdrejtë pozitiv në rritjen e konkurrencës</w:t>
      </w:r>
      <w:r w:rsidR="00A23DC6" w:rsidRPr="00DC66CD">
        <w:rPr>
          <w:rFonts w:ascii="Garamond" w:hAnsi="Garamond"/>
          <w:sz w:val="24"/>
          <w:szCs w:val="24"/>
        </w:rPr>
        <w:t>,</w:t>
      </w:r>
      <w:r w:rsidRPr="00DC66CD">
        <w:rPr>
          <w:rFonts w:ascii="Garamond" w:hAnsi="Garamond"/>
          <w:sz w:val="24"/>
          <w:szCs w:val="24"/>
        </w:rPr>
        <w:t xml:space="preserve"> si rezultat i përdorimit të burimeve të reja të energjisë (diellore dhe e erës) që do të rrisin prodhimin </w:t>
      </w:r>
      <w:r w:rsidR="00637183" w:rsidRPr="00DC66CD">
        <w:rPr>
          <w:rFonts w:ascii="Garamond" w:hAnsi="Garamond"/>
          <w:sz w:val="24"/>
          <w:szCs w:val="24"/>
        </w:rPr>
        <w:t>vendës</w:t>
      </w:r>
      <w:r w:rsidRPr="00DC66CD">
        <w:rPr>
          <w:rFonts w:ascii="Garamond" w:hAnsi="Garamond"/>
          <w:sz w:val="24"/>
          <w:szCs w:val="24"/>
        </w:rPr>
        <w:t xml:space="preserve"> të energjisë në tregun </w:t>
      </w:r>
      <w:r w:rsidR="00A23DC6" w:rsidRPr="00DC66CD">
        <w:rPr>
          <w:rFonts w:ascii="Garamond" w:hAnsi="Garamond"/>
          <w:sz w:val="24"/>
          <w:szCs w:val="24"/>
        </w:rPr>
        <w:t>shqiptar</w:t>
      </w:r>
      <w:r w:rsidRPr="00DC66CD">
        <w:rPr>
          <w:rFonts w:ascii="Garamond" w:hAnsi="Garamond"/>
          <w:sz w:val="24"/>
          <w:szCs w:val="24"/>
        </w:rPr>
        <w:t>. Ndërsa teknologjitë e gjenerimit të energjisë së rinovueshme kan</w:t>
      </w:r>
      <w:r w:rsidR="00A23DC6" w:rsidRPr="00DC66CD">
        <w:rPr>
          <w:rFonts w:ascii="Garamond" w:hAnsi="Garamond"/>
          <w:sz w:val="24"/>
          <w:szCs w:val="24"/>
        </w:rPr>
        <w:t>ë</w:t>
      </w:r>
      <w:r w:rsidRPr="00DC66CD">
        <w:rPr>
          <w:rFonts w:ascii="Garamond" w:hAnsi="Garamond"/>
          <w:sz w:val="24"/>
          <w:szCs w:val="24"/>
        </w:rPr>
        <w:t xml:space="preserve"> avancuar dhe kostot e tyre janë ulur, ka një tendenc</w:t>
      </w:r>
      <w:r w:rsidR="00A23DC6" w:rsidRPr="00DC66CD">
        <w:rPr>
          <w:rFonts w:ascii="Garamond" w:hAnsi="Garamond"/>
          <w:sz w:val="24"/>
          <w:szCs w:val="24"/>
        </w:rPr>
        <w:t>ë</w:t>
      </w:r>
      <w:r w:rsidRPr="00DC66CD">
        <w:rPr>
          <w:rFonts w:ascii="Garamond" w:hAnsi="Garamond"/>
          <w:sz w:val="24"/>
          <w:szCs w:val="24"/>
        </w:rPr>
        <w:t xml:space="preserve"> në rritje drejt ankandeve. Në tregun shqiptar me vëllime të kufizuar</w:t>
      </w:r>
      <w:r w:rsidR="00A23DC6" w:rsidRPr="00DC66CD">
        <w:rPr>
          <w:rFonts w:ascii="Garamond" w:hAnsi="Garamond"/>
          <w:sz w:val="24"/>
          <w:szCs w:val="24"/>
        </w:rPr>
        <w:t>a</w:t>
      </w:r>
      <w:r w:rsidRPr="00DC66CD">
        <w:rPr>
          <w:rFonts w:ascii="Garamond" w:hAnsi="Garamond"/>
          <w:sz w:val="24"/>
          <w:szCs w:val="24"/>
        </w:rPr>
        <w:t xml:space="preserve"> në ofertë, kjo ka çuar në konkurrencë të fortë për projekte dhe ka rezultuar në rënie të kostove të energjisë (ankandi Ak</w:t>
      </w:r>
      <w:r w:rsidR="00A23DC6" w:rsidRPr="00DC66CD">
        <w:rPr>
          <w:rFonts w:ascii="Garamond" w:hAnsi="Garamond"/>
          <w:sz w:val="24"/>
          <w:szCs w:val="24"/>
        </w:rPr>
        <w:t>ë</w:t>
      </w:r>
      <w:r w:rsidRPr="00DC66CD">
        <w:rPr>
          <w:rFonts w:ascii="Garamond" w:hAnsi="Garamond"/>
          <w:sz w:val="24"/>
          <w:szCs w:val="24"/>
        </w:rPr>
        <w:t>rni</w:t>
      </w:r>
      <w:r w:rsidR="00A23DC6" w:rsidRPr="00DC66CD">
        <w:rPr>
          <w:rFonts w:ascii="Garamond" w:hAnsi="Garamond"/>
          <w:sz w:val="24"/>
          <w:szCs w:val="24"/>
        </w:rPr>
        <w:t>a</w:t>
      </w:r>
      <w:r w:rsidRPr="00DC66CD">
        <w:rPr>
          <w:rFonts w:ascii="Garamond" w:hAnsi="Garamond"/>
          <w:sz w:val="24"/>
          <w:szCs w:val="24"/>
        </w:rPr>
        <w:t xml:space="preserve"> 59.9 </w:t>
      </w:r>
      <w:r w:rsidR="00A23DC6" w:rsidRPr="00DC66CD">
        <w:rPr>
          <w:rFonts w:ascii="Garamond" w:hAnsi="Garamond"/>
          <w:sz w:val="24"/>
          <w:szCs w:val="24"/>
        </w:rPr>
        <w:t>euro kwh</w:t>
      </w:r>
      <w:r w:rsidRPr="00DC66CD">
        <w:rPr>
          <w:rFonts w:ascii="Garamond" w:hAnsi="Garamond"/>
          <w:sz w:val="24"/>
          <w:szCs w:val="24"/>
        </w:rPr>
        <w:t>).</w:t>
      </w:r>
    </w:p>
    <w:p w14:paraId="7013F3E8" w14:textId="3069287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Promovimi dhe masat nxitëse për burimet e rinovueshme do të kontribuojnë në rritjen e sigurisë së furnizimit me energji në vend dhe do t</w:t>
      </w:r>
      <w:r w:rsidR="002C582E" w:rsidRPr="00DC66CD">
        <w:rPr>
          <w:rFonts w:ascii="Garamond" w:hAnsi="Garamond"/>
          <w:sz w:val="24"/>
          <w:szCs w:val="24"/>
        </w:rPr>
        <w:t>’</w:t>
      </w:r>
      <w:r w:rsidRPr="00DC66CD">
        <w:rPr>
          <w:rFonts w:ascii="Garamond" w:hAnsi="Garamond"/>
          <w:sz w:val="24"/>
          <w:szCs w:val="24"/>
        </w:rPr>
        <w:t>i detyrojë zhvilluesit të zbatojnë praktikat më të mira për zhvillimin e projekteve, të përdorin teknika t</w:t>
      </w:r>
      <w:r w:rsidR="008B5731">
        <w:rPr>
          <w:rFonts w:ascii="Garamond" w:hAnsi="Garamond"/>
          <w:sz w:val="24"/>
          <w:szCs w:val="24"/>
        </w:rPr>
        <w:t xml:space="preserve">ë </w:t>
      </w:r>
      <w:r w:rsidRPr="00DC66CD">
        <w:rPr>
          <w:rFonts w:ascii="Garamond" w:hAnsi="Garamond"/>
          <w:sz w:val="24"/>
          <w:szCs w:val="24"/>
        </w:rPr>
        <w:t>teknologjive inovative</w:t>
      </w:r>
      <w:r w:rsidR="00A23DC6" w:rsidRPr="00DC66CD">
        <w:rPr>
          <w:rFonts w:ascii="Garamond" w:hAnsi="Garamond"/>
          <w:sz w:val="24"/>
          <w:szCs w:val="24"/>
        </w:rPr>
        <w:t>,</w:t>
      </w:r>
      <w:r w:rsidRPr="00DC66CD">
        <w:rPr>
          <w:rFonts w:ascii="Garamond" w:hAnsi="Garamond"/>
          <w:sz w:val="24"/>
          <w:szCs w:val="24"/>
        </w:rPr>
        <w:t xml:space="preserve"> duke thjeshtuar në përgjithësi arritjen e rezultatit.</w:t>
      </w:r>
    </w:p>
    <w:p w14:paraId="4880EF9C" w14:textId="40DB3C0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Rezultatet e kursimit t</w:t>
      </w:r>
      <w:r w:rsidR="008B5731">
        <w:rPr>
          <w:rFonts w:ascii="Garamond" w:hAnsi="Garamond"/>
          <w:sz w:val="24"/>
          <w:szCs w:val="24"/>
        </w:rPr>
        <w:t>ë</w:t>
      </w:r>
      <w:r w:rsidRPr="00DC66CD">
        <w:rPr>
          <w:rFonts w:ascii="Garamond" w:hAnsi="Garamond"/>
          <w:sz w:val="24"/>
          <w:szCs w:val="24"/>
        </w:rPr>
        <w:t xml:space="preserve"> energjisë</w:t>
      </w:r>
      <w:r w:rsidR="00A23DC6" w:rsidRPr="00DC66CD">
        <w:rPr>
          <w:rFonts w:ascii="Garamond" w:hAnsi="Garamond"/>
          <w:sz w:val="24"/>
          <w:szCs w:val="24"/>
        </w:rPr>
        <w:t>,</w:t>
      </w:r>
      <w:r w:rsidRPr="00DC66CD">
        <w:rPr>
          <w:rFonts w:ascii="Garamond" w:hAnsi="Garamond"/>
          <w:sz w:val="24"/>
          <w:szCs w:val="24"/>
        </w:rPr>
        <w:t xml:space="preserve"> si rezultat i masave të </w:t>
      </w:r>
      <w:r w:rsidR="00A23DC6" w:rsidRPr="00DC66CD">
        <w:rPr>
          <w:rFonts w:ascii="Garamond" w:hAnsi="Garamond"/>
          <w:sz w:val="24"/>
          <w:szCs w:val="24"/>
        </w:rPr>
        <w:t>eficiencës,</w:t>
      </w:r>
      <w:r w:rsidRPr="00DC66CD">
        <w:rPr>
          <w:rFonts w:ascii="Garamond" w:hAnsi="Garamond"/>
          <w:sz w:val="24"/>
          <w:szCs w:val="24"/>
        </w:rPr>
        <w:t xml:space="preserve"> do të kenë ndikim të drejtpërdrejtë pozitiv në rritjen e konkurrencës</w:t>
      </w:r>
      <w:r w:rsidR="00A218BE" w:rsidRPr="00DC66CD">
        <w:rPr>
          <w:rFonts w:ascii="Garamond" w:hAnsi="Garamond"/>
          <w:sz w:val="24"/>
          <w:szCs w:val="24"/>
        </w:rPr>
        <w:t>,</w:t>
      </w:r>
      <w:r w:rsidRPr="00DC66CD">
        <w:rPr>
          <w:rFonts w:ascii="Garamond" w:hAnsi="Garamond"/>
          <w:sz w:val="24"/>
          <w:szCs w:val="24"/>
        </w:rPr>
        <w:t xml:space="preserve"> duke bërë të mundur uljen e konsumit të energjisë dhe uljen e kostove.</w:t>
      </w:r>
    </w:p>
    <w:p w14:paraId="157515E8"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 Ulja e emetimeve të CO</w:t>
      </w:r>
      <w:r w:rsidRPr="00DC66CD">
        <w:rPr>
          <w:rFonts w:ascii="Garamond" w:hAnsi="Garamond"/>
          <w:sz w:val="24"/>
          <w:szCs w:val="24"/>
          <w:vertAlign w:val="subscript"/>
        </w:rPr>
        <w:t>2</w:t>
      </w:r>
      <w:r w:rsidRPr="00DC66CD">
        <w:rPr>
          <w:rFonts w:ascii="Garamond" w:hAnsi="Garamond"/>
          <w:sz w:val="24"/>
          <w:szCs w:val="24"/>
        </w:rPr>
        <w:t xml:space="preserve"> dhe përmirësimi i mjedisit.</w:t>
      </w:r>
    </w:p>
    <w:p w14:paraId="7C41337B" w14:textId="487E94E9" w:rsidR="006F605B" w:rsidRPr="00DC66CD" w:rsidRDefault="00E223A4" w:rsidP="00F84EF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5</w:t>
      </w:r>
      <w:r w:rsidR="00F84EF0" w:rsidRPr="00DC66CD">
        <w:rPr>
          <w:rFonts w:ascii="Garamond" w:hAnsi="Garamond"/>
          <w:color w:val="000000" w:themeColor="text1"/>
          <w:sz w:val="24"/>
          <w:szCs w:val="24"/>
        </w:rPr>
        <w:t xml:space="preserve">. </w:t>
      </w:r>
      <w:r w:rsidR="006F605B" w:rsidRPr="00DC66CD">
        <w:rPr>
          <w:rFonts w:ascii="Garamond" w:hAnsi="Garamond"/>
          <w:color w:val="000000" w:themeColor="text1"/>
          <w:sz w:val="24"/>
          <w:szCs w:val="24"/>
        </w:rPr>
        <w:t>Kosto</w:t>
      </w:r>
      <w:r w:rsidR="00A218BE" w:rsidRPr="00DC66CD">
        <w:rPr>
          <w:rFonts w:ascii="Garamond" w:hAnsi="Garamond"/>
          <w:color w:val="000000" w:themeColor="text1"/>
          <w:sz w:val="24"/>
          <w:szCs w:val="24"/>
        </w:rPr>
        <w:t>ja</w:t>
      </w:r>
      <w:r w:rsidR="006F605B" w:rsidRPr="00DC66CD">
        <w:rPr>
          <w:rFonts w:ascii="Garamond" w:hAnsi="Garamond"/>
          <w:color w:val="000000" w:themeColor="text1"/>
          <w:sz w:val="24"/>
          <w:szCs w:val="24"/>
        </w:rPr>
        <w:t xml:space="preserve"> e parashikuar e aktiviteteve dhe burimi i financimit</w:t>
      </w:r>
    </w:p>
    <w:p w14:paraId="5D9244F9" w14:textId="42FC643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Për të siguruar arritjen e objektivit kombëtar të konsumit të BRE</w:t>
      </w:r>
      <w:r w:rsidR="00A218BE" w:rsidRPr="00DC66CD">
        <w:rPr>
          <w:rFonts w:ascii="Garamond" w:hAnsi="Garamond"/>
          <w:sz w:val="24"/>
          <w:szCs w:val="24"/>
        </w:rPr>
        <w:t>-së</w:t>
      </w:r>
      <w:r w:rsidRPr="00DC66CD">
        <w:rPr>
          <w:rFonts w:ascii="Garamond" w:hAnsi="Garamond"/>
          <w:sz w:val="24"/>
          <w:szCs w:val="24"/>
        </w:rPr>
        <w:t xml:space="preserve"> (38%) në vitin 2020, janë aprovuar miratime me tarifa të rregulluara për këto burime</w:t>
      </w:r>
      <w:r w:rsidR="00A218BE" w:rsidRPr="00DC66CD">
        <w:rPr>
          <w:rFonts w:ascii="Garamond" w:hAnsi="Garamond"/>
          <w:sz w:val="24"/>
          <w:szCs w:val="24"/>
        </w:rPr>
        <w:t>,</w:t>
      </w:r>
      <w:r w:rsidRPr="00DC66CD">
        <w:rPr>
          <w:rFonts w:ascii="Garamond" w:hAnsi="Garamond"/>
          <w:sz w:val="24"/>
          <w:szCs w:val="24"/>
        </w:rPr>
        <w:t xml:space="preserve"> si dhe janë miratuar metodologjitë për çmimet e blerjes së tyre.</w:t>
      </w:r>
    </w:p>
    <w:p w14:paraId="4F6CF0E1" w14:textId="18B2D37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Ligji konservon kontratat e koncesionit për hidrocentralet e v</w:t>
      </w:r>
      <w:r w:rsidR="00A218BE" w:rsidRPr="00DC66CD">
        <w:rPr>
          <w:rFonts w:ascii="Garamond" w:hAnsi="Garamond"/>
          <w:sz w:val="24"/>
          <w:szCs w:val="24"/>
        </w:rPr>
        <w:t>ogla</w:t>
      </w:r>
      <w:r w:rsidRPr="00DC66CD">
        <w:rPr>
          <w:rFonts w:ascii="Garamond" w:hAnsi="Garamond"/>
          <w:sz w:val="24"/>
          <w:szCs w:val="24"/>
        </w:rPr>
        <w:t xml:space="preserve"> të aprovuar</w:t>
      </w:r>
      <w:r w:rsidR="00A218BE" w:rsidRPr="00DC66CD">
        <w:rPr>
          <w:rFonts w:ascii="Garamond" w:hAnsi="Garamond"/>
          <w:sz w:val="24"/>
          <w:szCs w:val="24"/>
        </w:rPr>
        <w:t>a</w:t>
      </w:r>
      <w:r w:rsidRPr="00DC66CD">
        <w:rPr>
          <w:rFonts w:ascii="Garamond" w:hAnsi="Garamond"/>
          <w:sz w:val="24"/>
          <w:szCs w:val="24"/>
        </w:rPr>
        <w:t xml:space="preserve"> më parë deri në 15</w:t>
      </w:r>
      <w:r w:rsidR="00A218BE" w:rsidRPr="00DC66CD">
        <w:rPr>
          <w:rFonts w:ascii="Garamond" w:hAnsi="Garamond"/>
          <w:sz w:val="24"/>
          <w:szCs w:val="24"/>
        </w:rPr>
        <w:t xml:space="preserve"> mw</w:t>
      </w:r>
      <w:r w:rsidRPr="00DC66CD">
        <w:rPr>
          <w:rFonts w:ascii="Garamond" w:hAnsi="Garamond"/>
          <w:sz w:val="24"/>
          <w:szCs w:val="24"/>
        </w:rPr>
        <w:t>. Gjithashtu</w:t>
      </w:r>
      <w:r w:rsidR="00A218BE" w:rsidRPr="00DC66CD">
        <w:rPr>
          <w:rFonts w:ascii="Garamond" w:hAnsi="Garamond"/>
          <w:sz w:val="24"/>
          <w:szCs w:val="24"/>
        </w:rPr>
        <w:t>,</w:t>
      </w:r>
      <w:r w:rsidRPr="00DC66CD">
        <w:rPr>
          <w:rFonts w:ascii="Garamond" w:hAnsi="Garamond"/>
          <w:sz w:val="24"/>
          <w:szCs w:val="24"/>
        </w:rPr>
        <w:t xml:space="preserve"> si nevojë për diversifikim, është marrë parasysh promovimi i burimeve të tjera të rinovueshme, siç janë </w:t>
      </w:r>
      <w:r w:rsidR="00A218BE" w:rsidRPr="00DC66CD">
        <w:rPr>
          <w:rFonts w:ascii="Garamond" w:hAnsi="Garamond"/>
          <w:sz w:val="24"/>
          <w:szCs w:val="24"/>
        </w:rPr>
        <w:t xml:space="preserve">eoliket </w:t>
      </w:r>
      <w:r w:rsidRPr="00DC66CD">
        <w:rPr>
          <w:rFonts w:ascii="Garamond" w:hAnsi="Garamond"/>
          <w:sz w:val="24"/>
          <w:szCs w:val="24"/>
        </w:rPr>
        <w:t xml:space="preserve">ose PV-të. Në çdo rast, ligji parashikon mundësinë e mbështetjes financiare me tarifa të rregulluara </w:t>
      </w:r>
      <w:r w:rsidRPr="00DC66CD">
        <w:rPr>
          <w:rFonts w:ascii="Garamond" w:hAnsi="Garamond"/>
          <w:i/>
          <w:sz w:val="24"/>
          <w:szCs w:val="24"/>
        </w:rPr>
        <w:t>(Feed</w:t>
      </w:r>
      <w:r w:rsidR="006B711A" w:rsidRPr="00DC66CD">
        <w:rPr>
          <w:rFonts w:ascii="Garamond" w:hAnsi="Garamond"/>
          <w:i/>
          <w:sz w:val="24"/>
          <w:szCs w:val="24"/>
        </w:rPr>
        <w:t xml:space="preserve"> in Tariffs</w:t>
      </w:r>
      <w:r w:rsidRPr="00DC66CD">
        <w:rPr>
          <w:rFonts w:ascii="Garamond" w:hAnsi="Garamond"/>
          <w:i/>
          <w:sz w:val="24"/>
          <w:szCs w:val="24"/>
        </w:rPr>
        <w:t>)</w:t>
      </w:r>
      <w:r w:rsidRPr="00DC66CD">
        <w:rPr>
          <w:rFonts w:ascii="Garamond" w:hAnsi="Garamond"/>
          <w:sz w:val="24"/>
          <w:szCs w:val="24"/>
        </w:rPr>
        <w:t xml:space="preserve"> dhe </w:t>
      </w:r>
      <w:r w:rsidR="00A218BE" w:rsidRPr="00DC66CD">
        <w:rPr>
          <w:rFonts w:ascii="Garamond" w:hAnsi="Garamond"/>
          <w:sz w:val="24"/>
          <w:szCs w:val="24"/>
        </w:rPr>
        <w:t xml:space="preserve">kontratat </w:t>
      </w:r>
      <w:r w:rsidRPr="00DC66CD">
        <w:rPr>
          <w:rFonts w:ascii="Garamond" w:hAnsi="Garamond"/>
          <w:sz w:val="24"/>
          <w:szCs w:val="24"/>
        </w:rPr>
        <w:t>për diferenc</w:t>
      </w:r>
      <w:r w:rsidR="00A218BE" w:rsidRPr="00DC66CD">
        <w:rPr>
          <w:rFonts w:ascii="Garamond" w:hAnsi="Garamond"/>
          <w:sz w:val="24"/>
          <w:szCs w:val="24"/>
        </w:rPr>
        <w:t>ë</w:t>
      </w:r>
      <w:r w:rsidRPr="00DC66CD">
        <w:rPr>
          <w:rFonts w:ascii="Garamond" w:hAnsi="Garamond"/>
          <w:sz w:val="24"/>
          <w:szCs w:val="24"/>
        </w:rPr>
        <w:t xml:space="preserve"> </w:t>
      </w:r>
      <w:r w:rsidRPr="00DC66CD">
        <w:rPr>
          <w:rFonts w:ascii="Garamond" w:hAnsi="Garamond"/>
          <w:i/>
          <w:sz w:val="24"/>
          <w:szCs w:val="24"/>
        </w:rPr>
        <w:t>(Feed</w:t>
      </w:r>
      <w:r w:rsidR="006B711A" w:rsidRPr="00DC66CD">
        <w:rPr>
          <w:rFonts w:ascii="Garamond" w:hAnsi="Garamond"/>
          <w:i/>
          <w:sz w:val="24"/>
          <w:szCs w:val="24"/>
        </w:rPr>
        <w:t xml:space="preserve"> </w:t>
      </w:r>
      <w:r w:rsidRPr="00DC66CD">
        <w:rPr>
          <w:rFonts w:ascii="Garamond" w:hAnsi="Garamond"/>
          <w:i/>
          <w:sz w:val="24"/>
          <w:szCs w:val="24"/>
        </w:rPr>
        <w:t>in</w:t>
      </w:r>
      <w:r w:rsidR="006B711A" w:rsidRPr="00DC66CD">
        <w:rPr>
          <w:rFonts w:ascii="Garamond" w:hAnsi="Garamond"/>
          <w:i/>
          <w:sz w:val="24"/>
          <w:szCs w:val="24"/>
        </w:rPr>
        <w:t xml:space="preserve"> Premium</w:t>
      </w:r>
      <w:r w:rsidRPr="00DC66CD">
        <w:rPr>
          <w:rFonts w:ascii="Garamond" w:hAnsi="Garamond"/>
          <w:i/>
          <w:sz w:val="24"/>
          <w:szCs w:val="24"/>
        </w:rPr>
        <w:t>)</w:t>
      </w:r>
      <w:r w:rsidRPr="00DC66CD">
        <w:rPr>
          <w:rFonts w:ascii="Garamond" w:hAnsi="Garamond"/>
          <w:sz w:val="24"/>
          <w:szCs w:val="24"/>
        </w:rPr>
        <w:t>, si për prodhuesit e rinj dhe ekzistues me përparësi</w:t>
      </w:r>
      <w:r w:rsidR="00A218BE" w:rsidRPr="00DC66CD">
        <w:rPr>
          <w:rFonts w:ascii="Garamond" w:hAnsi="Garamond"/>
          <w:sz w:val="24"/>
          <w:szCs w:val="24"/>
        </w:rPr>
        <w:t>,</w:t>
      </w:r>
      <w:r w:rsidRPr="00DC66CD">
        <w:rPr>
          <w:rFonts w:ascii="Garamond" w:hAnsi="Garamond"/>
          <w:sz w:val="24"/>
          <w:szCs w:val="24"/>
        </w:rPr>
        <w:t xml:space="preserve"> si dhe për prodhuesit e rinj pas përfundimit të </w:t>
      </w:r>
      <w:r w:rsidR="00433A3A" w:rsidRPr="00DC66CD">
        <w:rPr>
          <w:rFonts w:ascii="Garamond" w:hAnsi="Garamond"/>
          <w:sz w:val="24"/>
          <w:szCs w:val="24"/>
        </w:rPr>
        <w:t>2017–</w:t>
      </w:r>
      <w:r w:rsidR="00A218BE" w:rsidRPr="00DC66CD">
        <w:rPr>
          <w:rFonts w:ascii="Garamond" w:hAnsi="Garamond"/>
          <w:sz w:val="24"/>
          <w:szCs w:val="24"/>
        </w:rPr>
        <w:t>ës</w:t>
      </w:r>
      <w:r w:rsidRPr="00DC66CD">
        <w:rPr>
          <w:rFonts w:ascii="Garamond" w:hAnsi="Garamond"/>
          <w:sz w:val="24"/>
          <w:szCs w:val="24"/>
        </w:rPr>
        <w:t>, kur kontratat që nuk i nënshtroheshin koncesionit filluan të funksionojnë nën një procedurë të aprovuar nga VKM</w:t>
      </w:r>
      <w:r w:rsidR="00A218BE" w:rsidRPr="00DC66CD">
        <w:rPr>
          <w:rFonts w:ascii="Garamond" w:hAnsi="Garamond"/>
          <w:sz w:val="24"/>
          <w:szCs w:val="24"/>
        </w:rPr>
        <w:t>-ja</w:t>
      </w:r>
      <w:r w:rsidR="00E33D88" w:rsidRPr="00DC66CD">
        <w:rPr>
          <w:rFonts w:ascii="Garamond" w:hAnsi="Garamond"/>
          <w:sz w:val="24"/>
          <w:szCs w:val="24"/>
        </w:rPr>
        <w:t xml:space="preserve"> nr. </w:t>
      </w:r>
      <w:r w:rsidRPr="00DC66CD">
        <w:rPr>
          <w:rFonts w:ascii="Garamond" w:hAnsi="Garamond"/>
          <w:sz w:val="24"/>
          <w:szCs w:val="24"/>
        </w:rPr>
        <w:t>822</w:t>
      </w:r>
      <w:r w:rsidR="00A218BE" w:rsidRPr="00DC66CD">
        <w:rPr>
          <w:rFonts w:ascii="Garamond" w:hAnsi="Garamond"/>
          <w:sz w:val="24"/>
          <w:szCs w:val="24"/>
        </w:rPr>
        <w:t>,</w:t>
      </w:r>
      <w:r w:rsidRPr="00DC66CD">
        <w:rPr>
          <w:rFonts w:ascii="Garamond" w:hAnsi="Garamond"/>
          <w:sz w:val="24"/>
          <w:szCs w:val="24"/>
        </w:rPr>
        <w:t xml:space="preserve"> datë 7.10.2015</w:t>
      </w:r>
      <w:r w:rsidR="00A218BE" w:rsidRPr="00DC66CD">
        <w:rPr>
          <w:rFonts w:ascii="Garamond" w:hAnsi="Garamond"/>
          <w:sz w:val="24"/>
          <w:szCs w:val="24"/>
        </w:rPr>
        <w:t>,</w:t>
      </w:r>
      <w:r w:rsidRPr="00DC66CD">
        <w:rPr>
          <w:rFonts w:ascii="Garamond" w:hAnsi="Garamond"/>
          <w:sz w:val="24"/>
          <w:szCs w:val="24"/>
        </w:rPr>
        <w:t xml:space="preserve"> </w:t>
      </w:r>
      <w:r w:rsidR="00A218BE" w:rsidRPr="00DC66CD">
        <w:rPr>
          <w:rFonts w:ascii="Garamond" w:hAnsi="Garamond"/>
          <w:sz w:val="24"/>
          <w:szCs w:val="24"/>
        </w:rPr>
        <w:t>e</w:t>
      </w:r>
      <w:r w:rsidRPr="00DC66CD">
        <w:rPr>
          <w:rFonts w:ascii="Garamond" w:hAnsi="Garamond"/>
          <w:sz w:val="24"/>
          <w:szCs w:val="24"/>
        </w:rPr>
        <w:t xml:space="preserve"> ndryshuar.</w:t>
      </w:r>
    </w:p>
    <w:p w14:paraId="2161BB36" w14:textId="1A20D3F0"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Sipas PKVBRE</w:t>
      </w:r>
      <w:r w:rsidR="00A218BE" w:rsidRPr="00DC66CD">
        <w:rPr>
          <w:rFonts w:ascii="Garamond" w:hAnsi="Garamond"/>
          <w:sz w:val="24"/>
          <w:szCs w:val="24"/>
        </w:rPr>
        <w:t>-së</w:t>
      </w:r>
      <w:r w:rsidRPr="00DC66CD">
        <w:rPr>
          <w:rFonts w:ascii="Garamond" w:hAnsi="Garamond"/>
          <w:sz w:val="24"/>
          <w:szCs w:val="24"/>
        </w:rPr>
        <w:t>, investimi i përgjithshëm për sektorin e BRE-ve</w:t>
      </w:r>
      <w:r w:rsidR="008B563E" w:rsidRPr="00DC66CD">
        <w:rPr>
          <w:rFonts w:ascii="Garamond" w:hAnsi="Garamond"/>
          <w:sz w:val="24"/>
          <w:szCs w:val="24"/>
        </w:rPr>
        <w:t>,</w:t>
      </w:r>
      <w:r w:rsidRPr="00DC66CD">
        <w:rPr>
          <w:rFonts w:ascii="Garamond" w:hAnsi="Garamond"/>
          <w:sz w:val="24"/>
          <w:szCs w:val="24"/>
        </w:rPr>
        <w:t xml:space="preserve"> me mbështetje të drejtpërdrejtë nga sektori privat përmes dhënies së miratimeve për ndërtimin e kapaciteteve gjeneruese me HEC-e, PV, </w:t>
      </w:r>
      <w:r w:rsidR="008B563E" w:rsidRPr="00DC66CD">
        <w:rPr>
          <w:rFonts w:ascii="Garamond" w:hAnsi="Garamond"/>
          <w:sz w:val="24"/>
          <w:szCs w:val="24"/>
        </w:rPr>
        <w:t xml:space="preserve">eolik </w:t>
      </w:r>
      <w:r w:rsidRPr="00DC66CD">
        <w:rPr>
          <w:rFonts w:ascii="Garamond" w:hAnsi="Garamond"/>
          <w:sz w:val="24"/>
          <w:szCs w:val="24"/>
        </w:rPr>
        <w:t>dhe MNU-të llogaritet 538 milion</w:t>
      </w:r>
      <w:r w:rsidR="008B563E" w:rsidRPr="00DC66CD">
        <w:rPr>
          <w:rFonts w:ascii="Garamond" w:hAnsi="Garamond"/>
          <w:sz w:val="24"/>
          <w:szCs w:val="24"/>
        </w:rPr>
        <w:t>ë</w:t>
      </w:r>
      <w:r w:rsidRPr="00DC66CD">
        <w:rPr>
          <w:rFonts w:ascii="Garamond" w:hAnsi="Garamond"/>
          <w:sz w:val="24"/>
          <w:szCs w:val="24"/>
        </w:rPr>
        <w:t xml:space="preserve"> </w:t>
      </w:r>
      <w:r w:rsidR="008B563E" w:rsidRPr="00DC66CD">
        <w:rPr>
          <w:rFonts w:ascii="Garamond" w:hAnsi="Garamond"/>
          <w:sz w:val="24"/>
          <w:szCs w:val="24"/>
        </w:rPr>
        <w:t xml:space="preserve">euro </w:t>
      </w:r>
      <w:r w:rsidRPr="00DC66CD">
        <w:rPr>
          <w:rFonts w:ascii="Garamond" w:hAnsi="Garamond"/>
          <w:sz w:val="24"/>
          <w:szCs w:val="24"/>
        </w:rPr>
        <w:t>deri në vitin 2020</w:t>
      </w:r>
      <w:r w:rsidR="008B563E" w:rsidRPr="00DC66CD">
        <w:rPr>
          <w:rFonts w:ascii="Garamond" w:hAnsi="Garamond"/>
          <w:sz w:val="24"/>
          <w:szCs w:val="24"/>
        </w:rPr>
        <w:t>,</w:t>
      </w:r>
      <w:r w:rsidRPr="00DC66CD">
        <w:rPr>
          <w:rFonts w:ascii="Garamond" w:hAnsi="Garamond"/>
          <w:sz w:val="24"/>
          <w:szCs w:val="24"/>
        </w:rPr>
        <w:t xml:space="preserve"> bazuar në tarifat e rregulluara dhe çmimin e blerjes të aprovuar nga ERE për vitin 2017. ERE nuk e ka aprovuar ende çmimin për vitet 2018 dhe 2019.</w:t>
      </w:r>
    </w:p>
    <w:p w14:paraId="3D57C76E" w14:textId="4838265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Mbështetja që buxheti do të ketë për BRE-të është llogaritur në 120 milion</w:t>
      </w:r>
      <w:r w:rsidR="008B563E" w:rsidRPr="00DC66CD">
        <w:rPr>
          <w:rFonts w:ascii="Garamond" w:hAnsi="Garamond"/>
          <w:sz w:val="24"/>
          <w:szCs w:val="24"/>
        </w:rPr>
        <w:t>ë</w:t>
      </w:r>
      <w:r w:rsidRPr="00DC66CD">
        <w:rPr>
          <w:rFonts w:ascii="Garamond" w:hAnsi="Garamond"/>
          <w:sz w:val="24"/>
          <w:szCs w:val="24"/>
        </w:rPr>
        <w:t xml:space="preserve"> EUR deri në vitin 2020 për të arritur objektivin kombëtar prej 38%.</w:t>
      </w:r>
    </w:p>
    <w:p w14:paraId="6B8AA55E" w14:textId="5D085D6E"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Investimet e kërkuara në bazë të buxhetit të shtetit për zbatimin e </w:t>
      </w:r>
      <w:r w:rsidR="00AA08DC" w:rsidRPr="00DC66CD">
        <w:rPr>
          <w:rFonts w:ascii="Garamond" w:hAnsi="Garamond"/>
          <w:sz w:val="24"/>
          <w:szCs w:val="24"/>
        </w:rPr>
        <w:t xml:space="preserve">planit </w:t>
      </w:r>
      <w:r w:rsidRPr="00DC66CD">
        <w:rPr>
          <w:rFonts w:ascii="Garamond" w:hAnsi="Garamond"/>
          <w:sz w:val="24"/>
          <w:szCs w:val="24"/>
        </w:rPr>
        <w:t>të 2-të dhe të 3-të  Kombëtar t</w:t>
      </w:r>
      <w:r w:rsidR="00AA08DC" w:rsidRPr="00DC66CD">
        <w:rPr>
          <w:rFonts w:ascii="Garamond" w:hAnsi="Garamond"/>
          <w:sz w:val="24"/>
          <w:szCs w:val="24"/>
        </w:rPr>
        <w:t>ë</w:t>
      </w:r>
      <w:r w:rsidRPr="00DC66CD">
        <w:rPr>
          <w:rFonts w:ascii="Garamond" w:hAnsi="Garamond"/>
          <w:sz w:val="24"/>
          <w:szCs w:val="24"/>
        </w:rPr>
        <w:t xml:space="preserve"> Veprimit për </w:t>
      </w:r>
      <w:r w:rsidR="00AA08DC" w:rsidRPr="00DC66CD">
        <w:rPr>
          <w:rFonts w:ascii="Garamond" w:hAnsi="Garamond"/>
          <w:sz w:val="24"/>
          <w:szCs w:val="24"/>
        </w:rPr>
        <w:t>Eficiencën</w:t>
      </w:r>
      <w:r w:rsidRPr="00DC66CD">
        <w:rPr>
          <w:rFonts w:ascii="Garamond" w:hAnsi="Garamond"/>
          <w:sz w:val="24"/>
          <w:szCs w:val="24"/>
        </w:rPr>
        <w:t xml:space="preserve"> e Energjisë janë rreth 15,000 milion</w:t>
      </w:r>
      <w:r w:rsidR="00AA08DC" w:rsidRPr="00DC66CD">
        <w:rPr>
          <w:rFonts w:ascii="Garamond" w:hAnsi="Garamond"/>
          <w:sz w:val="24"/>
          <w:szCs w:val="24"/>
        </w:rPr>
        <w:t>ë</w:t>
      </w:r>
      <w:r w:rsidRPr="00DC66CD">
        <w:rPr>
          <w:rFonts w:ascii="Garamond" w:hAnsi="Garamond"/>
          <w:sz w:val="24"/>
          <w:szCs w:val="24"/>
        </w:rPr>
        <w:t xml:space="preserve"> lekë deri në vitin 2020. Synimi kumulativ i kursimit të energjisë së këtij </w:t>
      </w:r>
      <w:r w:rsidR="00AA08DC" w:rsidRPr="00DC66CD">
        <w:rPr>
          <w:rFonts w:ascii="Garamond" w:hAnsi="Garamond"/>
          <w:sz w:val="24"/>
          <w:szCs w:val="24"/>
        </w:rPr>
        <w:t xml:space="preserve">plani </w:t>
      </w:r>
      <w:r w:rsidRPr="00DC66CD">
        <w:rPr>
          <w:rFonts w:ascii="Garamond" w:hAnsi="Garamond"/>
          <w:sz w:val="24"/>
          <w:szCs w:val="24"/>
        </w:rPr>
        <w:t>deri në vitin 2020 është prej 123.7 ktoe (ose 6.8%). Synimi vështirë se mund të arrihet</w:t>
      </w:r>
      <w:r w:rsidR="00AA08DC" w:rsidRPr="00DC66CD">
        <w:rPr>
          <w:rFonts w:ascii="Garamond" w:hAnsi="Garamond"/>
          <w:sz w:val="24"/>
          <w:szCs w:val="24"/>
        </w:rPr>
        <w:t>,</w:t>
      </w:r>
      <w:r w:rsidRPr="00DC66CD">
        <w:rPr>
          <w:rFonts w:ascii="Garamond" w:hAnsi="Garamond"/>
          <w:sz w:val="24"/>
          <w:szCs w:val="24"/>
        </w:rPr>
        <w:t xml:space="preserve"> shkak i legjislacionit dytësor i cili është ende në proces.</w:t>
      </w:r>
    </w:p>
    <w:p w14:paraId="5F1E623C" w14:textId="5AB3EBB0" w:rsidR="006F605B" w:rsidRPr="00DC66CD" w:rsidRDefault="00E223A4" w:rsidP="00F84EF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6</w:t>
      </w:r>
      <w:r w:rsidR="00F84EF0" w:rsidRPr="00DC66CD">
        <w:rPr>
          <w:rFonts w:ascii="Garamond" w:hAnsi="Garamond"/>
          <w:color w:val="000000" w:themeColor="text1"/>
          <w:sz w:val="24"/>
          <w:szCs w:val="24"/>
        </w:rPr>
        <w:t xml:space="preserve">. </w:t>
      </w:r>
      <w:r w:rsidR="006F605B" w:rsidRPr="00DC66CD">
        <w:rPr>
          <w:rFonts w:ascii="Garamond" w:hAnsi="Garamond"/>
          <w:color w:val="000000" w:themeColor="text1"/>
          <w:sz w:val="24"/>
          <w:szCs w:val="24"/>
        </w:rPr>
        <w:t>Ndikimi i pritshëm në rezultatet sociale, si</w:t>
      </w:r>
      <w:r w:rsidR="00AA08DC" w:rsidRPr="00DC66CD">
        <w:rPr>
          <w:rFonts w:ascii="Garamond" w:hAnsi="Garamond"/>
          <w:color w:val="000000" w:themeColor="text1"/>
          <w:sz w:val="24"/>
          <w:szCs w:val="24"/>
        </w:rPr>
        <w:t>:</w:t>
      </w:r>
      <w:r w:rsidR="006F605B" w:rsidRPr="00DC66CD">
        <w:rPr>
          <w:rFonts w:ascii="Garamond" w:hAnsi="Garamond"/>
          <w:color w:val="000000" w:themeColor="text1"/>
          <w:sz w:val="24"/>
          <w:szCs w:val="24"/>
        </w:rPr>
        <w:t xml:space="preserve"> punësimi, ulja e varfërisë, barazia dhe gjinia</w:t>
      </w:r>
    </w:p>
    <w:p w14:paraId="6DEDCC75" w14:textId="7914E27F"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Sektori i energjive t</w:t>
      </w:r>
      <w:r w:rsidR="00AA08DC" w:rsidRPr="00DC66CD">
        <w:rPr>
          <w:rFonts w:ascii="Garamond" w:hAnsi="Garamond"/>
          <w:sz w:val="24"/>
          <w:szCs w:val="24"/>
        </w:rPr>
        <w:t>ë</w:t>
      </w:r>
      <w:r w:rsidRPr="00DC66CD">
        <w:rPr>
          <w:rFonts w:ascii="Garamond" w:hAnsi="Garamond"/>
          <w:sz w:val="24"/>
          <w:szCs w:val="24"/>
        </w:rPr>
        <w:t xml:space="preserve"> rinovueshme do të ketë ndikim të drejtpërdrejtë social dhe ekonomik</w:t>
      </w:r>
      <w:r w:rsidR="006D4F1F" w:rsidRPr="00DC66CD">
        <w:rPr>
          <w:rFonts w:ascii="Garamond" w:hAnsi="Garamond"/>
          <w:sz w:val="24"/>
          <w:szCs w:val="24"/>
        </w:rPr>
        <w:t xml:space="preserve">, </w:t>
      </w:r>
      <w:r w:rsidRPr="00DC66CD">
        <w:rPr>
          <w:rFonts w:ascii="Garamond" w:hAnsi="Garamond"/>
          <w:sz w:val="24"/>
          <w:szCs w:val="24"/>
        </w:rPr>
        <w:t xml:space="preserve">duke kontribuar në përmirësimin e mundësive të punësimit. Zhvillimi i </w:t>
      </w:r>
      <w:r w:rsidR="006D4F1F" w:rsidRPr="00DC66CD">
        <w:rPr>
          <w:rFonts w:ascii="Garamond" w:hAnsi="Garamond"/>
          <w:sz w:val="24"/>
          <w:szCs w:val="24"/>
        </w:rPr>
        <w:t xml:space="preserve">energjisë </w:t>
      </w:r>
      <w:r w:rsidRPr="00DC66CD">
        <w:rPr>
          <w:rFonts w:ascii="Garamond" w:hAnsi="Garamond"/>
          <w:sz w:val="24"/>
          <w:szCs w:val="24"/>
        </w:rPr>
        <w:t>s</w:t>
      </w:r>
      <w:r w:rsidR="006D4F1F" w:rsidRPr="00DC66CD">
        <w:rPr>
          <w:rFonts w:ascii="Garamond" w:hAnsi="Garamond"/>
          <w:sz w:val="24"/>
          <w:szCs w:val="24"/>
        </w:rPr>
        <w:t>ë</w:t>
      </w:r>
      <w:r w:rsidRPr="00DC66CD">
        <w:rPr>
          <w:rFonts w:ascii="Garamond" w:hAnsi="Garamond"/>
          <w:sz w:val="24"/>
          <w:szCs w:val="24"/>
        </w:rPr>
        <w:t xml:space="preserve"> rinovueshme ka rritur numrin e të punësuarve n</w:t>
      </w:r>
      <w:r w:rsidR="006D4F1F" w:rsidRPr="00DC66CD">
        <w:rPr>
          <w:rFonts w:ascii="Garamond" w:hAnsi="Garamond"/>
          <w:sz w:val="24"/>
          <w:szCs w:val="24"/>
        </w:rPr>
        <w:t>ë</w:t>
      </w:r>
      <w:r w:rsidRPr="00DC66CD">
        <w:rPr>
          <w:rFonts w:ascii="Garamond" w:hAnsi="Garamond"/>
          <w:sz w:val="24"/>
          <w:szCs w:val="24"/>
        </w:rPr>
        <w:t xml:space="preserve"> disa fusha, përfshirë</w:t>
      </w:r>
      <w:r w:rsidR="006D4F1F" w:rsidRPr="00DC66CD">
        <w:rPr>
          <w:rFonts w:ascii="Garamond" w:hAnsi="Garamond"/>
          <w:sz w:val="24"/>
          <w:szCs w:val="24"/>
        </w:rPr>
        <w:t>:</w:t>
      </w:r>
      <w:r w:rsidRPr="00DC66CD">
        <w:rPr>
          <w:rFonts w:ascii="Garamond" w:hAnsi="Garamond"/>
          <w:sz w:val="24"/>
          <w:szCs w:val="24"/>
        </w:rPr>
        <w:t xml:space="preserve"> projektimin, ndërtimin, instalimin, operimet dhe mirëmbajtjen, transportin dhe logjistikën, shërbimet financiare, ligjore dhe kësh</w:t>
      </w:r>
      <w:r w:rsidR="006D4F1F" w:rsidRPr="00DC66CD">
        <w:rPr>
          <w:rFonts w:ascii="Garamond" w:hAnsi="Garamond"/>
          <w:sz w:val="24"/>
          <w:szCs w:val="24"/>
        </w:rPr>
        <w:t>illuese. Në sektorin industrial</w:t>
      </w:r>
      <w:r w:rsidRPr="00DC66CD">
        <w:rPr>
          <w:rFonts w:ascii="Garamond" w:hAnsi="Garamond"/>
          <w:sz w:val="24"/>
          <w:szCs w:val="24"/>
        </w:rPr>
        <w:t xml:space="preserve"> do të rekrutohet staf mjaft i kualifikuar me kualifikime të përshtatshme profesionale (auditues dhe menaxher energjie), të cilët do të angazhohen vazhdimisht në monitorimin e konsumit dhe propozimin e masave të reja për arritjen e kursimeve të energjisë. Barazia gjinore po avancon në çdo fushë të ekonomisë, ashtu si edhe në fushën e prodhimit të energjisë së rinovueshme. Numri i grave në rolet e biznesit tejkaloi atë të grave që drejtojnë burimet njerëzore, gjë që sinjalizon një ndryshim në llojet e përgjegjësive që gratë tani po marrin. Në Shqipëri, nuk ka kërkesa ligjore</w:t>
      </w:r>
      <w:r w:rsidR="006D4F1F" w:rsidRPr="00DC66CD">
        <w:rPr>
          <w:rFonts w:ascii="Garamond" w:hAnsi="Garamond"/>
          <w:sz w:val="24"/>
          <w:szCs w:val="24"/>
        </w:rPr>
        <w:t>,</w:t>
      </w:r>
      <w:r w:rsidRPr="00DC66CD">
        <w:rPr>
          <w:rFonts w:ascii="Garamond" w:hAnsi="Garamond"/>
          <w:sz w:val="24"/>
          <w:szCs w:val="24"/>
        </w:rPr>
        <w:t xml:space="preserve"> që</w:t>
      </w:r>
      <w:r w:rsidR="006D4F1F" w:rsidRPr="00DC66CD">
        <w:rPr>
          <w:rFonts w:ascii="Garamond" w:hAnsi="Garamond"/>
          <w:sz w:val="24"/>
          <w:szCs w:val="24"/>
        </w:rPr>
        <w:t>,</w:t>
      </w:r>
      <w:r w:rsidRPr="00DC66CD">
        <w:rPr>
          <w:rFonts w:ascii="Garamond" w:hAnsi="Garamond"/>
          <w:sz w:val="24"/>
          <w:szCs w:val="24"/>
        </w:rPr>
        <w:t xml:space="preserve"> posaçërisht synojnë pjesëmarrjen e femrave në bordet e kompanive. Sidoqoftë, vihet re një rritje e rekrutimit t</w:t>
      </w:r>
      <w:r w:rsidR="006D4F1F" w:rsidRPr="00DC66CD">
        <w:rPr>
          <w:rFonts w:ascii="Garamond" w:hAnsi="Garamond"/>
          <w:sz w:val="24"/>
          <w:szCs w:val="24"/>
        </w:rPr>
        <w:t>ë</w:t>
      </w:r>
      <w:r w:rsidRPr="00DC66CD">
        <w:rPr>
          <w:rFonts w:ascii="Garamond" w:hAnsi="Garamond"/>
          <w:sz w:val="24"/>
          <w:szCs w:val="24"/>
        </w:rPr>
        <w:t xml:space="preserve"> femrave nga kompanitë që operojnë në fushën e energjive t</w:t>
      </w:r>
      <w:r w:rsidR="008B5731">
        <w:rPr>
          <w:rFonts w:ascii="Garamond" w:hAnsi="Garamond"/>
          <w:sz w:val="24"/>
          <w:szCs w:val="24"/>
        </w:rPr>
        <w:t>ë</w:t>
      </w:r>
      <w:r w:rsidRPr="00DC66CD">
        <w:rPr>
          <w:rFonts w:ascii="Garamond" w:hAnsi="Garamond"/>
          <w:sz w:val="24"/>
          <w:szCs w:val="24"/>
        </w:rPr>
        <w:t xml:space="preserve"> rinovueshme dhe </w:t>
      </w:r>
      <w:r w:rsidR="006D4F1F" w:rsidRPr="00DC66CD">
        <w:rPr>
          <w:rFonts w:ascii="Garamond" w:hAnsi="Garamond"/>
          <w:sz w:val="24"/>
          <w:szCs w:val="24"/>
        </w:rPr>
        <w:t>eficiencës</w:t>
      </w:r>
      <w:r w:rsidRPr="00DC66CD">
        <w:rPr>
          <w:rFonts w:ascii="Garamond" w:hAnsi="Garamond"/>
          <w:sz w:val="24"/>
          <w:szCs w:val="24"/>
        </w:rPr>
        <w:t xml:space="preserve"> së energjisë.</w:t>
      </w:r>
    </w:p>
    <w:p w14:paraId="1016ED0F" w14:textId="2BED989B" w:rsidR="006F605B" w:rsidRPr="00DC66CD" w:rsidRDefault="00E223A4" w:rsidP="00F84EF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7</w:t>
      </w:r>
      <w:r w:rsidR="00F84EF0" w:rsidRPr="00DC66CD">
        <w:rPr>
          <w:rFonts w:ascii="Garamond" w:hAnsi="Garamond"/>
          <w:color w:val="000000" w:themeColor="text1"/>
          <w:sz w:val="24"/>
          <w:szCs w:val="24"/>
        </w:rPr>
        <w:t xml:space="preserve">. </w:t>
      </w:r>
      <w:r w:rsidR="006F605B" w:rsidRPr="00DC66CD">
        <w:rPr>
          <w:rFonts w:ascii="Garamond" w:hAnsi="Garamond"/>
          <w:color w:val="000000" w:themeColor="text1"/>
          <w:sz w:val="24"/>
          <w:szCs w:val="24"/>
        </w:rPr>
        <w:t>Ndikimi i pritshëm në mjedis</w:t>
      </w:r>
    </w:p>
    <w:p w14:paraId="0B635F2D" w14:textId="5FFCE60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Qeveria </w:t>
      </w:r>
      <w:r w:rsidR="00EA217A" w:rsidRPr="00DC66CD">
        <w:rPr>
          <w:rFonts w:ascii="Garamond" w:hAnsi="Garamond"/>
          <w:sz w:val="24"/>
          <w:szCs w:val="24"/>
        </w:rPr>
        <w:t xml:space="preserve">shqiptare </w:t>
      </w:r>
      <w:r w:rsidRPr="00DC66CD">
        <w:rPr>
          <w:rFonts w:ascii="Garamond" w:hAnsi="Garamond"/>
          <w:sz w:val="24"/>
          <w:szCs w:val="24"/>
        </w:rPr>
        <w:t>po ndërmerr veprime për të proceduar me përgatitjen e Strategjisë së Integruar të Energjisë dhe Klimës</w:t>
      </w:r>
      <w:r w:rsidR="00EA217A" w:rsidRPr="00DC66CD">
        <w:rPr>
          <w:rFonts w:ascii="Garamond" w:hAnsi="Garamond"/>
          <w:sz w:val="24"/>
          <w:szCs w:val="24"/>
        </w:rPr>
        <w:t>,</w:t>
      </w:r>
      <w:r w:rsidRPr="00DC66CD">
        <w:rPr>
          <w:rFonts w:ascii="Garamond" w:hAnsi="Garamond"/>
          <w:sz w:val="24"/>
          <w:szCs w:val="24"/>
        </w:rPr>
        <w:t xml:space="preserve"> duke marrë parasysh edhe adaptimin e ndryshimeve klimatike. Strategjia Kombëtare e adaptimit të ndryshimeve klimatike nuk është përgatitur ende. Shqipëria nënshkroi Marrëveshjen e Parisit </w:t>
      </w:r>
      <w:r w:rsidR="00EA217A" w:rsidRPr="00DC66CD">
        <w:rPr>
          <w:rFonts w:ascii="Garamond" w:hAnsi="Garamond"/>
          <w:sz w:val="24"/>
          <w:szCs w:val="24"/>
        </w:rPr>
        <w:t>m</w:t>
      </w:r>
      <w:r w:rsidRPr="00DC66CD">
        <w:rPr>
          <w:rFonts w:ascii="Garamond" w:hAnsi="Garamond"/>
          <w:sz w:val="24"/>
          <w:szCs w:val="24"/>
        </w:rPr>
        <w:t xml:space="preserve">ë 22 </w:t>
      </w:r>
      <w:r w:rsidR="00EA217A" w:rsidRPr="00DC66CD">
        <w:rPr>
          <w:rFonts w:ascii="Garamond" w:hAnsi="Garamond"/>
          <w:sz w:val="24"/>
          <w:szCs w:val="24"/>
        </w:rPr>
        <w:t xml:space="preserve">prill </w:t>
      </w:r>
      <w:r w:rsidRPr="00DC66CD">
        <w:rPr>
          <w:rFonts w:ascii="Garamond" w:hAnsi="Garamond"/>
          <w:sz w:val="24"/>
          <w:szCs w:val="24"/>
        </w:rPr>
        <w:t>2016, duke hyrë në një epokë të re të procedimit</w:t>
      </w:r>
      <w:r w:rsidR="00EA217A" w:rsidRPr="00DC66CD">
        <w:rPr>
          <w:rFonts w:ascii="Garamond" w:hAnsi="Garamond"/>
          <w:sz w:val="24"/>
          <w:szCs w:val="24"/>
        </w:rPr>
        <w:t>,</w:t>
      </w:r>
      <w:r w:rsidRPr="00DC66CD">
        <w:rPr>
          <w:rFonts w:ascii="Garamond" w:hAnsi="Garamond"/>
          <w:sz w:val="24"/>
          <w:szCs w:val="24"/>
        </w:rPr>
        <w:t xml:space="preserve"> bazuar në politikën ndërkombëtare të klimës. Shqipëria u bashkua me Konventën Kuadër të Kombeve të Bashkuara për Ndryshimin e Klimës (UNFCCC) </w:t>
      </w:r>
      <w:r w:rsidR="00EA217A" w:rsidRPr="00DC66CD">
        <w:rPr>
          <w:rFonts w:ascii="Garamond" w:hAnsi="Garamond"/>
          <w:sz w:val="24"/>
          <w:szCs w:val="24"/>
        </w:rPr>
        <w:t>m</w:t>
      </w:r>
      <w:r w:rsidRPr="00DC66CD">
        <w:rPr>
          <w:rFonts w:ascii="Garamond" w:hAnsi="Garamond"/>
          <w:sz w:val="24"/>
          <w:szCs w:val="24"/>
        </w:rPr>
        <w:t xml:space="preserve">ë 1995 dhe Protokollin e Kiotos </w:t>
      </w:r>
      <w:r w:rsidR="00EA217A" w:rsidRPr="00DC66CD">
        <w:rPr>
          <w:rFonts w:ascii="Garamond" w:hAnsi="Garamond"/>
          <w:sz w:val="24"/>
          <w:szCs w:val="24"/>
        </w:rPr>
        <w:t>m</w:t>
      </w:r>
      <w:r w:rsidRPr="00DC66CD">
        <w:rPr>
          <w:rFonts w:ascii="Garamond" w:hAnsi="Garamond"/>
          <w:sz w:val="24"/>
          <w:szCs w:val="24"/>
        </w:rPr>
        <w:t>ë 2005</w:t>
      </w:r>
      <w:r w:rsidR="00EA217A" w:rsidRPr="00DC66CD">
        <w:rPr>
          <w:rFonts w:ascii="Garamond" w:hAnsi="Garamond"/>
          <w:sz w:val="24"/>
          <w:szCs w:val="24"/>
        </w:rPr>
        <w:t>,</w:t>
      </w:r>
      <w:r w:rsidRPr="00DC66CD">
        <w:rPr>
          <w:rFonts w:ascii="Garamond" w:hAnsi="Garamond"/>
          <w:sz w:val="24"/>
          <w:szCs w:val="24"/>
        </w:rPr>
        <w:t xml:space="preserve"> dhe ka filluar procesin e ndryshimit të statusit të një vendi në zhvillim në një të zhvilluar, në kontekstin e UNFCCC-ve.</w:t>
      </w:r>
    </w:p>
    <w:p w14:paraId="7E46F6B1" w14:textId="647CB10C"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Shumica e burimeve të rinovueshme të energjisë prodhojnë pak ose aspak emetime që ndikojnë në ngrohjen globale. Turbinat e erës, panelet diellore dhe hidrocentralet prodhojnë energji elektrike pa u shoqëruar me emetime gazesh ndotëse të ajrit. Për më tepër, energjia e erës dhe ajo diellore nuk kërkojnë në ujë për të gjeneruar</w:t>
      </w:r>
      <w:r w:rsidR="0072211B" w:rsidRPr="00DC66CD">
        <w:rPr>
          <w:rFonts w:ascii="Garamond" w:hAnsi="Garamond"/>
          <w:sz w:val="24"/>
          <w:szCs w:val="24"/>
        </w:rPr>
        <w:t xml:space="preserve"> </w:t>
      </w:r>
      <w:r w:rsidRPr="00DC66CD">
        <w:rPr>
          <w:rFonts w:ascii="Garamond" w:hAnsi="Garamond"/>
          <w:sz w:val="24"/>
          <w:szCs w:val="24"/>
        </w:rPr>
        <w:t>dhe</w:t>
      </w:r>
      <w:r w:rsidR="00EA217A" w:rsidRPr="00DC66CD">
        <w:rPr>
          <w:rFonts w:ascii="Garamond" w:hAnsi="Garamond"/>
          <w:sz w:val="24"/>
          <w:szCs w:val="24"/>
        </w:rPr>
        <w:t>,</w:t>
      </w:r>
      <w:r w:rsidRPr="00DC66CD">
        <w:rPr>
          <w:rFonts w:ascii="Garamond" w:hAnsi="Garamond"/>
          <w:sz w:val="24"/>
          <w:szCs w:val="24"/>
        </w:rPr>
        <w:t xml:space="preserve"> për rrjedhim nuk shkakton ndotje </w:t>
      </w:r>
      <w:r w:rsidR="00EA217A" w:rsidRPr="00DC66CD">
        <w:rPr>
          <w:rFonts w:ascii="Garamond" w:hAnsi="Garamond"/>
          <w:sz w:val="24"/>
          <w:szCs w:val="24"/>
        </w:rPr>
        <w:t xml:space="preserve">të </w:t>
      </w:r>
      <w:r w:rsidRPr="00DC66CD">
        <w:rPr>
          <w:rFonts w:ascii="Garamond" w:hAnsi="Garamond"/>
          <w:sz w:val="24"/>
          <w:szCs w:val="24"/>
        </w:rPr>
        <w:t>burimeve ujore sipërfaqësore apo t</w:t>
      </w:r>
      <w:r w:rsidR="00EA217A" w:rsidRPr="00DC66CD">
        <w:rPr>
          <w:rFonts w:ascii="Garamond" w:hAnsi="Garamond"/>
          <w:sz w:val="24"/>
          <w:szCs w:val="24"/>
        </w:rPr>
        <w:t>ë</w:t>
      </w:r>
      <w:r w:rsidRPr="00DC66CD">
        <w:rPr>
          <w:rFonts w:ascii="Garamond" w:hAnsi="Garamond"/>
          <w:sz w:val="24"/>
          <w:szCs w:val="24"/>
        </w:rPr>
        <w:t xml:space="preserve"> burimeve t</w:t>
      </w:r>
      <w:r w:rsidR="00EA217A" w:rsidRPr="00DC66CD">
        <w:rPr>
          <w:rFonts w:ascii="Garamond" w:hAnsi="Garamond"/>
          <w:sz w:val="24"/>
          <w:szCs w:val="24"/>
        </w:rPr>
        <w:t>ë</w:t>
      </w:r>
      <w:r w:rsidRPr="00DC66CD">
        <w:rPr>
          <w:rFonts w:ascii="Garamond" w:hAnsi="Garamond"/>
          <w:sz w:val="24"/>
          <w:szCs w:val="24"/>
        </w:rPr>
        <w:t xml:space="preserve"> furnizimit me ujë të pijshëm. Prodhimi i energjisë nga instalimet që prodhojnë energji t</w:t>
      </w:r>
      <w:r w:rsidR="008B5731">
        <w:rPr>
          <w:rFonts w:ascii="Garamond" w:hAnsi="Garamond"/>
          <w:sz w:val="24"/>
          <w:szCs w:val="24"/>
        </w:rPr>
        <w:t>ë</w:t>
      </w:r>
      <w:r w:rsidRPr="00DC66CD">
        <w:rPr>
          <w:rFonts w:ascii="Garamond" w:hAnsi="Garamond"/>
          <w:sz w:val="24"/>
          <w:szCs w:val="24"/>
        </w:rPr>
        <w:t xml:space="preserve"> rinovueshme nuk kontribuojnë në shkarkimin e gazeve CO</w:t>
      </w:r>
      <w:r w:rsidRPr="00DC66CD">
        <w:rPr>
          <w:rFonts w:ascii="Garamond" w:hAnsi="Garamond"/>
          <w:sz w:val="24"/>
          <w:szCs w:val="24"/>
          <w:vertAlign w:val="subscript"/>
        </w:rPr>
        <w:t>2,</w:t>
      </w:r>
      <w:r w:rsidRPr="00DC66CD">
        <w:rPr>
          <w:rFonts w:ascii="Garamond" w:hAnsi="Garamond"/>
          <w:sz w:val="24"/>
          <w:szCs w:val="24"/>
        </w:rPr>
        <w:t xml:space="preserve"> në ajër. Masat e </w:t>
      </w:r>
      <w:r w:rsidR="00EA217A" w:rsidRPr="00DC66CD">
        <w:rPr>
          <w:rFonts w:ascii="Garamond" w:hAnsi="Garamond"/>
          <w:sz w:val="24"/>
          <w:szCs w:val="24"/>
        </w:rPr>
        <w:t>eficiencës</w:t>
      </w:r>
      <w:r w:rsidRPr="00DC66CD">
        <w:rPr>
          <w:rFonts w:ascii="Garamond" w:hAnsi="Garamond"/>
          <w:sz w:val="24"/>
          <w:szCs w:val="24"/>
        </w:rPr>
        <w:t xml:space="preserve"> së energjisë janë një mjet i rëndësishëm për të zvogëluar emetimin e CO</w:t>
      </w:r>
      <w:r w:rsidRPr="00DC66CD">
        <w:rPr>
          <w:rFonts w:ascii="Garamond" w:hAnsi="Garamond"/>
          <w:sz w:val="24"/>
          <w:szCs w:val="24"/>
          <w:vertAlign w:val="subscript"/>
        </w:rPr>
        <w:t>2</w:t>
      </w:r>
      <w:r w:rsidR="00EA217A" w:rsidRPr="00DC66CD">
        <w:rPr>
          <w:rFonts w:ascii="Garamond" w:hAnsi="Garamond"/>
          <w:sz w:val="24"/>
          <w:szCs w:val="24"/>
        </w:rPr>
        <w:t>,</w:t>
      </w:r>
      <w:r w:rsidRPr="00DC66CD">
        <w:rPr>
          <w:rFonts w:ascii="Garamond" w:hAnsi="Garamond"/>
          <w:sz w:val="24"/>
          <w:szCs w:val="24"/>
        </w:rPr>
        <w:t xml:space="preserve"> përmes kursimeve në të gjithë sektorët</w:t>
      </w:r>
      <w:r w:rsidR="00EA217A" w:rsidRPr="00DC66CD">
        <w:rPr>
          <w:rFonts w:ascii="Garamond" w:hAnsi="Garamond"/>
          <w:sz w:val="24"/>
          <w:szCs w:val="24"/>
        </w:rPr>
        <w:t>,</w:t>
      </w:r>
      <w:r w:rsidRPr="00DC66CD">
        <w:rPr>
          <w:rFonts w:ascii="Garamond" w:hAnsi="Garamond"/>
          <w:sz w:val="24"/>
          <w:szCs w:val="24"/>
        </w:rPr>
        <w:t xml:space="preserve"> si</w:t>
      </w:r>
      <w:r w:rsidR="00EA217A" w:rsidRPr="00DC66CD">
        <w:rPr>
          <w:rFonts w:ascii="Garamond" w:hAnsi="Garamond"/>
          <w:sz w:val="24"/>
          <w:szCs w:val="24"/>
        </w:rPr>
        <w:t>:</w:t>
      </w:r>
      <w:r w:rsidRPr="00DC66CD">
        <w:rPr>
          <w:rFonts w:ascii="Garamond" w:hAnsi="Garamond"/>
          <w:sz w:val="24"/>
          <w:szCs w:val="24"/>
        </w:rPr>
        <w:t xml:space="preserve"> industrial, rezidencial, transport etj.</w:t>
      </w:r>
    </w:p>
    <w:p w14:paraId="6B97E4E2" w14:textId="1C49D4C3" w:rsidR="006F605B" w:rsidRPr="00DC66CD" w:rsidRDefault="00E223A4" w:rsidP="00F84EF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8</w:t>
      </w:r>
      <w:r w:rsidR="00F84EF0" w:rsidRPr="00DC66CD">
        <w:rPr>
          <w:rFonts w:ascii="Garamond" w:hAnsi="Garamond"/>
          <w:color w:val="000000" w:themeColor="text1"/>
          <w:sz w:val="24"/>
          <w:szCs w:val="24"/>
        </w:rPr>
        <w:t xml:space="preserve">. </w:t>
      </w:r>
      <w:r w:rsidR="006F605B" w:rsidRPr="00DC66CD">
        <w:rPr>
          <w:rFonts w:ascii="Garamond" w:hAnsi="Garamond"/>
          <w:color w:val="000000" w:themeColor="text1"/>
          <w:sz w:val="24"/>
          <w:szCs w:val="24"/>
        </w:rPr>
        <w:t>Rreziqet e mundshme</w:t>
      </w:r>
    </w:p>
    <w:p w14:paraId="3D3490A9" w14:textId="0E28BAD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Vonesa në miratimin e legjislacionit dytësor; </w:t>
      </w:r>
      <w:r w:rsidR="00A80128" w:rsidRPr="00DC66CD">
        <w:rPr>
          <w:rFonts w:ascii="Garamond" w:hAnsi="Garamond"/>
          <w:sz w:val="24"/>
          <w:szCs w:val="24"/>
        </w:rPr>
        <w:t xml:space="preserve">vonesat </w:t>
      </w:r>
      <w:r w:rsidRPr="00DC66CD">
        <w:rPr>
          <w:rFonts w:ascii="Garamond" w:hAnsi="Garamond"/>
          <w:sz w:val="24"/>
          <w:szCs w:val="24"/>
        </w:rPr>
        <w:t xml:space="preserve">në krijimin e Fondit të </w:t>
      </w:r>
      <w:r w:rsidR="00A80128" w:rsidRPr="00DC66CD">
        <w:rPr>
          <w:rFonts w:ascii="Garamond" w:hAnsi="Garamond"/>
          <w:sz w:val="24"/>
          <w:szCs w:val="24"/>
        </w:rPr>
        <w:t>Eficiencës</w:t>
      </w:r>
      <w:r w:rsidRPr="00DC66CD">
        <w:rPr>
          <w:rFonts w:ascii="Garamond" w:hAnsi="Garamond"/>
          <w:sz w:val="24"/>
          <w:szCs w:val="24"/>
        </w:rPr>
        <w:t xml:space="preserve"> së Energjisë - derisa të krijohet ky fond, projektet do të zbatohen nga buxheti i shtetit dhe nëpërmjet financimit nga </w:t>
      </w:r>
      <w:r w:rsidR="00A80128" w:rsidRPr="00DC66CD">
        <w:rPr>
          <w:rFonts w:ascii="Garamond" w:hAnsi="Garamond"/>
          <w:sz w:val="24"/>
          <w:szCs w:val="24"/>
        </w:rPr>
        <w:t xml:space="preserve">instrumentet financiare të huaja </w:t>
      </w:r>
      <w:r w:rsidRPr="00DC66CD">
        <w:rPr>
          <w:rFonts w:ascii="Garamond" w:hAnsi="Garamond"/>
          <w:sz w:val="24"/>
          <w:szCs w:val="24"/>
        </w:rPr>
        <w:t>(</w:t>
      </w:r>
      <w:r w:rsidR="00A80128" w:rsidRPr="00DC66CD">
        <w:rPr>
          <w:rFonts w:ascii="Garamond" w:hAnsi="Garamond"/>
          <w:sz w:val="24"/>
          <w:szCs w:val="24"/>
        </w:rPr>
        <w:t xml:space="preserve">fondet </w:t>
      </w:r>
      <w:r w:rsidRPr="00DC66CD">
        <w:rPr>
          <w:rFonts w:ascii="Garamond" w:hAnsi="Garamond"/>
          <w:sz w:val="24"/>
          <w:szCs w:val="24"/>
        </w:rPr>
        <w:t xml:space="preserve">IPPA); Agjencia e </w:t>
      </w:r>
      <w:r w:rsidR="00A80128" w:rsidRPr="00DC66CD">
        <w:rPr>
          <w:rFonts w:ascii="Garamond" w:hAnsi="Garamond"/>
          <w:sz w:val="24"/>
          <w:szCs w:val="24"/>
        </w:rPr>
        <w:t>Eficiencës</w:t>
      </w:r>
      <w:r w:rsidRPr="00DC66CD">
        <w:rPr>
          <w:rFonts w:ascii="Garamond" w:hAnsi="Garamond"/>
          <w:sz w:val="24"/>
          <w:szCs w:val="24"/>
        </w:rPr>
        <w:t xml:space="preserve"> s</w:t>
      </w:r>
      <w:r w:rsidR="00A80128" w:rsidRPr="00DC66CD">
        <w:rPr>
          <w:rFonts w:ascii="Garamond" w:hAnsi="Garamond"/>
          <w:sz w:val="24"/>
          <w:szCs w:val="24"/>
        </w:rPr>
        <w:t>ë</w:t>
      </w:r>
      <w:r w:rsidRPr="00DC66CD">
        <w:rPr>
          <w:rFonts w:ascii="Garamond" w:hAnsi="Garamond"/>
          <w:sz w:val="24"/>
          <w:szCs w:val="24"/>
        </w:rPr>
        <w:t xml:space="preserve"> Energjisë nuk është ende e pajisur plotësisht me staf; </w:t>
      </w:r>
      <w:r w:rsidR="00A80128" w:rsidRPr="00DC66CD">
        <w:rPr>
          <w:rFonts w:ascii="Garamond" w:hAnsi="Garamond"/>
          <w:sz w:val="24"/>
          <w:szCs w:val="24"/>
        </w:rPr>
        <w:t xml:space="preserve">vonesa </w:t>
      </w:r>
      <w:r w:rsidRPr="00DC66CD">
        <w:rPr>
          <w:rFonts w:ascii="Garamond" w:hAnsi="Garamond"/>
          <w:sz w:val="24"/>
          <w:szCs w:val="24"/>
        </w:rPr>
        <w:t>në aktivitetet e projekteve (faza e prokurimit etj.)</w:t>
      </w:r>
      <w:r w:rsidR="00A80128" w:rsidRPr="00DC66CD">
        <w:rPr>
          <w:rFonts w:ascii="Garamond" w:hAnsi="Garamond"/>
          <w:sz w:val="24"/>
          <w:szCs w:val="24"/>
        </w:rPr>
        <w:t>;</w:t>
      </w:r>
      <w:r w:rsidRPr="00DC66CD">
        <w:rPr>
          <w:rFonts w:ascii="Garamond" w:hAnsi="Garamond"/>
          <w:sz w:val="24"/>
          <w:szCs w:val="24"/>
        </w:rPr>
        <w:t xml:space="preserve"> vonesa në lejen dhe fazën e ndërtimit të projekteve t</w:t>
      </w:r>
      <w:r w:rsidR="00A80128" w:rsidRPr="00DC66CD">
        <w:rPr>
          <w:rFonts w:ascii="Garamond" w:hAnsi="Garamond"/>
          <w:sz w:val="24"/>
          <w:szCs w:val="24"/>
        </w:rPr>
        <w:t xml:space="preserve">ë </w:t>
      </w:r>
      <w:r w:rsidRPr="00DC66CD">
        <w:rPr>
          <w:rFonts w:ascii="Garamond" w:hAnsi="Garamond"/>
          <w:sz w:val="24"/>
          <w:szCs w:val="24"/>
        </w:rPr>
        <w:t xml:space="preserve"> prodhimit t</w:t>
      </w:r>
      <w:r w:rsidR="00A80128" w:rsidRPr="00DC66CD">
        <w:rPr>
          <w:rFonts w:ascii="Garamond" w:hAnsi="Garamond"/>
          <w:sz w:val="24"/>
          <w:szCs w:val="24"/>
        </w:rPr>
        <w:t>ë</w:t>
      </w:r>
      <w:r w:rsidRPr="00DC66CD">
        <w:rPr>
          <w:rFonts w:ascii="Garamond" w:hAnsi="Garamond"/>
          <w:sz w:val="24"/>
          <w:szCs w:val="24"/>
        </w:rPr>
        <w:t xml:space="preserve"> energjisë nga </w:t>
      </w:r>
      <w:r w:rsidR="00A80128" w:rsidRPr="00DC66CD">
        <w:rPr>
          <w:rFonts w:ascii="Garamond" w:hAnsi="Garamond"/>
          <w:sz w:val="24"/>
          <w:szCs w:val="24"/>
        </w:rPr>
        <w:t xml:space="preserve">dielli </w:t>
      </w:r>
      <w:r w:rsidRPr="00DC66CD">
        <w:rPr>
          <w:rFonts w:ascii="Garamond" w:hAnsi="Garamond"/>
          <w:sz w:val="24"/>
          <w:szCs w:val="24"/>
        </w:rPr>
        <w:t xml:space="preserve">dhe </w:t>
      </w:r>
      <w:r w:rsidR="00A80128" w:rsidRPr="00DC66CD">
        <w:rPr>
          <w:rFonts w:ascii="Garamond" w:hAnsi="Garamond"/>
          <w:sz w:val="24"/>
          <w:szCs w:val="24"/>
        </w:rPr>
        <w:t xml:space="preserve">nga </w:t>
      </w:r>
      <w:r w:rsidRPr="00DC66CD">
        <w:rPr>
          <w:rFonts w:ascii="Garamond" w:hAnsi="Garamond"/>
          <w:sz w:val="24"/>
          <w:szCs w:val="24"/>
        </w:rPr>
        <w:t>era.</w:t>
      </w:r>
    </w:p>
    <w:p w14:paraId="02E020A2" w14:textId="77777777" w:rsidR="00F84EF0" w:rsidRPr="00DC66CD" w:rsidRDefault="00F84EF0" w:rsidP="006F605B">
      <w:pPr>
        <w:snapToGrid w:val="0"/>
        <w:spacing w:after="0" w:line="240" w:lineRule="auto"/>
        <w:ind w:firstLine="284"/>
        <w:jc w:val="both"/>
        <w:rPr>
          <w:rFonts w:ascii="Garamond" w:hAnsi="Garamond"/>
          <w:sz w:val="24"/>
          <w:szCs w:val="24"/>
        </w:rPr>
      </w:pPr>
    </w:p>
    <w:tbl>
      <w:tblPr>
        <w:tblStyle w:val="TableGrid1"/>
        <w:tblW w:w="0" w:type="auto"/>
        <w:tblLook w:val="04A0" w:firstRow="1" w:lastRow="0" w:firstColumn="1" w:lastColumn="0" w:noHBand="0" w:noVBand="1"/>
      </w:tblPr>
      <w:tblGrid>
        <w:gridCol w:w="3670"/>
        <w:gridCol w:w="1548"/>
        <w:gridCol w:w="4062"/>
      </w:tblGrid>
      <w:tr w:rsidR="006F605B" w:rsidRPr="00DC66CD" w14:paraId="7356262D" w14:textId="77777777" w:rsidTr="00691346">
        <w:tc>
          <w:tcPr>
            <w:tcW w:w="3823" w:type="dxa"/>
            <w:vAlign w:val="center"/>
          </w:tcPr>
          <w:p w14:paraId="249E863A" w14:textId="77777777" w:rsidR="006F605B" w:rsidRPr="00DC66CD" w:rsidRDefault="006F605B" w:rsidP="00691346">
            <w:pPr>
              <w:snapToGrid w:val="0"/>
              <w:jc w:val="center"/>
              <w:rPr>
                <w:rFonts w:ascii="Garamond" w:hAnsi="Garamond"/>
                <w:b/>
                <w:lang w:val="sq-AL"/>
              </w:rPr>
            </w:pPr>
            <w:r w:rsidRPr="00DC66CD">
              <w:rPr>
                <w:rFonts w:ascii="Garamond" w:hAnsi="Garamond"/>
                <w:b/>
                <w:lang w:val="sq-AL"/>
              </w:rPr>
              <w:t>Rreziku</w:t>
            </w:r>
          </w:p>
        </w:tc>
        <w:tc>
          <w:tcPr>
            <w:tcW w:w="1559" w:type="dxa"/>
            <w:vAlign w:val="center"/>
          </w:tcPr>
          <w:p w14:paraId="709028F2" w14:textId="36C41236" w:rsidR="006F605B" w:rsidRPr="00DC66CD" w:rsidRDefault="006F605B" w:rsidP="00691346">
            <w:pPr>
              <w:snapToGrid w:val="0"/>
              <w:jc w:val="center"/>
              <w:rPr>
                <w:rFonts w:ascii="Garamond" w:hAnsi="Garamond"/>
                <w:b/>
                <w:lang w:val="sq-AL"/>
              </w:rPr>
            </w:pPr>
            <w:r w:rsidRPr="00DC66CD">
              <w:rPr>
                <w:rFonts w:ascii="Garamond" w:hAnsi="Garamond"/>
                <w:b/>
                <w:lang w:val="sq-AL"/>
              </w:rPr>
              <w:t xml:space="preserve">Probabiliteti </w:t>
            </w:r>
            <w:r w:rsidR="00F85068" w:rsidRPr="00DC66CD">
              <w:rPr>
                <w:rFonts w:ascii="Garamond" w:hAnsi="Garamond"/>
                <w:b/>
                <w:lang w:val="sq-AL"/>
              </w:rPr>
              <w:t>(i ulët, i lartë)</w:t>
            </w:r>
          </w:p>
        </w:tc>
        <w:tc>
          <w:tcPr>
            <w:tcW w:w="4240" w:type="dxa"/>
            <w:vAlign w:val="center"/>
          </w:tcPr>
          <w:p w14:paraId="657FCFDC" w14:textId="77777777" w:rsidR="006F605B" w:rsidRPr="00DC66CD" w:rsidRDefault="006F605B" w:rsidP="00691346">
            <w:pPr>
              <w:snapToGrid w:val="0"/>
              <w:jc w:val="center"/>
              <w:rPr>
                <w:rFonts w:ascii="Garamond" w:hAnsi="Garamond"/>
                <w:b/>
                <w:lang w:val="sq-AL"/>
              </w:rPr>
            </w:pPr>
            <w:r w:rsidRPr="00DC66CD">
              <w:rPr>
                <w:rFonts w:ascii="Garamond" w:hAnsi="Garamond"/>
                <w:b/>
                <w:lang w:val="sq-AL"/>
              </w:rPr>
              <w:t>Veprimi i planifikuar për uljen e rrezikut</w:t>
            </w:r>
          </w:p>
        </w:tc>
      </w:tr>
      <w:tr w:rsidR="006F605B" w:rsidRPr="00DC66CD" w14:paraId="338FDD78" w14:textId="77777777" w:rsidTr="00691346">
        <w:tc>
          <w:tcPr>
            <w:tcW w:w="3823" w:type="dxa"/>
          </w:tcPr>
          <w:p w14:paraId="4B0384D5" w14:textId="34CC20C9" w:rsidR="006F605B" w:rsidRPr="00DC66CD" w:rsidRDefault="006F605B" w:rsidP="00691346">
            <w:pPr>
              <w:snapToGrid w:val="0"/>
              <w:rPr>
                <w:rFonts w:ascii="Garamond" w:hAnsi="Garamond"/>
                <w:lang w:val="sq-AL"/>
              </w:rPr>
            </w:pPr>
            <w:r w:rsidRPr="00DC66CD">
              <w:rPr>
                <w:rFonts w:ascii="Garamond" w:hAnsi="Garamond"/>
                <w:spacing w:val="-1"/>
                <w:lang w:val="sq-AL"/>
              </w:rPr>
              <w:t>Zgjatja e aktiviteteve t</w:t>
            </w:r>
            <w:r w:rsidR="00691346" w:rsidRPr="00DC66CD">
              <w:rPr>
                <w:rFonts w:ascii="Garamond" w:hAnsi="Garamond"/>
                <w:spacing w:val="-1"/>
                <w:lang w:val="sq-AL"/>
              </w:rPr>
              <w:t>ë</w:t>
            </w:r>
            <w:r w:rsidRPr="00DC66CD">
              <w:rPr>
                <w:rFonts w:ascii="Garamond" w:hAnsi="Garamond"/>
                <w:spacing w:val="-1"/>
                <w:lang w:val="sq-AL"/>
              </w:rPr>
              <w:t xml:space="preserve"> projekteve </w:t>
            </w:r>
          </w:p>
        </w:tc>
        <w:tc>
          <w:tcPr>
            <w:tcW w:w="1559" w:type="dxa"/>
          </w:tcPr>
          <w:p w14:paraId="610BBC37" w14:textId="77777777" w:rsidR="006F605B" w:rsidRPr="00DC66CD" w:rsidRDefault="006F605B" w:rsidP="00F84EF0">
            <w:pPr>
              <w:snapToGrid w:val="0"/>
              <w:rPr>
                <w:rFonts w:ascii="Garamond" w:hAnsi="Garamond"/>
                <w:lang w:val="sq-AL"/>
              </w:rPr>
            </w:pPr>
            <w:r w:rsidRPr="00DC66CD">
              <w:rPr>
                <w:rFonts w:ascii="Garamond" w:hAnsi="Garamond"/>
                <w:spacing w:val="-1"/>
                <w:lang w:val="sq-AL"/>
              </w:rPr>
              <w:t>I mesëm</w:t>
            </w:r>
          </w:p>
        </w:tc>
        <w:tc>
          <w:tcPr>
            <w:tcW w:w="4240" w:type="dxa"/>
          </w:tcPr>
          <w:p w14:paraId="1A4065D8" w14:textId="77777777" w:rsidR="006F605B" w:rsidRPr="00DC66CD" w:rsidRDefault="006F605B" w:rsidP="00F84EF0">
            <w:pPr>
              <w:snapToGrid w:val="0"/>
              <w:rPr>
                <w:rFonts w:ascii="Garamond" w:hAnsi="Garamond"/>
                <w:lang w:val="sq-AL"/>
              </w:rPr>
            </w:pPr>
            <w:r w:rsidRPr="00DC66CD">
              <w:rPr>
                <w:rFonts w:ascii="Garamond" w:hAnsi="Garamond"/>
                <w:spacing w:val="-1"/>
                <w:lang w:val="sq-AL"/>
              </w:rPr>
              <w:t>Monitorim periodik i zbatimit të aktiviteteve</w:t>
            </w:r>
          </w:p>
        </w:tc>
      </w:tr>
      <w:tr w:rsidR="006F605B" w:rsidRPr="00DC66CD" w14:paraId="41CBA4E5" w14:textId="77777777" w:rsidTr="00691346">
        <w:tc>
          <w:tcPr>
            <w:tcW w:w="3823" w:type="dxa"/>
          </w:tcPr>
          <w:p w14:paraId="313021CE" w14:textId="122006EC" w:rsidR="006F605B" w:rsidRPr="00DC66CD" w:rsidRDefault="006F605B" w:rsidP="00F84EF0">
            <w:pPr>
              <w:snapToGrid w:val="0"/>
              <w:rPr>
                <w:rFonts w:ascii="Garamond" w:hAnsi="Garamond"/>
                <w:lang w:val="sq-AL"/>
              </w:rPr>
            </w:pPr>
            <w:r w:rsidRPr="00DC66CD">
              <w:rPr>
                <w:rFonts w:ascii="Garamond" w:hAnsi="Garamond"/>
                <w:spacing w:val="-1"/>
                <w:lang w:val="sq-AL"/>
              </w:rPr>
              <w:t>Vonesa në miratimin e legjislacionit dy</w:t>
            </w:r>
            <w:r w:rsidR="00691346" w:rsidRPr="00DC66CD">
              <w:rPr>
                <w:rFonts w:ascii="Garamond" w:hAnsi="Garamond"/>
                <w:spacing w:val="-1"/>
                <w:lang w:val="sq-AL"/>
              </w:rPr>
              <w:t>tësor</w:t>
            </w:r>
          </w:p>
        </w:tc>
        <w:tc>
          <w:tcPr>
            <w:tcW w:w="1559" w:type="dxa"/>
          </w:tcPr>
          <w:p w14:paraId="1E8DB42E" w14:textId="0581FC0E" w:rsidR="006F605B" w:rsidRPr="00DC66CD" w:rsidRDefault="006F605B" w:rsidP="00691346">
            <w:pPr>
              <w:snapToGrid w:val="0"/>
              <w:rPr>
                <w:rFonts w:ascii="Garamond" w:hAnsi="Garamond"/>
                <w:lang w:val="sq-AL"/>
              </w:rPr>
            </w:pPr>
            <w:r w:rsidRPr="00DC66CD">
              <w:rPr>
                <w:rFonts w:ascii="Garamond" w:hAnsi="Garamond"/>
                <w:spacing w:val="-1"/>
                <w:lang w:val="sq-AL"/>
              </w:rPr>
              <w:t>I lart</w:t>
            </w:r>
            <w:r w:rsidR="00691346" w:rsidRPr="00DC66CD">
              <w:rPr>
                <w:rFonts w:ascii="Garamond" w:hAnsi="Garamond"/>
                <w:spacing w:val="-1"/>
                <w:lang w:val="sq-AL"/>
              </w:rPr>
              <w:t>ë</w:t>
            </w:r>
          </w:p>
        </w:tc>
        <w:tc>
          <w:tcPr>
            <w:tcW w:w="4240" w:type="dxa"/>
          </w:tcPr>
          <w:p w14:paraId="3D46021B" w14:textId="63A5BA2C" w:rsidR="006F605B" w:rsidRPr="00DC66CD" w:rsidRDefault="006F605B" w:rsidP="00F84EF0">
            <w:pPr>
              <w:snapToGrid w:val="0"/>
              <w:rPr>
                <w:rFonts w:ascii="Garamond" w:hAnsi="Garamond"/>
                <w:lang w:val="sq-AL"/>
              </w:rPr>
            </w:pPr>
            <w:r w:rsidRPr="00DC66CD">
              <w:rPr>
                <w:rFonts w:ascii="Garamond" w:hAnsi="Garamond"/>
                <w:spacing w:val="-1"/>
                <w:lang w:val="sq-AL"/>
              </w:rPr>
              <w:t>Përdorimi i asistencës teknike për një m</w:t>
            </w:r>
            <w:r w:rsidRPr="00DC66CD">
              <w:rPr>
                <w:rFonts w:ascii="Garamond" w:hAnsi="Garamond"/>
                <w:lang w:val="sq-AL"/>
              </w:rPr>
              <w:t>ë</w:t>
            </w:r>
            <w:r w:rsidRPr="00DC66CD">
              <w:rPr>
                <w:rFonts w:ascii="Garamond" w:hAnsi="Garamond"/>
                <w:spacing w:val="-1"/>
                <w:lang w:val="sq-AL"/>
              </w:rPr>
              <w:t xml:space="preserve"> t</w:t>
            </w:r>
            <w:r w:rsidRPr="00DC66CD">
              <w:rPr>
                <w:rFonts w:ascii="Garamond" w:hAnsi="Garamond"/>
                <w:lang w:val="sq-AL"/>
              </w:rPr>
              <w:t>ë</w:t>
            </w:r>
            <w:r w:rsidRPr="00DC66CD">
              <w:rPr>
                <w:rFonts w:ascii="Garamond" w:hAnsi="Garamond"/>
                <w:spacing w:val="-1"/>
                <w:lang w:val="sq-AL"/>
              </w:rPr>
              <w:t xml:space="preserve"> mir</w:t>
            </w:r>
            <w:r w:rsidRPr="00DC66CD">
              <w:rPr>
                <w:rFonts w:ascii="Garamond" w:hAnsi="Garamond"/>
                <w:lang w:val="sq-AL"/>
              </w:rPr>
              <w:t>ë</w:t>
            </w:r>
            <w:r w:rsidRPr="00DC66CD">
              <w:rPr>
                <w:rFonts w:ascii="Garamond" w:hAnsi="Garamond"/>
                <w:spacing w:val="-1"/>
                <w:lang w:val="sq-AL"/>
              </w:rPr>
              <w:t xml:space="preserve"> dhe </w:t>
            </w:r>
            <w:r w:rsidR="00691346" w:rsidRPr="00DC66CD">
              <w:rPr>
                <w:rFonts w:ascii="Garamond" w:hAnsi="Garamond"/>
                <w:spacing w:val="-1"/>
                <w:lang w:val="sq-AL"/>
              </w:rPr>
              <w:t>eficient të legjislacionit</w:t>
            </w:r>
            <w:r w:rsidRPr="00DC66CD">
              <w:rPr>
                <w:rFonts w:ascii="Garamond" w:hAnsi="Garamond"/>
                <w:spacing w:val="-1"/>
                <w:lang w:val="sq-AL"/>
              </w:rPr>
              <w:t xml:space="preserve"> </w:t>
            </w:r>
          </w:p>
        </w:tc>
      </w:tr>
    </w:tbl>
    <w:p w14:paraId="3C81ABED" w14:textId="77777777" w:rsidR="006F605B" w:rsidRPr="00DC66CD" w:rsidRDefault="006F605B" w:rsidP="006F605B">
      <w:pPr>
        <w:snapToGrid w:val="0"/>
        <w:spacing w:after="0" w:line="240" w:lineRule="auto"/>
        <w:ind w:firstLine="284"/>
        <w:rPr>
          <w:rFonts w:ascii="Garamond" w:hAnsi="Garamond"/>
          <w:sz w:val="24"/>
          <w:szCs w:val="24"/>
        </w:rPr>
      </w:pPr>
    </w:p>
    <w:p w14:paraId="7890F808" w14:textId="77A67250" w:rsidR="006F605B" w:rsidRPr="00DC66CD" w:rsidRDefault="006F605B" w:rsidP="006F605B">
      <w:pPr>
        <w:pStyle w:val="Heading5"/>
        <w:snapToGrid w:val="0"/>
        <w:spacing w:before="0" w:line="240" w:lineRule="auto"/>
        <w:ind w:firstLine="284"/>
        <w:rPr>
          <w:rFonts w:ascii="Garamond" w:hAnsi="Garamond"/>
          <w:i/>
          <w:color w:val="000000" w:themeColor="text1"/>
          <w:sz w:val="24"/>
          <w:szCs w:val="24"/>
        </w:rPr>
      </w:pPr>
      <w:r w:rsidRPr="00DC66CD">
        <w:rPr>
          <w:rFonts w:ascii="Garamond" w:hAnsi="Garamond"/>
          <w:i/>
          <w:color w:val="000000" w:themeColor="text1"/>
          <w:sz w:val="24"/>
          <w:szCs w:val="24"/>
        </w:rPr>
        <w:t>Reforma 03: Rehabilitimi dhe ndërtimi i segmentit hekurudhor Durrës</w:t>
      </w:r>
      <w:r w:rsidR="00FE50AB" w:rsidRPr="00DC66CD">
        <w:rPr>
          <w:rFonts w:ascii="Garamond" w:hAnsi="Garamond"/>
          <w:i/>
          <w:color w:val="000000" w:themeColor="text1"/>
          <w:sz w:val="24"/>
          <w:szCs w:val="24"/>
        </w:rPr>
        <w:t>–</w:t>
      </w:r>
      <w:r w:rsidRPr="00DC66CD">
        <w:rPr>
          <w:rFonts w:ascii="Garamond" w:hAnsi="Garamond"/>
          <w:i/>
          <w:color w:val="000000" w:themeColor="text1"/>
          <w:sz w:val="24"/>
          <w:szCs w:val="24"/>
        </w:rPr>
        <w:t>Rinas</w:t>
      </w:r>
      <w:r w:rsidR="00FE50AB" w:rsidRPr="00DC66CD">
        <w:rPr>
          <w:rFonts w:ascii="Garamond" w:hAnsi="Garamond"/>
          <w:i/>
          <w:color w:val="000000" w:themeColor="text1"/>
          <w:sz w:val="24"/>
          <w:szCs w:val="24"/>
        </w:rPr>
        <w:t>–</w:t>
      </w:r>
      <w:r w:rsidRPr="00DC66CD">
        <w:rPr>
          <w:rFonts w:ascii="Garamond" w:hAnsi="Garamond"/>
          <w:i/>
          <w:color w:val="000000" w:themeColor="text1"/>
          <w:sz w:val="24"/>
          <w:szCs w:val="24"/>
        </w:rPr>
        <w:t>Tiranë</w:t>
      </w:r>
    </w:p>
    <w:p w14:paraId="6C88530C" w14:textId="753C16F0" w:rsidR="006F605B" w:rsidRPr="00DC66CD" w:rsidRDefault="00E372C0" w:rsidP="00E372C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1. </w:t>
      </w:r>
      <w:r w:rsidR="006F605B" w:rsidRPr="00DC66CD">
        <w:rPr>
          <w:rFonts w:ascii="Garamond" w:hAnsi="Garamond"/>
          <w:color w:val="000000" w:themeColor="text1"/>
          <w:sz w:val="24"/>
          <w:szCs w:val="24"/>
        </w:rPr>
        <w:t>Përshkrimi</w:t>
      </w:r>
    </w:p>
    <w:p w14:paraId="44E6F536" w14:textId="396EF566"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Masa është marrë nga ERP-të e mëparshme dhe synon rehabilitimin e linjës hekurudhore 34.17 km midis Terminalit të Transportit Publik të Tiranës (PTT) dhe qytetit të Durrësit dhe ndërtimin e një linje të re hekurudhore dhe shkëmbimi, me gjatësi afro 5 km, që lidh linjën Tiranë</w:t>
      </w:r>
      <w:r w:rsidR="00FE50AB" w:rsidRPr="00DC66CD">
        <w:rPr>
          <w:rFonts w:ascii="Garamond" w:hAnsi="Garamond"/>
          <w:i/>
          <w:color w:val="000000" w:themeColor="text1"/>
          <w:sz w:val="24"/>
          <w:szCs w:val="24"/>
        </w:rPr>
        <w:t>–</w:t>
      </w:r>
      <w:r w:rsidRPr="00DC66CD">
        <w:rPr>
          <w:rFonts w:ascii="Garamond" w:hAnsi="Garamond"/>
          <w:sz w:val="24"/>
          <w:szCs w:val="24"/>
        </w:rPr>
        <w:t xml:space="preserve">Durrës me Aeroportin Ndërkombëtar të Tiranës. Kjo linjë është pjesë e Rrjetit Qendror të Ballkanit Perëndimor, i cili është krijuar si një shtrirje indikative në </w:t>
      </w:r>
      <w:r w:rsidR="00FE50AB" w:rsidRPr="00DC66CD">
        <w:rPr>
          <w:rFonts w:ascii="Garamond" w:hAnsi="Garamond"/>
          <w:sz w:val="24"/>
          <w:szCs w:val="24"/>
        </w:rPr>
        <w:t xml:space="preserve">Rrjetet Transevropiane </w:t>
      </w:r>
      <w:r w:rsidRPr="00DC66CD">
        <w:rPr>
          <w:rFonts w:ascii="Garamond" w:hAnsi="Garamond"/>
          <w:sz w:val="24"/>
          <w:szCs w:val="24"/>
        </w:rPr>
        <w:t>të Transportit (TEN-T) në rrjetin hekurudhor bazë të Ballkanit Perëndimor pjesë e Korridorit VIII të Hekurudhave. Projekti është</w:t>
      </w:r>
      <w:r w:rsidR="00FE50AB" w:rsidRPr="00DC66CD">
        <w:rPr>
          <w:rFonts w:ascii="Garamond" w:hAnsi="Garamond"/>
          <w:sz w:val="24"/>
          <w:szCs w:val="24"/>
        </w:rPr>
        <w:t xml:space="preserve">, </w:t>
      </w:r>
      <w:r w:rsidRPr="00DC66CD">
        <w:rPr>
          <w:rFonts w:ascii="Garamond" w:hAnsi="Garamond"/>
          <w:sz w:val="24"/>
          <w:szCs w:val="24"/>
        </w:rPr>
        <w:t>gjithashtu</w:t>
      </w:r>
      <w:r w:rsidR="00FE50AB" w:rsidRPr="00DC66CD">
        <w:rPr>
          <w:rFonts w:ascii="Garamond" w:hAnsi="Garamond"/>
          <w:sz w:val="24"/>
          <w:szCs w:val="24"/>
        </w:rPr>
        <w:t>,</w:t>
      </w:r>
      <w:r w:rsidRPr="00DC66CD">
        <w:rPr>
          <w:rFonts w:ascii="Garamond" w:hAnsi="Garamond"/>
          <w:sz w:val="24"/>
          <w:szCs w:val="24"/>
        </w:rPr>
        <w:t xml:space="preserve"> pjesë e </w:t>
      </w:r>
      <w:r w:rsidR="001618CC" w:rsidRPr="00DC66CD">
        <w:rPr>
          <w:rFonts w:ascii="Garamond" w:hAnsi="Garamond"/>
          <w:sz w:val="24"/>
          <w:szCs w:val="24"/>
        </w:rPr>
        <w:t xml:space="preserve">agjendës së lidhjes </w:t>
      </w:r>
      <w:r w:rsidRPr="00DC66CD">
        <w:rPr>
          <w:rFonts w:ascii="Garamond" w:hAnsi="Garamond"/>
          <w:sz w:val="24"/>
          <w:szCs w:val="24"/>
        </w:rPr>
        <w:t>së BE-së, e cila promovon lidhjen e transportit në Ballkanin Perëndimor, si një faktor i rëndësishëm për zhvillimin ekonomik, bashkëpunimin rajonal dhe integrimin në BE.</w:t>
      </w:r>
    </w:p>
    <w:p w14:paraId="6B59EA36" w14:textId="7EB37BD0"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Linja Tiranë</w:t>
      </w:r>
      <w:r w:rsidR="001618CC" w:rsidRPr="00DC66CD">
        <w:rPr>
          <w:rFonts w:ascii="Garamond" w:hAnsi="Garamond"/>
          <w:i/>
          <w:color w:val="000000" w:themeColor="text1"/>
          <w:sz w:val="24"/>
          <w:szCs w:val="24"/>
        </w:rPr>
        <w:t>–</w:t>
      </w:r>
      <w:r w:rsidRPr="00DC66CD">
        <w:rPr>
          <w:rFonts w:ascii="Garamond" w:hAnsi="Garamond"/>
          <w:sz w:val="24"/>
          <w:szCs w:val="24"/>
        </w:rPr>
        <w:t>Durrës (e vetme) është aktualisht seksioni më i ngarkuar i rrjetit hekurudhor shqiptar, duke siguruar lidhjen e kryeqytetit të vendit me Durrësin, qyt</w:t>
      </w:r>
      <w:r w:rsidR="008D7901" w:rsidRPr="00DC66CD">
        <w:rPr>
          <w:rFonts w:ascii="Garamond" w:hAnsi="Garamond"/>
          <w:sz w:val="24"/>
          <w:szCs w:val="24"/>
        </w:rPr>
        <w:t>etin e dytë më të madh shqiptar</w:t>
      </w:r>
      <w:r w:rsidRPr="00DC66CD">
        <w:rPr>
          <w:rFonts w:ascii="Garamond" w:hAnsi="Garamond"/>
          <w:sz w:val="24"/>
          <w:szCs w:val="24"/>
        </w:rPr>
        <w:t xml:space="preserve"> dhe me portin e Durrësit, portën kryesore detare të vend për në Evropë dhe pjesën tjetër të botës.</w:t>
      </w:r>
    </w:p>
    <w:p w14:paraId="737B1266" w14:textId="7B816A1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Projekti është nën konsultë për trenat hibrid, një teknologji të lartë e BE-së, e cila lejon operacionet DMU dhe EMU. Ky projekt në lidhje me konceptin e tërheqjes/</w:t>
      </w:r>
      <w:r w:rsidR="008D7901" w:rsidRPr="00DC66CD">
        <w:rPr>
          <w:rFonts w:ascii="Garamond" w:hAnsi="Garamond"/>
          <w:sz w:val="24"/>
          <w:szCs w:val="24"/>
        </w:rPr>
        <w:t xml:space="preserve">të </w:t>
      </w:r>
      <w:r w:rsidRPr="00DC66CD">
        <w:rPr>
          <w:rFonts w:ascii="Garamond" w:hAnsi="Garamond"/>
          <w:sz w:val="24"/>
          <w:szCs w:val="24"/>
        </w:rPr>
        <w:t>furnizimit me energji elektrike është parashikuar vetëm në skenarin maksimal (</w:t>
      </w:r>
      <w:r w:rsidR="008D7901" w:rsidRPr="00DC66CD">
        <w:rPr>
          <w:rFonts w:ascii="Garamond" w:hAnsi="Garamond"/>
          <w:sz w:val="24"/>
          <w:szCs w:val="24"/>
        </w:rPr>
        <w:t xml:space="preserve">i </w:t>
      </w:r>
      <w:r w:rsidRPr="00DC66CD">
        <w:rPr>
          <w:rFonts w:ascii="Garamond" w:hAnsi="Garamond"/>
          <w:sz w:val="24"/>
          <w:szCs w:val="24"/>
        </w:rPr>
        <w:t>njëjtë si me linjën hekurudhore Durrës</w:t>
      </w:r>
      <w:r w:rsidR="008D7901" w:rsidRPr="00DC66CD">
        <w:rPr>
          <w:rFonts w:ascii="Garamond" w:hAnsi="Garamond"/>
          <w:i/>
          <w:color w:val="000000" w:themeColor="text1"/>
          <w:sz w:val="24"/>
          <w:szCs w:val="24"/>
        </w:rPr>
        <w:t>–</w:t>
      </w:r>
      <w:r w:rsidRPr="00DC66CD">
        <w:rPr>
          <w:rFonts w:ascii="Garamond" w:hAnsi="Garamond"/>
          <w:sz w:val="24"/>
          <w:szCs w:val="24"/>
        </w:rPr>
        <w:t>Elbasan</w:t>
      </w:r>
      <w:r w:rsidR="008D7901" w:rsidRPr="00DC66CD">
        <w:rPr>
          <w:rFonts w:ascii="Garamond" w:hAnsi="Garamond"/>
          <w:i/>
          <w:color w:val="000000" w:themeColor="text1"/>
          <w:sz w:val="24"/>
          <w:szCs w:val="24"/>
        </w:rPr>
        <w:t>–</w:t>
      </w:r>
      <w:r w:rsidRPr="00DC66CD">
        <w:rPr>
          <w:rFonts w:ascii="Garamond" w:hAnsi="Garamond"/>
          <w:sz w:val="24"/>
          <w:szCs w:val="24"/>
        </w:rPr>
        <w:t>Pogradec/linjat hekurudhore të Maqedonisë Veriore). Elektrifikimi i ardhshëm i linjës hekurudhore përfshin ndërtimin e objekteve të qëndrueshme tërheqëse elektrike, të cilat duhet të përfshijnë: nënstacionet tërheqëse elektrike; Pikat e ndarjes; Pikat e ndarjes me seksion neutral; Linja e kontaktit të lartë.</w:t>
      </w:r>
    </w:p>
    <w:p w14:paraId="1BFEE9A9" w14:textId="29D16499" w:rsidR="006F605B" w:rsidRPr="00DC66CD" w:rsidRDefault="00E372C0" w:rsidP="00E372C0">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1D56A880" w14:textId="3DDE5718" w:rsidR="006F605B" w:rsidRPr="00DC66CD" w:rsidRDefault="00E372C0" w:rsidP="00E372C0">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 xml:space="preserve">Aktivitetet e planifikuara </w:t>
      </w:r>
      <w:r w:rsidR="00893811" w:rsidRPr="00DC66CD">
        <w:rPr>
          <w:rFonts w:ascii="Garamond" w:hAnsi="Garamond" w:cs="Times New Roman"/>
          <w:b/>
          <w:sz w:val="24"/>
          <w:szCs w:val="24"/>
        </w:rPr>
        <w:t>m</w:t>
      </w:r>
      <w:r w:rsidR="006F605B" w:rsidRPr="00DC66CD">
        <w:rPr>
          <w:rFonts w:ascii="Garamond" w:hAnsi="Garamond" w:cs="Times New Roman"/>
          <w:b/>
          <w:sz w:val="24"/>
          <w:szCs w:val="24"/>
        </w:rPr>
        <w:t>ë 2020</w:t>
      </w:r>
      <w:r w:rsidR="00893811" w:rsidRPr="00DC66CD">
        <w:rPr>
          <w:rFonts w:ascii="Garamond" w:hAnsi="Garamond" w:cs="Times New Roman"/>
          <w:b/>
          <w:sz w:val="24"/>
          <w:szCs w:val="24"/>
        </w:rPr>
        <w:t>-ën</w:t>
      </w:r>
    </w:p>
    <w:p w14:paraId="208B0181" w14:textId="373093DB" w:rsidR="006F605B" w:rsidRPr="00DC66CD" w:rsidRDefault="006F605B" w:rsidP="006F605B">
      <w:pPr>
        <w:pStyle w:val="ListParagraph"/>
        <w:snapToGrid w:val="0"/>
        <w:spacing w:after="0" w:line="240" w:lineRule="auto"/>
        <w:ind w:left="0" w:firstLine="284"/>
        <w:jc w:val="both"/>
        <w:rPr>
          <w:rFonts w:ascii="Garamond" w:hAnsi="Garamond" w:cs="Times New Roman"/>
          <w:sz w:val="24"/>
          <w:szCs w:val="24"/>
        </w:rPr>
      </w:pPr>
      <w:r w:rsidRPr="00DC66CD">
        <w:rPr>
          <w:rFonts w:ascii="Garamond" w:hAnsi="Garamond" w:cs="Times New Roman"/>
          <w:sz w:val="24"/>
          <w:szCs w:val="24"/>
        </w:rPr>
        <w:t>Gjatë vitit 2020, masa do të vazhdojë me përgatitjen e prishjes së linjës ekzistuese RW dhe rehabilitimin e punimeve në seksionin e parë</w:t>
      </w:r>
      <w:r w:rsidR="00DE0B99" w:rsidRPr="00DC66CD">
        <w:rPr>
          <w:rFonts w:ascii="Garamond" w:hAnsi="Garamond" w:cs="Times New Roman"/>
          <w:sz w:val="24"/>
          <w:szCs w:val="24"/>
        </w:rPr>
        <w:t>,</w:t>
      </w:r>
      <w:r w:rsidRPr="00DC66CD">
        <w:rPr>
          <w:rFonts w:ascii="Garamond" w:hAnsi="Garamond" w:cs="Times New Roman"/>
          <w:sz w:val="24"/>
          <w:szCs w:val="24"/>
        </w:rPr>
        <w:t xml:space="preserve"> duke filluar nga Durrësi deri në PTT në Tiranë. Njësia për Zbatimin e Projektit (PIU)</w:t>
      </w:r>
      <w:r w:rsidR="00DE0B99" w:rsidRPr="00DC66CD">
        <w:rPr>
          <w:rFonts w:ascii="Garamond" w:hAnsi="Garamond" w:cs="Times New Roman"/>
          <w:sz w:val="24"/>
          <w:szCs w:val="24"/>
        </w:rPr>
        <w:t>,</w:t>
      </w:r>
      <w:r w:rsidRPr="00DC66CD">
        <w:rPr>
          <w:rFonts w:ascii="Garamond" w:hAnsi="Garamond" w:cs="Times New Roman"/>
          <w:sz w:val="24"/>
          <w:szCs w:val="24"/>
        </w:rPr>
        <w:t xml:space="preserve"> që përfshin </w:t>
      </w:r>
      <w:r w:rsidR="00DE0B99" w:rsidRPr="00DC66CD">
        <w:rPr>
          <w:rFonts w:ascii="Garamond" w:hAnsi="Garamond" w:cs="Times New Roman"/>
          <w:sz w:val="24"/>
          <w:szCs w:val="24"/>
        </w:rPr>
        <w:t xml:space="preserve">administratorin </w:t>
      </w:r>
      <w:r w:rsidRPr="00DC66CD">
        <w:rPr>
          <w:rFonts w:ascii="Garamond" w:hAnsi="Garamond" w:cs="Times New Roman"/>
          <w:sz w:val="24"/>
          <w:szCs w:val="24"/>
        </w:rPr>
        <w:t>e Ndërmarrjes Hekurudhore Shqiptare (HSH)</w:t>
      </w:r>
      <w:r w:rsidR="00DE0B99" w:rsidRPr="00DC66CD">
        <w:rPr>
          <w:rFonts w:ascii="Garamond" w:hAnsi="Garamond" w:cs="Times New Roman"/>
          <w:sz w:val="24"/>
          <w:szCs w:val="24"/>
        </w:rPr>
        <w:t>,</w:t>
      </w:r>
      <w:r w:rsidRPr="00DC66CD">
        <w:rPr>
          <w:rFonts w:ascii="Garamond" w:hAnsi="Garamond" w:cs="Times New Roman"/>
          <w:sz w:val="24"/>
          <w:szCs w:val="24"/>
        </w:rPr>
        <w:t xml:space="preserve"> si përfituesi kryesor do të mbikëqyrë zbatimin e </w:t>
      </w:r>
      <w:r w:rsidR="00DE0B99" w:rsidRPr="00DC66CD">
        <w:rPr>
          <w:rFonts w:ascii="Garamond" w:hAnsi="Garamond" w:cs="Times New Roman"/>
          <w:sz w:val="24"/>
          <w:szCs w:val="24"/>
        </w:rPr>
        <w:t>projektit</w:t>
      </w:r>
      <w:r w:rsidRPr="00DC66CD">
        <w:rPr>
          <w:rFonts w:ascii="Garamond" w:hAnsi="Garamond" w:cs="Times New Roman"/>
          <w:sz w:val="24"/>
          <w:szCs w:val="24"/>
        </w:rPr>
        <w:t>.</w:t>
      </w:r>
    </w:p>
    <w:p w14:paraId="0FC584E3" w14:textId="15C00458" w:rsidR="006F605B" w:rsidRPr="00DC66CD" w:rsidRDefault="00E372C0" w:rsidP="00E372C0">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 xml:space="preserve">Aktivitetet e planifikuara </w:t>
      </w:r>
      <w:r w:rsidR="00893811" w:rsidRPr="00DC66CD">
        <w:rPr>
          <w:rFonts w:ascii="Garamond" w:hAnsi="Garamond" w:cs="Times New Roman"/>
          <w:b/>
          <w:sz w:val="24"/>
          <w:szCs w:val="24"/>
        </w:rPr>
        <w:t>m</w:t>
      </w:r>
      <w:r w:rsidR="006F605B" w:rsidRPr="00DC66CD">
        <w:rPr>
          <w:rFonts w:ascii="Garamond" w:hAnsi="Garamond" w:cs="Times New Roman"/>
          <w:b/>
          <w:sz w:val="24"/>
          <w:szCs w:val="24"/>
        </w:rPr>
        <w:t>ë 2021</w:t>
      </w:r>
      <w:r w:rsidR="00893811" w:rsidRPr="00DC66CD">
        <w:rPr>
          <w:rFonts w:ascii="Garamond" w:hAnsi="Garamond" w:cs="Times New Roman"/>
          <w:b/>
          <w:sz w:val="24"/>
          <w:szCs w:val="24"/>
        </w:rPr>
        <w:t>-shin</w:t>
      </w:r>
    </w:p>
    <w:p w14:paraId="2787B5D5" w14:textId="457D0000" w:rsidR="006F605B" w:rsidRPr="00DC66CD" w:rsidRDefault="006F605B" w:rsidP="006F605B">
      <w:pPr>
        <w:pStyle w:val="ListParagraph"/>
        <w:snapToGrid w:val="0"/>
        <w:spacing w:after="0" w:line="240" w:lineRule="auto"/>
        <w:ind w:left="0" w:firstLine="284"/>
        <w:jc w:val="both"/>
        <w:rPr>
          <w:rFonts w:ascii="Garamond" w:hAnsi="Garamond" w:cs="Times New Roman"/>
          <w:sz w:val="24"/>
          <w:szCs w:val="24"/>
        </w:rPr>
      </w:pPr>
      <w:r w:rsidRPr="00DC66CD">
        <w:rPr>
          <w:rFonts w:ascii="Garamond" w:hAnsi="Garamond" w:cs="Times New Roman"/>
          <w:sz w:val="24"/>
          <w:szCs w:val="24"/>
        </w:rPr>
        <w:t xml:space="preserve">Gjatë vitit 2021, </w:t>
      </w:r>
      <w:r w:rsidR="00DE0B99" w:rsidRPr="00DC66CD">
        <w:rPr>
          <w:rFonts w:ascii="Garamond" w:hAnsi="Garamond" w:cs="Times New Roman"/>
          <w:sz w:val="24"/>
          <w:szCs w:val="24"/>
        </w:rPr>
        <w:t xml:space="preserve">projekti </w:t>
      </w:r>
      <w:r w:rsidRPr="00DC66CD">
        <w:rPr>
          <w:rFonts w:ascii="Garamond" w:hAnsi="Garamond" w:cs="Times New Roman"/>
          <w:sz w:val="24"/>
          <w:szCs w:val="24"/>
        </w:rPr>
        <w:t>do të vazhdojë me rehabilitimin e punimeve në seksionin kryesor nga Durrësi në Tiranë PTT dhe do të fillojë ndërtimin e linjës së re hekurudhore deri në Aeroportin Ndërkombëtar të Tiranës. Projekti parashikohet të përfundojë dhe të dorëzohet në fund të vitit 2021. Njësia e Implementimit të Projektit (PIU)</w:t>
      </w:r>
      <w:r w:rsidR="00DE0B99" w:rsidRPr="00DC66CD">
        <w:rPr>
          <w:rFonts w:ascii="Garamond" w:hAnsi="Garamond" w:cs="Times New Roman"/>
          <w:sz w:val="24"/>
          <w:szCs w:val="24"/>
        </w:rPr>
        <w:t>,</w:t>
      </w:r>
      <w:r w:rsidRPr="00DC66CD">
        <w:rPr>
          <w:rFonts w:ascii="Garamond" w:hAnsi="Garamond" w:cs="Times New Roman"/>
          <w:sz w:val="24"/>
          <w:szCs w:val="24"/>
        </w:rPr>
        <w:t xml:space="preserve"> që përfshin Administratorin e Ndërmarrjes Hekurudhore Shqiptare (HSH) parashikohet si përfituesi kryesor do të mbikëqyrë zbatimin e Projektit.</w:t>
      </w:r>
    </w:p>
    <w:p w14:paraId="1C577D27" w14:textId="02736888" w:rsidR="006F605B" w:rsidRPr="00DC66CD" w:rsidRDefault="00E372C0" w:rsidP="00E372C0">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 xml:space="preserve">Aktivitetet e planifikuara </w:t>
      </w:r>
      <w:r w:rsidR="00893811" w:rsidRPr="00DC66CD">
        <w:rPr>
          <w:rFonts w:ascii="Garamond" w:hAnsi="Garamond" w:cs="Times New Roman"/>
          <w:b/>
          <w:sz w:val="24"/>
          <w:szCs w:val="24"/>
        </w:rPr>
        <w:t>m</w:t>
      </w:r>
      <w:r w:rsidR="006F605B" w:rsidRPr="00DC66CD">
        <w:rPr>
          <w:rFonts w:ascii="Garamond" w:hAnsi="Garamond" w:cs="Times New Roman"/>
          <w:b/>
          <w:sz w:val="24"/>
          <w:szCs w:val="24"/>
        </w:rPr>
        <w:t>ë 2022</w:t>
      </w:r>
      <w:r w:rsidR="00893811" w:rsidRPr="00DC66CD">
        <w:rPr>
          <w:rFonts w:ascii="Garamond" w:hAnsi="Garamond" w:cs="Times New Roman"/>
          <w:b/>
          <w:sz w:val="24"/>
          <w:szCs w:val="24"/>
        </w:rPr>
        <w:t>-shin</w:t>
      </w:r>
    </w:p>
    <w:p w14:paraId="636913AA" w14:textId="1137C95F" w:rsidR="006F605B" w:rsidRPr="00DC66CD" w:rsidRDefault="006F605B" w:rsidP="006F605B">
      <w:pPr>
        <w:pStyle w:val="ListParagraph"/>
        <w:snapToGrid w:val="0"/>
        <w:spacing w:after="0" w:line="240" w:lineRule="auto"/>
        <w:ind w:left="0" w:firstLine="284"/>
        <w:jc w:val="both"/>
        <w:rPr>
          <w:rFonts w:ascii="Garamond" w:hAnsi="Garamond" w:cs="Times New Roman"/>
          <w:sz w:val="24"/>
          <w:szCs w:val="24"/>
        </w:rPr>
      </w:pPr>
      <w:r w:rsidRPr="00DC66CD">
        <w:rPr>
          <w:rFonts w:ascii="Garamond" w:hAnsi="Garamond" w:cs="Times New Roman"/>
          <w:sz w:val="24"/>
          <w:szCs w:val="24"/>
        </w:rPr>
        <w:t>Aktivitetet ndërtimore të parashikuara për vitin 2022 lidhen</w:t>
      </w:r>
      <w:r w:rsidR="0072211B" w:rsidRPr="00DC66CD">
        <w:rPr>
          <w:rFonts w:ascii="Garamond" w:hAnsi="Garamond" w:cs="Times New Roman"/>
          <w:sz w:val="24"/>
          <w:szCs w:val="24"/>
        </w:rPr>
        <w:t xml:space="preserve"> </w:t>
      </w:r>
      <w:r w:rsidRPr="00DC66CD">
        <w:rPr>
          <w:rFonts w:ascii="Garamond" w:hAnsi="Garamond" w:cs="Times New Roman"/>
          <w:sz w:val="24"/>
          <w:szCs w:val="24"/>
        </w:rPr>
        <w:t xml:space="preserve">vetëm në Periudhën e Detyrimeve të Defektit, e cila do të zgjasë 12 muaj. Njësia për Zbatimin e Projektit (PIU) që përfshin </w:t>
      </w:r>
      <w:r w:rsidR="00DE0B99" w:rsidRPr="00DC66CD">
        <w:rPr>
          <w:rFonts w:ascii="Garamond" w:hAnsi="Garamond" w:cs="Times New Roman"/>
          <w:sz w:val="24"/>
          <w:szCs w:val="24"/>
        </w:rPr>
        <w:t xml:space="preserve">administratorin </w:t>
      </w:r>
      <w:r w:rsidRPr="00DC66CD">
        <w:rPr>
          <w:rFonts w:ascii="Garamond" w:hAnsi="Garamond" w:cs="Times New Roman"/>
          <w:sz w:val="24"/>
          <w:szCs w:val="24"/>
        </w:rPr>
        <w:t>e Ndërmarrjes Hekurudhore Shqiptare (HSH)</w:t>
      </w:r>
      <w:r w:rsidR="002F4610" w:rsidRPr="00DC66CD">
        <w:rPr>
          <w:rFonts w:ascii="Garamond" w:hAnsi="Garamond" w:cs="Times New Roman"/>
          <w:sz w:val="24"/>
          <w:szCs w:val="24"/>
        </w:rPr>
        <w:t>,</w:t>
      </w:r>
      <w:r w:rsidRPr="00DC66CD">
        <w:rPr>
          <w:rFonts w:ascii="Garamond" w:hAnsi="Garamond" w:cs="Times New Roman"/>
          <w:sz w:val="24"/>
          <w:szCs w:val="24"/>
        </w:rPr>
        <w:t xml:space="preserve"> si përfituesi kryesor</w:t>
      </w:r>
      <w:r w:rsidR="002F4610" w:rsidRPr="00DC66CD">
        <w:rPr>
          <w:rFonts w:ascii="Garamond" w:hAnsi="Garamond" w:cs="Times New Roman"/>
          <w:sz w:val="24"/>
          <w:szCs w:val="24"/>
        </w:rPr>
        <w:t>,</w:t>
      </w:r>
      <w:r w:rsidRPr="00DC66CD">
        <w:rPr>
          <w:rFonts w:ascii="Garamond" w:hAnsi="Garamond" w:cs="Times New Roman"/>
          <w:sz w:val="24"/>
          <w:szCs w:val="24"/>
        </w:rPr>
        <w:t xml:space="preserve"> do të mbikëqyrë </w:t>
      </w:r>
      <w:r w:rsidR="002F4610" w:rsidRPr="00DC66CD">
        <w:rPr>
          <w:rFonts w:ascii="Garamond" w:hAnsi="Garamond" w:cs="Times New Roman"/>
          <w:sz w:val="24"/>
          <w:szCs w:val="24"/>
        </w:rPr>
        <w:t>periudhën e përgjegjësisë së defektit të projektit</w:t>
      </w:r>
      <w:r w:rsidRPr="00DC66CD">
        <w:rPr>
          <w:rFonts w:ascii="Garamond" w:hAnsi="Garamond" w:cs="Times New Roman"/>
          <w:sz w:val="24"/>
          <w:szCs w:val="24"/>
        </w:rPr>
        <w:t>.</w:t>
      </w:r>
    </w:p>
    <w:p w14:paraId="75D4B228" w14:textId="6FF9D3B6" w:rsidR="006F605B" w:rsidRPr="00DC66CD" w:rsidRDefault="00E372C0" w:rsidP="00E372C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3. </w:t>
      </w:r>
      <w:r w:rsidR="006F605B" w:rsidRPr="00DC66CD">
        <w:rPr>
          <w:rFonts w:ascii="Garamond" w:hAnsi="Garamond"/>
          <w:color w:val="000000" w:themeColor="text1"/>
          <w:sz w:val="24"/>
          <w:szCs w:val="24"/>
        </w:rPr>
        <w:t>Indikatorët e rezultateve</w:t>
      </w:r>
    </w:p>
    <w:tbl>
      <w:tblPr>
        <w:tblStyle w:val="TableGrid1"/>
        <w:tblW w:w="0" w:type="auto"/>
        <w:tblLook w:val="04A0" w:firstRow="1" w:lastRow="0" w:firstColumn="1" w:lastColumn="0" w:noHBand="0" w:noVBand="1"/>
      </w:tblPr>
      <w:tblGrid>
        <w:gridCol w:w="4928"/>
        <w:gridCol w:w="1559"/>
        <w:gridCol w:w="1550"/>
        <w:gridCol w:w="1243"/>
      </w:tblGrid>
      <w:tr w:rsidR="006F605B" w:rsidRPr="00DC66CD" w14:paraId="7CC3DA66" w14:textId="77777777" w:rsidTr="002F4610">
        <w:tc>
          <w:tcPr>
            <w:tcW w:w="4928" w:type="dxa"/>
            <w:vAlign w:val="center"/>
          </w:tcPr>
          <w:p w14:paraId="7BC39EC4" w14:textId="77777777" w:rsidR="006F605B" w:rsidRPr="00DC66CD" w:rsidRDefault="006F605B" w:rsidP="002F4610">
            <w:pPr>
              <w:snapToGrid w:val="0"/>
              <w:jc w:val="center"/>
              <w:rPr>
                <w:rFonts w:ascii="Garamond" w:hAnsi="Garamond"/>
                <w:b/>
                <w:sz w:val="20"/>
                <w:szCs w:val="20"/>
                <w:lang w:val="sq-AL"/>
              </w:rPr>
            </w:pPr>
            <w:r w:rsidRPr="00DC66CD">
              <w:rPr>
                <w:rFonts w:ascii="Garamond" w:hAnsi="Garamond"/>
                <w:b/>
                <w:sz w:val="20"/>
                <w:szCs w:val="20"/>
                <w:lang w:val="sq-AL"/>
              </w:rPr>
              <w:t>Indikatori</w:t>
            </w:r>
          </w:p>
        </w:tc>
        <w:tc>
          <w:tcPr>
            <w:tcW w:w="1559" w:type="dxa"/>
            <w:vAlign w:val="center"/>
          </w:tcPr>
          <w:p w14:paraId="1AAEB752" w14:textId="77777777" w:rsidR="006F605B" w:rsidRPr="00DC66CD" w:rsidRDefault="006F605B" w:rsidP="002F4610">
            <w:pPr>
              <w:snapToGrid w:val="0"/>
              <w:jc w:val="center"/>
              <w:rPr>
                <w:rFonts w:ascii="Garamond" w:hAnsi="Garamond"/>
                <w:b/>
                <w:sz w:val="20"/>
                <w:szCs w:val="20"/>
                <w:lang w:val="sq-AL"/>
              </w:rPr>
            </w:pPr>
            <w:r w:rsidRPr="00DC66CD">
              <w:rPr>
                <w:rFonts w:ascii="Garamond" w:hAnsi="Garamond"/>
                <w:b/>
                <w:sz w:val="20"/>
                <w:szCs w:val="20"/>
                <w:lang w:val="sq-AL"/>
              </w:rPr>
              <w:t>Bazë (12/2018)</w:t>
            </w:r>
          </w:p>
        </w:tc>
        <w:tc>
          <w:tcPr>
            <w:tcW w:w="1550" w:type="dxa"/>
            <w:vAlign w:val="center"/>
          </w:tcPr>
          <w:p w14:paraId="3BBB90D8" w14:textId="5F294E32" w:rsidR="006F605B" w:rsidRPr="00DC66CD" w:rsidRDefault="00C27435" w:rsidP="002F4610">
            <w:pPr>
              <w:snapToGrid w:val="0"/>
              <w:jc w:val="center"/>
              <w:rPr>
                <w:rFonts w:ascii="Garamond" w:hAnsi="Garamond"/>
                <w:b/>
                <w:sz w:val="20"/>
                <w:szCs w:val="20"/>
                <w:lang w:val="sq-AL"/>
              </w:rPr>
            </w:pPr>
            <w:r w:rsidRPr="00DC66CD">
              <w:rPr>
                <w:rFonts w:ascii="Garamond" w:hAnsi="Garamond"/>
                <w:b/>
                <w:sz w:val="20"/>
                <w:szCs w:val="20"/>
                <w:lang w:val="sq-AL"/>
              </w:rPr>
              <w:t xml:space="preserve">Objektivi i ndërmjetëm </w:t>
            </w:r>
            <w:r w:rsidR="006F605B" w:rsidRPr="00DC66CD">
              <w:rPr>
                <w:rFonts w:ascii="Garamond" w:hAnsi="Garamond"/>
                <w:b/>
                <w:sz w:val="20"/>
                <w:szCs w:val="20"/>
                <w:lang w:val="sq-AL"/>
              </w:rPr>
              <w:t>(2022</w:t>
            </w:r>
            <w:r w:rsidR="002F4610" w:rsidRPr="00DC66CD">
              <w:rPr>
                <w:rFonts w:ascii="Garamond" w:hAnsi="Garamond"/>
                <w:b/>
                <w:sz w:val="20"/>
                <w:szCs w:val="20"/>
                <w:lang w:val="sq-AL"/>
              </w:rPr>
              <w:t>–</w:t>
            </w:r>
            <w:r w:rsidR="006F605B" w:rsidRPr="00DC66CD">
              <w:rPr>
                <w:rFonts w:ascii="Garamond" w:hAnsi="Garamond"/>
                <w:b/>
                <w:sz w:val="20"/>
                <w:szCs w:val="20"/>
                <w:lang w:val="sq-AL"/>
              </w:rPr>
              <w:t>2047)</w:t>
            </w:r>
          </w:p>
        </w:tc>
        <w:tc>
          <w:tcPr>
            <w:tcW w:w="1243" w:type="dxa"/>
            <w:vAlign w:val="center"/>
          </w:tcPr>
          <w:p w14:paraId="25B06FF5" w14:textId="77777777" w:rsidR="006F605B" w:rsidRPr="00DC66CD" w:rsidRDefault="006F605B" w:rsidP="002F4610">
            <w:pPr>
              <w:snapToGrid w:val="0"/>
              <w:jc w:val="center"/>
              <w:rPr>
                <w:rFonts w:ascii="Garamond" w:hAnsi="Garamond"/>
                <w:b/>
                <w:sz w:val="20"/>
                <w:szCs w:val="20"/>
                <w:lang w:val="sq-AL"/>
              </w:rPr>
            </w:pPr>
            <w:r w:rsidRPr="00DC66CD">
              <w:rPr>
                <w:rFonts w:ascii="Garamond" w:hAnsi="Garamond"/>
                <w:b/>
                <w:sz w:val="20"/>
                <w:szCs w:val="20"/>
                <w:lang w:val="sq-AL"/>
              </w:rPr>
              <w:t>Objektivi (2047)</w:t>
            </w:r>
          </w:p>
        </w:tc>
      </w:tr>
      <w:tr w:rsidR="006F605B" w:rsidRPr="00DC66CD" w14:paraId="4E3B61F9" w14:textId="77777777" w:rsidTr="002F4610">
        <w:tc>
          <w:tcPr>
            <w:tcW w:w="4928" w:type="dxa"/>
          </w:tcPr>
          <w:p w14:paraId="009E7771" w14:textId="3BABFA24" w:rsidR="006F605B" w:rsidRPr="00DC66CD" w:rsidRDefault="006F605B" w:rsidP="00E372C0">
            <w:pPr>
              <w:snapToGrid w:val="0"/>
              <w:rPr>
                <w:rFonts w:ascii="Garamond" w:hAnsi="Garamond"/>
                <w:sz w:val="20"/>
                <w:szCs w:val="20"/>
                <w:lang w:val="sq-AL"/>
              </w:rPr>
            </w:pPr>
            <w:r w:rsidRPr="00DC66CD">
              <w:rPr>
                <w:rFonts w:ascii="Garamond" w:hAnsi="Garamond"/>
                <w:sz w:val="20"/>
                <w:szCs w:val="20"/>
                <w:lang w:val="sq-AL"/>
              </w:rPr>
              <w:t xml:space="preserve">Treguesi i rezultatit 1 - </w:t>
            </w:r>
            <w:r w:rsidR="002F4610" w:rsidRPr="00DC66CD">
              <w:rPr>
                <w:rFonts w:ascii="Garamond" w:hAnsi="Garamond"/>
                <w:sz w:val="20"/>
                <w:szCs w:val="20"/>
                <w:lang w:val="sq-AL"/>
              </w:rPr>
              <w:t>m</w:t>
            </w:r>
            <w:r w:rsidRPr="00DC66CD">
              <w:rPr>
                <w:rFonts w:ascii="Garamond" w:hAnsi="Garamond"/>
                <w:sz w:val="20"/>
                <w:szCs w:val="20"/>
                <w:lang w:val="sq-AL"/>
              </w:rPr>
              <w:t>ilion</w:t>
            </w:r>
            <w:r w:rsidR="002F4610" w:rsidRPr="00DC66CD">
              <w:rPr>
                <w:rFonts w:ascii="Garamond" w:hAnsi="Garamond"/>
                <w:sz w:val="20"/>
                <w:szCs w:val="20"/>
                <w:lang w:val="sq-AL"/>
              </w:rPr>
              <w:t>a pasagjerë/</w:t>
            </w:r>
            <w:r w:rsidRPr="00DC66CD">
              <w:rPr>
                <w:rFonts w:ascii="Garamond" w:hAnsi="Garamond"/>
                <w:sz w:val="20"/>
                <w:szCs w:val="20"/>
                <w:lang w:val="sq-AL"/>
              </w:rPr>
              <w:t>vit</w:t>
            </w:r>
          </w:p>
        </w:tc>
        <w:tc>
          <w:tcPr>
            <w:tcW w:w="1559" w:type="dxa"/>
          </w:tcPr>
          <w:p w14:paraId="5A58CB3E"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0.75881</w:t>
            </w:r>
          </w:p>
        </w:tc>
        <w:tc>
          <w:tcPr>
            <w:tcW w:w="1550" w:type="dxa"/>
          </w:tcPr>
          <w:p w14:paraId="1B79F546"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1.1741</w:t>
            </w:r>
          </w:p>
        </w:tc>
        <w:tc>
          <w:tcPr>
            <w:tcW w:w="1243" w:type="dxa"/>
          </w:tcPr>
          <w:p w14:paraId="30C34503"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1.25</w:t>
            </w:r>
          </w:p>
        </w:tc>
      </w:tr>
      <w:tr w:rsidR="006F605B" w:rsidRPr="00DC66CD" w14:paraId="6EA2CF49" w14:textId="77777777" w:rsidTr="002F4610">
        <w:tc>
          <w:tcPr>
            <w:tcW w:w="4928" w:type="dxa"/>
          </w:tcPr>
          <w:p w14:paraId="572A7E26" w14:textId="029E5674" w:rsidR="006F605B" w:rsidRPr="00DC66CD" w:rsidRDefault="006F605B" w:rsidP="00E372C0">
            <w:pPr>
              <w:snapToGrid w:val="0"/>
              <w:rPr>
                <w:rFonts w:ascii="Garamond" w:hAnsi="Garamond"/>
                <w:sz w:val="20"/>
                <w:szCs w:val="20"/>
                <w:lang w:val="sq-AL"/>
              </w:rPr>
            </w:pPr>
            <w:r w:rsidRPr="00DC66CD">
              <w:rPr>
                <w:rFonts w:ascii="Garamond" w:hAnsi="Garamond"/>
                <w:sz w:val="20"/>
                <w:szCs w:val="20"/>
                <w:lang w:val="sq-AL"/>
              </w:rPr>
              <w:t xml:space="preserve">Treguesi i rezultatit 2 </w:t>
            </w:r>
            <w:r w:rsidR="002F4610" w:rsidRPr="00DC66CD">
              <w:rPr>
                <w:rFonts w:ascii="Garamond" w:hAnsi="Garamond"/>
                <w:sz w:val="20"/>
                <w:szCs w:val="20"/>
                <w:lang w:val="sq-AL"/>
              </w:rPr>
              <w:t>-</w:t>
            </w:r>
            <w:r w:rsidRPr="00DC66CD">
              <w:rPr>
                <w:rFonts w:ascii="Garamond" w:hAnsi="Garamond"/>
                <w:sz w:val="20"/>
                <w:szCs w:val="20"/>
                <w:lang w:val="sq-AL"/>
              </w:rPr>
              <w:t xml:space="preserve"> </w:t>
            </w:r>
            <w:r w:rsidR="002F4610" w:rsidRPr="00DC66CD">
              <w:rPr>
                <w:rFonts w:ascii="Garamond" w:hAnsi="Garamond"/>
                <w:sz w:val="20"/>
                <w:szCs w:val="20"/>
                <w:lang w:val="sq-AL"/>
              </w:rPr>
              <w:t>t</w:t>
            </w:r>
            <w:r w:rsidRPr="00DC66CD">
              <w:rPr>
                <w:rFonts w:ascii="Garamond" w:hAnsi="Garamond"/>
                <w:sz w:val="20"/>
                <w:szCs w:val="20"/>
                <w:lang w:val="sq-AL"/>
              </w:rPr>
              <w:t>on</w:t>
            </w:r>
            <w:r w:rsidR="002F4610" w:rsidRPr="00DC66CD">
              <w:rPr>
                <w:rFonts w:ascii="Garamond" w:hAnsi="Garamond"/>
                <w:sz w:val="20"/>
                <w:szCs w:val="20"/>
                <w:lang w:val="sq-AL"/>
              </w:rPr>
              <w:t>ë/</w:t>
            </w:r>
            <w:r w:rsidRPr="00DC66CD">
              <w:rPr>
                <w:rFonts w:ascii="Garamond" w:hAnsi="Garamond"/>
                <w:sz w:val="20"/>
                <w:szCs w:val="20"/>
                <w:lang w:val="sq-AL"/>
              </w:rPr>
              <w:t>vit</w:t>
            </w:r>
          </w:p>
        </w:tc>
        <w:tc>
          <w:tcPr>
            <w:tcW w:w="1559" w:type="dxa"/>
          </w:tcPr>
          <w:p w14:paraId="143658D7"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198,900</w:t>
            </w:r>
          </w:p>
        </w:tc>
        <w:tc>
          <w:tcPr>
            <w:tcW w:w="1550" w:type="dxa"/>
          </w:tcPr>
          <w:p w14:paraId="03FAEC34"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51,100</w:t>
            </w:r>
          </w:p>
        </w:tc>
        <w:tc>
          <w:tcPr>
            <w:tcW w:w="1243" w:type="dxa"/>
          </w:tcPr>
          <w:p w14:paraId="4C442DEE"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250,000</w:t>
            </w:r>
          </w:p>
        </w:tc>
      </w:tr>
      <w:tr w:rsidR="006F605B" w:rsidRPr="00DC66CD" w14:paraId="6ADD4757" w14:textId="77777777" w:rsidTr="002F4610">
        <w:tc>
          <w:tcPr>
            <w:tcW w:w="4928" w:type="dxa"/>
          </w:tcPr>
          <w:p w14:paraId="76F71CD3" w14:textId="54F23F6F" w:rsidR="006F605B" w:rsidRPr="00DC66CD" w:rsidRDefault="006F605B" w:rsidP="00E372C0">
            <w:pPr>
              <w:snapToGrid w:val="0"/>
              <w:rPr>
                <w:rFonts w:ascii="Garamond" w:hAnsi="Garamond"/>
                <w:sz w:val="20"/>
                <w:szCs w:val="20"/>
                <w:lang w:val="sq-AL"/>
              </w:rPr>
            </w:pPr>
            <w:r w:rsidRPr="00DC66CD">
              <w:rPr>
                <w:rFonts w:ascii="Garamond" w:hAnsi="Garamond"/>
                <w:sz w:val="20"/>
                <w:szCs w:val="20"/>
                <w:lang w:val="sq-AL"/>
              </w:rPr>
              <w:t xml:space="preserve">Treguesi i </w:t>
            </w:r>
            <w:r w:rsidR="002F4610" w:rsidRPr="00DC66CD">
              <w:rPr>
                <w:rFonts w:ascii="Garamond" w:hAnsi="Garamond"/>
                <w:sz w:val="20"/>
                <w:szCs w:val="20"/>
                <w:lang w:val="sq-AL"/>
              </w:rPr>
              <w:t xml:space="preserve">rezultatit </w:t>
            </w:r>
            <w:r w:rsidR="008E689B" w:rsidRPr="00DC66CD">
              <w:rPr>
                <w:rFonts w:ascii="Garamond" w:hAnsi="Garamond"/>
                <w:sz w:val="20"/>
                <w:szCs w:val="20"/>
                <w:lang w:val="sq-AL"/>
              </w:rPr>
              <w:t>3 (ton/</w:t>
            </w:r>
            <w:r w:rsidRPr="00DC66CD">
              <w:rPr>
                <w:rFonts w:ascii="Garamond" w:hAnsi="Garamond"/>
                <w:sz w:val="20"/>
                <w:szCs w:val="20"/>
                <w:lang w:val="sq-AL"/>
              </w:rPr>
              <w:t xml:space="preserve">vit) - </w:t>
            </w:r>
            <w:r w:rsidR="002F4610" w:rsidRPr="00DC66CD">
              <w:rPr>
                <w:rFonts w:ascii="Garamond" w:hAnsi="Garamond"/>
                <w:sz w:val="20"/>
                <w:szCs w:val="20"/>
                <w:lang w:val="sq-AL"/>
              </w:rPr>
              <w:t xml:space="preserve">ulje </w:t>
            </w:r>
            <w:r w:rsidRPr="00DC66CD">
              <w:rPr>
                <w:rFonts w:ascii="Garamond" w:hAnsi="Garamond"/>
                <w:sz w:val="20"/>
                <w:szCs w:val="20"/>
                <w:lang w:val="sq-AL"/>
              </w:rPr>
              <w:t>e emetimeve të CO</w:t>
            </w:r>
            <w:r w:rsidRPr="00DC66CD">
              <w:rPr>
                <w:rFonts w:ascii="Garamond" w:hAnsi="Garamond"/>
                <w:sz w:val="20"/>
                <w:szCs w:val="20"/>
                <w:vertAlign w:val="subscript"/>
                <w:lang w:val="sq-AL"/>
              </w:rPr>
              <w:t>2</w:t>
            </w:r>
            <w:r w:rsidRPr="00DC66CD">
              <w:rPr>
                <w:rFonts w:ascii="Garamond" w:hAnsi="Garamond"/>
                <w:sz w:val="20"/>
                <w:szCs w:val="20"/>
                <w:lang w:val="sq-AL"/>
              </w:rPr>
              <w:t xml:space="preserve"> kundrejt veturave</w:t>
            </w:r>
          </w:p>
        </w:tc>
        <w:tc>
          <w:tcPr>
            <w:tcW w:w="1559" w:type="dxa"/>
          </w:tcPr>
          <w:p w14:paraId="0119CDDB"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bCs/>
                <w:sz w:val="20"/>
                <w:szCs w:val="20"/>
                <w:lang w:val="sq-AL"/>
              </w:rPr>
              <w:t>0</w:t>
            </w:r>
          </w:p>
        </w:tc>
        <w:tc>
          <w:tcPr>
            <w:tcW w:w="1550" w:type="dxa"/>
          </w:tcPr>
          <w:p w14:paraId="55FB0022"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bCs/>
                <w:sz w:val="20"/>
                <w:szCs w:val="20"/>
                <w:lang w:val="sq-AL"/>
              </w:rPr>
              <w:t>486</w:t>
            </w:r>
          </w:p>
        </w:tc>
        <w:tc>
          <w:tcPr>
            <w:tcW w:w="1243" w:type="dxa"/>
          </w:tcPr>
          <w:p w14:paraId="1940ED53"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bCs/>
                <w:sz w:val="20"/>
                <w:szCs w:val="20"/>
                <w:lang w:val="sq-AL"/>
              </w:rPr>
              <w:t>486</w:t>
            </w:r>
          </w:p>
        </w:tc>
      </w:tr>
      <w:tr w:rsidR="006F605B" w:rsidRPr="00DC66CD" w14:paraId="4F8D01E1" w14:textId="77777777" w:rsidTr="002F4610">
        <w:tc>
          <w:tcPr>
            <w:tcW w:w="4928" w:type="dxa"/>
          </w:tcPr>
          <w:p w14:paraId="4606CBAB" w14:textId="638DA1DE" w:rsidR="006F605B" w:rsidRPr="00DC66CD" w:rsidRDefault="006F605B" w:rsidP="008E689B">
            <w:pPr>
              <w:snapToGrid w:val="0"/>
              <w:rPr>
                <w:rFonts w:ascii="Garamond" w:hAnsi="Garamond"/>
                <w:sz w:val="20"/>
                <w:szCs w:val="20"/>
                <w:lang w:val="sq-AL"/>
              </w:rPr>
            </w:pPr>
            <w:r w:rsidRPr="00DC66CD">
              <w:rPr>
                <w:rFonts w:ascii="Garamond" w:hAnsi="Garamond"/>
                <w:sz w:val="20"/>
                <w:szCs w:val="20"/>
                <w:lang w:val="sq-AL"/>
              </w:rPr>
              <w:t xml:space="preserve">Treguesi specifik i projektit 1 </w:t>
            </w:r>
            <w:r w:rsidR="008E689B" w:rsidRPr="00DC66CD">
              <w:rPr>
                <w:rFonts w:ascii="Garamond" w:hAnsi="Garamond"/>
                <w:sz w:val="20"/>
                <w:szCs w:val="20"/>
                <w:lang w:val="sq-AL"/>
              </w:rPr>
              <w:t>-</w:t>
            </w:r>
            <w:r w:rsidRPr="00DC66CD">
              <w:rPr>
                <w:rFonts w:ascii="Garamond" w:hAnsi="Garamond"/>
                <w:sz w:val="20"/>
                <w:szCs w:val="20"/>
                <w:lang w:val="sq-AL"/>
              </w:rPr>
              <w:t xml:space="preserve"> km</w:t>
            </w:r>
            <w:r w:rsidR="008E689B" w:rsidRPr="00DC66CD">
              <w:rPr>
                <w:rFonts w:ascii="Garamond" w:hAnsi="Garamond"/>
                <w:sz w:val="20"/>
                <w:szCs w:val="20"/>
                <w:lang w:val="sq-AL"/>
              </w:rPr>
              <w:t xml:space="preserve"> </w:t>
            </w:r>
            <w:r w:rsidRPr="00DC66CD">
              <w:rPr>
                <w:rFonts w:ascii="Garamond" w:hAnsi="Garamond"/>
                <w:sz w:val="20"/>
                <w:szCs w:val="20"/>
                <w:lang w:val="sq-AL"/>
              </w:rPr>
              <w:t>-</w:t>
            </w:r>
            <w:r w:rsidR="008E689B" w:rsidRPr="00DC66CD">
              <w:rPr>
                <w:rFonts w:ascii="Garamond" w:hAnsi="Garamond"/>
                <w:sz w:val="20"/>
                <w:szCs w:val="20"/>
                <w:lang w:val="sq-AL"/>
              </w:rPr>
              <w:t xml:space="preserve"> </w:t>
            </w:r>
            <w:r w:rsidRPr="00DC66CD">
              <w:rPr>
                <w:rFonts w:ascii="Garamond" w:hAnsi="Garamond"/>
                <w:sz w:val="20"/>
                <w:szCs w:val="20"/>
                <w:lang w:val="sq-AL"/>
              </w:rPr>
              <w:t>makina të reduktuar nga rruga/vit</w:t>
            </w:r>
          </w:p>
        </w:tc>
        <w:tc>
          <w:tcPr>
            <w:tcW w:w="1559" w:type="dxa"/>
          </w:tcPr>
          <w:p w14:paraId="0DC02ABA"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0</w:t>
            </w:r>
          </w:p>
        </w:tc>
        <w:tc>
          <w:tcPr>
            <w:tcW w:w="1550" w:type="dxa"/>
          </w:tcPr>
          <w:p w14:paraId="2033DF9D"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bCs/>
                <w:sz w:val="20"/>
                <w:szCs w:val="20"/>
                <w:lang w:val="sq-AL"/>
              </w:rPr>
              <w:t>8,700,000</w:t>
            </w:r>
          </w:p>
        </w:tc>
        <w:tc>
          <w:tcPr>
            <w:tcW w:w="1243" w:type="dxa"/>
          </w:tcPr>
          <w:p w14:paraId="01164CCD"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bCs/>
                <w:sz w:val="20"/>
                <w:szCs w:val="20"/>
                <w:lang w:val="sq-AL"/>
              </w:rPr>
              <w:t>8,700,000</w:t>
            </w:r>
          </w:p>
        </w:tc>
      </w:tr>
      <w:tr w:rsidR="006F605B" w:rsidRPr="00DC66CD" w14:paraId="2D73F277" w14:textId="77777777" w:rsidTr="002F4610">
        <w:tc>
          <w:tcPr>
            <w:tcW w:w="4928" w:type="dxa"/>
          </w:tcPr>
          <w:p w14:paraId="6F8DF16C" w14:textId="4C9C3873" w:rsidR="006F605B" w:rsidRPr="00DC66CD" w:rsidRDefault="006F605B" w:rsidP="00E372C0">
            <w:pPr>
              <w:snapToGrid w:val="0"/>
              <w:rPr>
                <w:rFonts w:ascii="Garamond" w:hAnsi="Garamond"/>
                <w:sz w:val="20"/>
                <w:szCs w:val="20"/>
                <w:lang w:val="sq-AL"/>
              </w:rPr>
            </w:pPr>
            <w:r w:rsidRPr="00DC66CD">
              <w:rPr>
                <w:rFonts w:ascii="Garamond" w:hAnsi="Garamond"/>
                <w:sz w:val="20"/>
                <w:szCs w:val="20"/>
                <w:lang w:val="sq-AL"/>
              </w:rPr>
              <w:t xml:space="preserve">Treguesi specifik i projektit 2 </w:t>
            </w:r>
            <w:r w:rsidR="008E689B" w:rsidRPr="00DC66CD">
              <w:rPr>
                <w:rFonts w:ascii="Garamond" w:hAnsi="Garamond"/>
                <w:sz w:val="20"/>
                <w:szCs w:val="20"/>
                <w:lang w:val="sq-AL"/>
              </w:rPr>
              <w:t>-</w:t>
            </w:r>
            <w:r w:rsidRPr="00DC66CD">
              <w:rPr>
                <w:rFonts w:ascii="Garamond" w:hAnsi="Garamond"/>
                <w:sz w:val="20"/>
                <w:szCs w:val="20"/>
                <w:lang w:val="sq-AL"/>
              </w:rPr>
              <w:t xml:space="preserve"> </w:t>
            </w:r>
            <w:r w:rsidR="002F4610" w:rsidRPr="00DC66CD">
              <w:rPr>
                <w:rFonts w:ascii="Garamond" w:hAnsi="Garamond"/>
                <w:sz w:val="20"/>
                <w:szCs w:val="20"/>
                <w:lang w:val="sq-AL"/>
              </w:rPr>
              <w:t>kamion</w:t>
            </w:r>
            <w:r w:rsidR="008E689B" w:rsidRPr="00DC66CD">
              <w:rPr>
                <w:rFonts w:ascii="Garamond" w:hAnsi="Garamond"/>
                <w:sz w:val="20"/>
                <w:szCs w:val="20"/>
                <w:lang w:val="sq-AL"/>
              </w:rPr>
              <w:t xml:space="preserve"> </w:t>
            </w:r>
            <w:r w:rsidRPr="00DC66CD">
              <w:rPr>
                <w:rFonts w:ascii="Garamond" w:hAnsi="Garamond"/>
                <w:sz w:val="20"/>
                <w:szCs w:val="20"/>
                <w:lang w:val="sq-AL"/>
              </w:rPr>
              <w:t>-</w:t>
            </w:r>
            <w:r w:rsidR="008E689B" w:rsidRPr="00DC66CD">
              <w:rPr>
                <w:rFonts w:ascii="Garamond" w:hAnsi="Garamond"/>
                <w:sz w:val="20"/>
                <w:szCs w:val="20"/>
                <w:lang w:val="sq-AL"/>
              </w:rPr>
              <w:t xml:space="preserve"> </w:t>
            </w:r>
            <w:r w:rsidRPr="00DC66CD">
              <w:rPr>
                <w:rFonts w:ascii="Garamond" w:hAnsi="Garamond"/>
                <w:sz w:val="20"/>
                <w:szCs w:val="20"/>
                <w:lang w:val="sq-AL"/>
              </w:rPr>
              <w:t>km reduktuar nga rruga në vit</w:t>
            </w:r>
          </w:p>
        </w:tc>
        <w:tc>
          <w:tcPr>
            <w:tcW w:w="1559" w:type="dxa"/>
          </w:tcPr>
          <w:p w14:paraId="3373BBFD"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0</w:t>
            </w:r>
          </w:p>
        </w:tc>
        <w:tc>
          <w:tcPr>
            <w:tcW w:w="1550" w:type="dxa"/>
          </w:tcPr>
          <w:p w14:paraId="79FFA735"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bCs/>
                <w:sz w:val="20"/>
                <w:szCs w:val="20"/>
                <w:lang w:val="sq-AL"/>
              </w:rPr>
              <w:t>138,000</w:t>
            </w:r>
          </w:p>
        </w:tc>
        <w:tc>
          <w:tcPr>
            <w:tcW w:w="1243" w:type="dxa"/>
          </w:tcPr>
          <w:p w14:paraId="5FBE9556"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bCs/>
                <w:sz w:val="20"/>
                <w:szCs w:val="20"/>
                <w:lang w:val="sq-AL"/>
              </w:rPr>
              <w:t>138,000</w:t>
            </w:r>
          </w:p>
        </w:tc>
      </w:tr>
      <w:tr w:rsidR="006F605B" w:rsidRPr="00DC66CD" w14:paraId="3CA51100" w14:textId="77777777" w:rsidTr="002F4610">
        <w:tc>
          <w:tcPr>
            <w:tcW w:w="4928" w:type="dxa"/>
          </w:tcPr>
          <w:p w14:paraId="54297A20" w14:textId="64BE5008" w:rsidR="006F605B" w:rsidRPr="00DC66CD" w:rsidRDefault="006F605B" w:rsidP="00E372C0">
            <w:pPr>
              <w:snapToGrid w:val="0"/>
              <w:rPr>
                <w:rFonts w:ascii="Garamond" w:hAnsi="Garamond"/>
                <w:sz w:val="20"/>
                <w:szCs w:val="20"/>
                <w:lang w:val="sq-AL"/>
              </w:rPr>
            </w:pPr>
            <w:r w:rsidRPr="00DC66CD">
              <w:rPr>
                <w:rFonts w:ascii="Garamond" w:hAnsi="Garamond"/>
                <w:sz w:val="20"/>
                <w:szCs w:val="20"/>
                <w:lang w:val="sq-AL"/>
              </w:rPr>
              <w:t xml:space="preserve">Treguesi ndër sektor (# në milion) - </w:t>
            </w:r>
            <w:r w:rsidR="002F4610" w:rsidRPr="00DC66CD">
              <w:rPr>
                <w:rFonts w:ascii="Garamond" w:hAnsi="Garamond"/>
                <w:sz w:val="20"/>
                <w:szCs w:val="20"/>
                <w:lang w:val="sq-AL"/>
              </w:rPr>
              <w:t xml:space="preserve">numri </w:t>
            </w:r>
            <w:r w:rsidRPr="00DC66CD">
              <w:rPr>
                <w:rFonts w:ascii="Garamond" w:hAnsi="Garamond"/>
                <w:sz w:val="20"/>
                <w:szCs w:val="20"/>
                <w:lang w:val="sq-AL"/>
              </w:rPr>
              <w:t>i përgjithshëm i përfituesve</w:t>
            </w:r>
          </w:p>
        </w:tc>
        <w:tc>
          <w:tcPr>
            <w:tcW w:w="1559" w:type="dxa"/>
          </w:tcPr>
          <w:p w14:paraId="563EEE9F"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0</w:t>
            </w:r>
          </w:p>
        </w:tc>
        <w:tc>
          <w:tcPr>
            <w:tcW w:w="1550" w:type="dxa"/>
          </w:tcPr>
          <w:p w14:paraId="4755312A"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2,9</w:t>
            </w:r>
          </w:p>
        </w:tc>
        <w:tc>
          <w:tcPr>
            <w:tcW w:w="1243" w:type="dxa"/>
          </w:tcPr>
          <w:p w14:paraId="2A4BE536" w14:textId="77777777" w:rsidR="006F605B" w:rsidRPr="00DC66CD" w:rsidRDefault="006F605B" w:rsidP="002F4610">
            <w:pPr>
              <w:snapToGrid w:val="0"/>
              <w:jc w:val="right"/>
              <w:rPr>
                <w:rFonts w:ascii="Garamond" w:hAnsi="Garamond"/>
                <w:sz w:val="20"/>
                <w:szCs w:val="20"/>
                <w:lang w:val="sq-AL"/>
              </w:rPr>
            </w:pPr>
            <w:r w:rsidRPr="00DC66CD">
              <w:rPr>
                <w:rFonts w:ascii="Garamond" w:hAnsi="Garamond"/>
                <w:sz w:val="20"/>
                <w:szCs w:val="20"/>
                <w:lang w:val="sq-AL"/>
              </w:rPr>
              <w:t>2,9</w:t>
            </w:r>
          </w:p>
        </w:tc>
      </w:tr>
    </w:tbl>
    <w:p w14:paraId="2389F250" w14:textId="77777777" w:rsidR="006F605B" w:rsidRPr="00DC66CD" w:rsidRDefault="006F605B" w:rsidP="006F605B">
      <w:pPr>
        <w:snapToGrid w:val="0"/>
        <w:spacing w:after="0" w:line="240" w:lineRule="auto"/>
        <w:ind w:firstLine="284"/>
        <w:rPr>
          <w:rFonts w:ascii="Garamond" w:hAnsi="Garamond"/>
          <w:sz w:val="24"/>
          <w:szCs w:val="24"/>
        </w:rPr>
      </w:pPr>
    </w:p>
    <w:p w14:paraId="7E219B36" w14:textId="0E269E40" w:rsidR="006F605B" w:rsidRPr="00DC66CD" w:rsidRDefault="00E372C0" w:rsidP="00E372C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4. </w:t>
      </w:r>
      <w:r w:rsidR="006F605B" w:rsidRPr="00DC66CD">
        <w:rPr>
          <w:rFonts w:ascii="Garamond" w:hAnsi="Garamond"/>
          <w:color w:val="000000" w:themeColor="text1"/>
          <w:sz w:val="24"/>
          <w:szCs w:val="24"/>
        </w:rPr>
        <w:t>Ndikimi i pritshëm në konkurrueshmëri</w:t>
      </w:r>
    </w:p>
    <w:p w14:paraId="6A4C50A3" w14:textId="0135792E"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Ky është një nga projektet me përparësi strategjike të qeverisë shqiptare që do të japë prosperitet dhe zhvillim në objektet e transportit të qytetarëve në mesin e qyteteve më të mëdha të Shqipërisë. Projekti hekurudhor Tiranë</w:t>
      </w:r>
      <w:r w:rsidR="00E72E04" w:rsidRPr="00DC66CD">
        <w:rPr>
          <w:rFonts w:ascii="Garamond" w:hAnsi="Garamond"/>
          <w:i/>
          <w:color w:val="000000" w:themeColor="text1"/>
          <w:sz w:val="24"/>
          <w:szCs w:val="24"/>
        </w:rPr>
        <w:t>–</w:t>
      </w:r>
      <w:r w:rsidRPr="00DC66CD">
        <w:rPr>
          <w:rFonts w:ascii="Garamond" w:hAnsi="Garamond"/>
          <w:sz w:val="24"/>
          <w:szCs w:val="24"/>
        </w:rPr>
        <w:t xml:space="preserve">Durrës dhe lidhja me Aeroportin Ndërkombëtar të Tiranës kompletojnë dhe arrijnë plotësisht multimodalitetin e rrjetit të infrastrukturës midis dy metropoleve, duke krijuar një rrjet efikas midis infrastrukturës rrugore, aeroportit ndërkombëtar dhe portit më të madh në vend dhe një prej më </w:t>
      </w:r>
      <w:r w:rsidR="00FC2590" w:rsidRPr="00DC66CD">
        <w:rPr>
          <w:rFonts w:ascii="Garamond" w:hAnsi="Garamond"/>
          <w:sz w:val="24"/>
          <w:szCs w:val="24"/>
        </w:rPr>
        <w:t>të</w:t>
      </w:r>
      <w:r w:rsidRPr="00DC66CD">
        <w:rPr>
          <w:rFonts w:ascii="Garamond" w:hAnsi="Garamond"/>
          <w:sz w:val="24"/>
          <w:szCs w:val="24"/>
        </w:rPr>
        <w:t xml:space="preserve"> rëndësishm</w:t>
      </w:r>
      <w:r w:rsidR="00FC2590" w:rsidRPr="00DC66CD">
        <w:rPr>
          <w:rFonts w:ascii="Garamond" w:hAnsi="Garamond"/>
          <w:sz w:val="24"/>
          <w:szCs w:val="24"/>
        </w:rPr>
        <w:t>it</w:t>
      </w:r>
      <w:r w:rsidRPr="00DC66CD">
        <w:rPr>
          <w:rFonts w:ascii="Garamond" w:hAnsi="Garamond"/>
          <w:sz w:val="24"/>
          <w:szCs w:val="24"/>
        </w:rPr>
        <w:t xml:space="preserve"> në rajon, Porti i Durrësit. Në këtë mënyrë, ky projekt do të ketë një ndikim të madh ekonomik dhe shoqëror në ndërtimin e grup</w:t>
      </w:r>
      <w:r w:rsidR="00FC2590" w:rsidRPr="00DC66CD">
        <w:rPr>
          <w:rFonts w:ascii="Garamond" w:hAnsi="Garamond"/>
          <w:sz w:val="24"/>
          <w:szCs w:val="24"/>
        </w:rPr>
        <w:t>eve në rajonin në rritje Tiranë/</w:t>
      </w:r>
      <w:r w:rsidRPr="00DC66CD">
        <w:rPr>
          <w:rFonts w:ascii="Garamond" w:hAnsi="Garamond"/>
          <w:sz w:val="24"/>
          <w:szCs w:val="24"/>
        </w:rPr>
        <w:t>Durrës. Sigurimi i rajonit me një linjë hekurudhore që funksionon mirë do të jetë një avantazh i sitit, i dobishëm për të dy kompanitë tashmë të vendosura, si dhe për investitorët e mundshëm vendorë dhe të huaj.</w:t>
      </w:r>
    </w:p>
    <w:p w14:paraId="0CBE7E52" w14:textId="3EF93BC0"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A ka plane për të ndërtuar një linjë tjetër hekurudhore që lidh Durrësin me pjesën tjetër të Evropës qendrore? Po</w:t>
      </w:r>
      <w:r w:rsidR="00FC2590"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 xml:space="preserve">Sfida </w:t>
      </w:r>
      <w:r w:rsidRPr="00DC66CD">
        <w:rPr>
          <w:rFonts w:ascii="Garamond" w:hAnsi="Garamond"/>
          <w:sz w:val="24"/>
          <w:szCs w:val="24"/>
        </w:rPr>
        <w:t>është të jesh konkurrues me vetura private, të vendosësh tarifa në autostradën Durrës</w:t>
      </w:r>
      <w:r w:rsidR="00FC2590" w:rsidRPr="00DC66CD">
        <w:rPr>
          <w:rFonts w:ascii="Garamond" w:hAnsi="Garamond"/>
          <w:i/>
          <w:color w:val="000000" w:themeColor="text1"/>
          <w:sz w:val="24"/>
          <w:szCs w:val="24"/>
        </w:rPr>
        <w:t>–</w:t>
      </w:r>
      <w:r w:rsidR="00FC2590" w:rsidRPr="00DC66CD">
        <w:rPr>
          <w:rFonts w:ascii="Garamond" w:hAnsi="Garamond"/>
          <w:sz w:val="24"/>
          <w:szCs w:val="24"/>
        </w:rPr>
        <w:t>Tiranë</w:t>
      </w:r>
      <w:r w:rsidR="00FC2590" w:rsidRPr="00DC66CD">
        <w:rPr>
          <w:rFonts w:ascii="Garamond" w:hAnsi="Garamond"/>
          <w:i/>
          <w:color w:val="000000" w:themeColor="text1"/>
          <w:sz w:val="24"/>
          <w:szCs w:val="24"/>
        </w:rPr>
        <w:t>–</w:t>
      </w:r>
      <w:r w:rsidRPr="00DC66CD">
        <w:rPr>
          <w:rFonts w:ascii="Garamond" w:hAnsi="Garamond"/>
          <w:sz w:val="24"/>
          <w:szCs w:val="24"/>
        </w:rPr>
        <w:t>Durrës për autobusë dhe taksi.</w:t>
      </w:r>
    </w:p>
    <w:p w14:paraId="0300C1FF" w14:textId="6F11A955"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Ka plane aktuale të DD</w:t>
      </w:r>
      <w:r w:rsidR="00FC2590" w:rsidRPr="00DC66CD">
        <w:rPr>
          <w:rFonts w:ascii="Garamond" w:hAnsi="Garamond"/>
          <w:sz w:val="24"/>
          <w:szCs w:val="24"/>
        </w:rPr>
        <w:t>-së</w:t>
      </w:r>
      <w:r w:rsidRPr="00DC66CD">
        <w:rPr>
          <w:rFonts w:ascii="Garamond" w:hAnsi="Garamond"/>
          <w:sz w:val="24"/>
          <w:szCs w:val="24"/>
        </w:rPr>
        <w:t xml:space="preserve"> për të ndërtuar një linjë tjetër hekurudhore që lidh Durrësin me pjesën tjetër të Evropës qendrore CEFTA</w:t>
      </w:r>
      <w:r w:rsidR="00FC2590" w:rsidRPr="00DC66CD">
        <w:rPr>
          <w:rFonts w:ascii="Garamond" w:hAnsi="Garamond"/>
          <w:sz w:val="24"/>
          <w:szCs w:val="24"/>
        </w:rPr>
        <w:t>,</w:t>
      </w:r>
      <w:r w:rsidRPr="00DC66CD">
        <w:rPr>
          <w:rFonts w:ascii="Garamond" w:hAnsi="Garamond"/>
          <w:sz w:val="24"/>
          <w:szCs w:val="24"/>
        </w:rPr>
        <w:t xml:space="preserve"> përmes TEN-T OEM në Beograd</w:t>
      </w:r>
      <w:r w:rsidR="00FC2590" w:rsidRPr="00DC66CD">
        <w:rPr>
          <w:rFonts w:ascii="Garamond" w:hAnsi="Garamond"/>
          <w:sz w:val="24"/>
          <w:szCs w:val="24"/>
        </w:rPr>
        <w:t>,</w:t>
      </w:r>
      <w:r w:rsidRPr="00DC66CD">
        <w:rPr>
          <w:rFonts w:ascii="Garamond" w:hAnsi="Garamond"/>
          <w:sz w:val="24"/>
          <w:szCs w:val="24"/>
        </w:rPr>
        <w:t xml:space="preserve"> duke </w:t>
      </w:r>
      <w:r w:rsidR="00FC2590" w:rsidRPr="00DC66CD">
        <w:rPr>
          <w:rFonts w:ascii="Garamond" w:hAnsi="Garamond"/>
          <w:sz w:val="24"/>
          <w:szCs w:val="24"/>
        </w:rPr>
        <w:t>arritur nga Podgorica në Durrës/</w:t>
      </w:r>
      <w:r w:rsidRPr="00DC66CD">
        <w:rPr>
          <w:rFonts w:ascii="Garamond" w:hAnsi="Garamond"/>
          <w:sz w:val="24"/>
          <w:szCs w:val="24"/>
        </w:rPr>
        <w:t>Tiranë në projektin prioritar nga Shqipëria në Mal të Zi, si pjesë e ndërlidhshmërisë në TEN-T Korridori Mesdhetar MED</w:t>
      </w:r>
      <w:r w:rsidR="00FC2590" w:rsidRPr="00DC66CD">
        <w:rPr>
          <w:rFonts w:ascii="Garamond" w:hAnsi="Garamond"/>
          <w:sz w:val="24"/>
          <w:szCs w:val="24"/>
        </w:rPr>
        <w:t>,</w:t>
      </w:r>
      <w:r w:rsidRPr="00DC66CD">
        <w:rPr>
          <w:rFonts w:ascii="Garamond" w:hAnsi="Garamond"/>
          <w:sz w:val="24"/>
          <w:szCs w:val="24"/>
        </w:rPr>
        <w:t xml:space="preserve"> përmes Malit të Zi</w:t>
      </w:r>
      <w:r w:rsidR="00FC2590" w:rsidRPr="00DC66CD">
        <w:rPr>
          <w:rFonts w:ascii="Garamond" w:hAnsi="Garamond"/>
          <w:i/>
          <w:color w:val="000000" w:themeColor="text1"/>
          <w:sz w:val="24"/>
          <w:szCs w:val="24"/>
        </w:rPr>
        <w:t>–</w:t>
      </w:r>
      <w:r w:rsidRPr="00DC66CD">
        <w:rPr>
          <w:rFonts w:ascii="Garamond" w:hAnsi="Garamond"/>
          <w:sz w:val="24"/>
          <w:szCs w:val="24"/>
        </w:rPr>
        <w:t>Shqipëri</w:t>
      </w:r>
      <w:r w:rsidR="00FC2590" w:rsidRPr="00DC66CD">
        <w:rPr>
          <w:rFonts w:ascii="Garamond" w:hAnsi="Garamond"/>
          <w:i/>
          <w:color w:val="000000" w:themeColor="text1"/>
          <w:sz w:val="24"/>
          <w:szCs w:val="24"/>
        </w:rPr>
        <w:t>–</w:t>
      </w:r>
      <w:r w:rsidRPr="00DC66CD">
        <w:rPr>
          <w:rFonts w:ascii="Garamond" w:hAnsi="Garamond"/>
          <w:sz w:val="24"/>
          <w:szCs w:val="24"/>
        </w:rPr>
        <w:t xml:space="preserve">Greqi. </w:t>
      </w:r>
    </w:p>
    <w:p w14:paraId="72A6091F"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Pengesat kryesore, ndër të tjera, përfshijnë:</w:t>
      </w:r>
    </w:p>
    <w:p w14:paraId="66B8EF7B" w14:textId="2FEC1C2D"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a</w:t>
      </w:r>
      <w:r w:rsidR="005B476B"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i</w:t>
      </w:r>
      <w:r w:rsidRPr="00DC66CD">
        <w:rPr>
          <w:rFonts w:ascii="Garamond" w:hAnsi="Garamond"/>
          <w:sz w:val="24"/>
          <w:szCs w:val="24"/>
        </w:rPr>
        <w:t>dentifikimi i pengesave për rritjen ka ndikime sociale në konkurrencën dhe rritjen gjithëpërfshirëse</w:t>
      </w:r>
      <w:r w:rsidR="00FC2590" w:rsidRPr="00DC66CD">
        <w:rPr>
          <w:rFonts w:ascii="Garamond" w:hAnsi="Garamond"/>
          <w:sz w:val="24"/>
          <w:szCs w:val="24"/>
        </w:rPr>
        <w:t>;</w:t>
      </w:r>
    </w:p>
    <w:p w14:paraId="5FC84063" w14:textId="5DBB52BF"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b</w:t>
      </w:r>
      <w:r w:rsidR="005B476B"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p</w:t>
      </w:r>
      <w:r w:rsidRPr="00DC66CD">
        <w:rPr>
          <w:rFonts w:ascii="Garamond" w:hAnsi="Garamond"/>
          <w:sz w:val="24"/>
          <w:szCs w:val="24"/>
        </w:rPr>
        <w:t>ër transportin, tarifat mesatare</w:t>
      </w:r>
      <w:r w:rsidR="00FC2590" w:rsidRPr="00DC66CD">
        <w:rPr>
          <w:rFonts w:ascii="Garamond" w:hAnsi="Garamond"/>
          <w:sz w:val="24"/>
          <w:szCs w:val="24"/>
        </w:rPr>
        <w:t xml:space="preserve"> ekzistuese të njësisë, d.m.th., </w:t>
      </w:r>
      <w:r w:rsidRPr="00DC66CD">
        <w:rPr>
          <w:rFonts w:ascii="Garamond" w:hAnsi="Garamond"/>
          <w:sz w:val="24"/>
          <w:szCs w:val="24"/>
        </w:rPr>
        <w:t>treguesit për ton-km, merren të pandryshuara në të dy</w:t>
      </w:r>
      <w:r w:rsidR="00FC2590" w:rsidRPr="00DC66CD">
        <w:rPr>
          <w:rFonts w:ascii="Garamond" w:hAnsi="Garamond"/>
          <w:sz w:val="24"/>
          <w:szCs w:val="24"/>
        </w:rPr>
        <w:t>ja</w:t>
      </w:r>
      <w:r w:rsidRPr="00DC66CD">
        <w:rPr>
          <w:rFonts w:ascii="Garamond" w:hAnsi="Garamond"/>
          <w:sz w:val="24"/>
          <w:szCs w:val="24"/>
        </w:rPr>
        <w:t xml:space="preserve"> seksionet e tij të rehabilituara dhe jo të rehabilituara</w:t>
      </w:r>
      <w:r w:rsidR="00FC2590" w:rsidRPr="00DC66CD">
        <w:rPr>
          <w:rFonts w:ascii="Garamond" w:hAnsi="Garamond"/>
          <w:sz w:val="24"/>
          <w:szCs w:val="24"/>
        </w:rPr>
        <w:t>;</w:t>
      </w:r>
    </w:p>
    <w:p w14:paraId="205AF5BA" w14:textId="76624E3D"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c</w:t>
      </w:r>
      <w:r w:rsidR="005B476B"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k</w:t>
      </w:r>
      <w:r w:rsidRPr="00DC66CD">
        <w:rPr>
          <w:rFonts w:ascii="Garamond" w:hAnsi="Garamond"/>
          <w:sz w:val="24"/>
          <w:szCs w:val="24"/>
        </w:rPr>
        <w:t>jo masë e konsideruar</w:t>
      </w:r>
      <w:r w:rsidR="00FC2590" w:rsidRPr="00DC66CD">
        <w:rPr>
          <w:rFonts w:ascii="Garamond" w:hAnsi="Garamond"/>
          <w:sz w:val="24"/>
          <w:szCs w:val="24"/>
        </w:rPr>
        <w:t>,</w:t>
      </w:r>
      <w:r w:rsidRPr="00DC66CD">
        <w:rPr>
          <w:rFonts w:ascii="Garamond" w:hAnsi="Garamond"/>
          <w:sz w:val="24"/>
          <w:szCs w:val="24"/>
        </w:rPr>
        <w:t xml:space="preserve"> që do të rrisë konkurrencën e hekurudhës, është arritja e devijimit maksimal të mundshëm të transportit të mallrave nga rruga për në tren</w:t>
      </w:r>
      <w:r w:rsidR="00FC2590" w:rsidRPr="00DC66CD">
        <w:rPr>
          <w:rFonts w:ascii="Garamond" w:hAnsi="Garamond"/>
          <w:sz w:val="24"/>
          <w:szCs w:val="24"/>
        </w:rPr>
        <w:t>;</w:t>
      </w:r>
    </w:p>
    <w:p w14:paraId="5C91994A" w14:textId="0021CCE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d</w:t>
      </w:r>
      <w:r w:rsidR="005B476B"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g</w:t>
      </w:r>
      <w:r w:rsidRPr="00DC66CD">
        <w:rPr>
          <w:rFonts w:ascii="Garamond" w:hAnsi="Garamond"/>
          <w:sz w:val="24"/>
          <w:szCs w:val="24"/>
        </w:rPr>
        <w:t>jithashtu, duke marrë parasysh faktin se ai pengon para se të llogaritni pagesa transferimi në njësitë e tjera të HSH</w:t>
      </w:r>
      <w:r w:rsidR="00FC2590" w:rsidRPr="00DC66CD">
        <w:rPr>
          <w:rFonts w:ascii="Garamond" w:hAnsi="Garamond"/>
          <w:sz w:val="24"/>
          <w:szCs w:val="24"/>
        </w:rPr>
        <w:t>-së;</w:t>
      </w:r>
    </w:p>
    <w:p w14:paraId="58B298FA" w14:textId="7151F56A"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e</w:t>
      </w:r>
      <w:r w:rsidR="005B476B"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m</w:t>
      </w:r>
      <w:r w:rsidRPr="00DC66CD">
        <w:rPr>
          <w:rFonts w:ascii="Garamond" w:hAnsi="Garamond"/>
          <w:sz w:val="24"/>
          <w:szCs w:val="24"/>
        </w:rPr>
        <w:t>ungesa e shumicës në pajisjet e peshimit për ton/bosht për kamionë dhe kamion, varet veçanërisht për mallrat e rrezikshme</w:t>
      </w:r>
      <w:r w:rsidR="00FC2590" w:rsidRPr="00DC66CD">
        <w:rPr>
          <w:rFonts w:ascii="Garamond" w:hAnsi="Garamond"/>
          <w:sz w:val="24"/>
          <w:szCs w:val="24"/>
        </w:rPr>
        <w:t>;</w:t>
      </w:r>
    </w:p>
    <w:p w14:paraId="56A39AA4" w14:textId="007B9C30"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f</w:t>
      </w:r>
      <w:r w:rsidR="005B476B"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r</w:t>
      </w:r>
      <w:r w:rsidRPr="00DC66CD">
        <w:rPr>
          <w:rFonts w:ascii="Garamond" w:hAnsi="Garamond"/>
          <w:sz w:val="24"/>
          <w:szCs w:val="24"/>
        </w:rPr>
        <w:t>ritja e inspektimeve policore dhe kodeve të sigurisë rrugore për të hequr gjurmët e rezervuarëve të mallrave të rrezikshëm nga autostrada Tiranë</w:t>
      </w:r>
      <w:r w:rsidR="00FC2590" w:rsidRPr="00DC66CD">
        <w:rPr>
          <w:rFonts w:ascii="Garamond" w:hAnsi="Garamond"/>
          <w:i/>
          <w:color w:val="000000" w:themeColor="text1"/>
          <w:sz w:val="24"/>
          <w:szCs w:val="24"/>
        </w:rPr>
        <w:t>–</w:t>
      </w:r>
      <w:r w:rsidRPr="00DC66CD">
        <w:rPr>
          <w:rFonts w:ascii="Garamond" w:hAnsi="Garamond"/>
          <w:sz w:val="24"/>
          <w:szCs w:val="24"/>
        </w:rPr>
        <w:t>Durrës, e cila duhet të mbetet kryesisht për makinat familjare dhe turistët</w:t>
      </w:r>
      <w:r w:rsidR="00FC2590" w:rsidRPr="00DC66CD">
        <w:rPr>
          <w:rFonts w:ascii="Garamond" w:hAnsi="Garamond"/>
          <w:sz w:val="24"/>
          <w:szCs w:val="24"/>
        </w:rPr>
        <w:t>;</w:t>
      </w:r>
    </w:p>
    <w:p w14:paraId="5D706E07" w14:textId="280B6881"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g</w:t>
      </w:r>
      <w:r w:rsidR="005B476B"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pengesa për ndërrime për tonet/</w:t>
      </w:r>
      <w:r w:rsidRPr="00DC66CD">
        <w:rPr>
          <w:rFonts w:ascii="Garamond" w:hAnsi="Garamond"/>
          <w:sz w:val="24"/>
          <w:szCs w:val="24"/>
        </w:rPr>
        <w:t xml:space="preserve">HGV </w:t>
      </w:r>
      <w:r w:rsidR="00FC2590" w:rsidRPr="00DC66CD">
        <w:rPr>
          <w:rFonts w:ascii="Garamond" w:hAnsi="Garamond"/>
          <w:sz w:val="24"/>
          <w:szCs w:val="24"/>
        </w:rPr>
        <w:t>ngarkesa e trenit në tonet/</w:t>
      </w:r>
      <w:r w:rsidRPr="00DC66CD">
        <w:rPr>
          <w:rFonts w:ascii="Garamond" w:hAnsi="Garamond"/>
          <w:sz w:val="24"/>
          <w:szCs w:val="24"/>
        </w:rPr>
        <w:t>treni pas vlerësimit të llogaritjeve për trenat e mallrave, ngarkesa mesatare e ngarkuar në trenin e mallrave është deri në 600 ton</w:t>
      </w:r>
      <w:r w:rsidR="00FC2590" w:rsidRPr="00DC66CD">
        <w:rPr>
          <w:rFonts w:ascii="Garamond" w:hAnsi="Garamond"/>
          <w:sz w:val="24"/>
          <w:szCs w:val="24"/>
        </w:rPr>
        <w:t>ë</w:t>
      </w:r>
      <w:r w:rsidRPr="00DC66CD">
        <w:rPr>
          <w:rFonts w:ascii="Garamond" w:hAnsi="Garamond"/>
          <w:sz w:val="24"/>
          <w:szCs w:val="24"/>
        </w:rPr>
        <w:t xml:space="preserve"> për tren </w:t>
      </w:r>
      <w:r w:rsidR="00FC2590" w:rsidRPr="00DC66CD">
        <w:rPr>
          <w:rFonts w:ascii="Garamond" w:hAnsi="Garamond"/>
          <w:sz w:val="24"/>
          <w:szCs w:val="24"/>
        </w:rPr>
        <w:t>-</w:t>
      </w:r>
      <w:r w:rsidRPr="00DC66CD">
        <w:rPr>
          <w:rFonts w:ascii="Garamond" w:hAnsi="Garamond"/>
          <w:sz w:val="24"/>
          <w:szCs w:val="24"/>
        </w:rPr>
        <w:t xml:space="preserve"> Komitetet</w:t>
      </w:r>
      <w:r w:rsidR="00FC2590" w:rsidRPr="00DC66CD">
        <w:rPr>
          <w:rFonts w:ascii="Garamond" w:hAnsi="Garamond"/>
          <w:sz w:val="24"/>
          <w:szCs w:val="24"/>
        </w:rPr>
        <w:t>;</w:t>
      </w:r>
    </w:p>
    <w:p w14:paraId="3D39E453" w14:textId="12065B42"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h</w:t>
      </w:r>
      <w:r w:rsidR="005B476B"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s</w:t>
      </w:r>
      <w:r w:rsidRPr="00DC66CD">
        <w:rPr>
          <w:rFonts w:ascii="Garamond" w:hAnsi="Garamond"/>
          <w:sz w:val="24"/>
          <w:szCs w:val="24"/>
        </w:rPr>
        <w:t>igurimi kryesor për biletën e pasagjerëve</w:t>
      </w:r>
      <w:r w:rsidR="00FC2590" w:rsidRPr="00DC66CD">
        <w:rPr>
          <w:rFonts w:ascii="Garamond" w:hAnsi="Garamond"/>
          <w:sz w:val="24"/>
          <w:szCs w:val="24"/>
        </w:rPr>
        <w:t>,</w:t>
      </w:r>
      <w:r w:rsidRPr="00DC66CD">
        <w:rPr>
          <w:rFonts w:ascii="Garamond" w:hAnsi="Garamond"/>
          <w:sz w:val="24"/>
          <w:szCs w:val="24"/>
        </w:rPr>
        <w:t xml:space="preserve"> si në kontratën e shërbimit publik të RU</w:t>
      </w:r>
      <w:r w:rsidR="00FC2590" w:rsidRPr="00DC66CD">
        <w:rPr>
          <w:rFonts w:ascii="Garamond" w:hAnsi="Garamond"/>
          <w:sz w:val="24"/>
          <w:szCs w:val="24"/>
        </w:rPr>
        <w:t>-së</w:t>
      </w:r>
      <w:r w:rsidRPr="00DC66CD">
        <w:rPr>
          <w:rFonts w:ascii="Garamond" w:hAnsi="Garamond"/>
          <w:sz w:val="24"/>
          <w:szCs w:val="24"/>
        </w:rPr>
        <w:t xml:space="preserve"> me pasagjerin e aprovuar</w:t>
      </w:r>
      <w:r w:rsidR="00FC2590" w:rsidRPr="00DC66CD">
        <w:rPr>
          <w:rFonts w:ascii="Garamond" w:hAnsi="Garamond"/>
          <w:sz w:val="24"/>
          <w:szCs w:val="24"/>
        </w:rPr>
        <w:t>;</w:t>
      </w:r>
    </w:p>
    <w:p w14:paraId="70F91F90" w14:textId="2FB02804"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i</w:t>
      </w:r>
      <w:r w:rsidR="005B476B" w:rsidRPr="00DC66CD">
        <w:rPr>
          <w:rFonts w:ascii="Garamond" w:hAnsi="Garamond"/>
          <w:sz w:val="24"/>
          <w:szCs w:val="24"/>
        </w:rPr>
        <w:t>)</w:t>
      </w:r>
      <w:r w:rsidRPr="00DC66CD">
        <w:rPr>
          <w:rFonts w:ascii="Garamond" w:hAnsi="Garamond"/>
          <w:sz w:val="24"/>
          <w:szCs w:val="24"/>
        </w:rPr>
        <w:t xml:space="preserve"> </w:t>
      </w:r>
      <w:r w:rsidR="00FC2590" w:rsidRPr="00DC66CD">
        <w:rPr>
          <w:rFonts w:ascii="Garamond" w:hAnsi="Garamond"/>
          <w:sz w:val="24"/>
          <w:szCs w:val="24"/>
        </w:rPr>
        <w:t>k</w:t>
      </w:r>
      <w:r w:rsidRPr="00DC66CD">
        <w:rPr>
          <w:rFonts w:ascii="Garamond" w:hAnsi="Garamond"/>
          <w:sz w:val="24"/>
          <w:szCs w:val="24"/>
        </w:rPr>
        <w:t xml:space="preserve">ostoja për njësi e aksidenteve hekurudhore në Shqipëri vlerësohet e barabartë me 0.0099 </w:t>
      </w:r>
      <w:r w:rsidR="00FC2590" w:rsidRPr="00DC66CD">
        <w:rPr>
          <w:rFonts w:ascii="Garamond" w:hAnsi="Garamond"/>
          <w:sz w:val="24"/>
          <w:szCs w:val="24"/>
        </w:rPr>
        <w:t xml:space="preserve">euro </w:t>
      </w:r>
      <w:r w:rsidRPr="00DC66CD">
        <w:rPr>
          <w:rFonts w:ascii="Garamond" w:hAnsi="Garamond"/>
          <w:sz w:val="24"/>
          <w:szCs w:val="24"/>
        </w:rPr>
        <w:t>për tren-km</w:t>
      </w:r>
      <w:r w:rsidR="00FC2590" w:rsidRPr="00DC66CD">
        <w:rPr>
          <w:rFonts w:ascii="Garamond" w:hAnsi="Garamond"/>
          <w:sz w:val="24"/>
          <w:szCs w:val="24"/>
        </w:rPr>
        <w:t>;</w:t>
      </w:r>
    </w:p>
    <w:p w14:paraId="203CC83B" w14:textId="1FD39CC8"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j</w:t>
      </w:r>
      <w:r w:rsidR="005B476B" w:rsidRPr="00DC66CD">
        <w:rPr>
          <w:rFonts w:ascii="Garamond" w:hAnsi="Garamond"/>
          <w:sz w:val="24"/>
          <w:szCs w:val="24"/>
        </w:rPr>
        <w:t>)</w:t>
      </w:r>
      <w:r w:rsidRPr="00DC66CD">
        <w:rPr>
          <w:rFonts w:ascii="Garamond" w:hAnsi="Garamond"/>
          <w:sz w:val="24"/>
          <w:szCs w:val="24"/>
        </w:rPr>
        <w:t xml:space="preserve"> AARC = norma mesatare (e përbërë) vjetore e ndryshimit të njësisë VOT 2.25% në bazë vjetore</w:t>
      </w:r>
      <w:r w:rsidR="00FC2590" w:rsidRPr="00DC66CD">
        <w:rPr>
          <w:rFonts w:ascii="Garamond" w:hAnsi="Garamond"/>
          <w:sz w:val="24"/>
          <w:szCs w:val="24"/>
        </w:rPr>
        <w:t>;</w:t>
      </w:r>
    </w:p>
    <w:p w14:paraId="56DA4F15" w14:textId="4EB7114C"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k</w:t>
      </w:r>
      <w:r w:rsidR="005B476B" w:rsidRPr="00DC66CD">
        <w:rPr>
          <w:rFonts w:ascii="Garamond" w:hAnsi="Garamond"/>
          <w:sz w:val="24"/>
          <w:szCs w:val="24"/>
        </w:rPr>
        <w:t>)</w:t>
      </w:r>
      <w:r w:rsidRPr="00DC66CD">
        <w:rPr>
          <w:rFonts w:ascii="Garamond" w:hAnsi="Garamond"/>
          <w:sz w:val="24"/>
          <w:szCs w:val="24"/>
        </w:rPr>
        <w:t xml:space="preserve"> MCA</w:t>
      </w:r>
      <w:r w:rsidR="00FC2590" w:rsidRPr="00DC66CD">
        <w:rPr>
          <w:rFonts w:ascii="Garamond" w:hAnsi="Garamond"/>
          <w:sz w:val="24"/>
          <w:szCs w:val="24"/>
        </w:rPr>
        <w:t>-ja</w:t>
      </w:r>
      <w:r w:rsidRPr="00DC66CD">
        <w:rPr>
          <w:rFonts w:ascii="Garamond" w:hAnsi="Garamond"/>
          <w:sz w:val="24"/>
          <w:szCs w:val="24"/>
        </w:rPr>
        <w:t xml:space="preserve"> në njësinë e kostos operative të njësisë </w:t>
      </w:r>
      <w:r w:rsidR="00FC2590" w:rsidRPr="00DC66CD">
        <w:rPr>
          <w:rFonts w:ascii="Garamond" w:hAnsi="Garamond"/>
          <w:sz w:val="24"/>
          <w:szCs w:val="24"/>
        </w:rPr>
        <w:t>kostoja</w:t>
      </w:r>
      <w:r w:rsidRPr="00DC66CD">
        <w:rPr>
          <w:rFonts w:ascii="Garamond" w:hAnsi="Garamond"/>
          <w:sz w:val="24"/>
          <w:szCs w:val="24"/>
        </w:rPr>
        <w:t>/ora e t</w:t>
      </w:r>
      <w:r w:rsidR="005B476B" w:rsidRPr="00DC66CD">
        <w:rPr>
          <w:rFonts w:ascii="Garamond" w:hAnsi="Garamond"/>
          <w:sz w:val="24"/>
          <w:szCs w:val="24"/>
        </w:rPr>
        <w:t>renit të pasagjerëve për koston/trenat F EUR/</w:t>
      </w:r>
      <w:r w:rsidRPr="00DC66CD">
        <w:rPr>
          <w:rFonts w:ascii="Garamond" w:hAnsi="Garamond"/>
          <w:sz w:val="24"/>
          <w:szCs w:val="24"/>
        </w:rPr>
        <w:t>orë-tren</w:t>
      </w:r>
      <w:r w:rsidR="00FC2590" w:rsidRPr="00DC66CD">
        <w:rPr>
          <w:rFonts w:ascii="Garamond" w:hAnsi="Garamond"/>
          <w:sz w:val="24"/>
          <w:szCs w:val="24"/>
        </w:rPr>
        <w:t>.</w:t>
      </w:r>
    </w:p>
    <w:p w14:paraId="1EFF11B5" w14:textId="40AE1A4F" w:rsidR="006F605B" w:rsidRPr="00DC66CD" w:rsidRDefault="00E372C0" w:rsidP="00E372C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5. </w:t>
      </w:r>
      <w:r w:rsidR="006F605B" w:rsidRPr="00DC66CD">
        <w:rPr>
          <w:rFonts w:ascii="Garamond" w:hAnsi="Garamond"/>
          <w:color w:val="000000" w:themeColor="text1"/>
          <w:sz w:val="24"/>
          <w:szCs w:val="24"/>
        </w:rPr>
        <w:t>Kosto</w:t>
      </w:r>
      <w:r w:rsidR="005B476B" w:rsidRPr="00DC66CD">
        <w:rPr>
          <w:rFonts w:ascii="Garamond" w:hAnsi="Garamond"/>
          <w:color w:val="000000" w:themeColor="text1"/>
          <w:sz w:val="24"/>
          <w:szCs w:val="24"/>
        </w:rPr>
        <w:t>ja</w:t>
      </w:r>
      <w:r w:rsidR="006F605B" w:rsidRPr="00DC66CD">
        <w:rPr>
          <w:rFonts w:ascii="Garamond" w:hAnsi="Garamond"/>
          <w:color w:val="000000" w:themeColor="text1"/>
          <w:sz w:val="24"/>
          <w:szCs w:val="24"/>
        </w:rPr>
        <w:t xml:space="preserve"> e parashikuar e aktiviteteve dhe burimi i financimit</w:t>
      </w:r>
    </w:p>
    <w:p w14:paraId="3A570E64" w14:textId="37799060"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Projekti ka një kosto totale të vlerësuar prej 90,45 milion</w:t>
      </w:r>
      <w:r w:rsidR="00FC2590" w:rsidRPr="00DC66CD">
        <w:rPr>
          <w:rFonts w:ascii="Garamond" w:hAnsi="Garamond"/>
          <w:sz w:val="24"/>
          <w:szCs w:val="24"/>
        </w:rPr>
        <w:t>ë</w:t>
      </w:r>
      <w:r w:rsidRPr="00DC66CD">
        <w:rPr>
          <w:rFonts w:ascii="Garamond" w:hAnsi="Garamond"/>
          <w:sz w:val="24"/>
          <w:szCs w:val="24"/>
        </w:rPr>
        <w:t xml:space="preserve"> EUR. Kontrata përfshin punime për rehabilitimin e linjës hekurudhore Tiranë</w:t>
      </w:r>
      <w:r w:rsidR="00FC2590" w:rsidRPr="00DC66CD">
        <w:rPr>
          <w:rFonts w:ascii="Garamond" w:hAnsi="Garamond"/>
          <w:i/>
          <w:color w:val="000000" w:themeColor="text1"/>
          <w:sz w:val="24"/>
          <w:szCs w:val="24"/>
        </w:rPr>
        <w:t>–</w:t>
      </w:r>
      <w:r w:rsidRPr="00DC66CD">
        <w:rPr>
          <w:rFonts w:ascii="Garamond" w:hAnsi="Garamond"/>
          <w:sz w:val="24"/>
          <w:szCs w:val="24"/>
        </w:rPr>
        <w:t>Durrës dhe ndërtimin e linjës së re hekurudhore, si dhe shërbime konsulence për mbikëqyrjen e punimeve, për të cilat proceset e tenderimit po vazhdojnë</w:t>
      </w:r>
      <w:r w:rsidR="00582B83" w:rsidRPr="00DC66CD">
        <w:rPr>
          <w:rFonts w:ascii="Garamond" w:hAnsi="Garamond"/>
          <w:sz w:val="24"/>
          <w:szCs w:val="24"/>
        </w:rPr>
        <w:t>,</w:t>
      </w:r>
      <w:r w:rsidRPr="00DC66CD">
        <w:rPr>
          <w:rFonts w:ascii="Garamond" w:hAnsi="Garamond"/>
          <w:sz w:val="24"/>
          <w:szCs w:val="24"/>
        </w:rPr>
        <w:t xml:space="preserve"> gjithashtu. Një hua sovrane deri në 36.87 milion</w:t>
      </w:r>
      <w:r w:rsidR="00582B83" w:rsidRPr="00DC66CD">
        <w:rPr>
          <w:rFonts w:ascii="Garamond" w:hAnsi="Garamond"/>
          <w:sz w:val="24"/>
          <w:szCs w:val="24"/>
        </w:rPr>
        <w:t>ë</w:t>
      </w:r>
      <w:r w:rsidRPr="00DC66CD">
        <w:rPr>
          <w:rFonts w:ascii="Garamond" w:hAnsi="Garamond"/>
          <w:sz w:val="24"/>
          <w:szCs w:val="24"/>
        </w:rPr>
        <w:t xml:space="preserve"> EUR për punë civile (përfshirë rastet e papritura) dhe shtesa për forcimin e kapacitetit institucional përmes grantit të BERZH-it 0.87 mln €.</w:t>
      </w:r>
    </w:p>
    <w:p w14:paraId="38CFF0AA" w14:textId="2B33EBC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Një grant nga WBIF-BE</w:t>
      </w:r>
      <w:r w:rsidR="00582B83" w:rsidRPr="00DC66CD">
        <w:rPr>
          <w:rFonts w:ascii="Garamond" w:hAnsi="Garamond"/>
          <w:sz w:val="24"/>
          <w:szCs w:val="24"/>
        </w:rPr>
        <w:t>,</w:t>
      </w:r>
      <w:r w:rsidRPr="00DC66CD">
        <w:rPr>
          <w:rFonts w:ascii="Garamond" w:hAnsi="Garamond"/>
          <w:sz w:val="24"/>
          <w:szCs w:val="24"/>
        </w:rPr>
        <w:t xml:space="preserve"> prej 35.435 milion</w:t>
      </w:r>
      <w:r w:rsidR="00582B83" w:rsidRPr="00DC66CD">
        <w:rPr>
          <w:rFonts w:ascii="Garamond" w:hAnsi="Garamond"/>
          <w:sz w:val="24"/>
          <w:szCs w:val="24"/>
        </w:rPr>
        <w:t>ësh</w:t>
      </w:r>
      <w:r w:rsidRPr="00DC66CD">
        <w:rPr>
          <w:rFonts w:ascii="Garamond" w:hAnsi="Garamond"/>
          <w:sz w:val="24"/>
          <w:szCs w:val="24"/>
        </w:rPr>
        <w:t xml:space="preserve"> EUR</w:t>
      </w:r>
      <w:r w:rsidR="00582B83" w:rsidRPr="00DC66CD">
        <w:rPr>
          <w:rFonts w:ascii="Garamond" w:hAnsi="Garamond"/>
          <w:sz w:val="24"/>
          <w:szCs w:val="24"/>
        </w:rPr>
        <w:t>,</w:t>
      </w:r>
      <w:r w:rsidRPr="00DC66CD">
        <w:rPr>
          <w:rFonts w:ascii="Garamond" w:hAnsi="Garamond"/>
          <w:sz w:val="24"/>
          <w:szCs w:val="24"/>
        </w:rPr>
        <w:t xml:space="preserve"> i përbërë nga: 32.935 </w:t>
      </w:r>
      <w:r w:rsidRPr="001660B8">
        <w:rPr>
          <w:rFonts w:ascii="Garamond" w:hAnsi="Garamond"/>
          <w:sz w:val="24"/>
          <w:szCs w:val="24"/>
        </w:rPr>
        <w:t>mln</w:t>
      </w:r>
      <w:r w:rsidRPr="00DC66CD">
        <w:rPr>
          <w:rFonts w:ascii="Garamond" w:hAnsi="Garamond"/>
          <w:sz w:val="24"/>
          <w:szCs w:val="24"/>
        </w:rPr>
        <w:t xml:space="preserve"> € për punë civile dhe 1,5 mln € për mbikëqyrje dhe 1 ml</w:t>
      </w:r>
      <w:r w:rsidR="00582B83" w:rsidRPr="00DC66CD">
        <w:rPr>
          <w:rFonts w:ascii="Garamond" w:hAnsi="Garamond"/>
          <w:sz w:val="24"/>
          <w:szCs w:val="24"/>
        </w:rPr>
        <w:t>n</w:t>
      </w:r>
      <w:r w:rsidRPr="00DC66CD">
        <w:rPr>
          <w:rFonts w:ascii="Garamond" w:hAnsi="Garamond"/>
          <w:sz w:val="24"/>
          <w:szCs w:val="24"/>
        </w:rPr>
        <w:t xml:space="preserve"> € për zbatimin e ESIA</w:t>
      </w:r>
      <w:r w:rsidR="00582B83" w:rsidRPr="00DC66CD">
        <w:rPr>
          <w:rFonts w:ascii="Garamond" w:hAnsi="Garamond"/>
          <w:sz w:val="24"/>
          <w:szCs w:val="24"/>
        </w:rPr>
        <w:t>-s</w:t>
      </w:r>
      <w:r w:rsidRPr="00DC66CD">
        <w:rPr>
          <w:rFonts w:ascii="Garamond" w:hAnsi="Garamond"/>
          <w:sz w:val="24"/>
          <w:szCs w:val="24"/>
        </w:rPr>
        <w:t xml:space="preserve"> dhe menaxhimin e projektit dhe dokumentacioni i tenderit në vlerë prej 1,215 mln € në total 36,65 mln € është tashmë dhënë për këtë projekt të rëndësishëm. Për më tepër, shpronësimi i tokës (1 mln) dhe TVSH (15,06 mln €) është pjesë e kostove të </w:t>
      </w:r>
      <w:r w:rsidR="00582B83" w:rsidRPr="00DC66CD">
        <w:rPr>
          <w:rFonts w:ascii="Garamond" w:hAnsi="Garamond"/>
          <w:sz w:val="24"/>
          <w:szCs w:val="24"/>
        </w:rPr>
        <w:t xml:space="preserve">buxhetit shqiptar </w:t>
      </w:r>
      <w:r w:rsidRPr="00DC66CD">
        <w:rPr>
          <w:rFonts w:ascii="Garamond" w:hAnsi="Garamond"/>
          <w:sz w:val="24"/>
          <w:szCs w:val="24"/>
        </w:rPr>
        <w:t>(mbi 16.06 milion</w:t>
      </w:r>
      <w:r w:rsidR="00582B83" w:rsidRPr="00DC66CD">
        <w:rPr>
          <w:rFonts w:ascii="Garamond" w:hAnsi="Garamond"/>
          <w:sz w:val="24"/>
          <w:szCs w:val="24"/>
        </w:rPr>
        <w:t>ë</w:t>
      </w:r>
      <w:r w:rsidRPr="00DC66CD">
        <w:rPr>
          <w:rFonts w:ascii="Garamond" w:hAnsi="Garamond"/>
          <w:sz w:val="24"/>
          <w:szCs w:val="24"/>
        </w:rPr>
        <w:t xml:space="preserve"> EUR).</w:t>
      </w:r>
      <w:r w:rsidR="00582B83" w:rsidRPr="00DC66CD">
        <w:rPr>
          <w:rFonts w:ascii="Garamond" w:hAnsi="Garamond"/>
          <w:sz w:val="24"/>
          <w:szCs w:val="24"/>
        </w:rPr>
        <w:t xml:space="preserve"> Numri i objekteve nga projekti</w:t>
      </w:r>
      <w:r w:rsidRPr="00DC66CD">
        <w:rPr>
          <w:rFonts w:ascii="Garamond" w:hAnsi="Garamond"/>
          <w:sz w:val="24"/>
          <w:szCs w:val="24"/>
        </w:rPr>
        <w:t xml:space="preserve"> është 39 (tridhjetë e nëntë) shtëpi dhe depo të tjera në kryqëzimin teknik trekëndësh </w:t>
      </w:r>
      <w:r w:rsidR="00637183" w:rsidRPr="00DC66CD">
        <w:rPr>
          <w:rFonts w:ascii="Garamond" w:hAnsi="Garamond"/>
          <w:sz w:val="24"/>
          <w:szCs w:val="24"/>
        </w:rPr>
        <w:t>vendës</w:t>
      </w:r>
      <w:r w:rsidRPr="00DC66CD">
        <w:rPr>
          <w:rFonts w:ascii="Garamond" w:hAnsi="Garamond"/>
          <w:sz w:val="24"/>
          <w:szCs w:val="24"/>
        </w:rPr>
        <w:t>, të ndryshuar. Zona përfshin praninë e kryqëzimeve të paligjshme me rrjetin ekzistues hekurudhor, veçanërisht</w:t>
      </w:r>
      <w:r w:rsidR="00582B83" w:rsidRPr="00DC66CD">
        <w:rPr>
          <w:rFonts w:ascii="Garamond" w:hAnsi="Garamond"/>
          <w:sz w:val="24"/>
          <w:szCs w:val="24"/>
        </w:rPr>
        <w:t>,</w:t>
      </w:r>
      <w:r w:rsidRPr="00DC66CD">
        <w:rPr>
          <w:rFonts w:ascii="Garamond" w:hAnsi="Garamond"/>
          <w:sz w:val="24"/>
          <w:szCs w:val="24"/>
        </w:rPr>
        <w:t xml:space="preserve"> ato të përdorura nga </w:t>
      </w:r>
      <w:r w:rsidR="00637183" w:rsidRPr="00DC66CD">
        <w:rPr>
          <w:rFonts w:ascii="Garamond" w:hAnsi="Garamond"/>
          <w:sz w:val="24"/>
          <w:szCs w:val="24"/>
        </w:rPr>
        <w:t>vendës</w:t>
      </w:r>
      <w:r w:rsidRPr="00DC66CD">
        <w:rPr>
          <w:rFonts w:ascii="Garamond" w:hAnsi="Garamond"/>
          <w:sz w:val="24"/>
          <w:szCs w:val="24"/>
        </w:rPr>
        <w:t>it për të hyrë në tokat bujqësore ose banesat në Domje.</w:t>
      </w:r>
    </w:p>
    <w:p w14:paraId="56068B13" w14:textId="01E88863" w:rsidR="006F605B" w:rsidRPr="00DC66CD" w:rsidRDefault="00E372C0" w:rsidP="00E372C0">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6. </w:t>
      </w:r>
      <w:r w:rsidR="006F605B" w:rsidRPr="00DC66CD">
        <w:rPr>
          <w:rFonts w:ascii="Garamond" w:hAnsi="Garamond"/>
          <w:color w:val="000000" w:themeColor="text1"/>
          <w:sz w:val="24"/>
          <w:szCs w:val="24"/>
        </w:rPr>
        <w:t>Ndikimi i pritshëm në rezultatet sociale, si</w:t>
      </w:r>
      <w:r w:rsidR="00582B83" w:rsidRPr="00DC66CD">
        <w:rPr>
          <w:rFonts w:ascii="Garamond" w:hAnsi="Garamond"/>
          <w:color w:val="000000" w:themeColor="text1"/>
          <w:sz w:val="24"/>
          <w:szCs w:val="24"/>
        </w:rPr>
        <w:t>:</w:t>
      </w:r>
      <w:r w:rsidR="006F605B" w:rsidRPr="00DC66CD">
        <w:rPr>
          <w:rFonts w:ascii="Garamond" w:hAnsi="Garamond"/>
          <w:color w:val="000000" w:themeColor="text1"/>
          <w:sz w:val="24"/>
          <w:szCs w:val="24"/>
        </w:rPr>
        <w:t xml:space="preserve"> punësimi, ulja e varfërisë, barazia dhe gjinia</w:t>
      </w:r>
    </w:p>
    <w:p w14:paraId="54123C9B" w14:textId="7DEC28C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Projekti do të mbështesë zhvillimin kombëtar ekonomik të Shqipërisë dhe do të kontribuojë në integrimin rajonal të Shqipërisë</w:t>
      </w:r>
      <w:r w:rsidR="00BF7FB5" w:rsidRPr="00DC66CD">
        <w:rPr>
          <w:rFonts w:ascii="Garamond" w:hAnsi="Garamond"/>
          <w:sz w:val="24"/>
          <w:szCs w:val="24"/>
        </w:rPr>
        <w:t>,</w:t>
      </w:r>
      <w:r w:rsidRPr="00DC66CD">
        <w:rPr>
          <w:rFonts w:ascii="Garamond" w:hAnsi="Garamond"/>
          <w:sz w:val="24"/>
          <w:szCs w:val="24"/>
        </w:rPr>
        <w:t xml:space="preserve"> duke përmirësuar lidhjen e qyteteve kryesore të tij me Portin e Durrësit dhe TIA. Projekti pritet të ndikojë në hapjen e shumë vendeve të reja të punës, si gjatë ndërtimit të punimeve</w:t>
      </w:r>
      <w:r w:rsidR="00582B83" w:rsidRPr="00DC66CD">
        <w:rPr>
          <w:rFonts w:ascii="Garamond" w:hAnsi="Garamond"/>
          <w:sz w:val="24"/>
          <w:szCs w:val="24"/>
        </w:rPr>
        <w:t>,</w:t>
      </w:r>
      <w:r w:rsidRPr="00DC66CD">
        <w:rPr>
          <w:rFonts w:ascii="Garamond" w:hAnsi="Garamond"/>
          <w:sz w:val="24"/>
          <w:szCs w:val="24"/>
        </w:rPr>
        <w:t xml:space="preserve"> ashtu edhe gjatë funksionimit të kësaj linje hekurudhore. Vlerësohet të krijojë rreth 1.375 vende të reja pune gjatë ndërtimit dhe rreth 2.200 punë të reja të parashikuara gjatë funksionimit të kësaj linje për RU</w:t>
      </w:r>
      <w:r w:rsidR="00582B83" w:rsidRPr="00DC66CD">
        <w:rPr>
          <w:rFonts w:ascii="Garamond" w:hAnsi="Garamond"/>
          <w:sz w:val="24"/>
          <w:szCs w:val="24"/>
        </w:rPr>
        <w:t>-në,</w:t>
      </w:r>
      <w:r w:rsidRPr="00DC66CD">
        <w:rPr>
          <w:rFonts w:ascii="Garamond" w:hAnsi="Garamond"/>
          <w:sz w:val="24"/>
          <w:szCs w:val="24"/>
        </w:rPr>
        <w:t xml:space="preserve"> i cili ka përfituar PSC në 15 vjet (ndërsa kohëzgjatja maksimale e kontratave të shërbimit publik të pasagjerëve hekurudhor</w:t>
      </w:r>
      <w:r w:rsidR="00582B83" w:rsidRPr="00DC66CD">
        <w:rPr>
          <w:rFonts w:ascii="Garamond" w:hAnsi="Garamond"/>
          <w:sz w:val="24"/>
          <w:szCs w:val="24"/>
        </w:rPr>
        <w:t>ë</w:t>
      </w:r>
      <w:r w:rsidRPr="00DC66CD">
        <w:rPr>
          <w:rFonts w:ascii="Garamond" w:hAnsi="Garamond"/>
          <w:sz w:val="24"/>
          <w:szCs w:val="24"/>
        </w:rPr>
        <w:t xml:space="preserve"> është 15 vjet, që mund të shkojë në 50% në rastet e përcaktuara me Kodin Hekurudhor). Ndikimi i pritshëm dhe rezultati i punësimit mund të përfshijnë, ndër të tjera, stafin e mirëmbajtjes nga IM</w:t>
      </w:r>
      <w:r w:rsidR="00582B83" w:rsidRPr="00DC66CD">
        <w:rPr>
          <w:rFonts w:ascii="Garamond" w:hAnsi="Garamond"/>
          <w:sz w:val="24"/>
          <w:szCs w:val="24"/>
        </w:rPr>
        <w:t>-ja</w:t>
      </w:r>
      <w:r w:rsidRPr="00DC66CD">
        <w:rPr>
          <w:rFonts w:ascii="Garamond" w:hAnsi="Garamond"/>
          <w:sz w:val="24"/>
          <w:szCs w:val="24"/>
        </w:rPr>
        <w:t>.</w:t>
      </w:r>
    </w:p>
    <w:p w14:paraId="0F7ADB34" w14:textId="7B3C2AD2" w:rsidR="006F605B" w:rsidRPr="00DC66CD" w:rsidRDefault="008A1C33" w:rsidP="008A1C3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7. </w:t>
      </w:r>
      <w:r w:rsidR="006F605B" w:rsidRPr="00DC66CD">
        <w:rPr>
          <w:rFonts w:ascii="Garamond" w:hAnsi="Garamond"/>
          <w:color w:val="000000" w:themeColor="text1"/>
          <w:sz w:val="24"/>
          <w:szCs w:val="24"/>
        </w:rPr>
        <w:t>Ndikimi i pritshëm në mjedis</w:t>
      </w:r>
    </w:p>
    <w:p w14:paraId="773811B6" w14:textId="5ACD4055"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Një objektiv paralel i projektit është të sigurojë një regjim miqësor të mjedisit, zvogëlimin e bllokimeve të trafikut rrugor midis Durrësit, Tiranës dhe Aeroportit Rinas, dhe të kontribuojë në zvogëlimin e ndotjes së ajrit nga trafiku rrugor në rajonin Durrës</w:t>
      </w:r>
      <w:r w:rsidR="00BF7FB5" w:rsidRPr="00DC66CD">
        <w:rPr>
          <w:rFonts w:ascii="Garamond" w:hAnsi="Garamond"/>
          <w:sz w:val="24"/>
          <w:szCs w:val="24"/>
        </w:rPr>
        <w:t>–</w:t>
      </w:r>
      <w:r w:rsidRPr="00DC66CD">
        <w:rPr>
          <w:rFonts w:ascii="Garamond" w:hAnsi="Garamond"/>
          <w:sz w:val="24"/>
          <w:szCs w:val="24"/>
        </w:rPr>
        <w:t>Tiranë. Sigurimi i shërbimeve hekurudhore me cilësi të lartë</w:t>
      </w:r>
      <w:r w:rsidR="00BF7FB5" w:rsidRPr="00DC66CD">
        <w:rPr>
          <w:rFonts w:ascii="Garamond" w:hAnsi="Garamond"/>
          <w:sz w:val="24"/>
          <w:szCs w:val="24"/>
        </w:rPr>
        <w:t>,</w:t>
      </w:r>
      <w:r w:rsidRPr="00DC66CD">
        <w:rPr>
          <w:rFonts w:ascii="Garamond" w:hAnsi="Garamond"/>
          <w:sz w:val="24"/>
          <w:szCs w:val="24"/>
        </w:rPr>
        <w:t xml:space="preserve"> </w:t>
      </w:r>
      <w:r w:rsidR="00BF7FB5" w:rsidRPr="00DC66CD">
        <w:rPr>
          <w:rFonts w:ascii="Garamond" w:hAnsi="Garamond"/>
          <w:sz w:val="24"/>
          <w:szCs w:val="24"/>
        </w:rPr>
        <w:t>e</w:t>
      </w:r>
      <w:r w:rsidRPr="00DC66CD">
        <w:rPr>
          <w:rFonts w:ascii="Garamond" w:hAnsi="Garamond"/>
          <w:sz w:val="24"/>
          <w:szCs w:val="24"/>
        </w:rPr>
        <w:t xml:space="preserve"> cil</w:t>
      </w:r>
      <w:r w:rsidR="00BF7FB5" w:rsidRPr="00DC66CD">
        <w:rPr>
          <w:rFonts w:ascii="Garamond" w:hAnsi="Garamond"/>
          <w:sz w:val="24"/>
          <w:szCs w:val="24"/>
        </w:rPr>
        <w:t>a</w:t>
      </w:r>
      <w:r w:rsidRPr="00DC66CD">
        <w:rPr>
          <w:rFonts w:ascii="Garamond" w:hAnsi="Garamond"/>
          <w:sz w:val="24"/>
          <w:szCs w:val="24"/>
        </w:rPr>
        <w:t xml:space="preserve"> është thelbësor</w:t>
      </w:r>
      <w:r w:rsidR="00BF7FB5" w:rsidRPr="00DC66CD">
        <w:rPr>
          <w:rFonts w:ascii="Garamond" w:hAnsi="Garamond"/>
          <w:sz w:val="24"/>
          <w:szCs w:val="24"/>
        </w:rPr>
        <w:t>e</w:t>
      </w:r>
      <w:r w:rsidRPr="00DC66CD">
        <w:rPr>
          <w:rFonts w:ascii="Garamond" w:hAnsi="Garamond"/>
          <w:sz w:val="24"/>
          <w:szCs w:val="24"/>
        </w:rPr>
        <w:t xml:space="preserve"> për zhvillimin e sistemeve të qëndrueshme të transportit që zvogëlojnë </w:t>
      </w:r>
      <w:r w:rsidRPr="00DC66CD">
        <w:rPr>
          <w:rFonts w:ascii="Garamond" w:hAnsi="Garamond"/>
          <w:i/>
          <w:sz w:val="24"/>
          <w:szCs w:val="24"/>
        </w:rPr>
        <w:t>CO</w:t>
      </w:r>
      <w:r w:rsidRPr="00DC66CD">
        <w:rPr>
          <w:rFonts w:ascii="Garamond" w:hAnsi="Garamond"/>
          <w:i/>
          <w:sz w:val="24"/>
          <w:szCs w:val="24"/>
          <w:vertAlign w:val="subscript"/>
        </w:rPr>
        <w:t>2</w:t>
      </w:r>
      <w:r w:rsidRPr="00DC66CD">
        <w:rPr>
          <w:rFonts w:ascii="Garamond" w:hAnsi="Garamond"/>
          <w:i/>
          <w:sz w:val="24"/>
          <w:szCs w:val="24"/>
        </w:rPr>
        <w:t>emission</w:t>
      </w:r>
      <w:r w:rsidR="00BF7FB5" w:rsidRPr="00DC66CD">
        <w:rPr>
          <w:rFonts w:ascii="Garamond" w:hAnsi="Garamond"/>
          <w:sz w:val="24"/>
          <w:szCs w:val="24"/>
        </w:rPr>
        <w:t>,</w:t>
      </w:r>
      <w:r w:rsidRPr="00DC66CD">
        <w:rPr>
          <w:rFonts w:ascii="Garamond" w:hAnsi="Garamond"/>
          <w:sz w:val="24"/>
          <w:szCs w:val="24"/>
        </w:rPr>
        <w:t xml:space="preserve"> në përputhje me objektivat e politikës së transportit kombëtar dhe </w:t>
      </w:r>
      <w:r w:rsidR="00BF7FB5" w:rsidRPr="00DC66CD">
        <w:rPr>
          <w:rFonts w:ascii="Garamond" w:hAnsi="Garamond"/>
          <w:sz w:val="24"/>
          <w:szCs w:val="24"/>
        </w:rPr>
        <w:t xml:space="preserve">të </w:t>
      </w:r>
      <w:r w:rsidRPr="00DC66CD">
        <w:rPr>
          <w:rFonts w:ascii="Garamond" w:hAnsi="Garamond"/>
          <w:sz w:val="24"/>
          <w:szCs w:val="24"/>
        </w:rPr>
        <w:t>BE</w:t>
      </w:r>
      <w:r w:rsidR="00BF7FB5" w:rsidRPr="00DC66CD">
        <w:rPr>
          <w:rFonts w:ascii="Garamond" w:hAnsi="Garamond"/>
          <w:sz w:val="24"/>
          <w:szCs w:val="24"/>
        </w:rPr>
        <w:t>-së</w:t>
      </w:r>
      <w:r w:rsidRPr="00DC66CD">
        <w:rPr>
          <w:rFonts w:ascii="Garamond" w:hAnsi="Garamond"/>
          <w:sz w:val="24"/>
          <w:szCs w:val="24"/>
        </w:rPr>
        <w:t>.</w:t>
      </w:r>
    </w:p>
    <w:p w14:paraId="207B1A33" w14:textId="70382315" w:rsidR="006F605B" w:rsidRPr="00DC66CD" w:rsidRDefault="008A1C33" w:rsidP="00AC4B27">
      <w:pPr>
        <w:pStyle w:val="Heading6"/>
        <w:keepNext w:val="0"/>
        <w:keepLines w:val="0"/>
        <w:snapToGrid w:val="0"/>
        <w:spacing w:before="0" w:line="240" w:lineRule="auto"/>
        <w:ind w:left="284"/>
        <w:jc w:val="both"/>
        <w:rPr>
          <w:rFonts w:ascii="Garamond" w:hAnsi="Garamond"/>
          <w:sz w:val="24"/>
          <w:szCs w:val="24"/>
        </w:rPr>
      </w:pPr>
      <w:r w:rsidRPr="00DC66CD">
        <w:rPr>
          <w:rFonts w:ascii="Garamond" w:hAnsi="Garamond"/>
          <w:color w:val="000000" w:themeColor="text1"/>
          <w:sz w:val="24"/>
          <w:szCs w:val="24"/>
        </w:rPr>
        <w:t xml:space="preserve">8. </w:t>
      </w:r>
      <w:r w:rsidR="006F605B" w:rsidRPr="00DC66CD">
        <w:rPr>
          <w:rFonts w:ascii="Garamond" w:hAnsi="Garamond"/>
          <w:color w:val="000000" w:themeColor="text1"/>
          <w:sz w:val="24"/>
          <w:szCs w:val="24"/>
        </w:rPr>
        <w:t>Rreziqet e mundshme</w:t>
      </w:r>
    </w:p>
    <w:tbl>
      <w:tblPr>
        <w:tblStyle w:val="TableGrid1"/>
        <w:tblW w:w="0" w:type="auto"/>
        <w:tblLook w:val="04A0" w:firstRow="1" w:lastRow="0" w:firstColumn="1" w:lastColumn="0" w:noHBand="0" w:noVBand="1"/>
      </w:tblPr>
      <w:tblGrid>
        <w:gridCol w:w="3670"/>
        <w:gridCol w:w="1547"/>
        <w:gridCol w:w="4063"/>
      </w:tblGrid>
      <w:tr w:rsidR="006F605B" w:rsidRPr="00DC66CD" w14:paraId="2C3675A9" w14:textId="77777777" w:rsidTr="00AC4B27">
        <w:tc>
          <w:tcPr>
            <w:tcW w:w="3823" w:type="dxa"/>
            <w:vAlign w:val="center"/>
          </w:tcPr>
          <w:p w14:paraId="2DA8D5D8" w14:textId="77777777" w:rsidR="006F605B" w:rsidRPr="00DC66CD" w:rsidRDefault="006F605B" w:rsidP="00AC4B27">
            <w:pPr>
              <w:snapToGrid w:val="0"/>
              <w:jc w:val="center"/>
              <w:rPr>
                <w:rFonts w:ascii="Garamond" w:hAnsi="Garamond"/>
                <w:b/>
                <w:lang w:val="sq-AL"/>
              </w:rPr>
            </w:pPr>
            <w:r w:rsidRPr="00DC66CD">
              <w:rPr>
                <w:rFonts w:ascii="Garamond" w:hAnsi="Garamond"/>
                <w:b/>
                <w:lang w:val="sq-AL"/>
              </w:rPr>
              <w:t>Rreziku</w:t>
            </w:r>
          </w:p>
        </w:tc>
        <w:tc>
          <w:tcPr>
            <w:tcW w:w="1559" w:type="dxa"/>
            <w:vAlign w:val="center"/>
          </w:tcPr>
          <w:p w14:paraId="4120859A" w14:textId="52E5D41B" w:rsidR="006F605B" w:rsidRPr="00DC66CD" w:rsidRDefault="006F605B" w:rsidP="00AC4B27">
            <w:pPr>
              <w:snapToGrid w:val="0"/>
              <w:jc w:val="center"/>
              <w:rPr>
                <w:rFonts w:ascii="Garamond" w:hAnsi="Garamond"/>
                <w:b/>
                <w:lang w:val="sq-AL"/>
              </w:rPr>
            </w:pPr>
            <w:r w:rsidRPr="00DC66CD">
              <w:rPr>
                <w:rFonts w:ascii="Garamond" w:hAnsi="Garamond"/>
                <w:b/>
                <w:lang w:val="sq-AL"/>
              </w:rPr>
              <w:t>Probabiliteti (</w:t>
            </w:r>
            <w:r w:rsidR="00AC4B27" w:rsidRPr="00DC66CD">
              <w:rPr>
                <w:rFonts w:ascii="Garamond" w:hAnsi="Garamond"/>
                <w:b/>
                <w:lang w:val="sq-AL"/>
              </w:rPr>
              <w:t xml:space="preserve">i </w:t>
            </w:r>
            <w:r w:rsidRPr="00DC66CD">
              <w:rPr>
                <w:rFonts w:ascii="Garamond" w:hAnsi="Garamond"/>
                <w:b/>
                <w:lang w:val="sq-AL"/>
              </w:rPr>
              <w:t xml:space="preserve">ulët, </w:t>
            </w:r>
            <w:r w:rsidR="00AC4B27" w:rsidRPr="00DC66CD">
              <w:rPr>
                <w:rFonts w:ascii="Garamond" w:hAnsi="Garamond"/>
                <w:b/>
                <w:lang w:val="sq-AL"/>
              </w:rPr>
              <w:t xml:space="preserve">i </w:t>
            </w:r>
            <w:r w:rsidRPr="00DC66CD">
              <w:rPr>
                <w:rFonts w:ascii="Garamond" w:hAnsi="Garamond"/>
                <w:b/>
                <w:lang w:val="sq-AL"/>
              </w:rPr>
              <w:t>lartë)</w:t>
            </w:r>
          </w:p>
        </w:tc>
        <w:tc>
          <w:tcPr>
            <w:tcW w:w="4240" w:type="dxa"/>
            <w:vAlign w:val="center"/>
          </w:tcPr>
          <w:p w14:paraId="17B23F63" w14:textId="77777777" w:rsidR="006F605B" w:rsidRPr="00DC66CD" w:rsidRDefault="006F605B" w:rsidP="00AC4B27">
            <w:pPr>
              <w:snapToGrid w:val="0"/>
              <w:jc w:val="center"/>
              <w:rPr>
                <w:rFonts w:ascii="Garamond" w:hAnsi="Garamond"/>
                <w:b/>
                <w:lang w:val="sq-AL"/>
              </w:rPr>
            </w:pPr>
            <w:r w:rsidRPr="00DC66CD">
              <w:rPr>
                <w:rFonts w:ascii="Garamond" w:hAnsi="Garamond"/>
                <w:b/>
                <w:lang w:val="sq-AL"/>
              </w:rPr>
              <w:t>Veprimi i planifikuar për uljen e rrezikut</w:t>
            </w:r>
          </w:p>
        </w:tc>
      </w:tr>
      <w:tr w:rsidR="006F605B" w:rsidRPr="00DC66CD" w14:paraId="2C4BC857" w14:textId="77777777" w:rsidTr="00AC4B27">
        <w:tc>
          <w:tcPr>
            <w:tcW w:w="3823" w:type="dxa"/>
          </w:tcPr>
          <w:p w14:paraId="404C8CD1" w14:textId="2BB317CA" w:rsidR="006F605B" w:rsidRPr="00DC66CD" w:rsidRDefault="006F605B" w:rsidP="008A1C33">
            <w:pPr>
              <w:snapToGrid w:val="0"/>
              <w:rPr>
                <w:rFonts w:ascii="Garamond" w:hAnsi="Garamond"/>
                <w:lang w:val="sq-AL"/>
              </w:rPr>
            </w:pPr>
            <w:r w:rsidRPr="00DC66CD">
              <w:rPr>
                <w:rFonts w:ascii="Garamond" w:hAnsi="Garamond"/>
                <w:lang w:val="sq-AL"/>
              </w:rPr>
              <w:t xml:space="preserve">1. Territori urbanistik dhe planifikimi </w:t>
            </w:r>
            <w:r w:rsidR="00BF7FB5" w:rsidRPr="00DC66CD">
              <w:rPr>
                <w:rFonts w:ascii="Garamond" w:hAnsi="Garamond"/>
                <w:lang w:val="sq-AL"/>
              </w:rPr>
              <w:t>hapësinor dhe pengesat e lejeve</w:t>
            </w:r>
          </w:p>
        </w:tc>
        <w:tc>
          <w:tcPr>
            <w:tcW w:w="1559" w:type="dxa"/>
          </w:tcPr>
          <w:p w14:paraId="53C2FF26" w14:textId="07A6F04E" w:rsidR="006F605B" w:rsidRPr="00DC66CD" w:rsidRDefault="00AC4B27" w:rsidP="008A1C33">
            <w:pPr>
              <w:snapToGrid w:val="0"/>
              <w:rPr>
                <w:rFonts w:ascii="Garamond" w:hAnsi="Garamond"/>
                <w:lang w:val="sq-AL"/>
              </w:rPr>
            </w:pPr>
            <w:r w:rsidRPr="00DC66CD">
              <w:rPr>
                <w:rFonts w:ascii="Garamond" w:hAnsi="Garamond"/>
                <w:lang w:val="sq-AL"/>
              </w:rPr>
              <w:t>I u</w:t>
            </w:r>
            <w:r w:rsidR="006F605B" w:rsidRPr="00DC66CD">
              <w:rPr>
                <w:rFonts w:ascii="Garamond" w:hAnsi="Garamond"/>
                <w:lang w:val="sq-AL"/>
              </w:rPr>
              <w:t>lët</w:t>
            </w:r>
          </w:p>
        </w:tc>
        <w:tc>
          <w:tcPr>
            <w:tcW w:w="4240" w:type="dxa"/>
          </w:tcPr>
          <w:p w14:paraId="7AC32ABF" w14:textId="6A1F0A0F" w:rsidR="006F605B" w:rsidRPr="00DC66CD" w:rsidRDefault="006F605B" w:rsidP="00BF7FB5">
            <w:pPr>
              <w:snapToGrid w:val="0"/>
              <w:rPr>
                <w:rFonts w:ascii="Garamond" w:hAnsi="Garamond"/>
                <w:lang w:val="sq-AL"/>
              </w:rPr>
            </w:pPr>
            <w:r w:rsidRPr="00DC66CD">
              <w:rPr>
                <w:rFonts w:ascii="Garamond" w:hAnsi="Garamond"/>
                <w:lang w:val="sq-AL"/>
              </w:rPr>
              <w:t>Di</w:t>
            </w:r>
            <w:r w:rsidR="00BF7FB5" w:rsidRPr="00DC66CD">
              <w:rPr>
                <w:rFonts w:ascii="Garamond" w:hAnsi="Garamond"/>
                <w:lang w:val="sq-AL"/>
              </w:rPr>
              <w:t>senjimi</w:t>
            </w:r>
            <w:r w:rsidRPr="00DC66CD">
              <w:rPr>
                <w:rFonts w:ascii="Garamond" w:hAnsi="Garamond"/>
                <w:lang w:val="sq-AL"/>
              </w:rPr>
              <w:t xml:space="preserve"> i propozuar i kushtoi vëmendje të veçantë qasjes së përdorimeve dhe</w:t>
            </w:r>
            <w:r w:rsidR="00BF7FB5" w:rsidRPr="00DC66CD">
              <w:rPr>
                <w:rFonts w:ascii="Garamond" w:hAnsi="Garamond"/>
                <w:lang w:val="sq-AL"/>
              </w:rPr>
              <w:t xml:space="preserve"> të</w:t>
            </w:r>
            <w:r w:rsidRPr="00DC66CD">
              <w:rPr>
                <w:rFonts w:ascii="Garamond" w:hAnsi="Garamond"/>
                <w:lang w:val="sq-AL"/>
              </w:rPr>
              <w:t xml:space="preserve"> pronave fqinje të tokës, si dhe lidh</w:t>
            </w:r>
            <w:r w:rsidR="00BF7FB5" w:rsidRPr="00DC66CD">
              <w:rPr>
                <w:rFonts w:ascii="Garamond" w:hAnsi="Garamond"/>
                <w:lang w:val="sq-AL"/>
              </w:rPr>
              <w:t>jeve të këmbësorëve dhe rrugëve</w:t>
            </w:r>
          </w:p>
        </w:tc>
      </w:tr>
      <w:tr w:rsidR="006F605B" w:rsidRPr="00DC66CD" w14:paraId="454E18C5" w14:textId="77777777" w:rsidTr="00AC4B27">
        <w:tc>
          <w:tcPr>
            <w:tcW w:w="3823" w:type="dxa"/>
          </w:tcPr>
          <w:p w14:paraId="72517B42" w14:textId="510D0C63" w:rsidR="006F605B" w:rsidRPr="00DC66CD" w:rsidRDefault="006F605B" w:rsidP="00BF7FB5">
            <w:pPr>
              <w:snapToGrid w:val="0"/>
              <w:rPr>
                <w:rFonts w:ascii="Garamond" w:hAnsi="Garamond"/>
                <w:lang w:val="sq-AL"/>
              </w:rPr>
            </w:pPr>
            <w:r w:rsidRPr="00DC66CD">
              <w:rPr>
                <w:rFonts w:ascii="Garamond" w:hAnsi="Garamond"/>
                <w:lang w:val="sq-AL"/>
              </w:rPr>
              <w:t>2. Pamundësi për të negociuar zgjidhjet, duke çuar n</w:t>
            </w:r>
            <w:r w:rsidR="00BF7FB5" w:rsidRPr="00DC66CD">
              <w:rPr>
                <w:rFonts w:ascii="Garamond" w:hAnsi="Garamond"/>
                <w:lang w:val="sq-AL"/>
              </w:rPr>
              <w:t>ë</w:t>
            </w:r>
            <w:r w:rsidRPr="00DC66CD">
              <w:rPr>
                <w:rFonts w:ascii="Garamond" w:hAnsi="Garamond"/>
                <w:lang w:val="sq-AL"/>
              </w:rPr>
              <w:t xml:space="preserve"> dështim të marrëveshjeve të negocimit të shpronësimit, d.m.th.</w:t>
            </w:r>
            <w:r w:rsidR="00BF7FB5" w:rsidRPr="00DC66CD">
              <w:rPr>
                <w:rFonts w:ascii="Garamond" w:hAnsi="Garamond"/>
                <w:lang w:val="sq-AL"/>
              </w:rPr>
              <w:t>,</w:t>
            </w:r>
            <w:r w:rsidRPr="00DC66CD">
              <w:rPr>
                <w:rFonts w:ascii="Garamond" w:hAnsi="Garamond"/>
                <w:lang w:val="sq-AL"/>
              </w:rPr>
              <w:t xml:space="preserve"> </w:t>
            </w:r>
            <w:r w:rsidR="00BF7FB5" w:rsidRPr="00DC66CD">
              <w:rPr>
                <w:rFonts w:ascii="Garamond" w:hAnsi="Garamond"/>
                <w:lang w:val="sq-AL"/>
              </w:rPr>
              <w:t xml:space="preserve">duke </w:t>
            </w:r>
            <w:r w:rsidRPr="00DC66CD">
              <w:rPr>
                <w:rFonts w:ascii="Garamond" w:hAnsi="Garamond"/>
                <w:lang w:val="sq-AL"/>
              </w:rPr>
              <w:t>inkurajuar me ligj dhe prona</w:t>
            </w:r>
            <w:r w:rsidR="00BF7FB5" w:rsidRPr="00DC66CD">
              <w:rPr>
                <w:rFonts w:ascii="Garamond" w:hAnsi="Garamond"/>
                <w:lang w:val="sq-AL"/>
              </w:rPr>
              <w:t>rëve u jepet së pari një ofertë</w:t>
            </w:r>
          </w:p>
        </w:tc>
        <w:tc>
          <w:tcPr>
            <w:tcW w:w="1559" w:type="dxa"/>
          </w:tcPr>
          <w:p w14:paraId="3AF28205" w14:textId="7539C177" w:rsidR="006F605B" w:rsidRPr="00DC66CD" w:rsidRDefault="00AC4B27" w:rsidP="008A1C33">
            <w:pPr>
              <w:snapToGrid w:val="0"/>
              <w:rPr>
                <w:rFonts w:ascii="Garamond" w:hAnsi="Garamond"/>
                <w:lang w:val="sq-AL"/>
              </w:rPr>
            </w:pPr>
            <w:r w:rsidRPr="00DC66CD">
              <w:rPr>
                <w:rFonts w:ascii="Garamond" w:hAnsi="Garamond"/>
                <w:lang w:val="sq-AL"/>
              </w:rPr>
              <w:t>I u</w:t>
            </w:r>
            <w:r w:rsidR="006F605B" w:rsidRPr="00DC66CD">
              <w:rPr>
                <w:rFonts w:ascii="Garamond" w:hAnsi="Garamond"/>
                <w:lang w:val="sq-AL"/>
              </w:rPr>
              <w:t>lët</w:t>
            </w:r>
          </w:p>
        </w:tc>
        <w:tc>
          <w:tcPr>
            <w:tcW w:w="4240" w:type="dxa"/>
          </w:tcPr>
          <w:p w14:paraId="0472DB27" w14:textId="64AE0224" w:rsidR="006F605B" w:rsidRPr="00DC66CD" w:rsidRDefault="006F605B" w:rsidP="008A1C33">
            <w:pPr>
              <w:snapToGrid w:val="0"/>
              <w:rPr>
                <w:rFonts w:ascii="Garamond" w:hAnsi="Garamond"/>
                <w:lang w:val="sq-AL"/>
              </w:rPr>
            </w:pPr>
            <w:r w:rsidRPr="00DC66CD">
              <w:rPr>
                <w:rFonts w:ascii="Garamond" w:hAnsi="Garamond"/>
                <w:lang w:val="sq-AL"/>
              </w:rPr>
              <w:t>Vendbanimet e negociuara inkurajohen të ndihmojnë në shmangien e shpronësimeve dhe të eliminojnë nevojën e përdorimit të autoritetit qeveritar p</w:t>
            </w:r>
            <w:r w:rsidR="00BF7FB5" w:rsidRPr="00DC66CD">
              <w:rPr>
                <w:rFonts w:ascii="Garamond" w:hAnsi="Garamond"/>
                <w:lang w:val="sq-AL"/>
              </w:rPr>
              <w:t>ër të larguar njerëzit me forcë</w:t>
            </w:r>
          </w:p>
        </w:tc>
      </w:tr>
    </w:tbl>
    <w:p w14:paraId="601920D8" w14:textId="77777777" w:rsidR="006F605B" w:rsidRPr="00DC66CD" w:rsidRDefault="006F605B" w:rsidP="006F605B">
      <w:pPr>
        <w:snapToGrid w:val="0"/>
        <w:spacing w:after="0" w:line="240" w:lineRule="auto"/>
        <w:ind w:firstLine="284"/>
        <w:rPr>
          <w:rFonts w:ascii="Garamond" w:hAnsi="Garamond"/>
          <w:sz w:val="24"/>
          <w:szCs w:val="24"/>
        </w:rPr>
      </w:pPr>
    </w:p>
    <w:p w14:paraId="150FD3C2" w14:textId="0815C50D" w:rsidR="006F605B" w:rsidRPr="00DC66CD" w:rsidRDefault="008A1C33" w:rsidP="008A1C33">
      <w:pPr>
        <w:pStyle w:val="TEKSTIIII"/>
        <w:rPr>
          <w:b/>
        </w:rPr>
      </w:pPr>
      <w:bookmarkStart w:id="37" w:name="_Toc484076187"/>
      <w:bookmarkStart w:id="38" w:name="_Toc30661231"/>
      <w:r w:rsidRPr="00DC66CD">
        <w:rPr>
          <w:b/>
        </w:rPr>
        <w:t xml:space="preserve">5.3.2 </w:t>
      </w:r>
      <w:r w:rsidR="006F605B" w:rsidRPr="00DC66CD">
        <w:rPr>
          <w:b/>
        </w:rPr>
        <w:t>Bujqësia, industria dhe shërbimet</w:t>
      </w:r>
      <w:bookmarkEnd w:id="37"/>
      <w:bookmarkEnd w:id="38"/>
    </w:p>
    <w:p w14:paraId="1B3B6A2F" w14:textId="028AD197" w:rsidR="006F605B" w:rsidRPr="00DC66CD" w:rsidRDefault="008A1C33" w:rsidP="008A1C33">
      <w:pPr>
        <w:pStyle w:val="TEKSTIIII"/>
        <w:rPr>
          <w:i/>
        </w:rPr>
      </w:pPr>
      <w:r w:rsidRPr="00DC66CD">
        <w:rPr>
          <w:i/>
        </w:rPr>
        <w:t xml:space="preserve">a) </w:t>
      </w:r>
      <w:r w:rsidR="006F605B" w:rsidRPr="00DC66CD">
        <w:rPr>
          <w:i/>
        </w:rPr>
        <w:t>Analiza e pengesave kryesore</w:t>
      </w:r>
    </w:p>
    <w:p w14:paraId="51654319" w14:textId="10BE99C3"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Toka bujqësore, pronësia e saj dhe të drejtat e tjera të lidhura me të, është një nga çështjet më të ndërlikuara dhe të vështira në Shqipëri që prek zhvillimin e saj ekonomik. Pas rënies së regjimit komunist, ligjet e para të miratuara pas 1992</w:t>
      </w:r>
      <w:r w:rsidR="005E76EE" w:rsidRPr="00DC66CD">
        <w:rPr>
          <w:rFonts w:ascii="Garamond" w:hAnsi="Garamond"/>
          <w:sz w:val="24"/>
          <w:szCs w:val="24"/>
        </w:rPr>
        <w:t>-shit</w:t>
      </w:r>
      <w:r w:rsidRPr="00DC66CD">
        <w:rPr>
          <w:rFonts w:ascii="Garamond" w:hAnsi="Garamond"/>
          <w:sz w:val="24"/>
          <w:szCs w:val="24"/>
        </w:rPr>
        <w:t xml:space="preserve"> synonin transferimin e tokës në pronësi të shtetit në private dhe për të rregulluar situatën e shkaktuar nga konfiskimi dhe nacionalizimi i regjimit të dikurshëm. Toka bujqësore ishte e ndarë sipas </w:t>
      </w:r>
      <w:r w:rsidR="00E33D88" w:rsidRPr="00DC66CD">
        <w:rPr>
          <w:rFonts w:ascii="Garamond" w:hAnsi="Garamond"/>
          <w:sz w:val="24"/>
          <w:szCs w:val="24"/>
        </w:rPr>
        <w:t>l</w:t>
      </w:r>
      <w:r w:rsidRPr="00DC66CD">
        <w:rPr>
          <w:rFonts w:ascii="Garamond" w:hAnsi="Garamond"/>
          <w:sz w:val="24"/>
          <w:szCs w:val="24"/>
        </w:rPr>
        <w:t>igjit</w:t>
      </w:r>
      <w:r w:rsidR="00E33D88" w:rsidRPr="00DC66CD">
        <w:rPr>
          <w:rFonts w:ascii="Garamond" w:hAnsi="Garamond"/>
          <w:sz w:val="24"/>
          <w:szCs w:val="24"/>
        </w:rPr>
        <w:t xml:space="preserve"> nr. </w:t>
      </w:r>
      <w:r w:rsidRPr="00DC66CD">
        <w:rPr>
          <w:rFonts w:ascii="Garamond" w:hAnsi="Garamond"/>
          <w:sz w:val="24"/>
          <w:szCs w:val="24"/>
        </w:rPr>
        <w:t>7501/1991</w:t>
      </w:r>
      <w:r w:rsidR="005E76EE"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sz w:val="24"/>
          <w:szCs w:val="24"/>
        </w:rPr>
        <w:t>“</w:t>
      </w:r>
      <w:r w:rsidRPr="00DC66CD">
        <w:rPr>
          <w:rFonts w:ascii="Garamond" w:hAnsi="Garamond"/>
          <w:sz w:val="24"/>
          <w:szCs w:val="24"/>
        </w:rPr>
        <w:t>Në tokë</w:t>
      </w:r>
      <w:r w:rsidR="002A29AD" w:rsidRPr="00DC66CD">
        <w:rPr>
          <w:rFonts w:ascii="Garamond" w:hAnsi="Garamond"/>
          <w:sz w:val="24"/>
          <w:szCs w:val="24"/>
        </w:rPr>
        <w:t>”</w:t>
      </w:r>
      <w:r w:rsidRPr="00DC66CD">
        <w:rPr>
          <w:rFonts w:ascii="Garamond" w:hAnsi="Garamond"/>
          <w:sz w:val="24"/>
          <w:szCs w:val="24"/>
        </w:rPr>
        <w:t>, i ndryshuar, për kapital dhe prandaj është shumë e fragmentuar, ndërsa kompensimi dhe kthimi i pronave të paluajtshme për pronarët ishte në qendër të zhvillimeve ligjore dhe politike. Sipas Vjetarit Statistikor të Shqipërisë, ekzistojnë 352,315 ferma familjare</w:t>
      </w:r>
      <w:r w:rsidR="005E76EE" w:rsidRPr="00DC66CD">
        <w:rPr>
          <w:rFonts w:ascii="Garamond" w:hAnsi="Garamond"/>
          <w:sz w:val="24"/>
          <w:szCs w:val="24"/>
        </w:rPr>
        <w:t>,</w:t>
      </w:r>
      <w:r w:rsidRPr="00DC66CD">
        <w:rPr>
          <w:rFonts w:ascii="Garamond" w:hAnsi="Garamond"/>
          <w:sz w:val="24"/>
          <w:szCs w:val="24"/>
        </w:rPr>
        <w:t xml:space="preserve"> me një madhësi mesatare toke për familje rreth 1.26 ha, të ndarë mesatarisht në 4.7 parcela, me një madhësi mesatare prej 0.27 </w:t>
      </w:r>
      <w:r w:rsidR="005E76EE" w:rsidRPr="00DC66CD">
        <w:rPr>
          <w:rFonts w:ascii="Garamond" w:hAnsi="Garamond"/>
          <w:sz w:val="24"/>
          <w:szCs w:val="24"/>
        </w:rPr>
        <w:t>ha/</w:t>
      </w:r>
      <w:r w:rsidRPr="00DC66CD">
        <w:rPr>
          <w:rFonts w:ascii="Garamond" w:hAnsi="Garamond"/>
          <w:sz w:val="24"/>
          <w:szCs w:val="24"/>
        </w:rPr>
        <w:t xml:space="preserve">komplot. Përafërsisht 46% e fermave janë nën 1 </w:t>
      </w:r>
      <w:r w:rsidR="005E76EE" w:rsidRPr="00DC66CD">
        <w:rPr>
          <w:rFonts w:ascii="Garamond" w:hAnsi="Garamond"/>
          <w:sz w:val="24"/>
          <w:szCs w:val="24"/>
        </w:rPr>
        <w:t>ha</w:t>
      </w:r>
      <w:r w:rsidRPr="00DC66CD">
        <w:rPr>
          <w:rFonts w:ascii="Garamond" w:hAnsi="Garamond"/>
          <w:sz w:val="24"/>
          <w:szCs w:val="24"/>
        </w:rPr>
        <w:t xml:space="preserve">, ndërsa 86% janë nën 2 </w:t>
      </w:r>
      <w:r w:rsidR="005E76EE" w:rsidRPr="00DC66CD">
        <w:rPr>
          <w:rFonts w:ascii="Garamond" w:hAnsi="Garamond"/>
          <w:sz w:val="24"/>
          <w:szCs w:val="24"/>
        </w:rPr>
        <w:t>ha</w:t>
      </w:r>
      <w:r w:rsidRPr="00DC66CD">
        <w:rPr>
          <w:rFonts w:ascii="Garamond" w:hAnsi="Garamond"/>
          <w:sz w:val="24"/>
          <w:szCs w:val="24"/>
        </w:rPr>
        <w:t xml:space="preserve">. Ndarja e tokës paraqet sfida për prodhimin dhe </w:t>
      </w:r>
      <w:r w:rsidR="005E76EE" w:rsidRPr="00DC66CD">
        <w:rPr>
          <w:rFonts w:ascii="Garamond" w:hAnsi="Garamond"/>
          <w:sz w:val="24"/>
          <w:szCs w:val="24"/>
        </w:rPr>
        <w:t xml:space="preserve">për </w:t>
      </w:r>
      <w:r w:rsidRPr="00DC66CD">
        <w:rPr>
          <w:rFonts w:ascii="Garamond" w:hAnsi="Garamond"/>
          <w:sz w:val="24"/>
          <w:szCs w:val="24"/>
        </w:rPr>
        <w:t>shitjen e produkteve bujqësore dhe e ka bërë të vështirë përvetësimin dhe përdorimin e sektorit të automatizmit në vend. Në vitet që pasuan, ligjet dhe rregulloret që synojnë rregullimin e problemeve të krijuara nga korniza ligjore e miratuar në fillim të viteve 1990.</w:t>
      </w:r>
    </w:p>
    <w:p w14:paraId="34CBEE80" w14:textId="181C770B"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Procesi i ndarjes së tokës përfundoi në vitin 2008</w:t>
      </w:r>
      <w:r w:rsidR="005E76EE" w:rsidRPr="00DC66CD">
        <w:rPr>
          <w:rFonts w:ascii="Garamond" w:hAnsi="Garamond"/>
          <w:sz w:val="24"/>
          <w:szCs w:val="24"/>
        </w:rPr>
        <w:t>,</w:t>
      </w:r>
      <w:r w:rsidRPr="00DC66CD">
        <w:rPr>
          <w:rFonts w:ascii="Garamond" w:hAnsi="Garamond"/>
          <w:sz w:val="24"/>
          <w:szCs w:val="24"/>
        </w:rPr>
        <w:t xml:space="preserve"> me hyrjen në fuqi të </w:t>
      </w:r>
      <w:r w:rsidR="00E33D88" w:rsidRPr="00DC66CD">
        <w:rPr>
          <w:rFonts w:ascii="Garamond" w:hAnsi="Garamond"/>
          <w:sz w:val="24"/>
          <w:szCs w:val="24"/>
        </w:rPr>
        <w:t xml:space="preserve">ligjit nr. </w:t>
      </w:r>
      <w:r w:rsidRPr="00DC66CD">
        <w:rPr>
          <w:rFonts w:ascii="Garamond" w:hAnsi="Garamond"/>
          <w:sz w:val="24"/>
          <w:szCs w:val="24"/>
        </w:rPr>
        <w:t>9948/2008, por problemet ligjore me pronësinë e tokës kanë vazhduar. Ndryshimet ligjore të v</w:t>
      </w:r>
      <w:r w:rsidR="005E76EE" w:rsidRPr="00DC66CD">
        <w:rPr>
          <w:rFonts w:ascii="Garamond" w:hAnsi="Garamond"/>
          <w:sz w:val="24"/>
          <w:szCs w:val="24"/>
        </w:rPr>
        <w:t>jetëve</w:t>
      </w:r>
      <w:r w:rsidRPr="00DC66CD">
        <w:rPr>
          <w:rFonts w:ascii="Garamond" w:hAnsi="Garamond"/>
          <w:sz w:val="24"/>
          <w:szCs w:val="24"/>
        </w:rPr>
        <w:t xml:space="preserve"> të fundit kanë për qëllim përfundimin e procesit të transferimit të pronësisë së tokës bujqësore, familjeve bujqësore dhe regjistrimin e tyre në zyrat e regjistrimit të pasurive të paluajtshme.</w:t>
      </w:r>
    </w:p>
    <w:p w14:paraId="0E8964DE" w14:textId="7EA4D94F"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Ndërsa shumë familje bujqësore, deri në fund të vitit 2018</w:t>
      </w:r>
      <w:r w:rsidR="005E76EE" w:rsidRPr="00DC66CD">
        <w:rPr>
          <w:rFonts w:ascii="Garamond" w:hAnsi="Garamond"/>
          <w:sz w:val="24"/>
          <w:szCs w:val="24"/>
        </w:rPr>
        <w:t>,</w:t>
      </w:r>
      <w:r w:rsidRPr="00DC66CD">
        <w:rPr>
          <w:rFonts w:ascii="Garamond" w:hAnsi="Garamond"/>
          <w:sz w:val="24"/>
          <w:szCs w:val="24"/>
        </w:rPr>
        <w:t xml:space="preserve"> nuk kishin aplikuar në bashki në përputhje me legjislacionin për të respektuar </w:t>
      </w:r>
      <w:r w:rsidR="00E33D88" w:rsidRPr="00DC66CD">
        <w:rPr>
          <w:rFonts w:ascii="Garamond" w:hAnsi="Garamond"/>
          <w:sz w:val="24"/>
          <w:szCs w:val="24"/>
        </w:rPr>
        <w:t>aktet e blerjes së tokës</w:t>
      </w:r>
      <w:r w:rsidRPr="00DC66CD">
        <w:rPr>
          <w:rFonts w:ascii="Garamond" w:hAnsi="Garamond"/>
          <w:sz w:val="24"/>
          <w:szCs w:val="24"/>
        </w:rPr>
        <w:t xml:space="preserve">, pavarësisht fushatës së ndërgjegjësimit të realizuar nga </w:t>
      </w:r>
      <w:r w:rsidR="005E76EE" w:rsidRPr="00DC66CD">
        <w:rPr>
          <w:rFonts w:ascii="Garamond" w:hAnsi="Garamond"/>
          <w:sz w:val="24"/>
          <w:szCs w:val="24"/>
        </w:rPr>
        <w:t>qeveria shqiptare</w:t>
      </w:r>
      <w:r w:rsidRPr="00DC66CD">
        <w:rPr>
          <w:rFonts w:ascii="Garamond" w:hAnsi="Garamond"/>
          <w:sz w:val="24"/>
          <w:szCs w:val="24"/>
        </w:rPr>
        <w:t>, miratimi i akteve ligjore</w:t>
      </w:r>
      <w:r w:rsidR="005E76EE" w:rsidRPr="00DC66CD">
        <w:rPr>
          <w:rFonts w:ascii="Garamond" w:hAnsi="Garamond"/>
          <w:sz w:val="24"/>
          <w:szCs w:val="24"/>
        </w:rPr>
        <w:t>,</w:t>
      </w:r>
      <w:r w:rsidRPr="00DC66CD">
        <w:rPr>
          <w:rFonts w:ascii="Garamond" w:hAnsi="Garamond"/>
          <w:sz w:val="24"/>
          <w:szCs w:val="24"/>
        </w:rPr>
        <w:t xml:space="preserve"> si:</w:t>
      </w:r>
    </w:p>
    <w:p w14:paraId="47EF4D3F" w14:textId="29F514B6" w:rsidR="006F605B" w:rsidRPr="00DC66CD" w:rsidRDefault="00E33D88" w:rsidP="008A1C33">
      <w:pPr>
        <w:pStyle w:val="TEKSTIIII"/>
      </w:pPr>
      <w:r w:rsidRPr="00DC66CD">
        <w:t xml:space="preserve">- </w:t>
      </w:r>
      <w:r w:rsidR="005E76EE" w:rsidRPr="00DC66CD">
        <w:t xml:space="preserve">ligji </w:t>
      </w:r>
      <w:r w:rsidR="006F605B" w:rsidRPr="00DC66CD">
        <w:t>9/2019</w:t>
      </w:r>
      <w:r w:rsidR="005E76EE" w:rsidRPr="00DC66CD">
        <w:t>,</w:t>
      </w:r>
      <w:r w:rsidR="006F605B" w:rsidRPr="00DC66CD">
        <w:t xml:space="preserve"> </w:t>
      </w:r>
      <w:r w:rsidR="002A29AD" w:rsidRPr="00DC66CD">
        <w:t>“</w:t>
      </w:r>
      <w:r w:rsidR="006F605B" w:rsidRPr="00DC66CD">
        <w:t>Për disa shtesa dhe ndryshime në ligjin</w:t>
      </w:r>
      <w:r w:rsidRPr="00DC66CD">
        <w:t xml:space="preserve"> nr. </w:t>
      </w:r>
      <w:r w:rsidR="006F605B" w:rsidRPr="00DC66CD">
        <w:t>171/2014</w:t>
      </w:r>
      <w:r w:rsidR="005E76EE" w:rsidRPr="00DC66CD">
        <w:t>,</w:t>
      </w:r>
      <w:r w:rsidR="006F605B" w:rsidRPr="00DC66CD">
        <w:t xml:space="preserve"> </w:t>
      </w:r>
      <w:r w:rsidR="005E76EE" w:rsidRPr="00DC66CD">
        <w:t>‘</w:t>
      </w:r>
      <w:r w:rsidR="006F605B" w:rsidRPr="00DC66CD">
        <w:t>Për përfundimin e procesit të transferimit të tokës bujqësore në ndërmarrjet bujqësore në pronësi të ish-përfituesit</w:t>
      </w:r>
      <w:r w:rsidR="005E76EE" w:rsidRPr="00DC66CD">
        <w:t>’</w:t>
      </w:r>
      <w:r w:rsidR="006F605B" w:rsidRPr="00DC66CD">
        <w:t>, të ndryshuar</w:t>
      </w:r>
      <w:r w:rsidR="005E76EE" w:rsidRPr="00DC66CD">
        <w:t>”</w:t>
      </w:r>
      <w:r w:rsidR="006F605B" w:rsidRPr="00DC66CD">
        <w:t>.</w:t>
      </w:r>
    </w:p>
    <w:p w14:paraId="4273575B" w14:textId="55C24831" w:rsidR="006F605B" w:rsidRPr="00DC66CD" w:rsidRDefault="00E33D88" w:rsidP="008A1C33">
      <w:pPr>
        <w:pStyle w:val="TEKSTIIII"/>
      </w:pPr>
      <w:r w:rsidRPr="00DC66CD">
        <w:t xml:space="preserve">- </w:t>
      </w:r>
      <w:r w:rsidR="005E76EE" w:rsidRPr="00DC66CD">
        <w:t xml:space="preserve">ligji </w:t>
      </w:r>
      <w:r w:rsidRPr="00DC66CD">
        <w:t xml:space="preserve">nr. </w:t>
      </w:r>
      <w:r w:rsidR="006F605B" w:rsidRPr="00DC66CD">
        <w:t>10/2019</w:t>
      </w:r>
      <w:r w:rsidR="005E76EE" w:rsidRPr="00DC66CD">
        <w:t>,</w:t>
      </w:r>
      <w:r w:rsidR="006F605B" w:rsidRPr="00DC66CD">
        <w:t xml:space="preserve"> </w:t>
      </w:r>
      <w:r w:rsidR="002A29AD" w:rsidRPr="00DC66CD">
        <w:t>“</w:t>
      </w:r>
      <w:r w:rsidR="006F605B" w:rsidRPr="00DC66CD">
        <w:t xml:space="preserve">Për disa ndryshime dhe shtesa në </w:t>
      </w:r>
      <w:r w:rsidRPr="00A52504">
        <w:t>ligjin nr. 17/1</w:t>
      </w:r>
      <w:r w:rsidR="005E76EE" w:rsidRPr="00A52504">
        <w:t>,</w:t>
      </w:r>
      <w:r w:rsidRPr="00A52504">
        <w:t xml:space="preserve"> </w:t>
      </w:r>
      <w:r w:rsidRPr="00DC66CD">
        <w:t>të ligjit nr. 9948, datë 7.</w:t>
      </w:r>
      <w:r w:rsidR="006F605B" w:rsidRPr="00DC66CD">
        <w:t xml:space="preserve">7.2008, </w:t>
      </w:r>
      <w:r w:rsidR="005E76EE" w:rsidRPr="00DC66CD">
        <w:t>‘</w:t>
      </w:r>
      <w:r w:rsidR="006F605B" w:rsidRPr="00DC66CD">
        <w:t>Për ekzaminimin e vlefshmërisë ligjore të krijimit të titullit në tokën bujqësore</w:t>
      </w:r>
      <w:r w:rsidR="005E76EE" w:rsidRPr="00DC66CD">
        <w:t>’</w:t>
      </w:r>
      <w:r w:rsidR="006F605B" w:rsidRPr="00DC66CD">
        <w:t>, të ndryshuar</w:t>
      </w:r>
      <w:r w:rsidR="005E76EE" w:rsidRPr="00DC66CD">
        <w:t>”</w:t>
      </w:r>
      <w:r w:rsidR="006F605B" w:rsidRPr="00DC66CD">
        <w:t xml:space="preserve"> dhe akteve zbatuese të tij.</w:t>
      </w:r>
    </w:p>
    <w:p w14:paraId="5DEB265B" w14:textId="11F6AD28"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Miratuar </w:t>
      </w:r>
      <w:r w:rsidR="00E33D88" w:rsidRPr="00DC66CD">
        <w:rPr>
          <w:rFonts w:ascii="Garamond" w:hAnsi="Garamond"/>
          <w:sz w:val="24"/>
          <w:szCs w:val="24"/>
        </w:rPr>
        <w:t>v</w:t>
      </w:r>
      <w:r w:rsidRPr="00DC66CD">
        <w:rPr>
          <w:rFonts w:ascii="Garamond" w:hAnsi="Garamond"/>
          <w:sz w:val="24"/>
          <w:szCs w:val="24"/>
        </w:rPr>
        <w:t>endim</w:t>
      </w:r>
      <w:r w:rsidR="005E76EE" w:rsidRPr="00DC66CD">
        <w:rPr>
          <w:rFonts w:ascii="Garamond" w:hAnsi="Garamond"/>
          <w:sz w:val="24"/>
          <w:szCs w:val="24"/>
        </w:rPr>
        <w:t>i</w:t>
      </w:r>
      <w:r w:rsidRPr="00DC66CD">
        <w:rPr>
          <w:rFonts w:ascii="Garamond" w:hAnsi="Garamond"/>
          <w:sz w:val="24"/>
          <w:szCs w:val="24"/>
        </w:rPr>
        <w:t xml:space="preserve"> i Këshillit të Ministrave (VKM)</w:t>
      </w:r>
      <w:r w:rsidR="00E33D88" w:rsidRPr="00DC66CD">
        <w:rPr>
          <w:rFonts w:ascii="Garamond" w:hAnsi="Garamond"/>
          <w:sz w:val="24"/>
          <w:szCs w:val="24"/>
        </w:rPr>
        <w:t xml:space="preserve"> nr. </w:t>
      </w:r>
      <w:r w:rsidRPr="00DC66CD">
        <w:rPr>
          <w:rFonts w:ascii="Garamond" w:hAnsi="Garamond"/>
          <w:sz w:val="24"/>
          <w:szCs w:val="24"/>
        </w:rPr>
        <w:t>299, datë 10.5.2019</w:t>
      </w:r>
      <w:r w:rsidR="009A554F"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sz w:val="24"/>
          <w:szCs w:val="24"/>
        </w:rPr>
        <w:t>“</w:t>
      </w:r>
      <w:r w:rsidRPr="00DC66CD">
        <w:rPr>
          <w:rFonts w:ascii="Garamond" w:hAnsi="Garamond"/>
          <w:sz w:val="24"/>
          <w:szCs w:val="24"/>
        </w:rPr>
        <w:t>Për disa shtesa dhe ndryshime në VKM</w:t>
      </w:r>
      <w:r w:rsidR="009A554F" w:rsidRPr="00DC66CD">
        <w:rPr>
          <w:rFonts w:ascii="Garamond" w:hAnsi="Garamond"/>
          <w:sz w:val="24"/>
          <w:szCs w:val="24"/>
        </w:rPr>
        <w:t>-në</w:t>
      </w:r>
      <w:r w:rsidR="00E33D88" w:rsidRPr="00DC66CD">
        <w:rPr>
          <w:rFonts w:ascii="Garamond" w:hAnsi="Garamond"/>
          <w:sz w:val="24"/>
          <w:szCs w:val="24"/>
        </w:rPr>
        <w:t xml:space="preserve"> nr. </w:t>
      </w:r>
      <w:r w:rsidRPr="00DC66CD">
        <w:rPr>
          <w:rFonts w:ascii="Garamond" w:hAnsi="Garamond"/>
          <w:sz w:val="24"/>
          <w:szCs w:val="24"/>
        </w:rPr>
        <w:t xml:space="preserve">994/2015, </w:t>
      </w:r>
      <w:r w:rsidR="009A554F" w:rsidRPr="00DC66CD">
        <w:rPr>
          <w:rFonts w:ascii="Garamond" w:hAnsi="Garamond"/>
          <w:sz w:val="24"/>
          <w:szCs w:val="24"/>
        </w:rPr>
        <w:t>të</w:t>
      </w:r>
      <w:r w:rsidRPr="00DC66CD">
        <w:rPr>
          <w:rFonts w:ascii="Garamond" w:hAnsi="Garamond"/>
          <w:sz w:val="24"/>
          <w:szCs w:val="24"/>
        </w:rPr>
        <w:t xml:space="preserve"> ndryshuar</w:t>
      </w:r>
      <w:r w:rsidR="009A554F" w:rsidRPr="00DC66CD">
        <w:rPr>
          <w:rFonts w:ascii="Garamond" w:hAnsi="Garamond"/>
          <w:sz w:val="24"/>
          <w:szCs w:val="24"/>
        </w:rPr>
        <w:t>”</w:t>
      </w:r>
      <w:r w:rsidRPr="00DC66CD">
        <w:rPr>
          <w:rFonts w:ascii="Garamond" w:hAnsi="Garamond"/>
          <w:sz w:val="24"/>
          <w:szCs w:val="24"/>
        </w:rPr>
        <w:t>, ky vendim thjeshton procedurën për regjistrimin e akteve të pronësisë së tokës (AMTP) dhe rritjen e aplikacioneve në Agjencinë Shtetërore të Kadastrës (ASHK).</w:t>
      </w:r>
    </w:p>
    <w:p w14:paraId="212B6B45" w14:textId="0EB35D72"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Miratimi i kornizës ligjore do të synojë të zgjidhë shumë çështje të të drejtave pronësore. Ligji i ri për </w:t>
      </w:r>
      <w:r w:rsidR="009A554F" w:rsidRPr="00DC66CD">
        <w:rPr>
          <w:rFonts w:ascii="Garamond" w:hAnsi="Garamond"/>
          <w:sz w:val="24"/>
          <w:szCs w:val="24"/>
        </w:rPr>
        <w:t xml:space="preserve">kadastrën </w:t>
      </w:r>
      <w:r w:rsidRPr="00DC66CD">
        <w:rPr>
          <w:rFonts w:ascii="Garamond" w:hAnsi="Garamond"/>
          <w:sz w:val="24"/>
          <w:szCs w:val="24"/>
        </w:rPr>
        <w:t>do të sigurojë një sistem të rregulluar dhe të harmonizuar të regjistrimit të pasurive të paluajtshme. Një sistem i qartë dhe i besueshëm i informacionit mbi pronësinë e tokës siguron kushte për konsolidimin e tokës dhe zhvillon një treg dinamik të tokës përmes krijimit të një sistemi me siguri të qartë të të drejtave dhe një kornizë të integruar për të drejtat e pronësisë së tokës në Shqipëri.</w:t>
      </w:r>
    </w:p>
    <w:p w14:paraId="19BEF35C" w14:textId="32E8072D"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Ndryshimet ligjore vitet e fundit kanë ndikuar</w:t>
      </w:r>
      <w:r w:rsidR="009A554F" w:rsidRPr="00DC66CD">
        <w:rPr>
          <w:rFonts w:ascii="Garamond" w:hAnsi="Garamond"/>
          <w:sz w:val="24"/>
          <w:szCs w:val="24"/>
        </w:rPr>
        <w:t>,</w:t>
      </w:r>
      <w:r w:rsidRPr="00DC66CD">
        <w:rPr>
          <w:rFonts w:ascii="Garamond" w:hAnsi="Garamond"/>
          <w:sz w:val="24"/>
          <w:szCs w:val="24"/>
        </w:rPr>
        <w:t xml:space="preserve"> gjithashtu</w:t>
      </w:r>
      <w:r w:rsidR="009A554F" w:rsidRPr="00DC66CD">
        <w:rPr>
          <w:rFonts w:ascii="Garamond" w:hAnsi="Garamond"/>
          <w:sz w:val="24"/>
          <w:szCs w:val="24"/>
        </w:rPr>
        <w:t>,</w:t>
      </w:r>
      <w:r w:rsidRPr="00DC66CD">
        <w:rPr>
          <w:rFonts w:ascii="Garamond" w:hAnsi="Garamond"/>
          <w:sz w:val="24"/>
          <w:szCs w:val="24"/>
        </w:rPr>
        <w:t xml:space="preserve"> në të drejtat pronësore të grave mbi tokën bujqësore, kryesisht në zonat rurale, sepse gratë janë trajtuar si anëtare të familjes bujqësore më të barabarta me burrat e tyre. Ndërkohë, qeveria shqiptare ka rritur ndjeshëm mbështetjen e saj buxhetore për sektorin e bujqësisë, me futjen e një Skeme Kombëtare të Ndihmës (subvencioneve) të zbatuar nga Agjencia e Zhvillimit Bujqësor dhe Rural (ARDA), si dhe </w:t>
      </w:r>
      <w:r w:rsidR="009A554F" w:rsidRPr="00DC66CD">
        <w:rPr>
          <w:rFonts w:ascii="Garamond" w:hAnsi="Garamond"/>
          <w:sz w:val="24"/>
          <w:szCs w:val="24"/>
        </w:rPr>
        <w:t xml:space="preserve">programi </w:t>
      </w:r>
      <w:r w:rsidRPr="00DC66CD">
        <w:rPr>
          <w:rFonts w:ascii="Garamond" w:hAnsi="Garamond"/>
          <w:sz w:val="24"/>
          <w:szCs w:val="24"/>
        </w:rPr>
        <w:t xml:space="preserve">IPARD II. Në procesin e aplikimit dhe </w:t>
      </w:r>
      <w:r w:rsidR="009A554F" w:rsidRPr="00DC66CD">
        <w:rPr>
          <w:rFonts w:ascii="Garamond" w:hAnsi="Garamond"/>
          <w:sz w:val="24"/>
          <w:szCs w:val="24"/>
        </w:rPr>
        <w:t xml:space="preserve">të </w:t>
      </w:r>
      <w:r w:rsidRPr="00DC66CD">
        <w:rPr>
          <w:rFonts w:ascii="Garamond" w:hAnsi="Garamond"/>
          <w:sz w:val="24"/>
          <w:szCs w:val="24"/>
        </w:rPr>
        <w:t>zbatimit të Skemës Kombëtare të Mbështetjes, është parashik</w:t>
      </w:r>
      <w:r w:rsidR="009A554F" w:rsidRPr="00DC66CD">
        <w:rPr>
          <w:rFonts w:ascii="Garamond" w:hAnsi="Garamond"/>
          <w:sz w:val="24"/>
          <w:szCs w:val="24"/>
        </w:rPr>
        <w:t>uar</w:t>
      </w:r>
      <w:r w:rsidRPr="00DC66CD">
        <w:rPr>
          <w:rFonts w:ascii="Garamond" w:hAnsi="Garamond"/>
          <w:sz w:val="24"/>
          <w:szCs w:val="24"/>
        </w:rPr>
        <w:t xml:space="preserve"> që gratë do të jenë më të favorizuara se burrat në procesin e aplikimit dhe në shumën financiare të mbështetjes (subvencione).</w:t>
      </w:r>
    </w:p>
    <w:p w14:paraId="4D8ADA3A" w14:textId="2381A512" w:rsidR="006F605B" w:rsidRPr="00DC66CD" w:rsidRDefault="009A554F" w:rsidP="006F605B">
      <w:pPr>
        <w:spacing w:after="0" w:line="240" w:lineRule="auto"/>
        <w:ind w:firstLine="284"/>
        <w:jc w:val="both"/>
        <w:rPr>
          <w:rFonts w:ascii="Garamond" w:hAnsi="Garamond"/>
          <w:sz w:val="24"/>
          <w:szCs w:val="24"/>
        </w:rPr>
      </w:pPr>
      <w:r w:rsidRPr="00DC66CD">
        <w:rPr>
          <w:rFonts w:ascii="Garamond" w:hAnsi="Garamond"/>
          <w:sz w:val="24"/>
          <w:szCs w:val="24"/>
        </w:rPr>
        <w:t>Në fund të vitit 2019</w:t>
      </w:r>
      <w:r w:rsidR="006F605B" w:rsidRPr="00DC66CD">
        <w:rPr>
          <w:rFonts w:ascii="Garamond" w:hAnsi="Garamond"/>
          <w:sz w:val="24"/>
          <w:szCs w:val="24"/>
        </w:rPr>
        <w:t xml:space="preserve"> parashikohet që përfundimi i akteve të pronësisë së tokës (AMTP) për 20,000 familje fermerë të vazhdojë me fazën e regjistrimit në Agjencinë Shtetërore të Kadastrës. Ligji i ri për </w:t>
      </w:r>
      <w:r w:rsidR="00582C17" w:rsidRPr="00DC66CD">
        <w:rPr>
          <w:rFonts w:ascii="Garamond" w:hAnsi="Garamond"/>
          <w:sz w:val="24"/>
          <w:szCs w:val="24"/>
        </w:rPr>
        <w:t>kadast</w:t>
      </w:r>
      <w:r w:rsidR="006F605B" w:rsidRPr="00DC66CD">
        <w:rPr>
          <w:rFonts w:ascii="Garamond" w:hAnsi="Garamond"/>
          <w:sz w:val="24"/>
          <w:szCs w:val="24"/>
        </w:rPr>
        <w:t>rën ofron një sistem të rregulluar dhe të harmonizuar të regjistrimit të pasurive të paluajtshme, i cili ofron tituj të pronësisë mbi tokën bujqësore, përmes reformimit të mjedisit institucional, përmirësimit të kornizës ligjore dhe përmirësimit të saktësisë së regjistrave të pasurive, në përputhje me standardet e Bashkimit Evropian dhe praktikat më të mira në këtë fushë. Një nivel më i lartë i sigurisë së të drejtave pronësore dhe të drejtave të integruara të administrimit të tokës pritet të kenë një ndikim pozitiv në nxitjen e investimeve shqiptare dhe të huaja, duke përfituar kështu zhvillimin ekonomik të Shqipërisë.</w:t>
      </w:r>
    </w:p>
    <w:p w14:paraId="62E2B9B0" w14:textId="1F6E4780"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Në këtë drejtim, një projektligj </w:t>
      </w:r>
      <w:r w:rsidR="002A29AD" w:rsidRPr="00DC66CD">
        <w:rPr>
          <w:rFonts w:ascii="Garamond" w:hAnsi="Garamond"/>
          <w:sz w:val="24"/>
          <w:szCs w:val="24"/>
        </w:rPr>
        <w:t>“</w:t>
      </w:r>
      <w:r w:rsidRPr="00DC66CD">
        <w:rPr>
          <w:rFonts w:ascii="Garamond" w:hAnsi="Garamond"/>
          <w:sz w:val="24"/>
          <w:szCs w:val="24"/>
        </w:rPr>
        <w:t>Për përfundimin e procesit të tranzicionit për pronësi në Republikën e Shqipërisë</w:t>
      </w:r>
      <w:r w:rsidR="002A29AD" w:rsidRPr="00DC66CD">
        <w:rPr>
          <w:rFonts w:ascii="Garamond" w:hAnsi="Garamond"/>
          <w:sz w:val="24"/>
          <w:szCs w:val="24"/>
        </w:rPr>
        <w:t>”</w:t>
      </w:r>
      <w:r w:rsidRPr="00DC66CD">
        <w:rPr>
          <w:rFonts w:ascii="Garamond" w:hAnsi="Garamond"/>
          <w:sz w:val="24"/>
          <w:szCs w:val="24"/>
        </w:rPr>
        <w:t xml:space="preserve"> është</w:t>
      </w:r>
      <w:r w:rsidR="007E7805" w:rsidRPr="00DC66CD">
        <w:rPr>
          <w:rFonts w:ascii="Garamond" w:hAnsi="Garamond"/>
          <w:sz w:val="24"/>
          <w:szCs w:val="24"/>
        </w:rPr>
        <w:t>,</w:t>
      </w:r>
      <w:r w:rsidRPr="00DC66CD">
        <w:rPr>
          <w:rFonts w:ascii="Garamond" w:hAnsi="Garamond"/>
          <w:sz w:val="24"/>
          <w:szCs w:val="24"/>
        </w:rPr>
        <w:t xml:space="preserve"> gjithashtu</w:t>
      </w:r>
      <w:r w:rsidR="007E7805" w:rsidRPr="00DC66CD">
        <w:rPr>
          <w:rFonts w:ascii="Garamond" w:hAnsi="Garamond"/>
          <w:sz w:val="24"/>
          <w:szCs w:val="24"/>
        </w:rPr>
        <w:t>,</w:t>
      </w:r>
      <w:r w:rsidRPr="00DC66CD">
        <w:rPr>
          <w:rFonts w:ascii="Garamond" w:hAnsi="Garamond"/>
          <w:sz w:val="24"/>
          <w:szCs w:val="24"/>
        </w:rPr>
        <w:t xml:space="preserve"> në proces, ku titujt e pronësisë mbi tokën bujqësore janë</w:t>
      </w:r>
      <w:r w:rsidR="007E7805" w:rsidRPr="00DC66CD">
        <w:rPr>
          <w:rFonts w:ascii="Garamond" w:hAnsi="Garamond"/>
          <w:sz w:val="24"/>
          <w:szCs w:val="24"/>
        </w:rPr>
        <w:t>,</w:t>
      </w:r>
      <w:r w:rsidRPr="00DC66CD">
        <w:rPr>
          <w:rFonts w:ascii="Garamond" w:hAnsi="Garamond"/>
          <w:sz w:val="24"/>
          <w:szCs w:val="24"/>
        </w:rPr>
        <w:t xml:space="preserve"> gjithashtu</w:t>
      </w:r>
      <w:r w:rsidR="007E7805" w:rsidRPr="00DC66CD">
        <w:rPr>
          <w:rFonts w:ascii="Garamond" w:hAnsi="Garamond"/>
          <w:sz w:val="24"/>
          <w:szCs w:val="24"/>
        </w:rPr>
        <w:t>,</w:t>
      </w:r>
      <w:r w:rsidRPr="00DC66CD">
        <w:rPr>
          <w:rFonts w:ascii="Garamond" w:hAnsi="Garamond"/>
          <w:sz w:val="24"/>
          <w:szCs w:val="24"/>
        </w:rPr>
        <w:t xml:space="preserve"> pjesë e tij dhe do të zgjidhin problemet e pronësisë në Shqipëri.</w:t>
      </w:r>
    </w:p>
    <w:p w14:paraId="2EFA6DE1" w14:textId="05827AC5"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Finalizimi i transferimit të pronësisë së tokës bujqësore dhe regjistrimi i titujve të pronësisë në Agjencitë Kadastrale Shtetërore, siguron arritjen e objektivit kryesor të Strategjisë së Konsolidimit të Tokës Bujqësore, sipas masave konkrete të përcaktuara në Strategjinë Kombëtare të Konsolidimit të Tokës, të miratuar nga VKM</w:t>
      </w:r>
      <w:r w:rsidR="00E33D88" w:rsidRPr="00DC66CD">
        <w:rPr>
          <w:rFonts w:ascii="Garamond" w:hAnsi="Garamond"/>
          <w:sz w:val="24"/>
          <w:szCs w:val="24"/>
        </w:rPr>
        <w:t xml:space="preserve"> nr. </w:t>
      </w:r>
      <w:r w:rsidRPr="00DC66CD">
        <w:rPr>
          <w:rFonts w:ascii="Garamond" w:hAnsi="Garamond"/>
          <w:sz w:val="24"/>
          <w:szCs w:val="24"/>
        </w:rPr>
        <w:t>700/2016.</w:t>
      </w:r>
    </w:p>
    <w:p w14:paraId="7A6A7B6E" w14:textId="07FF731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Vit pas viti, turizmi po kristalizohet gjithnjë e më shumë si një nga motorët kryesorë të zhvillimit ekonomik të vendit. Kjo gjithashtu bazuar edhe në statistikat e fundit mbi numrin e turistëve të huaj që kanë vizituar vendin, të cilët për vitin 2018 llogariten 5,926,803 turistë hyrës sipas të dhënave të INSTAT. Për më tepër, sipas publikimeve të Këshillit Botëror të Udhëtimit dhe Turizmit (WTTC) 2019, gjatë vitit 2018, sektori i turizmit regjistroi një kontribut total prej 4.274 miliardë dollarë, duke zënë rreth 27.3% të Prodhimit të Brendshëm Bruto (PBB). Gjithashtu</w:t>
      </w:r>
      <w:r w:rsidR="00926310" w:rsidRPr="00DC66CD">
        <w:rPr>
          <w:rFonts w:ascii="Garamond" w:hAnsi="Garamond"/>
          <w:sz w:val="24"/>
          <w:szCs w:val="24"/>
        </w:rPr>
        <w:t>,</w:t>
      </w:r>
      <w:r w:rsidRPr="00DC66CD">
        <w:rPr>
          <w:rFonts w:ascii="Garamond" w:hAnsi="Garamond"/>
          <w:sz w:val="24"/>
          <w:szCs w:val="24"/>
        </w:rPr>
        <w:t xml:space="preserve"> për sa i përket punësimit, kontributi i përgjithshëm i udhëtimit dhe turizmit ishte rreth 286,700 vende pune ose 25.2% e punësimit të përgjithshëm në Shqipëri, ndërsa deri në vitin 2029 ky numër pritet të rritet në 315.900 vende pune. Sidoqoftë, krahasuar me vendet e tjera të pellgut të Mesdheut, zhvillimi i turizmit në Shqipëri është ende larg potencialit të përfaqësuar nga pasuritë natyrore, historike dhe kulturore të vendit. Një nga sfidat kryesore me të cilat përballet sektori i turizmit në vend, duke iu referuar Strategjisë Kombëtare për Zhvillimin e Qëndrueshëm të Turizmit</w:t>
      </w:r>
      <w:r w:rsidR="00926310" w:rsidRPr="00DC66CD">
        <w:rPr>
          <w:rFonts w:ascii="Garamond" w:hAnsi="Garamond"/>
          <w:sz w:val="24"/>
          <w:szCs w:val="24"/>
        </w:rPr>
        <w:t>,</w:t>
      </w:r>
      <w:r w:rsidRPr="00DC66CD">
        <w:rPr>
          <w:rFonts w:ascii="Garamond" w:hAnsi="Garamond"/>
          <w:sz w:val="24"/>
          <w:szCs w:val="24"/>
        </w:rPr>
        <w:t xml:space="preserve"> </w:t>
      </w:r>
      <w:r w:rsidR="00433A3A" w:rsidRPr="00DC66CD">
        <w:rPr>
          <w:rFonts w:ascii="Garamond" w:hAnsi="Garamond"/>
          <w:sz w:val="24"/>
          <w:szCs w:val="24"/>
        </w:rPr>
        <w:t>2019–</w:t>
      </w:r>
      <w:r w:rsidRPr="00DC66CD">
        <w:rPr>
          <w:rFonts w:ascii="Garamond" w:hAnsi="Garamond"/>
          <w:sz w:val="24"/>
          <w:szCs w:val="24"/>
        </w:rPr>
        <w:t>2023, është mungesa e standardizimit dhe sistemit të klasifikimit. Në Shqipëri strukturat akomoduese dhe ofruesit e shërbimeve të tjera turistike nuk janë të klasifikuara në bazë të standardeve për shërbimet që ato ofrojnë. Sipas të dhënave jozyrtare, vlerësohet se funksionojnë rreth 3000 struktura akomodimi. Në këtë kontekst, procesi i kategorizimit dhe klasifikimit është parë me përparësi</w:t>
      </w:r>
      <w:r w:rsidR="00926310" w:rsidRPr="00DC66CD">
        <w:rPr>
          <w:rFonts w:ascii="Garamond" w:hAnsi="Garamond"/>
          <w:sz w:val="24"/>
          <w:szCs w:val="24"/>
        </w:rPr>
        <w:t>,</w:t>
      </w:r>
      <w:r w:rsidRPr="00DC66CD">
        <w:rPr>
          <w:rFonts w:ascii="Garamond" w:hAnsi="Garamond"/>
          <w:sz w:val="24"/>
          <w:szCs w:val="24"/>
        </w:rPr>
        <w:t xml:space="preserve"> për shkak të ndikimit të drejtpërdrejtë në cilësinë e shërbimeve të ofruara dhe do të kryhet nga strukturat përkatëse në Ministrinë e Turizmit dhe Mjedisit.</w:t>
      </w:r>
    </w:p>
    <w:p w14:paraId="5230B7BC" w14:textId="131332CD" w:rsidR="006F605B" w:rsidRPr="00DC66CD" w:rsidRDefault="008A1C33" w:rsidP="008A1C33">
      <w:pPr>
        <w:pStyle w:val="TEKSTIIII"/>
        <w:rPr>
          <w:i/>
        </w:rPr>
      </w:pPr>
      <w:r w:rsidRPr="00DC66CD">
        <w:rPr>
          <w:i/>
        </w:rPr>
        <w:t xml:space="preserve">b) </w:t>
      </w:r>
      <w:r w:rsidR="006F605B" w:rsidRPr="00DC66CD">
        <w:rPr>
          <w:i/>
        </w:rPr>
        <w:t>Masat e reformave</w:t>
      </w:r>
    </w:p>
    <w:p w14:paraId="3205845C" w14:textId="77777777" w:rsidR="006F605B" w:rsidRPr="00DC66CD" w:rsidRDefault="006F605B" w:rsidP="008A1C33">
      <w:pPr>
        <w:pStyle w:val="TEKSTIIII"/>
        <w:rPr>
          <w:i/>
        </w:rPr>
      </w:pPr>
      <w:r w:rsidRPr="00DC66CD">
        <w:rPr>
          <w:i/>
        </w:rPr>
        <w:t>Reforma 04: Konsolidimi dhe defragmentimi i tokës bujqësore</w:t>
      </w:r>
    </w:p>
    <w:p w14:paraId="18B387D4" w14:textId="602B9911" w:rsidR="006F605B" w:rsidRPr="00DC66CD" w:rsidRDefault="008A1C33" w:rsidP="008A1C33">
      <w:pPr>
        <w:pStyle w:val="TEKSTIIII"/>
        <w:rPr>
          <w:i/>
        </w:rPr>
      </w:pPr>
      <w:r w:rsidRPr="00DC66CD">
        <w:rPr>
          <w:i/>
        </w:rPr>
        <w:t xml:space="preserve">1. </w:t>
      </w:r>
      <w:r w:rsidR="006F605B" w:rsidRPr="00DC66CD">
        <w:rPr>
          <w:i/>
        </w:rPr>
        <w:t>Përshkrimi</w:t>
      </w:r>
    </w:p>
    <w:p w14:paraId="3A6E91A7" w14:textId="7777777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Qëllimi kryesor i strategjisë kombëtare për konsolidimin e tokës është krijimi i fermave familjare konkurruese dhe ekonomikisht të suksesshme. Objektivi do të arrihet duke krijuar kushtet e nevojshme për konsolidimin e tokës përmes kornizës ligjore përkatëse, përmes përfundimit të procesit të transferimit të pronësisë së tokës bujqësore, regjistrimit të titujve të pronësisë së tokës bujqësore dhe zbatimit të projekteve të konsolidimit të tokës, si hap i parë për konsolidimin e tokës bujqësore.</w:t>
      </w:r>
    </w:p>
    <w:p w14:paraId="3ED69201" w14:textId="148520AC"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Bartja e pronësisë së tokës bujqësore dhe regjistrimi i </w:t>
      </w:r>
      <w:r w:rsidR="00926310" w:rsidRPr="00DC66CD">
        <w:rPr>
          <w:rFonts w:ascii="Garamond" w:hAnsi="Garamond"/>
          <w:sz w:val="24"/>
          <w:szCs w:val="24"/>
        </w:rPr>
        <w:t xml:space="preserve">titujve të pronave </w:t>
      </w:r>
      <w:r w:rsidRPr="00DC66CD">
        <w:rPr>
          <w:rFonts w:ascii="Garamond" w:hAnsi="Garamond"/>
          <w:sz w:val="24"/>
          <w:szCs w:val="24"/>
        </w:rPr>
        <w:t xml:space="preserve">mundëson arritjen e shtyllave kryesore për të arritur objektivat e </w:t>
      </w:r>
      <w:r w:rsidR="00926310" w:rsidRPr="00DC66CD">
        <w:rPr>
          <w:rFonts w:ascii="Garamond" w:hAnsi="Garamond"/>
          <w:sz w:val="24"/>
          <w:szCs w:val="24"/>
        </w:rPr>
        <w:t>strategjisë</w:t>
      </w:r>
      <w:r w:rsidRPr="00DC66CD">
        <w:rPr>
          <w:rFonts w:ascii="Garamond" w:hAnsi="Garamond"/>
          <w:sz w:val="24"/>
          <w:szCs w:val="24"/>
        </w:rPr>
        <w:t>.</w:t>
      </w:r>
    </w:p>
    <w:p w14:paraId="48ABFE23" w14:textId="047A6BBE"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Për këtë qëllim, qeveria shqiptare ka miratuar një numër të akteve ligjore që mundësojnë që dokumentet e fermer</w:t>
      </w:r>
      <w:r w:rsidR="00926310" w:rsidRPr="00DC66CD">
        <w:rPr>
          <w:rFonts w:ascii="Garamond" w:hAnsi="Garamond"/>
          <w:sz w:val="24"/>
          <w:szCs w:val="24"/>
        </w:rPr>
        <w:t>ëve të përgatiten pa kosto</w:t>
      </w:r>
      <w:r w:rsidRPr="00DC66CD">
        <w:rPr>
          <w:rFonts w:ascii="Garamond" w:hAnsi="Garamond"/>
          <w:sz w:val="24"/>
          <w:szCs w:val="24"/>
        </w:rPr>
        <w:t xml:space="preserve"> nga </w:t>
      </w:r>
      <w:r w:rsidR="00926310" w:rsidRPr="00DC66CD">
        <w:rPr>
          <w:rFonts w:ascii="Garamond" w:hAnsi="Garamond"/>
          <w:sz w:val="24"/>
          <w:szCs w:val="24"/>
        </w:rPr>
        <w:t>komunat</w:t>
      </w:r>
      <w:r w:rsidRPr="00DC66CD">
        <w:rPr>
          <w:rFonts w:ascii="Garamond" w:hAnsi="Garamond"/>
          <w:sz w:val="24"/>
          <w:szCs w:val="24"/>
        </w:rPr>
        <w:t xml:space="preserve">, të regjistrohen në Agjencinë Shtetërore të Kadastrës (ASHK). Ligji për </w:t>
      </w:r>
      <w:r w:rsidR="00926310" w:rsidRPr="00DC66CD">
        <w:rPr>
          <w:rFonts w:ascii="Garamond" w:hAnsi="Garamond"/>
          <w:sz w:val="24"/>
          <w:szCs w:val="24"/>
        </w:rPr>
        <w:t xml:space="preserve">kadastrën </w:t>
      </w:r>
      <w:r w:rsidRPr="00DC66CD">
        <w:rPr>
          <w:rFonts w:ascii="Garamond" w:hAnsi="Garamond"/>
          <w:sz w:val="24"/>
          <w:szCs w:val="24"/>
        </w:rPr>
        <w:t xml:space="preserve">rregullon shërbimin publik të regjistrimit të pasurive të patundshme, organizimin e institucionit përgjegjës për këtë shërbim, Agjencinë Shtetërore të Kadastrës dhe mënyrën e administrimit të </w:t>
      </w:r>
      <w:r w:rsidR="00926310" w:rsidRPr="00DC66CD">
        <w:rPr>
          <w:rFonts w:ascii="Garamond" w:hAnsi="Garamond"/>
          <w:sz w:val="24"/>
          <w:szCs w:val="24"/>
        </w:rPr>
        <w:t xml:space="preserve">kadastrës </w:t>
      </w:r>
      <w:r w:rsidRPr="00DC66CD">
        <w:rPr>
          <w:rFonts w:ascii="Garamond" w:hAnsi="Garamond"/>
          <w:sz w:val="24"/>
          <w:szCs w:val="24"/>
        </w:rPr>
        <w:t xml:space="preserve">si regjistër publik të pasurive të patundshme. Projektligji </w:t>
      </w:r>
      <w:r w:rsidR="002A29AD" w:rsidRPr="00DC66CD">
        <w:rPr>
          <w:rFonts w:ascii="Garamond" w:hAnsi="Garamond"/>
          <w:sz w:val="24"/>
          <w:szCs w:val="24"/>
        </w:rPr>
        <w:t>“</w:t>
      </w:r>
      <w:r w:rsidRPr="00DC66CD">
        <w:rPr>
          <w:rFonts w:ascii="Garamond" w:hAnsi="Garamond"/>
          <w:sz w:val="24"/>
          <w:szCs w:val="24"/>
        </w:rPr>
        <w:t>Për përfundimin e procesit të tranzicionit për pronësi në Republikën e Shqipërisë</w:t>
      </w:r>
      <w:r w:rsidR="002A29AD" w:rsidRPr="00DC66CD">
        <w:rPr>
          <w:rFonts w:ascii="Garamond" w:hAnsi="Garamond"/>
          <w:sz w:val="24"/>
          <w:szCs w:val="24"/>
        </w:rPr>
        <w:t>”</w:t>
      </w:r>
      <w:r w:rsidRPr="00DC66CD">
        <w:rPr>
          <w:rFonts w:ascii="Garamond" w:hAnsi="Garamond"/>
          <w:sz w:val="24"/>
          <w:szCs w:val="24"/>
        </w:rPr>
        <w:t xml:space="preserve"> është në proces, me titujt e pronësisë së tokës bujqësore</w:t>
      </w:r>
      <w:r w:rsidR="00926310" w:rsidRPr="00DC66CD">
        <w:rPr>
          <w:rFonts w:ascii="Garamond" w:hAnsi="Garamond"/>
          <w:sz w:val="24"/>
          <w:szCs w:val="24"/>
        </w:rPr>
        <w:t xml:space="preserve">, gjithashtu, </w:t>
      </w:r>
      <w:r w:rsidRPr="00DC66CD">
        <w:rPr>
          <w:rFonts w:ascii="Garamond" w:hAnsi="Garamond"/>
          <w:sz w:val="24"/>
          <w:szCs w:val="24"/>
        </w:rPr>
        <w:t>pjesë e tij.</w:t>
      </w:r>
    </w:p>
    <w:p w14:paraId="09417363" w14:textId="3208B9EC"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Miratimi i kornizës ligjore zgjidh shumë mosmarrëveshje mbi të drejtat e pronës. Procesi i regjistrimit të </w:t>
      </w:r>
      <w:r w:rsidR="000F281C" w:rsidRPr="00DC66CD">
        <w:rPr>
          <w:rFonts w:ascii="Garamond" w:hAnsi="Garamond"/>
          <w:sz w:val="24"/>
          <w:szCs w:val="24"/>
        </w:rPr>
        <w:t xml:space="preserve">aktit të blerjes së tokës është </w:t>
      </w:r>
      <w:r w:rsidRPr="00DC66CD">
        <w:rPr>
          <w:rFonts w:ascii="Garamond" w:hAnsi="Garamond"/>
          <w:sz w:val="24"/>
          <w:szCs w:val="24"/>
        </w:rPr>
        <w:t>duke u zhvilluar dhe do të vazhdojë. Deri në fund të vitit 2019, afro 20,000 raste ishin nën trajtim dhe nuk u trajtuan nga bashkitë që janë në proces të përfundimit të akteve të blerjes së tokës, në total janë dhënë rreth 450,000 akte të blerjes së tokës.</w:t>
      </w:r>
    </w:p>
    <w:p w14:paraId="2EF45B4E" w14:textId="13D159FF"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Përparësi do t</w:t>
      </w:r>
      <w:r w:rsidR="002C582E" w:rsidRPr="00DC66CD">
        <w:rPr>
          <w:rFonts w:ascii="Garamond" w:hAnsi="Garamond"/>
          <w:sz w:val="24"/>
          <w:szCs w:val="24"/>
        </w:rPr>
        <w:t>’u</w:t>
      </w:r>
      <w:r w:rsidRPr="00DC66CD">
        <w:rPr>
          <w:rFonts w:ascii="Garamond" w:hAnsi="Garamond"/>
          <w:sz w:val="24"/>
          <w:szCs w:val="24"/>
        </w:rPr>
        <w:t xml:space="preserve"> jepen </w:t>
      </w:r>
      <w:r w:rsidR="002C582E" w:rsidRPr="00DC66CD">
        <w:rPr>
          <w:rFonts w:ascii="Garamond" w:hAnsi="Garamond"/>
          <w:sz w:val="24"/>
          <w:szCs w:val="24"/>
        </w:rPr>
        <w:t>q</w:t>
      </w:r>
      <w:r w:rsidRPr="00DC66CD">
        <w:rPr>
          <w:rFonts w:ascii="Garamond" w:hAnsi="Garamond"/>
          <w:sz w:val="24"/>
          <w:szCs w:val="24"/>
        </w:rPr>
        <w:t>arqeve me bujqësi të zhvilluar dhe intensive, ku ngastrat e vogla dhe të fragmentuara kufizojnë zhvillimin e mëtejshëm të bujqësisë</w:t>
      </w:r>
      <w:r w:rsidR="000F281C" w:rsidRPr="00DC66CD">
        <w:rPr>
          <w:rFonts w:ascii="Garamond" w:hAnsi="Garamond"/>
          <w:sz w:val="24"/>
          <w:szCs w:val="24"/>
        </w:rPr>
        <w:t>,</w:t>
      </w:r>
      <w:r w:rsidRPr="00DC66CD">
        <w:rPr>
          <w:rFonts w:ascii="Garamond" w:hAnsi="Garamond"/>
          <w:sz w:val="24"/>
          <w:szCs w:val="24"/>
        </w:rPr>
        <w:t xml:space="preserve"> si një aktivitet parësor në zonat rurale, nëse ka interes nga fermerët.</w:t>
      </w:r>
    </w:p>
    <w:p w14:paraId="423C1CBE" w14:textId="69B3AD9F" w:rsidR="006F605B" w:rsidRPr="00DC66CD" w:rsidRDefault="008A1C33" w:rsidP="008A1C33">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1727835C" w14:textId="16E70E1A"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Programi </w:t>
      </w:r>
      <w:r w:rsidR="002A29AD" w:rsidRPr="00DC66CD">
        <w:rPr>
          <w:rFonts w:ascii="Garamond" w:hAnsi="Garamond"/>
          <w:sz w:val="24"/>
          <w:szCs w:val="24"/>
        </w:rPr>
        <w:t>“</w:t>
      </w:r>
      <w:r w:rsidRPr="00DC66CD">
        <w:rPr>
          <w:rFonts w:ascii="Garamond" w:hAnsi="Garamond"/>
          <w:sz w:val="24"/>
          <w:szCs w:val="24"/>
        </w:rPr>
        <w:t>Menaxhimi i qëndrueshëm i tokës bujqësore</w:t>
      </w:r>
      <w:r w:rsidR="002A29AD" w:rsidRPr="00DC66CD">
        <w:rPr>
          <w:rFonts w:ascii="Garamond" w:hAnsi="Garamond"/>
          <w:sz w:val="24"/>
          <w:szCs w:val="24"/>
        </w:rPr>
        <w:t>”</w:t>
      </w:r>
      <w:r w:rsidRPr="00DC66CD">
        <w:rPr>
          <w:rFonts w:ascii="Garamond" w:hAnsi="Garamond"/>
          <w:sz w:val="24"/>
          <w:szCs w:val="24"/>
        </w:rPr>
        <w:t xml:space="preserve"> do të vazhdojë gjatë gjithë vitit 2020, 2021 dhe 2022</w:t>
      </w:r>
      <w:r w:rsidR="00C52483" w:rsidRPr="00DC66CD">
        <w:rPr>
          <w:rFonts w:ascii="Garamond" w:hAnsi="Garamond"/>
          <w:sz w:val="24"/>
          <w:szCs w:val="24"/>
        </w:rPr>
        <w:t>,</w:t>
      </w:r>
      <w:r w:rsidRPr="00DC66CD">
        <w:rPr>
          <w:rFonts w:ascii="Garamond" w:hAnsi="Garamond"/>
          <w:sz w:val="24"/>
          <w:szCs w:val="24"/>
        </w:rPr>
        <w:t xml:space="preserve"> dhe do të zbatohet nga QTTB</w:t>
      </w:r>
      <w:r w:rsidR="00C52483" w:rsidRPr="00DC66CD">
        <w:rPr>
          <w:rFonts w:ascii="Garamond" w:hAnsi="Garamond"/>
          <w:sz w:val="24"/>
          <w:szCs w:val="24"/>
        </w:rPr>
        <w:t>-ja</w:t>
      </w:r>
      <w:r w:rsidRPr="00DC66CD">
        <w:rPr>
          <w:rFonts w:ascii="Garamond" w:hAnsi="Garamond"/>
          <w:sz w:val="24"/>
          <w:szCs w:val="24"/>
        </w:rPr>
        <w:t xml:space="preserve"> (Qendra për </w:t>
      </w:r>
      <w:r w:rsidR="000F281C" w:rsidRPr="00DC66CD">
        <w:rPr>
          <w:rFonts w:ascii="Garamond" w:hAnsi="Garamond"/>
          <w:sz w:val="24"/>
          <w:szCs w:val="24"/>
        </w:rPr>
        <w:t xml:space="preserve">Transferimin </w:t>
      </w:r>
      <w:r w:rsidRPr="00DC66CD">
        <w:rPr>
          <w:rFonts w:ascii="Garamond" w:hAnsi="Garamond"/>
          <w:sz w:val="24"/>
          <w:szCs w:val="24"/>
        </w:rPr>
        <w:t xml:space="preserve">e </w:t>
      </w:r>
      <w:r w:rsidR="000F281C" w:rsidRPr="00DC66CD">
        <w:rPr>
          <w:rFonts w:ascii="Garamond" w:hAnsi="Garamond"/>
          <w:sz w:val="24"/>
          <w:szCs w:val="24"/>
        </w:rPr>
        <w:t xml:space="preserve">Teknologjisë </w:t>
      </w:r>
      <w:r w:rsidR="00C52483" w:rsidRPr="00DC66CD">
        <w:rPr>
          <w:rFonts w:ascii="Garamond" w:hAnsi="Garamond"/>
          <w:sz w:val="24"/>
          <w:szCs w:val="24"/>
        </w:rPr>
        <w:t>Bujqësore</w:t>
      </w:r>
      <w:r w:rsidRPr="00DC66CD">
        <w:rPr>
          <w:rFonts w:ascii="Garamond" w:hAnsi="Garamond"/>
          <w:sz w:val="24"/>
          <w:szCs w:val="24"/>
        </w:rPr>
        <w:t>)</w:t>
      </w:r>
      <w:r w:rsidR="000F281C" w:rsidRPr="00DC66CD">
        <w:rPr>
          <w:rFonts w:ascii="Garamond" w:hAnsi="Garamond"/>
          <w:sz w:val="24"/>
          <w:szCs w:val="24"/>
        </w:rPr>
        <w:t>,</w:t>
      </w:r>
      <w:r w:rsidRPr="00DC66CD">
        <w:rPr>
          <w:rFonts w:ascii="Garamond" w:hAnsi="Garamond"/>
          <w:sz w:val="24"/>
          <w:szCs w:val="24"/>
        </w:rPr>
        <w:t xml:space="preserve"> Fushë-Krujë.</w:t>
      </w:r>
    </w:p>
    <w:p w14:paraId="61E72E32" w14:textId="6BD86DC9" w:rsidR="006F605B" w:rsidRPr="00DC66CD" w:rsidRDefault="006F605B" w:rsidP="006F605B">
      <w:pPr>
        <w:snapToGrid w:val="0"/>
        <w:spacing w:after="0" w:line="240" w:lineRule="auto"/>
        <w:ind w:firstLine="284"/>
        <w:jc w:val="both"/>
        <w:rPr>
          <w:rFonts w:ascii="Garamond" w:hAnsi="Garamond"/>
          <w:bCs/>
          <w:sz w:val="24"/>
          <w:szCs w:val="24"/>
        </w:rPr>
      </w:pPr>
      <w:r w:rsidRPr="00DC66CD">
        <w:rPr>
          <w:rFonts w:ascii="Garamond" w:hAnsi="Garamond"/>
          <w:sz w:val="24"/>
          <w:szCs w:val="24"/>
        </w:rPr>
        <w:t xml:space="preserve">Përcaktimi i 60,000 ha ndërtimi i </w:t>
      </w:r>
      <w:r w:rsidR="00753D7D" w:rsidRPr="00DC66CD">
        <w:rPr>
          <w:rFonts w:ascii="Garamond" w:hAnsi="Garamond"/>
          <w:sz w:val="24"/>
          <w:szCs w:val="24"/>
        </w:rPr>
        <w:t xml:space="preserve">softuerit </w:t>
      </w:r>
      <w:r w:rsidRPr="00DC66CD">
        <w:rPr>
          <w:rFonts w:ascii="Garamond" w:hAnsi="Garamond"/>
          <w:sz w:val="24"/>
          <w:szCs w:val="24"/>
        </w:rPr>
        <w:t>WEB GIS</w:t>
      </w:r>
      <w:r w:rsidR="00753D7D" w:rsidRPr="00DC66CD">
        <w:rPr>
          <w:rFonts w:ascii="Garamond" w:hAnsi="Garamond"/>
          <w:sz w:val="24"/>
          <w:szCs w:val="24"/>
        </w:rPr>
        <w:t>,</w:t>
      </w:r>
      <w:r w:rsidRPr="00DC66CD">
        <w:rPr>
          <w:rFonts w:ascii="Garamond" w:hAnsi="Garamond"/>
          <w:sz w:val="24"/>
          <w:szCs w:val="24"/>
        </w:rPr>
        <w:t xml:space="preserve"> për 20 njësi administrative në vit</w:t>
      </w:r>
      <w:r w:rsidR="00753D7D" w:rsidRPr="00DC66CD">
        <w:rPr>
          <w:rFonts w:ascii="Garamond" w:hAnsi="Garamond"/>
          <w:sz w:val="24"/>
          <w:szCs w:val="24"/>
        </w:rPr>
        <w:t>,</w:t>
      </w:r>
      <w:r w:rsidRPr="00DC66CD">
        <w:rPr>
          <w:rFonts w:ascii="Garamond" w:hAnsi="Garamond"/>
          <w:sz w:val="24"/>
          <w:szCs w:val="24"/>
        </w:rPr>
        <w:t xml:space="preserve"> është i kushtëzuar nga kapacitetet njerëzore dhe planifikimi i buxhetit për QTTB</w:t>
      </w:r>
      <w:r w:rsidR="00B420F4" w:rsidRPr="00DC66CD">
        <w:rPr>
          <w:rFonts w:ascii="Garamond" w:hAnsi="Garamond"/>
          <w:sz w:val="24"/>
          <w:szCs w:val="24"/>
        </w:rPr>
        <w:t>,</w:t>
      </w:r>
      <w:r w:rsidRPr="00DC66CD">
        <w:rPr>
          <w:rFonts w:ascii="Garamond" w:hAnsi="Garamond"/>
          <w:sz w:val="24"/>
          <w:szCs w:val="24"/>
        </w:rPr>
        <w:t xml:space="preserve"> Fushë-Krujë.</w:t>
      </w:r>
    </w:p>
    <w:p w14:paraId="7CE422D4" w14:textId="3914A794" w:rsidR="006F605B" w:rsidRPr="00DC66CD" w:rsidRDefault="008A1C33" w:rsidP="008A1C33">
      <w:pPr>
        <w:pStyle w:val="TEKSTIIII"/>
        <w:rPr>
          <w:b/>
        </w:rPr>
      </w:pPr>
      <w:r w:rsidRPr="00DC66CD">
        <w:rPr>
          <w:b/>
        </w:rPr>
        <w:t xml:space="preserve">a) </w:t>
      </w:r>
      <w:r w:rsidR="006F605B" w:rsidRPr="00DC66CD">
        <w:rPr>
          <w:b/>
        </w:rPr>
        <w:t>Aktivitetet e planifikuara</w:t>
      </w:r>
      <w:r w:rsidR="00564551" w:rsidRPr="00DC66CD">
        <w:rPr>
          <w:b/>
        </w:rPr>
        <w:t xml:space="preserve"> më 2020</w:t>
      </w:r>
      <w:r w:rsidR="00B420F4" w:rsidRPr="00DC66CD">
        <w:rPr>
          <w:b/>
        </w:rPr>
        <w:t>-ën</w:t>
      </w:r>
      <w:r w:rsidR="00C52483" w:rsidRPr="00DC66CD">
        <w:rPr>
          <w:b/>
        </w:rPr>
        <w:t>:</w:t>
      </w:r>
    </w:p>
    <w:p w14:paraId="57192A15" w14:textId="4A5A015C" w:rsidR="006F605B" w:rsidRPr="00DC66CD" w:rsidRDefault="00F36042" w:rsidP="008A1C33">
      <w:pPr>
        <w:pStyle w:val="TEKSTIIII"/>
      </w:pPr>
      <w:r w:rsidRPr="00DC66CD">
        <w:rPr>
          <w:rFonts w:eastAsia="Calibri"/>
        </w:rPr>
        <w:t xml:space="preserve">- </w:t>
      </w:r>
      <w:r w:rsidR="00C52483" w:rsidRPr="00DC66CD">
        <w:rPr>
          <w:rFonts w:eastAsia="Calibri"/>
        </w:rPr>
        <w:t>s</w:t>
      </w:r>
      <w:r w:rsidR="006F605B" w:rsidRPr="00DC66CD">
        <w:rPr>
          <w:rFonts w:eastAsia="Calibri"/>
        </w:rPr>
        <w:t xml:space="preserve">istemi i </w:t>
      </w:r>
      <w:r w:rsidRPr="00DC66CD">
        <w:rPr>
          <w:rFonts w:eastAsia="Calibri"/>
        </w:rPr>
        <w:t>Informacionit të Tokës (LIS) do të krijojë/</w:t>
      </w:r>
      <w:r w:rsidR="00C52483" w:rsidRPr="00DC66CD">
        <w:rPr>
          <w:rFonts w:eastAsia="Calibri"/>
        </w:rPr>
        <w:t xml:space="preserve">do të </w:t>
      </w:r>
      <w:r w:rsidR="006F605B" w:rsidRPr="00DC66CD">
        <w:rPr>
          <w:rFonts w:eastAsia="Calibri"/>
        </w:rPr>
        <w:t>digjitalizojë informacionin për rreth 50,000 ha tokë bujqësore në rrethet Lezhë, Shkodër dhe Dibër nga QTTB</w:t>
      </w:r>
      <w:r w:rsidR="00C52483" w:rsidRPr="00DC66CD">
        <w:rPr>
          <w:rFonts w:eastAsia="Calibri"/>
        </w:rPr>
        <w:t>-ja</w:t>
      </w:r>
      <w:r w:rsidRPr="00DC66CD">
        <w:rPr>
          <w:rFonts w:eastAsia="Calibri"/>
        </w:rPr>
        <w:t>,</w:t>
      </w:r>
      <w:r w:rsidR="006F605B" w:rsidRPr="00DC66CD">
        <w:rPr>
          <w:rFonts w:eastAsia="Calibri"/>
        </w:rPr>
        <w:t xml:space="preserve"> Fushë-Krujë;</w:t>
      </w:r>
    </w:p>
    <w:p w14:paraId="7B704643" w14:textId="535596E3" w:rsidR="006F605B" w:rsidRPr="00DC66CD" w:rsidRDefault="00F36042" w:rsidP="008A1C33">
      <w:pPr>
        <w:pStyle w:val="TEKSTIIII"/>
      </w:pPr>
      <w:r w:rsidRPr="00DC66CD">
        <w:rPr>
          <w:rFonts w:eastAsia="Calibri"/>
        </w:rPr>
        <w:t xml:space="preserve">- </w:t>
      </w:r>
      <w:r w:rsidR="00C52483" w:rsidRPr="00DC66CD">
        <w:rPr>
          <w:rFonts w:eastAsia="Calibri"/>
        </w:rPr>
        <w:t>d</w:t>
      </w:r>
      <w:r w:rsidR="006F605B" w:rsidRPr="00DC66CD">
        <w:rPr>
          <w:rFonts w:eastAsia="Calibri"/>
        </w:rPr>
        <w:t>igjitalizimi i pjesshëm i regjistrave të tokave bujqësore për 20 njësi administrative.</w:t>
      </w:r>
    </w:p>
    <w:p w14:paraId="1D4461FE" w14:textId="5617FC72" w:rsidR="006F605B" w:rsidRPr="00DC66CD" w:rsidRDefault="008A1C33" w:rsidP="008A1C33">
      <w:pPr>
        <w:pStyle w:val="TEKSTIIII"/>
        <w:rPr>
          <w:b/>
        </w:rPr>
      </w:pPr>
      <w:r w:rsidRPr="00DC66CD">
        <w:rPr>
          <w:b/>
        </w:rPr>
        <w:t xml:space="preserve">b) </w:t>
      </w:r>
      <w:r w:rsidR="006F605B" w:rsidRPr="00DC66CD">
        <w:rPr>
          <w:b/>
        </w:rPr>
        <w:t xml:space="preserve">Aktivitetet e </w:t>
      </w:r>
      <w:r w:rsidR="00C52483" w:rsidRPr="00DC66CD">
        <w:rPr>
          <w:b/>
        </w:rPr>
        <w:t xml:space="preserve">planifikuara </w:t>
      </w:r>
      <w:r w:rsidR="00F85068" w:rsidRPr="00DC66CD">
        <w:rPr>
          <w:b/>
        </w:rPr>
        <w:t>më 2021</w:t>
      </w:r>
      <w:r w:rsidR="00C52483" w:rsidRPr="00DC66CD">
        <w:rPr>
          <w:b/>
        </w:rPr>
        <w:t>-shin:</w:t>
      </w:r>
    </w:p>
    <w:p w14:paraId="6370053E" w14:textId="1705D15A" w:rsidR="006F605B" w:rsidRPr="00DC66CD" w:rsidRDefault="00C52483" w:rsidP="008A1C33">
      <w:pPr>
        <w:pStyle w:val="TEKSTIIII"/>
      </w:pPr>
      <w:r w:rsidRPr="00DC66CD">
        <w:rPr>
          <w:rFonts w:eastAsia="Calibri"/>
        </w:rPr>
        <w:t xml:space="preserve">- </w:t>
      </w:r>
      <w:r w:rsidR="006F605B" w:rsidRPr="00DC66CD">
        <w:rPr>
          <w:rFonts w:eastAsia="Calibri"/>
        </w:rPr>
        <w:t>LIS do të krijojë/</w:t>
      </w:r>
      <w:r w:rsidRPr="00DC66CD">
        <w:rPr>
          <w:rFonts w:eastAsia="Calibri"/>
        </w:rPr>
        <w:t xml:space="preserve">do të </w:t>
      </w:r>
      <w:r w:rsidR="006F605B" w:rsidRPr="00DC66CD">
        <w:rPr>
          <w:rFonts w:eastAsia="Calibri"/>
        </w:rPr>
        <w:t>digjitalizojë informacione për rreth 60,000 ha tokë bujqësore në rrethet e Tiranës, Gjirokastrës dhe Shkodrës nga QTTB</w:t>
      </w:r>
      <w:r w:rsidRPr="00DC66CD">
        <w:rPr>
          <w:rFonts w:eastAsia="Calibri"/>
        </w:rPr>
        <w:t>-ja</w:t>
      </w:r>
      <w:r w:rsidR="006F605B" w:rsidRPr="00DC66CD">
        <w:rPr>
          <w:rFonts w:eastAsia="Calibri"/>
        </w:rPr>
        <w:t xml:space="preserve"> Fushë-Krujë;</w:t>
      </w:r>
    </w:p>
    <w:p w14:paraId="5B860FA9" w14:textId="3F206EB3" w:rsidR="006F605B" w:rsidRPr="00DC66CD" w:rsidRDefault="00C52483" w:rsidP="008A1C33">
      <w:pPr>
        <w:pStyle w:val="TEKSTIIII"/>
      </w:pPr>
      <w:r w:rsidRPr="00DC66CD">
        <w:rPr>
          <w:rFonts w:eastAsia="Calibri"/>
        </w:rPr>
        <w:t xml:space="preserve">- digjitalizimi </w:t>
      </w:r>
      <w:r w:rsidR="006F605B" w:rsidRPr="00DC66CD">
        <w:rPr>
          <w:rFonts w:eastAsia="Calibri"/>
        </w:rPr>
        <w:t>i pjesshëm i regjistrave të tokave bujqësore për 20 njësi administrativ</w:t>
      </w:r>
      <w:r w:rsidRPr="00DC66CD">
        <w:rPr>
          <w:rFonts w:eastAsia="Calibri"/>
        </w:rPr>
        <w:t>e.</w:t>
      </w:r>
    </w:p>
    <w:p w14:paraId="4113B510" w14:textId="0ACFE6A3" w:rsidR="006F605B" w:rsidRPr="00DC66CD" w:rsidRDefault="008A1C33" w:rsidP="008A1C33">
      <w:pPr>
        <w:pStyle w:val="TEKSTIIII"/>
        <w:rPr>
          <w:b/>
        </w:rPr>
      </w:pPr>
      <w:r w:rsidRPr="00DC66CD">
        <w:rPr>
          <w:b/>
        </w:rPr>
        <w:t xml:space="preserve">c) </w:t>
      </w:r>
      <w:r w:rsidR="006F605B" w:rsidRPr="00DC66CD">
        <w:rPr>
          <w:b/>
        </w:rPr>
        <w:t>Aktivitetet e planifikuara</w:t>
      </w:r>
      <w:r w:rsidR="00433A3A" w:rsidRPr="00DC66CD">
        <w:rPr>
          <w:b/>
        </w:rPr>
        <w:t xml:space="preserve"> më 2022</w:t>
      </w:r>
      <w:r w:rsidR="00C52483" w:rsidRPr="00DC66CD">
        <w:rPr>
          <w:b/>
        </w:rPr>
        <w:t>-shin:</w:t>
      </w:r>
    </w:p>
    <w:p w14:paraId="2C160B85" w14:textId="42CFFFDF" w:rsidR="006F605B" w:rsidRPr="00DC66CD" w:rsidRDefault="00C52483" w:rsidP="008A1C33">
      <w:pPr>
        <w:pStyle w:val="TEKSTIIII"/>
      </w:pPr>
      <w:r w:rsidRPr="00DC66CD">
        <w:rPr>
          <w:rFonts w:eastAsia="Calibri"/>
        </w:rPr>
        <w:t xml:space="preserve">- </w:t>
      </w:r>
      <w:r w:rsidR="006F605B" w:rsidRPr="00DC66CD">
        <w:rPr>
          <w:rFonts w:eastAsia="Calibri"/>
        </w:rPr>
        <w:t>LIS do të krijojë/</w:t>
      </w:r>
      <w:r w:rsidRPr="00DC66CD">
        <w:rPr>
          <w:rFonts w:eastAsia="Calibri"/>
        </w:rPr>
        <w:t xml:space="preserve">do të </w:t>
      </w:r>
      <w:r w:rsidR="006F605B" w:rsidRPr="00DC66CD">
        <w:rPr>
          <w:rFonts w:eastAsia="Calibri"/>
        </w:rPr>
        <w:t>digjitalizojë informacione për rreth 70,000 ha tokë bujqësore në rrethet Elbasan, Gjirokastër, Korça, Kukës dhe Tiranë nga QTTB</w:t>
      </w:r>
      <w:r w:rsidRPr="00DC66CD">
        <w:rPr>
          <w:rFonts w:eastAsia="Calibri"/>
        </w:rPr>
        <w:t>-ja</w:t>
      </w:r>
      <w:r w:rsidR="006F605B" w:rsidRPr="00DC66CD">
        <w:rPr>
          <w:rFonts w:eastAsia="Calibri"/>
        </w:rPr>
        <w:t xml:space="preserve"> Fushë-Krujë;</w:t>
      </w:r>
    </w:p>
    <w:p w14:paraId="64C4A596" w14:textId="787AD075" w:rsidR="006F605B" w:rsidRPr="00DC66CD" w:rsidRDefault="00C52483" w:rsidP="008A1C33">
      <w:pPr>
        <w:pStyle w:val="TEKSTIIII"/>
      </w:pPr>
      <w:r w:rsidRPr="00DC66CD">
        <w:rPr>
          <w:rFonts w:eastAsia="Calibri"/>
        </w:rPr>
        <w:t xml:space="preserve">- digjitalizimi </w:t>
      </w:r>
      <w:r w:rsidR="006F605B" w:rsidRPr="00DC66CD">
        <w:rPr>
          <w:rFonts w:eastAsia="Calibri"/>
        </w:rPr>
        <w:t>i pjesshëm i regjistrave të tokave bujqësore për 20 njësi administrative.</w:t>
      </w:r>
    </w:p>
    <w:p w14:paraId="1EFC2444" w14:textId="0536590B" w:rsidR="006F605B" w:rsidRPr="00DC66CD" w:rsidRDefault="008A1C33" w:rsidP="008A1C3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3. </w:t>
      </w:r>
      <w:r w:rsidR="006F605B" w:rsidRPr="00DC66CD">
        <w:rPr>
          <w:rFonts w:ascii="Garamond" w:hAnsi="Garamond"/>
          <w:color w:val="000000" w:themeColor="text1"/>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8"/>
        <w:gridCol w:w="1716"/>
        <w:gridCol w:w="1761"/>
        <w:gridCol w:w="1745"/>
      </w:tblGrid>
      <w:tr w:rsidR="006F605B" w:rsidRPr="00DC66CD" w14:paraId="781B3E35" w14:textId="77777777" w:rsidTr="00C52483">
        <w:trPr>
          <w:jc w:val="center"/>
        </w:trPr>
        <w:tc>
          <w:tcPr>
            <w:tcW w:w="4248" w:type="dxa"/>
            <w:vAlign w:val="center"/>
          </w:tcPr>
          <w:p w14:paraId="4A08048B" w14:textId="77777777" w:rsidR="006F605B" w:rsidRPr="00DC66CD" w:rsidRDefault="006F605B" w:rsidP="00C52483">
            <w:pPr>
              <w:snapToGrid w:val="0"/>
              <w:spacing w:after="0" w:line="240" w:lineRule="auto"/>
              <w:jc w:val="center"/>
              <w:rPr>
                <w:rFonts w:ascii="Garamond" w:hAnsi="Garamond"/>
                <w:b/>
              </w:rPr>
            </w:pPr>
            <w:r w:rsidRPr="00DC66CD">
              <w:rPr>
                <w:rFonts w:ascii="Garamond" w:hAnsi="Garamond"/>
                <w:b/>
              </w:rPr>
              <w:t>Indikatori</w:t>
            </w:r>
          </w:p>
        </w:tc>
        <w:tc>
          <w:tcPr>
            <w:tcW w:w="1791" w:type="dxa"/>
            <w:vAlign w:val="center"/>
          </w:tcPr>
          <w:p w14:paraId="30A3190C" w14:textId="77777777" w:rsidR="006F605B" w:rsidRPr="00DC66CD" w:rsidRDefault="006F605B" w:rsidP="00C52483">
            <w:pPr>
              <w:snapToGrid w:val="0"/>
              <w:spacing w:after="0" w:line="240" w:lineRule="auto"/>
              <w:jc w:val="center"/>
              <w:rPr>
                <w:rFonts w:ascii="Garamond" w:hAnsi="Garamond"/>
                <w:b/>
              </w:rPr>
            </w:pPr>
            <w:r w:rsidRPr="00DC66CD">
              <w:rPr>
                <w:rFonts w:ascii="Garamond" w:hAnsi="Garamond"/>
                <w:b/>
              </w:rPr>
              <w:t>Bazë (viti)</w:t>
            </w:r>
          </w:p>
        </w:tc>
        <w:tc>
          <w:tcPr>
            <w:tcW w:w="1791" w:type="dxa"/>
            <w:vAlign w:val="center"/>
          </w:tcPr>
          <w:p w14:paraId="7C049EF2" w14:textId="21380CE7" w:rsidR="006F605B" w:rsidRPr="00DC66CD" w:rsidRDefault="006F605B" w:rsidP="00C52483">
            <w:pPr>
              <w:snapToGrid w:val="0"/>
              <w:spacing w:after="0" w:line="240" w:lineRule="auto"/>
              <w:jc w:val="center"/>
              <w:rPr>
                <w:rFonts w:ascii="Garamond" w:hAnsi="Garamond"/>
                <w:b/>
              </w:rPr>
            </w:pPr>
            <w:r w:rsidRPr="00DC66CD">
              <w:rPr>
                <w:rFonts w:ascii="Garamond" w:hAnsi="Garamond"/>
                <w:b/>
              </w:rPr>
              <w:t xml:space="preserve">Objektivi </w:t>
            </w:r>
            <w:r w:rsidR="002C582E" w:rsidRPr="00DC66CD">
              <w:rPr>
                <w:rFonts w:ascii="Garamond" w:hAnsi="Garamond"/>
                <w:b/>
              </w:rPr>
              <w:t xml:space="preserve">i </w:t>
            </w:r>
            <w:r w:rsidRPr="00DC66CD">
              <w:rPr>
                <w:rFonts w:ascii="Garamond" w:hAnsi="Garamond"/>
                <w:b/>
              </w:rPr>
              <w:t>ndërmjetëm (viti)</w:t>
            </w:r>
          </w:p>
        </w:tc>
        <w:tc>
          <w:tcPr>
            <w:tcW w:w="1792" w:type="dxa"/>
            <w:vAlign w:val="center"/>
          </w:tcPr>
          <w:p w14:paraId="5852B5F4" w14:textId="77777777" w:rsidR="006F605B" w:rsidRPr="00DC66CD" w:rsidRDefault="006F605B" w:rsidP="00C52483">
            <w:pPr>
              <w:snapToGrid w:val="0"/>
              <w:spacing w:after="0" w:line="240" w:lineRule="auto"/>
              <w:jc w:val="center"/>
              <w:rPr>
                <w:rFonts w:ascii="Garamond" w:hAnsi="Garamond"/>
                <w:b/>
              </w:rPr>
            </w:pPr>
            <w:r w:rsidRPr="00DC66CD">
              <w:rPr>
                <w:rFonts w:ascii="Garamond" w:hAnsi="Garamond"/>
                <w:b/>
              </w:rPr>
              <w:t>Objektivi (viti)</w:t>
            </w:r>
          </w:p>
        </w:tc>
      </w:tr>
      <w:tr w:rsidR="006F605B" w:rsidRPr="00DC66CD" w14:paraId="7EE8E07B" w14:textId="77777777" w:rsidTr="00C52483">
        <w:trPr>
          <w:jc w:val="center"/>
        </w:trPr>
        <w:tc>
          <w:tcPr>
            <w:tcW w:w="4248" w:type="dxa"/>
          </w:tcPr>
          <w:p w14:paraId="482E7F06" w14:textId="77777777" w:rsidR="006F605B" w:rsidRPr="00DC66CD" w:rsidRDefault="006F605B" w:rsidP="008A1C33">
            <w:pPr>
              <w:snapToGrid w:val="0"/>
              <w:spacing w:after="0" w:line="240" w:lineRule="auto"/>
              <w:rPr>
                <w:rFonts w:ascii="Garamond" w:hAnsi="Garamond"/>
              </w:rPr>
            </w:pPr>
            <w:r w:rsidRPr="00DC66CD">
              <w:rPr>
                <w:rFonts w:ascii="Garamond" w:hAnsi="Garamond"/>
              </w:rPr>
              <w:t>Digjitalizimi i informacionit mbi tokën bujqësore në Sistemin e Informacionit të Tokës</w:t>
            </w:r>
          </w:p>
        </w:tc>
        <w:tc>
          <w:tcPr>
            <w:tcW w:w="1791" w:type="dxa"/>
          </w:tcPr>
          <w:p w14:paraId="3ACBE81D" w14:textId="77777777" w:rsidR="006F605B" w:rsidRPr="00DC66CD" w:rsidRDefault="006F605B" w:rsidP="008A1C33">
            <w:pPr>
              <w:snapToGrid w:val="0"/>
              <w:spacing w:after="0" w:line="240" w:lineRule="auto"/>
              <w:rPr>
                <w:rFonts w:ascii="Garamond" w:hAnsi="Garamond"/>
              </w:rPr>
            </w:pPr>
          </w:p>
        </w:tc>
        <w:tc>
          <w:tcPr>
            <w:tcW w:w="1791" w:type="dxa"/>
          </w:tcPr>
          <w:p w14:paraId="3B947FB2" w14:textId="77777777" w:rsidR="006F605B" w:rsidRPr="00DC66CD" w:rsidRDefault="006F605B" w:rsidP="00F36042">
            <w:pPr>
              <w:snapToGrid w:val="0"/>
              <w:spacing w:after="0" w:line="240" w:lineRule="auto"/>
              <w:jc w:val="right"/>
              <w:rPr>
                <w:rFonts w:ascii="Garamond" w:hAnsi="Garamond"/>
              </w:rPr>
            </w:pPr>
            <w:r w:rsidRPr="00DC66CD">
              <w:rPr>
                <w:rFonts w:ascii="Garamond" w:hAnsi="Garamond"/>
              </w:rPr>
              <w:t>110000</w:t>
            </w:r>
          </w:p>
        </w:tc>
        <w:tc>
          <w:tcPr>
            <w:tcW w:w="1792" w:type="dxa"/>
          </w:tcPr>
          <w:p w14:paraId="4AF39D5D" w14:textId="77777777" w:rsidR="006F605B" w:rsidRPr="00DC66CD" w:rsidRDefault="006F605B" w:rsidP="00F36042">
            <w:pPr>
              <w:snapToGrid w:val="0"/>
              <w:spacing w:after="0" w:line="240" w:lineRule="auto"/>
              <w:jc w:val="right"/>
              <w:rPr>
                <w:rFonts w:ascii="Garamond" w:hAnsi="Garamond"/>
              </w:rPr>
            </w:pPr>
            <w:r w:rsidRPr="00DC66CD">
              <w:rPr>
                <w:rFonts w:ascii="Garamond" w:hAnsi="Garamond"/>
              </w:rPr>
              <w:t>180000</w:t>
            </w:r>
          </w:p>
        </w:tc>
      </w:tr>
      <w:tr w:rsidR="006F605B" w:rsidRPr="00DC66CD" w14:paraId="73871D05" w14:textId="77777777" w:rsidTr="00C52483">
        <w:trPr>
          <w:jc w:val="center"/>
        </w:trPr>
        <w:tc>
          <w:tcPr>
            <w:tcW w:w="4248" w:type="dxa"/>
          </w:tcPr>
          <w:p w14:paraId="46F8DDDF" w14:textId="77777777" w:rsidR="006F605B" w:rsidRPr="00DC66CD" w:rsidRDefault="006F605B" w:rsidP="008A1C33">
            <w:pPr>
              <w:snapToGrid w:val="0"/>
              <w:spacing w:after="0" w:line="240" w:lineRule="auto"/>
              <w:rPr>
                <w:rFonts w:ascii="Garamond" w:hAnsi="Garamond"/>
              </w:rPr>
            </w:pPr>
            <w:r w:rsidRPr="00DC66CD">
              <w:rPr>
                <w:rFonts w:ascii="Garamond" w:hAnsi="Garamond"/>
              </w:rPr>
              <w:t>Digjitalizimi i regjistrit të tokës bujqësore, njësitë administrative</w:t>
            </w:r>
          </w:p>
        </w:tc>
        <w:tc>
          <w:tcPr>
            <w:tcW w:w="1791" w:type="dxa"/>
          </w:tcPr>
          <w:p w14:paraId="54649258" w14:textId="77777777" w:rsidR="006F605B" w:rsidRPr="00DC66CD" w:rsidRDefault="006F605B" w:rsidP="008A1C33">
            <w:pPr>
              <w:snapToGrid w:val="0"/>
              <w:spacing w:after="0" w:line="240" w:lineRule="auto"/>
              <w:rPr>
                <w:rFonts w:ascii="Garamond" w:hAnsi="Garamond"/>
              </w:rPr>
            </w:pPr>
          </w:p>
        </w:tc>
        <w:tc>
          <w:tcPr>
            <w:tcW w:w="1791" w:type="dxa"/>
          </w:tcPr>
          <w:p w14:paraId="314F2E1C" w14:textId="77777777" w:rsidR="006F605B" w:rsidRPr="00DC66CD" w:rsidRDefault="006F605B" w:rsidP="00F36042">
            <w:pPr>
              <w:snapToGrid w:val="0"/>
              <w:spacing w:after="0" w:line="240" w:lineRule="auto"/>
              <w:jc w:val="right"/>
              <w:rPr>
                <w:rFonts w:ascii="Garamond" w:hAnsi="Garamond"/>
              </w:rPr>
            </w:pPr>
            <w:r w:rsidRPr="00DC66CD">
              <w:rPr>
                <w:rFonts w:ascii="Garamond" w:hAnsi="Garamond"/>
              </w:rPr>
              <w:t>40</w:t>
            </w:r>
          </w:p>
        </w:tc>
        <w:tc>
          <w:tcPr>
            <w:tcW w:w="1792" w:type="dxa"/>
          </w:tcPr>
          <w:p w14:paraId="45A8B07A" w14:textId="77777777" w:rsidR="006F605B" w:rsidRPr="00DC66CD" w:rsidRDefault="006F605B" w:rsidP="00F36042">
            <w:pPr>
              <w:snapToGrid w:val="0"/>
              <w:spacing w:after="0" w:line="240" w:lineRule="auto"/>
              <w:jc w:val="right"/>
              <w:rPr>
                <w:rFonts w:ascii="Garamond" w:hAnsi="Garamond"/>
              </w:rPr>
            </w:pPr>
            <w:r w:rsidRPr="00DC66CD">
              <w:rPr>
                <w:rFonts w:ascii="Garamond" w:hAnsi="Garamond"/>
              </w:rPr>
              <w:t>60</w:t>
            </w:r>
          </w:p>
        </w:tc>
      </w:tr>
      <w:tr w:rsidR="006F605B" w:rsidRPr="00DC66CD" w14:paraId="48D41699" w14:textId="77777777" w:rsidTr="00C52483">
        <w:trPr>
          <w:jc w:val="center"/>
        </w:trPr>
        <w:tc>
          <w:tcPr>
            <w:tcW w:w="4248" w:type="dxa"/>
          </w:tcPr>
          <w:p w14:paraId="21714DD1" w14:textId="77777777" w:rsidR="006F605B" w:rsidRPr="00DC66CD" w:rsidRDefault="006F605B" w:rsidP="008A1C33">
            <w:pPr>
              <w:snapToGrid w:val="0"/>
              <w:spacing w:after="0" w:line="240" w:lineRule="auto"/>
              <w:rPr>
                <w:rFonts w:ascii="Garamond" w:hAnsi="Garamond"/>
              </w:rPr>
            </w:pPr>
          </w:p>
        </w:tc>
        <w:tc>
          <w:tcPr>
            <w:tcW w:w="1791" w:type="dxa"/>
          </w:tcPr>
          <w:p w14:paraId="12C30E4A" w14:textId="77777777" w:rsidR="006F605B" w:rsidRPr="00DC66CD" w:rsidRDefault="006F605B" w:rsidP="008A1C33">
            <w:pPr>
              <w:snapToGrid w:val="0"/>
              <w:spacing w:after="0" w:line="240" w:lineRule="auto"/>
              <w:rPr>
                <w:rFonts w:ascii="Garamond" w:hAnsi="Garamond"/>
              </w:rPr>
            </w:pPr>
          </w:p>
        </w:tc>
        <w:tc>
          <w:tcPr>
            <w:tcW w:w="1791" w:type="dxa"/>
          </w:tcPr>
          <w:p w14:paraId="6007EBAC" w14:textId="77777777" w:rsidR="006F605B" w:rsidRPr="00DC66CD" w:rsidRDefault="006F605B" w:rsidP="008A1C33">
            <w:pPr>
              <w:snapToGrid w:val="0"/>
              <w:spacing w:after="0" w:line="240" w:lineRule="auto"/>
              <w:rPr>
                <w:rFonts w:ascii="Garamond" w:hAnsi="Garamond"/>
              </w:rPr>
            </w:pPr>
          </w:p>
        </w:tc>
        <w:tc>
          <w:tcPr>
            <w:tcW w:w="1792" w:type="dxa"/>
          </w:tcPr>
          <w:p w14:paraId="2AE90791" w14:textId="77777777" w:rsidR="006F605B" w:rsidRPr="00DC66CD" w:rsidRDefault="006F605B" w:rsidP="008A1C33">
            <w:pPr>
              <w:snapToGrid w:val="0"/>
              <w:spacing w:after="0" w:line="240" w:lineRule="auto"/>
              <w:rPr>
                <w:rFonts w:ascii="Garamond" w:hAnsi="Garamond"/>
              </w:rPr>
            </w:pPr>
          </w:p>
        </w:tc>
      </w:tr>
    </w:tbl>
    <w:p w14:paraId="0B73CC05" w14:textId="77777777" w:rsidR="006F605B" w:rsidRPr="00DC66CD" w:rsidRDefault="006F605B" w:rsidP="006F605B">
      <w:pPr>
        <w:snapToGrid w:val="0"/>
        <w:spacing w:after="0" w:line="240" w:lineRule="auto"/>
        <w:ind w:firstLine="284"/>
        <w:rPr>
          <w:rFonts w:ascii="Garamond" w:hAnsi="Garamond"/>
          <w:sz w:val="24"/>
          <w:szCs w:val="24"/>
        </w:rPr>
      </w:pPr>
    </w:p>
    <w:p w14:paraId="74668686" w14:textId="4905A4F1" w:rsidR="006F605B" w:rsidRPr="00DC66CD" w:rsidRDefault="008A1C33" w:rsidP="008A1C3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4. </w:t>
      </w:r>
      <w:r w:rsidR="006F605B" w:rsidRPr="00DC66CD">
        <w:rPr>
          <w:rFonts w:ascii="Garamond" w:hAnsi="Garamond"/>
          <w:color w:val="000000" w:themeColor="text1"/>
          <w:sz w:val="24"/>
          <w:szCs w:val="24"/>
        </w:rPr>
        <w:t>Ndikimi i pritshëm në konkurrueshmëri</w:t>
      </w:r>
    </w:p>
    <w:p w14:paraId="1C43B10D" w14:textId="72BFDA3D"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Reforma </w:t>
      </w:r>
      <w:r w:rsidR="00C52483" w:rsidRPr="00DC66CD">
        <w:rPr>
          <w:rFonts w:ascii="Garamond" w:hAnsi="Garamond"/>
          <w:sz w:val="24"/>
          <w:szCs w:val="24"/>
        </w:rPr>
        <w:t>e konsolidimit të tokës është m</w:t>
      </w:r>
      <w:r w:rsidRPr="00DC66CD">
        <w:rPr>
          <w:rFonts w:ascii="Garamond" w:hAnsi="Garamond"/>
          <w:sz w:val="24"/>
          <w:szCs w:val="24"/>
        </w:rPr>
        <w:t>ë komplekse dhe së pari e bazuar në vendosjen e bazës ligjore dhe rregullimit të duhur të lidhura fort me zyrtarizimin e fermave bujqësore</w:t>
      </w:r>
      <w:r w:rsidR="002C582E" w:rsidRPr="00DC66CD">
        <w:rPr>
          <w:rFonts w:ascii="Garamond" w:hAnsi="Garamond"/>
          <w:sz w:val="24"/>
          <w:szCs w:val="24"/>
        </w:rPr>
        <w:t>,</w:t>
      </w:r>
      <w:r w:rsidRPr="00DC66CD">
        <w:rPr>
          <w:rFonts w:ascii="Garamond" w:hAnsi="Garamond"/>
          <w:sz w:val="24"/>
          <w:szCs w:val="24"/>
        </w:rPr>
        <w:t xml:space="preserve"> si dhe veprimtarinë e tyre ekonomike, që do të thotë rritje e aksesit për subvencione dhe kredi rurale nga fermerët dhe agrobizneset. Për më tepër, do të rrisë investimet në bujqësi dhe zhvillimin e tregut zyrtar të tokës. Konsolidimi i tokës do të çojë në rritjen e mekanizmit të bujqësisë, që do të thotë rritje të vendeve të reja të punës dhe përmirësimin e cilësisë së jetës në zonat rurale</w:t>
      </w:r>
    </w:p>
    <w:p w14:paraId="6BEC08A0" w14:textId="77777777" w:rsidR="006F605B" w:rsidRPr="00DC66CD" w:rsidRDefault="006F605B" w:rsidP="006F605B">
      <w:pPr>
        <w:spacing w:after="0" w:line="240" w:lineRule="auto"/>
        <w:ind w:firstLine="284"/>
        <w:rPr>
          <w:rFonts w:ascii="Garamond" w:hAnsi="Garamond"/>
          <w:sz w:val="24"/>
          <w:szCs w:val="24"/>
        </w:rPr>
      </w:pPr>
      <w:r w:rsidRPr="00DC66CD">
        <w:rPr>
          <w:rFonts w:ascii="Garamond" w:hAnsi="Garamond"/>
          <w:sz w:val="24"/>
          <w:szCs w:val="24"/>
        </w:rPr>
        <w:t>Gjatë zbatimit të hershëm të programit, rezultatet e mëposhtme pritet të arrihen:</w:t>
      </w:r>
    </w:p>
    <w:p w14:paraId="5913D836" w14:textId="5F3602F3" w:rsidR="006F605B" w:rsidRPr="00DC66CD" w:rsidRDefault="006F605B" w:rsidP="006F605B">
      <w:pPr>
        <w:spacing w:after="0" w:line="240" w:lineRule="auto"/>
        <w:ind w:firstLine="284"/>
        <w:rPr>
          <w:rFonts w:ascii="Garamond" w:hAnsi="Garamond"/>
          <w:sz w:val="24"/>
          <w:szCs w:val="24"/>
        </w:rPr>
      </w:pPr>
      <w:r w:rsidRPr="00DC66CD">
        <w:rPr>
          <w:rFonts w:ascii="Garamond" w:hAnsi="Garamond"/>
          <w:sz w:val="24"/>
          <w:szCs w:val="24"/>
        </w:rPr>
        <w:t xml:space="preserve">- </w:t>
      </w:r>
      <w:r w:rsidR="00C52483" w:rsidRPr="00DC66CD">
        <w:rPr>
          <w:rFonts w:ascii="Garamond" w:hAnsi="Garamond"/>
          <w:sz w:val="24"/>
          <w:szCs w:val="24"/>
        </w:rPr>
        <w:t>u</w:t>
      </w:r>
      <w:r w:rsidRPr="00DC66CD">
        <w:rPr>
          <w:rFonts w:ascii="Garamond" w:hAnsi="Garamond"/>
          <w:sz w:val="24"/>
          <w:szCs w:val="24"/>
        </w:rPr>
        <w:t>lja e fragmentimit të parcelave bujqësore</w:t>
      </w:r>
      <w:r w:rsidR="00C52483" w:rsidRPr="00DC66CD">
        <w:rPr>
          <w:rFonts w:ascii="Garamond" w:hAnsi="Garamond"/>
          <w:sz w:val="24"/>
          <w:szCs w:val="24"/>
        </w:rPr>
        <w:t>;</w:t>
      </w:r>
    </w:p>
    <w:p w14:paraId="695A73A5" w14:textId="6D82D8F4" w:rsidR="006F605B" w:rsidRPr="00DC66CD" w:rsidRDefault="006F605B" w:rsidP="006F605B">
      <w:pPr>
        <w:spacing w:after="0" w:line="240" w:lineRule="auto"/>
        <w:ind w:firstLine="284"/>
        <w:rPr>
          <w:rFonts w:ascii="Garamond" w:hAnsi="Garamond"/>
          <w:sz w:val="24"/>
          <w:szCs w:val="24"/>
        </w:rPr>
      </w:pPr>
      <w:r w:rsidRPr="00DC66CD">
        <w:rPr>
          <w:rFonts w:ascii="Garamond" w:hAnsi="Garamond"/>
          <w:sz w:val="24"/>
          <w:szCs w:val="24"/>
        </w:rPr>
        <w:t xml:space="preserve">- </w:t>
      </w:r>
      <w:r w:rsidR="00C52483" w:rsidRPr="00DC66CD">
        <w:rPr>
          <w:rFonts w:ascii="Garamond" w:hAnsi="Garamond"/>
          <w:sz w:val="24"/>
          <w:szCs w:val="24"/>
        </w:rPr>
        <w:t>p</w:t>
      </w:r>
      <w:r w:rsidRPr="00DC66CD">
        <w:rPr>
          <w:rFonts w:ascii="Garamond" w:hAnsi="Garamond"/>
          <w:sz w:val="24"/>
          <w:szCs w:val="24"/>
        </w:rPr>
        <w:t>ërmirësimi i aftësive për t</w:t>
      </w:r>
      <w:r w:rsidR="002C582E" w:rsidRPr="00DC66CD">
        <w:rPr>
          <w:rFonts w:ascii="Garamond" w:hAnsi="Garamond"/>
          <w:sz w:val="24"/>
          <w:szCs w:val="24"/>
        </w:rPr>
        <w:t>’</w:t>
      </w:r>
      <w:r w:rsidRPr="00DC66CD">
        <w:rPr>
          <w:rFonts w:ascii="Garamond" w:hAnsi="Garamond"/>
          <w:sz w:val="24"/>
          <w:szCs w:val="24"/>
        </w:rPr>
        <w:t>u marrë me menaxhimin dhe administrimin e tokës bujqësore</w:t>
      </w:r>
      <w:r w:rsidR="00C52483" w:rsidRPr="00DC66CD">
        <w:rPr>
          <w:rFonts w:ascii="Garamond" w:hAnsi="Garamond"/>
          <w:sz w:val="24"/>
          <w:szCs w:val="24"/>
        </w:rPr>
        <w:t>;</w:t>
      </w:r>
    </w:p>
    <w:p w14:paraId="4E136D96" w14:textId="1B2980F4" w:rsidR="006F605B" w:rsidRPr="00DC66CD" w:rsidRDefault="006F605B" w:rsidP="006F605B">
      <w:pPr>
        <w:spacing w:after="0" w:line="240" w:lineRule="auto"/>
        <w:ind w:firstLine="284"/>
        <w:rPr>
          <w:rFonts w:ascii="Garamond" w:hAnsi="Garamond"/>
          <w:sz w:val="24"/>
          <w:szCs w:val="24"/>
        </w:rPr>
      </w:pPr>
      <w:r w:rsidRPr="00DC66CD">
        <w:rPr>
          <w:rFonts w:ascii="Garamond" w:hAnsi="Garamond"/>
          <w:sz w:val="24"/>
          <w:szCs w:val="24"/>
        </w:rPr>
        <w:t xml:space="preserve">- </w:t>
      </w:r>
      <w:r w:rsidR="00C52483" w:rsidRPr="00DC66CD">
        <w:rPr>
          <w:rFonts w:ascii="Garamond" w:hAnsi="Garamond"/>
          <w:sz w:val="24"/>
          <w:szCs w:val="24"/>
        </w:rPr>
        <w:t>r</w:t>
      </w:r>
      <w:r w:rsidRPr="00DC66CD">
        <w:rPr>
          <w:rFonts w:ascii="Garamond" w:hAnsi="Garamond"/>
          <w:sz w:val="24"/>
          <w:szCs w:val="24"/>
        </w:rPr>
        <w:t>ritja e përdorimit të tokës.</w:t>
      </w:r>
    </w:p>
    <w:p w14:paraId="5A5FFBDE"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Kjo do të mundësojë përdorimin më të mirë të ekonomive të shkallës dhe për këtë arsye rrit konkurrencën e bujqësisë.</w:t>
      </w:r>
    </w:p>
    <w:p w14:paraId="6A24E466" w14:textId="4FC9F164" w:rsidR="006F605B" w:rsidRPr="00DC66CD" w:rsidRDefault="008A1C33" w:rsidP="008A1C33">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Kosto</w:t>
      </w:r>
      <w:r w:rsidR="00C52483"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542579AD" w14:textId="6A62FACE" w:rsidR="006F605B" w:rsidRPr="00DC66CD" w:rsidRDefault="008A1C33" w:rsidP="008A1C33">
      <w:pPr>
        <w:pStyle w:val="TEKSTIIII"/>
      </w:pPr>
      <w:r w:rsidRPr="00DC66CD">
        <w:t>-</w:t>
      </w:r>
      <w:r w:rsidR="00C52483" w:rsidRPr="00DC66CD">
        <w:t xml:space="preserve"> </w:t>
      </w:r>
      <w:r w:rsidR="006F605B" w:rsidRPr="00DC66CD">
        <w:t xml:space="preserve">910.931 EUR nga buxheti i shtetit për </w:t>
      </w:r>
      <w:r w:rsidR="002A29AD" w:rsidRPr="00DC66CD">
        <w:t>“</w:t>
      </w:r>
      <w:r w:rsidR="006F605B" w:rsidRPr="00DC66CD">
        <w:t>Regjistrimin dhe di</w:t>
      </w:r>
      <w:r w:rsidR="00C52483" w:rsidRPr="00DC66CD">
        <w:t>gj</w:t>
      </w:r>
      <w:r w:rsidR="006F605B" w:rsidRPr="00DC66CD">
        <w:t>italizimin e tokës bujqësore</w:t>
      </w:r>
      <w:r w:rsidR="002A29AD" w:rsidRPr="00DC66CD">
        <w:t>”</w:t>
      </w:r>
      <w:r w:rsidR="006F605B" w:rsidRPr="00DC66CD">
        <w:t xml:space="preserve"> (2020, 2021 dhe 2022)</w:t>
      </w:r>
      <w:r w:rsidR="00C52483" w:rsidRPr="00DC66CD">
        <w:t>;</w:t>
      </w:r>
    </w:p>
    <w:p w14:paraId="3CB9CC8C" w14:textId="62518EC3" w:rsidR="006F605B" w:rsidRPr="00DC66CD" w:rsidRDefault="008A1C33" w:rsidP="008A1C33">
      <w:pPr>
        <w:pStyle w:val="TEKSTIIII"/>
      </w:pPr>
      <w:r w:rsidRPr="00DC66CD">
        <w:t>-</w:t>
      </w:r>
      <w:r w:rsidR="00C52483" w:rsidRPr="00DC66CD">
        <w:t xml:space="preserve"> </w:t>
      </w:r>
      <w:r w:rsidR="006F605B" w:rsidRPr="00DC66CD">
        <w:t xml:space="preserve">242,915 EUR për integrimin në LIS të 50,000 ha tokë bujqësore dhe </w:t>
      </w:r>
      <w:r w:rsidR="00C52483" w:rsidRPr="00DC66CD">
        <w:t>digjital</w:t>
      </w:r>
      <w:r w:rsidR="006F605B" w:rsidRPr="00DC66CD">
        <w:t>izimin e regjistrave të tokave bujqësore (2020)</w:t>
      </w:r>
      <w:r w:rsidR="00C52483" w:rsidRPr="00DC66CD">
        <w:t>;</w:t>
      </w:r>
    </w:p>
    <w:p w14:paraId="3EE8E383" w14:textId="4D12B520" w:rsidR="006F605B" w:rsidRPr="00DC66CD" w:rsidRDefault="008A1C33" w:rsidP="008A1C33">
      <w:pPr>
        <w:pStyle w:val="TEKSTIIII"/>
      </w:pPr>
      <w:r w:rsidRPr="00DC66CD">
        <w:t>-</w:t>
      </w:r>
      <w:r w:rsidR="00C52483" w:rsidRPr="00DC66CD">
        <w:t xml:space="preserve"> </w:t>
      </w:r>
      <w:r w:rsidR="006F605B" w:rsidRPr="00DC66CD">
        <w:t>161,943 EUR për përfundimin e laboratorit GIS në QTTB Fushë-Krujë (2020)</w:t>
      </w:r>
      <w:r w:rsidR="00C52483" w:rsidRPr="00DC66CD">
        <w:t>;</w:t>
      </w:r>
    </w:p>
    <w:p w14:paraId="076CEB77" w14:textId="15FC1EB7" w:rsidR="006F605B" w:rsidRPr="00DC66CD" w:rsidRDefault="008A1C33" w:rsidP="008A1C33">
      <w:pPr>
        <w:pStyle w:val="TEKSTIIII"/>
      </w:pPr>
      <w:r w:rsidRPr="00DC66CD">
        <w:t>-</w:t>
      </w:r>
      <w:r w:rsidR="00C52483" w:rsidRPr="00DC66CD">
        <w:t xml:space="preserve"> </w:t>
      </w:r>
      <w:r w:rsidR="006F605B" w:rsidRPr="00DC66CD">
        <w:t xml:space="preserve">251,012 EUR për integrimin në LIS të 60,000 ha tokë bujqësore dhe </w:t>
      </w:r>
      <w:r w:rsidR="00C52483" w:rsidRPr="00DC66CD">
        <w:t>digjital</w:t>
      </w:r>
      <w:r w:rsidR="006F605B" w:rsidRPr="00DC66CD">
        <w:t>izimin e regjistrave të tokave bujqësore (2021)</w:t>
      </w:r>
      <w:r w:rsidR="00C52483" w:rsidRPr="00DC66CD">
        <w:t>;</w:t>
      </w:r>
    </w:p>
    <w:p w14:paraId="7891E3A8" w14:textId="38272F42" w:rsidR="006F605B" w:rsidRPr="00DC66CD" w:rsidRDefault="008A1C33" w:rsidP="008A1C33">
      <w:pPr>
        <w:pStyle w:val="TEKSTIIII"/>
      </w:pPr>
      <w:r w:rsidRPr="00DC66CD">
        <w:t>-</w:t>
      </w:r>
      <w:r w:rsidR="00C52483" w:rsidRPr="00DC66CD">
        <w:t xml:space="preserve"> </w:t>
      </w:r>
      <w:r w:rsidR="006F605B" w:rsidRPr="00DC66CD">
        <w:t xml:space="preserve">255.061 EUR për integrimin në LIS të 70,000 ha tokë bujqësore dhe </w:t>
      </w:r>
      <w:r w:rsidR="00C52483" w:rsidRPr="00DC66CD">
        <w:t>digjital</w:t>
      </w:r>
      <w:r w:rsidR="006F605B" w:rsidRPr="00DC66CD">
        <w:t>izimin e regjistrave të tokave bujqësore (2022).</w:t>
      </w:r>
    </w:p>
    <w:p w14:paraId="5EA4C4E4" w14:textId="202D84CA" w:rsidR="006F605B" w:rsidRPr="00DC66CD" w:rsidRDefault="008A1C33" w:rsidP="008A1C3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6. </w:t>
      </w:r>
      <w:r w:rsidR="006F605B" w:rsidRPr="00DC66CD">
        <w:rPr>
          <w:rFonts w:ascii="Garamond" w:hAnsi="Garamond"/>
          <w:color w:val="000000" w:themeColor="text1"/>
          <w:sz w:val="24"/>
          <w:szCs w:val="24"/>
        </w:rPr>
        <w:t>Ndikimi i pritshëm në rezultatet sociale, si</w:t>
      </w:r>
      <w:r w:rsidR="00C52483" w:rsidRPr="00DC66CD">
        <w:rPr>
          <w:rFonts w:ascii="Garamond" w:hAnsi="Garamond"/>
          <w:color w:val="000000" w:themeColor="text1"/>
          <w:sz w:val="24"/>
          <w:szCs w:val="24"/>
        </w:rPr>
        <w:t>:</w:t>
      </w:r>
      <w:r w:rsidR="006F605B" w:rsidRPr="00DC66CD">
        <w:rPr>
          <w:rFonts w:ascii="Garamond" w:hAnsi="Garamond"/>
          <w:color w:val="000000" w:themeColor="text1"/>
          <w:sz w:val="24"/>
          <w:szCs w:val="24"/>
        </w:rPr>
        <w:t xml:space="preserve"> punësimi, ulja e varfërisë, barazia dhe gjinia</w:t>
      </w:r>
    </w:p>
    <w:p w14:paraId="72223F2F" w14:textId="12BAB59C"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Pritet që reforma e tokës dhe avantazhet ekonomike që ajo sjell, të krijojnë vende të reja pune dhe të përmirësojnë cilësinë e jetës në zonat rurale. Gratë do të kenë të drejta të barabarta për të marrë pjesë në aktivitetet e konsolidimit të tokës. Projektet e konsolidimit të tokës do të mundësojnë, </w:t>
      </w:r>
      <w:r w:rsidR="00C52483" w:rsidRPr="00DC66CD">
        <w:rPr>
          <w:rFonts w:ascii="Garamond" w:hAnsi="Garamond"/>
          <w:sz w:val="24"/>
          <w:szCs w:val="24"/>
        </w:rPr>
        <w:t xml:space="preserve">do të </w:t>
      </w:r>
      <w:r w:rsidRPr="00DC66CD">
        <w:rPr>
          <w:rFonts w:ascii="Garamond" w:hAnsi="Garamond"/>
          <w:sz w:val="24"/>
          <w:szCs w:val="24"/>
        </w:rPr>
        <w:t xml:space="preserve">mbrojnë dhe </w:t>
      </w:r>
      <w:r w:rsidR="00C52483" w:rsidRPr="00DC66CD">
        <w:rPr>
          <w:rFonts w:ascii="Garamond" w:hAnsi="Garamond"/>
          <w:sz w:val="24"/>
          <w:szCs w:val="24"/>
        </w:rPr>
        <w:t xml:space="preserve">do të </w:t>
      </w:r>
      <w:r w:rsidRPr="00DC66CD">
        <w:rPr>
          <w:rFonts w:ascii="Garamond" w:hAnsi="Garamond"/>
          <w:sz w:val="24"/>
          <w:szCs w:val="24"/>
        </w:rPr>
        <w:t>respektojnë të drejtat pronësore të të gjith</w:t>
      </w:r>
      <w:r w:rsidR="00C52483" w:rsidRPr="00DC66CD">
        <w:rPr>
          <w:rFonts w:ascii="Garamond" w:hAnsi="Garamond"/>
          <w:sz w:val="24"/>
          <w:szCs w:val="24"/>
        </w:rPr>
        <w:t>ë</w:t>
      </w:r>
      <w:r w:rsidRPr="00DC66CD">
        <w:rPr>
          <w:rFonts w:ascii="Garamond" w:hAnsi="Garamond"/>
          <w:sz w:val="24"/>
          <w:szCs w:val="24"/>
        </w:rPr>
        <w:t xml:space="preserve"> grave, burrave dhe të rinjve.</w:t>
      </w:r>
    </w:p>
    <w:p w14:paraId="4F0C46B3" w14:textId="5FDB9AA7" w:rsidR="006F605B" w:rsidRPr="00DC66CD" w:rsidRDefault="008A1C33" w:rsidP="008A1C3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7. </w:t>
      </w:r>
      <w:r w:rsidR="006F605B" w:rsidRPr="00DC66CD">
        <w:rPr>
          <w:rFonts w:ascii="Garamond" w:hAnsi="Garamond"/>
          <w:color w:val="000000" w:themeColor="text1"/>
          <w:sz w:val="24"/>
          <w:szCs w:val="24"/>
        </w:rPr>
        <w:t>Ndikimi i pritshëm në mjedis</w:t>
      </w:r>
    </w:p>
    <w:p w14:paraId="25011074"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Masa e reformës nuk pritet të ketë ndikim në mjedis. Konsolidimi i tokës shoqërohet me procese që çojnë në një sistem ekologjik të suksesshëm, që synojnë ruajtjen e natyrës dhe përdorimit të mirë të tokës bujqësore, në mënyrë të organizuar, dhe sipas praktikave të duhura bujqësore, sipas projekteve të konsolidimit të tokës bujqësore, ruajtjen e tokës dhe veçoritë e saj nga veprimtaritë industriale, tregtare.</w:t>
      </w:r>
    </w:p>
    <w:p w14:paraId="35EF0C61" w14:textId="5FFE8C35" w:rsidR="006F605B" w:rsidRPr="00DC66CD" w:rsidRDefault="008A1C33" w:rsidP="008A1C3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8. </w:t>
      </w:r>
      <w:r w:rsidR="006F605B" w:rsidRPr="00DC66CD">
        <w:rPr>
          <w:rFonts w:ascii="Garamond" w:hAnsi="Garamond"/>
          <w:color w:val="000000" w:themeColor="text1"/>
          <w:sz w:val="24"/>
          <w:szCs w:val="24"/>
        </w:rPr>
        <w:t>Rreziqet e mundshme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1648"/>
        <w:gridCol w:w="3952"/>
      </w:tblGrid>
      <w:tr w:rsidR="006F605B" w:rsidRPr="00DC66CD" w14:paraId="37D4B275" w14:textId="77777777" w:rsidTr="00C52483">
        <w:trPr>
          <w:jc w:val="center"/>
        </w:trPr>
        <w:tc>
          <w:tcPr>
            <w:tcW w:w="3680" w:type="dxa"/>
            <w:vAlign w:val="center"/>
          </w:tcPr>
          <w:p w14:paraId="2EBAA5C1" w14:textId="77777777" w:rsidR="006F605B" w:rsidRPr="00DC66CD" w:rsidRDefault="006F605B" w:rsidP="00C52483">
            <w:pPr>
              <w:snapToGrid w:val="0"/>
              <w:spacing w:after="0" w:line="240" w:lineRule="auto"/>
              <w:jc w:val="center"/>
              <w:rPr>
                <w:rFonts w:ascii="Garamond" w:hAnsi="Garamond"/>
                <w:b/>
              </w:rPr>
            </w:pPr>
            <w:r w:rsidRPr="00DC66CD">
              <w:rPr>
                <w:rFonts w:ascii="Garamond" w:hAnsi="Garamond"/>
                <w:b/>
              </w:rPr>
              <w:t>Rreziku</w:t>
            </w:r>
          </w:p>
        </w:tc>
        <w:tc>
          <w:tcPr>
            <w:tcW w:w="1648" w:type="dxa"/>
            <w:vAlign w:val="center"/>
          </w:tcPr>
          <w:p w14:paraId="1FD5E5EF" w14:textId="77777777" w:rsidR="00C52483" w:rsidRPr="00DC66CD" w:rsidRDefault="006F605B" w:rsidP="00C52483">
            <w:pPr>
              <w:snapToGrid w:val="0"/>
              <w:spacing w:after="0" w:line="240" w:lineRule="auto"/>
              <w:jc w:val="center"/>
              <w:rPr>
                <w:rFonts w:ascii="Garamond" w:hAnsi="Garamond"/>
                <w:b/>
              </w:rPr>
            </w:pPr>
            <w:r w:rsidRPr="00DC66CD">
              <w:rPr>
                <w:rFonts w:ascii="Garamond" w:hAnsi="Garamond"/>
                <w:b/>
              </w:rPr>
              <w:t xml:space="preserve">Probabiliteti </w:t>
            </w:r>
          </w:p>
          <w:p w14:paraId="49759FA6" w14:textId="6BE2C781" w:rsidR="006F605B" w:rsidRPr="00DC66CD" w:rsidRDefault="006F605B" w:rsidP="00C52483">
            <w:pPr>
              <w:snapToGrid w:val="0"/>
              <w:spacing w:after="0" w:line="240" w:lineRule="auto"/>
              <w:jc w:val="center"/>
              <w:rPr>
                <w:rFonts w:ascii="Garamond" w:hAnsi="Garamond"/>
                <w:b/>
              </w:rPr>
            </w:pPr>
            <w:r w:rsidRPr="00DC66CD">
              <w:rPr>
                <w:rFonts w:ascii="Garamond" w:hAnsi="Garamond"/>
                <w:b/>
              </w:rPr>
              <w:t>(</w:t>
            </w:r>
            <w:r w:rsidR="002C582E" w:rsidRPr="00DC66CD">
              <w:rPr>
                <w:rFonts w:ascii="Garamond" w:hAnsi="Garamond"/>
                <w:b/>
              </w:rPr>
              <w:t xml:space="preserve">i </w:t>
            </w:r>
            <w:r w:rsidRPr="00DC66CD">
              <w:rPr>
                <w:rFonts w:ascii="Garamond" w:hAnsi="Garamond"/>
                <w:b/>
              </w:rPr>
              <w:t xml:space="preserve">ulët, </w:t>
            </w:r>
            <w:r w:rsidR="002C582E" w:rsidRPr="00DC66CD">
              <w:rPr>
                <w:rFonts w:ascii="Garamond" w:hAnsi="Garamond"/>
                <w:b/>
              </w:rPr>
              <w:t xml:space="preserve">i </w:t>
            </w:r>
            <w:r w:rsidRPr="00DC66CD">
              <w:rPr>
                <w:rFonts w:ascii="Garamond" w:hAnsi="Garamond"/>
                <w:b/>
              </w:rPr>
              <w:t>lartë)</w:t>
            </w:r>
          </w:p>
        </w:tc>
        <w:tc>
          <w:tcPr>
            <w:tcW w:w="3952" w:type="dxa"/>
            <w:vAlign w:val="center"/>
          </w:tcPr>
          <w:p w14:paraId="407A8888" w14:textId="77777777" w:rsidR="006F605B" w:rsidRPr="00DC66CD" w:rsidRDefault="006F605B" w:rsidP="00C52483">
            <w:pPr>
              <w:snapToGrid w:val="0"/>
              <w:spacing w:after="0" w:line="240" w:lineRule="auto"/>
              <w:jc w:val="center"/>
              <w:rPr>
                <w:rFonts w:ascii="Garamond" w:hAnsi="Garamond"/>
                <w:b/>
              </w:rPr>
            </w:pPr>
            <w:r w:rsidRPr="00DC66CD">
              <w:rPr>
                <w:rFonts w:ascii="Garamond" w:hAnsi="Garamond"/>
                <w:b/>
              </w:rPr>
              <w:t>Veprimi i planifikuar për uljen e rrezikut</w:t>
            </w:r>
          </w:p>
        </w:tc>
      </w:tr>
      <w:tr w:rsidR="006F605B" w:rsidRPr="00DC66CD" w14:paraId="7386B609" w14:textId="77777777" w:rsidTr="00C52483">
        <w:trPr>
          <w:jc w:val="center"/>
        </w:trPr>
        <w:tc>
          <w:tcPr>
            <w:tcW w:w="3680" w:type="dxa"/>
          </w:tcPr>
          <w:p w14:paraId="75CEFF4D" w14:textId="77777777" w:rsidR="006F605B" w:rsidRPr="00DC66CD" w:rsidRDefault="006F605B" w:rsidP="008A1C33">
            <w:pPr>
              <w:snapToGrid w:val="0"/>
              <w:spacing w:after="0" w:line="240" w:lineRule="auto"/>
              <w:rPr>
                <w:rFonts w:ascii="Garamond" w:hAnsi="Garamond"/>
              </w:rPr>
            </w:pPr>
            <w:r w:rsidRPr="00DC66CD">
              <w:rPr>
                <w:rFonts w:ascii="Garamond" w:hAnsi="Garamond"/>
              </w:rPr>
              <w:t>Burimet e pamjaftueshme financiare për të përfunduar procesin</w:t>
            </w:r>
          </w:p>
        </w:tc>
        <w:tc>
          <w:tcPr>
            <w:tcW w:w="1648" w:type="dxa"/>
          </w:tcPr>
          <w:p w14:paraId="21253425" w14:textId="77777777" w:rsidR="006F605B" w:rsidRPr="00DC66CD" w:rsidRDefault="006F605B" w:rsidP="008A1C33">
            <w:pPr>
              <w:snapToGrid w:val="0"/>
              <w:spacing w:after="0" w:line="240" w:lineRule="auto"/>
              <w:rPr>
                <w:rFonts w:ascii="Garamond" w:hAnsi="Garamond"/>
              </w:rPr>
            </w:pPr>
            <w:r w:rsidRPr="00DC66CD">
              <w:rPr>
                <w:rFonts w:ascii="Garamond" w:hAnsi="Garamond"/>
              </w:rPr>
              <w:t>Mesatar</w:t>
            </w:r>
          </w:p>
        </w:tc>
        <w:tc>
          <w:tcPr>
            <w:tcW w:w="3952" w:type="dxa"/>
          </w:tcPr>
          <w:p w14:paraId="2B4E3CFE" w14:textId="77777777" w:rsidR="006F605B" w:rsidRPr="00DC66CD" w:rsidRDefault="006F605B" w:rsidP="008A1C33">
            <w:pPr>
              <w:snapToGrid w:val="0"/>
              <w:spacing w:after="0" w:line="240" w:lineRule="auto"/>
              <w:rPr>
                <w:rFonts w:ascii="Garamond" w:hAnsi="Garamond"/>
              </w:rPr>
            </w:pPr>
          </w:p>
        </w:tc>
      </w:tr>
      <w:tr w:rsidR="006F605B" w:rsidRPr="00DC66CD" w14:paraId="165A39E6" w14:textId="77777777" w:rsidTr="00C52483">
        <w:trPr>
          <w:jc w:val="center"/>
        </w:trPr>
        <w:tc>
          <w:tcPr>
            <w:tcW w:w="3680" w:type="dxa"/>
          </w:tcPr>
          <w:p w14:paraId="12026857" w14:textId="77777777" w:rsidR="006F605B" w:rsidRPr="00DC66CD" w:rsidRDefault="006F605B" w:rsidP="008A1C33">
            <w:pPr>
              <w:snapToGrid w:val="0"/>
              <w:spacing w:after="0" w:line="240" w:lineRule="auto"/>
              <w:rPr>
                <w:rFonts w:ascii="Garamond" w:hAnsi="Garamond"/>
              </w:rPr>
            </w:pPr>
            <w:r w:rsidRPr="00DC66CD">
              <w:rPr>
                <w:rFonts w:ascii="Garamond" w:hAnsi="Garamond"/>
              </w:rPr>
              <w:t>Mosmarrëveshjet mbi të drejtat e pronës</w:t>
            </w:r>
          </w:p>
        </w:tc>
        <w:tc>
          <w:tcPr>
            <w:tcW w:w="1648" w:type="dxa"/>
          </w:tcPr>
          <w:p w14:paraId="016988D5" w14:textId="77777777" w:rsidR="006F605B" w:rsidRPr="00DC66CD" w:rsidRDefault="006F605B" w:rsidP="008A1C33">
            <w:pPr>
              <w:snapToGrid w:val="0"/>
              <w:spacing w:after="0" w:line="240" w:lineRule="auto"/>
              <w:rPr>
                <w:rFonts w:ascii="Garamond" w:hAnsi="Garamond"/>
              </w:rPr>
            </w:pPr>
          </w:p>
        </w:tc>
        <w:tc>
          <w:tcPr>
            <w:tcW w:w="3952" w:type="dxa"/>
          </w:tcPr>
          <w:p w14:paraId="48B301D6" w14:textId="77777777" w:rsidR="006F605B" w:rsidRPr="00DC66CD" w:rsidRDefault="006F605B" w:rsidP="008A1C33">
            <w:pPr>
              <w:snapToGrid w:val="0"/>
              <w:spacing w:after="0" w:line="240" w:lineRule="auto"/>
              <w:rPr>
                <w:rFonts w:ascii="Garamond" w:hAnsi="Garamond"/>
              </w:rPr>
            </w:pPr>
          </w:p>
        </w:tc>
      </w:tr>
      <w:tr w:rsidR="006F605B" w:rsidRPr="00DC66CD" w14:paraId="6DD48E0A" w14:textId="77777777" w:rsidTr="00C52483">
        <w:trPr>
          <w:jc w:val="center"/>
        </w:trPr>
        <w:tc>
          <w:tcPr>
            <w:tcW w:w="3680" w:type="dxa"/>
          </w:tcPr>
          <w:p w14:paraId="1E6BF29D" w14:textId="77777777" w:rsidR="006F605B" w:rsidRPr="00DC66CD" w:rsidRDefault="006F605B" w:rsidP="008A1C33">
            <w:pPr>
              <w:snapToGrid w:val="0"/>
              <w:spacing w:after="0" w:line="240" w:lineRule="auto"/>
              <w:rPr>
                <w:rFonts w:ascii="Garamond" w:hAnsi="Garamond"/>
              </w:rPr>
            </w:pPr>
            <w:r w:rsidRPr="00DC66CD">
              <w:rPr>
                <w:rFonts w:ascii="Garamond" w:hAnsi="Garamond"/>
              </w:rPr>
              <w:t>Skepticizëm midis pronarëve të tokave dhe komuniteteve rurale</w:t>
            </w:r>
          </w:p>
        </w:tc>
        <w:tc>
          <w:tcPr>
            <w:tcW w:w="1648" w:type="dxa"/>
          </w:tcPr>
          <w:p w14:paraId="2E474482" w14:textId="7B912831" w:rsidR="006F605B" w:rsidRPr="00DC66CD" w:rsidRDefault="006F605B" w:rsidP="002C582E">
            <w:pPr>
              <w:snapToGrid w:val="0"/>
              <w:spacing w:after="0" w:line="240" w:lineRule="auto"/>
              <w:rPr>
                <w:rFonts w:ascii="Garamond" w:hAnsi="Garamond"/>
              </w:rPr>
            </w:pPr>
            <w:r w:rsidRPr="00DC66CD">
              <w:rPr>
                <w:rFonts w:ascii="Garamond" w:hAnsi="Garamond"/>
              </w:rPr>
              <w:t>I ul</w:t>
            </w:r>
            <w:r w:rsidR="002C582E" w:rsidRPr="00DC66CD">
              <w:rPr>
                <w:rFonts w:ascii="Garamond" w:hAnsi="Garamond"/>
              </w:rPr>
              <w:t>ë</w:t>
            </w:r>
            <w:r w:rsidRPr="00DC66CD">
              <w:rPr>
                <w:rFonts w:ascii="Garamond" w:hAnsi="Garamond"/>
              </w:rPr>
              <w:t>t</w:t>
            </w:r>
          </w:p>
        </w:tc>
        <w:tc>
          <w:tcPr>
            <w:tcW w:w="3952" w:type="dxa"/>
          </w:tcPr>
          <w:p w14:paraId="7F1BF009" w14:textId="77777777" w:rsidR="006F605B" w:rsidRPr="00DC66CD" w:rsidRDefault="006F605B" w:rsidP="008A1C33">
            <w:pPr>
              <w:snapToGrid w:val="0"/>
              <w:spacing w:after="0" w:line="240" w:lineRule="auto"/>
              <w:rPr>
                <w:rFonts w:ascii="Garamond" w:hAnsi="Garamond"/>
              </w:rPr>
            </w:pPr>
            <w:r w:rsidRPr="00DC66CD">
              <w:rPr>
                <w:rFonts w:ascii="Garamond" w:hAnsi="Garamond"/>
              </w:rPr>
              <w:t>Fushata ndërgjegjësimi mbi rëndësinë dhe përfitimet e suksesit të reformës</w:t>
            </w:r>
          </w:p>
        </w:tc>
      </w:tr>
    </w:tbl>
    <w:p w14:paraId="0E5A10BE" w14:textId="77777777" w:rsidR="006F605B" w:rsidRPr="00DC66CD" w:rsidRDefault="006F605B" w:rsidP="006F605B">
      <w:pPr>
        <w:snapToGrid w:val="0"/>
        <w:spacing w:after="0" w:line="240" w:lineRule="auto"/>
        <w:ind w:firstLine="284"/>
        <w:rPr>
          <w:rFonts w:ascii="Garamond" w:hAnsi="Garamond"/>
          <w:sz w:val="24"/>
          <w:szCs w:val="24"/>
        </w:rPr>
      </w:pPr>
    </w:p>
    <w:p w14:paraId="4AA76F34" w14:textId="33E40E50" w:rsidR="006F605B" w:rsidRPr="00DC66CD" w:rsidRDefault="006F605B" w:rsidP="006F605B">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05:</w:t>
      </w:r>
      <w:r w:rsidRPr="00DC66CD">
        <w:rPr>
          <w:rFonts w:ascii="Garamond" w:eastAsia="Calibri" w:hAnsi="Garamond"/>
          <w:i/>
          <w:color w:val="auto"/>
          <w:sz w:val="24"/>
          <w:szCs w:val="24"/>
        </w:rPr>
        <w:t xml:space="preserve"> Reforma e </w:t>
      </w:r>
      <w:r w:rsidR="00C52483" w:rsidRPr="00DC66CD">
        <w:rPr>
          <w:rFonts w:ascii="Garamond" w:eastAsia="Calibri" w:hAnsi="Garamond"/>
          <w:i/>
          <w:color w:val="auto"/>
          <w:sz w:val="24"/>
          <w:szCs w:val="24"/>
        </w:rPr>
        <w:t>sektorit të ujësjellësit dhe kanalizimeve</w:t>
      </w:r>
    </w:p>
    <w:p w14:paraId="1461F4E3" w14:textId="7860F02E" w:rsidR="006F605B" w:rsidRPr="00DC66CD" w:rsidRDefault="008A1C33" w:rsidP="008A1C33">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 </w:t>
      </w:r>
      <w:r w:rsidR="006F605B" w:rsidRPr="00DC66CD">
        <w:rPr>
          <w:rFonts w:ascii="Garamond" w:hAnsi="Garamond"/>
          <w:color w:val="auto"/>
          <w:sz w:val="24"/>
          <w:szCs w:val="24"/>
        </w:rPr>
        <w:t>Përshkrimi</w:t>
      </w:r>
    </w:p>
    <w:p w14:paraId="0CFC5786" w14:textId="39C0D0A9"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Për të adresuar sfidat në sektorin e ujit, QSH</w:t>
      </w:r>
      <w:r w:rsidR="003E5DD0" w:rsidRPr="00DC66CD">
        <w:rPr>
          <w:rFonts w:ascii="Garamond" w:hAnsi="Garamond"/>
          <w:sz w:val="24"/>
          <w:szCs w:val="24"/>
        </w:rPr>
        <w:t>-ja</w:t>
      </w:r>
      <w:r w:rsidRPr="00DC66CD">
        <w:rPr>
          <w:rFonts w:ascii="Garamond" w:hAnsi="Garamond"/>
          <w:sz w:val="24"/>
          <w:szCs w:val="24"/>
        </w:rPr>
        <w:t xml:space="preserve"> po reformon dhe sektorin e ujit dhe ujërave të zeza. Që nga fillimi i reformës, janë nënshkruar 39,000 kontrata të reja dhe janë instaluar 80,000 metra të rinj dhe 22 milion</w:t>
      </w:r>
      <w:r w:rsidR="00310FDE" w:rsidRPr="00DC66CD">
        <w:rPr>
          <w:rFonts w:ascii="Garamond" w:hAnsi="Garamond"/>
          <w:sz w:val="24"/>
          <w:szCs w:val="24"/>
        </w:rPr>
        <w:t>ë</w:t>
      </w:r>
      <w:r w:rsidRPr="00DC66CD">
        <w:rPr>
          <w:rFonts w:ascii="Garamond" w:hAnsi="Garamond"/>
          <w:sz w:val="24"/>
          <w:szCs w:val="24"/>
        </w:rPr>
        <w:t xml:space="preserve"> </w:t>
      </w:r>
      <w:r w:rsidR="00310FDE" w:rsidRPr="00DC66CD">
        <w:rPr>
          <w:rFonts w:ascii="Garamond" w:hAnsi="Garamond"/>
          <w:sz w:val="24"/>
          <w:szCs w:val="24"/>
        </w:rPr>
        <w:t>e</w:t>
      </w:r>
      <w:r w:rsidRPr="00DC66CD">
        <w:rPr>
          <w:rFonts w:ascii="Garamond" w:hAnsi="Garamond"/>
          <w:sz w:val="24"/>
          <w:szCs w:val="24"/>
        </w:rPr>
        <w:t>uro të ardhura të krijuara.</w:t>
      </w:r>
    </w:p>
    <w:p w14:paraId="47B665DA" w14:textId="0CA42DEC"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Masa e reformës në këtë sektor përfshin shërbimin e furnizimit me ujë dhe trajtimin dhe largimin e ujërave të ndotura urbane dhe do të bazohet në krijimin e tr</w:t>
      </w:r>
      <w:r w:rsidR="00276B1A" w:rsidRPr="00DC66CD">
        <w:rPr>
          <w:rFonts w:ascii="Garamond" w:hAnsi="Garamond"/>
          <w:sz w:val="24"/>
          <w:szCs w:val="24"/>
        </w:rPr>
        <w:t>i</w:t>
      </w:r>
      <w:r w:rsidRPr="00DC66CD">
        <w:rPr>
          <w:rFonts w:ascii="Garamond" w:hAnsi="Garamond"/>
          <w:sz w:val="24"/>
          <w:szCs w:val="24"/>
        </w:rPr>
        <w:t xml:space="preserve"> shtyllave kryesore</w:t>
      </w:r>
      <w:r w:rsidR="003E5DD0" w:rsidRPr="00DC66CD">
        <w:rPr>
          <w:rFonts w:ascii="Garamond" w:hAnsi="Garamond"/>
          <w:sz w:val="24"/>
          <w:szCs w:val="24"/>
        </w:rPr>
        <w:t>:</w:t>
      </w:r>
      <w:r w:rsidRPr="00DC66CD">
        <w:rPr>
          <w:rFonts w:ascii="Garamond" w:hAnsi="Garamond"/>
          <w:sz w:val="24"/>
          <w:szCs w:val="24"/>
        </w:rPr>
        <w:t xml:space="preserve"> </w:t>
      </w:r>
      <w:r w:rsidR="003E5DD0" w:rsidRPr="00DC66CD">
        <w:rPr>
          <w:rFonts w:ascii="Garamond" w:hAnsi="Garamond"/>
          <w:sz w:val="24"/>
          <w:szCs w:val="24"/>
        </w:rPr>
        <w:t>qeverisje të mirë, investime efektive dhe veprim kundër informalitetit.</w:t>
      </w:r>
    </w:p>
    <w:p w14:paraId="3B6E428C" w14:textId="69E6786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Pasqyra e sektorit është e orientuar</w:t>
      </w:r>
      <w:r w:rsidR="003E5DD0" w:rsidRPr="00DC66CD">
        <w:rPr>
          <w:rFonts w:ascii="Garamond" w:hAnsi="Garamond"/>
          <w:sz w:val="24"/>
          <w:szCs w:val="24"/>
        </w:rPr>
        <w:t>,</w:t>
      </w:r>
      <w:r w:rsidRPr="00DC66CD">
        <w:rPr>
          <w:rFonts w:ascii="Garamond" w:hAnsi="Garamond"/>
          <w:sz w:val="24"/>
          <w:szCs w:val="24"/>
        </w:rPr>
        <w:t xml:space="preserve"> në: i</w:t>
      </w:r>
      <w:r w:rsidR="003E5DD0" w:rsidRPr="00DC66CD">
        <w:rPr>
          <w:rFonts w:ascii="Garamond" w:hAnsi="Garamond"/>
          <w:sz w:val="24"/>
          <w:szCs w:val="24"/>
        </w:rPr>
        <w:t>.</w:t>
      </w:r>
      <w:r w:rsidRPr="00DC66CD">
        <w:rPr>
          <w:rFonts w:ascii="Garamond" w:hAnsi="Garamond"/>
          <w:sz w:val="24"/>
          <w:szCs w:val="24"/>
        </w:rPr>
        <w:t xml:space="preserve"> </w:t>
      </w:r>
      <w:r w:rsidR="003E5DD0" w:rsidRPr="00DC66CD">
        <w:rPr>
          <w:rFonts w:ascii="Garamond" w:hAnsi="Garamond"/>
          <w:sz w:val="24"/>
          <w:szCs w:val="24"/>
        </w:rPr>
        <w:t>r</w:t>
      </w:r>
      <w:r w:rsidRPr="00DC66CD">
        <w:rPr>
          <w:rFonts w:ascii="Garamond" w:hAnsi="Garamond"/>
          <w:sz w:val="24"/>
          <w:szCs w:val="24"/>
        </w:rPr>
        <w:t>eduktimin e ujit pa të ardhura me 20%; ii</w:t>
      </w:r>
      <w:r w:rsidR="003E5DD0" w:rsidRPr="00DC66CD">
        <w:rPr>
          <w:rFonts w:ascii="Garamond" w:hAnsi="Garamond"/>
          <w:sz w:val="24"/>
          <w:szCs w:val="24"/>
        </w:rPr>
        <w:t>.</w:t>
      </w:r>
      <w:r w:rsidRPr="00DC66CD">
        <w:rPr>
          <w:rFonts w:ascii="Garamond" w:hAnsi="Garamond"/>
          <w:sz w:val="24"/>
          <w:szCs w:val="24"/>
        </w:rPr>
        <w:t xml:space="preserve"> </w:t>
      </w:r>
      <w:r w:rsidR="003E5DD0" w:rsidRPr="00DC66CD">
        <w:rPr>
          <w:rFonts w:ascii="Garamond" w:hAnsi="Garamond"/>
          <w:sz w:val="24"/>
          <w:szCs w:val="24"/>
        </w:rPr>
        <w:t>s</w:t>
      </w:r>
      <w:r w:rsidRPr="00DC66CD">
        <w:rPr>
          <w:rFonts w:ascii="Garamond" w:hAnsi="Garamond"/>
          <w:sz w:val="24"/>
          <w:szCs w:val="24"/>
        </w:rPr>
        <w:t>iguroni qasje 24/7 në ujë në zonat bregdetare; iii</w:t>
      </w:r>
      <w:r w:rsidR="003E5DD0" w:rsidRPr="00DC66CD">
        <w:rPr>
          <w:rFonts w:ascii="Garamond" w:hAnsi="Garamond"/>
          <w:sz w:val="24"/>
          <w:szCs w:val="24"/>
        </w:rPr>
        <w:t>.</w:t>
      </w:r>
      <w:r w:rsidRPr="00DC66CD">
        <w:rPr>
          <w:rFonts w:ascii="Garamond" w:hAnsi="Garamond"/>
          <w:sz w:val="24"/>
          <w:szCs w:val="24"/>
        </w:rPr>
        <w:t xml:space="preserve"> </w:t>
      </w:r>
      <w:r w:rsidR="003E5DD0" w:rsidRPr="00DC66CD">
        <w:rPr>
          <w:rFonts w:ascii="Garamond" w:hAnsi="Garamond"/>
          <w:sz w:val="24"/>
          <w:szCs w:val="24"/>
        </w:rPr>
        <w:t>pë</w:t>
      </w:r>
      <w:r w:rsidRPr="00DC66CD">
        <w:rPr>
          <w:rFonts w:ascii="Garamond" w:hAnsi="Garamond"/>
          <w:sz w:val="24"/>
          <w:szCs w:val="24"/>
        </w:rPr>
        <w:t>rmirësimi i ujit me cilësi; iv</w:t>
      </w:r>
      <w:r w:rsidR="003E5DD0" w:rsidRPr="00DC66CD">
        <w:rPr>
          <w:rFonts w:ascii="Garamond" w:hAnsi="Garamond"/>
          <w:sz w:val="24"/>
          <w:szCs w:val="24"/>
        </w:rPr>
        <w:t>.</w:t>
      </w:r>
      <w:r w:rsidRPr="00DC66CD">
        <w:rPr>
          <w:rFonts w:ascii="Garamond" w:hAnsi="Garamond"/>
          <w:sz w:val="24"/>
          <w:szCs w:val="24"/>
        </w:rPr>
        <w:t xml:space="preserve"> </w:t>
      </w:r>
      <w:r w:rsidR="003E5DD0" w:rsidRPr="00DC66CD">
        <w:rPr>
          <w:rFonts w:ascii="Garamond" w:hAnsi="Garamond"/>
          <w:sz w:val="24"/>
          <w:szCs w:val="24"/>
        </w:rPr>
        <w:t>si</w:t>
      </w:r>
      <w:r w:rsidRPr="00DC66CD">
        <w:rPr>
          <w:rFonts w:ascii="Garamond" w:hAnsi="Garamond"/>
          <w:sz w:val="24"/>
          <w:szCs w:val="24"/>
        </w:rPr>
        <w:t>nteza dhe hapat e ardhshëm. Fokusi është:</w:t>
      </w:r>
    </w:p>
    <w:p w14:paraId="0FFBD359" w14:textId="4874CA6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 </w:t>
      </w:r>
      <w:r w:rsidR="003E5DD0" w:rsidRPr="00DC66CD">
        <w:rPr>
          <w:rFonts w:ascii="Garamond" w:hAnsi="Garamond"/>
          <w:sz w:val="24"/>
          <w:szCs w:val="24"/>
        </w:rPr>
        <w:t>s</w:t>
      </w:r>
      <w:r w:rsidRPr="00DC66CD">
        <w:rPr>
          <w:rFonts w:ascii="Garamond" w:hAnsi="Garamond"/>
          <w:sz w:val="24"/>
          <w:szCs w:val="24"/>
        </w:rPr>
        <w:t xml:space="preserve">igurimi i qeverisjes efikase të sektorit të ujit dhe </w:t>
      </w:r>
      <w:r w:rsidR="003E5DD0" w:rsidRPr="00DC66CD">
        <w:rPr>
          <w:rFonts w:ascii="Garamond" w:hAnsi="Garamond"/>
          <w:sz w:val="24"/>
          <w:szCs w:val="24"/>
        </w:rPr>
        <w:t xml:space="preserve">të </w:t>
      </w:r>
      <w:r w:rsidRPr="00DC66CD">
        <w:rPr>
          <w:rFonts w:ascii="Garamond" w:hAnsi="Garamond"/>
          <w:sz w:val="24"/>
          <w:szCs w:val="24"/>
        </w:rPr>
        <w:t>kanalizimeve;</w:t>
      </w:r>
    </w:p>
    <w:p w14:paraId="4AE7B2AE" w14:textId="2CED29C9"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 </w:t>
      </w:r>
      <w:r w:rsidR="003E5DD0" w:rsidRPr="00DC66CD">
        <w:rPr>
          <w:rFonts w:ascii="Garamond" w:hAnsi="Garamond"/>
          <w:sz w:val="24"/>
          <w:szCs w:val="24"/>
        </w:rPr>
        <w:t>si</w:t>
      </w:r>
      <w:r w:rsidRPr="00DC66CD">
        <w:rPr>
          <w:rFonts w:ascii="Garamond" w:hAnsi="Garamond"/>
          <w:sz w:val="24"/>
          <w:szCs w:val="24"/>
        </w:rPr>
        <w:t xml:space="preserve">guroni qasje universale në ujë të pijshëm dhe </w:t>
      </w:r>
      <w:r w:rsidR="003E5DD0" w:rsidRPr="00DC66CD">
        <w:rPr>
          <w:rFonts w:ascii="Garamond" w:hAnsi="Garamond"/>
          <w:sz w:val="24"/>
          <w:szCs w:val="24"/>
        </w:rPr>
        <w:t xml:space="preserve">në </w:t>
      </w:r>
      <w:r w:rsidRPr="00DC66CD">
        <w:rPr>
          <w:rFonts w:ascii="Garamond" w:hAnsi="Garamond"/>
          <w:sz w:val="24"/>
          <w:szCs w:val="24"/>
        </w:rPr>
        <w:t>kanalizime të sigurta;</w:t>
      </w:r>
    </w:p>
    <w:p w14:paraId="35BEA3A4" w14:textId="04760DA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 </w:t>
      </w:r>
      <w:r w:rsidR="003E5DD0" w:rsidRPr="00DC66CD">
        <w:rPr>
          <w:rFonts w:ascii="Garamond" w:hAnsi="Garamond"/>
          <w:sz w:val="24"/>
          <w:szCs w:val="24"/>
        </w:rPr>
        <w:t>a</w:t>
      </w:r>
      <w:r w:rsidRPr="00DC66CD">
        <w:rPr>
          <w:rFonts w:ascii="Garamond" w:hAnsi="Garamond"/>
          <w:sz w:val="24"/>
          <w:szCs w:val="24"/>
        </w:rPr>
        <w:t>rritja e pajtueshmërisë me ujin paguan për parimin e ujit përmes rikuperimit të plotë të kostos;</w:t>
      </w:r>
    </w:p>
    <w:p w14:paraId="6D9889AA" w14:textId="1E203379"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 </w:t>
      </w:r>
      <w:r w:rsidR="003E5DD0" w:rsidRPr="00DC66CD">
        <w:rPr>
          <w:rFonts w:ascii="Garamond" w:hAnsi="Garamond"/>
          <w:sz w:val="24"/>
          <w:szCs w:val="24"/>
        </w:rPr>
        <w:t>a</w:t>
      </w:r>
      <w:r w:rsidRPr="00DC66CD">
        <w:rPr>
          <w:rFonts w:ascii="Garamond" w:hAnsi="Garamond"/>
          <w:sz w:val="24"/>
          <w:szCs w:val="24"/>
        </w:rPr>
        <w:t>rritja e pajtueshmërisë me parimin e ndotësit paguan;</w:t>
      </w:r>
    </w:p>
    <w:p w14:paraId="0FE63CB7" w14:textId="2168D49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 </w:t>
      </w:r>
      <w:r w:rsidR="003E5DD0" w:rsidRPr="00DC66CD">
        <w:rPr>
          <w:rFonts w:ascii="Garamond" w:hAnsi="Garamond"/>
          <w:sz w:val="24"/>
          <w:szCs w:val="24"/>
        </w:rPr>
        <w:t>o</w:t>
      </w:r>
      <w:r w:rsidRPr="00DC66CD">
        <w:rPr>
          <w:rFonts w:ascii="Garamond" w:hAnsi="Garamond"/>
          <w:sz w:val="24"/>
          <w:szCs w:val="24"/>
        </w:rPr>
        <w:t xml:space="preserve">froni shërbime të furnizimit me ujë dhe </w:t>
      </w:r>
      <w:r w:rsidR="003E5DD0" w:rsidRPr="00DC66CD">
        <w:rPr>
          <w:rFonts w:ascii="Garamond" w:hAnsi="Garamond"/>
          <w:sz w:val="24"/>
          <w:szCs w:val="24"/>
        </w:rPr>
        <w:t xml:space="preserve">me </w:t>
      </w:r>
      <w:r w:rsidRPr="00DC66CD">
        <w:rPr>
          <w:rFonts w:ascii="Garamond" w:hAnsi="Garamond"/>
          <w:sz w:val="24"/>
          <w:szCs w:val="24"/>
        </w:rPr>
        <w:t>kanalizimeve për konsumatorët me një çmim të përballueshëm;</w:t>
      </w:r>
    </w:p>
    <w:p w14:paraId="0EB3F8FF" w14:textId="70095988"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 </w:t>
      </w:r>
      <w:r w:rsidR="003E5DD0" w:rsidRPr="00DC66CD">
        <w:rPr>
          <w:rFonts w:ascii="Garamond" w:hAnsi="Garamond"/>
          <w:sz w:val="24"/>
          <w:szCs w:val="24"/>
        </w:rPr>
        <w:t>s</w:t>
      </w:r>
      <w:r w:rsidRPr="00DC66CD">
        <w:rPr>
          <w:rFonts w:ascii="Garamond" w:hAnsi="Garamond"/>
          <w:sz w:val="24"/>
          <w:szCs w:val="24"/>
        </w:rPr>
        <w:t>igurimi i pjesëmarrjes së publikut dhe transparencës në politikën e ujit.</w:t>
      </w:r>
    </w:p>
    <w:p w14:paraId="2964112D" w14:textId="4DAFA2A1"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Masa e reformës do të përmirësojë mirëqenien e qytetarëve duke ofruar shërbime të furnizimit me ujë dhe depozitimit të ujërave të zeza dhe trajtimit</w:t>
      </w:r>
      <w:r w:rsidR="003E5DD0" w:rsidRPr="00DC66CD">
        <w:rPr>
          <w:rFonts w:ascii="Garamond" w:hAnsi="Garamond"/>
          <w:sz w:val="24"/>
          <w:szCs w:val="24"/>
        </w:rPr>
        <w:t>,</w:t>
      </w:r>
      <w:r w:rsidRPr="00DC66CD">
        <w:rPr>
          <w:rFonts w:ascii="Garamond" w:hAnsi="Garamond"/>
          <w:sz w:val="24"/>
          <w:szCs w:val="24"/>
        </w:rPr>
        <w:t xml:space="preserve"> në përputhje me standardet e njohura në nivel ndërkombëtar. Ka disa dimensione të karakterit shoqëror dhe ekonomik, siç janë:</w:t>
      </w:r>
    </w:p>
    <w:p w14:paraId="7EF3AA35" w14:textId="4F382CE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1. Qeveria do të përmbushë detyrën e saj për t</w:t>
      </w:r>
      <w:r w:rsidR="002C582E" w:rsidRPr="00DC66CD">
        <w:rPr>
          <w:rFonts w:ascii="Garamond" w:hAnsi="Garamond"/>
          <w:sz w:val="24"/>
          <w:szCs w:val="24"/>
        </w:rPr>
        <w:t>’</w:t>
      </w:r>
      <w:r w:rsidRPr="00DC66CD">
        <w:rPr>
          <w:rFonts w:ascii="Garamond" w:hAnsi="Garamond"/>
          <w:sz w:val="24"/>
          <w:szCs w:val="24"/>
        </w:rPr>
        <w:t>u ofruar qytetarëve shërbimin që ata meritojnë;</w:t>
      </w:r>
    </w:p>
    <w:p w14:paraId="64D5C2AA" w14:textId="30AFEBE1"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2. Mbështetje për shëndetin, </w:t>
      </w:r>
      <w:r w:rsidR="003E5DD0" w:rsidRPr="00DC66CD">
        <w:rPr>
          <w:rFonts w:ascii="Garamond" w:hAnsi="Garamond"/>
          <w:sz w:val="24"/>
          <w:szCs w:val="24"/>
        </w:rPr>
        <w:t xml:space="preserve">për </w:t>
      </w:r>
      <w:r w:rsidRPr="00DC66CD">
        <w:rPr>
          <w:rFonts w:ascii="Garamond" w:hAnsi="Garamond"/>
          <w:sz w:val="24"/>
          <w:szCs w:val="24"/>
        </w:rPr>
        <w:t xml:space="preserve">sigurinë dhe </w:t>
      </w:r>
      <w:r w:rsidR="003E5DD0" w:rsidRPr="00DC66CD">
        <w:rPr>
          <w:rFonts w:ascii="Garamond" w:hAnsi="Garamond"/>
          <w:sz w:val="24"/>
          <w:szCs w:val="24"/>
        </w:rPr>
        <w:t xml:space="preserve">për </w:t>
      </w:r>
      <w:r w:rsidRPr="00DC66CD">
        <w:rPr>
          <w:rFonts w:ascii="Garamond" w:hAnsi="Garamond"/>
          <w:sz w:val="24"/>
          <w:szCs w:val="24"/>
        </w:rPr>
        <w:t>përgjegjësitë sociale përmes qeverisjes;</w:t>
      </w:r>
    </w:p>
    <w:p w14:paraId="7799E712"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3. Mbështet stabilitetin financiar dhe efikasitetin;</w:t>
      </w:r>
    </w:p>
    <w:p w14:paraId="66428C48"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4. Mbështet mbrojtjen e mjedisit;</w:t>
      </w:r>
    </w:p>
    <w:p w14:paraId="220C91FB"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5. Zbatimi i ligjit;</w:t>
      </w:r>
    </w:p>
    <w:p w14:paraId="57490C45"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6. Siguroni një klimë më të mirë për turizmin;</w:t>
      </w:r>
    </w:p>
    <w:p w14:paraId="286894D9"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7. Zbatimi i parimit të konsumatorit paguan.</w:t>
      </w:r>
    </w:p>
    <w:p w14:paraId="4F23243E" w14:textId="2C1DA2A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Reforma do të përpiqet të ulë informalitetin në rritjen e shërbimit të ujit dhe mbulimin e ujërave të zeza dhe të përmirësojë trajtimin e ujërave të zeza. Për më tepër, ekzistojnë dy objektiva kombëtar</w:t>
      </w:r>
      <w:r w:rsidR="00FB3068" w:rsidRPr="00DC66CD">
        <w:rPr>
          <w:rFonts w:ascii="Garamond" w:hAnsi="Garamond"/>
          <w:sz w:val="24"/>
          <w:szCs w:val="24"/>
        </w:rPr>
        <w:t>ë,</w:t>
      </w:r>
      <w:r w:rsidRPr="00DC66CD">
        <w:rPr>
          <w:rFonts w:ascii="Garamond" w:hAnsi="Garamond"/>
          <w:sz w:val="24"/>
          <w:szCs w:val="24"/>
        </w:rPr>
        <w:t xml:space="preserve"> për:</w:t>
      </w:r>
    </w:p>
    <w:p w14:paraId="12324F72" w14:textId="64976BE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 </w:t>
      </w:r>
      <w:r w:rsidR="00FB3068" w:rsidRPr="00DC66CD">
        <w:rPr>
          <w:rFonts w:ascii="Garamond" w:hAnsi="Garamond"/>
          <w:sz w:val="24"/>
          <w:szCs w:val="24"/>
        </w:rPr>
        <w:t xml:space="preserve">uljen </w:t>
      </w:r>
      <w:r w:rsidRPr="00DC66CD">
        <w:rPr>
          <w:rFonts w:ascii="Garamond" w:hAnsi="Garamond"/>
          <w:sz w:val="24"/>
          <w:szCs w:val="24"/>
        </w:rPr>
        <w:t>e ujit pa të ardhura me 20% deri në vitin 2021;</w:t>
      </w:r>
    </w:p>
    <w:p w14:paraId="2F1E71A0" w14:textId="14817CD0"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 </w:t>
      </w:r>
      <w:r w:rsidR="00FB3068" w:rsidRPr="00DC66CD">
        <w:rPr>
          <w:rFonts w:ascii="Garamond" w:hAnsi="Garamond"/>
          <w:sz w:val="24"/>
          <w:szCs w:val="24"/>
        </w:rPr>
        <w:t xml:space="preserve">rritjen </w:t>
      </w:r>
      <w:r w:rsidRPr="00DC66CD">
        <w:rPr>
          <w:rFonts w:ascii="Garamond" w:hAnsi="Garamond"/>
          <w:sz w:val="24"/>
          <w:szCs w:val="24"/>
        </w:rPr>
        <w:t>e orarit të shërbimit në zonën bregdetare që synon 22 orë deri në vitin 2021.</w:t>
      </w:r>
    </w:p>
    <w:p w14:paraId="3DF9DD38"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Sidoqoftë, objektivi i fundit varet shumë nga disponueshmëria e fondeve. Një plan pune është duke u hartuar për të llogaritur nevojën e saktë për fonde për të adresuar këtë çështje.</w:t>
      </w:r>
    </w:p>
    <w:p w14:paraId="1BA4DB47" w14:textId="3479C15C" w:rsidR="006F605B" w:rsidRPr="00DC66CD" w:rsidRDefault="008A1C33" w:rsidP="008A1C3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2. </w:t>
      </w:r>
      <w:r w:rsidR="006F605B" w:rsidRPr="00DC66CD">
        <w:rPr>
          <w:rFonts w:ascii="Garamond" w:hAnsi="Garamond"/>
          <w:color w:val="000000" w:themeColor="text1"/>
          <w:sz w:val="24"/>
          <w:szCs w:val="24"/>
        </w:rPr>
        <w:t>Aktivitetet e planifikuara</w:t>
      </w:r>
    </w:p>
    <w:p w14:paraId="1E7CEE4A" w14:textId="13D09ECC" w:rsidR="006F605B" w:rsidRPr="00DC66CD" w:rsidRDefault="008A1C33" w:rsidP="008A1C33">
      <w:pPr>
        <w:pStyle w:val="TEKSTIIII"/>
        <w:rPr>
          <w:b/>
        </w:rPr>
      </w:pPr>
      <w:r w:rsidRPr="00DC66CD">
        <w:rPr>
          <w:b/>
        </w:rPr>
        <w:t xml:space="preserve">a) </w:t>
      </w:r>
      <w:r w:rsidR="006F605B" w:rsidRPr="00DC66CD">
        <w:rPr>
          <w:b/>
        </w:rPr>
        <w:t xml:space="preserve">Aktivitetet e planifikuara </w:t>
      </w:r>
      <w:r w:rsidR="00433A3A" w:rsidRPr="00DC66CD">
        <w:rPr>
          <w:b/>
        </w:rPr>
        <w:t>m</w:t>
      </w:r>
      <w:r w:rsidR="006F605B" w:rsidRPr="00DC66CD">
        <w:rPr>
          <w:b/>
        </w:rPr>
        <w:t>ë 2020</w:t>
      </w:r>
      <w:r w:rsidR="00FB3068" w:rsidRPr="00DC66CD">
        <w:rPr>
          <w:b/>
        </w:rPr>
        <w:t>-ën</w:t>
      </w:r>
    </w:p>
    <w:p w14:paraId="39CE48E7" w14:textId="63A97826" w:rsidR="006F605B" w:rsidRPr="00DC66CD" w:rsidRDefault="002A442C" w:rsidP="008A1C33">
      <w:pPr>
        <w:pStyle w:val="TEKSTIIII"/>
      </w:pPr>
      <w:r w:rsidRPr="00DC66CD">
        <w:t>-</w:t>
      </w:r>
      <w:r w:rsidR="00FB3068" w:rsidRPr="00DC66CD">
        <w:t xml:space="preserve"> vle</w:t>
      </w:r>
      <w:r w:rsidR="006F605B" w:rsidRPr="00DC66CD">
        <w:t>rësimi dhe optimizimi i kontratave t</w:t>
      </w:r>
      <w:r w:rsidR="008B5731">
        <w:t>ë</w:t>
      </w:r>
      <w:r w:rsidR="006F605B" w:rsidRPr="00DC66CD">
        <w:t xml:space="preserve"> performancës. Organi qeveritar: MIE, AKUM;</w:t>
      </w:r>
    </w:p>
    <w:p w14:paraId="39CF8C5A" w14:textId="532BE0C4" w:rsidR="006F605B" w:rsidRPr="00DC66CD" w:rsidRDefault="002A442C" w:rsidP="008A1C33">
      <w:pPr>
        <w:pStyle w:val="TEKSTIIII"/>
      </w:pPr>
      <w:r w:rsidRPr="00DC66CD">
        <w:t>-</w:t>
      </w:r>
      <w:r w:rsidR="00FB3068" w:rsidRPr="00DC66CD">
        <w:t xml:space="preserve"> m</w:t>
      </w:r>
      <w:r w:rsidR="006F605B" w:rsidRPr="00DC66CD">
        <w:t xml:space="preserve">onitorimi dhe zbatimi i ligjit </w:t>
      </w:r>
      <w:r w:rsidR="002A29AD" w:rsidRPr="00DC66CD">
        <w:t>“</w:t>
      </w:r>
      <w:r w:rsidR="006F605B" w:rsidRPr="00DC66CD">
        <w:t>Për furnizimin me ujë dhe shërbimet e kanalizimeve të ujërave të ndotura urbane</w:t>
      </w:r>
      <w:r w:rsidR="002A29AD" w:rsidRPr="00DC66CD">
        <w:t>”</w:t>
      </w:r>
      <w:r w:rsidR="006F605B" w:rsidRPr="00DC66CD">
        <w:t>. Organi qeveritar: MIE, AKUM;</w:t>
      </w:r>
    </w:p>
    <w:p w14:paraId="6A4828A4" w14:textId="77EB09DF" w:rsidR="006F605B" w:rsidRPr="00DC66CD" w:rsidRDefault="002A442C" w:rsidP="008A1C33">
      <w:pPr>
        <w:pStyle w:val="TEKSTIIII"/>
      </w:pPr>
      <w:r w:rsidRPr="00DC66CD">
        <w:t>-</w:t>
      </w:r>
      <w:r w:rsidR="00FB3068" w:rsidRPr="00DC66CD">
        <w:t xml:space="preserve"> m</w:t>
      </w:r>
      <w:r w:rsidR="006F605B" w:rsidRPr="00DC66CD">
        <w:t xml:space="preserve">onitorimi dhe zbatimi i </w:t>
      </w:r>
      <w:r w:rsidR="002A29AD" w:rsidRPr="00DC66CD">
        <w:t>“</w:t>
      </w:r>
      <w:r w:rsidR="006F605B" w:rsidRPr="00DC66CD">
        <w:t xml:space="preserve">Strategjisë </w:t>
      </w:r>
      <w:r w:rsidR="00FB3068" w:rsidRPr="00DC66CD">
        <w:t>kombëtare të shërbimit të ujësjellës-kanalizimeve, 2019–</w:t>
      </w:r>
      <w:r w:rsidR="006F605B" w:rsidRPr="00DC66CD">
        <w:t>2030</w:t>
      </w:r>
      <w:r w:rsidR="002A29AD" w:rsidRPr="00DC66CD">
        <w:t>”</w:t>
      </w:r>
      <w:r w:rsidR="006F605B" w:rsidRPr="00DC66CD">
        <w:t>. Organi qeveritar: MIE, AKUM;</w:t>
      </w:r>
    </w:p>
    <w:p w14:paraId="6D4C1483" w14:textId="0E243E64" w:rsidR="006F605B" w:rsidRPr="00DC66CD" w:rsidRDefault="002A442C" w:rsidP="008A1C33">
      <w:pPr>
        <w:pStyle w:val="TEKSTIIII"/>
      </w:pPr>
      <w:r w:rsidRPr="00DC66CD">
        <w:t>-</w:t>
      </w:r>
      <w:r w:rsidR="00FB3068" w:rsidRPr="00DC66CD">
        <w:t xml:space="preserve"> m</w:t>
      </w:r>
      <w:r w:rsidR="006F605B" w:rsidRPr="00DC66CD">
        <w:t xml:space="preserve">onitorimi dhe implementimi i </w:t>
      </w:r>
      <w:r w:rsidR="002A29AD" w:rsidRPr="00DC66CD">
        <w:t>“</w:t>
      </w:r>
      <w:r w:rsidR="006F605B" w:rsidRPr="00DC66CD">
        <w:t>Masterplanit për furnizimin me ujë dhe shërbimet e kanalizimeve të ujërave të ndotura urbane</w:t>
      </w:r>
      <w:r w:rsidR="002A29AD" w:rsidRPr="00DC66CD">
        <w:t>”</w:t>
      </w:r>
      <w:r w:rsidR="006F605B" w:rsidRPr="00DC66CD">
        <w:t>. Organi qeveritar: MIE, AKUM;</w:t>
      </w:r>
    </w:p>
    <w:p w14:paraId="1ABBC5E0" w14:textId="0EE6BB28" w:rsidR="006F605B" w:rsidRPr="00DC66CD" w:rsidRDefault="002A442C" w:rsidP="008A1C33">
      <w:pPr>
        <w:pStyle w:val="TEKSTIIII"/>
      </w:pPr>
      <w:r w:rsidRPr="00DC66CD">
        <w:t>-</w:t>
      </w:r>
      <w:r w:rsidR="00FB3068" w:rsidRPr="00DC66CD">
        <w:t xml:space="preserve"> p</w:t>
      </w:r>
      <w:r w:rsidR="006F605B" w:rsidRPr="00DC66CD">
        <w:t>rojektet e furnizimit me ujë dhe furnizimit me ujë për zonat bregdetare –</w:t>
      </w:r>
      <w:r w:rsidR="00FB3068" w:rsidRPr="00DC66CD">
        <w:t xml:space="preserve"> </w:t>
      </w:r>
      <w:r w:rsidR="006F605B" w:rsidRPr="00DC66CD">
        <w:t>I. Organi qeveritar: MIE, AKUM;</w:t>
      </w:r>
    </w:p>
    <w:p w14:paraId="30A2E596" w14:textId="30F770AD" w:rsidR="006F605B" w:rsidRPr="00DC66CD" w:rsidRDefault="002A442C" w:rsidP="008A1C33">
      <w:pPr>
        <w:pStyle w:val="TEKSTIIII"/>
      </w:pPr>
      <w:r w:rsidRPr="00DC66CD">
        <w:t>-</w:t>
      </w:r>
      <w:r w:rsidR="00FB3068" w:rsidRPr="00DC66CD">
        <w:t xml:space="preserve"> m</w:t>
      </w:r>
      <w:r w:rsidR="006F605B" w:rsidRPr="00DC66CD">
        <w:t xml:space="preserve">bështetje teknike për zbatimin e reformës në sektorin e ujësjellësit dhe </w:t>
      </w:r>
      <w:r w:rsidR="00FB3068" w:rsidRPr="00DC66CD">
        <w:t xml:space="preserve">të </w:t>
      </w:r>
      <w:r w:rsidR="006F605B" w:rsidRPr="00DC66CD">
        <w:t>kanalizimeve (sipas performancës, zvogëlimi i humbjeve të ujit deri në nivelin teknik 20% dhe matja e prodhimit të ujit). Organi qeveritar: MIE, AKUM;</w:t>
      </w:r>
    </w:p>
    <w:p w14:paraId="744E82B5" w14:textId="44522A11" w:rsidR="006F605B" w:rsidRPr="00DC66CD" w:rsidRDefault="002A442C" w:rsidP="008A1C33">
      <w:pPr>
        <w:pStyle w:val="TEKSTIIII"/>
      </w:pPr>
      <w:r w:rsidRPr="00DC66CD">
        <w:t>-</w:t>
      </w:r>
      <w:r w:rsidR="00FB3068" w:rsidRPr="00DC66CD">
        <w:t xml:space="preserve"> k</w:t>
      </w:r>
      <w:r w:rsidR="006F605B" w:rsidRPr="00DC66CD">
        <w:t>rijimi dhe implementimi i programit kombëtar të testimit dhe certifikimit në sektorin e ujit. Organi qeveritar: MIE, AKUM;</w:t>
      </w:r>
    </w:p>
    <w:p w14:paraId="02F94415" w14:textId="05B6343B" w:rsidR="006F605B" w:rsidRPr="00DC66CD" w:rsidRDefault="002A442C" w:rsidP="008A1C33">
      <w:pPr>
        <w:pStyle w:val="TEKSTIIII"/>
      </w:pPr>
      <w:r w:rsidRPr="00DC66CD">
        <w:t>-</w:t>
      </w:r>
      <w:r w:rsidR="00FB3068" w:rsidRPr="00DC66CD">
        <w:t xml:space="preserve"> m</w:t>
      </w:r>
      <w:r w:rsidR="006F605B" w:rsidRPr="00DC66CD">
        <w:t>iratimi i treguesve dhe kritereve, të përfshir</w:t>
      </w:r>
      <w:r w:rsidR="00FB3068" w:rsidRPr="00DC66CD">
        <w:t>ë</w:t>
      </w:r>
      <w:r w:rsidR="006F605B" w:rsidRPr="00DC66CD">
        <w:t xml:space="preserve"> në kontratën e performancës, për ofruesit e shërbimeve në sektorin e ujësjellësit dhe </w:t>
      </w:r>
      <w:r w:rsidR="00FB3068" w:rsidRPr="00DC66CD">
        <w:t xml:space="preserve">të </w:t>
      </w:r>
      <w:r w:rsidR="006F605B" w:rsidRPr="00DC66CD">
        <w:t>kanalizimeve. Organi qeveritar: MIE, AKUM.</w:t>
      </w:r>
    </w:p>
    <w:p w14:paraId="2FB58384" w14:textId="39FE7F52" w:rsidR="006F605B" w:rsidRPr="00DC66CD" w:rsidRDefault="002A442C" w:rsidP="008A1C33">
      <w:pPr>
        <w:pStyle w:val="TEKSTIIII"/>
        <w:rPr>
          <w:b/>
        </w:rPr>
      </w:pPr>
      <w:r w:rsidRPr="00DC66CD">
        <w:rPr>
          <w:b/>
        </w:rPr>
        <w:t xml:space="preserve">b) </w:t>
      </w:r>
      <w:r w:rsidR="006F605B" w:rsidRPr="00DC66CD">
        <w:rPr>
          <w:b/>
        </w:rPr>
        <w:t>Aktivitetet e planifikuara</w:t>
      </w:r>
      <w:r w:rsidR="00F85068" w:rsidRPr="00DC66CD">
        <w:rPr>
          <w:b/>
        </w:rPr>
        <w:t xml:space="preserve"> më 2021</w:t>
      </w:r>
      <w:r w:rsidR="00FB3068" w:rsidRPr="00DC66CD">
        <w:rPr>
          <w:b/>
        </w:rPr>
        <w:t>-shin</w:t>
      </w:r>
    </w:p>
    <w:p w14:paraId="61832709" w14:textId="048FE141" w:rsidR="006F605B" w:rsidRPr="00DC66CD" w:rsidRDefault="002A442C" w:rsidP="008A1C33">
      <w:pPr>
        <w:pStyle w:val="TEKSTIIII"/>
      </w:pPr>
      <w:r w:rsidRPr="00DC66CD">
        <w:t>-</w:t>
      </w:r>
      <w:r w:rsidR="00FB3068" w:rsidRPr="00DC66CD">
        <w:t xml:space="preserve"> v</w:t>
      </w:r>
      <w:r w:rsidR="006F605B" w:rsidRPr="00DC66CD">
        <w:t xml:space="preserve">lerësimi i vazhdueshëm dhe optimizimi i kontratave të </w:t>
      </w:r>
      <w:r w:rsidR="00FB3068" w:rsidRPr="00DC66CD">
        <w:t>performancës</w:t>
      </w:r>
      <w:r w:rsidR="006F605B" w:rsidRPr="00DC66CD">
        <w:t>. Përgjegjës për zbatimin</w:t>
      </w:r>
      <w:r w:rsidR="00FB3068" w:rsidRPr="00DC66CD">
        <w:t>,</w:t>
      </w:r>
      <w:r w:rsidR="006F605B" w:rsidRPr="00DC66CD">
        <w:t xml:space="preserve"> </w:t>
      </w:r>
      <w:r w:rsidR="00FB3068" w:rsidRPr="00DC66CD">
        <w:t xml:space="preserve">organi </w:t>
      </w:r>
      <w:r w:rsidR="006F605B" w:rsidRPr="00DC66CD">
        <w:t>qeveritar: MIE, AKUM;</w:t>
      </w:r>
    </w:p>
    <w:p w14:paraId="7F7D6B11" w14:textId="36CA0799" w:rsidR="006F605B" w:rsidRPr="00DC66CD" w:rsidRDefault="002A442C" w:rsidP="008A1C33">
      <w:pPr>
        <w:pStyle w:val="TEKSTIIII"/>
      </w:pPr>
      <w:r w:rsidRPr="00DC66CD">
        <w:t>-</w:t>
      </w:r>
      <w:r w:rsidR="00FB3068" w:rsidRPr="00DC66CD">
        <w:t xml:space="preserve"> i</w:t>
      </w:r>
      <w:r w:rsidR="006F605B" w:rsidRPr="00DC66CD">
        <w:t>mplementimi i programit kombëtar të testimit dhe certifikimit në sektorin e Mbretërisë së Bashkuar. Organi qeveritar: MIE, AKUM;</w:t>
      </w:r>
    </w:p>
    <w:p w14:paraId="09817379" w14:textId="452B1F07" w:rsidR="006F605B" w:rsidRPr="00DC66CD" w:rsidRDefault="002A442C" w:rsidP="008A1C33">
      <w:pPr>
        <w:pStyle w:val="TEKSTIIII"/>
      </w:pPr>
      <w:r w:rsidRPr="00DC66CD">
        <w:t>-</w:t>
      </w:r>
      <w:r w:rsidR="00FB3068" w:rsidRPr="00DC66CD">
        <w:t xml:space="preserve"> n</w:t>
      </w:r>
      <w:r w:rsidR="006F605B" w:rsidRPr="00DC66CD">
        <w:t xml:space="preserve">djekja e kontratës suaj të performancës, për ofruesit e shërbimeve në sektorin e ujësjellësit dhe </w:t>
      </w:r>
      <w:r w:rsidR="00FB3068" w:rsidRPr="00DC66CD">
        <w:t xml:space="preserve">të </w:t>
      </w:r>
      <w:r w:rsidR="006F605B" w:rsidRPr="00DC66CD">
        <w:t>kanalizimeve. Organi qeveritar: MIE, AKUM;</w:t>
      </w:r>
    </w:p>
    <w:p w14:paraId="4637AC05" w14:textId="1B47D5AB" w:rsidR="006F605B" w:rsidRPr="00DC66CD" w:rsidRDefault="002A442C" w:rsidP="008A1C33">
      <w:pPr>
        <w:pStyle w:val="TEKSTIIII"/>
      </w:pPr>
      <w:r w:rsidRPr="00DC66CD">
        <w:t>-</w:t>
      </w:r>
      <w:r w:rsidR="00FB3068" w:rsidRPr="00DC66CD">
        <w:t xml:space="preserve"> m</w:t>
      </w:r>
      <w:r w:rsidR="006F605B" w:rsidRPr="00DC66CD">
        <w:t xml:space="preserve">onitorimi dhe </w:t>
      </w:r>
      <w:r w:rsidR="00FB3068" w:rsidRPr="00DC66CD">
        <w:t xml:space="preserve">zbatimi </w:t>
      </w:r>
      <w:r w:rsidR="006F605B" w:rsidRPr="00DC66CD">
        <w:t xml:space="preserve">i ligjit </w:t>
      </w:r>
      <w:r w:rsidR="002A29AD" w:rsidRPr="00DC66CD">
        <w:t>“</w:t>
      </w:r>
      <w:r w:rsidR="006F605B" w:rsidRPr="00DC66CD">
        <w:t>Për furnizimin me ujë dhe kanalizimet e ujërave të ndotura urbane</w:t>
      </w:r>
      <w:r w:rsidR="002A29AD" w:rsidRPr="00DC66CD">
        <w:t>”</w:t>
      </w:r>
      <w:r w:rsidR="006F605B" w:rsidRPr="00DC66CD">
        <w:t>. Organi qeveritar: MIE, AKUM, ERRU.</w:t>
      </w:r>
    </w:p>
    <w:p w14:paraId="60CF0518" w14:textId="736735FE" w:rsidR="006F605B" w:rsidRPr="00DC66CD" w:rsidRDefault="002A442C" w:rsidP="008A1C33">
      <w:pPr>
        <w:pStyle w:val="TEKSTIIII"/>
        <w:rPr>
          <w:b/>
        </w:rPr>
      </w:pPr>
      <w:r w:rsidRPr="00DC66CD">
        <w:rPr>
          <w:b/>
        </w:rPr>
        <w:t xml:space="preserve">c) </w:t>
      </w:r>
      <w:r w:rsidR="006F605B" w:rsidRPr="00DC66CD">
        <w:rPr>
          <w:b/>
        </w:rPr>
        <w:t>Aktivitetet e planifikuara</w:t>
      </w:r>
      <w:r w:rsidR="00433A3A" w:rsidRPr="00DC66CD">
        <w:rPr>
          <w:b/>
        </w:rPr>
        <w:t xml:space="preserve"> më 2022</w:t>
      </w:r>
      <w:r w:rsidR="00FB3068" w:rsidRPr="00DC66CD">
        <w:rPr>
          <w:b/>
        </w:rPr>
        <w:t>-shin</w:t>
      </w:r>
    </w:p>
    <w:p w14:paraId="01035C4A" w14:textId="5823EA95" w:rsidR="006F605B" w:rsidRPr="00DC66CD" w:rsidRDefault="002A442C" w:rsidP="008A1C33">
      <w:pPr>
        <w:pStyle w:val="TEKSTIIII"/>
      </w:pPr>
      <w:r w:rsidRPr="00DC66CD">
        <w:t>-</w:t>
      </w:r>
      <w:r w:rsidR="00FB3068" w:rsidRPr="00DC66CD">
        <w:t xml:space="preserve"> v</w:t>
      </w:r>
      <w:r w:rsidR="006F605B" w:rsidRPr="00DC66CD">
        <w:t>lerësimi i vazhdueshëm dhe optimizimi i kontratave të Performancës. Përgjegjës për zbatimin</w:t>
      </w:r>
      <w:r w:rsidR="00FB3068" w:rsidRPr="00DC66CD">
        <w:t>,</w:t>
      </w:r>
      <w:r w:rsidR="006F605B" w:rsidRPr="00DC66CD">
        <w:t xml:space="preserve"> </w:t>
      </w:r>
      <w:r w:rsidR="00FB3068" w:rsidRPr="00DC66CD">
        <w:t xml:space="preserve">organi </w:t>
      </w:r>
      <w:r w:rsidR="006F605B" w:rsidRPr="00DC66CD">
        <w:t>qeveritar: MIE, AKUM;</w:t>
      </w:r>
    </w:p>
    <w:p w14:paraId="78F82BF1" w14:textId="366361D0" w:rsidR="006F605B" w:rsidRPr="00DC66CD" w:rsidRDefault="002A442C" w:rsidP="008A1C33">
      <w:pPr>
        <w:pStyle w:val="TEKSTIIII"/>
      </w:pPr>
      <w:r w:rsidRPr="00DC66CD">
        <w:t>-</w:t>
      </w:r>
      <w:r w:rsidR="00FB3068" w:rsidRPr="00DC66CD">
        <w:t xml:space="preserve"> i</w:t>
      </w:r>
      <w:r w:rsidR="006F605B" w:rsidRPr="00DC66CD">
        <w:t>mplementimi i programit kombëtar të testimit dhe certifikimit në sektorin e Mbretërisë së Bashkuar. Organi qeveritar: MIE, AKUM;</w:t>
      </w:r>
    </w:p>
    <w:p w14:paraId="63BAAB12" w14:textId="5B47BBFF" w:rsidR="006F605B" w:rsidRPr="00DC66CD" w:rsidRDefault="002A442C" w:rsidP="008A1C33">
      <w:pPr>
        <w:pStyle w:val="TEKSTIIII"/>
      </w:pPr>
      <w:r w:rsidRPr="00DC66CD">
        <w:t>-</w:t>
      </w:r>
      <w:r w:rsidR="00FB3068" w:rsidRPr="00DC66CD">
        <w:t xml:space="preserve"> n</w:t>
      </w:r>
      <w:r w:rsidR="006F605B" w:rsidRPr="00DC66CD">
        <w:t>djekja e kontratës suaj të performancës, për ofruesit e shërbimeve në sektorin e ujësjellësit dhe</w:t>
      </w:r>
      <w:r w:rsidR="00FB3068" w:rsidRPr="00DC66CD">
        <w:t xml:space="preserve"> të</w:t>
      </w:r>
      <w:r w:rsidR="006F605B" w:rsidRPr="00DC66CD">
        <w:t xml:space="preserve"> kanalizimeve. Organi qeveritar: MIE, AKUM;</w:t>
      </w:r>
    </w:p>
    <w:p w14:paraId="0B41B3EC" w14:textId="63EFFA62" w:rsidR="006F605B" w:rsidRPr="00DC66CD" w:rsidRDefault="002A442C" w:rsidP="008A1C33">
      <w:pPr>
        <w:pStyle w:val="TEKSTIIII"/>
      </w:pPr>
      <w:r w:rsidRPr="00DC66CD">
        <w:t>-</w:t>
      </w:r>
      <w:r w:rsidR="00FB3068" w:rsidRPr="00DC66CD">
        <w:t xml:space="preserve"> m</w:t>
      </w:r>
      <w:r w:rsidR="006F605B" w:rsidRPr="00DC66CD">
        <w:t xml:space="preserve">onitorimi dhe </w:t>
      </w:r>
      <w:r w:rsidR="00FB3068" w:rsidRPr="00DC66CD">
        <w:t xml:space="preserve">zbatimi </w:t>
      </w:r>
      <w:r w:rsidR="006F605B" w:rsidRPr="00DC66CD">
        <w:t xml:space="preserve">i ligjit </w:t>
      </w:r>
      <w:r w:rsidR="002A29AD" w:rsidRPr="00DC66CD">
        <w:t>“</w:t>
      </w:r>
      <w:r w:rsidR="006F605B" w:rsidRPr="00DC66CD">
        <w:t>Për furnizimin me ujë dhe kanalizimet e ujërave të ndotura urbane</w:t>
      </w:r>
      <w:r w:rsidR="002A29AD" w:rsidRPr="00DC66CD">
        <w:t>”</w:t>
      </w:r>
      <w:r w:rsidR="006F605B" w:rsidRPr="00DC66CD">
        <w:t>. Organi qeveritar: MIE, AKUM, ERRU.</w:t>
      </w:r>
    </w:p>
    <w:p w14:paraId="086564BD" w14:textId="77777777" w:rsidR="00FB3068" w:rsidRPr="00DC66CD" w:rsidRDefault="00FB3068" w:rsidP="00534471">
      <w:pPr>
        <w:pStyle w:val="Heading6"/>
        <w:keepNext w:val="0"/>
        <w:keepLines w:val="0"/>
        <w:snapToGrid w:val="0"/>
        <w:spacing w:before="0" w:line="240" w:lineRule="auto"/>
        <w:ind w:left="284"/>
        <w:jc w:val="both"/>
        <w:rPr>
          <w:rFonts w:ascii="Garamond" w:hAnsi="Garamond"/>
          <w:color w:val="auto"/>
          <w:sz w:val="24"/>
          <w:szCs w:val="24"/>
        </w:rPr>
      </w:pPr>
    </w:p>
    <w:p w14:paraId="34D64B27" w14:textId="77777777" w:rsidR="00FB3068" w:rsidRPr="00DC66CD" w:rsidRDefault="00FB3068" w:rsidP="00534471">
      <w:pPr>
        <w:pStyle w:val="Heading6"/>
        <w:keepNext w:val="0"/>
        <w:keepLines w:val="0"/>
        <w:snapToGrid w:val="0"/>
        <w:spacing w:before="0" w:line="240" w:lineRule="auto"/>
        <w:ind w:left="284"/>
        <w:jc w:val="both"/>
        <w:rPr>
          <w:rFonts w:ascii="Garamond" w:hAnsi="Garamond"/>
          <w:color w:val="auto"/>
          <w:sz w:val="24"/>
          <w:szCs w:val="24"/>
        </w:rPr>
      </w:pPr>
    </w:p>
    <w:p w14:paraId="05A4E093" w14:textId="6118A341" w:rsidR="006F605B" w:rsidRPr="00DC66CD" w:rsidRDefault="00534471" w:rsidP="0053447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1170"/>
        <w:gridCol w:w="1609"/>
        <w:gridCol w:w="1083"/>
      </w:tblGrid>
      <w:tr w:rsidR="006F605B" w:rsidRPr="00DC66CD" w14:paraId="375203F7" w14:textId="77777777" w:rsidTr="00DB17E8">
        <w:trPr>
          <w:trHeight w:val="243"/>
          <w:jc w:val="center"/>
        </w:trPr>
        <w:tc>
          <w:tcPr>
            <w:tcW w:w="5418" w:type="dxa"/>
            <w:vAlign w:val="center"/>
          </w:tcPr>
          <w:p w14:paraId="214813B0" w14:textId="77777777" w:rsidR="006F605B" w:rsidRPr="00DC66CD" w:rsidRDefault="006F605B" w:rsidP="00FB3068">
            <w:pPr>
              <w:snapToGrid w:val="0"/>
              <w:spacing w:after="0" w:line="240" w:lineRule="auto"/>
              <w:jc w:val="center"/>
              <w:rPr>
                <w:rFonts w:ascii="Garamond" w:hAnsi="Garamond"/>
                <w:b/>
              </w:rPr>
            </w:pPr>
            <w:r w:rsidRPr="00DC66CD">
              <w:rPr>
                <w:rFonts w:ascii="Garamond" w:hAnsi="Garamond"/>
                <w:b/>
              </w:rPr>
              <w:t>Indikator</w:t>
            </w:r>
          </w:p>
        </w:tc>
        <w:tc>
          <w:tcPr>
            <w:tcW w:w="1170" w:type="dxa"/>
            <w:vAlign w:val="center"/>
          </w:tcPr>
          <w:p w14:paraId="652807D3" w14:textId="77777777" w:rsidR="006F605B" w:rsidRPr="00DC66CD" w:rsidRDefault="006F605B" w:rsidP="00FB3068">
            <w:pPr>
              <w:snapToGrid w:val="0"/>
              <w:spacing w:after="0" w:line="240" w:lineRule="auto"/>
              <w:jc w:val="center"/>
              <w:rPr>
                <w:rFonts w:ascii="Garamond" w:hAnsi="Garamond"/>
                <w:b/>
              </w:rPr>
            </w:pPr>
            <w:r w:rsidRPr="00DC66CD">
              <w:rPr>
                <w:rFonts w:ascii="Garamond" w:hAnsi="Garamond"/>
                <w:b/>
              </w:rPr>
              <w:t>Baza</w:t>
            </w:r>
          </w:p>
        </w:tc>
        <w:tc>
          <w:tcPr>
            <w:tcW w:w="1609" w:type="dxa"/>
            <w:vAlign w:val="center"/>
          </w:tcPr>
          <w:p w14:paraId="4BC10F08" w14:textId="5AA2EE70" w:rsidR="006F605B" w:rsidRPr="00DC66CD" w:rsidRDefault="00DB17E8" w:rsidP="00FB3068">
            <w:pPr>
              <w:snapToGrid w:val="0"/>
              <w:spacing w:after="0" w:line="240" w:lineRule="auto"/>
              <w:jc w:val="center"/>
              <w:rPr>
                <w:rFonts w:ascii="Garamond" w:hAnsi="Garamond"/>
                <w:b/>
              </w:rPr>
            </w:pPr>
            <w:r w:rsidRPr="00DC66CD">
              <w:rPr>
                <w:rFonts w:ascii="Garamond" w:hAnsi="Garamond"/>
                <w:b/>
              </w:rPr>
              <w:t>I ndërmjetëm</w:t>
            </w:r>
          </w:p>
        </w:tc>
        <w:tc>
          <w:tcPr>
            <w:tcW w:w="0" w:type="auto"/>
            <w:vAlign w:val="center"/>
          </w:tcPr>
          <w:p w14:paraId="486A7687" w14:textId="77777777" w:rsidR="006F605B" w:rsidRPr="00DC66CD" w:rsidRDefault="006F605B" w:rsidP="00FB3068">
            <w:pPr>
              <w:snapToGrid w:val="0"/>
              <w:spacing w:after="0" w:line="240" w:lineRule="auto"/>
              <w:jc w:val="center"/>
              <w:rPr>
                <w:rFonts w:ascii="Garamond" w:hAnsi="Garamond"/>
                <w:b/>
              </w:rPr>
            </w:pPr>
            <w:r w:rsidRPr="00DC66CD">
              <w:rPr>
                <w:rFonts w:ascii="Garamond" w:hAnsi="Garamond"/>
                <w:b/>
              </w:rPr>
              <w:t>Objektivi</w:t>
            </w:r>
          </w:p>
        </w:tc>
      </w:tr>
      <w:tr w:rsidR="006F605B" w:rsidRPr="00DC66CD" w14:paraId="35475EE7" w14:textId="77777777" w:rsidTr="00DB17E8">
        <w:trPr>
          <w:trHeight w:val="293"/>
          <w:jc w:val="center"/>
        </w:trPr>
        <w:tc>
          <w:tcPr>
            <w:tcW w:w="5418" w:type="dxa"/>
          </w:tcPr>
          <w:p w14:paraId="606EFC49" w14:textId="77777777" w:rsidR="006F605B" w:rsidRPr="00DC66CD" w:rsidRDefault="006F605B" w:rsidP="00534471">
            <w:pPr>
              <w:snapToGrid w:val="0"/>
              <w:spacing w:after="0" w:line="240" w:lineRule="auto"/>
              <w:rPr>
                <w:rFonts w:ascii="Garamond" w:hAnsi="Garamond"/>
              </w:rPr>
            </w:pPr>
            <w:r w:rsidRPr="00DC66CD">
              <w:rPr>
                <w:rFonts w:ascii="Garamond" w:hAnsi="Garamond"/>
              </w:rPr>
              <w:t>Mbulimi i furnizimit me ujë në nivelin kombëtar</w:t>
            </w:r>
          </w:p>
        </w:tc>
        <w:tc>
          <w:tcPr>
            <w:tcW w:w="1170" w:type="dxa"/>
          </w:tcPr>
          <w:p w14:paraId="1CD16965"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84.6%</w:t>
            </w:r>
          </w:p>
        </w:tc>
        <w:tc>
          <w:tcPr>
            <w:tcW w:w="1609" w:type="dxa"/>
          </w:tcPr>
          <w:p w14:paraId="28C4F83F"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87.7%</w:t>
            </w:r>
          </w:p>
        </w:tc>
        <w:tc>
          <w:tcPr>
            <w:tcW w:w="0" w:type="auto"/>
          </w:tcPr>
          <w:p w14:paraId="27745757"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96.4%</w:t>
            </w:r>
          </w:p>
        </w:tc>
      </w:tr>
      <w:tr w:rsidR="006F605B" w:rsidRPr="00DC66CD" w14:paraId="04B7B4F0" w14:textId="77777777" w:rsidTr="00DB17E8">
        <w:trPr>
          <w:jc w:val="center"/>
        </w:trPr>
        <w:tc>
          <w:tcPr>
            <w:tcW w:w="5418" w:type="dxa"/>
          </w:tcPr>
          <w:p w14:paraId="0E108389" w14:textId="71CFB878" w:rsidR="006F605B" w:rsidRPr="00DC66CD" w:rsidRDefault="006F605B" w:rsidP="00534471">
            <w:pPr>
              <w:snapToGrid w:val="0"/>
              <w:spacing w:after="0" w:line="240" w:lineRule="auto"/>
              <w:rPr>
                <w:rFonts w:ascii="Garamond" w:hAnsi="Garamond"/>
              </w:rPr>
            </w:pPr>
            <w:r w:rsidRPr="00DC66CD">
              <w:rPr>
                <w:rFonts w:ascii="Garamond" w:hAnsi="Garamond"/>
              </w:rPr>
              <w:t xml:space="preserve">Mbulimi i </w:t>
            </w:r>
            <w:r w:rsidR="00FB3068" w:rsidRPr="00DC66CD">
              <w:rPr>
                <w:rFonts w:ascii="Garamond" w:hAnsi="Garamond"/>
              </w:rPr>
              <w:t>ujësjellësit për zonat urbane</w:t>
            </w:r>
          </w:p>
        </w:tc>
        <w:tc>
          <w:tcPr>
            <w:tcW w:w="1170" w:type="dxa"/>
          </w:tcPr>
          <w:p w14:paraId="2A92DA6A"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94.0%</w:t>
            </w:r>
          </w:p>
        </w:tc>
        <w:tc>
          <w:tcPr>
            <w:tcW w:w="1609" w:type="dxa"/>
          </w:tcPr>
          <w:p w14:paraId="5ED1DE76"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97%</w:t>
            </w:r>
          </w:p>
        </w:tc>
        <w:tc>
          <w:tcPr>
            <w:tcW w:w="0" w:type="auto"/>
          </w:tcPr>
          <w:p w14:paraId="3450396C"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98%</w:t>
            </w:r>
          </w:p>
        </w:tc>
      </w:tr>
      <w:tr w:rsidR="006F605B" w:rsidRPr="00DC66CD" w14:paraId="2E3AFE16" w14:textId="77777777" w:rsidTr="00DB17E8">
        <w:trPr>
          <w:jc w:val="center"/>
        </w:trPr>
        <w:tc>
          <w:tcPr>
            <w:tcW w:w="5418" w:type="dxa"/>
          </w:tcPr>
          <w:p w14:paraId="16A5005B" w14:textId="77777777" w:rsidR="006F605B" w:rsidRPr="00DC66CD" w:rsidRDefault="006F605B" w:rsidP="00534471">
            <w:pPr>
              <w:snapToGrid w:val="0"/>
              <w:spacing w:after="0" w:line="240" w:lineRule="auto"/>
              <w:rPr>
                <w:rFonts w:ascii="Garamond" w:hAnsi="Garamond"/>
              </w:rPr>
            </w:pPr>
            <w:r w:rsidRPr="00DC66CD">
              <w:rPr>
                <w:rFonts w:ascii="Garamond" w:hAnsi="Garamond"/>
              </w:rPr>
              <w:t>Mbulimi i furnizimit me ujë për zonat rurale</w:t>
            </w:r>
          </w:p>
        </w:tc>
        <w:tc>
          <w:tcPr>
            <w:tcW w:w="1170" w:type="dxa"/>
          </w:tcPr>
          <w:p w14:paraId="530B5A21"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60.0%</w:t>
            </w:r>
          </w:p>
        </w:tc>
        <w:tc>
          <w:tcPr>
            <w:tcW w:w="1609" w:type="dxa"/>
          </w:tcPr>
          <w:p w14:paraId="758D913B"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74%</w:t>
            </w:r>
          </w:p>
        </w:tc>
        <w:tc>
          <w:tcPr>
            <w:tcW w:w="0" w:type="auto"/>
          </w:tcPr>
          <w:p w14:paraId="53097E31"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94%</w:t>
            </w:r>
          </w:p>
        </w:tc>
      </w:tr>
      <w:tr w:rsidR="006F605B" w:rsidRPr="00DC66CD" w14:paraId="3FA221C9" w14:textId="77777777" w:rsidTr="00DB17E8">
        <w:trPr>
          <w:jc w:val="center"/>
        </w:trPr>
        <w:tc>
          <w:tcPr>
            <w:tcW w:w="5418" w:type="dxa"/>
          </w:tcPr>
          <w:p w14:paraId="28325521" w14:textId="0429D535" w:rsidR="006F605B" w:rsidRPr="00DC66CD" w:rsidRDefault="006F605B" w:rsidP="00534471">
            <w:pPr>
              <w:snapToGrid w:val="0"/>
              <w:spacing w:after="0" w:line="240" w:lineRule="auto"/>
              <w:rPr>
                <w:rFonts w:ascii="Garamond" w:hAnsi="Garamond"/>
              </w:rPr>
            </w:pPr>
            <w:r w:rsidRPr="00DC66CD">
              <w:rPr>
                <w:rFonts w:ascii="Garamond" w:hAnsi="Garamond"/>
              </w:rPr>
              <w:t xml:space="preserve">Mbulimi i </w:t>
            </w:r>
            <w:r w:rsidR="00433A3A" w:rsidRPr="00DC66CD">
              <w:rPr>
                <w:rFonts w:ascii="Garamond" w:hAnsi="Garamond"/>
              </w:rPr>
              <w:t xml:space="preserve">kanalizimeve </w:t>
            </w:r>
            <w:r w:rsidRPr="00DC66CD">
              <w:rPr>
                <w:rFonts w:ascii="Garamond" w:hAnsi="Garamond"/>
              </w:rPr>
              <w:t>(</w:t>
            </w:r>
            <w:r w:rsidR="00433A3A" w:rsidRPr="00DC66CD">
              <w:rPr>
                <w:rFonts w:ascii="Garamond" w:hAnsi="Garamond"/>
              </w:rPr>
              <w:t>niveli kombëtar</w:t>
            </w:r>
            <w:r w:rsidRPr="00DC66CD">
              <w:rPr>
                <w:rFonts w:ascii="Garamond" w:hAnsi="Garamond"/>
              </w:rPr>
              <w:t>)</w:t>
            </w:r>
          </w:p>
        </w:tc>
        <w:tc>
          <w:tcPr>
            <w:tcW w:w="1170" w:type="dxa"/>
          </w:tcPr>
          <w:p w14:paraId="2DF8A33D"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56.3%</w:t>
            </w:r>
          </w:p>
        </w:tc>
        <w:tc>
          <w:tcPr>
            <w:tcW w:w="1609" w:type="dxa"/>
          </w:tcPr>
          <w:p w14:paraId="369B233E"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62.5%</w:t>
            </w:r>
          </w:p>
        </w:tc>
        <w:tc>
          <w:tcPr>
            <w:tcW w:w="0" w:type="auto"/>
          </w:tcPr>
          <w:p w14:paraId="78A3D152"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74.1%</w:t>
            </w:r>
          </w:p>
        </w:tc>
      </w:tr>
      <w:tr w:rsidR="006F605B" w:rsidRPr="00DC66CD" w14:paraId="3C836FA2" w14:textId="77777777" w:rsidTr="00DB17E8">
        <w:trPr>
          <w:jc w:val="center"/>
        </w:trPr>
        <w:tc>
          <w:tcPr>
            <w:tcW w:w="5418" w:type="dxa"/>
          </w:tcPr>
          <w:p w14:paraId="49F7048B" w14:textId="77777777" w:rsidR="006F605B" w:rsidRPr="00DC66CD" w:rsidRDefault="006F605B" w:rsidP="00534471">
            <w:pPr>
              <w:snapToGrid w:val="0"/>
              <w:spacing w:after="0" w:line="240" w:lineRule="auto"/>
              <w:rPr>
                <w:rFonts w:ascii="Garamond" w:hAnsi="Garamond"/>
              </w:rPr>
            </w:pPr>
            <w:r w:rsidRPr="00DC66CD">
              <w:rPr>
                <w:rFonts w:ascii="Garamond" w:hAnsi="Garamond"/>
              </w:rPr>
              <w:t>Mbulimi i kanalizimeve për zonat urbane</w:t>
            </w:r>
          </w:p>
        </w:tc>
        <w:tc>
          <w:tcPr>
            <w:tcW w:w="1170" w:type="dxa"/>
          </w:tcPr>
          <w:p w14:paraId="2476313F"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79.5%</w:t>
            </w:r>
          </w:p>
        </w:tc>
        <w:tc>
          <w:tcPr>
            <w:tcW w:w="1609" w:type="dxa"/>
          </w:tcPr>
          <w:p w14:paraId="654C152D"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86%</w:t>
            </w:r>
          </w:p>
        </w:tc>
        <w:tc>
          <w:tcPr>
            <w:tcW w:w="0" w:type="auto"/>
          </w:tcPr>
          <w:p w14:paraId="32D550A4"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96%</w:t>
            </w:r>
          </w:p>
        </w:tc>
      </w:tr>
      <w:tr w:rsidR="006F605B" w:rsidRPr="00DC66CD" w14:paraId="536B8E47" w14:textId="77777777" w:rsidTr="00DB17E8">
        <w:trPr>
          <w:jc w:val="center"/>
        </w:trPr>
        <w:tc>
          <w:tcPr>
            <w:tcW w:w="5418" w:type="dxa"/>
          </w:tcPr>
          <w:p w14:paraId="195E5B57" w14:textId="77777777" w:rsidR="006F605B" w:rsidRPr="00DC66CD" w:rsidRDefault="006F605B" w:rsidP="00534471">
            <w:pPr>
              <w:snapToGrid w:val="0"/>
              <w:spacing w:after="0" w:line="240" w:lineRule="auto"/>
              <w:rPr>
                <w:rFonts w:ascii="Garamond" w:hAnsi="Garamond"/>
              </w:rPr>
            </w:pPr>
            <w:r w:rsidRPr="00DC66CD">
              <w:rPr>
                <w:rFonts w:ascii="Garamond" w:hAnsi="Garamond"/>
              </w:rPr>
              <w:t>Mbulimi i ujërave të zeza për zonat rurale</w:t>
            </w:r>
          </w:p>
        </w:tc>
        <w:tc>
          <w:tcPr>
            <w:tcW w:w="1170" w:type="dxa"/>
          </w:tcPr>
          <w:p w14:paraId="53E2E901"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16%</w:t>
            </w:r>
          </w:p>
        </w:tc>
        <w:tc>
          <w:tcPr>
            <w:tcW w:w="1609" w:type="dxa"/>
          </w:tcPr>
          <w:p w14:paraId="4311A162"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28%</w:t>
            </w:r>
          </w:p>
        </w:tc>
        <w:tc>
          <w:tcPr>
            <w:tcW w:w="0" w:type="auto"/>
          </w:tcPr>
          <w:p w14:paraId="1668F429"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42%</w:t>
            </w:r>
          </w:p>
        </w:tc>
      </w:tr>
      <w:tr w:rsidR="006F605B" w:rsidRPr="00DC66CD" w14:paraId="463E53BE" w14:textId="77777777" w:rsidTr="00DB17E8">
        <w:trPr>
          <w:jc w:val="center"/>
        </w:trPr>
        <w:tc>
          <w:tcPr>
            <w:tcW w:w="5418" w:type="dxa"/>
          </w:tcPr>
          <w:p w14:paraId="603E1B46" w14:textId="48E4D61E" w:rsidR="006F605B" w:rsidRPr="00DC66CD" w:rsidRDefault="006F605B" w:rsidP="00534471">
            <w:pPr>
              <w:snapToGrid w:val="0"/>
              <w:spacing w:after="0" w:line="240" w:lineRule="auto"/>
              <w:rPr>
                <w:rFonts w:ascii="Garamond" w:hAnsi="Garamond"/>
              </w:rPr>
            </w:pPr>
            <w:r w:rsidRPr="00DC66CD">
              <w:rPr>
                <w:rFonts w:ascii="Garamond" w:hAnsi="Garamond"/>
              </w:rPr>
              <w:t>Mbulimi i trajtimit të ujit i përdorur nga ITUP</w:t>
            </w:r>
            <w:r w:rsidR="00FB3068" w:rsidRPr="00DC66CD">
              <w:rPr>
                <w:rFonts w:ascii="Garamond" w:hAnsi="Garamond"/>
              </w:rPr>
              <w:t>-ja</w:t>
            </w:r>
          </w:p>
        </w:tc>
        <w:tc>
          <w:tcPr>
            <w:tcW w:w="1170" w:type="dxa"/>
          </w:tcPr>
          <w:p w14:paraId="49A93255"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12.0%</w:t>
            </w:r>
          </w:p>
        </w:tc>
        <w:tc>
          <w:tcPr>
            <w:tcW w:w="1609" w:type="dxa"/>
          </w:tcPr>
          <w:p w14:paraId="7AFCC1EA"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17%</w:t>
            </w:r>
          </w:p>
        </w:tc>
        <w:tc>
          <w:tcPr>
            <w:tcW w:w="0" w:type="auto"/>
          </w:tcPr>
          <w:p w14:paraId="4DA82272"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33%</w:t>
            </w:r>
          </w:p>
        </w:tc>
      </w:tr>
      <w:tr w:rsidR="006F605B" w:rsidRPr="00DC66CD" w14:paraId="05EC1916" w14:textId="77777777" w:rsidTr="00DB17E8">
        <w:trPr>
          <w:jc w:val="center"/>
        </w:trPr>
        <w:tc>
          <w:tcPr>
            <w:tcW w:w="5418" w:type="dxa"/>
          </w:tcPr>
          <w:p w14:paraId="601F822E" w14:textId="77777777" w:rsidR="006F605B" w:rsidRPr="00DC66CD" w:rsidRDefault="006F605B" w:rsidP="00534471">
            <w:pPr>
              <w:snapToGrid w:val="0"/>
              <w:spacing w:after="0" w:line="240" w:lineRule="auto"/>
              <w:rPr>
                <w:rFonts w:ascii="Garamond" w:hAnsi="Garamond"/>
              </w:rPr>
            </w:pPr>
            <w:r w:rsidRPr="00DC66CD">
              <w:rPr>
                <w:rFonts w:ascii="Garamond" w:hAnsi="Garamond"/>
              </w:rPr>
              <w:t>Vazhdimësia e furnizimit me ujë në zonat bregdetare</w:t>
            </w:r>
          </w:p>
        </w:tc>
        <w:tc>
          <w:tcPr>
            <w:tcW w:w="1170" w:type="dxa"/>
          </w:tcPr>
          <w:p w14:paraId="33D1F69A"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13</w:t>
            </w:r>
          </w:p>
        </w:tc>
        <w:tc>
          <w:tcPr>
            <w:tcW w:w="1609" w:type="dxa"/>
          </w:tcPr>
          <w:p w14:paraId="18EE4E42" w14:textId="77777777" w:rsidR="006F605B" w:rsidRPr="00DC66CD" w:rsidRDefault="006F605B" w:rsidP="00FB3068">
            <w:pPr>
              <w:snapToGrid w:val="0"/>
              <w:spacing w:after="0" w:line="240" w:lineRule="auto"/>
              <w:jc w:val="right"/>
              <w:rPr>
                <w:rFonts w:ascii="Garamond" w:hAnsi="Garamond"/>
              </w:rPr>
            </w:pPr>
          </w:p>
        </w:tc>
        <w:tc>
          <w:tcPr>
            <w:tcW w:w="0" w:type="auto"/>
          </w:tcPr>
          <w:p w14:paraId="093D0B6D" w14:textId="77777777" w:rsidR="006F605B" w:rsidRPr="00DC66CD" w:rsidRDefault="006F605B" w:rsidP="00FB3068">
            <w:pPr>
              <w:snapToGrid w:val="0"/>
              <w:spacing w:after="0" w:line="240" w:lineRule="auto"/>
              <w:jc w:val="right"/>
              <w:rPr>
                <w:rFonts w:ascii="Garamond" w:hAnsi="Garamond"/>
              </w:rPr>
            </w:pPr>
          </w:p>
        </w:tc>
      </w:tr>
      <w:tr w:rsidR="006F605B" w:rsidRPr="00DC66CD" w14:paraId="3167963A" w14:textId="77777777" w:rsidTr="00DB17E8">
        <w:trPr>
          <w:jc w:val="center"/>
        </w:trPr>
        <w:tc>
          <w:tcPr>
            <w:tcW w:w="5418" w:type="dxa"/>
          </w:tcPr>
          <w:p w14:paraId="4D8B1537" w14:textId="07EF0118" w:rsidR="006F605B" w:rsidRPr="00DC66CD" w:rsidRDefault="006F605B" w:rsidP="00534471">
            <w:pPr>
              <w:snapToGrid w:val="0"/>
              <w:spacing w:after="0" w:line="240" w:lineRule="auto"/>
              <w:rPr>
                <w:rFonts w:ascii="Garamond" w:hAnsi="Garamond"/>
              </w:rPr>
            </w:pPr>
            <w:r w:rsidRPr="00DC66CD">
              <w:rPr>
                <w:rFonts w:ascii="Garamond" w:hAnsi="Garamond"/>
              </w:rPr>
              <w:t>Vazhd</w:t>
            </w:r>
            <w:r w:rsidR="00FB3068" w:rsidRPr="00DC66CD">
              <w:rPr>
                <w:rFonts w:ascii="Garamond" w:hAnsi="Garamond"/>
              </w:rPr>
              <w:t>imësia e furnizimit me ujë (orë/</w:t>
            </w:r>
            <w:r w:rsidRPr="00DC66CD">
              <w:rPr>
                <w:rFonts w:ascii="Garamond" w:hAnsi="Garamond"/>
              </w:rPr>
              <w:t>ditë)</w:t>
            </w:r>
          </w:p>
        </w:tc>
        <w:tc>
          <w:tcPr>
            <w:tcW w:w="1170" w:type="dxa"/>
          </w:tcPr>
          <w:p w14:paraId="6BB9CFF8"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13</w:t>
            </w:r>
          </w:p>
        </w:tc>
        <w:tc>
          <w:tcPr>
            <w:tcW w:w="1609" w:type="dxa"/>
          </w:tcPr>
          <w:p w14:paraId="526C5A00"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20</w:t>
            </w:r>
          </w:p>
        </w:tc>
        <w:tc>
          <w:tcPr>
            <w:tcW w:w="0" w:type="auto"/>
          </w:tcPr>
          <w:p w14:paraId="21C5840C"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24</w:t>
            </w:r>
          </w:p>
        </w:tc>
      </w:tr>
      <w:tr w:rsidR="006F605B" w:rsidRPr="00DC66CD" w14:paraId="7401502D" w14:textId="77777777" w:rsidTr="00DB17E8">
        <w:trPr>
          <w:jc w:val="center"/>
        </w:trPr>
        <w:tc>
          <w:tcPr>
            <w:tcW w:w="5418" w:type="dxa"/>
          </w:tcPr>
          <w:p w14:paraId="6DFB0F0D" w14:textId="77777777" w:rsidR="006F605B" w:rsidRPr="00DC66CD" w:rsidRDefault="006F605B" w:rsidP="00534471">
            <w:pPr>
              <w:snapToGrid w:val="0"/>
              <w:spacing w:after="0" w:line="240" w:lineRule="auto"/>
              <w:rPr>
                <w:rFonts w:ascii="Garamond" w:hAnsi="Garamond"/>
              </w:rPr>
            </w:pPr>
            <w:r w:rsidRPr="00DC66CD">
              <w:rPr>
                <w:rFonts w:ascii="Garamond" w:hAnsi="Garamond"/>
              </w:rPr>
              <w:t>Ulja e ujit pa të ardhura</w:t>
            </w:r>
          </w:p>
        </w:tc>
        <w:tc>
          <w:tcPr>
            <w:tcW w:w="1170" w:type="dxa"/>
          </w:tcPr>
          <w:p w14:paraId="537D59B6"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67%</w:t>
            </w:r>
          </w:p>
        </w:tc>
        <w:tc>
          <w:tcPr>
            <w:tcW w:w="1609" w:type="dxa"/>
          </w:tcPr>
          <w:p w14:paraId="0AE77BDA"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50%</w:t>
            </w:r>
          </w:p>
        </w:tc>
        <w:tc>
          <w:tcPr>
            <w:tcW w:w="0" w:type="auto"/>
          </w:tcPr>
          <w:p w14:paraId="6D8720C6"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45%</w:t>
            </w:r>
          </w:p>
        </w:tc>
      </w:tr>
      <w:tr w:rsidR="006F605B" w:rsidRPr="00DC66CD" w14:paraId="555A16E4" w14:textId="77777777" w:rsidTr="00DB17E8">
        <w:trPr>
          <w:jc w:val="center"/>
        </w:trPr>
        <w:tc>
          <w:tcPr>
            <w:tcW w:w="5418" w:type="dxa"/>
          </w:tcPr>
          <w:p w14:paraId="716DBF1D" w14:textId="53E50EA6" w:rsidR="006F605B" w:rsidRPr="00DC66CD" w:rsidRDefault="006F605B" w:rsidP="00433A3A">
            <w:pPr>
              <w:snapToGrid w:val="0"/>
              <w:spacing w:after="0" w:line="240" w:lineRule="auto"/>
              <w:rPr>
                <w:rFonts w:ascii="Garamond" w:hAnsi="Garamond"/>
              </w:rPr>
            </w:pPr>
            <w:r w:rsidRPr="00DC66CD">
              <w:rPr>
                <w:rFonts w:ascii="Garamond" w:hAnsi="Garamond"/>
              </w:rPr>
              <w:t>Mbulimi i totalit të kostove operative (TOC përfshirë shpenzimet e shlyerjes së huas dhe fondet e rezervës kapitale) me koleksionet aktuale</w:t>
            </w:r>
          </w:p>
        </w:tc>
        <w:tc>
          <w:tcPr>
            <w:tcW w:w="1170" w:type="dxa"/>
          </w:tcPr>
          <w:p w14:paraId="1A49A39D"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66%</w:t>
            </w:r>
          </w:p>
        </w:tc>
        <w:tc>
          <w:tcPr>
            <w:tcW w:w="1609" w:type="dxa"/>
          </w:tcPr>
          <w:p w14:paraId="16167D0E"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82%</w:t>
            </w:r>
          </w:p>
        </w:tc>
        <w:tc>
          <w:tcPr>
            <w:tcW w:w="0" w:type="auto"/>
          </w:tcPr>
          <w:p w14:paraId="77C82C58"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100%</w:t>
            </w:r>
          </w:p>
        </w:tc>
      </w:tr>
      <w:tr w:rsidR="006F605B" w:rsidRPr="00DC66CD" w14:paraId="5DEA9B75" w14:textId="77777777" w:rsidTr="00DB17E8">
        <w:trPr>
          <w:jc w:val="center"/>
        </w:trPr>
        <w:tc>
          <w:tcPr>
            <w:tcW w:w="5418" w:type="dxa"/>
          </w:tcPr>
          <w:p w14:paraId="7C2D0A75" w14:textId="77777777" w:rsidR="006F605B" w:rsidRPr="00DC66CD" w:rsidRDefault="006F605B" w:rsidP="00534471">
            <w:pPr>
              <w:snapToGrid w:val="0"/>
              <w:spacing w:after="0" w:line="240" w:lineRule="auto"/>
              <w:rPr>
                <w:rFonts w:ascii="Garamond" w:hAnsi="Garamond"/>
              </w:rPr>
            </w:pPr>
            <w:r w:rsidRPr="00DC66CD">
              <w:rPr>
                <w:rFonts w:ascii="Garamond" w:hAnsi="Garamond"/>
              </w:rPr>
              <w:t>Mbulimi i furnizimit me ujë në nivelin kombëtar</w:t>
            </w:r>
          </w:p>
        </w:tc>
        <w:tc>
          <w:tcPr>
            <w:tcW w:w="1170" w:type="dxa"/>
          </w:tcPr>
          <w:p w14:paraId="66F71E57"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84.6%</w:t>
            </w:r>
          </w:p>
        </w:tc>
        <w:tc>
          <w:tcPr>
            <w:tcW w:w="1609" w:type="dxa"/>
          </w:tcPr>
          <w:p w14:paraId="3153E8EA"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87.7%</w:t>
            </w:r>
          </w:p>
        </w:tc>
        <w:tc>
          <w:tcPr>
            <w:tcW w:w="0" w:type="auto"/>
          </w:tcPr>
          <w:p w14:paraId="7B1B35C4"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96.4%</w:t>
            </w:r>
          </w:p>
        </w:tc>
      </w:tr>
      <w:tr w:rsidR="006F605B" w:rsidRPr="00DC66CD" w14:paraId="68526CD4" w14:textId="77777777" w:rsidTr="00DB17E8">
        <w:trPr>
          <w:jc w:val="center"/>
        </w:trPr>
        <w:tc>
          <w:tcPr>
            <w:tcW w:w="5418" w:type="dxa"/>
          </w:tcPr>
          <w:p w14:paraId="0C5AD011" w14:textId="37F9050B" w:rsidR="006F605B" w:rsidRPr="00DC66CD" w:rsidRDefault="006F605B" w:rsidP="00534471">
            <w:pPr>
              <w:snapToGrid w:val="0"/>
              <w:spacing w:after="0" w:line="240" w:lineRule="auto"/>
              <w:rPr>
                <w:rFonts w:ascii="Garamond" w:hAnsi="Garamond"/>
              </w:rPr>
            </w:pPr>
            <w:r w:rsidRPr="00DC66CD">
              <w:rPr>
                <w:rFonts w:ascii="Garamond" w:hAnsi="Garamond"/>
              </w:rPr>
              <w:t xml:space="preserve">Mbulimi i </w:t>
            </w:r>
            <w:r w:rsidR="00FB3068" w:rsidRPr="00DC66CD">
              <w:rPr>
                <w:rFonts w:ascii="Garamond" w:hAnsi="Garamond"/>
              </w:rPr>
              <w:t>ujësjellësit për zonat urbane</w:t>
            </w:r>
          </w:p>
        </w:tc>
        <w:tc>
          <w:tcPr>
            <w:tcW w:w="1170" w:type="dxa"/>
          </w:tcPr>
          <w:p w14:paraId="12ECD99F"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94.0%</w:t>
            </w:r>
          </w:p>
        </w:tc>
        <w:tc>
          <w:tcPr>
            <w:tcW w:w="1609" w:type="dxa"/>
          </w:tcPr>
          <w:p w14:paraId="23655A24"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97%</w:t>
            </w:r>
          </w:p>
        </w:tc>
        <w:tc>
          <w:tcPr>
            <w:tcW w:w="0" w:type="auto"/>
          </w:tcPr>
          <w:p w14:paraId="023FE575" w14:textId="77777777" w:rsidR="006F605B" w:rsidRPr="00DC66CD" w:rsidRDefault="006F605B" w:rsidP="00FB3068">
            <w:pPr>
              <w:snapToGrid w:val="0"/>
              <w:spacing w:after="0" w:line="240" w:lineRule="auto"/>
              <w:jc w:val="right"/>
              <w:rPr>
                <w:rFonts w:ascii="Garamond" w:hAnsi="Garamond"/>
              </w:rPr>
            </w:pPr>
            <w:r w:rsidRPr="00DC66CD">
              <w:rPr>
                <w:rFonts w:ascii="Garamond" w:hAnsi="Garamond"/>
              </w:rPr>
              <w:t>98%</w:t>
            </w:r>
          </w:p>
        </w:tc>
      </w:tr>
    </w:tbl>
    <w:p w14:paraId="3D25EB1E" w14:textId="77777777" w:rsidR="006F605B" w:rsidRPr="00DC66CD" w:rsidRDefault="006F605B" w:rsidP="006F605B">
      <w:pPr>
        <w:snapToGrid w:val="0"/>
        <w:spacing w:after="0" w:line="240" w:lineRule="auto"/>
        <w:ind w:firstLine="284"/>
        <w:rPr>
          <w:rFonts w:ascii="Garamond" w:hAnsi="Garamond"/>
          <w:sz w:val="24"/>
          <w:szCs w:val="24"/>
        </w:rPr>
      </w:pPr>
    </w:p>
    <w:p w14:paraId="72B9B02B" w14:textId="68C30007" w:rsidR="006F605B" w:rsidRPr="00DC66CD" w:rsidRDefault="00534471" w:rsidP="00534471">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4. </w:t>
      </w:r>
      <w:r w:rsidR="006F605B" w:rsidRPr="00DC66CD">
        <w:rPr>
          <w:rFonts w:ascii="Garamond" w:hAnsi="Garamond"/>
          <w:color w:val="000000" w:themeColor="text1"/>
          <w:sz w:val="24"/>
          <w:szCs w:val="24"/>
        </w:rPr>
        <w:t>Ndikimi i pritshëm në konkurrueshmëri</w:t>
      </w:r>
    </w:p>
    <w:p w14:paraId="4B879263" w14:textId="731A8DC9" w:rsidR="006F605B" w:rsidRPr="00DC66CD" w:rsidRDefault="006F605B" w:rsidP="00DB17E8">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Veprimet e parashikuara kanë disa dimensione të ndikimit në shoqërinë dhe ekonominë me karaktere të ndryshme, siç janë:</w:t>
      </w:r>
      <w:r w:rsidR="00DB17E8" w:rsidRPr="00DC66CD">
        <w:rPr>
          <w:rFonts w:ascii="Garamond" w:hAnsi="Garamond"/>
          <w:color w:val="000000" w:themeColor="text1"/>
          <w:sz w:val="24"/>
          <w:szCs w:val="24"/>
        </w:rPr>
        <w:t xml:space="preserve"> </w:t>
      </w:r>
      <w:r w:rsidRPr="00DC66CD">
        <w:rPr>
          <w:rFonts w:ascii="Garamond" w:hAnsi="Garamond"/>
          <w:color w:val="000000" w:themeColor="text1"/>
          <w:sz w:val="24"/>
          <w:szCs w:val="24"/>
        </w:rPr>
        <w:t>- Zbatimi i parimit të konsumatorit paguan;</w:t>
      </w:r>
      <w:r w:rsidR="00DB17E8" w:rsidRPr="00DC66CD">
        <w:rPr>
          <w:rFonts w:ascii="Garamond" w:hAnsi="Garamond"/>
          <w:color w:val="000000" w:themeColor="text1"/>
          <w:sz w:val="24"/>
          <w:szCs w:val="24"/>
        </w:rPr>
        <w:t xml:space="preserve"> </w:t>
      </w:r>
      <w:r w:rsidRPr="00DC66CD">
        <w:rPr>
          <w:rFonts w:ascii="Garamond" w:hAnsi="Garamond"/>
          <w:color w:val="000000" w:themeColor="text1"/>
          <w:sz w:val="24"/>
          <w:szCs w:val="24"/>
        </w:rPr>
        <w:t>- Siguroni një klimë më të mirë për turizmin;</w:t>
      </w:r>
      <w:r w:rsidR="00DB17E8" w:rsidRPr="00DC66CD">
        <w:rPr>
          <w:rFonts w:ascii="Garamond" w:hAnsi="Garamond"/>
          <w:color w:val="000000" w:themeColor="text1"/>
          <w:sz w:val="24"/>
          <w:szCs w:val="24"/>
        </w:rPr>
        <w:t xml:space="preserve"> </w:t>
      </w:r>
      <w:r w:rsidRPr="00DC66CD">
        <w:rPr>
          <w:rFonts w:ascii="Garamond" w:hAnsi="Garamond"/>
          <w:color w:val="000000" w:themeColor="text1"/>
          <w:sz w:val="24"/>
          <w:szCs w:val="24"/>
        </w:rPr>
        <w:t>- Zbatimi i ligjit, zvogëlimi i informalitetit;</w:t>
      </w:r>
      <w:r w:rsidR="00DB17E8" w:rsidRPr="00DC66CD">
        <w:rPr>
          <w:rFonts w:ascii="Garamond" w:hAnsi="Garamond"/>
          <w:color w:val="000000" w:themeColor="text1"/>
          <w:sz w:val="24"/>
          <w:szCs w:val="24"/>
        </w:rPr>
        <w:t xml:space="preserve"> </w:t>
      </w:r>
      <w:r w:rsidRPr="00DC66CD">
        <w:rPr>
          <w:rFonts w:ascii="Garamond" w:hAnsi="Garamond"/>
          <w:color w:val="000000" w:themeColor="text1"/>
          <w:sz w:val="24"/>
          <w:szCs w:val="24"/>
        </w:rPr>
        <w:t xml:space="preserve">- </w:t>
      </w:r>
      <w:r w:rsidR="00DB17E8" w:rsidRPr="00DC66CD">
        <w:rPr>
          <w:rFonts w:ascii="Garamond" w:hAnsi="Garamond"/>
          <w:color w:val="000000" w:themeColor="text1"/>
          <w:sz w:val="24"/>
          <w:szCs w:val="24"/>
        </w:rPr>
        <w:t xml:space="preserve">Ofrimin </w:t>
      </w:r>
      <w:r w:rsidRPr="00DC66CD">
        <w:rPr>
          <w:rFonts w:ascii="Garamond" w:hAnsi="Garamond"/>
          <w:color w:val="000000" w:themeColor="text1"/>
          <w:sz w:val="24"/>
          <w:szCs w:val="24"/>
        </w:rPr>
        <w:t>e qytetarëve për shërbimin që ata meritojnë;</w:t>
      </w:r>
      <w:r w:rsidR="00DB17E8" w:rsidRPr="00DC66CD">
        <w:rPr>
          <w:rFonts w:ascii="Garamond" w:hAnsi="Garamond"/>
          <w:color w:val="000000" w:themeColor="text1"/>
          <w:sz w:val="24"/>
          <w:szCs w:val="24"/>
        </w:rPr>
        <w:t xml:space="preserve"> </w:t>
      </w:r>
      <w:r w:rsidRPr="00DC66CD">
        <w:rPr>
          <w:rFonts w:ascii="Garamond" w:hAnsi="Garamond"/>
          <w:color w:val="000000" w:themeColor="text1"/>
          <w:sz w:val="24"/>
          <w:szCs w:val="24"/>
        </w:rPr>
        <w:t>- Mbështetje për shëndetin, sigurinë dhe përgjegjësitë sociale përmes qeverisjes;</w:t>
      </w:r>
      <w:r w:rsidR="00DB17E8" w:rsidRPr="00DC66CD">
        <w:rPr>
          <w:rFonts w:ascii="Garamond" w:hAnsi="Garamond"/>
          <w:color w:val="000000" w:themeColor="text1"/>
          <w:sz w:val="24"/>
          <w:szCs w:val="24"/>
        </w:rPr>
        <w:t xml:space="preserve"> </w:t>
      </w:r>
      <w:r w:rsidRPr="00DC66CD">
        <w:rPr>
          <w:rFonts w:ascii="Garamond" w:hAnsi="Garamond"/>
          <w:color w:val="000000" w:themeColor="text1"/>
          <w:sz w:val="24"/>
          <w:szCs w:val="24"/>
        </w:rPr>
        <w:t>- Mbështet stabilitetin financiar dhe efikasitetin;- Mbështet mbrojtjen e mjedisit.</w:t>
      </w:r>
    </w:p>
    <w:p w14:paraId="61D1CC9E" w14:textId="5CBE3AC6" w:rsidR="006F605B" w:rsidRPr="00DC66CD" w:rsidRDefault="00534471" w:rsidP="00534471">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5. </w:t>
      </w:r>
      <w:r w:rsidR="006F605B" w:rsidRPr="00DC66CD">
        <w:rPr>
          <w:rFonts w:ascii="Garamond" w:hAnsi="Garamond"/>
          <w:color w:val="000000" w:themeColor="text1"/>
          <w:sz w:val="24"/>
          <w:szCs w:val="24"/>
        </w:rPr>
        <w:t>Kosto</w:t>
      </w:r>
      <w:r w:rsidR="00DB17E8" w:rsidRPr="00DC66CD">
        <w:rPr>
          <w:rFonts w:ascii="Garamond" w:hAnsi="Garamond"/>
          <w:color w:val="000000" w:themeColor="text1"/>
          <w:sz w:val="24"/>
          <w:szCs w:val="24"/>
        </w:rPr>
        <w:t>ja</w:t>
      </w:r>
      <w:r w:rsidR="006F605B" w:rsidRPr="00DC66CD">
        <w:rPr>
          <w:rFonts w:ascii="Garamond" w:hAnsi="Garamond"/>
          <w:color w:val="000000" w:themeColor="text1"/>
          <w:sz w:val="24"/>
          <w:szCs w:val="24"/>
        </w:rPr>
        <w:t xml:space="preserve"> e parashikuar e aktiviteteve dhe burimi i financimit</w:t>
      </w:r>
    </w:p>
    <w:p w14:paraId="48A3C5A1" w14:textId="16EC9CD0"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 xml:space="preserve">Disa nga veprimet do të kenë ndikim në buxhet; megjithatë shifrat e sakta janë ende duke u llogaritur. Furnizimi me ujë i bregdetit 24/7; </w:t>
      </w:r>
      <w:r w:rsidR="00433A3A" w:rsidRPr="00DC66CD">
        <w:rPr>
          <w:rFonts w:ascii="Garamond" w:hAnsi="Garamond"/>
          <w:color w:val="000000" w:themeColor="text1"/>
          <w:sz w:val="24"/>
          <w:szCs w:val="24"/>
        </w:rPr>
        <w:t>u</w:t>
      </w:r>
      <w:r w:rsidRPr="00DC66CD">
        <w:rPr>
          <w:rFonts w:ascii="Garamond" w:hAnsi="Garamond"/>
          <w:color w:val="000000" w:themeColor="text1"/>
          <w:sz w:val="24"/>
          <w:szCs w:val="24"/>
        </w:rPr>
        <w:t>lje 20% NRW - 60 milion</w:t>
      </w:r>
      <w:r w:rsidR="00433A3A" w:rsidRPr="00DC66CD">
        <w:rPr>
          <w:rFonts w:ascii="Garamond" w:hAnsi="Garamond"/>
          <w:color w:val="000000" w:themeColor="text1"/>
          <w:sz w:val="24"/>
          <w:szCs w:val="24"/>
        </w:rPr>
        <w:t>ë</w:t>
      </w:r>
      <w:r w:rsidRPr="00DC66CD">
        <w:rPr>
          <w:rFonts w:ascii="Garamond" w:hAnsi="Garamond"/>
          <w:color w:val="000000" w:themeColor="text1"/>
          <w:sz w:val="24"/>
          <w:szCs w:val="24"/>
        </w:rPr>
        <w:t xml:space="preserve"> </w:t>
      </w:r>
      <w:r w:rsidR="00433A3A" w:rsidRPr="00DC66CD">
        <w:rPr>
          <w:rFonts w:ascii="Garamond" w:hAnsi="Garamond"/>
          <w:color w:val="000000" w:themeColor="text1"/>
          <w:sz w:val="24"/>
          <w:szCs w:val="24"/>
        </w:rPr>
        <w:t>e</w:t>
      </w:r>
      <w:r w:rsidRPr="00DC66CD">
        <w:rPr>
          <w:rFonts w:ascii="Garamond" w:hAnsi="Garamond"/>
          <w:color w:val="000000" w:themeColor="text1"/>
          <w:sz w:val="24"/>
          <w:szCs w:val="24"/>
        </w:rPr>
        <w:t>uro; 80 milion</w:t>
      </w:r>
      <w:r w:rsidR="00433A3A" w:rsidRPr="00DC66CD">
        <w:rPr>
          <w:rFonts w:ascii="Garamond" w:hAnsi="Garamond"/>
          <w:color w:val="000000" w:themeColor="text1"/>
          <w:sz w:val="24"/>
          <w:szCs w:val="24"/>
        </w:rPr>
        <w:t>ë</w:t>
      </w:r>
      <w:r w:rsidRPr="00DC66CD">
        <w:rPr>
          <w:rFonts w:ascii="Garamond" w:hAnsi="Garamond"/>
          <w:color w:val="000000" w:themeColor="text1"/>
          <w:sz w:val="24"/>
          <w:szCs w:val="24"/>
        </w:rPr>
        <w:t xml:space="preserve"> </w:t>
      </w:r>
      <w:r w:rsidR="00433A3A" w:rsidRPr="00DC66CD">
        <w:rPr>
          <w:rFonts w:ascii="Garamond" w:hAnsi="Garamond"/>
          <w:color w:val="000000" w:themeColor="text1"/>
          <w:sz w:val="24"/>
          <w:szCs w:val="24"/>
        </w:rPr>
        <w:t>e</w:t>
      </w:r>
      <w:r w:rsidRPr="00DC66CD">
        <w:rPr>
          <w:rFonts w:ascii="Garamond" w:hAnsi="Garamond"/>
          <w:color w:val="000000" w:themeColor="text1"/>
          <w:sz w:val="24"/>
          <w:szCs w:val="24"/>
        </w:rPr>
        <w:t>uro furnizim me ujë; 280 milion</w:t>
      </w:r>
      <w:r w:rsidR="00433A3A" w:rsidRPr="00DC66CD">
        <w:rPr>
          <w:rFonts w:ascii="Garamond" w:hAnsi="Garamond"/>
          <w:color w:val="000000" w:themeColor="text1"/>
          <w:sz w:val="24"/>
          <w:szCs w:val="24"/>
        </w:rPr>
        <w:t>ë</w:t>
      </w:r>
      <w:r w:rsidRPr="00DC66CD">
        <w:rPr>
          <w:rFonts w:ascii="Garamond" w:hAnsi="Garamond"/>
          <w:color w:val="000000" w:themeColor="text1"/>
          <w:sz w:val="24"/>
          <w:szCs w:val="24"/>
        </w:rPr>
        <w:t xml:space="preserve"> </w:t>
      </w:r>
      <w:r w:rsidR="00433A3A" w:rsidRPr="00DC66CD">
        <w:rPr>
          <w:rFonts w:ascii="Garamond" w:hAnsi="Garamond"/>
          <w:color w:val="000000" w:themeColor="text1"/>
          <w:sz w:val="24"/>
          <w:szCs w:val="24"/>
        </w:rPr>
        <w:t>e</w:t>
      </w:r>
      <w:r w:rsidRPr="00DC66CD">
        <w:rPr>
          <w:rFonts w:ascii="Garamond" w:hAnsi="Garamond"/>
          <w:color w:val="000000" w:themeColor="text1"/>
          <w:sz w:val="24"/>
          <w:szCs w:val="24"/>
        </w:rPr>
        <w:t>uro WWTP të ujërave të zeza; Gjithsej - 360 milion</w:t>
      </w:r>
      <w:r w:rsidR="00433A3A" w:rsidRPr="00DC66CD">
        <w:rPr>
          <w:rFonts w:ascii="Garamond" w:hAnsi="Garamond"/>
          <w:color w:val="000000" w:themeColor="text1"/>
          <w:sz w:val="24"/>
          <w:szCs w:val="24"/>
        </w:rPr>
        <w:t>ë</w:t>
      </w:r>
      <w:r w:rsidRPr="00DC66CD">
        <w:rPr>
          <w:rFonts w:ascii="Garamond" w:hAnsi="Garamond"/>
          <w:color w:val="000000" w:themeColor="text1"/>
          <w:sz w:val="24"/>
          <w:szCs w:val="24"/>
        </w:rPr>
        <w:t xml:space="preserve"> </w:t>
      </w:r>
      <w:r w:rsidR="00433A3A" w:rsidRPr="00DC66CD">
        <w:rPr>
          <w:rFonts w:ascii="Garamond" w:hAnsi="Garamond"/>
          <w:color w:val="000000" w:themeColor="text1"/>
          <w:sz w:val="24"/>
          <w:szCs w:val="24"/>
        </w:rPr>
        <w:t>e</w:t>
      </w:r>
      <w:r w:rsidRPr="00DC66CD">
        <w:rPr>
          <w:rFonts w:ascii="Garamond" w:hAnsi="Garamond"/>
          <w:color w:val="000000" w:themeColor="text1"/>
          <w:sz w:val="24"/>
          <w:szCs w:val="24"/>
        </w:rPr>
        <w:t>uro (</w:t>
      </w:r>
      <w:r w:rsidR="00433A3A" w:rsidRPr="00DC66CD">
        <w:rPr>
          <w:rFonts w:ascii="Garamond" w:hAnsi="Garamond"/>
          <w:color w:val="000000" w:themeColor="text1"/>
          <w:sz w:val="24"/>
          <w:szCs w:val="24"/>
        </w:rPr>
        <w:t>2018–</w:t>
      </w:r>
      <w:r w:rsidRPr="00DC66CD">
        <w:rPr>
          <w:rFonts w:ascii="Garamond" w:hAnsi="Garamond"/>
          <w:color w:val="000000" w:themeColor="text1"/>
          <w:sz w:val="24"/>
          <w:szCs w:val="24"/>
        </w:rPr>
        <w:t>2021).</w:t>
      </w:r>
    </w:p>
    <w:p w14:paraId="61969C95" w14:textId="5A607648" w:rsidR="006F605B" w:rsidRPr="00DC66CD" w:rsidRDefault="00534471" w:rsidP="00534471">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6. </w:t>
      </w:r>
      <w:r w:rsidR="006F605B" w:rsidRPr="00DC66CD">
        <w:rPr>
          <w:rFonts w:ascii="Garamond" w:hAnsi="Garamond"/>
          <w:color w:val="000000" w:themeColor="text1"/>
          <w:sz w:val="24"/>
          <w:szCs w:val="24"/>
        </w:rPr>
        <w:t>Ndikimi i pritshëm në rezultatet sociale, si</w:t>
      </w:r>
      <w:r w:rsidR="00DB17E8" w:rsidRPr="00DC66CD">
        <w:rPr>
          <w:rFonts w:ascii="Garamond" w:hAnsi="Garamond"/>
          <w:color w:val="000000" w:themeColor="text1"/>
          <w:sz w:val="24"/>
          <w:szCs w:val="24"/>
        </w:rPr>
        <w:t>:</w:t>
      </w:r>
      <w:r w:rsidR="006F605B" w:rsidRPr="00DC66CD">
        <w:rPr>
          <w:rFonts w:ascii="Garamond" w:hAnsi="Garamond"/>
          <w:color w:val="000000" w:themeColor="text1"/>
          <w:sz w:val="24"/>
          <w:szCs w:val="24"/>
        </w:rPr>
        <w:t xml:space="preserve"> punësimi, ulja e varfërisë, barazia dhe gjinia</w:t>
      </w:r>
    </w:p>
    <w:p w14:paraId="6A01E0DC" w14:textId="2C8EA418"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Kjo është një masë reforme neutrale gjinore. Do të ketë një efekt të drejtpërdrejtë në punësimin gjatë fazës së ndërtimit të impianteve të trajtimit të ujërave të ndotura dhe të ujërave të zeza në një afat të shkurtër dhe mund të ketë një efekt pozitiv indirekt në punësimin në sektor</w:t>
      </w:r>
      <w:r w:rsidR="007206A4" w:rsidRPr="00DC66CD">
        <w:rPr>
          <w:rFonts w:ascii="Garamond" w:hAnsi="Garamond"/>
          <w:color w:val="000000" w:themeColor="text1"/>
          <w:sz w:val="24"/>
          <w:szCs w:val="24"/>
        </w:rPr>
        <w:t>ë të tillë si turizmi, bujqësia</w:t>
      </w:r>
      <w:r w:rsidRPr="00DC66CD">
        <w:rPr>
          <w:rFonts w:ascii="Garamond" w:hAnsi="Garamond"/>
          <w:color w:val="000000" w:themeColor="text1"/>
          <w:sz w:val="24"/>
          <w:szCs w:val="24"/>
        </w:rPr>
        <w:t xml:space="preserve"> etj.</w:t>
      </w:r>
    </w:p>
    <w:p w14:paraId="088AD68A" w14:textId="705646CE" w:rsidR="006F605B" w:rsidRPr="00DC66CD" w:rsidRDefault="00534471" w:rsidP="00534471">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7. </w:t>
      </w:r>
      <w:r w:rsidR="006F605B" w:rsidRPr="00DC66CD">
        <w:rPr>
          <w:rFonts w:ascii="Garamond" w:hAnsi="Garamond"/>
          <w:color w:val="000000" w:themeColor="text1"/>
          <w:sz w:val="24"/>
          <w:szCs w:val="24"/>
        </w:rPr>
        <w:t>Ndikimi i pritshëm në mjedis</w:t>
      </w:r>
    </w:p>
    <w:p w14:paraId="51551019" w14:textId="012725BF"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 xml:space="preserve">Një nga </w:t>
      </w:r>
      <w:r w:rsidR="00DB17E8" w:rsidRPr="00DC66CD">
        <w:rPr>
          <w:rFonts w:ascii="Garamond" w:hAnsi="Garamond"/>
          <w:color w:val="000000" w:themeColor="text1"/>
          <w:sz w:val="24"/>
          <w:szCs w:val="24"/>
        </w:rPr>
        <w:t xml:space="preserve">misionet dhe objektivat strategjikë </w:t>
      </w:r>
      <w:r w:rsidRPr="00DC66CD">
        <w:rPr>
          <w:rFonts w:ascii="Garamond" w:hAnsi="Garamond"/>
          <w:color w:val="000000" w:themeColor="text1"/>
          <w:sz w:val="24"/>
          <w:szCs w:val="24"/>
        </w:rPr>
        <w:t xml:space="preserve">të Strategjisë Kombëtare të Shërbimeve </w:t>
      </w:r>
      <w:r w:rsidR="00DB17E8" w:rsidRPr="00DC66CD">
        <w:rPr>
          <w:rFonts w:ascii="Garamond" w:hAnsi="Garamond"/>
          <w:color w:val="000000" w:themeColor="text1"/>
          <w:sz w:val="24"/>
          <w:szCs w:val="24"/>
        </w:rPr>
        <w:t>të Ujësjellës-</w:t>
      </w:r>
      <w:r w:rsidR="00433A3A" w:rsidRPr="00DC66CD">
        <w:rPr>
          <w:rFonts w:ascii="Garamond" w:hAnsi="Garamond"/>
          <w:color w:val="000000" w:themeColor="text1"/>
          <w:sz w:val="24"/>
          <w:szCs w:val="24"/>
        </w:rPr>
        <w:t>Kanalizimeve</w:t>
      </w:r>
      <w:r w:rsidR="00DB17E8" w:rsidRPr="00DC66CD">
        <w:rPr>
          <w:rFonts w:ascii="Garamond" w:hAnsi="Garamond"/>
          <w:color w:val="000000" w:themeColor="text1"/>
          <w:sz w:val="24"/>
          <w:szCs w:val="24"/>
        </w:rPr>
        <w:t>,</w:t>
      </w:r>
      <w:r w:rsidR="00433A3A" w:rsidRPr="00DC66CD">
        <w:rPr>
          <w:rFonts w:ascii="Garamond" w:hAnsi="Garamond"/>
          <w:color w:val="000000" w:themeColor="text1"/>
          <w:sz w:val="24"/>
          <w:szCs w:val="24"/>
        </w:rPr>
        <w:t xml:space="preserve"> 2019–</w:t>
      </w:r>
      <w:r w:rsidRPr="00DC66CD">
        <w:rPr>
          <w:rFonts w:ascii="Garamond" w:hAnsi="Garamond"/>
          <w:color w:val="000000" w:themeColor="text1"/>
          <w:sz w:val="24"/>
          <w:szCs w:val="24"/>
        </w:rPr>
        <w:t>2030</w:t>
      </w:r>
      <w:r w:rsidR="00DB17E8"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është të sigurojë mbledhjen, trajtimin dhe depozitimin cilësor për të mbrojtur shëndetin publik dhe në përputhje me rregulloret kombëtare të mjedisit.</w:t>
      </w:r>
    </w:p>
    <w:p w14:paraId="4757701D" w14:textId="77777777"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Të zhvillojë studime të fizibilitetit të projekteve të infrastrukturës për të përfshirë vlerësimet e ndikimit në mjedis dhe social, mjetet e monitorimit dhe praktikat e tjera që synojnë arritjen e furnizimit me ujë 24/7 në zonat bregdetare.</w:t>
      </w:r>
    </w:p>
    <w:p w14:paraId="2067DFAD" w14:textId="3ECEDCAE" w:rsidR="006F605B" w:rsidRPr="00DC66CD" w:rsidRDefault="00534471" w:rsidP="00534471">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8. </w:t>
      </w:r>
      <w:r w:rsidR="006F605B" w:rsidRPr="00DC66CD">
        <w:rPr>
          <w:rFonts w:ascii="Garamond" w:hAnsi="Garamond"/>
          <w:color w:val="000000" w:themeColor="text1"/>
          <w:sz w:val="24"/>
          <w:szCs w:val="24"/>
        </w:rPr>
        <w:t>Rreziqet e mundshme</w:t>
      </w:r>
    </w:p>
    <w:p w14:paraId="4BFCBBAD" w14:textId="77777777" w:rsidR="006F605B" w:rsidRPr="00DC66CD" w:rsidRDefault="006F605B" w:rsidP="006F605B">
      <w:pPr>
        <w:snapToGrid w:val="0"/>
        <w:spacing w:after="0" w:line="240" w:lineRule="auto"/>
        <w:ind w:firstLine="284"/>
        <w:rPr>
          <w:rFonts w:ascii="Garamond" w:hAnsi="Garamond"/>
          <w:sz w:val="24"/>
          <w:szCs w:val="24"/>
        </w:rPr>
      </w:pPr>
    </w:p>
    <w:tbl>
      <w:tblPr>
        <w:tblStyle w:val="TableGrid1"/>
        <w:tblW w:w="0" w:type="auto"/>
        <w:jc w:val="center"/>
        <w:tblLook w:val="04A0" w:firstRow="1" w:lastRow="0" w:firstColumn="1" w:lastColumn="0" w:noHBand="0" w:noVBand="1"/>
      </w:tblPr>
      <w:tblGrid>
        <w:gridCol w:w="3664"/>
        <w:gridCol w:w="1548"/>
        <w:gridCol w:w="4068"/>
      </w:tblGrid>
      <w:tr w:rsidR="006F605B" w:rsidRPr="00DC66CD" w14:paraId="06C2C188" w14:textId="77777777" w:rsidTr="00DB17E8">
        <w:trPr>
          <w:jc w:val="center"/>
        </w:trPr>
        <w:tc>
          <w:tcPr>
            <w:tcW w:w="3823" w:type="dxa"/>
          </w:tcPr>
          <w:p w14:paraId="39B8BA4C" w14:textId="77777777" w:rsidR="006F605B" w:rsidRPr="00DC66CD" w:rsidRDefault="006F605B" w:rsidP="00DB17E8">
            <w:pPr>
              <w:snapToGrid w:val="0"/>
              <w:jc w:val="center"/>
              <w:rPr>
                <w:rFonts w:ascii="Garamond" w:hAnsi="Garamond"/>
                <w:b/>
                <w:lang w:val="sq-AL"/>
              </w:rPr>
            </w:pPr>
            <w:r w:rsidRPr="00DC66CD">
              <w:rPr>
                <w:rFonts w:ascii="Garamond" w:hAnsi="Garamond"/>
                <w:b/>
                <w:lang w:val="sq-AL"/>
              </w:rPr>
              <w:t>Rreziku</w:t>
            </w:r>
          </w:p>
        </w:tc>
        <w:tc>
          <w:tcPr>
            <w:tcW w:w="1559" w:type="dxa"/>
          </w:tcPr>
          <w:p w14:paraId="7ECFBAB1" w14:textId="393571C9" w:rsidR="006F605B" w:rsidRPr="00DC66CD" w:rsidRDefault="006F605B" w:rsidP="00DB17E8">
            <w:pPr>
              <w:snapToGrid w:val="0"/>
              <w:jc w:val="center"/>
              <w:rPr>
                <w:rFonts w:ascii="Garamond" w:hAnsi="Garamond"/>
                <w:b/>
                <w:lang w:val="sq-AL"/>
              </w:rPr>
            </w:pPr>
            <w:r w:rsidRPr="00DC66CD">
              <w:rPr>
                <w:rFonts w:ascii="Garamond" w:hAnsi="Garamond"/>
                <w:b/>
                <w:lang w:val="sq-AL"/>
              </w:rPr>
              <w:t xml:space="preserve">Probabiliteti </w:t>
            </w:r>
            <w:r w:rsidR="00F85068" w:rsidRPr="00DC66CD">
              <w:rPr>
                <w:rFonts w:ascii="Garamond" w:hAnsi="Garamond"/>
                <w:b/>
                <w:lang w:val="sq-AL"/>
              </w:rPr>
              <w:t>(i ulët, i lartë)</w:t>
            </w:r>
          </w:p>
        </w:tc>
        <w:tc>
          <w:tcPr>
            <w:tcW w:w="4240" w:type="dxa"/>
          </w:tcPr>
          <w:p w14:paraId="023A0447" w14:textId="77777777" w:rsidR="006F605B" w:rsidRPr="00DC66CD" w:rsidRDefault="006F605B" w:rsidP="00DB17E8">
            <w:pPr>
              <w:snapToGrid w:val="0"/>
              <w:jc w:val="center"/>
              <w:rPr>
                <w:rFonts w:ascii="Garamond" w:hAnsi="Garamond"/>
                <w:b/>
                <w:lang w:val="sq-AL"/>
              </w:rPr>
            </w:pPr>
            <w:r w:rsidRPr="00DC66CD">
              <w:rPr>
                <w:rFonts w:ascii="Garamond" w:hAnsi="Garamond"/>
                <w:b/>
                <w:lang w:val="sq-AL"/>
              </w:rPr>
              <w:t>Veprimi i planifikuar për uljen e rrezikut</w:t>
            </w:r>
          </w:p>
        </w:tc>
      </w:tr>
      <w:tr w:rsidR="006F605B" w:rsidRPr="00DC66CD" w14:paraId="5B44821F" w14:textId="77777777" w:rsidTr="00DB17E8">
        <w:trPr>
          <w:jc w:val="center"/>
        </w:trPr>
        <w:tc>
          <w:tcPr>
            <w:tcW w:w="3823" w:type="dxa"/>
          </w:tcPr>
          <w:p w14:paraId="7887388D" w14:textId="77777777" w:rsidR="006F605B" w:rsidRPr="00DC66CD" w:rsidRDefault="006F605B" w:rsidP="00534471">
            <w:pPr>
              <w:snapToGrid w:val="0"/>
              <w:rPr>
                <w:rFonts w:ascii="Garamond" w:hAnsi="Garamond"/>
                <w:lang w:val="sq-AL"/>
              </w:rPr>
            </w:pPr>
            <w:r w:rsidRPr="00DC66CD">
              <w:rPr>
                <w:rFonts w:ascii="Garamond" w:hAnsi="Garamond"/>
                <w:lang w:val="sq-AL"/>
              </w:rPr>
              <w:t>Vonesa për shkak të mungesës së fondeve</w:t>
            </w:r>
          </w:p>
        </w:tc>
        <w:tc>
          <w:tcPr>
            <w:tcW w:w="1559" w:type="dxa"/>
          </w:tcPr>
          <w:p w14:paraId="76916841" w14:textId="77777777" w:rsidR="006F605B" w:rsidRPr="00DC66CD" w:rsidRDefault="006F605B" w:rsidP="00DB17E8">
            <w:pPr>
              <w:snapToGrid w:val="0"/>
              <w:jc w:val="right"/>
              <w:rPr>
                <w:rFonts w:ascii="Garamond" w:hAnsi="Garamond"/>
                <w:lang w:val="sq-AL"/>
              </w:rPr>
            </w:pPr>
            <w:r w:rsidRPr="00DC66CD">
              <w:rPr>
                <w:rFonts w:ascii="Garamond" w:hAnsi="Garamond"/>
                <w:lang w:val="sq-AL"/>
              </w:rPr>
              <w:t>(5%)</w:t>
            </w:r>
          </w:p>
        </w:tc>
        <w:tc>
          <w:tcPr>
            <w:tcW w:w="4240" w:type="dxa"/>
          </w:tcPr>
          <w:p w14:paraId="43597E06" w14:textId="77777777" w:rsidR="006F605B" w:rsidRPr="00DC66CD" w:rsidRDefault="006F605B" w:rsidP="00534471">
            <w:pPr>
              <w:snapToGrid w:val="0"/>
              <w:rPr>
                <w:rFonts w:ascii="Garamond" w:hAnsi="Garamond"/>
                <w:lang w:val="sq-AL"/>
              </w:rPr>
            </w:pPr>
            <w:r w:rsidRPr="00DC66CD">
              <w:rPr>
                <w:rFonts w:ascii="Garamond" w:hAnsi="Garamond"/>
                <w:lang w:val="sq-AL"/>
              </w:rPr>
              <w:t>Një planifikim i kujdesshëm në nivelin qendror</w:t>
            </w:r>
          </w:p>
        </w:tc>
      </w:tr>
      <w:tr w:rsidR="006F605B" w:rsidRPr="00DC66CD" w14:paraId="17A8DC77" w14:textId="77777777" w:rsidTr="00DB17E8">
        <w:trPr>
          <w:jc w:val="center"/>
        </w:trPr>
        <w:tc>
          <w:tcPr>
            <w:tcW w:w="3823" w:type="dxa"/>
          </w:tcPr>
          <w:p w14:paraId="6E40C636" w14:textId="77777777" w:rsidR="006F605B" w:rsidRPr="00DC66CD" w:rsidRDefault="006F605B" w:rsidP="00534471">
            <w:pPr>
              <w:snapToGrid w:val="0"/>
              <w:rPr>
                <w:rFonts w:ascii="Garamond" w:hAnsi="Garamond"/>
                <w:lang w:val="sq-AL"/>
              </w:rPr>
            </w:pPr>
            <w:r w:rsidRPr="00DC66CD">
              <w:rPr>
                <w:rFonts w:ascii="Garamond" w:hAnsi="Garamond"/>
                <w:lang w:val="sq-AL"/>
              </w:rPr>
              <w:t>Vonesa për shkak të ngarkesës në punë</w:t>
            </w:r>
          </w:p>
        </w:tc>
        <w:tc>
          <w:tcPr>
            <w:tcW w:w="1559" w:type="dxa"/>
          </w:tcPr>
          <w:p w14:paraId="4600F57C" w14:textId="77777777" w:rsidR="006F605B" w:rsidRPr="00DC66CD" w:rsidRDefault="006F605B" w:rsidP="00DB17E8">
            <w:pPr>
              <w:snapToGrid w:val="0"/>
              <w:jc w:val="right"/>
              <w:rPr>
                <w:rFonts w:ascii="Garamond" w:hAnsi="Garamond"/>
                <w:lang w:val="sq-AL"/>
              </w:rPr>
            </w:pPr>
            <w:r w:rsidRPr="00DC66CD">
              <w:rPr>
                <w:rFonts w:ascii="Garamond" w:hAnsi="Garamond"/>
                <w:lang w:val="sq-AL"/>
              </w:rPr>
              <w:t>(15 %)</w:t>
            </w:r>
          </w:p>
        </w:tc>
        <w:tc>
          <w:tcPr>
            <w:tcW w:w="4240" w:type="dxa"/>
          </w:tcPr>
          <w:p w14:paraId="2DD6773B" w14:textId="4E47BB9E" w:rsidR="006F605B" w:rsidRPr="00DC66CD" w:rsidRDefault="00DB17E8" w:rsidP="00534471">
            <w:pPr>
              <w:snapToGrid w:val="0"/>
              <w:rPr>
                <w:rFonts w:ascii="Garamond" w:hAnsi="Garamond"/>
                <w:lang w:val="sq-AL"/>
              </w:rPr>
            </w:pPr>
            <w:r w:rsidRPr="00DC66CD">
              <w:rPr>
                <w:rFonts w:ascii="Garamond" w:hAnsi="Garamond"/>
                <w:lang w:val="sq-AL"/>
              </w:rPr>
              <w:t xml:space="preserve">Një </w:t>
            </w:r>
            <w:r w:rsidR="006F605B" w:rsidRPr="00DC66CD">
              <w:rPr>
                <w:rFonts w:ascii="Garamond" w:hAnsi="Garamond"/>
                <w:lang w:val="sq-AL"/>
              </w:rPr>
              <w:t>ekip që ka filluar punën për hartimin e një plani të detajuar</w:t>
            </w:r>
          </w:p>
        </w:tc>
      </w:tr>
      <w:tr w:rsidR="006F605B" w:rsidRPr="00DC66CD" w14:paraId="2D7BDAFD" w14:textId="77777777" w:rsidTr="00DB17E8">
        <w:trPr>
          <w:jc w:val="center"/>
        </w:trPr>
        <w:tc>
          <w:tcPr>
            <w:tcW w:w="3823" w:type="dxa"/>
          </w:tcPr>
          <w:p w14:paraId="441E8664" w14:textId="77777777" w:rsidR="006F605B" w:rsidRPr="00DC66CD" w:rsidRDefault="006F605B" w:rsidP="00534471">
            <w:pPr>
              <w:snapToGrid w:val="0"/>
              <w:rPr>
                <w:rFonts w:ascii="Garamond" w:hAnsi="Garamond"/>
                <w:lang w:val="sq-AL"/>
              </w:rPr>
            </w:pPr>
            <w:r w:rsidRPr="00DC66CD">
              <w:rPr>
                <w:rFonts w:ascii="Garamond" w:hAnsi="Garamond"/>
                <w:lang w:val="sq-AL"/>
              </w:rPr>
              <w:t>Mungesa e vullnetit politik</w:t>
            </w:r>
          </w:p>
        </w:tc>
        <w:tc>
          <w:tcPr>
            <w:tcW w:w="1559" w:type="dxa"/>
          </w:tcPr>
          <w:p w14:paraId="621676E7" w14:textId="77777777" w:rsidR="006F605B" w:rsidRPr="00DC66CD" w:rsidRDefault="006F605B" w:rsidP="00DB17E8">
            <w:pPr>
              <w:snapToGrid w:val="0"/>
              <w:jc w:val="right"/>
              <w:rPr>
                <w:rFonts w:ascii="Garamond" w:hAnsi="Garamond"/>
                <w:lang w:val="sq-AL"/>
              </w:rPr>
            </w:pPr>
          </w:p>
        </w:tc>
        <w:tc>
          <w:tcPr>
            <w:tcW w:w="4240" w:type="dxa"/>
          </w:tcPr>
          <w:p w14:paraId="12DC6E30" w14:textId="5688F404" w:rsidR="006F605B" w:rsidRPr="00DC66CD" w:rsidRDefault="006F605B" w:rsidP="00534471">
            <w:pPr>
              <w:snapToGrid w:val="0"/>
              <w:rPr>
                <w:rFonts w:ascii="Garamond" w:hAnsi="Garamond"/>
                <w:lang w:val="sq-AL"/>
              </w:rPr>
            </w:pPr>
            <w:r w:rsidRPr="00DC66CD">
              <w:rPr>
                <w:rFonts w:ascii="Garamond" w:hAnsi="Garamond"/>
                <w:lang w:val="sq-AL"/>
              </w:rPr>
              <w:t>Një angazhim i n</w:t>
            </w:r>
            <w:r w:rsidR="00DB17E8" w:rsidRPr="00DC66CD">
              <w:rPr>
                <w:rFonts w:ascii="Garamond" w:hAnsi="Garamond"/>
                <w:lang w:val="sq-AL"/>
              </w:rPr>
              <w:t>iveleve më të larta të qeverisë</w:t>
            </w:r>
            <w:r w:rsidRPr="00DC66CD">
              <w:rPr>
                <w:rFonts w:ascii="Garamond" w:hAnsi="Garamond"/>
                <w:lang w:val="sq-AL"/>
              </w:rPr>
              <w:t xml:space="preserve"> dhe përfshirje e të gjithë partnerëve të mundshëm në sektor</w:t>
            </w:r>
          </w:p>
        </w:tc>
      </w:tr>
    </w:tbl>
    <w:p w14:paraId="038CF48E" w14:textId="77777777" w:rsidR="006F605B" w:rsidRPr="00DC66CD" w:rsidRDefault="006F605B" w:rsidP="006F605B">
      <w:pPr>
        <w:snapToGrid w:val="0"/>
        <w:spacing w:after="0" w:line="240" w:lineRule="auto"/>
        <w:ind w:firstLine="284"/>
        <w:rPr>
          <w:rFonts w:ascii="Garamond" w:hAnsi="Garamond"/>
          <w:sz w:val="24"/>
          <w:szCs w:val="24"/>
        </w:rPr>
      </w:pPr>
    </w:p>
    <w:p w14:paraId="18178495" w14:textId="77777777" w:rsidR="009836AE" w:rsidRPr="00DC66CD" w:rsidRDefault="006F605B" w:rsidP="009836AE">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06: Rritja e standardeve të shërbimeve në sektorin e tur</w:t>
      </w:r>
      <w:r w:rsidR="009836AE" w:rsidRPr="00DC66CD">
        <w:rPr>
          <w:rFonts w:ascii="Garamond" w:hAnsi="Garamond"/>
          <w:i/>
          <w:color w:val="auto"/>
          <w:sz w:val="24"/>
          <w:szCs w:val="24"/>
        </w:rPr>
        <w:t>izmit</w:t>
      </w:r>
    </w:p>
    <w:p w14:paraId="6067051B" w14:textId="70B4CE3B" w:rsidR="006F605B" w:rsidRPr="00DC66CD" w:rsidRDefault="009836AE" w:rsidP="009836AE">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 xml:space="preserve">1. </w:t>
      </w:r>
      <w:r w:rsidR="006F605B" w:rsidRPr="00DC66CD">
        <w:rPr>
          <w:rFonts w:ascii="Garamond" w:hAnsi="Garamond"/>
          <w:i/>
          <w:color w:val="auto"/>
          <w:sz w:val="24"/>
          <w:szCs w:val="24"/>
        </w:rPr>
        <w:t>Përshkrimi</w:t>
      </w:r>
    </w:p>
    <w:p w14:paraId="3BAD4B27" w14:textId="74770015" w:rsidR="009836AE" w:rsidRPr="00DC66CD" w:rsidRDefault="006F605B" w:rsidP="009836AE">
      <w:pPr>
        <w:snapToGrid w:val="0"/>
        <w:spacing w:after="0" w:line="240" w:lineRule="auto"/>
        <w:ind w:firstLine="284"/>
        <w:jc w:val="both"/>
        <w:rPr>
          <w:rFonts w:ascii="Garamond" w:hAnsi="Garamond"/>
          <w:sz w:val="24"/>
          <w:szCs w:val="24"/>
        </w:rPr>
      </w:pPr>
      <w:r w:rsidRPr="00DC66CD">
        <w:rPr>
          <w:rFonts w:ascii="Garamond" w:hAnsi="Garamond"/>
          <w:sz w:val="24"/>
          <w:szCs w:val="24"/>
        </w:rPr>
        <w:t>Kjo reformë synon të nxisë konkurrencën nëpërmjet vendosjes dhe zbatimit të standardeve në zhvillimin e aktiviteteve të turizmit. Në mënyrë të veçantë, procesi i kategorizimit synon të ndajë strukturat e akomodimit në kategori</w:t>
      </w:r>
      <w:r w:rsidR="00636BA4" w:rsidRPr="00DC66CD">
        <w:rPr>
          <w:rFonts w:ascii="Garamond" w:hAnsi="Garamond"/>
          <w:sz w:val="24"/>
          <w:szCs w:val="24"/>
        </w:rPr>
        <w:t>,</w:t>
      </w:r>
      <w:r w:rsidRPr="00DC66CD">
        <w:rPr>
          <w:rFonts w:ascii="Garamond" w:hAnsi="Garamond"/>
          <w:sz w:val="24"/>
          <w:szCs w:val="24"/>
        </w:rPr>
        <w:t xml:space="preserve"> duke evidentuar njëkohësisht zbatimin e kushteve të detyrueshme për secilën kategori. Në të njëjtën kohë, procesi i kategorizimit do të mundësojë krijimin e një databaze të plotë të dhënash statistikore</w:t>
      </w:r>
      <w:r w:rsidR="00636BA4" w:rsidRPr="00DC66CD">
        <w:rPr>
          <w:rFonts w:ascii="Garamond" w:hAnsi="Garamond"/>
          <w:sz w:val="24"/>
          <w:szCs w:val="24"/>
        </w:rPr>
        <w:t>,</w:t>
      </w:r>
      <w:r w:rsidRPr="00DC66CD">
        <w:rPr>
          <w:rFonts w:ascii="Garamond" w:hAnsi="Garamond"/>
          <w:sz w:val="24"/>
          <w:szCs w:val="24"/>
        </w:rPr>
        <w:t xml:space="preserve"> që më pas do të shërbejë si një bazë e shëndoshë për formulimin e politikave. Aktiviteti i dytë synon të rrisë cilësinë e shërbimeve dhe sigurinë në zonat e plazhit. Ndërkohë, </w:t>
      </w:r>
      <w:r w:rsidR="00433A3A" w:rsidRPr="00DC66CD">
        <w:rPr>
          <w:rFonts w:ascii="Garamond" w:hAnsi="Garamond"/>
          <w:sz w:val="24"/>
          <w:szCs w:val="24"/>
        </w:rPr>
        <w:t>agro</w:t>
      </w:r>
      <w:r w:rsidRPr="00DC66CD">
        <w:rPr>
          <w:rFonts w:ascii="Garamond" w:hAnsi="Garamond"/>
          <w:sz w:val="24"/>
          <w:szCs w:val="24"/>
        </w:rPr>
        <w:t>turizmi mbështet zhvillimin e qëndrueshëm të turizmit në zonat rurale përmes mbrojtjes së mjedisit, ruajtjes së traditave dhe promovimit të produkteve tipike të zonës dhe nga ana tjetër kontribuon në uljen e varfërisë dhe rritjen e mirë</w:t>
      </w:r>
      <w:r w:rsidR="009836AE" w:rsidRPr="00DC66CD">
        <w:rPr>
          <w:rFonts w:ascii="Garamond" w:hAnsi="Garamond"/>
          <w:sz w:val="24"/>
          <w:szCs w:val="24"/>
        </w:rPr>
        <w:t>qenies së komuniteteve pritëse.</w:t>
      </w:r>
    </w:p>
    <w:p w14:paraId="07B705AE" w14:textId="1C5A646A" w:rsidR="006F605B" w:rsidRPr="00DC66CD" w:rsidRDefault="009836AE" w:rsidP="009836AE">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13618735" w14:textId="16293F08" w:rsidR="006F605B" w:rsidRPr="00DC66CD" w:rsidRDefault="009836AE" w:rsidP="009836AE">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 xml:space="preserve">Aktivitetet e planifikuara </w:t>
      </w:r>
      <w:r w:rsidR="00433A3A" w:rsidRPr="00DC66CD">
        <w:rPr>
          <w:rFonts w:ascii="Garamond" w:hAnsi="Garamond" w:cs="Times New Roman"/>
          <w:b/>
          <w:sz w:val="24"/>
          <w:szCs w:val="24"/>
        </w:rPr>
        <w:t>m</w:t>
      </w:r>
      <w:r w:rsidR="006F605B" w:rsidRPr="00DC66CD">
        <w:rPr>
          <w:rFonts w:ascii="Garamond" w:hAnsi="Garamond" w:cs="Times New Roman"/>
          <w:b/>
          <w:sz w:val="24"/>
          <w:szCs w:val="24"/>
        </w:rPr>
        <w:t>ë 2020</w:t>
      </w:r>
      <w:r w:rsidR="00636BA4" w:rsidRPr="00DC66CD">
        <w:rPr>
          <w:rFonts w:ascii="Garamond" w:hAnsi="Garamond" w:cs="Times New Roman"/>
          <w:b/>
          <w:sz w:val="24"/>
          <w:szCs w:val="24"/>
        </w:rPr>
        <w:t>-ën</w:t>
      </w:r>
    </w:p>
    <w:p w14:paraId="1F8CA910" w14:textId="63DB80CA" w:rsidR="006F605B" w:rsidRPr="00DC66CD" w:rsidRDefault="009836AE" w:rsidP="009836AE">
      <w:pPr>
        <w:pStyle w:val="TEKSTIIII"/>
      </w:pPr>
      <w:r w:rsidRPr="00DC66CD">
        <w:t>-</w:t>
      </w:r>
      <w:r w:rsidR="00276B1A" w:rsidRPr="00DC66CD">
        <w:t xml:space="preserve"> </w:t>
      </w:r>
      <w:r w:rsidR="006F605B" w:rsidRPr="00DC66CD">
        <w:t>Kategorizimi i strukturave akomoduese</w:t>
      </w:r>
      <w:r w:rsidR="006F605B" w:rsidRPr="00DC66CD">
        <w:rPr>
          <w:rStyle w:val="FootnoteReference"/>
          <w:rFonts w:cs="Times New Roman"/>
        </w:rPr>
        <w:footnoteReference w:id="16"/>
      </w:r>
      <w:r w:rsidR="006F605B" w:rsidRPr="00DC66CD">
        <w:t>. Procesi i kategorizimit përfshin tr</w:t>
      </w:r>
      <w:r w:rsidR="00276B1A" w:rsidRPr="00DC66CD">
        <w:t>i</w:t>
      </w:r>
      <w:r w:rsidR="006F605B" w:rsidRPr="00DC66CD">
        <w:t xml:space="preserve"> faza: 1. Vetëdeklarimi nga sipërmarrësi turistik; 2. Shqyrtimi nga Komisioni për Standardizimin e Aktiviteteve Turistike i dokumentacionit </w:t>
      </w:r>
      <w:r w:rsidR="00C62689" w:rsidRPr="00DC66CD">
        <w:t>të paraqitur në procesin e vetë</w:t>
      </w:r>
      <w:r w:rsidR="006F605B" w:rsidRPr="00DC66CD">
        <w:t xml:space="preserve">deklarimit; 3. Verifikimi në terren (rast </w:t>
      </w:r>
      <w:r w:rsidR="00C62689" w:rsidRPr="00DC66CD">
        <w:t>pas rasti) i të dhënave të vetë</w:t>
      </w:r>
      <w:r w:rsidR="006F605B" w:rsidRPr="00DC66CD">
        <w:t>deklarimit. Rreth 2000 struktura akomodimi mendohet t</w:t>
      </w:r>
      <w:r w:rsidR="00C62689" w:rsidRPr="00DC66CD">
        <w:t>’</w:t>
      </w:r>
      <w:r w:rsidR="006F605B" w:rsidRPr="00DC66CD">
        <w:t>i nënshtrohen procesit të kategorizohen deri në vitin 2020 (MTM);</w:t>
      </w:r>
    </w:p>
    <w:p w14:paraId="723E961D" w14:textId="76E8C0F0" w:rsidR="006F605B" w:rsidRPr="00DC66CD" w:rsidRDefault="009836AE" w:rsidP="009836AE">
      <w:pPr>
        <w:pStyle w:val="TEKSTIIII"/>
      </w:pPr>
      <w:r w:rsidRPr="00DC66CD">
        <w:t>-</w:t>
      </w:r>
      <w:r w:rsidR="00276B1A" w:rsidRPr="00DC66CD">
        <w:t xml:space="preserve"> </w:t>
      </w:r>
      <w:r w:rsidR="006F605B" w:rsidRPr="00DC66CD">
        <w:t>Rritja e standardeve të shërbimit në aktivitetet e stacionit të plazhit në zonat bregdetare dhe liqenore përfshin përmirësimin e kornizës ligjore</w:t>
      </w:r>
      <w:r w:rsidR="00C62689" w:rsidRPr="00DC66CD">
        <w:t>,</w:t>
      </w:r>
      <w:r w:rsidR="006F605B" w:rsidRPr="00DC66CD">
        <w:t xml:space="preserve"> në lidhje me sistemin e menaxhimit të hapësirave të plazhit, si dhe forcimin e kontrollit mbi zbatimin e standardeve (MTE dhe agjencitë e varësisë).</w:t>
      </w:r>
    </w:p>
    <w:p w14:paraId="6611C56D" w14:textId="224A28FB" w:rsidR="006F605B" w:rsidRPr="00DC66CD" w:rsidRDefault="009836AE" w:rsidP="009836AE">
      <w:pPr>
        <w:pStyle w:val="TEKSTIIII"/>
      </w:pPr>
      <w:r w:rsidRPr="00DC66CD">
        <w:t>-</w:t>
      </w:r>
      <w:r w:rsidR="00276B1A" w:rsidRPr="00DC66CD">
        <w:t xml:space="preserve"> </w:t>
      </w:r>
      <w:r w:rsidR="006F605B" w:rsidRPr="00DC66CD">
        <w:t xml:space="preserve">Përmirësimi i standardeve në strukturat që funksionojnë si struktura </w:t>
      </w:r>
      <w:r w:rsidR="00433A3A" w:rsidRPr="00DC66CD">
        <w:t>agro</w:t>
      </w:r>
      <w:r w:rsidR="006F605B" w:rsidRPr="00DC66CD">
        <w:t>turizmi</w:t>
      </w:r>
      <w:r w:rsidR="006F605B" w:rsidRPr="00DC66CD">
        <w:rPr>
          <w:rStyle w:val="FootnoteReference"/>
          <w:rFonts w:cs="Times New Roman"/>
        </w:rPr>
        <w:footnoteReference w:id="17"/>
      </w:r>
      <w:r w:rsidR="006F605B" w:rsidRPr="00DC66CD">
        <w:t xml:space="preserve">. Procesi i </w:t>
      </w:r>
      <w:r w:rsidR="00433A3A" w:rsidRPr="00DC66CD">
        <w:t>certif</w:t>
      </w:r>
      <w:r w:rsidR="006F605B" w:rsidRPr="00DC66CD">
        <w:t xml:space="preserve">ikimit si strukturë </w:t>
      </w:r>
      <w:r w:rsidR="00433A3A" w:rsidRPr="00DC66CD">
        <w:t>agro</w:t>
      </w:r>
      <w:r w:rsidR="006F605B" w:rsidRPr="00DC66CD">
        <w:t xml:space="preserve">turizmi përfshin disa faza: 1. Aplikimi nga subjekti; 2. Ekzaminimi rast pas rasti i aplikimeve (dokumentacionit) nga Komiteti i Vlerësimit të </w:t>
      </w:r>
      <w:r w:rsidR="00C62689" w:rsidRPr="00DC66CD">
        <w:t xml:space="preserve">Certifikimit </w:t>
      </w:r>
      <w:r w:rsidR="006F605B" w:rsidRPr="00DC66CD">
        <w:t xml:space="preserve">të </w:t>
      </w:r>
      <w:r w:rsidR="00C62689" w:rsidRPr="00DC66CD">
        <w:t>Subjekteve Agroturizëm</w:t>
      </w:r>
      <w:r w:rsidR="006F605B" w:rsidRPr="00DC66CD">
        <w:t xml:space="preserve">. Për më tepër, subjektet e reja që kërkojnë të ndërtojnë një strukturë për zhvillimin e veprimtarisë së turizmit pritës mund të pajisen me </w:t>
      </w:r>
      <w:r w:rsidR="002A29AD" w:rsidRPr="00DC66CD">
        <w:t>“</w:t>
      </w:r>
      <w:r w:rsidR="00433A3A" w:rsidRPr="00DC66CD">
        <w:t>Certif</w:t>
      </w:r>
      <w:r w:rsidR="006F605B" w:rsidRPr="00DC66CD">
        <w:t xml:space="preserve">ikatë paraprake për aktivitetet pritëse të </w:t>
      </w:r>
      <w:r w:rsidR="00433A3A" w:rsidRPr="00DC66CD">
        <w:t>certif</w:t>
      </w:r>
      <w:r w:rsidR="006F605B" w:rsidRPr="00DC66CD">
        <w:t xml:space="preserve">ikuar si </w:t>
      </w:r>
      <w:r w:rsidR="00433A3A" w:rsidRPr="00DC66CD">
        <w:t>agro</w:t>
      </w:r>
      <w:r w:rsidR="006F605B" w:rsidRPr="00DC66CD">
        <w:t>turizëm</w:t>
      </w:r>
      <w:r w:rsidR="002A29AD" w:rsidRPr="00DC66CD">
        <w:t>”</w:t>
      </w:r>
      <w:r w:rsidR="006F605B" w:rsidRPr="00DC66CD">
        <w:t>, e cila lëshohet pas miratimit paraprak të projektit nga Komiteti i Vlerësimit.</w:t>
      </w:r>
    </w:p>
    <w:p w14:paraId="52CFE035" w14:textId="3D1DD29A" w:rsidR="006F605B" w:rsidRPr="00DC66CD" w:rsidRDefault="007B2446" w:rsidP="009836AE">
      <w:pPr>
        <w:pStyle w:val="TEKSTIIII"/>
        <w:rPr>
          <w:b/>
        </w:rPr>
      </w:pPr>
      <w:r w:rsidRPr="00DC66CD">
        <w:rPr>
          <w:b/>
        </w:rPr>
        <w:t xml:space="preserve">b) </w:t>
      </w:r>
      <w:r w:rsidR="006F605B" w:rsidRPr="00DC66CD">
        <w:rPr>
          <w:b/>
        </w:rPr>
        <w:t>Aktivitetet e planifikuara</w:t>
      </w:r>
      <w:r w:rsidR="00F85068" w:rsidRPr="00DC66CD">
        <w:rPr>
          <w:b/>
        </w:rPr>
        <w:t xml:space="preserve"> më 2021</w:t>
      </w:r>
      <w:r w:rsidR="00636BA4" w:rsidRPr="00DC66CD">
        <w:rPr>
          <w:b/>
        </w:rPr>
        <w:t>-shin</w:t>
      </w:r>
      <w:r w:rsidR="00C62689" w:rsidRPr="00DC66CD">
        <w:rPr>
          <w:b/>
        </w:rPr>
        <w:t>:</w:t>
      </w:r>
    </w:p>
    <w:p w14:paraId="0BD92387" w14:textId="232AD443" w:rsidR="006F605B" w:rsidRPr="00DC66CD" w:rsidRDefault="00C62689" w:rsidP="009836AE">
      <w:pPr>
        <w:pStyle w:val="TEKSTIIII"/>
      </w:pPr>
      <w:r w:rsidRPr="00DC66CD">
        <w:t>- k</w:t>
      </w:r>
      <w:r w:rsidR="006F605B" w:rsidRPr="00DC66CD">
        <w:t>ategorizimi i strukturave akomoduese</w:t>
      </w:r>
      <w:r w:rsidRPr="00DC66CD">
        <w:t>;</w:t>
      </w:r>
    </w:p>
    <w:p w14:paraId="2434B674" w14:textId="644DF5BA" w:rsidR="006F605B" w:rsidRPr="00DC66CD" w:rsidRDefault="00C62689" w:rsidP="009836AE">
      <w:pPr>
        <w:pStyle w:val="TEKSTIIII"/>
      </w:pPr>
      <w:r w:rsidRPr="00DC66CD">
        <w:t>- r</w:t>
      </w:r>
      <w:r w:rsidR="006F605B" w:rsidRPr="00DC66CD">
        <w:t>ritja e standardeve të shërbimit në aktivitetet e stacionit të plazhit në zonat bregdetare dhe liqenore;</w:t>
      </w:r>
    </w:p>
    <w:p w14:paraId="154853C3" w14:textId="1A03BF3D" w:rsidR="006F605B" w:rsidRPr="00DC66CD" w:rsidRDefault="00C62689" w:rsidP="009836AE">
      <w:pPr>
        <w:pStyle w:val="TEKSTIIII"/>
      </w:pPr>
      <w:r w:rsidRPr="00DC66CD">
        <w:t>- p</w:t>
      </w:r>
      <w:r w:rsidR="006F605B" w:rsidRPr="00DC66CD">
        <w:t xml:space="preserve">ërmirësimi i standardeve në strukturat që funksionojnë si struktura </w:t>
      </w:r>
      <w:r w:rsidR="00433A3A" w:rsidRPr="00DC66CD">
        <w:t>agro</w:t>
      </w:r>
      <w:r w:rsidR="006F605B" w:rsidRPr="00DC66CD">
        <w:t>turizmi.</w:t>
      </w:r>
    </w:p>
    <w:p w14:paraId="12C22E98" w14:textId="7CA713E0" w:rsidR="006F605B" w:rsidRPr="00DC66CD" w:rsidRDefault="007B2446" w:rsidP="009836AE">
      <w:pPr>
        <w:pStyle w:val="TEKSTIIII"/>
        <w:rPr>
          <w:b/>
        </w:rPr>
      </w:pPr>
      <w:r w:rsidRPr="00DC66CD">
        <w:rPr>
          <w:b/>
        </w:rPr>
        <w:t xml:space="preserve">c) </w:t>
      </w:r>
      <w:r w:rsidR="006F605B" w:rsidRPr="00DC66CD">
        <w:rPr>
          <w:b/>
        </w:rPr>
        <w:t>Aktivitetet e planifikuara</w:t>
      </w:r>
      <w:r w:rsidR="00433A3A" w:rsidRPr="00DC66CD">
        <w:rPr>
          <w:b/>
        </w:rPr>
        <w:t xml:space="preserve"> më 2022</w:t>
      </w:r>
      <w:r w:rsidR="00636BA4" w:rsidRPr="00DC66CD">
        <w:rPr>
          <w:b/>
        </w:rPr>
        <w:t>-shin</w:t>
      </w:r>
    </w:p>
    <w:p w14:paraId="3E822D06" w14:textId="1B67E167" w:rsidR="006F605B" w:rsidRPr="00DC66CD" w:rsidRDefault="00C62689" w:rsidP="009836AE">
      <w:pPr>
        <w:pStyle w:val="TEKSTIIII"/>
      </w:pPr>
      <w:r w:rsidRPr="00DC66CD">
        <w:t xml:space="preserve">- kategorizimi </w:t>
      </w:r>
      <w:r w:rsidR="006F605B" w:rsidRPr="00DC66CD">
        <w:t>i strukturave akomoduese</w:t>
      </w:r>
      <w:r w:rsidRPr="00DC66CD">
        <w:t>;</w:t>
      </w:r>
    </w:p>
    <w:p w14:paraId="230614AD" w14:textId="22203901" w:rsidR="006F605B" w:rsidRPr="00DC66CD" w:rsidRDefault="00C62689" w:rsidP="009836AE">
      <w:pPr>
        <w:pStyle w:val="TEKSTIIII"/>
      </w:pPr>
      <w:r w:rsidRPr="00DC66CD">
        <w:t xml:space="preserve">- rritja </w:t>
      </w:r>
      <w:r w:rsidR="006F605B" w:rsidRPr="00DC66CD">
        <w:t>e standardeve të shërbimit në aktivitetet e stacionit të plazhit në zonat bregdetare dhe liqenore;</w:t>
      </w:r>
    </w:p>
    <w:p w14:paraId="3B53EDFD" w14:textId="77785044" w:rsidR="006F605B" w:rsidRPr="00DC66CD" w:rsidRDefault="00C62689" w:rsidP="009836AE">
      <w:pPr>
        <w:pStyle w:val="TEKSTIIII"/>
      </w:pPr>
      <w:r w:rsidRPr="00DC66CD">
        <w:t xml:space="preserve">- përmirësimi </w:t>
      </w:r>
      <w:r w:rsidR="006F605B" w:rsidRPr="00DC66CD">
        <w:t xml:space="preserve">i standardeve në strukturat që funksionojnë si struktura </w:t>
      </w:r>
      <w:r w:rsidR="00433A3A" w:rsidRPr="00DC66CD">
        <w:t>agro</w:t>
      </w:r>
      <w:r w:rsidR="006F605B" w:rsidRPr="00DC66CD">
        <w:t>turizmi</w:t>
      </w:r>
      <w:r w:rsidRPr="00DC66CD">
        <w:t>.</w:t>
      </w:r>
    </w:p>
    <w:p w14:paraId="64AC74EF" w14:textId="4520E18A" w:rsidR="006F605B" w:rsidRPr="00DC66CD" w:rsidRDefault="000769E2" w:rsidP="000769E2">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3. </w:t>
      </w:r>
      <w:r w:rsidR="006F605B" w:rsidRPr="00DC66CD">
        <w:rPr>
          <w:rFonts w:ascii="Garamond" w:hAnsi="Garamond"/>
          <w:color w:val="000000" w:themeColor="text1"/>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3"/>
        <w:gridCol w:w="931"/>
        <w:gridCol w:w="1986"/>
        <w:gridCol w:w="1120"/>
      </w:tblGrid>
      <w:tr w:rsidR="006F605B" w:rsidRPr="00DC66CD" w14:paraId="62ADA84B" w14:textId="77777777" w:rsidTr="00C62689">
        <w:trPr>
          <w:jc w:val="center"/>
        </w:trPr>
        <w:tc>
          <w:tcPr>
            <w:tcW w:w="5524" w:type="dxa"/>
            <w:vAlign w:val="center"/>
          </w:tcPr>
          <w:p w14:paraId="470EF361" w14:textId="77777777" w:rsidR="006F605B" w:rsidRPr="00DC66CD" w:rsidRDefault="006F605B" w:rsidP="00C62689">
            <w:pPr>
              <w:snapToGrid w:val="0"/>
              <w:spacing w:after="0" w:line="240" w:lineRule="auto"/>
              <w:jc w:val="center"/>
              <w:rPr>
                <w:rFonts w:ascii="Garamond" w:hAnsi="Garamond"/>
                <w:b/>
              </w:rPr>
            </w:pPr>
            <w:r w:rsidRPr="00DC66CD">
              <w:rPr>
                <w:rFonts w:ascii="Garamond" w:hAnsi="Garamond"/>
                <w:b/>
              </w:rPr>
              <w:t>Indikatori</w:t>
            </w:r>
          </w:p>
        </w:tc>
        <w:tc>
          <w:tcPr>
            <w:tcW w:w="943" w:type="dxa"/>
            <w:vAlign w:val="center"/>
          </w:tcPr>
          <w:p w14:paraId="239BA210" w14:textId="77777777" w:rsidR="006F605B" w:rsidRPr="00DC66CD" w:rsidRDefault="006F605B" w:rsidP="00C62689">
            <w:pPr>
              <w:snapToGrid w:val="0"/>
              <w:spacing w:after="0" w:line="240" w:lineRule="auto"/>
              <w:jc w:val="center"/>
              <w:rPr>
                <w:rFonts w:ascii="Garamond" w:hAnsi="Garamond"/>
                <w:b/>
              </w:rPr>
            </w:pPr>
            <w:r w:rsidRPr="00DC66CD">
              <w:rPr>
                <w:rFonts w:ascii="Garamond" w:hAnsi="Garamond"/>
                <w:b/>
              </w:rPr>
              <w:t>Bazë (2019)</w:t>
            </w:r>
          </w:p>
        </w:tc>
        <w:tc>
          <w:tcPr>
            <w:tcW w:w="2032" w:type="dxa"/>
            <w:vAlign w:val="center"/>
          </w:tcPr>
          <w:p w14:paraId="24A500C7" w14:textId="5FB02095" w:rsidR="006F605B" w:rsidRPr="00DC66CD" w:rsidRDefault="00C27435" w:rsidP="00C62689">
            <w:pPr>
              <w:snapToGrid w:val="0"/>
              <w:spacing w:after="0" w:line="240" w:lineRule="auto"/>
              <w:jc w:val="center"/>
              <w:rPr>
                <w:rFonts w:ascii="Garamond" w:hAnsi="Garamond"/>
                <w:b/>
              </w:rPr>
            </w:pPr>
            <w:r w:rsidRPr="00DC66CD">
              <w:rPr>
                <w:rFonts w:ascii="Garamond" w:hAnsi="Garamond"/>
                <w:b/>
              </w:rPr>
              <w:t xml:space="preserve">Objektivi i ndërmjetëm </w:t>
            </w:r>
            <w:r w:rsidR="006F605B" w:rsidRPr="00DC66CD">
              <w:rPr>
                <w:rFonts w:ascii="Garamond" w:hAnsi="Garamond"/>
                <w:b/>
              </w:rPr>
              <w:t>(2020)</w:t>
            </w:r>
          </w:p>
        </w:tc>
        <w:tc>
          <w:tcPr>
            <w:tcW w:w="1123" w:type="dxa"/>
            <w:vAlign w:val="center"/>
          </w:tcPr>
          <w:p w14:paraId="691B9846" w14:textId="77777777" w:rsidR="006F605B" w:rsidRPr="00DC66CD" w:rsidRDefault="006F605B" w:rsidP="00C62689">
            <w:pPr>
              <w:snapToGrid w:val="0"/>
              <w:spacing w:after="0" w:line="240" w:lineRule="auto"/>
              <w:jc w:val="center"/>
              <w:rPr>
                <w:rFonts w:ascii="Garamond" w:hAnsi="Garamond"/>
                <w:b/>
              </w:rPr>
            </w:pPr>
            <w:r w:rsidRPr="00DC66CD">
              <w:rPr>
                <w:rFonts w:ascii="Garamond" w:hAnsi="Garamond"/>
                <w:b/>
              </w:rPr>
              <w:t>Objektivi (2021)</w:t>
            </w:r>
          </w:p>
        </w:tc>
      </w:tr>
      <w:tr w:rsidR="006F605B" w:rsidRPr="00DC66CD" w14:paraId="08918EB7" w14:textId="77777777" w:rsidTr="00C62689">
        <w:trPr>
          <w:jc w:val="center"/>
        </w:trPr>
        <w:tc>
          <w:tcPr>
            <w:tcW w:w="5524" w:type="dxa"/>
          </w:tcPr>
          <w:p w14:paraId="3B1E308B" w14:textId="77777777" w:rsidR="006F605B" w:rsidRPr="00DC66CD" w:rsidRDefault="006F605B" w:rsidP="000769E2">
            <w:pPr>
              <w:snapToGrid w:val="0"/>
              <w:spacing w:after="0" w:line="240" w:lineRule="auto"/>
              <w:rPr>
                <w:rFonts w:ascii="Garamond" w:hAnsi="Garamond"/>
              </w:rPr>
            </w:pPr>
            <w:r w:rsidRPr="00DC66CD">
              <w:rPr>
                <w:rFonts w:ascii="Garamond" w:hAnsi="Garamond"/>
              </w:rPr>
              <w:t>Struktura akomoduese të kategorizuara</w:t>
            </w:r>
          </w:p>
        </w:tc>
        <w:tc>
          <w:tcPr>
            <w:tcW w:w="943" w:type="dxa"/>
          </w:tcPr>
          <w:p w14:paraId="10392289" w14:textId="77777777" w:rsidR="006F605B" w:rsidRPr="00DC66CD" w:rsidRDefault="006F605B" w:rsidP="00C62689">
            <w:pPr>
              <w:snapToGrid w:val="0"/>
              <w:spacing w:after="0" w:line="240" w:lineRule="auto"/>
              <w:jc w:val="right"/>
              <w:rPr>
                <w:rFonts w:ascii="Garamond" w:hAnsi="Garamond"/>
              </w:rPr>
            </w:pPr>
            <w:r w:rsidRPr="00DC66CD">
              <w:rPr>
                <w:rFonts w:ascii="Garamond" w:hAnsi="Garamond"/>
              </w:rPr>
              <w:t>0</w:t>
            </w:r>
          </w:p>
        </w:tc>
        <w:tc>
          <w:tcPr>
            <w:tcW w:w="2032" w:type="dxa"/>
          </w:tcPr>
          <w:p w14:paraId="7AEE93AB" w14:textId="77777777" w:rsidR="006F605B" w:rsidRPr="00DC66CD" w:rsidRDefault="006F605B" w:rsidP="00C62689">
            <w:pPr>
              <w:snapToGrid w:val="0"/>
              <w:spacing w:after="0" w:line="240" w:lineRule="auto"/>
              <w:jc w:val="right"/>
              <w:rPr>
                <w:rFonts w:ascii="Garamond" w:hAnsi="Garamond"/>
              </w:rPr>
            </w:pPr>
            <w:r w:rsidRPr="00DC66CD">
              <w:rPr>
                <w:rFonts w:ascii="Garamond" w:hAnsi="Garamond"/>
              </w:rPr>
              <w:t>2000</w:t>
            </w:r>
          </w:p>
        </w:tc>
        <w:tc>
          <w:tcPr>
            <w:tcW w:w="1123" w:type="dxa"/>
          </w:tcPr>
          <w:p w14:paraId="2DA40647" w14:textId="77777777" w:rsidR="006F605B" w:rsidRPr="00DC66CD" w:rsidRDefault="006F605B" w:rsidP="00C62689">
            <w:pPr>
              <w:snapToGrid w:val="0"/>
              <w:spacing w:after="0" w:line="240" w:lineRule="auto"/>
              <w:jc w:val="right"/>
              <w:rPr>
                <w:rFonts w:ascii="Garamond" w:hAnsi="Garamond"/>
              </w:rPr>
            </w:pPr>
            <w:r w:rsidRPr="00DC66CD">
              <w:rPr>
                <w:rFonts w:ascii="Garamond" w:hAnsi="Garamond"/>
              </w:rPr>
              <w:t>2800</w:t>
            </w:r>
            <w:r w:rsidRPr="00DC66CD">
              <w:rPr>
                <w:rStyle w:val="FootnoteReference"/>
                <w:rFonts w:ascii="Garamond" w:hAnsi="Garamond"/>
              </w:rPr>
              <w:footnoteReference w:id="18"/>
            </w:r>
          </w:p>
        </w:tc>
      </w:tr>
      <w:tr w:rsidR="006F605B" w:rsidRPr="00DC66CD" w14:paraId="662DF018" w14:textId="77777777" w:rsidTr="00C62689">
        <w:trPr>
          <w:jc w:val="center"/>
        </w:trPr>
        <w:tc>
          <w:tcPr>
            <w:tcW w:w="5524" w:type="dxa"/>
          </w:tcPr>
          <w:p w14:paraId="531CA971" w14:textId="2E889E91" w:rsidR="006F605B" w:rsidRPr="00DC66CD" w:rsidRDefault="006F605B" w:rsidP="00C62689">
            <w:pPr>
              <w:snapToGrid w:val="0"/>
              <w:spacing w:after="0" w:line="240" w:lineRule="auto"/>
              <w:rPr>
                <w:rFonts w:ascii="Garamond" w:hAnsi="Garamond"/>
              </w:rPr>
            </w:pPr>
            <w:r w:rsidRPr="00DC66CD">
              <w:rPr>
                <w:rFonts w:ascii="Garamond" w:hAnsi="Garamond"/>
              </w:rPr>
              <w:t xml:space="preserve">Subjekte turistike bregdetare të licencuara (kontrata të stacioneve të plazhit </w:t>
            </w:r>
            <w:r w:rsidR="00C62689" w:rsidRPr="00DC66CD">
              <w:rPr>
                <w:rFonts w:ascii="Garamond" w:hAnsi="Garamond"/>
              </w:rPr>
              <w:t>dhe</w:t>
            </w:r>
            <w:r w:rsidRPr="00DC66CD">
              <w:rPr>
                <w:rFonts w:ascii="Garamond" w:hAnsi="Garamond"/>
              </w:rPr>
              <w:t xml:space="preserve"> guida zhytjeje)</w:t>
            </w:r>
          </w:p>
        </w:tc>
        <w:tc>
          <w:tcPr>
            <w:tcW w:w="943" w:type="dxa"/>
          </w:tcPr>
          <w:p w14:paraId="0D9D3F47" w14:textId="77777777" w:rsidR="006F605B" w:rsidRPr="00DC66CD" w:rsidRDefault="006F605B" w:rsidP="00C62689">
            <w:pPr>
              <w:snapToGrid w:val="0"/>
              <w:spacing w:after="0" w:line="240" w:lineRule="auto"/>
              <w:jc w:val="right"/>
              <w:rPr>
                <w:rFonts w:ascii="Garamond" w:hAnsi="Garamond"/>
              </w:rPr>
            </w:pPr>
            <w:r w:rsidRPr="00DC66CD">
              <w:rPr>
                <w:rFonts w:ascii="Garamond" w:hAnsi="Garamond"/>
              </w:rPr>
              <w:t>0</w:t>
            </w:r>
          </w:p>
        </w:tc>
        <w:tc>
          <w:tcPr>
            <w:tcW w:w="2032" w:type="dxa"/>
          </w:tcPr>
          <w:p w14:paraId="6491377F" w14:textId="77777777" w:rsidR="006F605B" w:rsidRPr="00DC66CD" w:rsidRDefault="006F605B" w:rsidP="00C62689">
            <w:pPr>
              <w:snapToGrid w:val="0"/>
              <w:spacing w:after="0" w:line="240" w:lineRule="auto"/>
              <w:jc w:val="right"/>
              <w:rPr>
                <w:rFonts w:ascii="Garamond" w:hAnsi="Garamond"/>
              </w:rPr>
            </w:pPr>
            <w:r w:rsidRPr="00DC66CD">
              <w:rPr>
                <w:rFonts w:ascii="Garamond" w:hAnsi="Garamond"/>
              </w:rPr>
              <w:t>N/A</w:t>
            </w:r>
          </w:p>
        </w:tc>
        <w:tc>
          <w:tcPr>
            <w:tcW w:w="1123" w:type="dxa"/>
          </w:tcPr>
          <w:p w14:paraId="320ADF86" w14:textId="77777777" w:rsidR="006F605B" w:rsidRPr="00DC66CD" w:rsidRDefault="006F605B" w:rsidP="00C62689">
            <w:pPr>
              <w:snapToGrid w:val="0"/>
              <w:spacing w:after="0" w:line="240" w:lineRule="auto"/>
              <w:jc w:val="right"/>
              <w:rPr>
                <w:rFonts w:ascii="Garamond" w:hAnsi="Garamond"/>
              </w:rPr>
            </w:pPr>
            <w:r w:rsidRPr="00DC66CD">
              <w:rPr>
                <w:rFonts w:ascii="Garamond" w:hAnsi="Garamond"/>
              </w:rPr>
              <w:t>N/A</w:t>
            </w:r>
          </w:p>
        </w:tc>
      </w:tr>
      <w:tr w:rsidR="006F605B" w:rsidRPr="00DC66CD" w14:paraId="411141E9" w14:textId="77777777" w:rsidTr="00C62689">
        <w:trPr>
          <w:jc w:val="center"/>
        </w:trPr>
        <w:tc>
          <w:tcPr>
            <w:tcW w:w="5524" w:type="dxa"/>
          </w:tcPr>
          <w:p w14:paraId="0B60AF73" w14:textId="50FA9C5C" w:rsidR="006F605B" w:rsidRPr="00DC66CD" w:rsidRDefault="006F605B" w:rsidP="000769E2">
            <w:pPr>
              <w:snapToGrid w:val="0"/>
              <w:spacing w:after="0" w:line="240" w:lineRule="auto"/>
              <w:rPr>
                <w:rFonts w:ascii="Garamond" w:hAnsi="Garamond"/>
              </w:rPr>
            </w:pPr>
            <w:r w:rsidRPr="00DC66CD">
              <w:rPr>
                <w:rFonts w:ascii="Garamond" w:hAnsi="Garamond"/>
              </w:rPr>
              <w:t xml:space="preserve">Struktura </w:t>
            </w:r>
            <w:r w:rsidR="00433A3A" w:rsidRPr="00DC66CD">
              <w:rPr>
                <w:rFonts w:ascii="Garamond" w:hAnsi="Garamond"/>
              </w:rPr>
              <w:t>agro</w:t>
            </w:r>
            <w:r w:rsidRPr="00DC66CD">
              <w:rPr>
                <w:rFonts w:ascii="Garamond" w:hAnsi="Garamond"/>
              </w:rPr>
              <w:t>turizmi të licencuara</w:t>
            </w:r>
          </w:p>
        </w:tc>
        <w:tc>
          <w:tcPr>
            <w:tcW w:w="943" w:type="dxa"/>
          </w:tcPr>
          <w:p w14:paraId="17378361" w14:textId="77777777" w:rsidR="006F605B" w:rsidRPr="00DC66CD" w:rsidRDefault="006F605B" w:rsidP="00C62689">
            <w:pPr>
              <w:snapToGrid w:val="0"/>
              <w:spacing w:after="0" w:line="240" w:lineRule="auto"/>
              <w:jc w:val="right"/>
              <w:rPr>
                <w:rFonts w:ascii="Garamond" w:hAnsi="Garamond"/>
              </w:rPr>
            </w:pPr>
            <w:r w:rsidRPr="00DC66CD">
              <w:rPr>
                <w:rFonts w:ascii="Garamond" w:hAnsi="Garamond"/>
              </w:rPr>
              <w:t>5</w:t>
            </w:r>
          </w:p>
        </w:tc>
        <w:tc>
          <w:tcPr>
            <w:tcW w:w="2032" w:type="dxa"/>
          </w:tcPr>
          <w:p w14:paraId="47B7E758" w14:textId="77777777" w:rsidR="006F605B" w:rsidRPr="00DC66CD" w:rsidRDefault="006F605B" w:rsidP="00C62689">
            <w:pPr>
              <w:snapToGrid w:val="0"/>
              <w:spacing w:after="0" w:line="240" w:lineRule="auto"/>
              <w:jc w:val="right"/>
              <w:rPr>
                <w:rFonts w:ascii="Garamond" w:hAnsi="Garamond"/>
              </w:rPr>
            </w:pPr>
            <w:r w:rsidRPr="00DC66CD">
              <w:rPr>
                <w:rFonts w:ascii="Garamond" w:hAnsi="Garamond"/>
              </w:rPr>
              <w:t>200%</w:t>
            </w:r>
            <w:r w:rsidRPr="00DC66CD">
              <w:rPr>
                <w:rStyle w:val="FootnoteReference"/>
                <w:rFonts w:ascii="Garamond" w:hAnsi="Garamond"/>
              </w:rPr>
              <w:footnoteReference w:id="19"/>
            </w:r>
            <w:r w:rsidRPr="00DC66CD">
              <w:rPr>
                <w:rFonts w:ascii="Garamond" w:hAnsi="Garamond"/>
              </w:rPr>
              <w:t xml:space="preserve"> </w:t>
            </w:r>
          </w:p>
        </w:tc>
        <w:tc>
          <w:tcPr>
            <w:tcW w:w="1123" w:type="dxa"/>
          </w:tcPr>
          <w:p w14:paraId="75330344" w14:textId="77777777" w:rsidR="006F605B" w:rsidRPr="00DC66CD" w:rsidRDefault="006F605B" w:rsidP="00C62689">
            <w:pPr>
              <w:snapToGrid w:val="0"/>
              <w:spacing w:after="0" w:line="240" w:lineRule="auto"/>
              <w:jc w:val="right"/>
              <w:rPr>
                <w:rFonts w:ascii="Garamond" w:hAnsi="Garamond"/>
              </w:rPr>
            </w:pPr>
            <w:r w:rsidRPr="00DC66CD">
              <w:rPr>
                <w:rFonts w:ascii="Garamond" w:hAnsi="Garamond"/>
              </w:rPr>
              <w:t>300%</w:t>
            </w:r>
          </w:p>
        </w:tc>
      </w:tr>
    </w:tbl>
    <w:p w14:paraId="4E1A6B60" w14:textId="77777777" w:rsidR="006F605B" w:rsidRPr="00DC66CD" w:rsidRDefault="006F605B" w:rsidP="006F605B">
      <w:pPr>
        <w:snapToGrid w:val="0"/>
        <w:spacing w:after="0" w:line="240" w:lineRule="auto"/>
        <w:ind w:firstLine="284"/>
        <w:rPr>
          <w:rFonts w:ascii="Garamond" w:hAnsi="Garamond"/>
          <w:sz w:val="24"/>
          <w:szCs w:val="24"/>
        </w:rPr>
      </w:pPr>
    </w:p>
    <w:p w14:paraId="669612A5" w14:textId="475A8E64" w:rsidR="006F605B" w:rsidRPr="00DC66CD" w:rsidRDefault="000769E2" w:rsidP="000769E2">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4. </w:t>
      </w:r>
      <w:r w:rsidR="006F605B" w:rsidRPr="00DC66CD">
        <w:rPr>
          <w:rFonts w:ascii="Garamond" w:hAnsi="Garamond"/>
          <w:color w:val="000000" w:themeColor="text1"/>
          <w:sz w:val="24"/>
          <w:szCs w:val="24"/>
        </w:rPr>
        <w:t>Ndikimi i pritshëm në konkurrueshmëri</w:t>
      </w:r>
    </w:p>
    <w:p w14:paraId="26563CCD" w14:textId="77777777"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sz w:val="24"/>
          <w:szCs w:val="24"/>
        </w:rPr>
        <w:t xml:space="preserve">Kjo reformë do të kontribuojë, ndër të tjera, në uljen e informalitetit, në ofrimin e produkteve dhe shërbimeve me cilësore në sektorin e turizmit, inkurajimin dhe promovimin më tej të konkurrencës midis bizneseve që operojnë në sektor, forcimin e kapaciteteve njerëzore në sektorin e turizmit, diversifikimin e aktiviteteve ekonomike në zonat rurale, si dhe në aftësinë për </w:t>
      </w:r>
      <w:r w:rsidRPr="00DC66CD">
        <w:rPr>
          <w:rFonts w:ascii="Garamond" w:hAnsi="Garamond"/>
          <w:color w:val="000000" w:themeColor="text1"/>
          <w:sz w:val="24"/>
          <w:szCs w:val="24"/>
        </w:rPr>
        <w:t>mbledhjen dhe përpunimin e të dhënave.</w:t>
      </w:r>
    </w:p>
    <w:p w14:paraId="7985D5A3" w14:textId="4A37F92A" w:rsidR="006F605B" w:rsidRPr="00DC66CD" w:rsidRDefault="00693F3D" w:rsidP="00693F3D">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5. </w:t>
      </w:r>
      <w:r w:rsidR="006F605B" w:rsidRPr="00DC66CD">
        <w:rPr>
          <w:rFonts w:ascii="Garamond" w:hAnsi="Garamond"/>
          <w:color w:val="000000" w:themeColor="text1"/>
          <w:sz w:val="24"/>
          <w:szCs w:val="24"/>
        </w:rPr>
        <w:t>Kosto</w:t>
      </w:r>
      <w:r w:rsidR="00C62689" w:rsidRPr="00DC66CD">
        <w:rPr>
          <w:rFonts w:ascii="Garamond" w:hAnsi="Garamond"/>
          <w:color w:val="000000" w:themeColor="text1"/>
          <w:sz w:val="24"/>
          <w:szCs w:val="24"/>
        </w:rPr>
        <w:t>ja</w:t>
      </w:r>
      <w:r w:rsidR="006F605B" w:rsidRPr="00DC66CD">
        <w:rPr>
          <w:rFonts w:ascii="Garamond" w:hAnsi="Garamond"/>
          <w:color w:val="000000" w:themeColor="text1"/>
          <w:sz w:val="24"/>
          <w:szCs w:val="24"/>
        </w:rPr>
        <w:t xml:space="preserve"> e parashikuar e aktiviteteve dhe burimi i financimit</w:t>
      </w:r>
    </w:p>
    <w:p w14:paraId="1E61C474" w14:textId="77777777" w:rsidR="006F605B" w:rsidRPr="00DC66CD" w:rsidRDefault="006F605B" w:rsidP="006F605B">
      <w:pPr>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Burimi i financimit është nga buxheti i shtetit (pa kosto shtesë).</w:t>
      </w:r>
    </w:p>
    <w:p w14:paraId="27BA61E5" w14:textId="5180B2C2"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 xml:space="preserve">Për më tepër, në kuadër të procesit të kategorizimit dhe </w:t>
      </w:r>
      <w:r w:rsidR="00433A3A" w:rsidRPr="00DC66CD">
        <w:rPr>
          <w:rFonts w:ascii="Garamond" w:hAnsi="Garamond"/>
          <w:color w:val="000000" w:themeColor="text1"/>
          <w:sz w:val="24"/>
          <w:szCs w:val="24"/>
        </w:rPr>
        <w:t>certif</w:t>
      </w:r>
      <w:r w:rsidRPr="00DC66CD">
        <w:rPr>
          <w:rFonts w:ascii="Garamond" w:hAnsi="Garamond"/>
          <w:color w:val="000000" w:themeColor="text1"/>
          <w:sz w:val="24"/>
          <w:szCs w:val="24"/>
        </w:rPr>
        <w:t>ikimit</w:t>
      </w:r>
      <w:r w:rsidR="007123CE"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si</w:t>
      </w:r>
      <w:r w:rsidR="007123CE"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w:t>
      </w:r>
      <w:r w:rsidR="00433A3A" w:rsidRPr="00DC66CD">
        <w:rPr>
          <w:rFonts w:ascii="Garamond" w:hAnsi="Garamond"/>
          <w:color w:val="000000" w:themeColor="text1"/>
          <w:sz w:val="24"/>
          <w:szCs w:val="24"/>
        </w:rPr>
        <w:t>agro</w:t>
      </w:r>
      <w:r w:rsidRPr="00DC66CD">
        <w:rPr>
          <w:rFonts w:ascii="Garamond" w:hAnsi="Garamond"/>
          <w:color w:val="000000" w:themeColor="text1"/>
          <w:sz w:val="24"/>
          <w:szCs w:val="24"/>
        </w:rPr>
        <w:t>turizëm, subjektet turistike përfitojnë incentiva fiskalë dhe në rastin e agroturizmit, ata</w:t>
      </w:r>
      <w:r w:rsidR="007123CE"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gjithashtu</w:t>
      </w:r>
      <w:r w:rsidR="007123CE"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marrin ndihmë financiare nga skema e qeverisë kombëtare dhe programi IPARD.</w:t>
      </w:r>
    </w:p>
    <w:p w14:paraId="23720481" w14:textId="5156AD65" w:rsidR="006F605B" w:rsidRPr="00DC66CD" w:rsidRDefault="00693F3D" w:rsidP="00693F3D">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6. </w:t>
      </w:r>
      <w:r w:rsidR="006F605B" w:rsidRPr="00DC66CD">
        <w:rPr>
          <w:rFonts w:ascii="Garamond" w:hAnsi="Garamond"/>
          <w:color w:val="000000" w:themeColor="text1"/>
          <w:sz w:val="24"/>
          <w:szCs w:val="24"/>
        </w:rPr>
        <w:t>Ndikimi i pritshëm në rezultatet sociale, si</w:t>
      </w:r>
      <w:r w:rsidR="007123CE" w:rsidRPr="00DC66CD">
        <w:rPr>
          <w:rFonts w:ascii="Garamond" w:hAnsi="Garamond"/>
          <w:color w:val="000000" w:themeColor="text1"/>
          <w:sz w:val="24"/>
          <w:szCs w:val="24"/>
        </w:rPr>
        <w:t>:</w:t>
      </w:r>
      <w:r w:rsidR="006F605B" w:rsidRPr="00DC66CD">
        <w:rPr>
          <w:rFonts w:ascii="Garamond" w:hAnsi="Garamond"/>
          <w:color w:val="000000" w:themeColor="text1"/>
          <w:sz w:val="24"/>
          <w:szCs w:val="24"/>
        </w:rPr>
        <w:t xml:space="preserve"> punësimi, ulja e varfërisë, barazia dhe gjinia</w:t>
      </w:r>
    </w:p>
    <w:p w14:paraId="662F142B" w14:textId="0546CB45" w:rsidR="00693F3D" w:rsidRPr="00DC66CD" w:rsidRDefault="006F605B" w:rsidP="00693F3D">
      <w:pPr>
        <w:snapToGrid w:val="0"/>
        <w:spacing w:after="0" w:line="240" w:lineRule="auto"/>
        <w:ind w:firstLine="284"/>
        <w:jc w:val="both"/>
        <w:rPr>
          <w:rFonts w:ascii="Garamond" w:hAnsi="Garamond"/>
          <w:sz w:val="24"/>
          <w:szCs w:val="24"/>
        </w:rPr>
      </w:pPr>
      <w:r w:rsidRPr="00DC66CD">
        <w:rPr>
          <w:rFonts w:ascii="Garamond" w:hAnsi="Garamond"/>
          <w:sz w:val="24"/>
          <w:szCs w:val="24"/>
        </w:rPr>
        <w:t>Ushtrimi i aktiviteteve të ndryshme turistike brenda një kornize rregullash do të ketë një ndikim të drejtpërdrejtë në rritjen e cilësisë së shërbimeve të ofruara për turistët në afatgjatë. Kjo përkthehet në kënaqësinë dhe dëshirën e tyre për t</w:t>
      </w:r>
      <w:r w:rsidR="002C582E" w:rsidRPr="00DC66CD">
        <w:rPr>
          <w:rFonts w:ascii="Garamond" w:hAnsi="Garamond"/>
          <w:sz w:val="24"/>
          <w:szCs w:val="24"/>
        </w:rPr>
        <w:t>’</w:t>
      </w:r>
      <w:r w:rsidRPr="00DC66CD">
        <w:rPr>
          <w:rFonts w:ascii="Garamond" w:hAnsi="Garamond"/>
          <w:sz w:val="24"/>
          <w:szCs w:val="24"/>
        </w:rPr>
        <w:t>u kthyer</w:t>
      </w:r>
      <w:r w:rsidR="007123CE" w:rsidRPr="00DC66CD">
        <w:rPr>
          <w:rFonts w:ascii="Garamond" w:hAnsi="Garamond"/>
          <w:sz w:val="24"/>
          <w:szCs w:val="24"/>
        </w:rPr>
        <w:t>,</w:t>
      </w:r>
      <w:r w:rsidRPr="00DC66CD">
        <w:rPr>
          <w:rFonts w:ascii="Garamond" w:hAnsi="Garamond"/>
          <w:sz w:val="24"/>
          <w:szCs w:val="24"/>
        </w:rPr>
        <w:t xml:space="preserve"> duke ndikuar drejtpërdrejt në zhvillimin e sektorit të turizmit dhe kontributin e tij në ekonominë e vendit. Nga ana tjetër, kjo përkthehet në rritje të të ardhurave për banorët lokalë të zonave turistike, më shumë mundësi punësimi për ta, përfshirë gratë dhe persona me kualifikime më të</w:t>
      </w:r>
      <w:r w:rsidR="00693F3D" w:rsidRPr="00DC66CD">
        <w:rPr>
          <w:rFonts w:ascii="Garamond" w:hAnsi="Garamond"/>
          <w:sz w:val="24"/>
          <w:szCs w:val="24"/>
        </w:rPr>
        <w:t xml:space="preserve"> ulëta.</w:t>
      </w:r>
    </w:p>
    <w:p w14:paraId="3BB2D1F7" w14:textId="396D377A" w:rsidR="006F605B" w:rsidRPr="00DC66CD" w:rsidRDefault="00693F3D" w:rsidP="00693F3D">
      <w:pPr>
        <w:snapToGrid w:val="0"/>
        <w:spacing w:after="0" w:line="240" w:lineRule="auto"/>
        <w:ind w:firstLine="284"/>
        <w:jc w:val="both"/>
        <w:rPr>
          <w:rFonts w:ascii="Garamond" w:hAnsi="Garamond"/>
          <w:i/>
          <w:sz w:val="24"/>
          <w:szCs w:val="24"/>
        </w:rPr>
      </w:pPr>
      <w:r w:rsidRPr="00DC66CD">
        <w:rPr>
          <w:rFonts w:ascii="Garamond" w:hAnsi="Garamond"/>
          <w:i/>
          <w:sz w:val="24"/>
          <w:szCs w:val="24"/>
        </w:rPr>
        <w:t xml:space="preserve">7. </w:t>
      </w:r>
      <w:r w:rsidR="006F605B" w:rsidRPr="00DC66CD">
        <w:rPr>
          <w:rFonts w:ascii="Garamond" w:hAnsi="Garamond"/>
          <w:i/>
          <w:sz w:val="24"/>
          <w:szCs w:val="24"/>
        </w:rPr>
        <w:t>Ndikimi i pritshëm në mjedis</w:t>
      </w:r>
    </w:p>
    <w:p w14:paraId="562DCAB8" w14:textId="3AB4EAF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Vendosja e rregullave dhe </w:t>
      </w:r>
      <w:r w:rsidR="007123CE" w:rsidRPr="00DC66CD">
        <w:rPr>
          <w:rFonts w:ascii="Garamond" w:hAnsi="Garamond"/>
          <w:sz w:val="24"/>
          <w:szCs w:val="24"/>
        </w:rPr>
        <w:t xml:space="preserve">e </w:t>
      </w:r>
      <w:r w:rsidRPr="00DC66CD">
        <w:rPr>
          <w:rFonts w:ascii="Garamond" w:hAnsi="Garamond"/>
          <w:sz w:val="24"/>
          <w:szCs w:val="24"/>
        </w:rPr>
        <w:t xml:space="preserve">standardeve në përgjithësi dhe veçanërisht </w:t>
      </w:r>
      <w:r w:rsidR="007123CE" w:rsidRPr="00DC66CD">
        <w:rPr>
          <w:rFonts w:ascii="Garamond" w:hAnsi="Garamond"/>
          <w:sz w:val="24"/>
          <w:szCs w:val="24"/>
        </w:rPr>
        <w:t xml:space="preserve">të </w:t>
      </w:r>
      <w:r w:rsidRPr="00DC66CD">
        <w:rPr>
          <w:rFonts w:ascii="Garamond" w:hAnsi="Garamond"/>
          <w:sz w:val="24"/>
          <w:szCs w:val="24"/>
        </w:rPr>
        <w:t>atyre që lidhen me higjienën dhe pastërtinë, si dhe më tej, garantimi i respektimit të tyre gjatë kryerjes së aktiviteteve të ndryshme të turizmit ka për qëllim ruajtjen dhe mbrojtjen e mjedisit. Nga ana tjetër, zhvillimi i turizmit nënkupton një fluks më të madh të turistëve që vizitojnë zona turistike në periudha të caktuara të vitit</w:t>
      </w:r>
      <w:r w:rsidR="007123CE" w:rsidRPr="00DC66CD">
        <w:rPr>
          <w:rFonts w:ascii="Garamond" w:hAnsi="Garamond"/>
          <w:sz w:val="24"/>
          <w:szCs w:val="24"/>
        </w:rPr>
        <w:t>,</w:t>
      </w:r>
      <w:r w:rsidRPr="00DC66CD">
        <w:rPr>
          <w:rFonts w:ascii="Garamond" w:hAnsi="Garamond"/>
          <w:sz w:val="24"/>
          <w:szCs w:val="24"/>
        </w:rPr>
        <w:t xml:space="preserve"> siç është sezoni turistik, duke ndikuar negativisht në mjedis. Për të zbutur ndikimin negativ në mjedis synohen një sërë masash</w:t>
      </w:r>
      <w:r w:rsidR="007123CE" w:rsidRPr="00DC66CD">
        <w:rPr>
          <w:rFonts w:ascii="Garamond" w:hAnsi="Garamond"/>
          <w:sz w:val="24"/>
          <w:szCs w:val="24"/>
        </w:rPr>
        <w:t>,</w:t>
      </w:r>
      <w:r w:rsidRPr="00DC66CD">
        <w:rPr>
          <w:rFonts w:ascii="Garamond" w:hAnsi="Garamond"/>
          <w:sz w:val="24"/>
          <w:szCs w:val="24"/>
        </w:rPr>
        <w:t xml:space="preserve"> si: trajtimi i ujërave të zeza; zbatimi i politikave për të minimizuar ndotjen nga mbeturinat urbane nëpërmjet ndarjes në burim për riciklimin, kompostimin dhe hedhjen; mbledhjen dhe deponimin e mbeturinave urb</w:t>
      </w:r>
      <w:r w:rsidR="007123CE" w:rsidRPr="00DC66CD">
        <w:rPr>
          <w:rFonts w:ascii="Garamond" w:hAnsi="Garamond"/>
          <w:sz w:val="24"/>
          <w:szCs w:val="24"/>
        </w:rPr>
        <w:t>ane në vend</w:t>
      </w:r>
      <w:r w:rsidRPr="00DC66CD">
        <w:rPr>
          <w:rFonts w:ascii="Garamond" w:hAnsi="Garamond"/>
          <w:sz w:val="24"/>
          <w:szCs w:val="24"/>
        </w:rPr>
        <w:t>depozitimet e aprovuara etj.</w:t>
      </w:r>
    </w:p>
    <w:p w14:paraId="27D1374A" w14:textId="1ACD771C" w:rsidR="006F605B" w:rsidRPr="00DC66CD" w:rsidRDefault="00693F3D" w:rsidP="00693F3D">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8. </w:t>
      </w:r>
      <w:r w:rsidR="006F605B" w:rsidRPr="00DC66CD">
        <w:rPr>
          <w:rFonts w:ascii="Garamond" w:hAnsi="Garamond"/>
          <w:color w:val="000000" w:themeColor="text1"/>
          <w:sz w:val="24"/>
          <w:szCs w:val="24"/>
        </w:rPr>
        <w:t>Rreziqet e mundshme</w:t>
      </w:r>
    </w:p>
    <w:p w14:paraId="2042E0DC"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1547"/>
        <w:gridCol w:w="4053"/>
      </w:tblGrid>
      <w:tr w:rsidR="006F605B" w:rsidRPr="00DC66CD" w14:paraId="4E54333A" w14:textId="77777777" w:rsidTr="007123CE">
        <w:trPr>
          <w:jc w:val="center"/>
        </w:trPr>
        <w:tc>
          <w:tcPr>
            <w:tcW w:w="3823" w:type="dxa"/>
          </w:tcPr>
          <w:p w14:paraId="40B91CA2" w14:textId="77777777" w:rsidR="006F605B" w:rsidRPr="00DC66CD" w:rsidRDefault="006F605B" w:rsidP="007123CE">
            <w:pPr>
              <w:snapToGrid w:val="0"/>
              <w:spacing w:after="0" w:line="240" w:lineRule="auto"/>
              <w:jc w:val="center"/>
              <w:rPr>
                <w:rFonts w:ascii="Garamond" w:hAnsi="Garamond"/>
                <w:b/>
              </w:rPr>
            </w:pPr>
            <w:r w:rsidRPr="00DC66CD">
              <w:rPr>
                <w:rFonts w:ascii="Garamond" w:hAnsi="Garamond"/>
                <w:b/>
              </w:rPr>
              <w:t>Rreziku</w:t>
            </w:r>
          </w:p>
        </w:tc>
        <w:tc>
          <w:tcPr>
            <w:tcW w:w="1559" w:type="dxa"/>
          </w:tcPr>
          <w:p w14:paraId="188C3BFC" w14:textId="075EAD38" w:rsidR="006F605B" w:rsidRPr="00DC66CD" w:rsidRDefault="006F605B" w:rsidP="007123CE">
            <w:pPr>
              <w:snapToGrid w:val="0"/>
              <w:spacing w:after="0" w:line="240" w:lineRule="auto"/>
              <w:jc w:val="center"/>
              <w:rPr>
                <w:rFonts w:ascii="Garamond" w:hAnsi="Garamond"/>
                <w:b/>
              </w:rPr>
            </w:pPr>
            <w:r w:rsidRPr="00DC66CD">
              <w:rPr>
                <w:rFonts w:ascii="Garamond" w:hAnsi="Garamond"/>
                <w:b/>
              </w:rPr>
              <w:t xml:space="preserve">Probabiliteti </w:t>
            </w:r>
            <w:r w:rsidR="00F85068" w:rsidRPr="00DC66CD">
              <w:rPr>
                <w:rFonts w:ascii="Garamond" w:hAnsi="Garamond"/>
                <w:b/>
              </w:rPr>
              <w:t>(i ulët, i lartë)</w:t>
            </w:r>
          </w:p>
        </w:tc>
        <w:tc>
          <w:tcPr>
            <w:tcW w:w="4240" w:type="dxa"/>
          </w:tcPr>
          <w:p w14:paraId="56E5F0D0" w14:textId="77777777" w:rsidR="006F605B" w:rsidRPr="00DC66CD" w:rsidRDefault="006F605B" w:rsidP="007123CE">
            <w:pPr>
              <w:snapToGrid w:val="0"/>
              <w:spacing w:after="0" w:line="240" w:lineRule="auto"/>
              <w:jc w:val="center"/>
              <w:rPr>
                <w:rFonts w:ascii="Garamond" w:hAnsi="Garamond"/>
                <w:b/>
              </w:rPr>
            </w:pPr>
            <w:r w:rsidRPr="00DC66CD">
              <w:rPr>
                <w:rFonts w:ascii="Garamond" w:hAnsi="Garamond"/>
                <w:b/>
              </w:rPr>
              <w:t>Veprimi i planifikuar për uljen e rrezikut</w:t>
            </w:r>
          </w:p>
        </w:tc>
      </w:tr>
      <w:tr w:rsidR="006F605B" w:rsidRPr="00DC66CD" w14:paraId="3CB7F316" w14:textId="77777777" w:rsidTr="007123CE">
        <w:trPr>
          <w:jc w:val="center"/>
        </w:trPr>
        <w:tc>
          <w:tcPr>
            <w:tcW w:w="3823" w:type="dxa"/>
          </w:tcPr>
          <w:p w14:paraId="0F3E25D8" w14:textId="77777777" w:rsidR="006F605B" w:rsidRPr="00DC66CD" w:rsidRDefault="006F605B" w:rsidP="00693F3D">
            <w:pPr>
              <w:snapToGrid w:val="0"/>
              <w:spacing w:after="0" w:line="240" w:lineRule="auto"/>
              <w:rPr>
                <w:rFonts w:ascii="Garamond" w:hAnsi="Garamond"/>
              </w:rPr>
            </w:pPr>
            <w:r w:rsidRPr="00DC66CD">
              <w:rPr>
                <w:rFonts w:ascii="Garamond" w:hAnsi="Garamond"/>
              </w:rPr>
              <w:t>Kapacitete të pamjaftueshme administrative për të përpunuar fluksin e lartë të aplikacioneve të pranuara</w:t>
            </w:r>
          </w:p>
        </w:tc>
        <w:tc>
          <w:tcPr>
            <w:tcW w:w="1559" w:type="dxa"/>
          </w:tcPr>
          <w:p w14:paraId="5E3E86EA" w14:textId="77777777" w:rsidR="006F605B" w:rsidRPr="00DC66CD" w:rsidRDefault="006F605B" w:rsidP="00693F3D">
            <w:pPr>
              <w:snapToGrid w:val="0"/>
              <w:spacing w:after="0" w:line="240" w:lineRule="auto"/>
              <w:rPr>
                <w:rFonts w:ascii="Garamond" w:hAnsi="Garamond"/>
              </w:rPr>
            </w:pPr>
            <w:r w:rsidRPr="00DC66CD">
              <w:rPr>
                <w:rFonts w:ascii="Garamond" w:eastAsia="Arial Narrow" w:hAnsi="Garamond"/>
              </w:rPr>
              <w:t>Mesatar</w:t>
            </w:r>
          </w:p>
        </w:tc>
        <w:tc>
          <w:tcPr>
            <w:tcW w:w="4240" w:type="dxa"/>
          </w:tcPr>
          <w:p w14:paraId="1FCAA8BC" w14:textId="0D35838B" w:rsidR="006F605B" w:rsidRPr="00DC66CD" w:rsidRDefault="006F605B" w:rsidP="00693F3D">
            <w:pPr>
              <w:snapToGrid w:val="0"/>
              <w:spacing w:after="0" w:line="240" w:lineRule="auto"/>
              <w:rPr>
                <w:rFonts w:ascii="Garamond" w:hAnsi="Garamond"/>
              </w:rPr>
            </w:pPr>
            <w:r w:rsidRPr="00DC66CD">
              <w:rPr>
                <w:rFonts w:ascii="Garamond" w:hAnsi="Garamond"/>
              </w:rPr>
              <w:t>Koordinim i mirë i punës në secilën fazë të procesit p</w:t>
            </w:r>
            <w:r w:rsidR="007123CE" w:rsidRPr="00DC66CD">
              <w:rPr>
                <w:rFonts w:ascii="Garamond" w:hAnsi="Garamond"/>
              </w:rPr>
              <w:t>ër të shmangur situata të tilla</w:t>
            </w:r>
          </w:p>
        </w:tc>
      </w:tr>
      <w:tr w:rsidR="006F605B" w:rsidRPr="00DC66CD" w14:paraId="05583A12" w14:textId="77777777" w:rsidTr="007123CE">
        <w:trPr>
          <w:jc w:val="center"/>
        </w:trPr>
        <w:tc>
          <w:tcPr>
            <w:tcW w:w="3823" w:type="dxa"/>
          </w:tcPr>
          <w:p w14:paraId="77F57512" w14:textId="77777777" w:rsidR="006F605B" w:rsidRPr="00DC66CD" w:rsidRDefault="006F605B" w:rsidP="00693F3D">
            <w:pPr>
              <w:snapToGrid w:val="0"/>
              <w:spacing w:after="0" w:line="240" w:lineRule="auto"/>
              <w:rPr>
                <w:rFonts w:ascii="Garamond" w:hAnsi="Garamond"/>
              </w:rPr>
            </w:pPr>
            <w:r w:rsidRPr="00DC66CD">
              <w:rPr>
                <w:rFonts w:ascii="Garamond" w:hAnsi="Garamond"/>
              </w:rPr>
              <w:t>Barrierat administrative që mund të rezultojnë në afate të zgjatura për përfundimin e detyrave specifike</w:t>
            </w:r>
          </w:p>
        </w:tc>
        <w:tc>
          <w:tcPr>
            <w:tcW w:w="1559" w:type="dxa"/>
          </w:tcPr>
          <w:p w14:paraId="1E992AD4" w14:textId="77777777" w:rsidR="006F605B" w:rsidRPr="00DC66CD" w:rsidRDefault="006F605B" w:rsidP="00693F3D">
            <w:pPr>
              <w:snapToGrid w:val="0"/>
              <w:spacing w:after="0" w:line="240" w:lineRule="auto"/>
              <w:rPr>
                <w:rFonts w:ascii="Garamond" w:hAnsi="Garamond"/>
              </w:rPr>
            </w:pPr>
            <w:r w:rsidRPr="00DC66CD">
              <w:rPr>
                <w:rFonts w:ascii="Garamond" w:eastAsia="Arial Narrow" w:hAnsi="Garamond"/>
              </w:rPr>
              <w:t>Mesatar</w:t>
            </w:r>
          </w:p>
        </w:tc>
        <w:tc>
          <w:tcPr>
            <w:tcW w:w="4240" w:type="dxa"/>
          </w:tcPr>
          <w:p w14:paraId="750CC115" w14:textId="77777777" w:rsidR="006F605B" w:rsidRPr="00DC66CD" w:rsidRDefault="006F605B" w:rsidP="00693F3D">
            <w:pPr>
              <w:snapToGrid w:val="0"/>
              <w:spacing w:after="0" w:line="240" w:lineRule="auto"/>
              <w:rPr>
                <w:rFonts w:ascii="Garamond" w:hAnsi="Garamond"/>
              </w:rPr>
            </w:pPr>
            <w:r w:rsidRPr="00DC66CD">
              <w:rPr>
                <w:rFonts w:ascii="Garamond" w:hAnsi="Garamond"/>
              </w:rPr>
              <w:t>Koordinim i mirë i punës në secilën fazë të procesit për të shmangur situata të tilla</w:t>
            </w:r>
          </w:p>
        </w:tc>
      </w:tr>
    </w:tbl>
    <w:p w14:paraId="748DC6F8" w14:textId="77777777" w:rsidR="003C0E9A" w:rsidRPr="00DC66CD" w:rsidRDefault="003C0E9A" w:rsidP="003C0E9A">
      <w:pPr>
        <w:pStyle w:val="Heading3"/>
        <w:keepNext w:val="0"/>
        <w:keepLines w:val="0"/>
        <w:widowControl w:val="0"/>
        <w:snapToGrid w:val="0"/>
        <w:spacing w:before="0" w:line="240" w:lineRule="auto"/>
        <w:rPr>
          <w:rFonts w:ascii="Garamond" w:eastAsiaTheme="minorEastAsia" w:hAnsi="Garamond" w:cstheme="minorBidi"/>
          <w:b w:val="0"/>
          <w:bCs w:val="0"/>
          <w:color w:val="auto"/>
          <w:sz w:val="24"/>
          <w:szCs w:val="24"/>
        </w:rPr>
      </w:pPr>
      <w:bookmarkStart w:id="39" w:name="_Toc484076188"/>
      <w:bookmarkStart w:id="40" w:name="_Toc30661232"/>
    </w:p>
    <w:p w14:paraId="51581DD1" w14:textId="55348291" w:rsidR="006F605B" w:rsidRPr="00DC66CD" w:rsidRDefault="003C0E9A" w:rsidP="003C0E9A">
      <w:pPr>
        <w:pStyle w:val="TEKSTIIII"/>
        <w:rPr>
          <w:b/>
        </w:rPr>
      </w:pPr>
      <w:r w:rsidRPr="00DC66CD">
        <w:rPr>
          <w:b/>
        </w:rPr>
        <w:t xml:space="preserve">5.3.3 </w:t>
      </w:r>
      <w:r w:rsidR="006F605B" w:rsidRPr="00DC66CD">
        <w:rPr>
          <w:b/>
        </w:rPr>
        <w:t>Mjedisi i biznesit dhe zvogëlimi i ekonomisë informale</w:t>
      </w:r>
      <w:bookmarkEnd w:id="39"/>
      <w:bookmarkEnd w:id="40"/>
    </w:p>
    <w:p w14:paraId="3C7CC3D3" w14:textId="5DFE7A52" w:rsidR="006F605B" w:rsidRPr="00DC66CD" w:rsidRDefault="003C0E9A" w:rsidP="003C0E9A">
      <w:pPr>
        <w:pStyle w:val="TEKSTIIII"/>
        <w:rPr>
          <w:i/>
        </w:rPr>
      </w:pPr>
      <w:r w:rsidRPr="00DC66CD">
        <w:rPr>
          <w:i/>
        </w:rPr>
        <w:t xml:space="preserve">a) </w:t>
      </w:r>
      <w:r w:rsidR="006F605B" w:rsidRPr="00DC66CD">
        <w:rPr>
          <w:i/>
        </w:rPr>
        <w:t>Analiza e pengesave kryesore</w:t>
      </w:r>
    </w:p>
    <w:p w14:paraId="19715AE2" w14:textId="26E8E83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Përmirësimi i mëtejshëm i cilësisë se rregulloreve që ndikojnë në operacionet e përditshme të biznesit mbetet prioritet i </w:t>
      </w:r>
      <w:r w:rsidR="00607B8C" w:rsidRPr="00DC66CD">
        <w:rPr>
          <w:rFonts w:ascii="Garamond" w:hAnsi="Garamond"/>
          <w:sz w:val="24"/>
          <w:szCs w:val="24"/>
        </w:rPr>
        <w:t>qeverisë shqiptare</w:t>
      </w:r>
      <w:r w:rsidRPr="00DC66CD">
        <w:rPr>
          <w:rFonts w:ascii="Garamond" w:hAnsi="Garamond"/>
          <w:sz w:val="24"/>
          <w:szCs w:val="24"/>
        </w:rPr>
        <w:t>, si pjesë e përpjekjeve të saj për të hyrë në tregun e përbashkët të BE-së</w:t>
      </w:r>
      <w:r w:rsidR="00772573" w:rsidRPr="00DC66CD">
        <w:rPr>
          <w:rFonts w:ascii="Garamond" w:hAnsi="Garamond"/>
          <w:sz w:val="24"/>
          <w:szCs w:val="24"/>
        </w:rPr>
        <w:t>.</w:t>
      </w:r>
      <w:r w:rsidRPr="00DC66CD">
        <w:rPr>
          <w:rFonts w:ascii="Garamond" w:hAnsi="Garamond"/>
          <w:sz w:val="24"/>
          <w:szCs w:val="24"/>
        </w:rPr>
        <w:t xml:space="preserve"> Shqipëria tregoi një përmirësim në raportin e </w:t>
      </w:r>
      <w:r w:rsidRPr="00DC66CD">
        <w:rPr>
          <w:rFonts w:ascii="Garamond" w:hAnsi="Garamond"/>
          <w:i/>
          <w:sz w:val="24"/>
          <w:szCs w:val="24"/>
        </w:rPr>
        <w:t>BB Doing Business 2017,</w:t>
      </w:r>
      <w:r w:rsidRPr="00DC66CD">
        <w:rPr>
          <w:rFonts w:ascii="Garamond" w:hAnsi="Garamond"/>
          <w:sz w:val="24"/>
          <w:szCs w:val="24"/>
        </w:rPr>
        <w:t xml:space="preserve"> duke u renditur në vendin e 58-të nga 190 ekonomi që reflekton se reformat e fundit të ndërmarra nga qeveria janë në rrugën e duhur</w:t>
      </w:r>
      <w:r w:rsidR="00772573" w:rsidRPr="00DC66CD">
        <w:rPr>
          <w:rFonts w:ascii="Garamond" w:hAnsi="Garamond"/>
          <w:sz w:val="24"/>
          <w:szCs w:val="24"/>
        </w:rPr>
        <w:t>,</w:t>
      </w:r>
      <w:r w:rsidRPr="00DC66CD">
        <w:rPr>
          <w:rFonts w:ascii="Garamond" w:hAnsi="Garamond"/>
          <w:sz w:val="24"/>
          <w:szCs w:val="24"/>
        </w:rPr>
        <w:t xml:space="preserve"> veçanërisht</w:t>
      </w:r>
      <w:r w:rsidR="00607B8C" w:rsidRPr="00DC66CD">
        <w:rPr>
          <w:rFonts w:ascii="Garamond" w:hAnsi="Garamond"/>
          <w:sz w:val="24"/>
          <w:szCs w:val="24"/>
        </w:rPr>
        <w:t>,</w:t>
      </w:r>
      <w:r w:rsidRPr="00DC66CD">
        <w:rPr>
          <w:rFonts w:ascii="Garamond" w:hAnsi="Garamond"/>
          <w:sz w:val="24"/>
          <w:szCs w:val="24"/>
        </w:rPr>
        <w:t xml:space="preserve"> në lidhje me uljen e barrës administrative për bizneset. Përgjatë </w:t>
      </w:r>
      <w:r w:rsidR="00433A3A" w:rsidRPr="00DC66CD">
        <w:rPr>
          <w:rFonts w:ascii="Garamond" w:hAnsi="Garamond"/>
          <w:sz w:val="24"/>
          <w:szCs w:val="24"/>
        </w:rPr>
        <w:t>2018–</w:t>
      </w:r>
      <w:r w:rsidRPr="00DC66CD">
        <w:rPr>
          <w:rFonts w:ascii="Garamond" w:hAnsi="Garamond"/>
          <w:sz w:val="24"/>
          <w:szCs w:val="24"/>
        </w:rPr>
        <w:t xml:space="preserve">2019, </w:t>
      </w:r>
      <w:r w:rsidR="00607B8C" w:rsidRPr="00DC66CD">
        <w:rPr>
          <w:rFonts w:ascii="Garamond" w:hAnsi="Garamond"/>
          <w:sz w:val="24"/>
          <w:szCs w:val="24"/>
        </w:rPr>
        <w:t xml:space="preserve">qeveria </w:t>
      </w:r>
      <w:r w:rsidRPr="00DC66CD">
        <w:rPr>
          <w:rFonts w:ascii="Garamond" w:hAnsi="Garamond"/>
          <w:sz w:val="24"/>
          <w:szCs w:val="24"/>
        </w:rPr>
        <w:t>ka përmirësuar klimën e biznesit</w:t>
      </w:r>
      <w:r w:rsidR="00607B8C" w:rsidRPr="00DC66CD">
        <w:rPr>
          <w:rFonts w:ascii="Garamond" w:hAnsi="Garamond"/>
          <w:sz w:val="24"/>
          <w:szCs w:val="24"/>
        </w:rPr>
        <w:t>,</w:t>
      </w:r>
      <w:r w:rsidRPr="00DC66CD">
        <w:rPr>
          <w:rFonts w:ascii="Garamond" w:hAnsi="Garamond"/>
          <w:sz w:val="24"/>
          <w:szCs w:val="24"/>
        </w:rPr>
        <w:t xml:space="preserve"> kryesisht</w:t>
      </w:r>
      <w:r w:rsidR="00607B8C" w:rsidRPr="00DC66CD">
        <w:rPr>
          <w:rFonts w:ascii="Garamond" w:hAnsi="Garamond"/>
          <w:sz w:val="24"/>
          <w:szCs w:val="24"/>
        </w:rPr>
        <w:t>,</w:t>
      </w:r>
      <w:r w:rsidRPr="00DC66CD">
        <w:rPr>
          <w:rFonts w:ascii="Garamond" w:hAnsi="Garamond"/>
          <w:sz w:val="24"/>
          <w:szCs w:val="24"/>
        </w:rPr>
        <w:t xml:space="preserve"> në çështjet që kanë të bëjnë me marrjen e energjisë elektrike, e cila është reflektuar në renditje më të lartë të arritur për këtë tregues në raportin </w:t>
      </w:r>
      <w:r w:rsidRPr="00DC66CD">
        <w:rPr>
          <w:rFonts w:ascii="Garamond" w:hAnsi="Garamond"/>
          <w:i/>
          <w:sz w:val="24"/>
          <w:szCs w:val="24"/>
        </w:rPr>
        <w:t>Doing Business 2020</w:t>
      </w:r>
      <w:r w:rsidRPr="00DC66CD">
        <w:rPr>
          <w:rFonts w:ascii="Garamond" w:hAnsi="Garamond"/>
          <w:sz w:val="24"/>
          <w:szCs w:val="24"/>
        </w:rPr>
        <w:t>.</w:t>
      </w:r>
    </w:p>
    <w:p w14:paraId="2CB852CA" w14:textId="18F1CB1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Qasja në financa për NVM-të është një kufizim afatgjatë, i penguar nga mungesa e kolateralit tradicional në pronësi të NVM-ve dhe mungesa e strategjive dhe instrumenteve financiare nga sistemi bankar. Sistemi përballet me fonde të kufizuara për kompanitë, çmime të larta të huave, mbulim të k</w:t>
      </w:r>
      <w:r w:rsidR="007206A4" w:rsidRPr="00DC66CD">
        <w:rPr>
          <w:rFonts w:ascii="Garamond" w:hAnsi="Garamond"/>
          <w:sz w:val="24"/>
          <w:szCs w:val="24"/>
        </w:rPr>
        <w:t>ufizuar rajonal në zonat rurale</w:t>
      </w:r>
      <w:r w:rsidRPr="00DC66CD">
        <w:rPr>
          <w:rFonts w:ascii="Garamond" w:hAnsi="Garamond"/>
          <w:sz w:val="24"/>
          <w:szCs w:val="24"/>
        </w:rPr>
        <w:t xml:space="preserve"> etj. Aksesi i kufizuar n</w:t>
      </w:r>
      <w:r w:rsidR="00607B8C" w:rsidRPr="00DC66CD">
        <w:rPr>
          <w:rFonts w:ascii="Garamond" w:hAnsi="Garamond"/>
          <w:sz w:val="24"/>
          <w:szCs w:val="24"/>
        </w:rPr>
        <w:t>ë</w:t>
      </w:r>
      <w:r w:rsidRPr="00DC66CD">
        <w:rPr>
          <w:rFonts w:ascii="Garamond" w:hAnsi="Garamond"/>
          <w:sz w:val="24"/>
          <w:szCs w:val="24"/>
        </w:rPr>
        <w:t xml:space="preserve"> financ</w:t>
      </w:r>
      <w:r w:rsidR="00607B8C" w:rsidRPr="00DC66CD">
        <w:rPr>
          <w:rFonts w:ascii="Garamond" w:hAnsi="Garamond"/>
          <w:sz w:val="24"/>
          <w:szCs w:val="24"/>
        </w:rPr>
        <w:t>ë</w:t>
      </w:r>
      <w:r w:rsidRPr="00DC66CD">
        <w:rPr>
          <w:rFonts w:ascii="Garamond" w:hAnsi="Garamond"/>
          <w:sz w:val="24"/>
          <w:szCs w:val="24"/>
        </w:rPr>
        <w:t xml:space="preserve"> për NVM</w:t>
      </w:r>
      <w:r w:rsidR="00607B8C" w:rsidRPr="00DC66CD">
        <w:rPr>
          <w:rFonts w:ascii="Garamond" w:hAnsi="Garamond"/>
          <w:sz w:val="24"/>
          <w:szCs w:val="24"/>
        </w:rPr>
        <w:t>-të</w:t>
      </w:r>
      <w:r w:rsidRPr="00DC66CD">
        <w:rPr>
          <w:rFonts w:ascii="Garamond" w:hAnsi="Garamond"/>
          <w:sz w:val="24"/>
          <w:szCs w:val="24"/>
        </w:rPr>
        <w:t xml:space="preserve"> është një pengesë detyruese për rritjen dhe dëmton konkurrueshmërinë e NVM-ve për t</w:t>
      </w:r>
      <w:r w:rsidR="002C582E" w:rsidRPr="00DC66CD">
        <w:rPr>
          <w:rFonts w:ascii="Garamond" w:hAnsi="Garamond"/>
          <w:sz w:val="24"/>
          <w:szCs w:val="24"/>
        </w:rPr>
        <w:t>’</w:t>
      </w:r>
      <w:r w:rsidRPr="00DC66CD">
        <w:rPr>
          <w:rFonts w:ascii="Garamond" w:hAnsi="Garamond"/>
          <w:sz w:val="24"/>
          <w:szCs w:val="24"/>
        </w:rPr>
        <w:t>u integruar në tregjet rajonale dhe evropiane.</w:t>
      </w:r>
    </w:p>
    <w:p w14:paraId="364CDC2F" w14:textId="6CAE8ECE"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Ekzistojnë disa programe qeveritare për të mbështetur financimin e NMVM-ve</w:t>
      </w:r>
      <w:r w:rsidR="00607B8C" w:rsidRPr="00DC66CD">
        <w:rPr>
          <w:rFonts w:ascii="Garamond" w:hAnsi="Garamond"/>
          <w:sz w:val="24"/>
          <w:szCs w:val="24"/>
        </w:rPr>
        <w:t>,</w:t>
      </w:r>
      <w:r w:rsidRPr="00DC66CD">
        <w:rPr>
          <w:rFonts w:ascii="Garamond" w:hAnsi="Garamond"/>
          <w:sz w:val="24"/>
          <w:szCs w:val="24"/>
        </w:rPr>
        <w:t xml:space="preserve"> por këto janë relativisht të vogla dhe me ndikim të kufizuar. Qeveria ka krijuar dhe drejton disa programe financiare (subvencione direkte ose lloje të tjera të mbështetjes) përmes agjencive të ndryshme qeveritare, të tilla si</w:t>
      </w:r>
      <w:r w:rsidR="00607B8C" w:rsidRPr="00DC66CD">
        <w:rPr>
          <w:rFonts w:ascii="Garamond" w:hAnsi="Garamond"/>
          <w:sz w:val="24"/>
          <w:szCs w:val="24"/>
        </w:rPr>
        <w:t>:</w:t>
      </w:r>
      <w:r w:rsidRPr="00DC66CD">
        <w:rPr>
          <w:rFonts w:ascii="Garamond" w:hAnsi="Garamond"/>
          <w:sz w:val="24"/>
          <w:szCs w:val="24"/>
        </w:rPr>
        <w:t xml:space="preserve"> Agjencia për Kërkim, Teknologji dhe Inovacion dhe Agjencia Shqiptare e Zhvillimit të Investimeve. Fondet e kufizuara, mungesa e disponueshmeris</w:t>
      </w:r>
      <w:r w:rsidR="00607B8C" w:rsidRPr="00DC66CD">
        <w:rPr>
          <w:rFonts w:ascii="Garamond" w:hAnsi="Garamond"/>
          <w:sz w:val="24"/>
          <w:szCs w:val="24"/>
        </w:rPr>
        <w:t>ë</w:t>
      </w:r>
      <w:r w:rsidRPr="00DC66CD">
        <w:rPr>
          <w:rFonts w:ascii="Garamond" w:hAnsi="Garamond"/>
          <w:sz w:val="24"/>
          <w:szCs w:val="24"/>
        </w:rPr>
        <w:t xml:space="preserve"> dhe koordinimi i dobët i këtyre programeve kanë dhënë rezultate të kufizuara. </w:t>
      </w:r>
    </w:p>
    <w:p w14:paraId="3DA7D7E2" w14:textId="5ED6BF6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Një numër i konsiderueshëm </w:t>
      </w:r>
      <w:r w:rsidR="00607B8C" w:rsidRPr="00DC66CD">
        <w:rPr>
          <w:rFonts w:ascii="Garamond" w:hAnsi="Garamond"/>
          <w:sz w:val="24"/>
          <w:szCs w:val="24"/>
        </w:rPr>
        <w:t xml:space="preserve">i </w:t>
      </w:r>
      <w:r w:rsidRPr="00DC66CD">
        <w:rPr>
          <w:rFonts w:ascii="Garamond" w:hAnsi="Garamond"/>
          <w:sz w:val="24"/>
          <w:szCs w:val="24"/>
        </w:rPr>
        <w:t>ndërhyrjeve të financuara nga donatorët</w:t>
      </w:r>
      <w:r w:rsidR="00BD40E3" w:rsidRPr="00DC66CD">
        <w:rPr>
          <w:rFonts w:ascii="Garamond" w:hAnsi="Garamond"/>
          <w:sz w:val="24"/>
          <w:szCs w:val="24"/>
        </w:rPr>
        <w:t>,</w:t>
      </w:r>
      <w:r w:rsidRPr="00DC66CD">
        <w:rPr>
          <w:rFonts w:ascii="Garamond" w:hAnsi="Garamond"/>
          <w:sz w:val="24"/>
          <w:szCs w:val="24"/>
        </w:rPr>
        <w:t xml:space="preserve"> gjithashtu</w:t>
      </w:r>
      <w:r w:rsidR="00BD40E3" w:rsidRPr="00DC66CD">
        <w:rPr>
          <w:rFonts w:ascii="Garamond" w:hAnsi="Garamond"/>
          <w:sz w:val="24"/>
          <w:szCs w:val="24"/>
        </w:rPr>
        <w:t>,</w:t>
      </w:r>
      <w:r w:rsidRPr="00DC66CD">
        <w:rPr>
          <w:rFonts w:ascii="Garamond" w:hAnsi="Garamond"/>
          <w:sz w:val="24"/>
          <w:szCs w:val="24"/>
        </w:rPr>
        <w:t xml:space="preserve"> synojnë të mbështesin qasjen e NMVM</w:t>
      </w:r>
      <w:r w:rsidR="00BD40E3" w:rsidRPr="00DC66CD">
        <w:rPr>
          <w:rFonts w:ascii="Garamond" w:hAnsi="Garamond"/>
          <w:sz w:val="24"/>
          <w:szCs w:val="24"/>
        </w:rPr>
        <w:t>-ve</w:t>
      </w:r>
      <w:r w:rsidRPr="00DC66CD">
        <w:rPr>
          <w:rFonts w:ascii="Garamond" w:hAnsi="Garamond"/>
          <w:sz w:val="24"/>
          <w:szCs w:val="24"/>
        </w:rPr>
        <w:t xml:space="preserve"> në financa, por duket se nuk ka koordinim midis donatorëve dhe synojnë fusha dhe sektorë të ndryshëm. Financimi dhe mbështetja për NMVM</w:t>
      </w:r>
      <w:r w:rsidR="008563AE" w:rsidRPr="00DC66CD">
        <w:rPr>
          <w:rFonts w:ascii="Garamond" w:hAnsi="Garamond"/>
          <w:sz w:val="24"/>
          <w:szCs w:val="24"/>
        </w:rPr>
        <w:t>-të</w:t>
      </w:r>
      <w:r w:rsidRPr="00DC66CD">
        <w:rPr>
          <w:rFonts w:ascii="Garamond" w:hAnsi="Garamond"/>
          <w:sz w:val="24"/>
          <w:szCs w:val="24"/>
        </w:rPr>
        <w:t xml:space="preserve"> ndryshon gjerësisht në sasinë dhe natyrën e saj, si me mangësitë e kufizimet, ashtu edhe me mbivendosjen dhe mungesën e përqendrimit dhe koordinimit shumë të kufizuar në sektorët me përparësi.</w:t>
      </w:r>
    </w:p>
    <w:p w14:paraId="6B11C6A6" w14:textId="336F200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Financimi </w:t>
      </w:r>
      <w:r w:rsidR="00772573" w:rsidRPr="00DC66CD">
        <w:rPr>
          <w:rFonts w:ascii="Garamond" w:hAnsi="Garamond"/>
          <w:sz w:val="24"/>
          <w:szCs w:val="24"/>
        </w:rPr>
        <w:t>jo</w:t>
      </w:r>
      <w:r w:rsidRPr="00DC66CD">
        <w:rPr>
          <w:rFonts w:ascii="Garamond" w:hAnsi="Garamond"/>
          <w:sz w:val="24"/>
          <w:szCs w:val="24"/>
        </w:rPr>
        <w:t xml:space="preserve">bankar mbetet shumë i kufizuar. Mikrokredia, dhënia me qira dhe </w:t>
      </w:r>
      <w:r w:rsidRPr="00DC66CD">
        <w:rPr>
          <w:rFonts w:ascii="Garamond" w:hAnsi="Garamond"/>
          <w:i/>
          <w:sz w:val="24"/>
          <w:szCs w:val="24"/>
        </w:rPr>
        <w:t>faktoring</w:t>
      </w:r>
      <w:r w:rsidRPr="00DC66CD">
        <w:rPr>
          <w:rFonts w:ascii="Garamond" w:hAnsi="Garamond"/>
          <w:sz w:val="24"/>
          <w:szCs w:val="24"/>
        </w:rPr>
        <w:t xml:space="preserve"> janë t</w:t>
      </w:r>
      <w:r w:rsidR="008563AE" w:rsidRPr="00DC66CD">
        <w:rPr>
          <w:rFonts w:ascii="Garamond" w:hAnsi="Garamond"/>
          <w:sz w:val="24"/>
          <w:szCs w:val="24"/>
        </w:rPr>
        <w:t>ë</w:t>
      </w:r>
      <w:r w:rsidRPr="00DC66CD">
        <w:rPr>
          <w:rFonts w:ascii="Garamond" w:hAnsi="Garamond"/>
          <w:sz w:val="24"/>
          <w:szCs w:val="24"/>
        </w:rPr>
        <w:t xml:space="preserve"> disponueshme dhe mbështeten nga kuadër ligjor i zhvilluar mirë, por qasja e NVM-ve është e ulët. Mikrokredia, përfshirë nga 13 shoqata të kursim-kreditit, është deri tani lloji më i zakonshëm i financimit, që përbën dy të tretat e të gjitha kredive nga institucionet financiare jobankare.</w:t>
      </w:r>
    </w:p>
    <w:p w14:paraId="23FECE6F" w14:textId="6E7BDB7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Qeveria ka n</w:t>
      </w:r>
      <w:r w:rsidR="00360C4A">
        <w:rPr>
          <w:rFonts w:ascii="Garamond" w:hAnsi="Garamond"/>
          <w:sz w:val="24"/>
          <w:szCs w:val="24"/>
        </w:rPr>
        <w:t>ë</w:t>
      </w:r>
      <w:r w:rsidRPr="00DC66CD">
        <w:rPr>
          <w:rFonts w:ascii="Garamond" w:hAnsi="Garamond"/>
          <w:sz w:val="24"/>
          <w:szCs w:val="24"/>
        </w:rPr>
        <w:t xml:space="preserve"> fokus përmirësimin e financimit t</w:t>
      </w:r>
      <w:r w:rsidR="00754FBC" w:rsidRPr="00DC66CD">
        <w:rPr>
          <w:rFonts w:ascii="Garamond" w:hAnsi="Garamond"/>
          <w:sz w:val="24"/>
          <w:szCs w:val="24"/>
        </w:rPr>
        <w:t>ë</w:t>
      </w:r>
      <w:r w:rsidRPr="00DC66CD">
        <w:rPr>
          <w:rFonts w:ascii="Garamond" w:hAnsi="Garamond"/>
          <w:sz w:val="24"/>
          <w:szCs w:val="24"/>
        </w:rPr>
        <w:t xml:space="preserve"> NMVM</w:t>
      </w:r>
      <w:r w:rsidR="00754FBC" w:rsidRPr="00DC66CD">
        <w:rPr>
          <w:rFonts w:ascii="Garamond" w:hAnsi="Garamond"/>
          <w:sz w:val="24"/>
          <w:szCs w:val="24"/>
        </w:rPr>
        <w:t>-ve</w:t>
      </w:r>
      <w:r w:rsidRPr="00DC66CD">
        <w:rPr>
          <w:rFonts w:ascii="Garamond" w:hAnsi="Garamond"/>
          <w:sz w:val="24"/>
          <w:szCs w:val="24"/>
        </w:rPr>
        <w:t>, i cili do t</w:t>
      </w:r>
      <w:r w:rsidR="008B5731">
        <w:rPr>
          <w:rFonts w:ascii="Garamond" w:hAnsi="Garamond"/>
          <w:sz w:val="24"/>
          <w:szCs w:val="24"/>
        </w:rPr>
        <w:t>ë</w:t>
      </w:r>
      <w:r w:rsidRPr="00DC66CD">
        <w:rPr>
          <w:rFonts w:ascii="Garamond" w:hAnsi="Garamond"/>
          <w:sz w:val="24"/>
          <w:szCs w:val="24"/>
        </w:rPr>
        <w:t xml:space="preserve"> kontribuoj</w:t>
      </w:r>
      <w:r w:rsidR="00754FBC" w:rsidRPr="00DC66CD">
        <w:rPr>
          <w:rFonts w:ascii="Garamond" w:hAnsi="Garamond"/>
          <w:sz w:val="24"/>
          <w:szCs w:val="24"/>
        </w:rPr>
        <w:t>ë</w:t>
      </w:r>
      <w:r w:rsidRPr="00DC66CD">
        <w:rPr>
          <w:rFonts w:ascii="Garamond" w:hAnsi="Garamond"/>
          <w:sz w:val="24"/>
          <w:szCs w:val="24"/>
        </w:rPr>
        <w:t xml:space="preserve"> në rritjen ekonomike; sidoqoftë, nevojitet një koordinim dhe strukturë më e mirë për të lehtësuar zbatimin e iniciativave dhe reformave rregullatore. Ekziston një mundësi e vogël për qasjen e NMVM</w:t>
      </w:r>
      <w:r w:rsidR="00754FBC" w:rsidRPr="00DC66CD">
        <w:rPr>
          <w:rFonts w:ascii="Garamond" w:hAnsi="Garamond"/>
          <w:sz w:val="24"/>
          <w:szCs w:val="24"/>
        </w:rPr>
        <w:t>-ve</w:t>
      </w:r>
      <w:r w:rsidRPr="00DC66CD">
        <w:rPr>
          <w:rFonts w:ascii="Garamond" w:hAnsi="Garamond"/>
          <w:sz w:val="24"/>
          <w:szCs w:val="24"/>
        </w:rPr>
        <w:t xml:space="preserve"> në financat dhe</w:t>
      </w:r>
      <w:r w:rsidR="0072211B" w:rsidRPr="00DC66CD">
        <w:rPr>
          <w:rFonts w:ascii="Garamond" w:hAnsi="Garamond"/>
          <w:sz w:val="24"/>
          <w:szCs w:val="24"/>
        </w:rPr>
        <w:t xml:space="preserve"> </w:t>
      </w:r>
      <w:r w:rsidRPr="00DC66CD">
        <w:rPr>
          <w:rFonts w:ascii="Garamond" w:hAnsi="Garamond"/>
          <w:sz w:val="24"/>
          <w:szCs w:val="24"/>
        </w:rPr>
        <w:t xml:space="preserve">projektet e drejtuara nga donatorët. Përveç iniciativave politike, janë krijuar lehtësira të ndryshme të financimit të NMVM-së që ndryshojnë në madhësi, kushte të financimit dhe </w:t>
      </w:r>
      <w:r w:rsidR="00754FBC" w:rsidRPr="00DC66CD">
        <w:rPr>
          <w:rFonts w:ascii="Garamond" w:hAnsi="Garamond"/>
          <w:sz w:val="24"/>
          <w:szCs w:val="24"/>
        </w:rPr>
        <w:t xml:space="preserve">të </w:t>
      </w:r>
      <w:r w:rsidRPr="00DC66CD">
        <w:rPr>
          <w:rFonts w:ascii="Garamond" w:hAnsi="Garamond"/>
          <w:sz w:val="24"/>
          <w:szCs w:val="24"/>
        </w:rPr>
        <w:t>fokusit.</w:t>
      </w:r>
    </w:p>
    <w:p w14:paraId="0142432F" w14:textId="04D4B2F6"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Sidoqoftë, këto nisma janë mjaft të vogla dhe mund të përmirësohen duke vendosur objektiva m</w:t>
      </w:r>
      <w:r w:rsidR="00754FBC" w:rsidRPr="00DC66CD">
        <w:rPr>
          <w:rFonts w:ascii="Garamond" w:hAnsi="Garamond"/>
          <w:sz w:val="24"/>
          <w:szCs w:val="24"/>
        </w:rPr>
        <w:t>ë</w:t>
      </w:r>
      <w:r w:rsidRPr="00DC66CD">
        <w:rPr>
          <w:rFonts w:ascii="Garamond" w:hAnsi="Garamond"/>
          <w:sz w:val="24"/>
          <w:szCs w:val="24"/>
        </w:rPr>
        <w:t xml:space="preserve"> t</w:t>
      </w:r>
      <w:r w:rsidR="00754FBC" w:rsidRPr="00DC66CD">
        <w:rPr>
          <w:rFonts w:ascii="Garamond" w:hAnsi="Garamond"/>
          <w:sz w:val="24"/>
          <w:szCs w:val="24"/>
        </w:rPr>
        <w:t>ë</w:t>
      </w:r>
      <w:r w:rsidRPr="00DC66CD">
        <w:rPr>
          <w:rFonts w:ascii="Garamond" w:hAnsi="Garamond"/>
          <w:sz w:val="24"/>
          <w:szCs w:val="24"/>
        </w:rPr>
        <w:t xml:space="preserve"> lart</w:t>
      </w:r>
      <w:r w:rsidR="00754FBC" w:rsidRPr="00DC66CD">
        <w:rPr>
          <w:rFonts w:ascii="Garamond" w:hAnsi="Garamond"/>
          <w:sz w:val="24"/>
          <w:szCs w:val="24"/>
        </w:rPr>
        <w:t>ë</w:t>
      </w:r>
      <w:r w:rsidRPr="00DC66CD">
        <w:rPr>
          <w:rFonts w:ascii="Garamond" w:hAnsi="Garamond"/>
          <w:sz w:val="24"/>
          <w:szCs w:val="24"/>
        </w:rPr>
        <w:t>. Ka mungesë burimesh dhe kapacitetesh njerëzore për të mbështetur zhvillimin e NMVM-ve</w:t>
      </w:r>
      <w:r w:rsidR="00754FBC" w:rsidRPr="00DC66CD">
        <w:rPr>
          <w:rFonts w:ascii="Garamond" w:hAnsi="Garamond"/>
          <w:sz w:val="24"/>
          <w:szCs w:val="24"/>
        </w:rPr>
        <w:t>,</w:t>
      </w:r>
      <w:r w:rsidRPr="00DC66CD">
        <w:rPr>
          <w:rFonts w:ascii="Garamond" w:hAnsi="Garamond"/>
          <w:sz w:val="24"/>
          <w:szCs w:val="24"/>
        </w:rPr>
        <w:t xml:space="preserve"> </w:t>
      </w:r>
      <w:r w:rsidR="008B5731" w:rsidRPr="008B5731">
        <w:rPr>
          <w:rFonts w:ascii="Garamond" w:hAnsi="Garamond"/>
          <w:sz w:val="24"/>
          <w:szCs w:val="24"/>
        </w:rPr>
        <w:t>të</w:t>
      </w:r>
      <w:r w:rsidRPr="008B5731">
        <w:rPr>
          <w:rFonts w:ascii="Garamond" w:hAnsi="Garamond"/>
          <w:sz w:val="24"/>
          <w:szCs w:val="24"/>
        </w:rPr>
        <w:t xml:space="preserve"> cila</w:t>
      </w:r>
      <w:r w:rsidR="008B5731" w:rsidRPr="008B5731">
        <w:rPr>
          <w:rFonts w:ascii="Garamond" w:hAnsi="Garamond"/>
          <w:sz w:val="24"/>
          <w:szCs w:val="24"/>
        </w:rPr>
        <w:t>t</w:t>
      </w:r>
      <w:r w:rsidRPr="00DC66CD">
        <w:rPr>
          <w:rFonts w:ascii="Garamond" w:hAnsi="Garamond"/>
          <w:sz w:val="24"/>
          <w:szCs w:val="24"/>
        </w:rPr>
        <w:t xml:space="preserve"> është e shpërndarë përmes disa agjencive dhe institucioneve publike pa koordinim të duhur. Një strukturë e organizuar, transparente dhe e përgjegjshme e koordinimit të palëve të interesuara publike është e nevojshme për mundësimin e aksesit n</w:t>
      </w:r>
      <w:r w:rsidR="00754FBC" w:rsidRPr="00DC66CD">
        <w:rPr>
          <w:rFonts w:ascii="Garamond" w:hAnsi="Garamond"/>
          <w:sz w:val="24"/>
          <w:szCs w:val="24"/>
        </w:rPr>
        <w:t>ë</w:t>
      </w:r>
      <w:r w:rsidRPr="00DC66CD">
        <w:rPr>
          <w:rFonts w:ascii="Garamond" w:hAnsi="Garamond"/>
          <w:sz w:val="24"/>
          <w:szCs w:val="24"/>
        </w:rPr>
        <w:t xml:space="preserve"> financ</w:t>
      </w:r>
      <w:r w:rsidR="00754FBC" w:rsidRPr="00DC66CD">
        <w:rPr>
          <w:rFonts w:ascii="Garamond" w:hAnsi="Garamond"/>
          <w:sz w:val="24"/>
          <w:szCs w:val="24"/>
        </w:rPr>
        <w:t>ë</w:t>
      </w:r>
      <w:r w:rsidRPr="00DC66CD">
        <w:rPr>
          <w:rFonts w:ascii="Garamond" w:hAnsi="Garamond"/>
          <w:sz w:val="24"/>
          <w:szCs w:val="24"/>
        </w:rPr>
        <w:t xml:space="preserve"> në të gjithë sektorët kryesorë të ekonomisë.</w:t>
      </w:r>
    </w:p>
    <w:p w14:paraId="661800CB" w14:textId="276D9A10"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Dallimet midis përkufizimit ligjor ekzistues të NMVM-ve dhe përkufizimeve të përdorura nga bankat e bëjnë të vështirë për Bankën e Shqipërisë (BSH) dhe autoritetet e tjera qeveritare përkatëse të mbledhin dhe analizojnë të dhënat e huazimit në një mënyrë të qëndrueshme. Mungesa e standardizimit, megjithëse nuk është unike për Shqipërinë, kufizon aftësinë për të përpunuar dhe </w:t>
      </w:r>
      <w:r w:rsidR="00754FBC" w:rsidRPr="00DC66CD">
        <w:rPr>
          <w:rFonts w:ascii="Garamond" w:hAnsi="Garamond"/>
          <w:sz w:val="24"/>
          <w:szCs w:val="24"/>
        </w:rPr>
        <w:t xml:space="preserve">për të </w:t>
      </w:r>
      <w:r w:rsidRPr="00DC66CD">
        <w:rPr>
          <w:rFonts w:ascii="Garamond" w:hAnsi="Garamond"/>
          <w:sz w:val="24"/>
          <w:szCs w:val="24"/>
        </w:rPr>
        <w:t>analizuar me efikasitet të dhënat për NMVM</w:t>
      </w:r>
      <w:r w:rsidR="00754FBC" w:rsidRPr="00DC66CD">
        <w:rPr>
          <w:rFonts w:ascii="Garamond" w:hAnsi="Garamond"/>
          <w:sz w:val="24"/>
          <w:szCs w:val="24"/>
        </w:rPr>
        <w:t>-të</w:t>
      </w:r>
      <w:r w:rsidRPr="00DC66CD">
        <w:rPr>
          <w:rFonts w:ascii="Garamond" w:hAnsi="Garamond"/>
          <w:sz w:val="24"/>
          <w:szCs w:val="24"/>
        </w:rPr>
        <w:t xml:space="preserve">, duke përfshirë të dhëna për huadhënien dhe aksesin në finance në përgjithësi. </w:t>
      </w:r>
    </w:p>
    <w:p w14:paraId="41E357B8"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Në Shqipëri, aktualisht nuk ka një strategji në nivel kombëtar për </w:t>
      </w:r>
      <w:r w:rsidRPr="00DC66CD">
        <w:rPr>
          <w:rFonts w:ascii="Garamond" w:hAnsi="Garamond"/>
          <w:i/>
          <w:sz w:val="24"/>
          <w:szCs w:val="24"/>
        </w:rPr>
        <w:t>start up</w:t>
      </w:r>
      <w:r w:rsidRPr="00DC66CD">
        <w:rPr>
          <w:rFonts w:ascii="Garamond" w:hAnsi="Garamond"/>
          <w:sz w:val="24"/>
          <w:szCs w:val="24"/>
        </w:rPr>
        <w:t xml:space="preserve"> dhe as ndonjë ligj specifik ato. Për më tepër, legjislacioni aktual nuk përmban deri më tani një përkufizim të qartë ligjor se çfarë entiteti mund të konsiderohet si </w:t>
      </w:r>
      <w:r w:rsidRPr="00DC66CD">
        <w:rPr>
          <w:rFonts w:ascii="Garamond" w:hAnsi="Garamond"/>
          <w:i/>
          <w:sz w:val="24"/>
          <w:szCs w:val="24"/>
        </w:rPr>
        <w:t>start up</w:t>
      </w:r>
      <w:r w:rsidRPr="00DC66CD">
        <w:rPr>
          <w:rFonts w:ascii="Garamond" w:hAnsi="Garamond"/>
          <w:sz w:val="24"/>
          <w:szCs w:val="24"/>
        </w:rPr>
        <w:t>.</w:t>
      </w:r>
    </w:p>
    <w:p w14:paraId="74D7D366" w14:textId="28DC4A2B"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Sistemi i vjetër i taksimit të pasurisë së paluajtshme, bazuar në çmimet fikse, paraqet rreziqe dhe kosto të larta për kompanitë</w:t>
      </w:r>
      <w:r w:rsidR="00AB474A" w:rsidRPr="00DC66CD">
        <w:rPr>
          <w:rFonts w:ascii="Garamond" w:hAnsi="Garamond"/>
          <w:sz w:val="24"/>
          <w:szCs w:val="24"/>
        </w:rPr>
        <w:t>,</w:t>
      </w:r>
      <w:r w:rsidRPr="00DC66CD">
        <w:rPr>
          <w:rFonts w:ascii="Garamond" w:hAnsi="Garamond"/>
          <w:sz w:val="24"/>
          <w:szCs w:val="24"/>
        </w:rPr>
        <w:t xml:space="preserve"> pasi tregu i pasurive të paluajtshme është një nga faktorët kryesorë për aktivitetin ekonomik. Për më tepër, performanca e dobët e mbledhjes së taksave dhe mungesa e një regjistri kombëtar të taksimit të pasurisë së paluajtshme, çuan në nevojën e madhe për të kaluar në një sistem të taksës së pasurisë bazuar në vlerën e saj. </w:t>
      </w:r>
    </w:p>
    <w:p w14:paraId="16D5E1E0" w14:textId="26160BAB"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Arial Narrow" w:hAnsi="Garamond"/>
          <w:bCs/>
          <w:sz w:val="24"/>
          <w:szCs w:val="24"/>
        </w:rPr>
        <w:t>Reformimi i sistemit të taksës së pasurisë së paluajtshme</w:t>
      </w:r>
      <w:r w:rsidR="00AB474A" w:rsidRPr="00DC66CD">
        <w:rPr>
          <w:rFonts w:ascii="Garamond" w:eastAsia="Arial Narrow" w:hAnsi="Garamond"/>
          <w:bCs/>
          <w:sz w:val="24"/>
          <w:szCs w:val="24"/>
        </w:rPr>
        <w:t>,</w:t>
      </w:r>
      <w:r w:rsidRPr="00DC66CD">
        <w:rPr>
          <w:rFonts w:ascii="Garamond" w:eastAsia="Arial Narrow" w:hAnsi="Garamond"/>
          <w:bCs/>
          <w:sz w:val="24"/>
          <w:szCs w:val="24"/>
        </w:rPr>
        <w:t xml:space="preserve"> duke krijuar një metodë të re të llogaritjes, bazuar në çmimin e tregut dhe krijimi i kadastrës fiskale do të ketë një ndikim pozitiv në mjedisin e biznesit.</w:t>
      </w:r>
      <w:r w:rsidRPr="00DC66CD">
        <w:rPr>
          <w:rFonts w:ascii="Garamond" w:hAnsi="Garamond"/>
          <w:sz w:val="24"/>
          <w:szCs w:val="24"/>
        </w:rPr>
        <w:t xml:space="preserve"> </w:t>
      </w:r>
      <w:r w:rsidRPr="00DC66CD">
        <w:rPr>
          <w:rFonts w:ascii="Garamond" w:eastAsia="Arial Narrow" w:hAnsi="Garamond"/>
          <w:bCs/>
          <w:sz w:val="24"/>
          <w:szCs w:val="24"/>
        </w:rPr>
        <w:t>Do të shoqërohet me përfitime ekonomike dhe fiskale dhe do të rrisë ndjeshëm sigurinë dhe parashikueshmërinë juridike.</w:t>
      </w:r>
      <w:r w:rsidRPr="00DC66CD">
        <w:rPr>
          <w:rFonts w:ascii="Garamond" w:hAnsi="Garamond"/>
          <w:sz w:val="24"/>
          <w:szCs w:val="24"/>
        </w:rPr>
        <w:t xml:space="preserve"> Ekzistojnë të paktën tr</w:t>
      </w:r>
      <w:r w:rsidR="00276B1A" w:rsidRPr="00DC66CD">
        <w:rPr>
          <w:rFonts w:ascii="Garamond" w:hAnsi="Garamond"/>
          <w:sz w:val="24"/>
          <w:szCs w:val="24"/>
        </w:rPr>
        <w:t>i</w:t>
      </w:r>
      <w:r w:rsidRPr="00DC66CD">
        <w:rPr>
          <w:rFonts w:ascii="Garamond" w:hAnsi="Garamond"/>
          <w:sz w:val="24"/>
          <w:szCs w:val="24"/>
        </w:rPr>
        <w:t xml:space="preserve"> mënyra në të cilat ekonomia e Shqipërisë pritet të ndikohet:</w:t>
      </w:r>
    </w:p>
    <w:p w14:paraId="2646FE8E" w14:textId="787860DB" w:rsidR="006F605B" w:rsidRPr="00DC66CD" w:rsidRDefault="00553CA7" w:rsidP="00553CA7">
      <w:pPr>
        <w:pStyle w:val="TEKSTIIII"/>
        <w:rPr>
          <w:bCs/>
        </w:rPr>
      </w:pPr>
      <w:r w:rsidRPr="00DC66CD">
        <w:t>-</w:t>
      </w:r>
      <w:r w:rsidR="00564551" w:rsidRPr="00DC66CD">
        <w:t xml:space="preserve"> </w:t>
      </w:r>
      <w:r w:rsidR="006F605B" w:rsidRPr="00DC66CD">
        <w:t>Përmirësimi i mjedisit të biznesit</w:t>
      </w:r>
    </w:p>
    <w:p w14:paraId="0CA05F90" w14:textId="77777777" w:rsidR="006F605B" w:rsidRPr="00DC66CD" w:rsidRDefault="006F605B" w:rsidP="00553CA7">
      <w:pPr>
        <w:pStyle w:val="TEKSTIIII"/>
        <w:rPr>
          <w:bCs/>
        </w:rPr>
      </w:pPr>
      <w:r w:rsidRPr="00DC66CD">
        <w:t>Një taksë e qartë e pasurisë përbën një mënyrë transparente, të qëndrueshme dhe të parashikueshme për bashkitë për të rritur fondet, si dhe krijon kushtet për zhvillimin e një mjedisi të mirë për bizneset.</w:t>
      </w:r>
    </w:p>
    <w:p w14:paraId="7F7EBFD8" w14:textId="636B3D06" w:rsidR="006F605B" w:rsidRPr="00DC66CD" w:rsidRDefault="00553CA7" w:rsidP="00553CA7">
      <w:pPr>
        <w:pStyle w:val="TEKSTIIII"/>
        <w:rPr>
          <w:bCs/>
        </w:rPr>
      </w:pPr>
      <w:r w:rsidRPr="00DC66CD">
        <w:t>-</w:t>
      </w:r>
      <w:r w:rsidR="00564551" w:rsidRPr="00DC66CD">
        <w:t xml:space="preserve"> </w:t>
      </w:r>
      <w:r w:rsidR="006F605B" w:rsidRPr="00DC66CD">
        <w:t>Funksionimi më i mirë i tregut të pasurive</w:t>
      </w:r>
    </w:p>
    <w:p w14:paraId="3C92CBF0" w14:textId="36CA73DE" w:rsidR="006F605B" w:rsidRPr="00DC66CD" w:rsidRDefault="006F605B" w:rsidP="00553CA7">
      <w:pPr>
        <w:pStyle w:val="TEKSTIIII"/>
        <w:rPr>
          <w:bCs/>
        </w:rPr>
      </w:pPr>
      <w:r w:rsidRPr="00DC66CD">
        <w:t>Një vlerë zyrtare mbi ndërtesat (njësi pronësore) do të kontribuojë për një treg pasurish të paluajtshme më transparent. Për pasojë, një treg më transparent e bën më të lehtë për investitorët të marrin pjesë në të</w:t>
      </w:r>
      <w:r w:rsidR="00AB474A" w:rsidRPr="00DC66CD">
        <w:t>,</w:t>
      </w:r>
      <w:r w:rsidRPr="00DC66CD">
        <w:t xml:space="preserve"> si dhe do e bënte më e lehtë për të ndjekur ndryshimet në çmimet e pasurive. Ndryshime të tilla përbëjnë një bazë të rëndësishme për vendimet politike dhe ekonomike. Shumë prej këtyre vendimeve janë të lidhura më mirëfunksionimin e kredive.</w:t>
      </w:r>
    </w:p>
    <w:p w14:paraId="66A68370" w14:textId="0FCBCFD6" w:rsidR="006F605B" w:rsidRPr="00DC66CD" w:rsidRDefault="00553CA7" w:rsidP="00553CA7">
      <w:pPr>
        <w:pStyle w:val="TEKSTIIII"/>
        <w:rPr>
          <w:bCs/>
        </w:rPr>
      </w:pPr>
      <w:r w:rsidRPr="00DC66CD">
        <w:t>-</w:t>
      </w:r>
      <w:r w:rsidR="00AB474A" w:rsidRPr="00DC66CD">
        <w:t xml:space="preserve"> </w:t>
      </w:r>
      <w:r w:rsidR="006F605B" w:rsidRPr="00DC66CD">
        <w:t>Përmirësimi i tregut të kredive</w:t>
      </w:r>
    </w:p>
    <w:p w14:paraId="1D0D43F2" w14:textId="1F735FB8" w:rsidR="006F605B" w:rsidRPr="00DC66CD" w:rsidRDefault="006F605B" w:rsidP="00553CA7">
      <w:pPr>
        <w:pStyle w:val="TEKSTIIII"/>
      </w:pPr>
      <w:r w:rsidRPr="00DC66CD">
        <w:t>Një vlerë e vlerësuar e pasurisë së paluajtshme, e konfirmuar nga shteti, mund të përdoret si bazë për tregun e kredive dhe do të reduktojë nevojën për vlerësim individual të pasurive. Mund të jetë</w:t>
      </w:r>
      <w:r w:rsidR="004E73A5" w:rsidRPr="00DC66CD">
        <w:t>,</w:t>
      </w:r>
      <w:r w:rsidRPr="00DC66CD">
        <w:t xml:space="preserve"> gjithashtu</w:t>
      </w:r>
      <w:r w:rsidR="004E73A5" w:rsidRPr="00DC66CD">
        <w:t>,</w:t>
      </w:r>
      <w:r w:rsidRPr="00DC66CD">
        <w:t xml:space="preserve"> baza për tregun e të kredive nëse sistemet e IT</w:t>
      </w:r>
      <w:r w:rsidR="004E73A5" w:rsidRPr="00DC66CD">
        <w:t>-së</w:t>
      </w:r>
      <w:r w:rsidRPr="00DC66CD">
        <w:t xml:space="preserve"> do të përdoren nga persona në tregun e pasurive të paluajtshme për procese të brendshme efikase në gjykimin e vlerave. Në afatgjatë, kjo do të sjellë uljen e interesave në tregun e kredive të pronave në tregun e pasurive të paluajtshme.</w:t>
      </w:r>
    </w:p>
    <w:p w14:paraId="57A3E1AC" w14:textId="3A7EB63D" w:rsidR="006F605B" w:rsidRPr="00DC66CD" w:rsidRDefault="00553CA7" w:rsidP="00553CA7">
      <w:pPr>
        <w:pStyle w:val="Heading4"/>
        <w:keepNext w:val="0"/>
        <w:keepLines w:val="0"/>
        <w:widowControl w:val="0"/>
        <w:snapToGrid w:val="0"/>
        <w:spacing w:before="0" w:line="240" w:lineRule="auto"/>
        <w:ind w:left="284"/>
        <w:rPr>
          <w:rFonts w:ascii="Garamond" w:hAnsi="Garamond"/>
          <w:b w:val="0"/>
          <w:color w:val="000000" w:themeColor="text1"/>
          <w:sz w:val="24"/>
          <w:szCs w:val="24"/>
        </w:rPr>
      </w:pPr>
      <w:r w:rsidRPr="00DC66CD">
        <w:rPr>
          <w:rFonts w:ascii="Garamond" w:hAnsi="Garamond"/>
          <w:b w:val="0"/>
          <w:color w:val="000000" w:themeColor="text1"/>
          <w:sz w:val="24"/>
          <w:szCs w:val="24"/>
        </w:rPr>
        <w:t xml:space="preserve">b) </w:t>
      </w:r>
      <w:r w:rsidR="006F605B" w:rsidRPr="00DC66CD">
        <w:rPr>
          <w:rFonts w:ascii="Garamond" w:hAnsi="Garamond"/>
          <w:b w:val="0"/>
          <w:color w:val="000000" w:themeColor="text1"/>
          <w:sz w:val="24"/>
          <w:szCs w:val="24"/>
        </w:rPr>
        <w:t>Masat e reformave</w:t>
      </w:r>
    </w:p>
    <w:p w14:paraId="45155F6C" w14:textId="77777777" w:rsidR="006F605B" w:rsidRPr="00DC66CD" w:rsidRDefault="006F605B" w:rsidP="006F605B">
      <w:pPr>
        <w:pStyle w:val="Heading5"/>
        <w:snapToGrid w:val="0"/>
        <w:spacing w:before="0" w:line="240" w:lineRule="auto"/>
        <w:ind w:firstLine="284"/>
        <w:rPr>
          <w:rFonts w:ascii="Garamond" w:hAnsi="Garamond"/>
          <w:i/>
          <w:color w:val="000000" w:themeColor="text1"/>
          <w:sz w:val="24"/>
          <w:szCs w:val="24"/>
        </w:rPr>
      </w:pPr>
      <w:r w:rsidRPr="00DC66CD">
        <w:rPr>
          <w:rFonts w:ascii="Garamond" w:hAnsi="Garamond"/>
          <w:i/>
          <w:color w:val="000000" w:themeColor="text1"/>
          <w:sz w:val="24"/>
          <w:szCs w:val="24"/>
        </w:rPr>
        <w:t>Reforma 07: Reforma e taksës së pronës dhe krijimi i kadastrës fiskale</w:t>
      </w:r>
    </w:p>
    <w:p w14:paraId="5FFA8734" w14:textId="014B3D6A" w:rsidR="006F605B" w:rsidRPr="00DC66CD" w:rsidRDefault="00553CA7" w:rsidP="00553CA7">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1. </w:t>
      </w:r>
      <w:r w:rsidR="006F605B" w:rsidRPr="00DC66CD">
        <w:rPr>
          <w:rFonts w:ascii="Garamond" w:hAnsi="Garamond"/>
          <w:color w:val="000000" w:themeColor="text1"/>
          <w:sz w:val="24"/>
          <w:szCs w:val="24"/>
        </w:rPr>
        <w:t>Përshkrimi</w:t>
      </w:r>
    </w:p>
    <w:p w14:paraId="2921AEFB" w14:textId="05E5EC87" w:rsidR="006F605B" w:rsidRPr="00DC66CD" w:rsidRDefault="006F605B" w:rsidP="006F605B">
      <w:pPr>
        <w:tabs>
          <w:tab w:val="left" w:pos="2520"/>
        </w:tabs>
        <w:snapToGrid w:val="0"/>
        <w:spacing w:after="0" w:line="240" w:lineRule="auto"/>
        <w:ind w:firstLine="284"/>
        <w:jc w:val="both"/>
        <w:rPr>
          <w:rFonts w:ascii="Garamond" w:hAnsi="Garamond"/>
          <w:sz w:val="24"/>
          <w:szCs w:val="24"/>
        </w:rPr>
      </w:pPr>
      <w:r w:rsidRPr="00DC66CD">
        <w:rPr>
          <w:rFonts w:ascii="Garamond" w:hAnsi="Garamond"/>
          <w:sz w:val="24"/>
          <w:szCs w:val="24"/>
        </w:rPr>
        <w:t>Për të vendosur bazën e informacionit për taksën e re të pasurisë së paluajtshme, është krijuar kadastra fiskale dhe do të implementohet një metodologji e re e sistemit të taksave e bazuar në vlerën e pasurive të paluajtshme. Bashkitë po punojnë vazhdimisht me hedhjen e të dhënave të përditësuara në sistem. Qëllimi i kadastrës është të konsolidojë dhe të përmirësojë cilësinë e të dhënave ekzistuese</w:t>
      </w:r>
      <w:r w:rsidR="006B3613" w:rsidRPr="00DC66CD">
        <w:rPr>
          <w:rFonts w:ascii="Garamond" w:hAnsi="Garamond"/>
          <w:sz w:val="24"/>
          <w:szCs w:val="24"/>
        </w:rPr>
        <w:t>,</w:t>
      </w:r>
      <w:r w:rsidRPr="00DC66CD">
        <w:rPr>
          <w:rFonts w:ascii="Garamond" w:hAnsi="Garamond"/>
          <w:sz w:val="24"/>
          <w:szCs w:val="24"/>
        </w:rPr>
        <w:t xml:space="preserve"> lidhur me taksimin e ndërtesave dhe </w:t>
      </w:r>
      <w:r w:rsidR="006B3613" w:rsidRPr="00DC66CD">
        <w:rPr>
          <w:rFonts w:ascii="Garamond" w:hAnsi="Garamond"/>
          <w:sz w:val="24"/>
          <w:szCs w:val="24"/>
        </w:rPr>
        <w:t xml:space="preserve">me </w:t>
      </w:r>
      <w:r w:rsidRPr="00DC66CD">
        <w:rPr>
          <w:rFonts w:ascii="Garamond" w:hAnsi="Garamond"/>
          <w:sz w:val="24"/>
          <w:szCs w:val="24"/>
        </w:rPr>
        <w:t>pronarin/përdoruesin dhe të llogarisë taksën vjetore për çdo pasuri të paluajtshme. Për çdo pasuri do të regjistrohet një numër identifikimi unik i cili lidhet me pronarin legal (nëse dihet) ose poseduesin së bashku me numrin e identiteti kombëtar për atë person ose entitet. Njësia përgjegjëse për kadastrën fiskale nuk do të ketë autoritetin për të zgjidhur pretendimet ligjore konfliktuale ose të vërtetojë pronësinë.</w:t>
      </w:r>
    </w:p>
    <w:p w14:paraId="0C42ABE7" w14:textId="184CCFEF" w:rsidR="006F605B" w:rsidRPr="00DC66CD" w:rsidRDefault="006F605B" w:rsidP="006F605B">
      <w:pPr>
        <w:tabs>
          <w:tab w:val="left" w:pos="2520"/>
        </w:tabs>
        <w:snapToGrid w:val="0"/>
        <w:spacing w:after="0" w:line="240" w:lineRule="auto"/>
        <w:ind w:firstLine="284"/>
        <w:jc w:val="both"/>
        <w:rPr>
          <w:rFonts w:ascii="Garamond" w:hAnsi="Garamond"/>
          <w:sz w:val="24"/>
          <w:szCs w:val="24"/>
        </w:rPr>
      </w:pPr>
      <w:r w:rsidRPr="00DC66CD">
        <w:rPr>
          <w:rFonts w:ascii="Garamond" w:hAnsi="Garamond"/>
          <w:sz w:val="24"/>
          <w:szCs w:val="24"/>
        </w:rPr>
        <w:t>Aktivitetet e përfshira në PRE</w:t>
      </w:r>
      <w:r w:rsidR="006B3613" w:rsidRPr="00DC66CD">
        <w:rPr>
          <w:rFonts w:ascii="Garamond" w:hAnsi="Garamond"/>
          <w:sz w:val="24"/>
          <w:szCs w:val="24"/>
        </w:rPr>
        <w:t>,</w:t>
      </w:r>
      <w:r w:rsidRPr="00DC66CD">
        <w:rPr>
          <w:rFonts w:ascii="Garamond" w:hAnsi="Garamond"/>
          <w:sz w:val="24"/>
          <w:szCs w:val="24"/>
        </w:rPr>
        <w:t xml:space="preserve"> </w:t>
      </w:r>
      <w:r w:rsidR="00433A3A" w:rsidRPr="00DC66CD">
        <w:rPr>
          <w:rFonts w:ascii="Garamond" w:hAnsi="Garamond"/>
          <w:sz w:val="24"/>
          <w:szCs w:val="24"/>
        </w:rPr>
        <w:t>2018–</w:t>
      </w:r>
      <w:r w:rsidRPr="00DC66CD">
        <w:rPr>
          <w:rFonts w:ascii="Garamond" w:hAnsi="Garamond"/>
          <w:sz w:val="24"/>
          <w:szCs w:val="24"/>
        </w:rPr>
        <w:t>2020</w:t>
      </w:r>
      <w:r w:rsidR="006B3613" w:rsidRPr="00DC66CD">
        <w:rPr>
          <w:rFonts w:ascii="Garamond" w:hAnsi="Garamond"/>
          <w:sz w:val="24"/>
          <w:szCs w:val="24"/>
        </w:rPr>
        <w:t>,</w:t>
      </w:r>
      <w:r w:rsidRPr="00DC66CD">
        <w:rPr>
          <w:rFonts w:ascii="Garamond" w:hAnsi="Garamond"/>
          <w:sz w:val="24"/>
          <w:szCs w:val="24"/>
        </w:rPr>
        <w:t xml:space="preserve"> kanë ndryshuar përmes asistencës ndërkombëtare për krijimin e </w:t>
      </w:r>
      <w:r w:rsidR="00C159DF" w:rsidRPr="00DC66CD">
        <w:rPr>
          <w:rFonts w:ascii="Garamond" w:hAnsi="Garamond"/>
          <w:sz w:val="24"/>
          <w:szCs w:val="24"/>
        </w:rPr>
        <w:t>Kadastrës Fiskale</w:t>
      </w:r>
      <w:r w:rsidR="006B3613" w:rsidRPr="00DC66CD">
        <w:rPr>
          <w:rFonts w:ascii="Garamond" w:hAnsi="Garamond"/>
          <w:sz w:val="24"/>
          <w:szCs w:val="24"/>
        </w:rPr>
        <w:t>,</w:t>
      </w:r>
      <w:r w:rsidRPr="00DC66CD">
        <w:rPr>
          <w:rFonts w:ascii="Garamond" w:hAnsi="Garamond"/>
          <w:sz w:val="24"/>
          <w:szCs w:val="24"/>
        </w:rPr>
        <w:t xml:space="preserve"> nëpërmjet një projekti të financuar tërësisht, i cili filloi në vitin 2018.</w:t>
      </w:r>
    </w:p>
    <w:p w14:paraId="6F45A039" w14:textId="68377897" w:rsidR="006F605B" w:rsidRPr="00DC66CD" w:rsidRDefault="006F605B" w:rsidP="00553CA7">
      <w:pPr>
        <w:spacing w:after="0" w:line="240" w:lineRule="auto"/>
        <w:ind w:firstLine="284"/>
        <w:jc w:val="both"/>
        <w:rPr>
          <w:rFonts w:ascii="Garamond" w:hAnsi="Garamond"/>
          <w:color w:val="000000" w:themeColor="text1"/>
          <w:sz w:val="24"/>
          <w:szCs w:val="24"/>
        </w:rPr>
      </w:pPr>
      <w:r w:rsidRPr="00DC66CD">
        <w:rPr>
          <w:rFonts w:ascii="Garamond" w:hAnsi="Garamond"/>
          <w:sz w:val="24"/>
          <w:szCs w:val="24"/>
        </w:rPr>
        <w:t xml:space="preserve">Sidoqoftë aktivitetet e mëparshme nuk janë anuluar, por janë riorganizuar si pjesë e </w:t>
      </w:r>
      <w:r w:rsidRPr="00DC66CD">
        <w:rPr>
          <w:rFonts w:ascii="Garamond" w:hAnsi="Garamond"/>
          <w:color w:val="000000" w:themeColor="text1"/>
          <w:sz w:val="24"/>
          <w:szCs w:val="24"/>
        </w:rPr>
        <w:t>ristrukturimi</w:t>
      </w:r>
      <w:r w:rsidR="00553CA7" w:rsidRPr="00DC66CD">
        <w:rPr>
          <w:rFonts w:ascii="Garamond" w:hAnsi="Garamond"/>
          <w:color w:val="000000" w:themeColor="text1"/>
          <w:sz w:val="24"/>
          <w:szCs w:val="24"/>
        </w:rPr>
        <w:t>t të aktiviteteve të projektit.</w:t>
      </w:r>
    </w:p>
    <w:p w14:paraId="5D2099D3" w14:textId="331A1A6A" w:rsidR="006F605B" w:rsidRPr="00DC66CD" w:rsidRDefault="00553CA7" w:rsidP="00553CA7">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2. </w:t>
      </w:r>
      <w:r w:rsidR="006F605B" w:rsidRPr="00DC66CD">
        <w:rPr>
          <w:rFonts w:ascii="Garamond" w:hAnsi="Garamond"/>
          <w:color w:val="000000" w:themeColor="text1"/>
          <w:sz w:val="24"/>
          <w:szCs w:val="24"/>
        </w:rPr>
        <w:t>Aktivitetet e planifikuara</w:t>
      </w:r>
    </w:p>
    <w:p w14:paraId="46BA1BE1" w14:textId="1C412DA0" w:rsidR="006F605B" w:rsidRPr="00DC66CD" w:rsidRDefault="00553CA7" w:rsidP="00553CA7">
      <w:pPr>
        <w:pStyle w:val="ListParagraph"/>
        <w:widowControl w:val="0"/>
        <w:snapToGrid w:val="0"/>
        <w:spacing w:after="0" w:line="240" w:lineRule="auto"/>
        <w:ind w:left="284"/>
        <w:contextualSpacing w:val="0"/>
        <w:jc w:val="both"/>
        <w:rPr>
          <w:rFonts w:ascii="Garamond" w:hAnsi="Garamond" w:cs="Times New Roman"/>
          <w:b/>
          <w:color w:val="000000" w:themeColor="text1"/>
          <w:sz w:val="24"/>
          <w:szCs w:val="24"/>
        </w:rPr>
      </w:pPr>
      <w:r w:rsidRPr="00DC66CD">
        <w:rPr>
          <w:rFonts w:ascii="Garamond" w:hAnsi="Garamond" w:cs="Times New Roman"/>
          <w:b/>
          <w:color w:val="000000" w:themeColor="text1"/>
          <w:sz w:val="24"/>
          <w:szCs w:val="24"/>
        </w:rPr>
        <w:t xml:space="preserve">a) </w:t>
      </w:r>
      <w:r w:rsidR="006F605B" w:rsidRPr="00DC66CD">
        <w:rPr>
          <w:rFonts w:ascii="Garamond" w:hAnsi="Garamond" w:cs="Times New Roman"/>
          <w:b/>
          <w:color w:val="000000" w:themeColor="text1"/>
          <w:sz w:val="24"/>
          <w:szCs w:val="24"/>
        </w:rPr>
        <w:t>Aktivitetet e planifikuara</w:t>
      </w:r>
      <w:r w:rsidR="00564551" w:rsidRPr="00DC66CD">
        <w:rPr>
          <w:rFonts w:ascii="Garamond" w:hAnsi="Garamond" w:cs="Times New Roman"/>
          <w:b/>
          <w:color w:val="000000" w:themeColor="text1"/>
          <w:sz w:val="24"/>
          <w:szCs w:val="24"/>
        </w:rPr>
        <w:t xml:space="preserve"> më 2020</w:t>
      </w:r>
      <w:r w:rsidR="006B3613" w:rsidRPr="00DC66CD">
        <w:rPr>
          <w:rFonts w:ascii="Garamond" w:hAnsi="Garamond" w:cs="Times New Roman"/>
          <w:b/>
          <w:color w:val="000000" w:themeColor="text1"/>
          <w:sz w:val="24"/>
          <w:szCs w:val="24"/>
        </w:rPr>
        <w:t>-ën</w:t>
      </w:r>
      <w:r w:rsidR="006F605B" w:rsidRPr="00DC66CD">
        <w:rPr>
          <w:rStyle w:val="FootnoteReference"/>
          <w:rFonts w:ascii="Garamond" w:hAnsi="Garamond" w:cs="Times New Roman"/>
          <w:b/>
          <w:color w:val="000000" w:themeColor="text1"/>
          <w:sz w:val="24"/>
          <w:szCs w:val="24"/>
        </w:rPr>
        <w:footnoteReference w:id="20"/>
      </w:r>
    </w:p>
    <w:p w14:paraId="6CCC539D" w14:textId="0A1E985A" w:rsidR="006F605B" w:rsidRPr="00DC66CD" w:rsidRDefault="00553CA7" w:rsidP="00553CA7">
      <w:pPr>
        <w:pStyle w:val="TEKSTIIII"/>
        <w:rPr>
          <w:color w:val="000000" w:themeColor="text1"/>
        </w:rPr>
      </w:pPr>
      <w:r w:rsidRPr="00DC66CD">
        <w:rPr>
          <w:color w:val="000000" w:themeColor="text1"/>
        </w:rPr>
        <w:t>-</w:t>
      </w:r>
      <w:r w:rsidR="00564551" w:rsidRPr="00DC66CD">
        <w:rPr>
          <w:color w:val="000000" w:themeColor="text1"/>
        </w:rPr>
        <w:t xml:space="preserve"> </w:t>
      </w:r>
      <w:r w:rsidR="006F605B" w:rsidRPr="00DC66CD">
        <w:rPr>
          <w:color w:val="000000" w:themeColor="text1"/>
        </w:rPr>
        <w:t>Implementimi taksimit të pasurive të paluajtshme bazuar në vlerën e tregut. Aplikimi i qasjes se vlerës së tregut në 61 bashkitë.</w:t>
      </w:r>
    </w:p>
    <w:p w14:paraId="75B095CF" w14:textId="52C76CAA" w:rsidR="006F605B" w:rsidRPr="00DC66CD" w:rsidRDefault="00553CA7" w:rsidP="00553CA7">
      <w:pPr>
        <w:pStyle w:val="TEKSTIIII"/>
        <w:rPr>
          <w:color w:val="000000" w:themeColor="text1"/>
        </w:rPr>
      </w:pPr>
      <w:r w:rsidRPr="00DC66CD">
        <w:rPr>
          <w:color w:val="000000" w:themeColor="text1"/>
        </w:rPr>
        <w:t>-</w:t>
      </w:r>
      <w:r w:rsidR="00564551" w:rsidRPr="00DC66CD">
        <w:rPr>
          <w:color w:val="000000" w:themeColor="text1"/>
        </w:rPr>
        <w:t xml:space="preserve"> </w:t>
      </w:r>
      <w:r w:rsidR="006F605B" w:rsidRPr="00DC66CD">
        <w:rPr>
          <w:color w:val="000000" w:themeColor="text1"/>
        </w:rPr>
        <w:t>Hartimi i një ligji të ri mbi taksimin e pasurive të paluajtshme. Korniza ligjore ekzistuese do të aplikohet në periudhën tranzitore deri në momentin e miratimit të kuadrit të ri ligjor të taksës së pasurisë.</w:t>
      </w:r>
    </w:p>
    <w:p w14:paraId="12701612" w14:textId="0B801DFB" w:rsidR="006F605B" w:rsidRPr="00DC66CD" w:rsidRDefault="00553CA7" w:rsidP="00553CA7">
      <w:pPr>
        <w:pStyle w:val="ListParagraph"/>
        <w:widowControl w:val="0"/>
        <w:snapToGrid w:val="0"/>
        <w:spacing w:after="0" w:line="240" w:lineRule="auto"/>
        <w:ind w:left="284"/>
        <w:contextualSpacing w:val="0"/>
        <w:jc w:val="both"/>
        <w:rPr>
          <w:rFonts w:ascii="Garamond" w:hAnsi="Garamond" w:cs="Times New Roman"/>
          <w:b/>
          <w:color w:val="000000" w:themeColor="text1"/>
          <w:sz w:val="24"/>
          <w:szCs w:val="24"/>
        </w:rPr>
      </w:pPr>
      <w:r w:rsidRPr="00DC66CD">
        <w:rPr>
          <w:rFonts w:ascii="Garamond" w:hAnsi="Garamond" w:cs="Times New Roman"/>
          <w:b/>
          <w:color w:val="000000" w:themeColor="text1"/>
          <w:sz w:val="24"/>
          <w:szCs w:val="24"/>
        </w:rPr>
        <w:t xml:space="preserve">b) </w:t>
      </w:r>
      <w:r w:rsidR="006F605B" w:rsidRPr="00DC66CD">
        <w:rPr>
          <w:rFonts w:ascii="Garamond" w:hAnsi="Garamond" w:cs="Times New Roman"/>
          <w:b/>
          <w:color w:val="000000" w:themeColor="text1"/>
          <w:sz w:val="24"/>
          <w:szCs w:val="24"/>
        </w:rPr>
        <w:t>Aktivitetet e planifikuara</w:t>
      </w:r>
      <w:r w:rsidR="00F85068" w:rsidRPr="00DC66CD">
        <w:rPr>
          <w:rFonts w:ascii="Garamond" w:hAnsi="Garamond" w:cs="Times New Roman"/>
          <w:b/>
          <w:color w:val="000000" w:themeColor="text1"/>
          <w:sz w:val="24"/>
          <w:szCs w:val="24"/>
        </w:rPr>
        <w:t xml:space="preserve"> më 2021</w:t>
      </w:r>
      <w:r w:rsidR="006B3613" w:rsidRPr="00DC66CD">
        <w:rPr>
          <w:rFonts w:ascii="Garamond" w:hAnsi="Garamond" w:cs="Times New Roman"/>
          <w:b/>
          <w:color w:val="000000" w:themeColor="text1"/>
          <w:sz w:val="24"/>
          <w:szCs w:val="24"/>
        </w:rPr>
        <w:t>-shin</w:t>
      </w:r>
    </w:p>
    <w:p w14:paraId="710B6B5B" w14:textId="36F07BAD" w:rsidR="006F605B" w:rsidRPr="00DC66CD" w:rsidRDefault="00553CA7" w:rsidP="00553CA7">
      <w:pPr>
        <w:pStyle w:val="TEKSTIIII"/>
        <w:rPr>
          <w:color w:val="000000" w:themeColor="text1"/>
        </w:rPr>
      </w:pPr>
      <w:r w:rsidRPr="00DC66CD">
        <w:rPr>
          <w:color w:val="000000" w:themeColor="text1"/>
        </w:rPr>
        <w:t>-</w:t>
      </w:r>
      <w:r w:rsidR="00564551" w:rsidRPr="00DC66CD">
        <w:rPr>
          <w:color w:val="000000" w:themeColor="text1"/>
        </w:rPr>
        <w:t xml:space="preserve"> </w:t>
      </w:r>
      <w:r w:rsidR="006F605B" w:rsidRPr="00DC66CD">
        <w:rPr>
          <w:color w:val="000000" w:themeColor="text1"/>
        </w:rPr>
        <w:t>Faza tranzitore. Pr</w:t>
      </w:r>
      <w:r w:rsidR="006B3613" w:rsidRPr="00DC66CD">
        <w:rPr>
          <w:color w:val="000000" w:themeColor="text1"/>
        </w:rPr>
        <w:t>ocesi i regjistrimit kalohet te</w:t>
      </w:r>
      <w:r w:rsidR="006F605B" w:rsidRPr="00DC66CD">
        <w:rPr>
          <w:color w:val="000000" w:themeColor="text1"/>
        </w:rPr>
        <w:t xml:space="preserve"> bashkitë.</w:t>
      </w:r>
    </w:p>
    <w:p w14:paraId="6A8D914C" w14:textId="262D2B22" w:rsidR="006F605B" w:rsidRPr="00DC66CD" w:rsidRDefault="00C47C45" w:rsidP="00C47C45">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3. </w:t>
      </w:r>
      <w:r w:rsidR="006F605B" w:rsidRPr="00DC66CD">
        <w:rPr>
          <w:rFonts w:ascii="Garamond" w:hAnsi="Garamond"/>
          <w:color w:val="000000" w:themeColor="text1"/>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1703"/>
        <w:gridCol w:w="1752"/>
        <w:gridCol w:w="1844"/>
      </w:tblGrid>
      <w:tr w:rsidR="006F605B" w:rsidRPr="00DC66CD" w14:paraId="05BCD034" w14:textId="77777777" w:rsidTr="0005193C">
        <w:trPr>
          <w:jc w:val="center"/>
        </w:trPr>
        <w:tc>
          <w:tcPr>
            <w:tcW w:w="4248" w:type="dxa"/>
            <w:vAlign w:val="center"/>
          </w:tcPr>
          <w:p w14:paraId="540C038C" w14:textId="77777777" w:rsidR="006F605B" w:rsidRPr="00DC66CD" w:rsidRDefault="006F605B" w:rsidP="0005193C">
            <w:pPr>
              <w:snapToGrid w:val="0"/>
              <w:spacing w:after="0" w:line="240" w:lineRule="auto"/>
              <w:jc w:val="center"/>
              <w:rPr>
                <w:rFonts w:ascii="Garamond" w:hAnsi="Garamond"/>
                <w:b/>
              </w:rPr>
            </w:pPr>
            <w:r w:rsidRPr="00DC66CD">
              <w:rPr>
                <w:rFonts w:ascii="Garamond" w:hAnsi="Garamond"/>
                <w:b/>
              </w:rPr>
              <w:t>Indikatori</w:t>
            </w:r>
          </w:p>
        </w:tc>
        <w:tc>
          <w:tcPr>
            <w:tcW w:w="1791" w:type="dxa"/>
            <w:vAlign w:val="center"/>
          </w:tcPr>
          <w:p w14:paraId="6BF1041F" w14:textId="77777777" w:rsidR="006F605B" w:rsidRPr="00DC66CD" w:rsidRDefault="006F605B" w:rsidP="0005193C">
            <w:pPr>
              <w:snapToGrid w:val="0"/>
              <w:spacing w:after="0" w:line="240" w:lineRule="auto"/>
              <w:jc w:val="center"/>
              <w:rPr>
                <w:rFonts w:ascii="Garamond" w:hAnsi="Garamond"/>
                <w:b/>
              </w:rPr>
            </w:pPr>
            <w:r w:rsidRPr="00DC66CD">
              <w:rPr>
                <w:rFonts w:ascii="Garamond" w:hAnsi="Garamond"/>
                <w:b/>
              </w:rPr>
              <w:t>Bazë (2017)</w:t>
            </w:r>
          </w:p>
        </w:tc>
        <w:tc>
          <w:tcPr>
            <w:tcW w:w="1791" w:type="dxa"/>
            <w:vAlign w:val="center"/>
          </w:tcPr>
          <w:p w14:paraId="1838198B" w14:textId="3D41FEB5" w:rsidR="006F605B" w:rsidRPr="00DC66CD" w:rsidRDefault="00C27435" w:rsidP="0005193C">
            <w:pPr>
              <w:snapToGrid w:val="0"/>
              <w:spacing w:after="0" w:line="240" w:lineRule="auto"/>
              <w:jc w:val="center"/>
              <w:rPr>
                <w:rFonts w:ascii="Garamond" w:hAnsi="Garamond"/>
                <w:b/>
              </w:rPr>
            </w:pPr>
            <w:r w:rsidRPr="00DC66CD">
              <w:rPr>
                <w:rFonts w:ascii="Garamond" w:hAnsi="Garamond"/>
                <w:b/>
              </w:rPr>
              <w:t xml:space="preserve">Objektivi i ndërmjetëm </w:t>
            </w:r>
            <w:r w:rsidR="006F605B" w:rsidRPr="00DC66CD">
              <w:rPr>
                <w:rFonts w:ascii="Garamond" w:hAnsi="Garamond"/>
                <w:b/>
              </w:rPr>
              <w:t>(2019)</w:t>
            </w:r>
          </w:p>
        </w:tc>
        <w:tc>
          <w:tcPr>
            <w:tcW w:w="1792" w:type="dxa"/>
            <w:vAlign w:val="center"/>
          </w:tcPr>
          <w:p w14:paraId="3B389BC6" w14:textId="77777777" w:rsidR="006F605B" w:rsidRPr="00DC66CD" w:rsidRDefault="006F605B" w:rsidP="0005193C">
            <w:pPr>
              <w:snapToGrid w:val="0"/>
              <w:spacing w:after="0" w:line="240" w:lineRule="auto"/>
              <w:jc w:val="center"/>
              <w:rPr>
                <w:rFonts w:ascii="Garamond" w:hAnsi="Garamond"/>
                <w:b/>
              </w:rPr>
            </w:pPr>
            <w:r w:rsidRPr="00DC66CD">
              <w:rPr>
                <w:rFonts w:ascii="Garamond" w:hAnsi="Garamond"/>
                <w:b/>
              </w:rPr>
              <w:t>Objektivi (2020)</w:t>
            </w:r>
          </w:p>
        </w:tc>
      </w:tr>
      <w:tr w:rsidR="006F605B" w:rsidRPr="00DC66CD" w14:paraId="3BF5AA17" w14:textId="77777777" w:rsidTr="0005193C">
        <w:trPr>
          <w:jc w:val="center"/>
        </w:trPr>
        <w:tc>
          <w:tcPr>
            <w:tcW w:w="4248" w:type="dxa"/>
          </w:tcPr>
          <w:p w14:paraId="378C0321" w14:textId="58462CDC" w:rsidR="006F605B" w:rsidRPr="00DC66CD" w:rsidRDefault="006F605B" w:rsidP="00C47C45">
            <w:pPr>
              <w:snapToGrid w:val="0"/>
              <w:spacing w:after="0" w:line="240" w:lineRule="auto"/>
              <w:rPr>
                <w:rFonts w:ascii="Garamond" w:hAnsi="Garamond"/>
              </w:rPr>
            </w:pPr>
            <w:r w:rsidRPr="00DC66CD">
              <w:rPr>
                <w:rFonts w:ascii="Garamond" w:hAnsi="Garamond"/>
              </w:rPr>
              <w:t>Nr. i ndërtesave të regjistruara në</w:t>
            </w:r>
            <w:r w:rsidR="0005193C" w:rsidRPr="00DC66CD">
              <w:rPr>
                <w:rFonts w:ascii="Garamond" w:hAnsi="Garamond"/>
              </w:rPr>
              <w:t xml:space="preserve"> regjistrin e kadastrës fiskale</w:t>
            </w:r>
          </w:p>
        </w:tc>
        <w:tc>
          <w:tcPr>
            <w:tcW w:w="1791" w:type="dxa"/>
            <w:vAlign w:val="center"/>
          </w:tcPr>
          <w:p w14:paraId="1160D139" w14:textId="77777777" w:rsidR="006F605B" w:rsidRPr="00DC66CD" w:rsidRDefault="006F605B" w:rsidP="0005193C">
            <w:pPr>
              <w:snapToGrid w:val="0"/>
              <w:spacing w:after="0" w:line="240" w:lineRule="auto"/>
              <w:jc w:val="right"/>
              <w:rPr>
                <w:rFonts w:ascii="Garamond" w:hAnsi="Garamond"/>
              </w:rPr>
            </w:pPr>
            <w:r w:rsidRPr="00DC66CD">
              <w:rPr>
                <w:rFonts w:ascii="Garamond" w:hAnsi="Garamond"/>
              </w:rPr>
              <w:t>0</w:t>
            </w:r>
          </w:p>
        </w:tc>
        <w:tc>
          <w:tcPr>
            <w:tcW w:w="1791" w:type="dxa"/>
            <w:vAlign w:val="center"/>
          </w:tcPr>
          <w:p w14:paraId="4A472F14" w14:textId="77777777" w:rsidR="006F605B" w:rsidRPr="00DC66CD" w:rsidRDefault="006F605B" w:rsidP="0005193C">
            <w:pPr>
              <w:snapToGrid w:val="0"/>
              <w:spacing w:after="0" w:line="240" w:lineRule="auto"/>
              <w:jc w:val="right"/>
              <w:rPr>
                <w:rFonts w:ascii="Garamond" w:hAnsi="Garamond"/>
              </w:rPr>
            </w:pPr>
          </w:p>
        </w:tc>
        <w:tc>
          <w:tcPr>
            <w:tcW w:w="1792" w:type="dxa"/>
            <w:vAlign w:val="center"/>
          </w:tcPr>
          <w:p w14:paraId="27E5F506" w14:textId="77777777" w:rsidR="006F605B" w:rsidRPr="00DC66CD" w:rsidRDefault="006F605B" w:rsidP="0005193C">
            <w:pPr>
              <w:snapToGrid w:val="0"/>
              <w:spacing w:after="0" w:line="240" w:lineRule="auto"/>
              <w:jc w:val="right"/>
              <w:rPr>
                <w:rFonts w:ascii="Garamond" w:hAnsi="Garamond"/>
              </w:rPr>
            </w:pPr>
            <w:r w:rsidRPr="00DC66CD">
              <w:rPr>
                <w:rFonts w:ascii="Garamond" w:hAnsi="Garamond"/>
              </w:rPr>
              <w:t>40%</w:t>
            </w:r>
          </w:p>
        </w:tc>
      </w:tr>
      <w:tr w:rsidR="006F605B" w:rsidRPr="00DC66CD" w14:paraId="45C95943" w14:textId="77777777" w:rsidTr="0005193C">
        <w:trPr>
          <w:jc w:val="center"/>
        </w:trPr>
        <w:tc>
          <w:tcPr>
            <w:tcW w:w="4248" w:type="dxa"/>
          </w:tcPr>
          <w:p w14:paraId="5A8B1610" w14:textId="77777777" w:rsidR="006F605B" w:rsidRPr="00DC66CD" w:rsidRDefault="006F605B" w:rsidP="00C47C45">
            <w:pPr>
              <w:snapToGrid w:val="0"/>
              <w:spacing w:after="0" w:line="240" w:lineRule="auto"/>
              <w:rPr>
                <w:rFonts w:ascii="Garamond" w:hAnsi="Garamond"/>
              </w:rPr>
            </w:pPr>
            <w:r w:rsidRPr="00DC66CD">
              <w:rPr>
                <w:rFonts w:ascii="Garamond" w:hAnsi="Garamond"/>
              </w:rPr>
              <w:t>Nr. i bashkive të trajnuara</w:t>
            </w:r>
            <w:r w:rsidRPr="00DC66CD">
              <w:rPr>
                <w:rStyle w:val="FootnoteReference"/>
                <w:rFonts w:ascii="Garamond" w:hAnsi="Garamond"/>
              </w:rPr>
              <w:footnoteReference w:id="21"/>
            </w:r>
          </w:p>
        </w:tc>
        <w:tc>
          <w:tcPr>
            <w:tcW w:w="1791" w:type="dxa"/>
            <w:vAlign w:val="center"/>
          </w:tcPr>
          <w:p w14:paraId="24DA3842" w14:textId="77777777" w:rsidR="006F605B" w:rsidRPr="00DC66CD" w:rsidRDefault="006F605B" w:rsidP="0005193C">
            <w:pPr>
              <w:snapToGrid w:val="0"/>
              <w:spacing w:after="0" w:line="240" w:lineRule="auto"/>
              <w:jc w:val="right"/>
              <w:rPr>
                <w:rFonts w:ascii="Garamond" w:hAnsi="Garamond"/>
              </w:rPr>
            </w:pPr>
            <w:r w:rsidRPr="00DC66CD">
              <w:rPr>
                <w:rFonts w:ascii="Garamond" w:hAnsi="Garamond"/>
              </w:rPr>
              <w:t>0</w:t>
            </w:r>
          </w:p>
        </w:tc>
        <w:tc>
          <w:tcPr>
            <w:tcW w:w="1791" w:type="dxa"/>
            <w:vAlign w:val="center"/>
          </w:tcPr>
          <w:p w14:paraId="62AD0AA6" w14:textId="77777777" w:rsidR="006F605B" w:rsidRPr="00DC66CD" w:rsidRDefault="006F605B" w:rsidP="0005193C">
            <w:pPr>
              <w:snapToGrid w:val="0"/>
              <w:spacing w:after="0" w:line="240" w:lineRule="auto"/>
              <w:jc w:val="right"/>
              <w:rPr>
                <w:rFonts w:ascii="Garamond" w:hAnsi="Garamond"/>
              </w:rPr>
            </w:pPr>
          </w:p>
        </w:tc>
        <w:tc>
          <w:tcPr>
            <w:tcW w:w="1792" w:type="dxa"/>
            <w:vAlign w:val="center"/>
          </w:tcPr>
          <w:p w14:paraId="237E77DF" w14:textId="1D5B842B" w:rsidR="006F605B" w:rsidRPr="00DC66CD" w:rsidRDefault="0005193C" w:rsidP="0005193C">
            <w:pPr>
              <w:pStyle w:val="ListParagraph"/>
              <w:numPr>
                <w:ilvl w:val="0"/>
                <w:numId w:val="8"/>
              </w:numPr>
              <w:snapToGrid w:val="0"/>
              <w:spacing w:after="0" w:line="240" w:lineRule="auto"/>
              <w:jc w:val="right"/>
              <w:rPr>
                <w:rFonts w:ascii="Garamond" w:hAnsi="Garamond"/>
              </w:rPr>
            </w:pPr>
            <w:r w:rsidRPr="00DC66CD">
              <w:rPr>
                <w:rFonts w:ascii="Garamond" w:hAnsi="Garamond"/>
              </w:rPr>
              <w:t>bashki</w:t>
            </w:r>
          </w:p>
        </w:tc>
      </w:tr>
    </w:tbl>
    <w:p w14:paraId="58724278" w14:textId="77777777" w:rsidR="006F605B" w:rsidRPr="00DC66CD" w:rsidRDefault="006F605B" w:rsidP="006F605B">
      <w:pPr>
        <w:snapToGrid w:val="0"/>
        <w:spacing w:after="0" w:line="240" w:lineRule="auto"/>
        <w:ind w:firstLine="284"/>
        <w:rPr>
          <w:rFonts w:ascii="Garamond" w:hAnsi="Garamond"/>
          <w:sz w:val="24"/>
          <w:szCs w:val="24"/>
        </w:rPr>
      </w:pPr>
    </w:p>
    <w:p w14:paraId="326CDB59" w14:textId="1DDC656B" w:rsidR="006F605B" w:rsidRPr="00DC66CD" w:rsidRDefault="006E5EF5" w:rsidP="006E5EF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Ndikimi i pritshëm në konkurrueshmëri</w:t>
      </w:r>
    </w:p>
    <w:p w14:paraId="1527B270"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Kjo masë do të sjellë funksionim më të mirë të tregut të pasurive të paluajtshme. Ekonomia do të ndikohet përmes shumë mënyrave:</w:t>
      </w:r>
    </w:p>
    <w:p w14:paraId="2EF522A5" w14:textId="43860F39" w:rsidR="006F605B" w:rsidRPr="00DC66CD" w:rsidRDefault="006E5EF5" w:rsidP="006E5EF5">
      <w:pPr>
        <w:pStyle w:val="TEKSTIIII"/>
      </w:pPr>
      <w:r w:rsidRPr="00DC66CD">
        <w:t xml:space="preserve">i. </w:t>
      </w:r>
      <w:r w:rsidR="0005193C" w:rsidRPr="00DC66CD">
        <w:t>t</w:t>
      </w:r>
      <w:r w:rsidR="006F605B" w:rsidRPr="00DC66CD">
        <w:t>aksa e qartë e pasurisë është një mënyrë e parashikueshme, transparente dhe e qëndrueshme për bashkitë</w:t>
      </w:r>
      <w:r w:rsidR="0005193C" w:rsidRPr="00DC66CD">
        <w:t>,</w:t>
      </w:r>
      <w:r w:rsidR="006F605B" w:rsidRPr="00DC66CD">
        <w:t xml:space="preserve"> për të mbledhur fonde dhe po kështu një instrument për financim të qëndrueshëm të bashkisë. Rritja e të ardhurave nga taksa e pasurisë do të investohen në shërbime më të mira bashkiake</w:t>
      </w:r>
      <w:r w:rsidR="00564551" w:rsidRPr="00DC66CD">
        <w:t>;</w:t>
      </w:r>
    </w:p>
    <w:p w14:paraId="0D3ED103" w14:textId="693EB5DC" w:rsidR="006F605B" w:rsidRPr="00DC66CD" w:rsidRDefault="006E5EF5" w:rsidP="006E5EF5">
      <w:pPr>
        <w:pStyle w:val="TEKSTIIII"/>
      </w:pPr>
      <w:r w:rsidRPr="00DC66CD">
        <w:t xml:space="preserve">ii. </w:t>
      </w:r>
      <w:r w:rsidR="0005193C" w:rsidRPr="00DC66CD">
        <w:t>n</w:t>
      </w:r>
      <w:r w:rsidR="006F605B" w:rsidRPr="00DC66CD">
        <w:t>jë vlerë zyrtare e taksueshme e ndërtesave do të kontribuojë në një treg më transparent të pasurive të paluajtshme, gjë që e bën më të lehtë për pjesëmarrjen e investitorëve; rritja e transparencës në tregun e pasurive sjell rritjen e konkurrencës së ndershme në treg</w:t>
      </w:r>
      <w:r w:rsidR="00564551" w:rsidRPr="00DC66CD">
        <w:t>;</w:t>
      </w:r>
    </w:p>
    <w:p w14:paraId="3DE514FD" w14:textId="679E2C49" w:rsidR="006F605B" w:rsidRPr="00DC66CD" w:rsidRDefault="006E5EF5" w:rsidP="006E5EF5">
      <w:pPr>
        <w:pStyle w:val="TEKSTIIII"/>
      </w:pPr>
      <w:r w:rsidRPr="00DC66CD">
        <w:t xml:space="preserve">iii. </w:t>
      </w:r>
      <w:r w:rsidR="0005193C" w:rsidRPr="00DC66CD">
        <w:t>n</w:t>
      </w:r>
      <w:r w:rsidR="006F605B" w:rsidRPr="00DC66CD">
        <w:t>jë vlerë e vlerësuar e pasurisë</w:t>
      </w:r>
      <w:r w:rsidR="006F605B" w:rsidRPr="00DC66CD">
        <w:rPr>
          <w:color w:val="FF0000"/>
        </w:rPr>
        <w:t xml:space="preserve"> </w:t>
      </w:r>
      <w:r w:rsidR="006F605B" w:rsidRPr="00DC66CD">
        <w:t>së paluajtshme, e konfirmuar nga shteti, mund të përdoret si bazë për tregun e kredive dhe do të reduktojë nevojën për vlerësim individual t</w:t>
      </w:r>
      <w:r w:rsidR="0005193C" w:rsidRPr="00DC66CD">
        <w:t>ë</w:t>
      </w:r>
      <w:r w:rsidR="006F605B" w:rsidRPr="00DC66CD">
        <w:t xml:space="preserve"> pasurive. Ajo mund të jetë</w:t>
      </w:r>
      <w:r w:rsidR="0005193C" w:rsidRPr="00DC66CD">
        <w:t>,</w:t>
      </w:r>
      <w:r w:rsidR="006F605B" w:rsidRPr="00DC66CD">
        <w:t xml:space="preserve"> gjithashtu</w:t>
      </w:r>
      <w:r w:rsidR="0005193C" w:rsidRPr="00DC66CD">
        <w:t>,</w:t>
      </w:r>
      <w:r w:rsidR="006F605B" w:rsidRPr="00DC66CD">
        <w:t xml:space="preserve"> baza për tregun e të kredisë nëse (IT-</w:t>
      </w:r>
      <w:r w:rsidR="0005193C" w:rsidRPr="00DC66CD">
        <w:t>së</w:t>
      </w:r>
      <w:r w:rsidR="006F605B" w:rsidRPr="00DC66CD">
        <w:t>) sistemet e IT</w:t>
      </w:r>
      <w:r w:rsidR="0005193C" w:rsidRPr="00DC66CD">
        <w:t>-së</w:t>
      </w:r>
      <w:r w:rsidR="006F605B" w:rsidRPr="00DC66CD">
        <w:t xml:space="preserve"> janë përdorur nga aktorët në </w:t>
      </w:r>
      <w:r w:rsidR="0005193C" w:rsidRPr="00DC66CD">
        <w:t xml:space="preserve">tregun e pasurive të paluajtshme, </w:t>
      </w:r>
      <w:r w:rsidR="006F605B" w:rsidRPr="00DC66CD">
        <w:t>për procese të brendshme efikase në gjykimin e vlerave.</w:t>
      </w:r>
    </w:p>
    <w:p w14:paraId="186310E5" w14:textId="3A15DA5D" w:rsidR="006F605B" w:rsidRPr="00DC66CD" w:rsidRDefault="006F605B" w:rsidP="0005193C">
      <w:pPr>
        <w:snapToGrid w:val="0"/>
        <w:spacing w:after="0" w:line="240" w:lineRule="auto"/>
        <w:ind w:firstLine="284"/>
        <w:jc w:val="both"/>
        <w:rPr>
          <w:rFonts w:ascii="Garamond" w:hAnsi="Garamond"/>
          <w:sz w:val="24"/>
          <w:szCs w:val="24"/>
        </w:rPr>
      </w:pPr>
      <w:r w:rsidRPr="00DC66CD">
        <w:rPr>
          <w:rFonts w:ascii="Garamond" w:hAnsi="Garamond"/>
          <w:sz w:val="24"/>
          <w:szCs w:val="24"/>
        </w:rPr>
        <w:t>Në afatgjatë, kjo do të çojë në interesa më të ulët për të kredive për tregun e pasurive të patundshme.</w:t>
      </w:r>
    </w:p>
    <w:p w14:paraId="2E1CD949" w14:textId="73670690" w:rsidR="006F605B" w:rsidRPr="00DC66CD" w:rsidRDefault="008B743C" w:rsidP="008B743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Kosto</w:t>
      </w:r>
      <w:r w:rsidR="0005193C"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23C89B17" w14:textId="41C0B4CC"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Kjo masë do të zbatohet përmes një projekti i cili është plotësisht i financuar përmes një grandi. Kostoja e vlerësuar për këtë masë është 3.5 milion</w:t>
      </w:r>
      <w:r w:rsidR="00310FDE" w:rsidRPr="00DC66CD">
        <w:rPr>
          <w:rFonts w:ascii="Garamond" w:hAnsi="Garamond"/>
          <w:sz w:val="24"/>
          <w:szCs w:val="24"/>
        </w:rPr>
        <w:t>ë</w:t>
      </w:r>
      <w:r w:rsidRPr="00DC66CD">
        <w:rPr>
          <w:rFonts w:ascii="Garamond" w:hAnsi="Garamond"/>
          <w:sz w:val="24"/>
          <w:szCs w:val="24"/>
        </w:rPr>
        <w:t xml:space="preserve"> euro.</w:t>
      </w:r>
    </w:p>
    <w:p w14:paraId="2FF70457" w14:textId="5273A7EA" w:rsidR="006F605B" w:rsidRPr="00DC66CD" w:rsidRDefault="008B743C" w:rsidP="008B743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6. </w:t>
      </w:r>
      <w:r w:rsidR="006F605B" w:rsidRPr="00DC66CD">
        <w:rPr>
          <w:rFonts w:ascii="Garamond" w:hAnsi="Garamond"/>
          <w:color w:val="auto"/>
          <w:sz w:val="24"/>
          <w:szCs w:val="24"/>
        </w:rPr>
        <w:t>Ndikimi i pritshëm në rezultatet sociale, si</w:t>
      </w:r>
      <w:r w:rsidR="0005193C" w:rsidRPr="00DC66CD">
        <w:rPr>
          <w:rFonts w:ascii="Garamond" w:hAnsi="Garamond"/>
          <w:color w:val="auto"/>
          <w:sz w:val="24"/>
          <w:szCs w:val="24"/>
        </w:rPr>
        <w:t>:</w:t>
      </w:r>
      <w:r w:rsidR="006F605B" w:rsidRPr="00DC66CD">
        <w:rPr>
          <w:rFonts w:ascii="Garamond" w:hAnsi="Garamond"/>
          <w:color w:val="auto"/>
          <w:sz w:val="24"/>
          <w:szCs w:val="24"/>
        </w:rPr>
        <w:t xml:space="preserve"> punësimi, ulja e varfërisë, barazia dhe gjinia</w:t>
      </w:r>
    </w:p>
    <w:p w14:paraId="326E5CD7" w14:textId="737C36C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Krijimi i kadastrës fiskale në vetvete nuk parashikon ndikim të drejtpërdrejtë në treguesit social</w:t>
      </w:r>
      <w:r w:rsidR="00505C36" w:rsidRPr="00DC66CD">
        <w:rPr>
          <w:rFonts w:ascii="Garamond" w:hAnsi="Garamond"/>
          <w:sz w:val="24"/>
          <w:szCs w:val="24"/>
        </w:rPr>
        <w:t>ë</w:t>
      </w:r>
      <w:r w:rsidRPr="00DC66CD">
        <w:rPr>
          <w:rFonts w:ascii="Garamond" w:hAnsi="Garamond"/>
          <w:sz w:val="24"/>
          <w:szCs w:val="24"/>
        </w:rPr>
        <w:t>, siç janë</w:t>
      </w:r>
      <w:r w:rsidR="00505C36" w:rsidRPr="00DC66CD">
        <w:rPr>
          <w:rFonts w:ascii="Garamond" w:hAnsi="Garamond"/>
          <w:sz w:val="24"/>
          <w:szCs w:val="24"/>
        </w:rPr>
        <w:t>:</w:t>
      </w:r>
      <w:r w:rsidRPr="00DC66CD">
        <w:rPr>
          <w:rFonts w:ascii="Garamond" w:hAnsi="Garamond"/>
          <w:sz w:val="24"/>
          <w:szCs w:val="24"/>
        </w:rPr>
        <w:t xml:space="preserve"> punësimi, ulja e varfërisë, punësimi kombëtar dhe gjinia. Ndikimi i vetëm i drejtpërdrejtë në punësim është punësimi i stafit për agjencitë e reja në nivelin e qeverisë qendrore dhe lokale. Në planin afatgjatë, masa pritet të stimulojë investimet e huaja direke përmes sigurisë juridike, duke krijuar kështu më shumë biznese dhe duke rritur punësimin, por asnjë efekt nuk parashikohet me dallimet gjinore. Sidoqoftë, në sistemin e kadastrës, numri i pronarëve femra tashmë është rritur.</w:t>
      </w:r>
    </w:p>
    <w:p w14:paraId="60E22782" w14:textId="5CB0D800" w:rsidR="006F605B" w:rsidRPr="00DC66CD" w:rsidRDefault="008B743C" w:rsidP="008B743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7. </w:t>
      </w:r>
      <w:r w:rsidR="006F605B" w:rsidRPr="00DC66CD">
        <w:rPr>
          <w:rFonts w:ascii="Garamond" w:hAnsi="Garamond"/>
          <w:color w:val="auto"/>
          <w:sz w:val="24"/>
          <w:szCs w:val="24"/>
        </w:rPr>
        <w:t>Ndikimi i pritshëm në mjedis</w:t>
      </w:r>
    </w:p>
    <w:p w14:paraId="5F128F6D"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Krijimi i kadastrës fiskalë në vetvete nuk parashikon ndikim të drejtpërdrejte në mjedis.</w:t>
      </w:r>
    </w:p>
    <w:p w14:paraId="53F972CE" w14:textId="7B849815" w:rsidR="006F605B" w:rsidRPr="00DC66CD" w:rsidRDefault="008B743C" w:rsidP="008B743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8. </w:t>
      </w:r>
      <w:r w:rsidR="006F605B" w:rsidRPr="00DC66CD">
        <w:rPr>
          <w:rFonts w:ascii="Garamond" w:hAnsi="Garamond"/>
          <w:color w:val="auto"/>
          <w:sz w:val="24"/>
          <w:szCs w:val="24"/>
        </w:rPr>
        <w:t>Rreziqet e mundshme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685"/>
        <w:gridCol w:w="4067"/>
      </w:tblGrid>
      <w:tr w:rsidR="006F605B" w:rsidRPr="00DC66CD" w14:paraId="21223992" w14:textId="77777777" w:rsidTr="00505C36">
        <w:trPr>
          <w:jc w:val="center"/>
        </w:trPr>
        <w:tc>
          <w:tcPr>
            <w:tcW w:w="3528" w:type="dxa"/>
            <w:vAlign w:val="center"/>
          </w:tcPr>
          <w:p w14:paraId="23B63D80" w14:textId="77777777" w:rsidR="006F605B" w:rsidRPr="00DC66CD" w:rsidRDefault="006F605B" w:rsidP="00505C36">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1685" w:type="dxa"/>
            <w:vAlign w:val="center"/>
          </w:tcPr>
          <w:p w14:paraId="7F4DF77C" w14:textId="77777777" w:rsidR="00505C36" w:rsidRPr="00DC66CD" w:rsidRDefault="006F605B" w:rsidP="00505C36">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p>
          <w:p w14:paraId="21622A39" w14:textId="6D1C3AAB" w:rsidR="006F605B" w:rsidRPr="00DC66CD" w:rsidRDefault="00F85068" w:rsidP="00505C36">
            <w:pPr>
              <w:snapToGrid w:val="0"/>
              <w:spacing w:after="0" w:line="240" w:lineRule="auto"/>
              <w:jc w:val="center"/>
              <w:rPr>
                <w:rFonts w:ascii="Garamond" w:hAnsi="Garamond"/>
                <w:b/>
                <w:sz w:val="20"/>
                <w:szCs w:val="20"/>
              </w:rPr>
            </w:pPr>
            <w:r w:rsidRPr="00DC66CD">
              <w:rPr>
                <w:rFonts w:ascii="Garamond" w:hAnsi="Garamond"/>
                <w:b/>
                <w:sz w:val="20"/>
                <w:szCs w:val="20"/>
              </w:rPr>
              <w:t>(i ulët, i lartë)</w:t>
            </w:r>
          </w:p>
        </w:tc>
        <w:tc>
          <w:tcPr>
            <w:tcW w:w="4067" w:type="dxa"/>
            <w:vAlign w:val="center"/>
          </w:tcPr>
          <w:p w14:paraId="4DFA9490" w14:textId="77777777" w:rsidR="006F605B" w:rsidRPr="00DC66CD" w:rsidRDefault="006F605B" w:rsidP="00505C36">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00003B26" w14:textId="77777777" w:rsidTr="00505C36">
        <w:trPr>
          <w:jc w:val="center"/>
        </w:trPr>
        <w:tc>
          <w:tcPr>
            <w:tcW w:w="3528" w:type="dxa"/>
          </w:tcPr>
          <w:p w14:paraId="3907670A" w14:textId="78DA8E8E" w:rsidR="006F605B" w:rsidRPr="00DC66CD" w:rsidRDefault="006F605B" w:rsidP="008B743C">
            <w:pPr>
              <w:snapToGrid w:val="0"/>
              <w:spacing w:after="0" w:line="240" w:lineRule="auto"/>
              <w:rPr>
                <w:rFonts w:ascii="Garamond" w:hAnsi="Garamond"/>
                <w:sz w:val="20"/>
                <w:szCs w:val="20"/>
              </w:rPr>
            </w:pPr>
            <w:r w:rsidRPr="00DC66CD">
              <w:rPr>
                <w:rFonts w:ascii="Garamond" w:hAnsi="Garamond"/>
                <w:sz w:val="20"/>
                <w:szCs w:val="20"/>
              </w:rPr>
              <w:t xml:space="preserve">Pasaktësia e të dhënave </w:t>
            </w:r>
            <w:r w:rsidR="00505C36" w:rsidRPr="00DC66CD">
              <w:rPr>
                <w:rFonts w:ascii="Garamond" w:hAnsi="Garamond"/>
                <w:sz w:val="20"/>
                <w:szCs w:val="20"/>
              </w:rPr>
              <w:t>ekzistuese për ndërtesat</w:t>
            </w:r>
          </w:p>
        </w:tc>
        <w:tc>
          <w:tcPr>
            <w:tcW w:w="1685" w:type="dxa"/>
          </w:tcPr>
          <w:p w14:paraId="6C08ABAB" w14:textId="77777777" w:rsidR="006F605B" w:rsidRPr="00DC66CD" w:rsidRDefault="006F605B" w:rsidP="008B743C">
            <w:pPr>
              <w:snapToGrid w:val="0"/>
              <w:spacing w:after="0" w:line="240" w:lineRule="auto"/>
              <w:rPr>
                <w:rFonts w:ascii="Garamond" w:hAnsi="Garamond"/>
                <w:sz w:val="20"/>
                <w:szCs w:val="20"/>
              </w:rPr>
            </w:pPr>
            <w:r w:rsidRPr="00DC66CD">
              <w:rPr>
                <w:rFonts w:ascii="Garamond" w:hAnsi="Garamond"/>
                <w:sz w:val="20"/>
                <w:szCs w:val="20"/>
              </w:rPr>
              <w:t xml:space="preserve">E lartë </w:t>
            </w:r>
          </w:p>
        </w:tc>
        <w:tc>
          <w:tcPr>
            <w:tcW w:w="4067" w:type="dxa"/>
          </w:tcPr>
          <w:p w14:paraId="23AEB270" w14:textId="6CF64E2D" w:rsidR="006F605B" w:rsidRPr="00DC66CD" w:rsidRDefault="006F605B" w:rsidP="00505C36">
            <w:pPr>
              <w:snapToGrid w:val="0"/>
              <w:spacing w:after="0" w:line="240" w:lineRule="auto"/>
              <w:rPr>
                <w:rFonts w:ascii="Garamond" w:hAnsi="Garamond"/>
                <w:sz w:val="20"/>
                <w:szCs w:val="20"/>
              </w:rPr>
            </w:pPr>
            <w:r w:rsidRPr="00DC66CD">
              <w:rPr>
                <w:rFonts w:ascii="Garamond" w:hAnsi="Garamond"/>
                <w:sz w:val="20"/>
                <w:szCs w:val="20"/>
              </w:rPr>
              <w:t>Të gjitha ndërtesat do të regjistrohen në sistem. Tashmë 586,164 nga 1.500,000 ndërtesa janë regjistruar, të cilat përmbajnë informacion për pronarin (poseduesin) dhe</w:t>
            </w:r>
            <w:r w:rsidR="00505C36" w:rsidRPr="00DC66CD">
              <w:rPr>
                <w:rFonts w:ascii="Garamond" w:hAnsi="Garamond"/>
                <w:sz w:val="20"/>
                <w:szCs w:val="20"/>
              </w:rPr>
              <w:t xml:space="preserve"> për</w:t>
            </w:r>
            <w:r w:rsidRPr="00DC66CD">
              <w:rPr>
                <w:rFonts w:ascii="Garamond" w:hAnsi="Garamond"/>
                <w:sz w:val="20"/>
                <w:szCs w:val="20"/>
              </w:rPr>
              <w:t xml:space="preserve"> sipërfaqen. Drejtoria e Përgjithshme e Taksës së Pasurisë tashmë zotëron</w:t>
            </w:r>
            <w:r w:rsidR="00505C36" w:rsidRPr="00DC66CD">
              <w:rPr>
                <w:rFonts w:ascii="Garamond" w:hAnsi="Garamond"/>
                <w:sz w:val="20"/>
                <w:szCs w:val="20"/>
              </w:rPr>
              <w:t xml:space="preserve"> të dhëna nga ALUIZNI dhe ZRPP-</w:t>
            </w:r>
            <w:r w:rsidRPr="00DC66CD">
              <w:rPr>
                <w:rFonts w:ascii="Garamond" w:hAnsi="Garamond"/>
                <w:sz w:val="20"/>
                <w:szCs w:val="20"/>
              </w:rPr>
              <w:t>ja</w:t>
            </w:r>
            <w:r w:rsidR="00505C36" w:rsidRPr="00DC66CD">
              <w:rPr>
                <w:rFonts w:ascii="Garamond" w:hAnsi="Garamond"/>
                <w:sz w:val="20"/>
                <w:szCs w:val="20"/>
              </w:rPr>
              <w:t>,</w:t>
            </w:r>
            <w:r w:rsidRPr="00DC66CD">
              <w:rPr>
                <w:rFonts w:ascii="Garamond" w:hAnsi="Garamond"/>
                <w:sz w:val="20"/>
                <w:szCs w:val="20"/>
              </w:rPr>
              <w:t xml:space="preserve"> por cilësia e të dhënave është shumë e ulët. Sidoqoftë kjo drejtori është e vetëdijshme për cilësinë e këtyre të dhënave dhe është duke punuar</w:t>
            </w:r>
            <w:r w:rsidR="00505C36" w:rsidRPr="00DC66CD">
              <w:rPr>
                <w:rFonts w:ascii="Garamond" w:hAnsi="Garamond"/>
                <w:sz w:val="20"/>
                <w:szCs w:val="20"/>
              </w:rPr>
              <w:t>,</w:t>
            </w:r>
            <w:r w:rsidRPr="00DC66CD">
              <w:rPr>
                <w:rFonts w:ascii="Garamond" w:hAnsi="Garamond"/>
                <w:sz w:val="20"/>
                <w:szCs w:val="20"/>
              </w:rPr>
              <w:t xml:space="preserve"> me qëllim që të identifikojë mjetet e duhura për t</w:t>
            </w:r>
            <w:r w:rsidR="00505C36" w:rsidRPr="00DC66CD">
              <w:rPr>
                <w:rFonts w:ascii="Garamond" w:hAnsi="Garamond"/>
                <w:sz w:val="20"/>
                <w:szCs w:val="20"/>
              </w:rPr>
              <w:t>’</w:t>
            </w:r>
            <w:r w:rsidRPr="00DC66CD">
              <w:rPr>
                <w:rFonts w:ascii="Garamond" w:hAnsi="Garamond"/>
                <w:sz w:val="20"/>
                <w:szCs w:val="20"/>
              </w:rPr>
              <w:t>i b</w:t>
            </w:r>
            <w:r w:rsidR="00505C36" w:rsidRPr="00DC66CD">
              <w:rPr>
                <w:rFonts w:ascii="Garamond" w:hAnsi="Garamond"/>
                <w:sz w:val="20"/>
                <w:szCs w:val="20"/>
              </w:rPr>
              <w:t>ërë</w:t>
            </w:r>
            <w:r w:rsidRPr="00DC66CD">
              <w:rPr>
                <w:rFonts w:ascii="Garamond" w:hAnsi="Garamond"/>
                <w:sz w:val="20"/>
                <w:szCs w:val="20"/>
              </w:rPr>
              <w:t xml:space="preserve"> këto të dhëna të disponueshme për të gjitha bashkitë.</w:t>
            </w:r>
          </w:p>
        </w:tc>
      </w:tr>
      <w:tr w:rsidR="006F605B" w:rsidRPr="00DC66CD" w14:paraId="06876BA7" w14:textId="77777777" w:rsidTr="00505C36">
        <w:trPr>
          <w:jc w:val="center"/>
        </w:trPr>
        <w:tc>
          <w:tcPr>
            <w:tcW w:w="3528" w:type="dxa"/>
          </w:tcPr>
          <w:p w14:paraId="23E9C6B8" w14:textId="1B04D5FC" w:rsidR="006F605B" w:rsidRPr="00DC66CD" w:rsidRDefault="00505C36" w:rsidP="008B743C">
            <w:pPr>
              <w:snapToGrid w:val="0"/>
              <w:spacing w:after="0" w:line="240" w:lineRule="auto"/>
              <w:rPr>
                <w:rFonts w:ascii="Garamond" w:hAnsi="Garamond"/>
                <w:sz w:val="20"/>
                <w:szCs w:val="20"/>
              </w:rPr>
            </w:pPr>
            <w:r w:rsidRPr="00DC66CD">
              <w:rPr>
                <w:rFonts w:ascii="Garamond" w:hAnsi="Garamond"/>
                <w:sz w:val="20"/>
                <w:szCs w:val="20"/>
              </w:rPr>
              <w:t xml:space="preserve">Mungesa e fondeve/burimeve </w:t>
            </w:r>
            <w:r w:rsidR="006F605B" w:rsidRPr="00DC66CD">
              <w:rPr>
                <w:rFonts w:ascii="Garamond" w:hAnsi="Garamond"/>
                <w:sz w:val="20"/>
                <w:szCs w:val="20"/>
              </w:rPr>
              <w:t>financiare të mjaftueshme</w:t>
            </w:r>
          </w:p>
          <w:p w14:paraId="5A79573C" w14:textId="77777777" w:rsidR="006F605B" w:rsidRPr="00DC66CD" w:rsidRDefault="006F605B" w:rsidP="008B743C">
            <w:pPr>
              <w:snapToGrid w:val="0"/>
              <w:spacing w:after="0" w:line="240" w:lineRule="auto"/>
              <w:rPr>
                <w:rFonts w:ascii="Garamond" w:hAnsi="Garamond"/>
                <w:sz w:val="20"/>
                <w:szCs w:val="20"/>
              </w:rPr>
            </w:pPr>
          </w:p>
        </w:tc>
        <w:tc>
          <w:tcPr>
            <w:tcW w:w="1685" w:type="dxa"/>
          </w:tcPr>
          <w:p w14:paraId="7C1490FA" w14:textId="77777777" w:rsidR="006F605B" w:rsidRPr="00DC66CD" w:rsidRDefault="006F605B" w:rsidP="008B743C">
            <w:pPr>
              <w:snapToGrid w:val="0"/>
              <w:spacing w:after="0" w:line="240" w:lineRule="auto"/>
              <w:rPr>
                <w:rFonts w:ascii="Garamond" w:hAnsi="Garamond"/>
                <w:sz w:val="20"/>
                <w:szCs w:val="20"/>
              </w:rPr>
            </w:pPr>
            <w:r w:rsidRPr="00DC66CD">
              <w:rPr>
                <w:rFonts w:ascii="Garamond" w:hAnsi="Garamond"/>
                <w:sz w:val="20"/>
                <w:szCs w:val="20"/>
              </w:rPr>
              <w:t xml:space="preserve">E ulët </w:t>
            </w:r>
          </w:p>
        </w:tc>
        <w:tc>
          <w:tcPr>
            <w:tcW w:w="4067" w:type="dxa"/>
          </w:tcPr>
          <w:p w14:paraId="3C0AD483" w14:textId="229A4AE0" w:rsidR="006F605B" w:rsidRPr="00DC66CD" w:rsidRDefault="006F605B" w:rsidP="00505C36">
            <w:pPr>
              <w:snapToGrid w:val="0"/>
              <w:spacing w:after="0" w:line="240" w:lineRule="auto"/>
              <w:rPr>
                <w:rFonts w:ascii="Garamond" w:hAnsi="Garamond"/>
                <w:sz w:val="20"/>
                <w:szCs w:val="20"/>
              </w:rPr>
            </w:pPr>
            <w:r w:rsidRPr="00DC66CD">
              <w:rPr>
                <w:rFonts w:ascii="Garamond" w:hAnsi="Garamond"/>
                <w:sz w:val="20"/>
                <w:szCs w:val="20"/>
              </w:rPr>
              <w:t>Ky risk është reduktuar nga asistenca ndërkombëtare. SIDA e cila ka siguruar ndihmën teknike dhe mbështetjen financiare përmes një grandi për zhvillimin e sistemit financiar të IT</w:t>
            </w:r>
            <w:r w:rsidR="00505C36" w:rsidRPr="00DC66CD">
              <w:rPr>
                <w:rFonts w:ascii="Garamond" w:hAnsi="Garamond"/>
                <w:sz w:val="20"/>
                <w:szCs w:val="20"/>
              </w:rPr>
              <w:t>-së</w:t>
            </w:r>
            <w:r w:rsidRPr="00DC66CD">
              <w:rPr>
                <w:rFonts w:ascii="Garamond" w:hAnsi="Garamond"/>
                <w:sz w:val="20"/>
                <w:szCs w:val="20"/>
              </w:rPr>
              <w:t>.</w:t>
            </w:r>
          </w:p>
        </w:tc>
      </w:tr>
      <w:tr w:rsidR="006F605B" w:rsidRPr="00DC66CD" w14:paraId="181A8017" w14:textId="77777777" w:rsidTr="00505C36">
        <w:trPr>
          <w:jc w:val="center"/>
        </w:trPr>
        <w:tc>
          <w:tcPr>
            <w:tcW w:w="3528" w:type="dxa"/>
          </w:tcPr>
          <w:p w14:paraId="143992C7" w14:textId="2D24AF56" w:rsidR="006F605B" w:rsidRPr="00DC66CD" w:rsidRDefault="00505C36" w:rsidP="008B743C">
            <w:pPr>
              <w:snapToGrid w:val="0"/>
              <w:spacing w:after="0" w:line="240" w:lineRule="auto"/>
              <w:rPr>
                <w:rFonts w:ascii="Garamond" w:hAnsi="Garamond"/>
                <w:sz w:val="20"/>
                <w:szCs w:val="20"/>
              </w:rPr>
            </w:pPr>
            <w:r w:rsidRPr="00DC66CD">
              <w:rPr>
                <w:rFonts w:ascii="Garamond" w:hAnsi="Garamond"/>
                <w:sz w:val="20"/>
                <w:szCs w:val="20"/>
              </w:rPr>
              <w:t>Mungesa e burimeve në bashki</w:t>
            </w:r>
          </w:p>
        </w:tc>
        <w:tc>
          <w:tcPr>
            <w:tcW w:w="1685" w:type="dxa"/>
          </w:tcPr>
          <w:p w14:paraId="7FC09D1A" w14:textId="77777777" w:rsidR="006F605B" w:rsidRPr="00DC66CD" w:rsidRDefault="006F605B" w:rsidP="008B743C">
            <w:pPr>
              <w:snapToGrid w:val="0"/>
              <w:spacing w:after="0" w:line="240" w:lineRule="auto"/>
              <w:rPr>
                <w:rFonts w:ascii="Garamond" w:hAnsi="Garamond"/>
                <w:sz w:val="20"/>
                <w:szCs w:val="20"/>
              </w:rPr>
            </w:pPr>
            <w:r w:rsidRPr="00DC66CD">
              <w:rPr>
                <w:rFonts w:ascii="Garamond" w:hAnsi="Garamond"/>
                <w:sz w:val="20"/>
                <w:szCs w:val="20"/>
              </w:rPr>
              <w:t xml:space="preserve">E ulët </w:t>
            </w:r>
          </w:p>
        </w:tc>
        <w:tc>
          <w:tcPr>
            <w:tcW w:w="4067" w:type="dxa"/>
          </w:tcPr>
          <w:p w14:paraId="1B57F339" w14:textId="4AF0B817" w:rsidR="006F605B" w:rsidRPr="00DC66CD" w:rsidRDefault="006F605B" w:rsidP="008B743C">
            <w:pPr>
              <w:snapToGrid w:val="0"/>
              <w:spacing w:after="0" w:line="240" w:lineRule="auto"/>
              <w:rPr>
                <w:rFonts w:ascii="Garamond" w:hAnsi="Garamond"/>
                <w:sz w:val="20"/>
                <w:szCs w:val="20"/>
              </w:rPr>
            </w:pPr>
            <w:r w:rsidRPr="00DC66CD">
              <w:rPr>
                <w:rFonts w:ascii="Garamond" w:hAnsi="Garamond"/>
                <w:sz w:val="20"/>
                <w:szCs w:val="20"/>
              </w:rPr>
              <w:t>Burimet në bashki duhet të jenë të disponueshme për të trajtuar regjistrimin, informacionin dhe ankesat</w:t>
            </w:r>
            <w:r w:rsidR="00505C36" w:rsidRPr="00DC66CD">
              <w:rPr>
                <w:rFonts w:ascii="Garamond" w:hAnsi="Garamond"/>
                <w:sz w:val="20"/>
                <w:szCs w:val="20"/>
              </w:rPr>
              <w:t>,</w:t>
            </w:r>
            <w:r w:rsidRPr="00DC66CD">
              <w:rPr>
                <w:rFonts w:ascii="Garamond" w:hAnsi="Garamond"/>
                <w:sz w:val="20"/>
                <w:szCs w:val="20"/>
              </w:rPr>
              <w:t xml:space="preserve"> pasi të fillojë taksimi. Rritja e </w:t>
            </w:r>
            <w:r w:rsidR="00505C36" w:rsidRPr="00DC66CD">
              <w:rPr>
                <w:rFonts w:ascii="Garamond" w:hAnsi="Garamond"/>
                <w:sz w:val="20"/>
                <w:szCs w:val="20"/>
              </w:rPr>
              <w:t>eficiencës</w:t>
            </w:r>
            <w:r w:rsidRPr="00DC66CD">
              <w:rPr>
                <w:rFonts w:ascii="Garamond" w:hAnsi="Garamond"/>
                <w:sz w:val="20"/>
                <w:szCs w:val="20"/>
              </w:rPr>
              <w:t xml:space="preserve"> së administrimit të taksës së pasurisë së paluajtshme do të reduktojë riskun, por gjithsesi Ministria e Financave dhe Ekonomisë duhet të ndërmarre hapa të tjerë dhe bashkitë duhet të sigurojnë stafin e duhur.</w:t>
            </w:r>
          </w:p>
        </w:tc>
      </w:tr>
    </w:tbl>
    <w:p w14:paraId="4BB0B68A" w14:textId="77777777" w:rsidR="006F605B" w:rsidRPr="00DC66CD" w:rsidRDefault="006F605B" w:rsidP="006F605B">
      <w:pPr>
        <w:snapToGrid w:val="0"/>
        <w:spacing w:after="0" w:line="240" w:lineRule="auto"/>
        <w:ind w:firstLine="284"/>
        <w:rPr>
          <w:rFonts w:ascii="Garamond" w:hAnsi="Garamond"/>
          <w:sz w:val="24"/>
          <w:szCs w:val="24"/>
        </w:rPr>
      </w:pPr>
    </w:p>
    <w:p w14:paraId="20363FBB" w14:textId="77777777" w:rsidR="006F605B" w:rsidRPr="00DC66CD" w:rsidRDefault="006F605B" w:rsidP="006F605B">
      <w:pPr>
        <w:pStyle w:val="Heading5"/>
        <w:snapToGrid w:val="0"/>
        <w:spacing w:before="0" w:line="240" w:lineRule="auto"/>
        <w:ind w:firstLine="284"/>
        <w:rPr>
          <w:rFonts w:ascii="Garamond" w:hAnsi="Garamond"/>
          <w:i/>
          <w:color w:val="000000" w:themeColor="text1"/>
          <w:sz w:val="24"/>
          <w:szCs w:val="24"/>
        </w:rPr>
      </w:pPr>
      <w:r w:rsidRPr="00DC66CD">
        <w:rPr>
          <w:rFonts w:ascii="Garamond" w:hAnsi="Garamond"/>
          <w:i/>
          <w:color w:val="000000" w:themeColor="text1"/>
          <w:sz w:val="24"/>
          <w:szCs w:val="24"/>
        </w:rPr>
        <w:t>Reforma 08: Zhvillimi i kuadrit ligjor në mbështetje të start up inovative</w:t>
      </w:r>
    </w:p>
    <w:p w14:paraId="5C37BDFA" w14:textId="41974CB2"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1. </w:t>
      </w:r>
      <w:r w:rsidR="006F605B" w:rsidRPr="00DC66CD">
        <w:rPr>
          <w:rFonts w:ascii="Garamond" w:hAnsi="Garamond"/>
          <w:color w:val="000000" w:themeColor="text1"/>
          <w:sz w:val="24"/>
          <w:szCs w:val="24"/>
        </w:rPr>
        <w:t>Përshkrimi</w:t>
      </w:r>
    </w:p>
    <w:p w14:paraId="617FFFE0" w14:textId="4F1AF84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Vitet e fundit, roli i </w:t>
      </w:r>
      <w:r w:rsidRPr="00DC66CD">
        <w:rPr>
          <w:rFonts w:ascii="Garamond" w:hAnsi="Garamond"/>
          <w:i/>
          <w:sz w:val="24"/>
          <w:szCs w:val="24"/>
        </w:rPr>
        <w:t>start up</w:t>
      </w:r>
      <w:r w:rsidRPr="00DC66CD">
        <w:rPr>
          <w:rFonts w:ascii="Garamond" w:hAnsi="Garamond"/>
          <w:sz w:val="24"/>
          <w:szCs w:val="24"/>
        </w:rPr>
        <w:t xml:space="preserve">-eve inovative ka fituar në mënyrë të qëndrueshme rolin si një forcë nxitëse për zhvillimin ekonomik dhe shoqëror drejt një shoqërie të bazuar në dije. Suksesi i ndërmarrjeve </w:t>
      </w:r>
      <w:r w:rsidRPr="00DC66CD">
        <w:rPr>
          <w:rFonts w:ascii="Garamond" w:hAnsi="Garamond"/>
          <w:i/>
          <w:sz w:val="24"/>
          <w:szCs w:val="24"/>
        </w:rPr>
        <w:t>start-up</w:t>
      </w:r>
      <w:r w:rsidRPr="00DC66CD">
        <w:rPr>
          <w:rFonts w:ascii="Garamond" w:hAnsi="Garamond"/>
          <w:sz w:val="24"/>
          <w:szCs w:val="24"/>
        </w:rPr>
        <w:t xml:space="preserve"> dhe potenciali i tyre për t</w:t>
      </w:r>
      <w:r w:rsidR="00505C36" w:rsidRPr="00DC66CD">
        <w:rPr>
          <w:rFonts w:ascii="Garamond" w:hAnsi="Garamond"/>
          <w:sz w:val="24"/>
          <w:szCs w:val="24"/>
        </w:rPr>
        <w:t>’</w:t>
      </w:r>
      <w:r w:rsidRPr="00DC66CD">
        <w:rPr>
          <w:rFonts w:ascii="Garamond" w:hAnsi="Garamond"/>
          <w:sz w:val="24"/>
          <w:szCs w:val="24"/>
        </w:rPr>
        <w:t xml:space="preserve">u rritur varet nga një sërë faktorësh. </w:t>
      </w:r>
    </w:p>
    <w:p w14:paraId="06882F56" w14:textId="0B527518"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Kuadri i politikave për inovacionin në Shqipëri është i shpërndarë në tr</w:t>
      </w:r>
      <w:r w:rsidR="00276B1A" w:rsidRPr="00DC66CD">
        <w:rPr>
          <w:rFonts w:ascii="Garamond" w:hAnsi="Garamond"/>
          <w:sz w:val="24"/>
          <w:szCs w:val="24"/>
        </w:rPr>
        <w:t>i</w:t>
      </w:r>
      <w:r w:rsidRPr="00DC66CD">
        <w:rPr>
          <w:rFonts w:ascii="Garamond" w:hAnsi="Garamond"/>
          <w:sz w:val="24"/>
          <w:szCs w:val="24"/>
        </w:rPr>
        <w:t xml:space="preserve"> dokumente: Strategjia </w:t>
      </w:r>
      <w:r w:rsidR="00505C36" w:rsidRPr="00DC66CD">
        <w:rPr>
          <w:rFonts w:ascii="Garamond" w:hAnsi="Garamond"/>
          <w:sz w:val="24"/>
          <w:szCs w:val="24"/>
        </w:rPr>
        <w:t xml:space="preserve">kombëtare e shkencës, teknologjisë dhe inovacionit </w:t>
      </w:r>
      <w:r w:rsidRPr="00DC66CD">
        <w:rPr>
          <w:rFonts w:ascii="Garamond" w:hAnsi="Garamond"/>
          <w:sz w:val="24"/>
          <w:szCs w:val="24"/>
        </w:rPr>
        <w:t>(</w:t>
      </w:r>
      <w:r w:rsidR="00433A3A" w:rsidRPr="00DC66CD">
        <w:rPr>
          <w:rFonts w:ascii="Garamond" w:hAnsi="Garamond"/>
          <w:sz w:val="24"/>
          <w:szCs w:val="24"/>
        </w:rPr>
        <w:t>2017–</w:t>
      </w:r>
      <w:r w:rsidRPr="00DC66CD">
        <w:rPr>
          <w:rFonts w:ascii="Garamond" w:hAnsi="Garamond"/>
          <w:sz w:val="24"/>
          <w:szCs w:val="24"/>
        </w:rPr>
        <w:t xml:space="preserve">2022); Strategjia e </w:t>
      </w:r>
      <w:r w:rsidR="00505C36" w:rsidRPr="00DC66CD">
        <w:rPr>
          <w:rFonts w:ascii="Garamond" w:hAnsi="Garamond"/>
          <w:sz w:val="24"/>
          <w:szCs w:val="24"/>
        </w:rPr>
        <w:t xml:space="preserve">zhvillimit </w:t>
      </w:r>
      <w:r w:rsidRPr="00DC66CD">
        <w:rPr>
          <w:rFonts w:ascii="Garamond" w:hAnsi="Garamond"/>
          <w:sz w:val="24"/>
          <w:szCs w:val="24"/>
        </w:rPr>
        <w:t xml:space="preserve">të </w:t>
      </w:r>
      <w:r w:rsidR="00505C36" w:rsidRPr="00DC66CD">
        <w:rPr>
          <w:rFonts w:ascii="Garamond" w:hAnsi="Garamond"/>
          <w:sz w:val="24"/>
          <w:szCs w:val="24"/>
        </w:rPr>
        <w:t xml:space="preserve">biznesit </w:t>
      </w:r>
      <w:r w:rsidRPr="00DC66CD">
        <w:rPr>
          <w:rFonts w:ascii="Garamond" w:hAnsi="Garamond"/>
          <w:sz w:val="24"/>
          <w:szCs w:val="24"/>
        </w:rPr>
        <w:t>dhe investimeve (</w:t>
      </w:r>
      <w:r w:rsidR="00433A3A" w:rsidRPr="00DC66CD">
        <w:rPr>
          <w:rFonts w:ascii="Garamond" w:hAnsi="Garamond"/>
          <w:sz w:val="24"/>
          <w:szCs w:val="24"/>
        </w:rPr>
        <w:t>2014–</w:t>
      </w:r>
      <w:r w:rsidRPr="00DC66CD">
        <w:rPr>
          <w:rFonts w:ascii="Garamond" w:hAnsi="Garamond"/>
          <w:sz w:val="24"/>
          <w:szCs w:val="24"/>
        </w:rPr>
        <w:t xml:space="preserve">2020); dhe Plani i </w:t>
      </w:r>
      <w:r w:rsidR="00505C36" w:rsidRPr="00DC66CD">
        <w:rPr>
          <w:rFonts w:ascii="Garamond" w:hAnsi="Garamond"/>
          <w:sz w:val="24"/>
          <w:szCs w:val="24"/>
        </w:rPr>
        <w:t xml:space="preserve">veprimit për inovacionin brenda </w:t>
      </w:r>
      <w:r w:rsidRPr="00DC66CD">
        <w:rPr>
          <w:rFonts w:ascii="Garamond" w:hAnsi="Garamond"/>
          <w:sz w:val="24"/>
          <w:szCs w:val="24"/>
        </w:rPr>
        <w:t xml:space="preserve">kuadrit të </w:t>
      </w:r>
      <w:r w:rsidR="00505C36" w:rsidRPr="00DC66CD">
        <w:rPr>
          <w:rFonts w:ascii="Garamond" w:hAnsi="Garamond"/>
          <w:sz w:val="24"/>
          <w:szCs w:val="24"/>
        </w:rPr>
        <w:t xml:space="preserve">politikave </w:t>
      </w:r>
      <w:r w:rsidRPr="00DC66CD">
        <w:rPr>
          <w:rFonts w:ascii="Garamond" w:hAnsi="Garamond"/>
          <w:sz w:val="24"/>
          <w:szCs w:val="24"/>
        </w:rPr>
        <w:t xml:space="preserve">për </w:t>
      </w:r>
      <w:r w:rsidR="00505C36" w:rsidRPr="00DC66CD">
        <w:rPr>
          <w:rFonts w:ascii="Garamond" w:hAnsi="Garamond"/>
          <w:sz w:val="24"/>
          <w:szCs w:val="24"/>
        </w:rPr>
        <w:t xml:space="preserve">inovacionin </w:t>
      </w:r>
      <w:r w:rsidRPr="00DC66CD">
        <w:rPr>
          <w:rFonts w:ascii="Garamond" w:hAnsi="Garamond"/>
          <w:sz w:val="24"/>
          <w:szCs w:val="24"/>
        </w:rPr>
        <w:t>(</w:t>
      </w:r>
      <w:r w:rsidR="00433A3A" w:rsidRPr="00DC66CD">
        <w:rPr>
          <w:rFonts w:ascii="Garamond" w:hAnsi="Garamond"/>
          <w:sz w:val="24"/>
          <w:szCs w:val="24"/>
        </w:rPr>
        <w:t>2017–</w:t>
      </w:r>
      <w:r w:rsidRPr="00DC66CD">
        <w:rPr>
          <w:rFonts w:ascii="Garamond" w:hAnsi="Garamond"/>
          <w:sz w:val="24"/>
          <w:szCs w:val="24"/>
        </w:rPr>
        <w:t>2022), i cili u përgatit në bashkëpunim me OECD</w:t>
      </w:r>
      <w:r w:rsidR="00505C36" w:rsidRPr="00DC66CD">
        <w:rPr>
          <w:rFonts w:ascii="Garamond" w:hAnsi="Garamond"/>
          <w:sz w:val="24"/>
          <w:szCs w:val="24"/>
        </w:rPr>
        <w:t>-në</w:t>
      </w:r>
      <w:r w:rsidRPr="00DC66CD">
        <w:rPr>
          <w:rFonts w:ascii="Garamond" w:hAnsi="Garamond"/>
          <w:sz w:val="24"/>
          <w:szCs w:val="24"/>
        </w:rPr>
        <w:t>.</w:t>
      </w:r>
    </w:p>
    <w:p w14:paraId="318CAC7E" w14:textId="3C87074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Qeveria e Shqipërisë, është e përkushtuar të krijojë një kornizë të favorshme ligjore për </w:t>
      </w:r>
      <w:r w:rsidRPr="00DC66CD">
        <w:rPr>
          <w:rFonts w:ascii="Garamond" w:hAnsi="Garamond"/>
          <w:i/>
          <w:sz w:val="24"/>
          <w:szCs w:val="24"/>
        </w:rPr>
        <w:t>start-up</w:t>
      </w:r>
      <w:r w:rsidRPr="00DC66CD">
        <w:rPr>
          <w:rFonts w:ascii="Garamond" w:hAnsi="Garamond"/>
          <w:sz w:val="24"/>
          <w:szCs w:val="24"/>
        </w:rPr>
        <w:t>-et e dhe</w:t>
      </w:r>
      <w:r w:rsidR="00DB29CC" w:rsidRPr="00DC66CD">
        <w:rPr>
          <w:rFonts w:ascii="Garamond" w:hAnsi="Garamond"/>
          <w:sz w:val="24"/>
          <w:szCs w:val="24"/>
        </w:rPr>
        <w:t>,</w:t>
      </w:r>
      <w:r w:rsidRPr="00DC66CD">
        <w:rPr>
          <w:rFonts w:ascii="Garamond" w:hAnsi="Garamond"/>
          <w:sz w:val="24"/>
          <w:szCs w:val="24"/>
        </w:rPr>
        <w:t xml:space="preserve"> për këtë qëllim ka kërkuar mbështetje financiare nga projektet dhe donatoret e huaj</w:t>
      </w:r>
      <w:r w:rsidR="00DB29CC" w:rsidRPr="00DC66CD">
        <w:rPr>
          <w:rFonts w:ascii="Garamond" w:hAnsi="Garamond"/>
          <w:sz w:val="24"/>
          <w:szCs w:val="24"/>
        </w:rPr>
        <w:t>,</w:t>
      </w:r>
      <w:r w:rsidRPr="00DC66CD">
        <w:rPr>
          <w:rFonts w:ascii="Garamond" w:hAnsi="Garamond"/>
          <w:sz w:val="24"/>
          <w:szCs w:val="24"/>
        </w:rPr>
        <w:t xml:space="preserve"> për të kuptuar tërësisht kuadrin legjislativ t</w:t>
      </w:r>
      <w:r w:rsidR="008B5731">
        <w:rPr>
          <w:rFonts w:ascii="Garamond" w:hAnsi="Garamond"/>
          <w:sz w:val="24"/>
          <w:szCs w:val="24"/>
        </w:rPr>
        <w:t>ë</w:t>
      </w:r>
      <w:r w:rsidRPr="00DC66CD">
        <w:rPr>
          <w:rFonts w:ascii="Garamond" w:hAnsi="Garamond"/>
          <w:sz w:val="24"/>
          <w:szCs w:val="24"/>
        </w:rPr>
        <w:t xml:space="preserve"> bizneseve t</w:t>
      </w:r>
      <w:r w:rsidR="008B5731">
        <w:rPr>
          <w:rFonts w:ascii="Garamond" w:hAnsi="Garamond"/>
          <w:sz w:val="24"/>
          <w:szCs w:val="24"/>
        </w:rPr>
        <w:t>ë</w:t>
      </w:r>
      <w:r w:rsidRPr="00DC66CD">
        <w:rPr>
          <w:rFonts w:ascii="Garamond" w:hAnsi="Garamond"/>
          <w:sz w:val="24"/>
          <w:szCs w:val="24"/>
        </w:rPr>
        <w:t xml:space="preserve"> reja dhe mënyrat e mundshme të krijimit të politikave mbështetëse.</w:t>
      </w:r>
    </w:p>
    <w:p w14:paraId="7CC224BA" w14:textId="10B153C5"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Është objektivi specifik i këtyre projekteve përmirësimi i ekosistemit inovator dhe nxitja për krijimin e </w:t>
      </w:r>
      <w:r w:rsidRPr="00DC66CD">
        <w:rPr>
          <w:rFonts w:ascii="Garamond" w:hAnsi="Garamond"/>
          <w:i/>
          <w:sz w:val="24"/>
          <w:szCs w:val="24"/>
        </w:rPr>
        <w:t>start-up</w:t>
      </w:r>
      <w:r w:rsidR="00DB29CC" w:rsidRPr="00DC66CD">
        <w:rPr>
          <w:rFonts w:ascii="Garamond" w:hAnsi="Garamond"/>
          <w:sz w:val="24"/>
          <w:szCs w:val="24"/>
        </w:rPr>
        <w:t>-ve</w:t>
      </w:r>
      <w:r w:rsidRPr="00DC66CD">
        <w:rPr>
          <w:rFonts w:ascii="Garamond" w:hAnsi="Garamond"/>
          <w:sz w:val="24"/>
          <w:szCs w:val="24"/>
        </w:rPr>
        <w:t xml:space="preserve"> në Shqipëri.</w:t>
      </w:r>
    </w:p>
    <w:p w14:paraId="2F33E3D9" w14:textId="1B09317B" w:rsidR="006F605B" w:rsidRPr="00DC66CD" w:rsidRDefault="00A827C3" w:rsidP="00A827C3">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74B8C64F" w14:textId="3D2ACA7D" w:rsidR="006F605B" w:rsidRPr="00DC66CD" w:rsidRDefault="00A827C3" w:rsidP="00A827C3">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DB29CC" w:rsidRPr="00DC66CD">
        <w:rPr>
          <w:rFonts w:ascii="Garamond" w:hAnsi="Garamond" w:cs="Times New Roman"/>
          <w:b/>
          <w:sz w:val="24"/>
          <w:szCs w:val="24"/>
        </w:rPr>
        <w:t>-ën:</w:t>
      </w:r>
    </w:p>
    <w:p w14:paraId="6F9CB3AA" w14:textId="034D07A4" w:rsidR="006F605B" w:rsidRPr="00DC66CD" w:rsidRDefault="00A827C3" w:rsidP="00A827C3">
      <w:pPr>
        <w:pStyle w:val="TEKSTIIII"/>
      </w:pPr>
      <w:r w:rsidRPr="00DC66CD">
        <w:t>-</w:t>
      </w:r>
      <w:r w:rsidR="00DB29CC" w:rsidRPr="00DC66CD">
        <w:t xml:space="preserve"> fillimi </w:t>
      </w:r>
      <w:r w:rsidR="006F605B" w:rsidRPr="00DC66CD">
        <w:t xml:space="preserve">i konsultimit publik me palët e interesuara për hartimin e ligjit për </w:t>
      </w:r>
      <w:r w:rsidR="006F605B" w:rsidRPr="00DC66CD">
        <w:rPr>
          <w:i/>
        </w:rPr>
        <w:t>start-up</w:t>
      </w:r>
      <w:r w:rsidR="006F605B" w:rsidRPr="00DC66CD">
        <w:t>;</w:t>
      </w:r>
    </w:p>
    <w:p w14:paraId="72390EA0" w14:textId="61A521E7" w:rsidR="00A827C3" w:rsidRPr="00DC66CD" w:rsidRDefault="00A827C3" w:rsidP="00A827C3">
      <w:pPr>
        <w:pStyle w:val="TEKSTIIII"/>
      </w:pPr>
      <w:r w:rsidRPr="00DC66CD">
        <w:t>-</w:t>
      </w:r>
      <w:r w:rsidR="00DB29CC" w:rsidRPr="00DC66CD">
        <w:t xml:space="preserve"> hartimi </w:t>
      </w:r>
      <w:r w:rsidRPr="00DC66CD">
        <w:t xml:space="preserve">i ligjit për </w:t>
      </w:r>
      <w:r w:rsidR="00DB29CC" w:rsidRPr="00DC66CD">
        <w:rPr>
          <w:i/>
        </w:rPr>
        <w:t>start-up</w:t>
      </w:r>
      <w:r w:rsidR="00DB29CC" w:rsidRPr="00DC66CD">
        <w:t>.</w:t>
      </w:r>
    </w:p>
    <w:p w14:paraId="0D626E57" w14:textId="17128206" w:rsidR="006F605B" w:rsidRPr="00DC66CD" w:rsidRDefault="00A827C3" w:rsidP="00A827C3">
      <w:pPr>
        <w:pStyle w:val="TEKSTIIII"/>
      </w:pPr>
      <w:r w:rsidRPr="00DC66CD">
        <w:rPr>
          <w:b/>
        </w:rPr>
        <w:t>b)</w:t>
      </w:r>
      <w:r w:rsidRPr="00DC66CD">
        <w:t xml:space="preserve"> </w:t>
      </w:r>
      <w:r w:rsidR="006F605B" w:rsidRPr="00DC66CD">
        <w:rPr>
          <w:rFonts w:cs="Times New Roman"/>
          <w:b/>
        </w:rPr>
        <w:t>Aktivitetet e planifikuara</w:t>
      </w:r>
      <w:r w:rsidR="00F85068" w:rsidRPr="00DC66CD">
        <w:rPr>
          <w:rFonts w:cs="Times New Roman"/>
          <w:b/>
        </w:rPr>
        <w:t xml:space="preserve"> më 2021</w:t>
      </w:r>
      <w:r w:rsidR="00DB29CC" w:rsidRPr="00DC66CD">
        <w:rPr>
          <w:rFonts w:cs="Times New Roman"/>
          <w:b/>
        </w:rPr>
        <w:t>-shin:</w:t>
      </w:r>
    </w:p>
    <w:p w14:paraId="142FC73D" w14:textId="56CFBB55" w:rsidR="006F605B" w:rsidRPr="00DC66CD" w:rsidRDefault="00A827C3" w:rsidP="00A827C3">
      <w:pPr>
        <w:pStyle w:val="TEKSTIIII"/>
      </w:pPr>
      <w:r w:rsidRPr="00DC66CD">
        <w:t>-</w:t>
      </w:r>
      <w:r w:rsidR="00DB29CC" w:rsidRPr="00DC66CD">
        <w:t xml:space="preserve"> m</w:t>
      </w:r>
      <w:r w:rsidR="006F605B" w:rsidRPr="00DC66CD">
        <w:t xml:space="preserve">iratimi i ligjit për </w:t>
      </w:r>
      <w:r w:rsidR="006F605B" w:rsidRPr="00DC66CD">
        <w:rPr>
          <w:i/>
        </w:rPr>
        <w:t>start-up</w:t>
      </w:r>
      <w:r w:rsidR="006F605B" w:rsidRPr="00DC66CD">
        <w:t>;</w:t>
      </w:r>
    </w:p>
    <w:p w14:paraId="07FB3B84" w14:textId="49522EDC" w:rsidR="006F605B" w:rsidRPr="00DC66CD" w:rsidRDefault="00A827C3" w:rsidP="00DB29CC">
      <w:pPr>
        <w:pStyle w:val="TEKSTIIII"/>
      </w:pPr>
      <w:r w:rsidRPr="00DC66CD">
        <w:t>-</w:t>
      </w:r>
      <w:r w:rsidR="00DB29CC" w:rsidRPr="00DC66CD">
        <w:t xml:space="preserve"> h</w:t>
      </w:r>
      <w:r w:rsidR="006F605B" w:rsidRPr="00DC66CD">
        <w:t>artimi dhe miratimi i akteve nënligjore bazuar në ligjin e miratuar;</w:t>
      </w:r>
    </w:p>
    <w:p w14:paraId="4C26EDF3" w14:textId="73C0C70B" w:rsidR="006F605B" w:rsidRPr="00DC66CD" w:rsidRDefault="00A827C3" w:rsidP="00DB29CC">
      <w:pPr>
        <w:pStyle w:val="TEKSTIIII"/>
      </w:pPr>
      <w:r w:rsidRPr="00DC66CD">
        <w:t>-</w:t>
      </w:r>
      <w:r w:rsidR="00DB29CC" w:rsidRPr="00DC66CD">
        <w:t xml:space="preserve"> h</w:t>
      </w:r>
      <w:r w:rsidR="006F605B" w:rsidRPr="00DC66CD">
        <w:t>artimi dhe miratimi i kuadrit politik dhe skemave mbështetëse me fokus në produktet apo shërbimet inovative dhe krijimi i një modeli të ri biznesi.</w:t>
      </w:r>
    </w:p>
    <w:p w14:paraId="0C83698F" w14:textId="7A527EF9" w:rsidR="006F605B" w:rsidRPr="00DC66CD" w:rsidRDefault="006F605B" w:rsidP="0045626B">
      <w:pPr>
        <w:pStyle w:val="ListParagraph"/>
        <w:widowControl w:val="0"/>
        <w:numPr>
          <w:ilvl w:val="0"/>
          <w:numId w:val="6"/>
        </w:numPr>
        <w:snapToGrid w:val="0"/>
        <w:spacing w:after="0" w:line="240" w:lineRule="auto"/>
        <w:contextualSpacing w:val="0"/>
        <w:rPr>
          <w:rFonts w:ascii="Garamond" w:hAnsi="Garamond" w:cs="Times New Roman"/>
          <w:b/>
          <w:sz w:val="24"/>
          <w:szCs w:val="24"/>
        </w:rPr>
      </w:pPr>
      <w:r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DB29CC" w:rsidRPr="00DC66CD">
        <w:rPr>
          <w:rFonts w:ascii="Garamond" w:hAnsi="Garamond" w:cs="Times New Roman"/>
          <w:b/>
          <w:sz w:val="24"/>
          <w:szCs w:val="24"/>
        </w:rPr>
        <w:t>-shin:</w:t>
      </w:r>
    </w:p>
    <w:p w14:paraId="2875441B" w14:textId="5D115AC4" w:rsidR="006F605B" w:rsidRPr="00DC66CD" w:rsidRDefault="00A827C3" w:rsidP="00A827C3">
      <w:pPr>
        <w:pStyle w:val="ListParagraph"/>
        <w:widowControl w:val="0"/>
        <w:snapToGrid w:val="0"/>
        <w:spacing w:after="0" w:line="240" w:lineRule="auto"/>
        <w:ind w:left="284"/>
        <w:contextualSpacing w:val="0"/>
        <w:jc w:val="both"/>
        <w:rPr>
          <w:rFonts w:ascii="Garamond" w:hAnsi="Garamond" w:cs="Times New Roman"/>
          <w:sz w:val="24"/>
          <w:szCs w:val="24"/>
        </w:rPr>
      </w:pPr>
      <w:r w:rsidRPr="00DC66CD">
        <w:rPr>
          <w:rFonts w:ascii="Garamond" w:hAnsi="Garamond" w:cs="Times New Roman"/>
          <w:sz w:val="24"/>
          <w:szCs w:val="24"/>
        </w:rPr>
        <w:t xml:space="preserve">- </w:t>
      </w:r>
      <w:r w:rsidR="00DB29CC" w:rsidRPr="00DC66CD">
        <w:rPr>
          <w:rFonts w:ascii="Garamond" w:hAnsi="Garamond" w:cs="Times New Roman"/>
          <w:sz w:val="24"/>
          <w:szCs w:val="24"/>
        </w:rPr>
        <w:t xml:space="preserve">zbatimi </w:t>
      </w:r>
      <w:r w:rsidR="006F605B" w:rsidRPr="00DC66CD">
        <w:rPr>
          <w:rFonts w:ascii="Garamond" w:hAnsi="Garamond" w:cs="Times New Roman"/>
          <w:sz w:val="24"/>
          <w:szCs w:val="24"/>
        </w:rPr>
        <w:t xml:space="preserve">i ligjit të ri dhe </w:t>
      </w:r>
      <w:r w:rsidR="00DB29CC" w:rsidRPr="00DC66CD">
        <w:rPr>
          <w:rFonts w:ascii="Garamond" w:hAnsi="Garamond" w:cs="Times New Roman"/>
          <w:sz w:val="24"/>
          <w:szCs w:val="24"/>
        </w:rPr>
        <w:t xml:space="preserve">i </w:t>
      </w:r>
      <w:r w:rsidR="006F605B" w:rsidRPr="00DC66CD">
        <w:rPr>
          <w:rFonts w:ascii="Garamond" w:hAnsi="Garamond" w:cs="Times New Roman"/>
          <w:sz w:val="24"/>
          <w:szCs w:val="24"/>
        </w:rPr>
        <w:t>skemave mbështetëse.</w:t>
      </w:r>
    </w:p>
    <w:p w14:paraId="35C27948" w14:textId="77777777" w:rsidR="006F605B" w:rsidRPr="00DC66CD" w:rsidRDefault="006F605B" w:rsidP="006F605B">
      <w:pPr>
        <w:snapToGrid w:val="0"/>
        <w:spacing w:after="0" w:line="240" w:lineRule="auto"/>
        <w:ind w:firstLine="284"/>
        <w:rPr>
          <w:rFonts w:ascii="Garamond" w:hAnsi="Garamond"/>
          <w:sz w:val="24"/>
          <w:szCs w:val="24"/>
        </w:rPr>
      </w:pPr>
    </w:p>
    <w:p w14:paraId="00B37ED9" w14:textId="406743C8" w:rsidR="006F605B" w:rsidRPr="00DC66CD" w:rsidRDefault="00A827C3" w:rsidP="00A827C3">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191"/>
        <w:gridCol w:w="2292"/>
        <w:gridCol w:w="1750"/>
      </w:tblGrid>
      <w:tr w:rsidR="006F605B" w:rsidRPr="00DC66CD" w14:paraId="0CAC1C97" w14:textId="77777777" w:rsidTr="00AD7FC4">
        <w:trPr>
          <w:jc w:val="center"/>
        </w:trPr>
        <w:tc>
          <w:tcPr>
            <w:tcW w:w="4047" w:type="dxa"/>
            <w:vAlign w:val="center"/>
          </w:tcPr>
          <w:p w14:paraId="01160D73" w14:textId="77777777" w:rsidR="006F605B" w:rsidRPr="00DC66CD" w:rsidRDefault="006F605B" w:rsidP="00AD7FC4">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1191" w:type="dxa"/>
          </w:tcPr>
          <w:p w14:paraId="460E9440" w14:textId="77777777" w:rsidR="006F605B" w:rsidRPr="00DC66CD" w:rsidRDefault="006F605B" w:rsidP="00564551">
            <w:pPr>
              <w:snapToGrid w:val="0"/>
              <w:spacing w:after="0" w:line="240" w:lineRule="auto"/>
              <w:jc w:val="center"/>
              <w:rPr>
                <w:rFonts w:ascii="Garamond" w:hAnsi="Garamond"/>
                <w:b/>
                <w:sz w:val="20"/>
                <w:szCs w:val="20"/>
              </w:rPr>
            </w:pPr>
            <w:r w:rsidRPr="00DC66CD">
              <w:rPr>
                <w:rFonts w:ascii="Garamond" w:hAnsi="Garamond"/>
                <w:b/>
                <w:sz w:val="20"/>
                <w:szCs w:val="20"/>
              </w:rPr>
              <w:t>Bazë (viti)</w:t>
            </w:r>
          </w:p>
        </w:tc>
        <w:tc>
          <w:tcPr>
            <w:tcW w:w="2292" w:type="dxa"/>
          </w:tcPr>
          <w:p w14:paraId="385A2551" w14:textId="3B740D34" w:rsidR="006F605B" w:rsidRPr="00DC66CD" w:rsidRDefault="00C27435" w:rsidP="00564551">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(viti)</w:t>
            </w:r>
          </w:p>
        </w:tc>
        <w:tc>
          <w:tcPr>
            <w:tcW w:w="1750" w:type="dxa"/>
          </w:tcPr>
          <w:p w14:paraId="75565948" w14:textId="77777777" w:rsidR="006F605B" w:rsidRPr="00DC66CD" w:rsidRDefault="006F605B" w:rsidP="00A827C3">
            <w:pPr>
              <w:snapToGrid w:val="0"/>
              <w:spacing w:after="0" w:line="240" w:lineRule="auto"/>
              <w:rPr>
                <w:rFonts w:ascii="Garamond" w:hAnsi="Garamond"/>
                <w:b/>
                <w:sz w:val="20"/>
                <w:szCs w:val="20"/>
              </w:rPr>
            </w:pPr>
            <w:r w:rsidRPr="00DC66CD">
              <w:rPr>
                <w:rFonts w:ascii="Garamond" w:hAnsi="Garamond"/>
                <w:b/>
                <w:sz w:val="20"/>
                <w:szCs w:val="20"/>
              </w:rPr>
              <w:t>Objektivi (viti)</w:t>
            </w:r>
          </w:p>
        </w:tc>
      </w:tr>
      <w:tr w:rsidR="006F605B" w:rsidRPr="00DC66CD" w14:paraId="42BE9060" w14:textId="77777777" w:rsidTr="00AD7FC4">
        <w:trPr>
          <w:jc w:val="center"/>
        </w:trPr>
        <w:tc>
          <w:tcPr>
            <w:tcW w:w="4047" w:type="dxa"/>
          </w:tcPr>
          <w:p w14:paraId="41D18307" w14:textId="57C52A1D"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 xml:space="preserve">Miratimi i ligjit të ri </w:t>
            </w:r>
            <w:r w:rsidR="002A29AD" w:rsidRPr="00DC66CD">
              <w:rPr>
                <w:rFonts w:ascii="Garamond" w:hAnsi="Garamond"/>
                <w:sz w:val="20"/>
                <w:szCs w:val="20"/>
              </w:rPr>
              <w:t>“</w:t>
            </w:r>
            <w:r w:rsidRPr="00DC66CD">
              <w:rPr>
                <w:rFonts w:ascii="Garamond" w:hAnsi="Garamond"/>
                <w:sz w:val="20"/>
                <w:szCs w:val="20"/>
              </w:rPr>
              <w:t xml:space="preserve">Mbi </w:t>
            </w:r>
            <w:r w:rsidRPr="00DC66CD">
              <w:rPr>
                <w:rFonts w:ascii="Garamond" w:hAnsi="Garamond"/>
                <w:i/>
                <w:sz w:val="20"/>
                <w:szCs w:val="20"/>
              </w:rPr>
              <w:t>start-up</w:t>
            </w:r>
            <w:r w:rsidRPr="00DC66CD">
              <w:rPr>
                <w:rFonts w:ascii="Garamond" w:hAnsi="Garamond"/>
                <w:sz w:val="20"/>
                <w:szCs w:val="20"/>
              </w:rPr>
              <w:t xml:space="preserve"> inovative</w:t>
            </w:r>
            <w:r w:rsidR="002A29AD" w:rsidRPr="00DC66CD">
              <w:rPr>
                <w:rFonts w:ascii="Garamond" w:hAnsi="Garamond"/>
                <w:sz w:val="20"/>
                <w:szCs w:val="20"/>
              </w:rPr>
              <w:t>”</w:t>
            </w:r>
            <w:r w:rsidRPr="00DC66CD">
              <w:rPr>
                <w:rFonts w:ascii="Garamond" w:hAnsi="Garamond"/>
                <w:sz w:val="20"/>
                <w:szCs w:val="20"/>
              </w:rPr>
              <w:t xml:space="preserve"> dhe akteve nënligjore</w:t>
            </w:r>
          </w:p>
        </w:tc>
        <w:tc>
          <w:tcPr>
            <w:tcW w:w="1191" w:type="dxa"/>
          </w:tcPr>
          <w:p w14:paraId="1D9C89E6" w14:textId="77777777" w:rsidR="006F605B" w:rsidRPr="00DC66CD" w:rsidRDefault="006F605B" w:rsidP="00A827C3">
            <w:pPr>
              <w:snapToGrid w:val="0"/>
              <w:spacing w:after="0" w:line="240" w:lineRule="auto"/>
              <w:rPr>
                <w:rFonts w:ascii="Garamond" w:hAnsi="Garamond"/>
                <w:sz w:val="20"/>
                <w:szCs w:val="20"/>
              </w:rPr>
            </w:pPr>
          </w:p>
        </w:tc>
        <w:tc>
          <w:tcPr>
            <w:tcW w:w="2292" w:type="dxa"/>
          </w:tcPr>
          <w:p w14:paraId="1962F4AE"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Miratuar (2021)</w:t>
            </w:r>
          </w:p>
        </w:tc>
        <w:tc>
          <w:tcPr>
            <w:tcW w:w="1750" w:type="dxa"/>
          </w:tcPr>
          <w:p w14:paraId="04516C90"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Në zbatim (2022)</w:t>
            </w:r>
          </w:p>
        </w:tc>
      </w:tr>
      <w:tr w:rsidR="006F605B" w:rsidRPr="00DC66CD" w14:paraId="70EC374B" w14:textId="77777777" w:rsidTr="00AD7FC4">
        <w:trPr>
          <w:jc w:val="center"/>
        </w:trPr>
        <w:tc>
          <w:tcPr>
            <w:tcW w:w="4047" w:type="dxa"/>
          </w:tcPr>
          <w:p w14:paraId="23B59854"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 xml:space="preserve">Miratimi i kuadrit politik dhe skemave mbështetëse për </w:t>
            </w:r>
            <w:r w:rsidRPr="00DC66CD">
              <w:rPr>
                <w:rFonts w:ascii="Garamond" w:hAnsi="Garamond"/>
                <w:i/>
                <w:sz w:val="20"/>
                <w:szCs w:val="20"/>
              </w:rPr>
              <w:t>start-up</w:t>
            </w:r>
          </w:p>
        </w:tc>
        <w:tc>
          <w:tcPr>
            <w:tcW w:w="1191" w:type="dxa"/>
          </w:tcPr>
          <w:p w14:paraId="08A1A61C" w14:textId="77777777" w:rsidR="006F605B" w:rsidRPr="00DC66CD" w:rsidRDefault="006F605B" w:rsidP="00A827C3">
            <w:pPr>
              <w:snapToGrid w:val="0"/>
              <w:spacing w:after="0" w:line="240" w:lineRule="auto"/>
              <w:rPr>
                <w:rFonts w:ascii="Garamond" w:hAnsi="Garamond"/>
                <w:sz w:val="20"/>
                <w:szCs w:val="20"/>
              </w:rPr>
            </w:pPr>
          </w:p>
        </w:tc>
        <w:tc>
          <w:tcPr>
            <w:tcW w:w="2292" w:type="dxa"/>
          </w:tcPr>
          <w:p w14:paraId="3C6E409C"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Miratuar (2021)</w:t>
            </w:r>
          </w:p>
        </w:tc>
        <w:tc>
          <w:tcPr>
            <w:tcW w:w="1750" w:type="dxa"/>
          </w:tcPr>
          <w:p w14:paraId="6CB1829A"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Në zbatim (2022)</w:t>
            </w:r>
          </w:p>
        </w:tc>
      </w:tr>
      <w:tr w:rsidR="006F605B" w:rsidRPr="00DC66CD" w14:paraId="04107EAA" w14:textId="77777777" w:rsidTr="00AD7FC4">
        <w:trPr>
          <w:jc w:val="center"/>
        </w:trPr>
        <w:tc>
          <w:tcPr>
            <w:tcW w:w="4047" w:type="dxa"/>
          </w:tcPr>
          <w:p w14:paraId="31122112"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 xml:space="preserve">Të paktën 2 thirrje për aplikim për skemat mbështetëse për </w:t>
            </w:r>
            <w:r w:rsidRPr="00DC66CD">
              <w:rPr>
                <w:rFonts w:ascii="Garamond" w:hAnsi="Garamond"/>
                <w:i/>
                <w:sz w:val="20"/>
                <w:szCs w:val="20"/>
              </w:rPr>
              <w:t>start-up</w:t>
            </w:r>
            <w:r w:rsidRPr="00DC66CD">
              <w:rPr>
                <w:rFonts w:ascii="Garamond" w:hAnsi="Garamond"/>
                <w:sz w:val="20"/>
                <w:szCs w:val="20"/>
              </w:rPr>
              <w:t xml:space="preserve"> dhe të paktën 5 </w:t>
            </w:r>
            <w:r w:rsidRPr="00DC66CD">
              <w:rPr>
                <w:rFonts w:ascii="Garamond" w:hAnsi="Garamond"/>
                <w:i/>
                <w:sz w:val="20"/>
                <w:szCs w:val="20"/>
              </w:rPr>
              <w:t>start-up</w:t>
            </w:r>
            <w:r w:rsidRPr="00DC66CD">
              <w:rPr>
                <w:rFonts w:ascii="Garamond" w:hAnsi="Garamond"/>
                <w:sz w:val="20"/>
                <w:szCs w:val="20"/>
              </w:rPr>
              <w:t xml:space="preserve"> të financuara nga thirrjet</w:t>
            </w:r>
          </w:p>
        </w:tc>
        <w:tc>
          <w:tcPr>
            <w:tcW w:w="1191" w:type="dxa"/>
          </w:tcPr>
          <w:p w14:paraId="1F8B8DE0" w14:textId="77777777" w:rsidR="006F605B" w:rsidRPr="00DC66CD" w:rsidRDefault="006F605B" w:rsidP="00A827C3">
            <w:pPr>
              <w:snapToGrid w:val="0"/>
              <w:spacing w:after="0" w:line="240" w:lineRule="auto"/>
              <w:rPr>
                <w:rFonts w:ascii="Garamond" w:hAnsi="Garamond"/>
                <w:sz w:val="20"/>
                <w:szCs w:val="20"/>
              </w:rPr>
            </w:pPr>
          </w:p>
        </w:tc>
        <w:tc>
          <w:tcPr>
            <w:tcW w:w="2292" w:type="dxa"/>
          </w:tcPr>
          <w:p w14:paraId="47CE9827"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 xml:space="preserve">1 thirrje; 2 </w:t>
            </w:r>
            <w:r w:rsidRPr="00DC66CD">
              <w:rPr>
                <w:rFonts w:ascii="Garamond" w:hAnsi="Garamond"/>
                <w:i/>
                <w:sz w:val="20"/>
                <w:szCs w:val="20"/>
              </w:rPr>
              <w:t>start-up</w:t>
            </w:r>
            <w:r w:rsidRPr="00DC66CD">
              <w:rPr>
                <w:rFonts w:ascii="Garamond" w:hAnsi="Garamond"/>
                <w:sz w:val="20"/>
                <w:szCs w:val="20"/>
              </w:rPr>
              <w:t xml:space="preserve"> të financuara</w:t>
            </w:r>
          </w:p>
        </w:tc>
        <w:tc>
          <w:tcPr>
            <w:tcW w:w="1750" w:type="dxa"/>
          </w:tcPr>
          <w:p w14:paraId="5BAFD879"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 xml:space="preserve">2 thirrje; 5 </w:t>
            </w:r>
            <w:r w:rsidRPr="00DC66CD">
              <w:rPr>
                <w:rFonts w:ascii="Garamond" w:hAnsi="Garamond"/>
                <w:i/>
                <w:sz w:val="20"/>
                <w:szCs w:val="20"/>
              </w:rPr>
              <w:t>start-up</w:t>
            </w:r>
            <w:r w:rsidRPr="00DC66CD">
              <w:rPr>
                <w:rFonts w:ascii="Garamond" w:hAnsi="Garamond"/>
                <w:sz w:val="20"/>
                <w:szCs w:val="20"/>
              </w:rPr>
              <w:t xml:space="preserve"> të financuara</w:t>
            </w:r>
          </w:p>
        </w:tc>
      </w:tr>
    </w:tbl>
    <w:p w14:paraId="03530E32" w14:textId="171E9183"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4. </w:t>
      </w:r>
      <w:r w:rsidR="006F605B" w:rsidRPr="00DC66CD">
        <w:rPr>
          <w:rFonts w:ascii="Garamond" w:hAnsi="Garamond"/>
          <w:color w:val="000000" w:themeColor="text1"/>
          <w:sz w:val="24"/>
          <w:szCs w:val="24"/>
        </w:rPr>
        <w:t>Ndikimi i pritshëm në konkurrueshmëri</w:t>
      </w:r>
    </w:p>
    <w:p w14:paraId="24544BFD" w14:textId="3B32237C"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Politikat n</w:t>
      </w:r>
      <w:r w:rsidR="00AD7FC4" w:rsidRPr="00DC66CD">
        <w:rPr>
          <w:rFonts w:ascii="Garamond" w:hAnsi="Garamond"/>
          <w:color w:val="000000" w:themeColor="text1"/>
          <w:sz w:val="24"/>
          <w:szCs w:val="24"/>
        </w:rPr>
        <w:t>ë</w:t>
      </w:r>
      <w:r w:rsidRPr="00DC66CD">
        <w:rPr>
          <w:rFonts w:ascii="Garamond" w:hAnsi="Garamond"/>
          <w:color w:val="000000" w:themeColor="text1"/>
          <w:sz w:val="24"/>
          <w:szCs w:val="24"/>
        </w:rPr>
        <w:t xml:space="preserve"> mbështetje t</w:t>
      </w:r>
      <w:r w:rsidR="00AD7FC4" w:rsidRPr="00DC66CD">
        <w:rPr>
          <w:rFonts w:ascii="Garamond" w:hAnsi="Garamond"/>
          <w:color w:val="000000" w:themeColor="text1"/>
          <w:sz w:val="24"/>
          <w:szCs w:val="24"/>
        </w:rPr>
        <w:t>ë</w:t>
      </w:r>
      <w:r w:rsidRPr="00DC66CD">
        <w:rPr>
          <w:rFonts w:ascii="Garamond" w:hAnsi="Garamond"/>
          <w:color w:val="000000" w:themeColor="text1"/>
          <w:sz w:val="24"/>
          <w:szCs w:val="24"/>
        </w:rPr>
        <w:t xml:space="preserve"> sipërmarrjeve dhe </w:t>
      </w:r>
      <w:r w:rsidRPr="00E72741">
        <w:rPr>
          <w:rFonts w:ascii="Garamond" w:hAnsi="Garamond"/>
          <w:color w:val="000000" w:themeColor="text1"/>
          <w:sz w:val="24"/>
          <w:szCs w:val="24"/>
        </w:rPr>
        <w:t>start-ups</w:t>
      </w:r>
      <w:r w:rsidRPr="00DC66CD">
        <w:rPr>
          <w:rFonts w:ascii="Garamond" w:hAnsi="Garamond"/>
          <w:color w:val="000000" w:themeColor="text1"/>
          <w:sz w:val="24"/>
          <w:szCs w:val="24"/>
        </w:rPr>
        <w:t xml:space="preserve"> mund të nxisin zhvillimin dhe rritjen e start-ups</w:t>
      </w:r>
      <w:r w:rsidR="00AD7FC4"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duke siguruar një mjedis t</w:t>
      </w:r>
      <w:r w:rsidR="00AD7FC4" w:rsidRPr="00DC66CD">
        <w:rPr>
          <w:rFonts w:ascii="Garamond" w:hAnsi="Garamond"/>
          <w:color w:val="000000" w:themeColor="text1"/>
          <w:sz w:val="24"/>
          <w:szCs w:val="24"/>
        </w:rPr>
        <w:t>ë</w:t>
      </w:r>
      <w:r w:rsidRPr="00DC66CD">
        <w:rPr>
          <w:rFonts w:ascii="Garamond" w:hAnsi="Garamond"/>
          <w:color w:val="000000" w:themeColor="text1"/>
          <w:sz w:val="24"/>
          <w:szCs w:val="24"/>
        </w:rPr>
        <w:t xml:space="preserve"> përshtatshëm për këto ndërmarrje (p.sh.</w:t>
      </w:r>
      <w:r w:rsidR="00AD7FC4"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përmes lehtësimit të pengesave financiare për start-ups). Duke u përqendruar në idetë dhe shërbimet inovative të biznesit, start-ups paraqesin një segment specifik të ekonomisë</w:t>
      </w:r>
      <w:r w:rsidR="00AD7FC4"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i cili ka potencialin për të përcaktuar suksesin dhe mirëqenien e ekonomisë në planin afatgjatë. Start-ups sjellin prurje të reja dhe adaptojnë teknologjitë ekzistuese në treg dhe</w:t>
      </w:r>
      <w:r w:rsidR="00AD7FC4"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për këtë arsye krijojnë mundësi për komercializimin e rezultateve të kërkimit shkencor.</w:t>
      </w:r>
    </w:p>
    <w:p w14:paraId="3834F54D" w14:textId="0D8826F0"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5. </w:t>
      </w:r>
      <w:r w:rsidR="006F605B" w:rsidRPr="00DC66CD">
        <w:rPr>
          <w:rFonts w:ascii="Garamond" w:hAnsi="Garamond"/>
          <w:color w:val="000000" w:themeColor="text1"/>
          <w:sz w:val="24"/>
          <w:szCs w:val="24"/>
        </w:rPr>
        <w:t>Kosto</w:t>
      </w:r>
      <w:r w:rsidR="00AD7FC4" w:rsidRPr="00DC66CD">
        <w:rPr>
          <w:rFonts w:ascii="Garamond" w:hAnsi="Garamond"/>
          <w:color w:val="000000" w:themeColor="text1"/>
          <w:sz w:val="24"/>
          <w:szCs w:val="24"/>
        </w:rPr>
        <w:t>ja</w:t>
      </w:r>
      <w:r w:rsidR="006F605B" w:rsidRPr="00DC66CD">
        <w:rPr>
          <w:rFonts w:ascii="Garamond" w:hAnsi="Garamond"/>
          <w:color w:val="000000" w:themeColor="text1"/>
          <w:sz w:val="24"/>
          <w:szCs w:val="24"/>
        </w:rPr>
        <w:t xml:space="preserve"> e parashikuar e aktiviteteve dhe burimi i financimit</w:t>
      </w:r>
    </w:p>
    <w:p w14:paraId="62B365DC" w14:textId="77777777" w:rsidR="006F605B" w:rsidRPr="00DC66CD" w:rsidRDefault="006F605B" w:rsidP="006F605B">
      <w:pPr>
        <w:snapToGrid w:val="0"/>
        <w:spacing w:after="0" w:line="240" w:lineRule="auto"/>
        <w:ind w:firstLine="284"/>
        <w:rPr>
          <w:rFonts w:ascii="Garamond" w:hAnsi="Garamond"/>
          <w:color w:val="000000" w:themeColor="text1"/>
          <w:sz w:val="24"/>
          <w:szCs w:val="24"/>
        </w:rPr>
      </w:pPr>
      <w:r w:rsidRPr="00DC66CD">
        <w:rPr>
          <w:rFonts w:ascii="Garamond" w:hAnsi="Garamond"/>
          <w:color w:val="000000" w:themeColor="text1"/>
          <w:sz w:val="24"/>
          <w:szCs w:val="24"/>
        </w:rPr>
        <w:t>Kostot e aktiviteteve dhe burimi i financimit janë të detajuara në tabelat 10a dhe 10b.</w:t>
      </w:r>
    </w:p>
    <w:p w14:paraId="15260EA9" w14:textId="3B4A8554"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6. </w:t>
      </w:r>
      <w:r w:rsidR="006F605B" w:rsidRPr="00DC66CD">
        <w:rPr>
          <w:rFonts w:ascii="Garamond" w:hAnsi="Garamond"/>
          <w:color w:val="000000" w:themeColor="text1"/>
          <w:sz w:val="24"/>
          <w:szCs w:val="24"/>
        </w:rPr>
        <w:t>Ndikimi i pritshëm në rezultatet sociale, si</w:t>
      </w:r>
      <w:r w:rsidR="00AD7FC4" w:rsidRPr="00DC66CD">
        <w:rPr>
          <w:rFonts w:ascii="Garamond" w:hAnsi="Garamond"/>
          <w:color w:val="000000" w:themeColor="text1"/>
          <w:sz w:val="24"/>
          <w:szCs w:val="24"/>
        </w:rPr>
        <w:t>:</w:t>
      </w:r>
      <w:r w:rsidR="006F605B" w:rsidRPr="00DC66CD">
        <w:rPr>
          <w:rFonts w:ascii="Garamond" w:hAnsi="Garamond"/>
          <w:color w:val="000000" w:themeColor="text1"/>
          <w:sz w:val="24"/>
          <w:szCs w:val="24"/>
        </w:rPr>
        <w:t xml:space="preserve"> punësimi, ulja e varfërisë, barazia dhe gjinia</w:t>
      </w:r>
    </w:p>
    <w:p w14:paraId="700D1680" w14:textId="6B301F92"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Start-ups krijojnë vende pune në sektorët e orientuar nga e ardhmja n</w:t>
      </w:r>
      <w:r w:rsidR="00360C4A">
        <w:rPr>
          <w:rFonts w:ascii="Garamond" w:hAnsi="Garamond"/>
          <w:color w:val="000000" w:themeColor="text1"/>
          <w:sz w:val="24"/>
          <w:szCs w:val="24"/>
        </w:rPr>
        <w:t>ë</w:t>
      </w:r>
      <w:r w:rsidRPr="00DC66CD">
        <w:rPr>
          <w:rFonts w:ascii="Garamond" w:hAnsi="Garamond"/>
          <w:color w:val="000000" w:themeColor="text1"/>
          <w:sz w:val="24"/>
          <w:szCs w:val="24"/>
        </w:rPr>
        <w:t xml:space="preserve"> ekonomi dhe sjellin një impuls proaktiv për ekonominë përmes mënyrës së tyre konkurruese dhe dinamike të funksionimit. Ky ligj dhe programet e tjera janë</w:t>
      </w:r>
      <w:r w:rsidR="00AD7FC4"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gjithashtu</w:t>
      </w:r>
      <w:r w:rsidR="00AD7FC4"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veçanërisht të rëndësishme për zhvillimin e sipërmarrjes nga femrat, pasi ato zakonisht lehtësojnë kërkesat në lidhje me elementet e sigurisë (kolateral, letër garancie etj.) me rastin e aprovimit të financimit, gjë që është e rëndësishme për gratë sipërmarrëse</w:t>
      </w:r>
      <w:r w:rsidR="00AD7FC4" w:rsidRPr="00DC66CD">
        <w:rPr>
          <w:rFonts w:ascii="Garamond" w:hAnsi="Garamond"/>
          <w:color w:val="000000" w:themeColor="text1"/>
          <w:sz w:val="24"/>
          <w:szCs w:val="24"/>
        </w:rPr>
        <w:t>,</w:t>
      </w:r>
      <w:r w:rsidRPr="00DC66CD">
        <w:rPr>
          <w:rFonts w:ascii="Garamond" w:hAnsi="Garamond"/>
          <w:color w:val="000000" w:themeColor="text1"/>
          <w:sz w:val="24"/>
          <w:szCs w:val="24"/>
        </w:rPr>
        <w:t xml:space="preserve"> pasi ato zakonisht zotërojnë më pak kolateral.</w:t>
      </w:r>
    </w:p>
    <w:p w14:paraId="4670B255" w14:textId="6A3A9002"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7. </w:t>
      </w:r>
      <w:r w:rsidR="006F605B" w:rsidRPr="00DC66CD">
        <w:rPr>
          <w:rFonts w:ascii="Garamond" w:hAnsi="Garamond"/>
          <w:color w:val="000000" w:themeColor="text1"/>
          <w:sz w:val="24"/>
          <w:szCs w:val="24"/>
        </w:rPr>
        <w:t>Ndikimi i pritshëm në mjedis</w:t>
      </w:r>
    </w:p>
    <w:p w14:paraId="6C764297" w14:textId="77777777" w:rsidR="006F605B" w:rsidRPr="00DC66CD" w:rsidRDefault="006F605B" w:rsidP="006F605B">
      <w:pPr>
        <w:snapToGrid w:val="0"/>
        <w:spacing w:after="0" w:line="240" w:lineRule="auto"/>
        <w:ind w:firstLine="284"/>
        <w:rPr>
          <w:rFonts w:ascii="Garamond" w:hAnsi="Garamond"/>
          <w:color w:val="000000" w:themeColor="text1"/>
          <w:sz w:val="24"/>
          <w:szCs w:val="24"/>
        </w:rPr>
      </w:pPr>
      <w:r w:rsidRPr="00DC66CD">
        <w:rPr>
          <w:rFonts w:ascii="Garamond" w:hAnsi="Garamond"/>
          <w:color w:val="000000" w:themeColor="text1"/>
          <w:sz w:val="24"/>
          <w:szCs w:val="24"/>
        </w:rPr>
        <w:t>Reforma nuk parashikon ndikim të drejtpërdrejtë në mjedis.</w:t>
      </w:r>
    </w:p>
    <w:p w14:paraId="729D8CAE" w14:textId="5E54F0FF"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8. </w:t>
      </w:r>
      <w:r w:rsidR="006F605B" w:rsidRPr="00DC66CD">
        <w:rPr>
          <w:rFonts w:ascii="Garamond" w:hAnsi="Garamond"/>
          <w:color w:val="000000" w:themeColor="text1"/>
          <w:sz w:val="24"/>
          <w:szCs w:val="24"/>
        </w:rPr>
        <w:t>Rreziqet e mundshme</w:t>
      </w:r>
    </w:p>
    <w:p w14:paraId="212AF423" w14:textId="6AF8AD93" w:rsidR="006F605B" w:rsidRPr="00DC66CD" w:rsidRDefault="006F605B" w:rsidP="006F605B">
      <w:pPr>
        <w:spacing w:after="0" w:line="240" w:lineRule="auto"/>
        <w:ind w:firstLine="284"/>
        <w:jc w:val="both"/>
        <w:rPr>
          <w:rFonts w:ascii="Garamond" w:hAnsi="Garamond"/>
          <w:color w:val="000000" w:themeColor="text1"/>
          <w:sz w:val="24"/>
          <w:szCs w:val="24"/>
        </w:rPr>
      </w:pPr>
      <w:r w:rsidRPr="00DC66CD">
        <w:rPr>
          <w:rFonts w:ascii="Garamond" w:eastAsia="Times New Roman" w:hAnsi="Garamond"/>
          <w:color w:val="000000" w:themeColor="text1"/>
          <w:sz w:val="24"/>
          <w:szCs w:val="24"/>
        </w:rPr>
        <w:t xml:space="preserve">Ekziston mungesa e bashkëpunimit dhe </w:t>
      </w:r>
      <w:r w:rsidR="00AD7FC4" w:rsidRPr="00DC66CD">
        <w:rPr>
          <w:rFonts w:ascii="Garamond" w:eastAsia="Times New Roman" w:hAnsi="Garamond"/>
          <w:color w:val="000000" w:themeColor="text1"/>
          <w:sz w:val="24"/>
          <w:szCs w:val="24"/>
        </w:rPr>
        <w:t xml:space="preserve">e </w:t>
      </w:r>
      <w:r w:rsidRPr="00DC66CD">
        <w:rPr>
          <w:rFonts w:ascii="Garamond" w:eastAsia="Times New Roman" w:hAnsi="Garamond"/>
          <w:color w:val="000000" w:themeColor="text1"/>
          <w:sz w:val="24"/>
          <w:szCs w:val="24"/>
        </w:rPr>
        <w:t xml:space="preserve">koordinimit midis qeverive kompetente dhe organizatave joqeveritare. Ekosistemi shqiptar i start-ups dhe </w:t>
      </w:r>
      <w:r w:rsidR="00AD7FC4" w:rsidRPr="00DC66CD">
        <w:rPr>
          <w:rFonts w:ascii="Garamond" w:eastAsia="Times New Roman" w:hAnsi="Garamond"/>
          <w:color w:val="000000" w:themeColor="text1"/>
          <w:sz w:val="24"/>
          <w:szCs w:val="24"/>
        </w:rPr>
        <w:t xml:space="preserve">i </w:t>
      </w:r>
      <w:r w:rsidRPr="00DC66CD">
        <w:rPr>
          <w:rFonts w:ascii="Garamond" w:eastAsia="Times New Roman" w:hAnsi="Garamond"/>
          <w:color w:val="000000" w:themeColor="text1"/>
          <w:sz w:val="24"/>
          <w:szCs w:val="24"/>
        </w:rPr>
        <w:t xml:space="preserve">inovacionit është në një fazë shumë të hershme të zhvillimit të tij, kështu që ky status vjen së bashku me disa sfida </w:t>
      </w:r>
      <w:r w:rsidR="007206A4" w:rsidRPr="00DC66CD">
        <w:rPr>
          <w:rFonts w:ascii="Garamond" w:eastAsia="Times New Roman" w:hAnsi="Garamond"/>
          <w:color w:val="000000" w:themeColor="text1"/>
          <w:sz w:val="24"/>
          <w:szCs w:val="24"/>
        </w:rPr>
        <w:t>(ndërtimi i kapaciteteve, stafi</w:t>
      </w:r>
      <w:r w:rsidRPr="00DC66CD">
        <w:rPr>
          <w:rFonts w:ascii="Garamond" w:eastAsia="Times New Roman" w:hAnsi="Garamond"/>
          <w:color w:val="000000" w:themeColor="text1"/>
          <w:sz w:val="24"/>
          <w:szCs w:val="24"/>
        </w:rPr>
        <w:t xml:space="preserve"> etj.)</w:t>
      </w:r>
      <w:r w:rsidRPr="00DC66CD">
        <w:rPr>
          <w:rFonts w:ascii="Garamond" w:hAnsi="Garamond"/>
          <w:color w:val="000000" w:themeColor="text1"/>
          <w:sz w:val="24"/>
          <w:szCs w:val="24"/>
        </w:rPr>
        <w:t>.</w:t>
      </w:r>
    </w:p>
    <w:p w14:paraId="7FC14939" w14:textId="77777777" w:rsidR="006F605B" w:rsidRPr="00DC66CD" w:rsidRDefault="006F605B" w:rsidP="006F605B">
      <w:pPr>
        <w:pStyle w:val="Heading5"/>
        <w:snapToGrid w:val="0"/>
        <w:spacing w:before="0" w:line="240" w:lineRule="auto"/>
        <w:ind w:firstLine="284"/>
        <w:rPr>
          <w:rFonts w:ascii="Garamond" w:hAnsi="Garamond"/>
          <w:i/>
          <w:color w:val="000000" w:themeColor="text1"/>
          <w:sz w:val="24"/>
          <w:szCs w:val="24"/>
        </w:rPr>
      </w:pPr>
      <w:r w:rsidRPr="00DC66CD">
        <w:rPr>
          <w:rFonts w:ascii="Garamond" w:hAnsi="Garamond"/>
          <w:i/>
          <w:color w:val="000000" w:themeColor="text1"/>
          <w:sz w:val="24"/>
          <w:szCs w:val="24"/>
        </w:rPr>
        <w:t>Reforma 09: Përmirësimi i aksesit në financë për NVM-të</w:t>
      </w:r>
    </w:p>
    <w:p w14:paraId="35230AE4" w14:textId="19F9C526"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1. </w:t>
      </w:r>
      <w:r w:rsidR="006F605B" w:rsidRPr="00DC66CD">
        <w:rPr>
          <w:rFonts w:ascii="Garamond" w:hAnsi="Garamond"/>
          <w:color w:val="000000" w:themeColor="text1"/>
          <w:sz w:val="24"/>
          <w:szCs w:val="24"/>
        </w:rPr>
        <w:t>Përshkrimi</w:t>
      </w:r>
    </w:p>
    <w:p w14:paraId="1C6597FC" w14:textId="6D77AD8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color w:val="000000" w:themeColor="text1"/>
          <w:sz w:val="24"/>
          <w:szCs w:val="24"/>
        </w:rPr>
        <w:t xml:space="preserve">NVM-të në Shqipëri janë kontribues të rëndësishëm </w:t>
      </w:r>
      <w:r w:rsidRPr="00DC66CD">
        <w:rPr>
          <w:rFonts w:ascii="Garamond" w:hAnsi="Garamond"/>
          <w:sz w:val="24"/>
          <w:szCs w:val="24"/>
        </w:rPr>
        <w:t xml:space="preserve">në ekonomi. </w:t>
      </w:r>
      <w:r w:rsidR="00AD7FC4" w:rsidRPr="00DC66CD">
        <w:rPr>
          <w:rFonts w:ascii="Garamond" w:hAnsi="Garamond"/>
          <w:sz w:val="24"/>
          <w:szCs w:val="24"/>
        </w:rPr>
        <w:t>M</w:t>
      </w:r>
      <w:r w:rsidRPr="00DC66CD">
        <w:rPr>
          <w:rFonts w:ascii="Garamond" w:hAnsi="Garamond"/>
          <w:sz w:val="24"/>
          <w:szCs w:val="24"/>
        </w:rPr>
        <w:t>ë 2017</w:t>
      </w:r>
      <w:r w:rsidR="00AD7FC4" w:rsidRPr="00DC66CD">
        <w:rPr>
          <w:rFonts w:ascii="Garamond" w:hAnsi="Garamond"/>
          <w:sz w:val="24"/>
          <w:szCs w:val="24"/>
        </w:rPr>
        <w:t>-ën,</w:t>
      </w:r>
      <w:r w:rsidRPr="00DC66CD">
        <w:rPr>
          <w:rFonts w:ascii="Garamond" w:hAnsi="Garamond"/>
          <w:sz w:val="24"/>
          <w:szCs w:val="24"/>
        </w:rPr>
        <w:t xml:space="preserve"> NVM-të krijuan 80.3% t</w:t>
      </w:r>
      <w:r w:rsidR="00AD7FC4" w:rsidRPr="00DC66CD">
        <w:rPr>
          <w:rFonts w:ascii="Garamond" w:hAnsi="Garamond"/>
          <w:sz w:val="24"/>
          <w:szCs w:val="24"/>
        </w:rPr>
        <w:t>ë</w:t>
      </w:r>
      <w:r w:rsidRPr="00DC66CD">
        <w:rPr>
          <w:rFonts w:ascii="Garamond" w:hAnsi="Garamond"/>
          <w:sz w:val="24"/>
          <w:szCs w:val="24"/>
        </w:rPr>
        <w:t xml:space="preserve"> totalit të punësimit, që korrespondon me pothuajse katër nga pesë ve</w:t>
      </w:r>
      <w:r w:rsidR="00AD7FC4" w:rsidRPr="00DC66CD">
        <w:rPr>
          <w:rFonts w:ascii="Garamond" w:hAnsi="Garamond"/>
          <w:sz w:val="24"/>
          <w:szCs w:val="24"/>
        </w:rPr>
        <w:t>nde pune të ofruara në Shqipëri</w:t>
      </w:r>
      <w:r w:rsidRPr="00DC66CD">
        <w:rPr>
          <w:rFonts w:ascii="Garamond" w:hAnsi="Garamond"/>
          <w:sz w:val="24"/>
          <w:szCs w:val="24"/>
        </w:rPr>
        <w:t xml:space="preserve"> dhe gjeneruan më shumë se dy të tretat (68.3%) vende pune si vlerë të shtuar. Në drejtim të punësimit që sigurojnë NVM-të, tregtia me shumicë dhe pakicë ishte sektori me rritje më të shpejtë në Shqipëri në vitet </w:t>
      </w:r>
      <w:r w:rsidR="00433A3A" w:rsidRPr="00DC66CD">
        <w:rPr>
          <w:rFonts w:ascii="Garamond" w:hAnsi="Garamond"/>
          <w:sz w:val="24"/>
          <w:szCs w:val="24"/>
        </w:rPr>
        <w:t>2016–</w:t>
      </w:r>
      <w:r w:rsidRPr="00DC66CD">
        <w:rPr>
          <w:rFonts w:ascii="Garamond" w:hAnsi="Garamond"/>
          <w:sz w:val="24"/>
          <w:szCs w:val="24"/>
        </w:rPr>
        <w:t>2017, duke gjeneruar rritje prej 6.6% dhe duke tejkaluar ndjeshëm normën mesatare të rritj</w:t>
      </w:r>
      <w:r w:rsidR="0049173B" w:rsidRPr="00DC66CD">
        <w:rPr>
          <w:rFonts w:ascii="Garamond" w:hAnsi="Garamond"/>
          <w:sz w:val="24"/>
          <w:szCs w:val="24"/>
        </w:rPr>
        <w:t>es prej 1.5% të</w:t>
      </w:r>
      <w:r w:rsidRPr="00DC66CD">
        <w:rPr>
          <w:rFonts w:ascii="Garamond" w:hAnsi="Garamond"/>
          <w:sz w:val="24"/>
          <w:szCs w:val="24"/>
        </w:rPr>
        <w:t xml:space="preserve"> NVM-ve n</w:t>
      </w:r>
      <w:r w:rsidR="0049173B" w:rsidRPr="00DC66CD">
        <w:rPr>
          <w:rFonts w:ascii="Garamond" w:hAnsi="Garamond"/>
          <w:sz w:val="24"/>
          <w:szCs w:val="24"/>
        </w:rPr>
        <w:t>ë</w:t>
      </w:r>
      <w:r w:rsidRPr="00DC66CD">
        <w:rPr>
          <w:rFonts w:ascii="Garamond" w:hAnsi="Garamond"/>
          <w:sz w:val="24"/>
          <w:szCs w:val="24"/>
        </w:rPr>
        <w:t xml:space="preserve"> BE</w:t>
      </w:r>
      <w:r w:rsidR="0049173B" w:rsidRPr="00DC66CD">
        <w:rPr>
          <w:rFonts w:ascii="Garamond" w:hAnsi="Garamond"/>
          <w:sz w:val="24"/>
          <w:szCs w:val="24"/>
        </w:rPr>
        <w:t>,</w:t>
      </w:r>
      <w:r w:rsidRPr="00DC66CD">
        <w:rPr>
          <w:rFonts w:ascii="Garamond" w:hAnsi="Garamond"/>
          <w:sz w:val="24"/>
          <w:szCs w:val="24"/>
        </w:rPr>
        <w:t xml:space="preserve"> në të njëjtin sektor. Ndërsa numri i personave të punësuar është rritur me gati 50% që nga viti 2012.</w:t>
      </w:r>
    </w:p>
    <w:p w14:paraId="00845925" w14:textId="3B905118"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Reforma synon të zbatojë politika proaktive për t</w:t>
      </w:r>
      <w:r w:rsidR="002C582E" w:rsidRPr="00DC66CD">
        <w:rPr>
          <w:rFonts w:ascii="Garamond" w:hAnsi="Garamond"/>
          <w:sz w:val="24"/>
          <w:szCs w:val="24"/>
        </w:rPr>
        <w:t>’</w:t>
      </w:r>
      <w:r w:rsidRPr="00DC66CD">
        <w:rPr>
          <w:rFonts w:ascii="Garamond" w:hAnsi="Garamond"/>
          <w:sz w:val="24"/>
          <w:szCs w:val="24"/>
        </w:rPr>
        <w:t>iu përgjigjur më mirë forcave të konkurrueshmerisë në tregjet rajonale dhe më gjerë. Kjo reform</w:t>
      </w:r>
      <w:r w:rsidR="00C27435" w:rsidRPr="00DC66CD">
        <w:rPr>
          <w:rFonts w:ascii="Garamond" w:hAnsi="Garamond"/>
          <w:sz w:val="24"/>
          <w:szCs w:val="24"/>
        </w:rPr>
        <w:t>ë</w:t>
      </w:r>
      <w:r w:rsidRPr="00DC66CD">
        <w:rPr>
          <w:rFonts w:ascii="Garamond" w:hAnsi="Garamond"/>
          <w:sz w:val="24"/>
          <w:szCs w:val="24"/>
        </w:rPr>
        <w:t xml:space="preserve"> do të zbatohet përmes zhvillimit të një kornize ligjore dhe institucionale, si dhe përmes bashkëpunimit me institucionet financiare.</w:t>
      </w:r>
    </w:p>
    <w:p w14:paraId="705C9590" w14:textId="2348A2E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Qëllimi i kësaj reforme është sigurimi i një aksesi adekuat në financa për secilën fazë të zhvillimit të NVM-ve</w:t>
      </w:r>
      <w:r w:rsidR="0049173B" w:rsidRPr="00DC66CD">
        <w:rPr>
          <w:rFonts w:ascii="Garamond" w:hAnsi="Garamond"/>
          <w:sz w:val="24"/>
          <w:szCs w:val="24"/>
        </w:rPr>
        <w:t>,</w:t>
      </w:r>
      <w:r w:rsidRPr="00DC66CD">
        <w:rPr>
          <w:rFonts w:ascii="Garamond" w:hAnsi="Garamond"/>
          <w:sz w:val="24"/>
          <w:szCs w:val="24"/>
        </w:rPr>
        <w:t xml:space="preserve"> duke përmirësuar tregun financiar dhe atë të kapitalit, duke krijuar kushte për funksionimin dhe zgjerimin e instrumenteve të ndryshëm financiarë që nuk ishin të pranishëm në tregun e brendshëm (skemat garantuese etj.), duke optimizuar financimin publik dhe duke përmirësuar nivelin e informacionit dhe aftësive të NVM-ve për të pa</w:t>
      </w:r>
      <w:r w:rsidR="00C27435" w:rsidRPr="00DC66CD">
        <w:rPr>
          <w:rFonts w:ascii="Garamond" w:hAnsi="Garamond"/>
          <w:sz w:val="24"/>
          <w:szCs w:val="24"/>
        </w:rPr>
        <w:t>s</w:t>
      </w:r>
      <w:r w:rsidRPr="00DC66CD">
        <w:rPr>
          <w:rFonts w:ascii="Garamond" w:hAnsi="Garamond"/>
          <w:sz w:val="24"/>
          <w:szCs w:val="24"/>
        </w:rPr>
        <w:t>ur akses në lloje të ndryshme të financimit.</w:t>
      </w:r>
    </w:p>
    <w:p w14:paraId="551B5485" w14:textId="7DFE8CF5" w:rsidR="006F605B" w:rsidRPr="00DC66CD" w:rsidRDefault="00A827C3" w:rsidP="00A827C3">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148647BD" w14:textId="5932C73A" w:rsidR="006F605B" w:rsidRPr="00DC66CD" w:rsidRDefault="00A827C3" w:rsidP="00A827C3">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49173B" w:rsidRPr="00DC66CD">
        <w:rPr>
          <w:rFonts w:ascii="Garamond" w:hAnsi="Garamond" w:cs="Times New Roman"/>
          <w:b/>
          <w:sz w:val="24"/>
          <w:szCs w:val="24"/>
        </w:rPr>
        <w:t>-ën:</w:t>
      </w:r>
    </w:p>
    <w:p w14:paraId="7E7AD3D4" w14:textId="03BB0A13" w:rsidR="006F605B" w:rsidRPr="00DC66CD" w:rsidRDefault="00A827C3" w:rsidP="00A827C3">
      <w:pPr>
        <w:pStyle w:val="TEKSTIIII"/>
      </w:pPr>
      <w:r w:rsidRPr="00DC66CD">
        <w:t>-</w:t>
      </w:r>
      <w:r w:rsidR="00C27435" w:rsidRPr="00DC66CD">
        <w:t xml:space="preserve"> </w:t>
      </w:r>
      <w:r w:rsidR="0049173B" w:rsidRPr="00DC66CD">
        <w:t>k</w:t>
      </w:r>
      <w:r w:rsidR="006F605B" w:rsidRPr="00DC66CD">
        <w:t xml:space="preserve">rijimi i njësisë </w:t>
      </w:r>
      <w:r w:rsidR="0049173B" w:rsidRPr="00DC66CD">
        <w:t>s</w:t>
      </w:r>
      <w:r w:rsidR="006F605B" w:rsidRPr="00DC66CD">
        <w:t>ë veçantë brenda Ministrisë se Financave dhe Ekonomisë për të promovuar zhvillimin e NVM-ve;</w:t>
      </w:r>
    </w:p>
    <w:p w14:paraId="491D78BB" w14:textId="37FFB9D6" w:rsidR="006F605B" w:rsidRPr="00DC66CD" w:rsidRDefault="00A827C3" w:rsidP="00A827C3">
      <w:pPr>
        <w:pStyle w:val="TEKSTIIII"/>
      </w:pPr>
      <w:r w:rsidRPr="00DC66CD">
        <w:t>-</w:t>
      </w:r>
      <w:r w:rsidR="00C27435" w:rsidRPr="00DC66CD">
        <w:t xml:space="preserve"> </w:t>
      </w:r>
      <w:r w:rsidR="0049173B" w:rsidRPr="00DC66CD">
        <w:t>k</w:t>
      </w:r>
      <w:r w:rsidR="006F605B" w:rsidRPr="00DC66CD">
        <w:t>ryerja e një analize të përshtatshme për krijimin e një platforme të centralizuar informacioni për burimet financiare nga donatorët, sektorët privatë dhe publik</w:t>
      </w:r>
      <w:r w:rsidR="0049173B" w:rsidRPr="00DC66CD">
        <w:t>,</w:t>
      </w:r>
      <w:r w:rsidR="006F605B" w:rsidRPr="00DC66CD">
        <w:t xml:space="preserve"> si një mjet i rëndësishëm për NVM-të;</w:t>
      </w:r>
    </w:p>
    <w:p w14:paraId="76615114" w14:textId="67578D71" w:rsidR="00A827C3" w:rsidRPr="00DC66CD" w:rsidRDefault="00A827C3" w:rsidP="00A827C3">
      <w:pPr>
        <w:pStyle w:val="TEKSTIIII"/>
      </w:pPr>
      <w:r w:rsidRPr="00DC66CD">
        <w:t>-</w:t>
      </w:r>
      <w:r w:rsidR="00C27435" w:rsidRPr="00DC66CD">
        <w:t xml:space="preserve"> </w:t>
      </w:r>
      <w:r w:rsidR="0049173B" w:rsidRPr="00DC66CD">
        <w:t>st</w:t>
      </w:r>
      <w:r w:rsidR="006F605B" w:rsidRPr="00DC66CD">
        <w:t xml:space="preserve">udim për zbatimin e mundshëm të skemave të garancisë së kredisë, bazuar në praktikat më të mira ndërkombëtare për të </w:t>
      </w:r>
      <w:r w:rsidRPr="00DC66CD">
        <w:t>lehtësuar kreditimin e NMVM-ve.</w:t>
      </w:r>
    </w:p>
    <w:p w14:paraId="3C90B053" w14:textId="434AAC94" w:rsidR="006F605B" w:rsidRPr="00DC66CD" w:rsidRDefault="00A827C3" w:rsidP="00A827C3">
      <w:pPr>
        <w:pStyle w:val="TEKSTIIII"/>
      </w:pPr>
      <w:r w:rsidRPr="00DC66CD">
        <w:rPr>
          <w:b/>
        </w:rPr>
        <w:t>b)</w:t>
      </w:r>
      <w:r w:rsidRPr="00DC66CD">
        <w:rPr>
          <w:rFonts w:cs="Times New Roman"/>
          <w:b/>
        </w:rPr>
        <w:t xml:space="preserve"> </w:t>
      </w:r>
      <w:r w:rsidR="006F605B" w:rsidRPr="00DC66CD">
        <w:rPr>
          <w:rFonts w:cs="Times New Roman"/>
          <w:b/>
        </w:rPr>
        <w:t>Aktivitetet e planifikuara</w:t>
      </w:r>
      <w:r w:rsidR="00F85068" w:rsidRPr="00DC66CD">
        <w:rPr>
          <w:rFonts w:cs="Times New Roman"/>
          <w:b/>
        </w:rPr>
        <w:t xml:space="preserve"> më 2021</w:t>
      </w:r>
      <w:r w:rsidR="0049173B" w:rsidRPr="00DC66CD">
        <w:rPr>
          <w:rFonts w:cs="Times New Roman"/>
          <w:b/>
        </w:rPr>
        <w:t>-shin:</w:t>
      </w:r>
    </w:p>
    <w:p w14:paraId="15C93E57" w14:textId="73E0CA59" w:rsidR="006F605B" w:rsidRPr="00DC66CD" w:rsidRDefault="00A827C3" w:rsidP="00A827C3">
      <w:pPr>
        <w:pStyle w:val="TEKSTIIII"/>
      </w:pPr>
      <w:r w:rsidRPr="00DC66CD">
        <w:t>-</w:t>
      </w:r>
      <w:r w:rsidR="00C27435" w:rsidRPr="00DC66CD">
        <w:t xml:space="preserve"> </w:t>
      </w:r>
      <w:r w:rsidR="0049173B" w:rsidRPr="00DC66CD">
        <w:t>k</w:t>
      </w:r>
      <w:r w:rsidR="006F605B" w:rsidRPr="00DC66CD">
        <w:t>rijimi i një platforme të centralizuar informacioni për burimet financiare nga donatorët, sektorët privat dhe publik të aksesueshme nga NVM-të</w:t>
      </w:r>
      <w:r w:rsidR="0049173B" w:rsidRPr="00DC66CD">
        <w:t>;</w:t>
      </w:r>
    </w:p>
    <w:p w14:paraId="64694F71" w14:textId="16FC5672" w:rsidR="006F605B" w:rsidRPr="00DC66CD" w:rsidRDefault="00A827C3" w:rsidP="00A827C3">
      <w:pPr>
        <w:pStyle w:val="TEKSTIIII"/>
      </w:pPr>
      <w:r w:rsidRPr="00DC66CD">
        <w:t>-</w:t>
      </w:r>
      <w:r w:rsidR="00C27435" w:rsidRPr="00DC66CD">
        <w:t xml:space="preserve"> </w:t>
      </w:r>
      <w:r w:rsidR="0049173B" w:rsidRPr="00DC66CD">
        <w:t>h</w:t>
      </w:r>
      <w:r w:rsidR="006F605B" w:rsidRPr="00DC66CD">
        <w:t>artimi dhe konsultimi publik me të gjithë aktorët lidhur me miratimin e skemave të të pjesshme garantuese të kredive.</w:t>
      </w:r>
    </w:p>
    <w:p w14:paraId="371998F6" w14:textId="05B9C86D" w:rsidR="006F605B" w:rsidRPr="00DC66CD" w:rsidRDefault="00A827C3" w:rsidP="00A827C3">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49173B" w:rsidRPr="00DC66CD">
        <w:rPr>
          <w:rFonts w:ascii="Garamond" w:hAnsi="Garamond" w:cs="Times New Roman"/>
          <w:b/>
          <w:sz w:val="24"/>
          <w:szCs w:val="24"/>
        </w:rPr>
        <w:t>-shin:</w:t>
      </w:r>
    </w:p>
    <w:p w14:paraId="6C0DF952" w14:textId="784BDDF2" w:rsidR="006F605B" w:rsidRPr="00DC66CD" w:rsidRDefault="00A827C3" w:rsidP="00A827C3">
      <w:pPr>
        <w:pStyle w:val="ListParagraph"/>
        <w:widowControl w:val="0"/>
        <w:snapToGrid w:val="0"/>
        <w:spacing w:after="0" w:line="240" w:lineRule="auto"/>
        <w:ind w:left="284"/>
        <w:contextualSpacing w:val="0"/>
        <w:jc w:val="both"/>
        <w:rPr>
          <w:rFonts w:ascii="Garamond" w:hAnsi="Garamond" w:cs="Times New Roman"/>
          <w:sz w:val="24"/>
          <w:szCs w:val="24"/>
        </w:rPr>
      </w:pPr>
      <w:r w:rsidRPr="00DC66CD">
        <w:rPr>
          <w:rFonts w:ascii="Garamond" w:hAnsi="Garamond" w:cs="Times New Roman"/>
          <w:sz w:val="24"/>
          <w:szCs w:val="24"/>
        </w:rPr>
        <w:t xml:space="preserve">- </w:t>
      </w:r>
      <w:r w:rsidR="0049173B" w:rsidRPr="00DC66CD">
        <w:rPr>
          <w:rFonts w:ascii="Garamond" w:hAnsi="Garamond" w:cs="Times New Roman"/>
          <w:sz w:val="24"/>
          <w:szCs w:val="24"/>
        </w:rPr>
        <w:t>m</w:t>
      </w:r>
      <w:r w:rsidR="006F605B" w:rsidRPr="00DC66CD">
        <w:rPr>
          <w:rFonts w:ascii="Garamond" w:hAnsi="Garamond" w:cs="Times New Roman"/>
          <w:sz w:val="24"/>
          <w:szCs w:val="24"/>
        </w:rPr>
        <w:t xml:space="preserve">iratimi i akteve ligjore lidhur me </w:t>
      </w:r>
      <w:r w:rsidR="002C53E1" w:rsidRPr="00DC66CD">
        <w:rPr>
          <w:rFonts w:ascii="Garamond" w:hAnsi="Garamond" w:cs="Times New Roman"/>
          <w:sz w:val="24"/>
          <w:szCs w:val="24"/>
        </w:rPr>
        <w:t xml:space="preserve">skemat </w:t>
      </w:r>
      <w:r w:rsidR="006F605B" w:rsidRPr="00DC66CD">
        <w:rPr>
          <w:rFonts w:ascii="Garamond" w:hAnsi="Garamond" w:cs="Times New Roman"/>
          <w:sz w:val="24"/>
          <w:szCs w:val="24"/>
        </w:rPr>
        <w:t>e pjesshme garantuese t</w:t>
      </w:r>
      <w:r w:rsidR="008B5731">
        <w:rPr>
          <w:rFonts w:ascii="Garamond" w:hAnsi="Garamond" w:cs="Times New Roman"/>
          <w:sz w:val="24"/>
          <w:szCs w:val="24"/>
        </w:rPr>
        <w:t>ë</w:t>
      </w:r>
      <w:r w:rsidR="006F605B" w:rsidRPr="00DC66CD">
        <w:rPr>
          <w:rFonts w:ascii="Garamond" w:hAnsi="Garamond" w:cs="Times New Roman"/>
          <w:sz w:val="24"/>
          <w:szCs w:val="24"/>
        </w:rPr>
        <w:t xml:space="preserve"> kredive.</w:t>
      </w:r>
    </w:p>
    <w:p w14:paraId="1F0C55CE" w14:textId="640A31CE"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3. </w:t>
      </w:r>
      <w:r w:rsidR="006F605B" w:rsidRPr="00DC66CD">
        <w:rPr>
          <w:rFonts w:ascii="Garamond" w:hAnsi="Garamond"/>
          <w:color w:val="000000" w:themeColor="text1"/>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1268"/>
        <w:gridCol w:w="2208"/>
        <w:gridCol w:w="1744"/>
      </w:tblGrid>
      <w:tr w:rsidR="006F605B" w:rsidRPr="00DC66CD" w14:paraId="7FB172A5" w14:textId="77777777" w:rsidTr="002C53E1">
        <w:trPr>
          <w:jc w:val="center"/>
        </w:trPr>
        <w:tc>
          <w:tcPr>
            <w:tcW w:w="4060" w:type="dxa"/>
            <w:vAlign w:val="center"/>
          </w:tcPr>
          <w:p w14:paraId="37447AF5" w14:textId="77777777" w:rsidR="006F605B" w:rsidRPr="00DC66CD" w:rsidRDefault="006F605B" w:rsidP="002C53E1">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1268" w:type="dxa"/>
            <w:vAlign w:val="center"/>
          </w:tcPr>
          <w:p w14:paraId="592DC88B" w14:textId="77777777" w:rsidR="006F605B" w:rsidRPr="00DC66CD" w:rsidRDefault="006F605B" w:rsidP="002C53E1">
            <w:pPr>
              <w:snapToGrid w:val="0"/>
              <w:spacing w:after="0" w:line="240" w:lineRule="auto"/>
              <w:jc w:val="center"/>
              <w:rPr>
                <w:rFonts w:ascii="Garamond" w:hAnsi="Garamond"/>
                <w:b/>
                <w:sz w:val="20"/>
                <w:szCs w:val="20"/>
              </w:rPr>
            </w:pPr>
            <w:r w:rsidRPr="00DC66CD">
              <w:rPr>
                <w:rFonts w:ascii="Garamond" w:hAnsi="Garamond"/>
                <w:b/>
                <w:sz w:val="20"/>
                <w:szCs w:val="20"/>
              </w:rPr>
              <w:t>Bazë (viti)</w:t>
            </w:r>
          </w:p>
        </w:tc>
        <w:tc>
          <w:tcPr>
            <w:tcW w:w="2208" w:type="dxa"/>
            <w:vAlign w:val="center"/>
          </w:tcPr>
          <w:p w14:paraId="4C735789" w14:textId="10DCFEED" w:rsidR="006F605B" w:rsidRPr="00DC66CD" w:rsidRDefault="00C27435" w:rsidP="002C53E1">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(viti)</w:t>
            </w:r>
          </w:p>
        </w:tc>
        <w:tc>
          <w:tcPr>
            <w:tcW w:w="1744" w:type="dxa"/>
            <w:vAlign w:val="center"/>
          </w:tcPr>
          <w:p w14:paraId="7FF1F0D7" w14:textId="77777777" w:rsidR="006F605B" w:rsidRPr="00DC66CD" w:rsidRDefault="006F605B" w:rsidP="002C53E1">
            <w:pPr>
              <w:snapToGrid w:val="0"/>
              <w:spacing w:after="0" w:line="240" w:lineRule="auto"/>
              <w:jc w:val="center"/>
              <w:rPr>
                <w:rFonts w:ascii="Garamond" w:hAnsi="Garamond"/>
                <w:b/>
                <w:sz w:val="20"/>
                <w:szCs w:val="20"/>
              </w:rPr>
            </w:pPr>
            <w:r w:rsidRPr="00DC66CD">
              <w:rPr>
                <w:rFonts w:ascii="Garamond" w:hAnsi="Garamond"/>
                <w:b/>
                <w:sz w:val="20"/>
                <w:szCs w:val="20"/>
              </w:rPr>
              <w:t>Objektivi (viti)</w:t>
            </w:r>
          </w:p>
        </w:tc>
      </w:tr>
      <w:tr w:rsidR="006F605B" w:rsidRPr="00DC66CD" w14:paraId="62F2C2CD" w14:textId="77777777" w:rsidTr="002C53E1">
        <w:trPr>
          <w:jc w:val="center"/>
        </w:trPr>
        <w:tc>
          <w:tcPr>
            <w:tcW w:w="4060" w:type="dxa"/>
          </w:tcPr>
          <w:p w14:paraId="55881E99"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Miratimi i strukturës së re në MFE</w:t>
            </w:r>
          </w:p>
        </w:tc>
        <w:tc>
          <w:tcPr>
            <w:tcW w:w="1268" w:type="dxa"/>
          </w:tcPr>
          <w:p w14:paraId="620ABAC2" w14:textId="77777777" w:rsidR="006F605B" w:rsidRPr="00DC66CD" w:rsidRDefault="006F605B" w:rsidP="002C53E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2208" w:type="dxa"/>
          </w:tcPr>
          <w:p w14:paraId="50AB82E3" w14:textId="09D947C2" w:rsidR="006F605B" w:rsidRPr="00DC66CD" w:rsidRDefault="002C53E1" w:rsidP="002C53E1">
            <w:pPr>
              <w:snapToGrid w:val="0"/>
              <w:spacing w:after="0" w:line="240" w:lineRule="auto"/>
              <w:jc w:val="right"/>
              <w:rPr>
                <w:rFonts w:ascii="Garamond" w:hAnsi="Garamond"/>
                <w:sz w:val="20"/>
                <w:szCs w:val="20"/>
              </w:rPr>
            </w:pPr>
            <w:r w:rsidRPr="00DC66CD">
              <w:rPr>
                <w:rFonts w:ascii="Garamond" w:hAnsi="Garamond"/>
                <w:sz w:val="20"/>
                <w:szCs w:val="20"/>
              </w:rPr>
              <w:t xml:space="preserve">Qershor </w:t>
            </w:r>
            <w:r w:rsidR="006F605B" w:rsidRPr="00DC66CD">
              <w:rPr>
                <w:rFonts w:ascii="Garamond" w:hAnsi="Garamond"/>
                <w:sz w:val="20"/>
                <w:szCs w:val="20"/>
              </w:rPr>
              <w:t>2020</w:t>
            </w:r>
          </w:p>
        </w:tc>
        <w:tc>
          <w:tcPr>
            <w:tcW w:w="1744" w:type="dxa"/>
          </w:tcPr>
          <w:p w14:paraId="5EC91335" w14:textId="4D4BD388" w:rsidR="006F605B" w:rsidRPr="00DC66CD" w:rsidRDefault="002C53E1" w:rsidP="002C53E1">
            <w:pPr>
              <w:snapToGrid w:val="0"/>
              <w:spacing w:after="0" w:line="240" w:lineRule="auto"/>
              <w:jc w:val="right"/>
              <w:rPr>
                <w:rFonts w:ascii="Garamond" w:hAnsi="Garamond"/>
                <w:sz w:val="20"/>
                <w:szCs w:val="20"/>
              </w:rPr>
            </w:pPr>
            <w:r w:rsidRPr="00DC66CD">
              <w:rPr>
                <w:rFonts w:ascii="Garamond" w:hAnsi="Garamond"/>
                <w:sz w:val="20"/>
                <w:szCs w:val="20"/>
              </w:rPr>
              <w:t xml:space="preserve">Dhjetor </w:t>
            </w:r>
            <w:r w:rsidR="006F605B" w:rsidRPr="00DC66CD">
              <w:rPr>
                <w:rFonts w:ascii="Garamond" w:hAnsi="Garamond"/>
                <w:sz w:val="20"/>
                <w:szCs w:val="20"/>
              </w:rPr>
              <w:t>2020</w:t>
            </w:r>
          </w:p>
        </w:tc>
      </w:tr>
      <w:tr w:rsidR="006F605B" w:rsidRPr="00DC66CD" w14:paraId="6838BD5C" w14:textId="77777777" w:rsidTr="002C53E1">
        <w:trPr>
          <w:jc w:val="center"/>
        </w:trPr>
        <w:tc>
          <w:tcPr>
            <w:tcW w:w="4060" w:type="dxa"/>
          </w:tcPr>
          <w:p w14:paraId="1628178E"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Numri i përdoruesve të platformës së centralizuar të informacionit</w:t>
            </w:r>
          </w:p>
        </w:tc>
        <w:tc>
          <w:tcPr>
            <w:tcW w:w="1268" w:type="dxa"/>
          </w:tcPr>
          <w:p w14:paraId="1B1C5757" w14:textId="77777777" w:rsidR="006F605B" w:rsidRPr="00DC66CD" w:rsidRDefault="006F605B" w:rsidP="002C53E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2208" w:type="dxa"/>
          </w:tcPr>
          <w:p w14:paraId="294F534A" w14:textId="77777777" w:rsidR="006F605B" w:rsidRPr="00DC66CD" w:rsidRDefault="006F605B" w:rsidP="002C53E1">
            <w:pPr>
              <w:snapToGrid w:val="0"/>
              <w:spacing w:after="0" w:line="240" w:lineRule="auto"/>
              <w:jc w:val="right"/>
              <w:rPr>
                <w:rFonts w:ascii="Garamond" w:hAnsi="Garamond"/>
                <w:sz w:val="20"/>
                <w:szCs w:val="20"/>
              </w:rPr>
            </w:pPr>
            <w:r w:rsidRPr="00DC66CD">
              <w:rPr>
                <w:rFonts w:ascii="Garamond" w:hAnsi="Garamond"/>
                <w:sz w:val="20"/>
                <w:szCs w:val="20"/>
              </w:rPr>
              <w:t>1000</w:t>
            </w:r>
          </w:p>
        </w:tc>
        <w:tc>
          <w:tcPr>
            <w:tcW w:w="1744" w:type="dxa"/>
          </w:tcPr>
          <w:p w14:paraId="633AF793" w14:textId="77777777" w:rsidR="006F605B" w:rsidRPr="00DC66CD" w:rsidRDefault="006F605B" w:rsidP="002C53E1">
            <w:pPr>
              <w:snapToGrid w:val="0"/>
              <w:spacing w:after="0" w:line="240" w:lineRule="auto"/>
              <w:jc w:val="right"/>
              <w:rPr>
                <w:rFonts w:ascii="Garamond" w:hAnsi="Garamond"/>
                <w:sz w:val="20"/>
                <w:szCs w:val="20"/>
              </w:rPr>
            </w:pPr>
            <w:r w:rsidRPr="00DC66CD">
              <w:rPr>
                <w:rFonts w:ascii="Garamond" w:hAnsi="Garamond"/>
                <w:sz w:val="20"/>
                <w:szCs w:val="20"/>
              </w:rPr>
              <w:t>5000</w:t>
            </w:r>
          </w:p>
        </w:tc>
      </w:tr>
      <w:tr w:rsidR="006F605B" w:rsidRPr="00DC66CD" w14:paraId="5D35A720" w14:textId="77777777" w:rsidTr="002C53E1">
        <w:trPr>
          <w:jc w:val="center"/>
        </w:trPr>
        <w:tc>
          <w:tcPr>
            <w:tcW w:w="4060" w:type="dxa"/>
          </w:tcPr>
          <w:p w14:paraId="63C54F08"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Miratimi i akteve ligjore për skemat e pjesshme të garancisë</w:t>
            </w:r>
          </w:p>
        </w:tc>
        <w:tc>
          <w:tcPr>
            <w:tcW w:w="1268" w:type="dxa"/>
          </w:tcPr>
          <w:p w14:paraId="2375D33B" w14:textId="77777777" w:rsidR="006F605B" w:rsidRPr="00DC66CD" w:rsidRDefault="006F605B" w:rsidP="002C53E1">
            <w:pPr>
              <w:snapToGrid w:val="0"/>
              <w:spacing w:after="0" w:line="240" w:lineRule="auto"/>
              <w:jc w:val="right"/>
              <w:rPr>
                <w:rFonts w:ascii="Garamond" w:hAnsi="Garamond"/>
                <w:sz w:val="20"/>
                <w:szCs w:val="20"/>
              </w:rPr>
            </w:pPr>
            <w:r w:rsidRPr="00DC66CD">
              <w:rPr>
                <w:rFonts w:ascii="Garamond" w:hAnsi="Garamond"/>
                <w:sz w:val="20"/>
                <w:szCs w:val="20"/>
              </w:rPr>
              <w:t>N/A</w:t>
            </w:r>
          </w:p>
        </w:tc>
        <w:tc>
          <w:tcPr>
            <w:tcW w:w="2208" w:type="dxa"/>
          </w:tcPr>
          <w:p w14:paraId="7A35326E" w14:textId="77777777" w:rsidR="006F605B" w:rsidRPr="00DC66CD" w:rsidRDefault="006F605B" w:rsidP="002C53E1">
            <w:pPr>
              <w:snapToGrid w:val="0"/>
              <w:spacing w:after="0" w:line="240" w:lineRule="auto"/>
              <w:jc w:val="right"/>
              <w:rPr>
                <w:rFonts w:ascii="Garamond" w:hAnsi="Garamond"/>
                <w:sz w:val="20"/>
                <w:szCs w:val="20"/>
              </w:rPr>
            </w:pPr>
            <w:r w:rsidRPr="00DC66CD">
              <w:rPr>
                <w:rFonts w:ascii="Garamond" w:hAnsi="Garamond"/>
                <w:sz w:val="20"/>
                <w:szCs w:val="20"/>
              </w:rPr>
              <w:t>N/A</w:t>
            </w:r>
          </w:p>
        </w:tc>
        <w:tc>
          <w:tcPr>
            <w:tcW w:w="1744" w:type="dxa"/>
          </w:tcPr>
          <w:p w14:paraId="65DCA869" w14:textId="7FA7409F" w:rsidR="006F605B" w:rsidRPr="00DC66CD" w:rsidRDefault="002C53E1" w:rsidP="002C53E1">
            <w:pPr>
              <w:snapToGrid w:val="0"/>
              <w:spacing w:after="0" w:line="240" w:lineRule="auto"/>
              <w:jc w:val="right"/>
              <w:rPr>
                <w:rFonts w:ascii="Garamond" w:hAnsi="Garamond"/>
                <w:sz w:val="20"/>
                <w:szCs w:val="20"/>
              </w:rPr>
            </w:pPr>
            <w:r w:rsidRPr="00DC66CD">
              <w:rPr>
                <w:rFonts w:ascii="Garamond" w:hAnsi="Garamond"/>
                <w:sz w:val="20"/>
                <w:szCs w:val="20"/>
              </w:rPr>
              <w:t>Miratuar</w:t>
            </w:r>
          </w:p>
        </w:tc>
      </w:tr>
      <w:tr w:rsidR="006F605B" w:rsidRPr="00DC66CD" w14:paraId="545173A6" w14:textId="77777777" w:rsidTr="002C53E1">
        <w:trPr>
          <w:jc w:val="center"/>
        </w:trPr>
        <w:tc>
          <w:tcPr>
            <w:tcW w:w="4060" w:type="dxa"/>
          </w:tcPr>
          <w:p w14:paraId="6E594E70" w14:textId="77777777" w:rsidR="006F605B" w:rsidRPr="00DC66CD" w:rsidRDefault="006F605B" w:rsidP="00A827C3">
            <w:pPr>
              <w:snapToGrid w:val="0"/>
              <w:spacing w:after="0" w:line="240" w:lineRule="auto"/>
              <w:rPr>
                <w:rFonts w:ascii="Garamond" w:hAnsi="Garamond"/>
                <w:sz w:val="20"/>
                <w:szCs w:val="20"/>
              </w:rPr>
            </w:pPr>
            <w:r w:rsidRPr="00DC66CD">
              <w:rPr>
                <w:rFonts w:ascii="Garamond" w:hAnsi="Garamond"/>
                <w:sz w:val="20"/>
                <w:szCs w:val="20"/>
              </w:rPr>
              <w:t>Rritje e normës të NVM-ve që përfitojnë nga rritja e aksesit në financa</w:t>
            </w:r>
          </w:p>
        </w:tc>
        <w:tc>
          <w:tcPr>
            <w:tcW w:w="1268" w:type="dxa"/>
          </w:tcPr>
          <w:p w14:paraId="73231A64" w14:textId="77777777" w:rsidR="006F605B" w:rsidRPr="00DC66CD" w:rsidRDefault="006F605B" w:rsidP="002C53E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2208" w:type="dxa"/>
          </w:tcPr>
          <w:p w14:paraId="24B86A56" w14:textId="77777777" w:rsidR="006F605B" w:rsidRPr="00DC66CD" w:rsidRDefault="006F605B" w:rsidP="002C53E1">
            <w:pPr>
              <w:snapToGrid w:val="0"/>
              <w:spacing w:after="0" w:line="240" w:lineRule="auto"/>
              <w:jc w:val="right"/>
              <w:rPr>
                <w:rFonts w:ascii="Garamond" w:hAnsi="Garamond"/>
                <w:sz w:val="20"/>
                <w:szCs w:val="20"/>
              </w:rPr>
            </w:pPr>
            <w:r w:rsidRPr="00DC66CD">
              <w:rPr>
                <w:rFonts w:ascii="Garamond" w:hAnsi="Garamond"/>
                <w:sz w:val="20"/>
                <w:szCs w:val="20"/>
              </w:rPr>
              <w:t>5%</w:t>
            </w:r>
          </w:p>
        </w:tc>
        <w:tc>
          <w:tcPr>
            <w:tcW w:w="1744" w:type="dxa"/>
          </w:tcPr>
          <w:p w14:paraId="51D43065" w14:textId="77777777" w:rsidR="006F605B" w:rsidRPr="00DC66CD" w:rsidRDefault="006F605B" w:rsidP="002C53E1">
            <w:pPr>
              <w:snapToGrid w:val="0"/>
              <w:spacing w:after="0" w:line="240" w:lineRule="auto"/>
              <w:jc w:val="right"/>
              <w:rPr>
                <w:rFonts w:ascii="Garamond" w:hAnsi="Garamond"/>
                <w:sz w:val="20"/>
                <w:szCs w:val="20"/>
              </w:rPr>
            </w:pPr>
            <w:r w:rsidRPr="00DC66CD">
              <w:rPr>
                <w:rFonts w:ascii="Garamond" w:hAnsi="Garamond"/>
                <w:sz w:val="20"/>
                <w:szCs w:val="20"/>
              </w:rPr>
              <w:t>10%</w:t>
            </w:r>
          </w:p>
        </w:tc>
      </w:tr>
    </w:tbl>
    <w:p w14:paraId="53CE82CB" w14:textId="77777777" w:rsidR="006F605B" w:rsidRPr="00DC66CD" w:rsidRDefault="006F605B" w:rsidP="006F605B">
      <w:pPr>
        <w:snapToGrid w:val="0"/>
        <w:spacing w:after="0" w:line="240" w:lineRule="auto"/>
        <w:ind w:firstLine="284"/>
        <w:rPr>
          <w:rFonts w:ascii="Garamond" w:hAnsi="Garamond"/>
          <w:sz w:val="24"/>
          <w:szCs w:val="24"/>
        </w:rPr>
      </w:pPr>
    </w:p>
    <w:p w14:paraId="347C7745" w14:textId="4F0FFA4B"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4. </w:t>
      </w:r>
      <w:r w:rsidR="006F605B" w:rsidRPr="00DC66CD">
        <w:rPr>
          <w:rFonts w:ascii="Garamond" w:hAnsi="Garamond"/>
          <w:color w:val="000000" w:themeColor="text1"/>
          <w:sz w:val="24"/>
          <w:szCs w:val="24"/>
        </w:rPr>
        <w:t>Ndikimi i pritshëm në konkurrueshmëri</w:t>
      </w:r>
    </w:p>
    <w:p w14:paraId="25F85D85" w14:textId="67FF8C4D"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hAnsi="Garamond"/>
          <w:color w:val="000000" w:themeColor="text1"/>
          <w:sz w:val="24"/>
          <w:szCs w:val="24"/>
        </w:rPr>
        <w:t>Akses i përmirësuar në financ</w:t>
      </w:r>
      <w:r w:rsidR="002C53E1" w:rsidRPr="00DC66CD">
        <w:rPr>
          <w:rFonts w:ascii="Garamond" w:hAnsi="Garamond"/>
          <w:color w:val="000000" w:themeColor="text1"/>
          <w:sz w:val="24"/>
          <w:szCs w:val="24"/>
        </w:rPr>
        <w:t>ë</w:t>
      </w:r>
      <w:r w:rsidRPr="00DC66CD">
        <w:rPr>
          <w:rFonts w:ascii="Garamond" w:hAnsi="Garamond"/>
          <w:color w:val="000000" w:themeColor="text1"/>
          <w:sz w:val="24"/>
          <w:szCs w:val="24"/>
        </w:rPr>
        <w:t xml:space="preserve"> për NVM-të dhe një ndikim i drejtpërdrejtë në konkurrueshmëri në atë pjesë të ekonomisë e cila ka kontributin më të madh në PBB dhe punësim në sektorin jofinanciar. Rritja e investimeve e nxitur nga një akses më i mirë në financ</w:t>
      </w:r>
      <w:r w:rsidR="002C53E1" w:rsidRPr="00DC66CD">
        <w:rPr>
          <w:rFonts w:ascii="Garamond" w:hAnsi="Garamond"/>
          <w:color w:val="000000" w:themeColor="text1"/>
          <w:sz w:val="24"/>
          <w:szCs w:val="24"/>
        </w:rPr>
        <w:t>ë</w:t>
      </w:r>
      <w:r w:rsidRPr="00DC66CD">
        <w:rPr>
          <w:rFonts w:ascii="Garamond" w:hAnsi="Garamond"/>
          <w:color w:val="000000" w:themeColor="text1"/>
          <w:sz w:val="24"/>
          <w:szCs w:val="24"/>
        </w:rPr>
        <w:t xml:space="preserve"> do të ketë një ndikim pozitiv në forcimin e kapaciteteve, modernizimin teknologjik të prodhimit, rritjen e produktivitetit dhe futjen e produkteve dhe </w:t>
      </w:r>
      <w:r w:rsidR="002C53E1" w:rsidRPr="00DC66CD">
        <w:rPr>
          <w:rFonts w:ascii="Garamond" w:hAnsi="Garamond"/>
          <w:color w:val="000000" w:themeColor="text1"/>
          <w:sz w:val="24"/>
          <w:szCs w:val="24"/>
        </w:rPr>
        <w:t xml:space="preserve">të </w:t>
      </w:r>
      <w:r w:rsidRPr="00DC66CD">
        <w:rPr>
          <w:rFonts w:ascii="Garamond" w:hAnsi="Garamond"/>
          <w:color w:val="000000" w:themeColor="text1"/>
          <w:sz w:val="24"/>
          <w:szCs w:val="24"/>
        </w:rPr>
        <w:t>shërbimeve të reja inovative nga NVM-të.</w:t>
      </w:r>
    </w:p>
    <w:p w14:paraId="62D42305" w14:textId="51B6553E"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5. </w:t>
      </w:r>
      <w:r w:rsidR="006F605B" w:rsidRPr="00DC66CD">
        <w:rPr>
          <w:rFonts w:ascii="Garamond" w:hAnsi="Garamond"/>
          <w:color w:val="000000" w:themeColor="text1"/>
          <w:sz w:val="24"/>
          <w:szCs w:val="24"/>
        </w:rPr>
        <w:t>Kosto</w:t>
      </w:r>
      <w:r w:rsidR="002C53E1" w:rsidRPr="00DC66CD">
        <w:rPr>
          <w:rFonts w:ascii="Garamond" w:hAnsi="Garamond"/>
          <w:color w:val="000000" w:themeColor="text1"/>
          <w:sz w:val="24"/>
          <w:szCs w:val="24"/>
        </w:rPr>
        <w:t>ja</w:t>
      </w:r>
      <w:r w:rsidR="006F605B" w:rsidRPr="00DC66CD">
        <w:rPr>
          <w:rFonts w:ascii="Garamond" w:hAnsi="Garamond"/>
          <w:color w:val="000000" w:themeColor="text1"/>
          <w:sz w:val="24"/>
          <w:szCs w:val="24"/>
        </w:rPr>
        <w:t xml:space="preserve"> e parashikuar e aktiviteteve dhe burimi i financimit</w:t>
      </w:r>
    </w:p>
    <w:p w14:paraId="7F507032" w14:textId="77777777" w:rsidR="006F605B" w:rsidRPr="00DC66CD" w:rsidRDefault="006F605B" w:rsidP="006F605B">
      <w:pPr>
        <w:snapToGrid w:val="0"/>
        <w:spacing w:after="0" w:line="240" w:lineRule="auto"/>
        <w:ind w:firstLine="284"/>
        <w:rPr>
          <w:rFonts w:ascii="Garamond" w:hAnsi="Garamond"/>
          <w:color w:val="000000" w:themeColor="text1"/>
          <w:sz w:val="24"/>
          <w:szCs w:val="24"/>
        </w:rPr>
      </w:pPr>
      <w:r w:rsidRPr="00DC66CD">
        <w:rPr>
          <w:rFonts w:ascii="Garamond" w:hAnsi="Garamond"/>
          <w:color w:val="000000" w:themeColor="text1"/>
          <w:sz w:val="24"/>
          <w:szCs w:val="24"/>
        </w:rPr>
        <w:t>Kostot e aktiviteteve dhe burimi i financimit janë të detajuara në tabelat 10a dhe 10b.</w:t>
      </w:r>
    </w:p>
    <w:p w14:paraId="66940CD2" w14:textId="5AF0FB3F"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6. </w:t>
      </w:r>
      <w:r w:rsidR="006F605B" w:rsidRPr="00DC66CD">
        <w:rPr>
          <w:rFonts w:ascii="Garamond" w:hAnsi="Garamond"/>
          <w:color w:val="000000" w:themeColor="text1"/>
          <w:sz w:val="24"/>
          <w:szCs w:val="24"/>
        </w:rPr>
        <w:t>Ndikimi i pritshëm në rezultatet sociale, si</w:t>
      </w:r>
      <w:r w:rsidR="002C53E1" w:rsidRPr="00DC66CD">
        <w:rPr>
          <w:rFonts w:ascii="Garamond" w:hAnsi="Garamond"/>
          <w:color w:val="000000" w:themeColor="text1"/>
          <w:sz w:val="24"/>
          <w:szCs w:val="24"/>
        </w:rPr>
        <w:t>:</w:t>
      </w:r>
      <w:r w:rsidR="006F605B" w:rsidRPr="00DC66CD">
        <w:rPr>
          <w:rFonts w:ascii="Garamond" w:hAnsi="Garamond"/>
          <w:color w:val="000000" w:themeColor="text1"/>
          <w:sz w:val="24"/>
          <w:szCs w:val="24"/>
        </w:rPr>
        <w:t xml:space="preserve"> punësimi, ulja e varfërisë, barazia dhe gjinia</w:t>
      </w:r>
    </w:p>
    <w:p w14:paraId="58BCD41E" w14:textId="584894A7"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eastAsia="Times New Roman" w:hAnsi="Garamond"/>
          <w:color w:val="000000" w:themeColor="text1"/>
          <w:sz w:val="24"/>
          <w:szCs w:val="24"/>
        </w:rPr>
        <w:t>Prezantimi i instrumenteve të reja financiare për fillimin e një biznesi dhe zhvillimi i NVM-ve do të kontribuojë drejtpërdrejt në krijimin e vendeve të punës dhe vetëpunësim. Reforma është veçanërisht e rëndësishme</w:t>
      </w:r>
      <w:r w:rsidR="002C53E1" w:rsidRPr="00DC66CD">
        <w:rPr>
          <w:rFonts w:ascii="Garamond" w:eastAsia="Times New Roman" w:hAnsi="Garamond"/>
          <w:color w:val="000000" w:themeColor="text1"/>
          <w:sz w:val="24"/>
          <w:szCs w:val="24"/>
        </w:rPr>
        <w:t>,</w:t>
      </w:r>
      <w:r w:rsidRPr="00DC66CD">
        <w:rPr>
          <w:rFonts w:ascii="Garamond" w:eastAsia="Times New Roman" w:hAnsi="Garamond"/>
          <w:color w:val="000000" w:themeColor="text1"/>
          <w:sz w:val="24"/>
          <w:szCs w:val="24"/>
        </w:rPr>
        <w:t xml:space="preserve"> sepse do të ndihmojë në fuqizimin e grave sipërmarrëse duke lehtësuar kanalet e komunikimit drejt financimit, gjë që është e rëndësishme për gratë sipërmarrëse</w:t>
      </w:r>
      <w:r w:rsidRPr="00DC66CD">
        <w:rPr>
          <w:rFonts w:ascii="Garamond" w:hAnsi="Garamond"/>
          <w:color w:val="000000" w:themeColor="text1"/>
          <w:sz w:val="24"/>
          <w:szCs w:val="24"/>
        </w:rPr>
        <w:t>.</w:t>
      </w:r>
    </w:p>
    <w:p w14:paraId="439A585A" w14:textId="20BFFC11"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7. </w:t>
      </w:r>
      <w:r w:rsidR="006F605B" w:rsidRPr="00DC66CD">
        <w:rPr>
          <w:rFonts w:ascii="Garamond" w:hAnsi="Garamond"/>
          <w:color w:val="000000" w:themeColor="text1"/>
          <w:sz w:val="24"/>
          <w:szCs w:val="24"/>
        </w:rPr>
        <w:t>Ndikimi i pritshëm në mjedis</w:t>
      </w:r>
    </w:p>
    <w:p w14:paraId="133C410D" w14:textId="77777777" w:rsidR="006F605B" w:rsidRPr="00DC66CD" w:rsidRDefault="006F605B" w:rsidP="006F605B">
      <w:pPr>
        <w:snapToGrid w:val="0"/>
        <w:spacing w:after="0" w:line="240" w:lineRule="auto"/>
        <w:ind w:firstLine="284"/>
        <w:rPr>
          <w:rFonts w:ascii="Garamond" w:hAnsi="Garamond"/>
          <w:color w:val="000000" w:themeColor="text1"/>
          <w:sz w:val="24"/>
          <w:szCs w:val="24"/>
        </w:rPr>
      </w:pPr>
      <w:r w:rsidRPr="00DC66CD">
        <w:rPr>
          <w:rFonts w:ascii="Garamond" w:hAnsi="Garamond"/>
          <w:color w:val="000000" w:themeColor="text1"/>
          <w:sz w:val="24"/>
          <w:szCs w:val="24"/>
        </w:rPr>
        <w:t>Masa nuk parashikohet të ketë ndikim në mjedis.</w:t>
      </w:r>
    </w:p>
    <w:p w14:paraId="31DDE71F" w14:textId="737CAD6C"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8. </w:t>
      </w:r>
      <w:r w:rsidR="006F605B" w:rsidRPr="00DC66CD">
        <w:rPr>
          <w:rFonts w:ascii="Garamond" w:hAnsi="Garamond"/>
          <w:color w:val="000000" w:themeColor="text1"/>
          <w:sz w:val="24"/>
          <w:szCs w:val="24"/>
        </w:rPr>
        <w:t>Rreziqet e mundshme</w:t>
      </w:r>
    </w:p>
    <w:p w14:paraId="28F867C8" w14:textId="31C3D719"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color w:val="000000"/>
          <w:sz w:val="24"/>
          <w:szCs w:val="24"/>
        </w:rPr>
        <w:t>Ekzistojnë rreziqe të mundshme që lidhen me zbatimin e reformës</w:t>
      </w:r>
      <w:r w:rsidR="002C53E1" w:rsidRPr="00DC66CD">
        <w:rPr>
          <w:rFonts w:ascii="Garamond" w:hAnsi="Garamond"/>
          <w:color w:val="000000"/>
          <w:sz w:val="24"/>
          <w:szCs w:val="24"/>
        </w:rPr>
        <w:t>,</w:t>
      </w:r>
      <w:r w:rsidRPr="00DC66CD">
        <w:rPr>
          <w:rFonts w:ascii="Garamond" w:hAnsi="Garamond"/>
          <w:color w:val="000000"/>
          <w:sz w:val="24"/>
          <w:szCs w:val="24"/>
        </w:rPr>
        <w:t xml:space="preserve"> t</w:t>
      </w:r>
      <w:r w:rsidR="002C53E1" w:rsidRPr="00DC66CD">
        <w:rPr>
          <w:rFonts w:ascii="Garamond" w:hAnsi="Garamond"/>
          <w:color w:val="000000"/>
          <w:sz w:val="24"/>
          <w:szCs w:val="24"/>
        </w:rPr>
        <w:t>ë</w:t>
      </w:r>
      <w:r w:rsidRPr="00DC66CD">
        <w:rPr>
          <w:rFonts w:ascii="Garamond" w:hAnsi="Garamond"/>
          <w:color w:val="000000"/>
          <w:sz w:val="24"/>
          <w:szCs w:val="24"/>
        </w:rPr>
        <w:t xml:space="preserve"> tilla si</w:t>
      </w:r>
      <w:r w:rsidR="002C53E1" w:rsidRPr="00DC66CD">
        <w:rPr>
          <w:rFonts w:ascii="Garamond" w:hAnsi="Garamond"/>
          <w:color w:val="000000"/>
          <w:sz w:val="24"/>
          <w:szCs w:val="24"/>
        </w:rPr>
        <w:t>:</w:t>
      </w:r>
      <w:r w:rsidRPr="00DC66CD">
        <w:rPr>
          <w:rFonts w:ascii="Garamond" w:hAnsi="Garamond"/>
          <w:color w:val="000000"/>
          <w:sz w:val="24"/>
          <w:szCs w:val="24"/>
        </w:rPr>
        <w:t xml:space="preserve"> paqëndrueshmëria makroekonomike dhe fiskale, dhe bashkëpunim e koordinim i ulët ndërinstitucional midis qeverisë dhe organizatave joqeveritare</w:t>
      </w:r>
      <w:r w:rsidRPr="00DC66CD">
        <w:rPr>
          <w:rFonts w:ascii="Garamond" w:hAnsi="Garamond"/>
          <w:sz w:val="24"/>
          <w:szCs w:val="24"/>
        </w:rPr>
        <w:t>.</w:t>
      </w:r>
    </w:p>
    <w:p w14:paraId="7B1BE7D2" w14:textId="77777777" w:rsidR="006F605B" w:rsidRPr="00DC66CD" w:rsidRDefault="006F605B" w:rsidP="006F605B">
      <w:pPr>
        <w:pStyle w:val="Heading5"/>
        <w:snapToGrid w:val="0"/>
        <w:spacing w:before="0" w:line="240" w:lineRule="auto"/>
        <w:ind w:firstLine="284"/>
        <w:rPr>
          <w:rFonts w:ascii="Garamond" w:hAnsi="Garamond"/>
          <w:i/>
          <w:color w:val="000000" w:themeColor="text1"/>
          <w:sz w:val="24"/>
          <w:szCs w:val="24"/>
        </w:rPr>
      </w:pPr>
      <w:r w:rsidRPr="00DC66CD">
        <w:rPr>
          <w:rFonts w:ascii="Garamond" w:hAnsi="Garamond"/>
          <w:i/>
          <w:color w:val="000000" w:themeColor="text1"/>
          <w:sz w:val="24"/>
          <w:szCs w:val="24"/>
        </w:rPr>
        <w:t>Reforma 10: Modernizimi i instrumenteve të pagesave retail</w:t>
      </w:r>
    </w:p>
    <w:p w14:paraId="78994F7B" w14:textId="27B2CCD1" w:rsidR="006F605B" w:rsidRPr="00DC66CD" w:rsidRDefault="00A827C3" w:rsidP="00A827C3">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1. </w:t>
      </w:r>
      <w:r w:rsidR="006F605B" w:rsidRPr="00DC66CD">
        <w:rPr>
          <w:rFonts w:ascii="Garamond" w:hAnsi="Garamond"/>
          <w:color w:val="000000" w:themeColor="text1"/>
          <w:sz w:val="24"/>
          <w:szCs w:val="24"/>
        </w:rPr>
        <w:t>Përshkrimi</w:t>
      </w:r>
    </w:p>
    <w:p w14:paraId="2C8B2CFA" w14:textId="4644AEDD" w:rsidR="006F605B" w:rsidRPr="00DC66CD" w:rsidRDefault="002C53E1" w:rsidP="006F605B">
      <w:pPr>
        <w:spacing w:after="0" w:line="240" w:lineRule="auto"/>
        <w:ind w:firstLine="284"/>
        <w:jc w:val="both"/>
        <w:rPr>
          <w:rFonts w:ascii="Garamond" w:eastAsia="SimSun" w:hAnsi="Garamond"/>
          <w:sz w:val="24"/>
          <w:szCs w:val="24"/>
        </w:rPr>
      </w:pPr>
      <w:r w:rsidRPr="00DC66CD">
        <w:rPr>
          <w:rFonts w:ascii="Garamond" w:eastAsia="SimSun" w:hAnsi="Garamond"/>
          <w:sz w:val="24"/>
          <w:szCs w:val="24"/>
        </w:rPr>
        <w:t>Objektivi kryesor</w:t>
      </w:r>
      <w:r w:rsidR="006F605B" w:rsidRPr="00DC66CD">
        <w:rPr>
          <w:rFonts w:ascii="Garamond" w:eastAsia="SimSun" w:hAnsi="Garamond"/>
          <w:sz w:val="24"/>
          <w:szCs w:val="24"/>
        </w:rPr>
        <w:t xml:space="preserve"> i </w:t>
      </w:r>
      <w:r w:rsidR="009B5769" w:rsidRPr="00DC66CD">
        <w:rPr>
          <w:rFonts w:ascii="Garamond" w:eastAsia="SimSun" w:hAnsi="Garamond"/>
          <w:sz w:val="24"/>
          <w:szCs w:val="24"/>
        </w:rPr>
        <w:t>“</w:t>
      </w:r>
      <w:r w:rsidR="006F605B" w:rsidRPr="00DC66CD">
        <w:rPr>
          <w:rFonts w:ascii="Garamond" w:eastAsia="SimSun" w:hAnsi="Garamond"/>
          <w:sz w:val="24"/>
          <w:szCs w:val="24"/>
        </w:rPr>
        <w:t xml:space="preserve">Strategjisë </w:t>
      </w:r>
      <w:r w:rsidR="009B5769" w:rsidRPr="00DC66CD">
        <w:rPr>
          <w:rFonts w:ascii="Garamond" w:eastAsia="SimSun" w:hAnsi="Garamond"/>
          <w:sz w:val="24"/>
          <w:szCs w:val="24"/>
        </w:rPr>
        <w:t>kombëtare të pagesave me vlerë të vogël”</w:t>
      </w:r>
      <w:r w:rsidR="006F605B" w:rsidRPr="00DC66CD">
        <w:rPr>
          <w:rFonts w:ascii="Garamond" w:eastAsia="SimSun" w:hAnsi="Garamond"/>
          <w:sz w:val="24"/>
          <w:szCs w:val="24"/>
        </w:rPr>
        <w:t xml:space="preserve"> është promovimi i përdorimit intensiv të instrumenteve moderne të pagesave me vlerë të vogël në të gjithë vendin, me qëllim arritjen e 10 pagesave </w:t>
      </w:r>
      <w:r w:rsidR="006F605B" w:rsidRPr="00DC66CD">
        <w:rPr>
          <w:rFonts w:ascii="Garamond" w:hAnsi="Garamond"/>
          <w:sz w:val="24"/>
          <w:szCs w:val="24"/>
        </w:rPr>
        <w:t>elektronike për frymë</w:t>
      </w:r>
      <w:r w:rsidR="006F605B" w:rsidRPr="00DC66CD">
        <w:rPr>
          <w:rFonts w:ascii="Garamond" w:eastAsia="SimSun" w:hAnsi="Garamond"/>
          <w:sz w:val="24"/>
          <w:szCs w:val="24"/>
        </w:rPr>
        <w:t xml:space="preserve"> deri në fund të vitit 2022. Zgjerimi i mundësisë për aksesin në llogaritë</w:t>
      </w:r>
      <w:r w:rsidR="0072211B" w:rsidRPr="00DC66CD">
        <w:rPr>
          <w:rFonts w:ascii="Garamond" w:eastAsia="SimSun" w:hAnsi="Garamond"/>
          <w:sz w:val="24"/>
          <w:szCs w:val="24"/>
        </w:rPr>
        <w:t xml:space="preserve"> </w:t>
      </w:r>
      <w:r w:rsidR="006F605B" w:rsidRPr="00DC66CD">
        <w:rPr>
          <w:rFonts w:ascii="Garamond" w:eastAsia="SimSun" w:hAnsi="Garamond"/>
          <w:sz w:val="24"/>
          <w:szCs w:val="24"/>
        </w:rPr>
        <w:t>është një kusht i domosdoshëm për të arritur objektivin kryesor. Në këtë drejtim, Shqipëria synon të arrijë një raport të zotërimit të llogarisë prej</w:t>
      </w:r>
      <w:r w:rsidR="0072211B" w:rsidRPr="00DC66CD">
        <w:rPr>
          <w:rFonts w:ascii="Garamond" w:eastAsia="SimSun" w:hAnsi="Garamond"/>
          <w:sz w:val="24"/>
          <w:szCs w:val="24"/>
        </w:rPr>
        <w:t xml:space="preserve"> </w:t>
      </w:r>
      <w:r w:rsidR="006F605B" w:rsidRPr="00DC66CD">
        <w:rPr>
          <w:rFonts w:ascii="Garamond" w:eastAsia="SimSun" w:hAnsi="Garamond"/>
          <w:sz w:val="24"/>
          <w:szCs w:val="24"/>
        </w:rPr>
        <w:t>popullsisë në</w:t>
      </w:r>
      <w:r w:rsidR="0072211B" w:rsidRPr="00DC66CD">
        <w:rPr>
          <w:rFonts w:ascii="Garamond" w:eastAsia="SimSun" w:hAnsi="Garamond"/>
          <w:sz w:val="24"/>
          <w:szCs w:val="24"/>
        </w:rPr>
        <w:t xml:space="preserve"> </w:t>
      </w:r>
      <w:r w:rsidR="006F605B" w:rsidRPr="00DC66CD">
        <w:rPr>
          <w:rFonts w:ascii="Garamond" w:eastAsia="SimSun" w:hAnsi="Garamond"/>
          <w:sz w:val="24"/>
          <w:szCs w:val="24"/>
        </w:rPr>
        <w:t>moshë madhore në nivelin 70% deri në vitin 2022.</w:t>
      </w:r>
    </w:p>
    <w:p w14:paraId="72494012" w14:textId="53B9D5FA" w:rsidR="006F605B" w:rsidRPr="00DC66CD" w:rsidRDefault="002F2A1D" w:rsidP="002F2A1D">
      <w:pPr>
        <w:pStyle w:val="TEKSTIIII"/>
        <w:rPr>
          <w:rFonts w:eastAsia="SimSun"/>
        </w:rPr>
      </w:pPr>
      <w:r w:rsidRPr="00DC66CD">
        <w:rPr>
          <w:rFonts w:eastAsia="SimSun"/>
        </w:rPr>
        <w:t xml:space="preserve">1. </w:t>
      </w:r>
      <w:r w:rsidR="006F605B" w:rsidRPr="00DC66CD">
        <w:rPr>
          <w:rFonts w:eastAsia="SimSun"/>
        </w:rPr>
        <w:t>Përmirësime ligjore dhe të kuadrit rregullator</w:t>
      </w:r>
      <w:r w:rsidR="009B5769" w:rsidRPr="00DC66CD">
        <w:rPr>
          <w:rFonts w:eastAsia="SimSun"/>
        </w:rPr>
        <w:t>:</w:t>
      </w:r>
    </w:p>
    <w:p w14:paraId="7F2BD6CA" w14:textId="451CF22D" w:rsidR="006F605B" w:rsidRPr="00DC66CD" w:rsidRDefault="002F2A1D" w:rsidP="002F2A1D">
      <w:pPr>
        <w:pStyle w:val="TEKSTIIII"/>
        <w:rPr>
          <w:rFonts w:eastAsia="SimSun" w:cs="Times New Roman"/>
        </w:rPr>
      </w:pPr>
      <w:r w:rsidRPr="00DC66CD">
        <w:rPr>
          <w:rFonts w:eastAsia="SimSun" w:cs="Times New Roman"/>
        </w:rPr>
        <w:t xml:space="preserve">a) </w:t>
      </w:r>
      <w:r w:rsidR="009B5769" w:rsidRPr="00DC66CD">
        <w:rPr>
          <w:rFonts w:eastAsia="SimSun" w:cs="Times New Roman"/>
        </w:rPr>
        <w:t xml:space="preserve">aprovimi </w:t>
      </w:r>
      <w:r w:rsidR="006F605B" w:rsidRPr="00DC66CD">
        <w:rPr>
          <w:rFonts w:eastAsia="SimSun" w:cs="Times New Roman"/>
        </w:rPr>
        <w:t xml:space="preserve">i projektligjit </w:t>
      </w:r>
      <w:r w:rsidR="002A29AD" w:rsidRPr="00DC66CD">
        <w:rPr>
          <w:rFonts w:eastAsia="SimSun" w:cs="Times New Roman"/>
        </w:rPr>
        <w:t>“</w:t>
      </w:r>
      <w:r w:rsidR="009B5769" w:rsidRPr="00DC66CD">
        <w:rPr>
          <w:rFonts w:eastAsia="SimSun" w:cs="Times New Roman"/>
        </w:rPr>
        <w:t xml:space="preserve">Mbi shërbimet e </w:t>
      </w:r>
      <w:r w:rsidR="00D31907" w:rsidRPr="00DC66CD">
        <w:rPr>
          <w:rFonts w:eastAsia="SimSun" w:cs="Times New Roman"/>
        </w:rPr>
        <w:t>p</w:t>
      </w:r>
      <w:r w:rsidR="006F605B" w:rsidRPr="00DC66CD">
        <w:rPr>
          <w:rFonts w:eastAsia="SimSun" w:cs="Times New Roman"/>
        </w:rPr>
        <w:t>agesave</w:t>
      </w:r>
      <w:r w:rsidR="002A29AD" w:rsidRPr="00DC66CD">
        <w:rPr>
          <w:rFonts w:eastAsia="SimSun" w:cs="Times New Roman"/>
        </w:rPr>
        <w:t>”</w:t>
      </w:r>
      <w:r w:rsidR="00D31907" w:rsidRPr="00DC66CD">
        <w:rPr>
          <w:rFonts w:eastAsia="SimSun" w:cs="Times New Roman"/>
        </w:rPr>
        <w:t>,</w:t>
      </w:r>
      <w:r w:rsidR="006F605B" w:rsidRPr="00DC66CD">
        <w:rPr>
          <w:rFonts w:eastAsia="SimSun" w:cs="Times New Roman"/>
        </w:rPr>
        <w:t xml:space="preserve"> i cili transpozon direktivën e ndryshuar </w:t>
      </w:r>
      <w:r w:rsidR="00D31907" w:rsidRPr="00DC66CD">
        <w:rPr>
          <w:rFonts w:eastAsia="SimSun" w:cs="Times New Roman"/>
        </w:rPr>
        <w:t>ev</w:t>
      </w:r>
      <w:r w:rsidR="006F605B" w:rsidRPr="00DC66CD">
        <w:rPr>
          <w:rFonts w:eastAsia="SimSun" w:cs="Times New Roman"/>
        </w:rPr>
        <w:t>ropiane</w:t>
      </w:r>
      <w:r w:rsidR="0072211B" w:rsidRPr="00DC66CD">
        <w:rPr>
          <w:rFonts w:eastAsia="SimSun" w:cs="Times New Roman"/>
        </w:rPr>
        <w:t xml:space="preserve"> </w:t>
      </w:r>
      <w:r w:rsidR="006F605B" w:rsidRPr="00DC66CD">
        <w:rPr>
          <w:rFonts w:eastAsia="SimSun" w:cs="Times New Roman"/>
        </w:rPr>
        <w:t>2015/2366 deri në fund të vitit 2019</w:t>
      </w:r>
      <w:r w:rsidR="009B5769" w:rsidRPr="00DC66CD">
        <w:rPr>
          <w:rFonts w:eastAsia="SimSun" w:cs="Times New Roman"/>
        </w:rPr>
        <w:t>;</w:t>
      </w:r>
    </w:p>
    <w:p w14:paraId="4FDC0515" w14:textId="0F5815CD" w:rsidR="006F605B" w:rsidRPr="00DC66CD" w:rsidRDefault="002F2A1D" w:rsidP="002F2A1D">
      <w:pPr>
        <w:pStyle w:val="TEKSTIIII"/>
        <w:rPr>
          <w:rFonts w:eastAsia="SimSun" w:cs="Times New Roman"/>
        </w:rPr>
      </w:pPr>
      <w:r w:rsidRPr="00DC66CD">
        <w:rPr>
          <w:rFonts w:eastAsia="SimSun" w:cs="Times New Roman"/>
        </w:rPr>
        <w:t xml:space="preserve">b) </w:t>
      </w:r>
      <w:r w:rsidR="009B5769" w:rsidRPr="00DC66CD">
        <w:rPr>
          <w:rFonts w:eastAsia="SimSun" w:cs="Times New Roman"/>
        </w:rPr>
        <w:t xml:space="preserve">hartimi </w:t>
      </w:r>
      <w:r w:rsidR="006F605B" w:rsidRPr="00DC66CD">
        <w:rPr>
          <w:rFonts w:eastAsia="SimSun" w:cs="Times New Roman"/>
        </w:rPr>
        <w:t xml:space="preserve">i një akti ligjor që do të transpozojë </w:t>
      </w:r>
      <w:r w:rsidR="00D31907" w:rsidRPr="00DC66CD">
        <w:rPr>
          <w:rFonts w:eastAsia="SimSun" w:cs="Times New Roman"/>
        </w:rPr>
        <w:t>d</w:t>
      </w:r>
      <w:r w:rsidR="006F605B" w:rsidRPr="00DC66CD">
        <w:rPr>
          <w:rFonts w:eastAsia="SimSun" w:cs="Times New Roman"/>
        </w:rPr>
        <w:t>irektivën e Bashkimit E</w:t>
      </w:r>
      <w:r w:rsidR="00D31907" w:rsidRPr="00DC66CD">
        <w:rPr>
          <w:rFonts w:eastAsia="SimSun" w:cs="Times New Roman"/>
        </w:rPr>
        <w:t>v</w:t>
      </w:r>
      <w:r w:rsidR="006F605B" w:rsidRPr="00DC66CD">
        <w:rPr>
          <w:rFonts w:eastAsia="SimSun" w:cs="Times New Roman"/>
        </w:rPr>
        <w:t xml:space="preserve">ropian </w:t>
      </w:r>
      <w:r w:rsidR="002A29AD" w:rsidRPr="00DC66CD">
        <w:rPr>
          <w:rFonts w:eastAsia="SimSun" w:cs="Times New Roman"/>
        </w:rPr>
        <w:t>“</w:t>
      </w:r>
      <w:r w:rsidR="006F605B" w:rsidRPr="00DC66CD">
        <w:rPr>
          <w:rFonts w:eastAsia="SimSun" w:cs="Times New Roman"/>
        </w:rPr>
        <w:t xml:space="preserve">Mbi llogarinë e </w:t>
      </w:r>
      <w:r w:rsidR="009B5769" w:rsidRPr="00DC66CD">
        <w:rPr>
          <w:rFonts w:eastAsia="SimSun" w:cs="Times New Roman"/>
        </w:rPr>
        <w:t>pagesave</w:t>
      </w:r>
      <w:r w:rsidR="002A29AD" w:rsidRPr="00DC66CD">
        <w:rPr>
          <w:rFonts w:eastAsia="SimSun" w:cs="Times New Roman"/>
        </w:rPr>
        <w:t>”</w:t>
      </w:r>
      <w:r w:rsidR="009B5769" w:rsidRPr="00DC66CD">
        <w:rPr>
          <w:rFonts w:eastAsia="SimSun" w:cs="Times New Roman"/>
        </w:rPr>
        <w:t>,</w:t>
      </w:r>
      <w:r w:rsidR="006F605B" w:rsidRPr="00DC66CD">
        <w:rPr>
          <w:rFonts w:eastAsia="SimSun" w:cs="Times New Roman"/>
        </w:rPr>
        <w:t xml:space="preserve"> brenda vitit 2021</w:t>
      </w:r>
      <w:r w:rsidR="009B5769" w:rsidRPr="00DC66CD">
        <w:rPr>
          <w:rFonts w:eastAsia="SimSun" w:cs="Times New Roman"/>
        </w:rPr>
        <w:t>;</w:t>
      </w:r>
    </w:p>
    <w:p w14:paraId="46BBE0A7" w14:textId="4F9A4910" w:rsidR="006F605B" w:rsidRPr="00DC66CD" w:rsidRDefault="002F2A1D" w:rsidP="002F2A1D">
      <w:pPr>
        <w:pStyle w:val="TEKSTIIII"/>
        <w:rPr>
          <w:rFonts w:eastAsia="SimSun"/>
        </w:rPr>
      </w:pPr>
      <w:r w:rsidRPr="00DC66CD">
        <w:rPr>
          <w:rFonts w:eastAsia="SimSun"/>
        </w:rPr>
        <w:t xml:space="preserve">2. </w:t>
      </w:r>
      <w:r w:rsidR="006F605B" w:rsidRPr="00DC66CD">
        <w:rPr>
          <w:rFonts w:eastAsia="SimSun"/>
        </w:rPr>
        <w:t>Përmirësime infrastrukturore dhe teknologjike</w:t>
      </w:r>
      <w:r w:rsidR="00D31907" w:rsidRPr="00DC66CD">
        <w:rPr>
          <w:rFonts w:eastAsia="SimSun"/>
        </w:rPr>
        <w:t>,</w:t>
      </w:r>
      <w:r w:rsidR="006F605B" w:rsidRPr="00DC66CD">
        <w:rPr>
          <w:rFonts w:eastAsia="SimSun"/>
        </w:rPr>
        <w:t xml:space="preserve"> të tilla si:</w:t>
      </w:r>
    </w:p>
    <w:p w14:paraId="30A64155" w14:textId="02380839" w:rsidR="006F605B" w:rsidRPr="00DC66CD" w:rsidRDefault="002F2A1D" w:rsidP="002F2A1D">
      <w:pPr>
        <w:pStyle w:val="TEKSTIIII"/>
        <w:rPr>
          <w:rFonts w:eastAsia="SimSun"/>
        </w:rPr>
      </w:pPr>
      <w:r w:rsidRPr="00DC66CD">
        <w:rPr>
          <w:rFonts w:eastAsia="SimSun"/>
        </w:rPr>
        <w:t xml:space="preserve">a) </w:t>
      </w:r>
      <w:r w:rsidR="009B5769" w:rsidRPr="00DC66CD">
        <w:rPr>
          <w:rFonts w:eastAsia="SimSun"/>
        </w:rPr>
        <w:t xml:space="preserve">mundësia </w:t>
      </w:r>
      <w:r w:rsidR="006F605B" w:rsidRPr="00DC66CD">
        <w:rPr>
          <w:rFonts w:eastAsia="SimSun"/>
        </w:rPr>
        <w:t>e zbatimit të një platforme kombëtare të procesimit të kartave (SWITCH)/</w:t>
      </w:r>
      <w:r w:rsidR="006F605B" w:rsidRPr="00DC66CD">
        <w:rPr>
          <w:rFonts w:eastAsia="SimSun"/>
          <w:i/>
        </w:rPr>
        <w:t>instant payment</w:t>
      </w:r>
      <w:r w:rsidR="00D31907" w:rsidRPr="00DC66CD">
        <w:rPr>
          <w:rFonts w:eastAsia="SimSun"/>
        </w:rPr>
        <w:t xml:space="preserve"> </w:t>
      </w:r>
      <w:r w:rsidR="006F605B" w:rsidRPr="00DC66CD">
        <w:rPr>
          <w:rFonts w:eastAsia="SimSun"/>
        </w:rPr>
        <w:t>pagesave në kohë reale</w:t>
      </w:r>
      <w:r w:rsidR="009B5769" w:rsidRPr="00DC66CD">
        <w:rPr>
          <w:rFonts w:eastAsia="SimSun"/>
        </w:rPr>
        <w:t>;</w:t>
      </w:r>
    </w:p>
    <w:p w14:paraId="75252B79" w14:textId="63DFE519" w:rsidR="006F605B" w:rsidRPr="00DC66CD" w:rsidRDefault="002F2A1D" w:rsidP="002F2A1D">
      <w:pPr>
        <w:pStyle w:val="TEKSTIIII"/>
        <w:rPr>
          <w:rFonts w:eastAsia="SimSun"/>
        </w:rPr>
      </w:pPr>
      <w:r w:rsidRPr="00DC66CD">
        <w:rPr>
          <w:rFonts w:eastAsia="SimSun"/>
        </w:rPr>
        <w:t xml:space="preserve">b) </w:t>
      </w:r>
      <w:r w:rsidR="009B5769" w:rsidRPr="00DC66CD">
        <w:rPr>
          <w:rFonts w:eastAsia="SimSun"/>
        </w:rPr>
        <w:t xml:space="preserve">zbatimi </w:t>
      </w:r>
      <w:r w:rsidR="006F605B" w:rsidRPr="00DC66CD">
        <w:rPr>
          <w:rFonts w:eastAsia="SimSun"/>
        </w:rPr>
        <w:t xml:space="preserve">i skemës </w:t>
      </w:r>
      <w:r w:rsidR="009B5769" w:rsidRPr="00DC66CD">
        <w:rPr>
          <w:rFonts w:eastAsia="SimSun"/>
        </w:rPr>
        <w:t>s</w:t>
      </w:r>
      <w:r w:rsidR="006F605B" w:rsidRPr="00DC66CD">
        <w:rPr>
          <w:rFonts w:eastAsia="SimSun"/>
        </w:rPr>
        <w:t>ë debitimit direkt ndërbankar</w:t>
      </w:r>
      <w:r w:rsidR="009B5769" w:rsidRPr="00DC66CD">
        <w:rPr>
          <w:rFonts w:eastAsia="SimSun"/>
        </w:rPr>
        <w:t>;</w:t>
      </w:r>
    </w:p>
    <w:p w14:paraId="2E01B9BE" w14:textId="75E88485" w:rsidR="006F605B" w:rsidRPr="00DC66CD" w:rsidRDefault="002F2A1D" w:rsidP="002F2A1D">
      <w:pPr>
        <w:pStyle w:val="TEKSTIIII"/>
        <w:rPr>
          <w:rFonts w:eastAsia="SimSun"/>
        </w:rPr>
      </w:pPr>
      <w:r w:rsidRPr="00DC66CD">
        <w:rPr>
          <w:rFonts w:eastAsia="SimSun"/>
        </w:rPr>
        <w:t xml:space="preserve">c) </w:t>
      </w:r>
      <w:r w:rsidR="009B5769" w:rsidRPr="00DC66CD">
        <w:rPr>
          <w:rFonts w:eastAsia="SimSun"/>
        </w:rPr>
        <w:t xml:space="preserve">vendosja </w:t>
      </w:r>
      <w:r w:rsidR="006F605B" w:rsidRPr="00DC66CD">
        <w:rPr>
          <w:rFonts w:eastAsia="SimSun"/>
        </w:rPr>
        <w:t xml:space="preserve">e një sistemi për shlyerjen e </w:t>
      </w:r>
      <w:r w:rsidR="009B5769" w:rsidRPr="00DC66CD">
        <w:rPr>
          <w:rFonts w:eastAsia="SimSun"/>
        </w:rPr>
        <w:t xml:space="preserve">pagesave në euro për </w:t>
      </w:r>
      <w:r w:rsidR="006F605B" w:rsidRPr="00DC66CD">
        <w:rPr>
          <w:rFonts w:eastAsia="SimSun"/>
        </w:rPr>
        <w:t>pagesat kombëtare</w:t>
      </w:r>
      <w:r w:rsidR="009B5769" w:rsidRPr="00DC66CD">
        <w:rPr>
          <w:rFonts w:eastAsia="SimSun"/>
        </w:rPr>
        <w:t>;</w:t>
      </w:r>
    </w:p>
    <w:p w14:paraId="133F805F" w14:textId="41085993" w:rsidR="006F605B" w:rsidRPr="00DC66CD" w:rsidRDefault="002F2A1D" w:rsidP="002F2A1D">
      <w:pPr>
        <w:pStyle w:val="TEKSTIIII"/>
        <w:rPr>
          <w:rFonts w:eastAsia="SimSun"/>
        </w:rPr>
      </w:pPr>
      <w:r w:rsidRPr="00DC66CD">
        <w:rPr>
          <w:rFonts w:eastAsia="SimSun"/>
        </w:rPr>
        <w:t xml:space="preserve">d) </w:t>
      </w:r>
      <w:r w:rsidR="009B5769" w:rsidRPr="00DC66CD">
        <w:rPr>
          <w:rFonts w:eastAsia="SimSun"/>
        </w:rPr>
        <w:t xml:space="preserve">operacionalizimi </w:t>
      </w:r>
      <w:r w:rsidR="006F605B" w:rsidRPr="00DC66CD">
        <w:rPr>
          <w:rFonts w:eastAsia="SimSun"/>
        </w:rPr>
        <w:t xml:space="preserve">i kategorisë së </w:t>
      </w:r>
      <w:r w:rsidR="002A29AD" w:rsidRPr="00DC66CD">
        <w:rPr>
          <w:rFonts w:eastAsia="SimSun"/>
        </w:rPr>
        <w:t>“</w:t>
      </w:r>
      <w:r w:rsidR="006F605B" w:rsidRPr="00DC66CD">
        <w:rPr>
          <w:rFonts w:eastAsia="SimSun"/>
        </w:rPr>
        <w:t xml:space="preserve"> Pjesëmarrësve jo të drejtpërdrejtë</w:t>
      </w:r>
      <w:r w:rsidR="002A29AD" w:rsidRPr="00DC66CD">
        <w:rPr>
          <w:rFonts w:eastAsia="SimSun"/>
        </w:rPr>
        <w:t>”</w:t>
      </w:r>
      <w:r w:rsidR="006F605B" w:rsidRPr="00DC66CD">
        <w:rPr>
          <w:rFonts w:eastAsia="SimSun"/>
        </w:rPr>
        <w:t xml:space="preserve"> në sistemin AECH.</w:t>
      </w:r>
    </w:p>
    <w:p w14:paraId="75660553" w14:textId="731F2EF2" w:rsidR="006F605B" w:rsidRPr="00DC66CD" w:rsidRDefault="002F2A1D" w:rsidP="002F2A1D">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65E736A3" w14:textId="083F83AC" w:rsidR="006F605B" w:rsidRPr="00DC66CD" w:rsidRDefault="002F2A1D" w:rsidP="002F2A1D">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9B5769" w:rsidRPr="00DC66CD">
        <w:rPr>
          <w:rFonts w:ascii="Garamond" w:hAnsi="Garamond" w:cs="Times New Roman"/>
          <w:b/>
          <w:sz w:val="24"/>
          <w:szCs w:val="24"/>
        </w:rPr>
        <w:t>-</w:t>
      </w:r>
      <w:r w:rsidR="00F4678C" w:rsidRPr="00DC66CD">
        <w:rPr>
          <w:rFonts w:ascii="Garamond" w:hAnsi="Garamond" w:cs="Times New Roman"/>
          <w:b/>
          <w:sz w:val="24"/>
          <w:szCs w:val="24"/>
        </w:rPr>
        <w:t>ën:</w:t>
      </w:r>
    </w:p>
    <w:p w14:paraId="72280439" w14:textId="2B3F87DC" w:rsidR="006F605B" w:rsidRPr="00DC66CD" w:rsidRDefault="002F2A1D" w:rsidP="002F2A1D">
      <w:pPr>
        <w:pStyle w:val="TEKSTIIII"/>
      </w:pPr>
      <w:r w:rsidRPr="00DC66CD">
        <w:rPr>
          <w:rFonts w:eastAsia="SimSun"/>
        </w:rPr>
        <w:t>-</w:t>
      </w:r>
      <w:r w:rsidR="00D31907" w:rsidRPr="00DC66CD">
        <w:rPr>
          <w:rFonts w:eastAsia="SimSun"/>
        </w:rPr>
        <w:t xml:space="preserve"> </w:t>
      </w:r>
      <w:r w:rsidR="00F4678C" w:rsidRPr="00DC66CD">
        <w:rPr>
          <w:rFonts w:eastAsia="SimSun"/>
        </w:rPr>
        <w:t>h</w:t>
      </w:r>
      <w:r w:rsidR="006F605B" w:rsidRPr="00DC66CD">
        <w:rPr>
          <w:rFonts w:eastAsia="SimSun"/>
        </w:rPr>
        <w:t xml:space="preserve">yrja në fuqi e </w:t>
      </w:r>
      <w:r w:rsidR="00D31907" w:rsidRPr="00DC66CD">
        <w:rPr>
          <w:rFonts w:eastAsia="SimSun"/>
        </w:rPr>
        <w:t>l</w:t>
      </w:r>
      <w:r w:rsidR="006F605B" w:rsidRPr="00DC66CD">
        <w:rPr>
          <w:rFonts w:eastAsia="SimSun"/>
        </w:rPr>
        <w:t>igjit</w:t>
      </w:r>
      <w:r w:rsidR="00D31907" w:rsidRPr="00DC66CD">
        <w:rPr>
          <w:rFonts w:eastAsia="SimSun"/>
        </w:rPr>
        <w:t xml:space="preserve"> “Mbi </w:t>
      </w:r>
      <w:r w:rsidR="006F605B" w:rsidRPr="00DC66CD">
        <w:rPr>
          <w:rFonts w:eastAsia="SimSun"/>
        </w:rPr>
        <w:t>shërbimet e pagesave</w:t>
      </w:r>
      <w:r w:rsidR="002A29AD" w:rsidRPr="00DC66CD">
        <w:rPr>
          <w:rFonts w:eastAsia="SimSun"/>
        </w:rPr>
        <w:t>”</w:t>
      </w:r>
      <w:r w:rsidR="00F4678C" w:rsidRPr="00DC66CD">
        <w:rPr>
          <w:rFonts w:eastAsia="SimSun"/>
        </w:rPr>
        <w:t>,</w:t>
      </w:r>
      <w:r w:rsidR="006F605B" w:rsidRPr="00DC66CD">
        <w:rPr>
          <w:rFonts w:eastAsia="SimSun"/>
        </w:rPr>
        <w:t xml:space="preserve"> i cili transpozon direktivën e ndryshuar </w:t>
      </w:r>
      <w:r w:rsidR="00D31907" w:rsidRPr="00DC66CD">
        <w:rPr>
          <w:rFonts w:eastAsia="SimSun"/>
        </w:rPr>
        <w:t>ev</w:t>
      </w:r>
      <w:r w:rsidR="00F4678C" w:rsidRPr="00DC66CD">
        <w:rPr>
          <w:rFonts w:eastAsia="SimSun"/>
        </w:rPr>
        <w:t>ropiane 2015/2366</w:t>
      </w:r>
      <w:r w:rsidR="006F605B" w:rsidRPr="00DC66CD">
        <w:rPr>
          <w:rFonts w:eastAsia="SimSun"/>
        </w:rPr>
        <w:t xml:space="preserve"> dhe hartimi e aprovimi/miratimi i akteve nënligjore për këtë ligj;</w:t>
      </w:r>
    </w:p>
    <w:p w14:paraId="0436E5F6" w14:textId="1E674196" w:rsidR="006F605B" w:rsidRPr="00DC66CD" w:rsidRDefault="002F2A1D" w:rsidP="002F2A1D">
      <w:pPr>
        <w:pStyle w:val="TEKSTIIII"/>
      </w:pPr>
      <w:r w:rsidRPr="00DC66CD">
        <w:rPr>
          <w:rFonts w:eastAsia="SimSun"/>
        </w:rPr>
        <w:t>-</w:t>
      </w:r>
      <w:r w:rsidR="00D31907" w:rsidRPr="00DC66CD">
        <w:rPr>
          <w:rFonts w:eastAsia="SimSun"/>
        </w:rPr>
        <w:t xml:space="preserve"> </w:t>
      </w:r>
      <w:r w:rsidR="00F4678C" w:rsidRPr="00DC66CD">
        <w:rPr>
          <w:rFonts w:eastAsia="SimSun"/>
        </w:rPr>
        <w:t>h</w:t>
      </w:r>
      <w:r w:rsidR="006F605B" w:rsidRPr="00DC66CD">
        <w:rPr>
          <w:rFonts w:eastAsia="SimSun"/>
        </w:rPr>
        <w:t xml:space="preserve">artimi i aktit ligjor që do të transpozojë </w:t>
      </w:r>
      <w:r w:rsidR="00D31907" w:rsidRPr="00DC66CD">
        <w:rPr>
          <w:rFonts w:eastAsia="SimSun"/>
        </w:rPr>
        <w:t>d</w:t>
      </w:r>
      <w:r w:rsidR="006F605B" w:rsidRPr="00DC66CD">
        <w:rPr>
          <w:rFonts w:eastAsia="SimSun"/>
        </w:rPr>
        <w:t xml:space="preserve">irektivën e </w:t>
      </w:r>
      <w:r w:rsidR="00D31907" w:rsidRPr="00DC66CD">
        <w:rPr>
          <w:rFonts w:eastAsia="SimSun"/>
        </w:rPr>
        <w:t>Bashkimit Evropian</w:t>
      </w:r>
      <w:r w:rsidR="006F605B" w:rsidRPr="00DC66CD">
        <w:rPr>
          <w:rFonts w:eastAsia="SimSun"/>
        </w:rPr>
        <w:t xml:space="preserve"> </w:t>
      </w:r>
      <w:r w:rsidR="002A29AD" w:rsidRPr="00DC66CD">
        <w:rPr>
          <w:rFonts w:eastAsia="SimSun"/>
        </w:rPr>
        <w:t>“</w:t>
      </w:r>
      <w:r w:rsidR="006F605B" w:rsidRPr="00DC66CD">
        <w:rPr>
          <w:rFonts w:eastAsia="SimSun"/>
        </w:rPr>
        <w:t xml:space="preserve">Mbi </w:t>
      </w:r>
      <w:r w:rsidR="00D31907" w:rsidRPr="00DC66CD">
        <w:rPr>
          <w:rFonts w:eastAsia="SimSun"/>
        </w:rPr>
        <w:t>llogarinë e pagesës”</w:t>
      </w:r>
      <w:r w:rsidR="00D42801" w:rsidRPr="00DC66CD">
        <w:rPr>
          <w:rFonts w:eastAsia="SimSun"/>
        </w:rPr>
        <w:t>;</w:t>
      </w:r>
    </w:p>
    <w:p w14:paraId="4920CD88" w14:textId="20B357D6" w:rsidR="006F605B" w:rsidRPr="00DC66CD" w:rsidRDefault="002F2A1D" w:rsidP="002F2A1D">
      <w:pPr>
        <w:pStyle w:val="TEKSTIIII"/>
        <w:rPr>
          <w:rFonts w:eastAsia="SimSun"/>
        </w:rPr>
      </w:pPr>
      <w:r w:rsidRPr="00DC66CD">
        <w:rPr>
          <w:rFonts w:eastAsia="SimSun"/>
        </w:rPr>
        <w:t>-</w:t>
      </w:r>
      <w:r w:rsidR="00D31907" w:rsidRPr="00DC66CD">
        <w:rPr>
          <w:rFonts w:eastAsia="SimSun"/>
        </w:rPr>
        <w:t xml:space="preserve"> </w:t>
      </w:r>
      <w:r w:rsidR="00F4678C" w:rsidRPr="00DC66CD">
        <w:rPr>
          <w:rFonts w:eastAsia="SimSun"/>
        </w:rPr>
        <w:t>a</w:t>
      </w:r>
      <w:r w:rsidR="006F605B" w:rsidRPr="00DC66CD">
        <w:rPr>
          <w:rFonts w:eastAsia="SimSun"/>
        </w:rPr>
        <w:t>provimi i ndryshimeve rregullative dhe në infrastrukturë për skemën e debitimit direkt ndërbankar</w:t>
      </w:r>
      <w:r w:rsidR="00D42801" w:rsidRPr="00DC66CD">
        <w:rPr>
          <w:rFonts w:eastAsia="SimSun"/>
        </w:rPr>
        <w:t>;</w:t>
      </w:r>
    </w:p>
    <w:p w14:paraId="0A79B8F8" w14:textId="47E4A87B" w:rsidR="006F605B" w:rsidRPr="00DC66CD" w:rsidRDefault="002F2A1D" w:rsidP="002F2A1D">
      <w:pPr>
        <w:pStyle w:val="TEKSTIIII"/>
        <w:rPr>
          <w:rFonts w:eastAsia="SimSun"/>
        </w:rPr>
      </w:pPr>
      <w:r w:rsidRPr="00DC66CD">
        <w:rPr>
          <w:rFonts w:eastAsia="SimSun"/>
        </w:rPr>
        <w:t>-</w:t>
      </w:r>
      <w:r w:rsidR="00D31907" w:rsidRPr="00DC66CD">
        <w:rPr>
          <w:rFonts w:eastAsia="SimSun"/>
        </w:rPr>
        <w:t xml:space="preserve"> </w:t>
      </w:r>
      <w:r w:rsidR="00F4678C" w:rsidRPr="00DC66CD">
        <w:rPr>
          <w:rFonts w:eastAsia="SimSun"/>
        </w:rPr>
        <w:t>z</w:t>
      </w:r>
      <w:r w:rsidR="006F605B" w:rsidRPr="00DC66CD">
        <w:rPr>
          <w:rFonts w:eastAsia="SimSun"/>
        </w:rPr>
        <w:t>batimi i sistemit për shlyerjen e transfertave në euro për pagesat kombëtare.</w:t>
      </w:r>
    </w:p>
    <w:p w14:paraId="7AB9BE68" w14:textId="504CE4F1" w:rsidR="006F605B" w:rsidRPr="00DC66CD" w:rsidRDefault="00D42801" w:rsidP="002F2A1D">
      <w:pPr>
        <w:pStyle w:val="TEKSTIIII"/>
        <w:rPr>
          <w:rFonts w:eastAsia="SimSun"/>
        </w:rPr>
      </w:pPr>
      <w:r w:rsidRPr="00DC66CD">
        <w:rPr>
          <w:rFonts w:eastAsia="SimSun"/>
        </w:rPr>
        <w:t>- a</w:t>
      </w:r>
      <w:r w:rsidR="006F605B" w:rsidRPr="00DC66CD">
        <w:rPr>
          <w:rFonts w:eastAsia="SimSun"/>
        </w:rPr>
        <w:t xml:space="preserve">provimi i ndryshimeve rregullative dhe në infrastrukturë për </w:t>
      </w:r>
      <w:r w:rsidR="002A29AD" w:rsidRPr="00DC66CD">
        <w:rPr>
          <w:rFonts w:eastAsia="SimSun"/>
        </w:rPr>
        <w:t>“</w:t>
      </w:r>
      <w:r w:rsidR="006F605B" w:rsidRPr="00DC66CD">
        <w:rPr>
          <w:rFonts w:eastAsia="SimSun"/>
        </w:rPr>
        <w:t>pjesëmarrjen e jo të drejtpërdrejtë</w:t>
      </w:r>
      <w:r w:rsidR="002A29AD" w:rsidRPr="00DC66CD">
        <w:rPr>
          <w:rFonts w:eastAsia="SimSun"/>
        </w:rPr>
        <w:t>”</w:t>
      </w:r>
      <w:r w:rsidR="006F605B" w:rsidRPr="00DC66CD">
        <w:rPr>
          <w:rFonts w:eastAsia="SimSun"/>
        </w:rPr>
        <w:t xml:space="preserve"> në sistemin AECH</w:t>
      </w:r>
      <w:r w:rsidR="00F902D9" w:rsidRPr="00DC66CD">
        <w:rPr>
          <w:rFonts w:eastAsia="SimSun"/>
        </w:rPr>
        <w:t>;</w:t>
      </w:r>
    </w:p>
    <w:p w14:paraId="42CAA473" w14:textId="29F8F4D7" w:rsidR="006F605B" w:rsidRPr="00DC66CD" w:rsidRDefault="002F2A1D" w:rsidP="002F2A1D">
      <w:pPr>
        <w:pStyle w:val="TEKSTIIII"/>
      </w:pPr>
      <w:r w:rsidRPr="00DC66CD">
        <w:rPr>
          <w:rFonts w:eastAsia="SimSun"/>
        </w:rPr>
        <w:t>-</w:t>
      </w:r>
      <w:r w:rsidR="00D42801" w:rsidRPr="00DC66CD">
        <w:rPr>
          <w:rFonts w:eastAsia="SimSun"/>
        </w:rPr>
        <w:t xml:space="preserve"> s</w:t>
      </w:r>
      <w:r w:rsidR="006F605B" w:rsidRPr="00DC66CD">
        <w:rPr>
          <w:rFonts w:eastAsia="SimSun"/>
        </w:rPr>
        <w:t xml:space="preserve">tudimi i fizibilitetit për zbatimin e platformës kombëtare për </w:t>
      </w:r>
      <w:r w:rsidR="00D42801" w:rsidRPr="00DC66CD">
        <w:rPr>
          <w:rFonts w:eastAsia="SimSun"/>
        </w:rPr>
        <w:t>procesimin e kartave (SWITCH) /</w:t>
      </w:r>
      <w:r w:rsidR="006F605B" w:rsidRPr="00DC66CD">
        <w:rPr>
          <w:rFonts w:eastAsia="SimSun"/>
          <w:i/>
        </w:rPr>
        <w:t>instant payment</w:t>
      </w:r>
      <w:r w:rsidR="00D42801" w:rsidRPr="00DC66CD">
        <w:rPr>
          <w:rFonts w:eastAsia="SimSun"/>
        </w:rPr>
        <w:t>/</w:t>
      </w:r>
      <w:r w:rsidR="006F605B" w:rsidRPr="00DC66CD">
        <w:rPr>
          <w:rFonts w:eastAsia="SimSun"/>
        </w:rPr>
        <w:t>pagesave në kohë reale.</w:t>
      </w:r>
    </w:p>
    <w:p w14:paraId="7313B59A" w14:textId="34F6E865" w:rsidR="006F605B" w:rsidRPr="00DC66CD" w:rsidRDefault="002F2A1D" w:rsidP="002F2A1D">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F902D9" w:rsidRPr="00DC66CD">
        <w:rPr>
          <w:rFonts w:ascii="Garamond" w:hAnsi="Garamond" w:cs="Times New Roman"/>
          <w:b/>
          <w:sz w:val="24"/>
          <w:szCs w:val="24"/>
        </w:rPr>
        <w:t>-shin:</w:t>
      </w:r>
    </w:p>
    <w:p w14:paraId="562ACF61" w14:textId="013FB90F" w:rsidR="006F605B" w:rsidRPr="00DC66CD" w:rsidRDefault="002F2A1D" w:rsidP="002F2A1D">
      <w:pPr>
        <w:pStyle w:val="TEKSTIIII"/>
        <w:rPr>
          <w:rFonts w:eastAsia="SimSun"/>
        </w:rPr>
      </w:pPr>
      <w:r w:rsidRPr="00DC66CD">
        <w:rPr>
          <w:rFonts w:eastAsia="SimSun"/>
        </w:rPr>
        <w:t>-</w:t>
      </w:r>
      <w:r w:rsidR="00D31907" w:rsidRPr="00DC66CD">
        <w:rPr>
          <w:rFonts w:eastAsia="SimSun"/>
        </w:rPr>
        <w:t xml:space="preserve"> </w:t>
      </w:r>
      <w:r w:rsidR="00F902D9" w:rsidRPr="00DC66CD">
        <w:rPr>
          <w:rFonts w:eastAsia="SimSun"/>
        </w:rPr>
        <w:t>h</w:t>
      </w:r>
      <w:r w:rsidR="006F605B" w:rsidRPr="00DC66CD">
        <w:rPr>
          <w:rFonts w:eastAsia="SimSun"/>
        </w:rPr>
        <w:t xml:space="preserve">yrja në fuqi e akteve ligjore që transpozojnë </w:t>
      </w:r>
      <w:r w:rsidR="00F902D9" w:rsidRPr="00DC66CD">
        <w:rPr>
          <w:rFonts w:eastAsia="SimSun"/>
        </w:rPr>
        <w:t xml:space="preserve">direktivën </w:t>
      </w:r>
      <w:r w:rsidR="006F605B" w:rsidRPr="00DC66CD">
        <w:rPr>
          <w:rFonts w:eastAsia="SimSun"/>
        </w:rPr>
        <w:t xml:space="preserve">e </w:t>
      </w:r>
      <w:r w:rsidR="00D31907" w:rsidRPr="00DC66CD">
        <w:rPr>
          <w:rFonts w:eastAsia="SimSun"/>
        </w:rPr>
        <w:t xml:space="preserve">Bashkimit Evropian “Mbi </w:t>
      </w:r>
      <w:r w:rsidR="006F605B" w:rsidRPr="00DC66CD">
        <w:rPr>
          <w:rFonts w:eastAsia="SimSun"/>
        </w:rPr>
        <w:t xml:space="preserve">llogarinë e </w:t>
      </w:r>
      <w:r w:rsidR="00F902D9" w:rsidRPr="00DC66CD">
        <w:rPr>
          <w:rFonts w:eastAsia="SimSun"/>
        </w:rPr>
        <w:t>pagesës</w:t>
      </w:r>
      <w:r w:rsidR="002A29AD" w:rsidRPr="00DC66CD">
        <w:rPr>
          <w:rFonts w:eastAsia="SimSun"/>
        </w:rPr>
        <w:t>”</w:t>
      </w:r>
      <w:r w:rsidR="00F902D9" w:rsidRPr="00DC66CD">
        <w:rPr>
          <w:rFonts w:eastAsia="SimSun"/>
        </w:rPr>
        <w:t>;</w:t>
      </w:r>
    </w:p>
    <w:p w14:paraId="21BD8FE1" w14:textId="649B988C" w:rsidR="002F2A1D" w:rsidRPr="00DC66CD" w:rsidRDefault="002F2A1D" w:rsidP="002F2A1D">
      <w:pPr>
        <w:pStyle w:val="TEKSTIIII"/>
        <w:rPr>
          <w:rFonts w:eastAsia="SimSun"/>
        </w:rPr>
      </w:pPr>
      <w:r w:rsidRPr="00DC66CD">
        <w:rPr>
          <w:rFonts w:eastAsia="SimSun"/>
        </w:rPr>
        <w:t>-</w:t>
      </w:r>
      <w:r w:rsidR="00D31907" w:rsidRPr="00DC66CD">
        <w:rPr>
          <w:rFonts w:eastAsia="SimSun"/>
        </w:rPr>
        <w:t xml:space="preserve"> </w:t>
      </w:r>
      <w:r w:rsidR="00F902D9" w:rsidRPr="00DC66CD">
        <w:rPr>
          <w:rFonts w:eastAsia="SimSun"/>
        </w:rPr>
        <w:t>t</w:t>
      </w:r>
      <w:r w:rsidR="006F605B" w:rsidRPr="00DC66CD">
        <w:rPr>
          <w:rFonts w:eastAsia="SimSun"/>
        </w:rPr>
        <w:t xml:space="preserve">ermat e </w:t>
      </w:r>
      <w:r w:rsidR="00F902D9" w:rsidRPr="00DC66CD">
        <w:rPr>
          <w:rFonts w:eastAsia="SimSun"/>
        </w:rPr>
        <w:t xml:space="preserve">referencës </w:t>
      </w:r>
      <w:r w:rsidR="006F605B" w:rsidRPr="00DC66CD">
        <w:rPr>
          <w:rFonts w:eastAsia="SimSun"/>
        </w:rPr>
        <w:t>(TORs) dhe projekti për zbatimin e platformës kombëtare për procesimin e kartave (SWITCH) /</w:t>
      </w:r>
      <w:r w:rsidR="006F605B" w:rsidRPr="00DC66CD">
        <w:rPr>
          <w:rFonts w:eastAsia="SimSun"/>
          <w:i/>
        </w:rPr>
        <w:t>instant p</w:t>
      </w:r>
      <w:r w:rsidRPr="00DC66CD">
        <w:rPr>
          <w:rFonts w:eastAsia="SimSun"/>
          <w:i/>
        </w:rPr>
        <w:t>ayment</w:t>
      </w:r>
      <w:r w:rsidRPr="00DC66CD">
        <w:rPr>
          <w:rFonts w:eastAsia="SimSun"/>
        </w:rPr>
        <w:t>/pagesave në kohë reale.</w:t>
      </w:r>
    </w:p>
    <w:p w14:paraId="3704DBDF" w14:textId="40381384" w:rsidR="006F605B" w:rsidRPr="00DC66CD" w:rsidRDefault="002F2A1D" w:rsidP="002F2A1D">
      <w:pPr>
        <w:pStyle w:val="TEKSTIIII"/>
        <w:rPr>
          <w:rFonts w:eastAsia="SimSun"/>
        </w:rPr>
      </w:pPr>
      <w:r w:rsidRPr="00DC66CD">
        <w:rPr>
          <w:rFonts w:eastAsia="SimSun"/>
          <w:b/>
        </w:rPr>
        <w:t>b)</w:t>
      </w:r>
      <w:r w:rsidRPr="00DC66CD">
        <w:rPr>
          <w:rFonts w:eastAsia="SimSun"/>
        </w:rPr>
        <w:t xml:space="preserve"> </w:t>
      </w:r>
      <w:r w:rsidR="006F605B" w:rsidRPr="00DC66CD">
        <w:rPr>
          <w:rFonts w:cs="Times New Roman"/>
          <w:b/>
        </w:rPr>
        <w:t>Aktivitetet e planifikuara</w:t>
      </w:r>
      <w:r w:rsidR="00433A3A" w:rsidRPr="00DC66CD">
        <w:rPr>
          <w:rFonts w:cs="Times New Roman"/>
          <w:b/>
        </w:rPr>
        <w:t xml:space="preserve"> më 2022</w:t>
      </w:r>
      <w:r w:rsidR="00F902D9" w:rsidRPr="00DC66CD">
        <w:rPr>
          <w:rFonts w:cs="Times New Roman"/>
          <w:b/>
        </w:rPr>
        <w:t>-shin:</w:t>
      </w:r>
    </w:p>
    <w:p w14:paraId="5073C983" w14:textId="1D86ED18" w:rsidR="006F605B" w:rsidRPr="00DC66CD" w:rsidRDefault="002F2A1D" w:rsidP="002F2A1D">
      <w:pPr>
        <w:pStyle w:val="TEKSTIIII"/>
      </w:pPr>
      <w:r w:rsidRPr="00DC66CD">
        <w:rPr>
          <w:rFonts w:eastAsia="SimSun"/>
        </w:rPr>
        <w:t>-</w:t>
      </w:r>
      <w:r w:rsidR="00D31907" w:rsidRPr="00DC66CD">
        <w:rPr>
          <w:rFonts w:eastAsia="SimSun"/>
        </w:rPr>
        <w:t xml:space="preserve"> </w:t>
      </w:r>
      <w:r w:rsidR="00F902D9" w:rsidRPr="00DC66CD">
        <w:rPr>
          <w:rFonts w:eastAsia="SimSun"/>
        </w:rPr>
        <w:t>implementimi</w:t>
      </w:r>
      <w:r w:rsidR="006F605B" w:rsidRPr="00DC66CD">
        <w:rPr>
          <w:rFonts w:eastAsia="SimSun"/>
        </w:rPr>
        <w:t>/zbatimi i një platforme kombëtare të procesimit të kartave (SWITCH)/</w:t>
      </w:r>
      <w:r w:rsidR="006F605B" w:rsidRPr="00DC66CD">
        <w:rPr>
          <w:rFonts w:eastAsia="SimSun"/>
          <w:i/>
        </w:rPr>
        <w:t>instant payment</w:t>
      </w:r>
      <w:r w:rsidR="006F605B" w:rsidRPr="00DC66CD">
        <w:rPr>
          <w:rFonts w:eastAsia="SimSun"/>
        </w:rPr>
        <w:t>/ pagesave në kohë reale.</w:t>
      </w:r>
    </w:p>
    <w:p w14:paraId="63DEC020" w14:textId="785B55D9" w:rsidR="006F605B" w:rsidRPr="00DC66CD" w:rsidRDefault="002F2A1D" w:rsidP="002F2A1D">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3"/>
        <w:gridCol w:w="2314"/>
        <w:gridCol w:w="2296"/>
      </w:tblGrid>
      <w:tr w:rsidR="00F902D9" w:rsidRPr="00DC66CD" w14:paraId="00A406CC" w14:textId="77777777" w:rsidTr="00F902D9">
        <w:trPr>
          <w:jc w:val="center"/>
        </w:trPr>
        <w:tc>
          <w:tcPr>
            <w:tcW w:w="2405" w:type="dxa"/>
            <w:vAlign w:val="center"/>
          </w:tcPr>
          <w:p w14:paraId="737D72E0" w14:textId="77777777" w:rsidR="006F605B" w:rsidRPr="00DC66CD" w:rsidRDefault="006F605B" w:rsidP="00F902D9">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2405" w:type="dxa"/>
            <w:vAlign w:val="center"/>
          </w:tcPr>
          <w:p w14:paraId="2EACE0C1" w14:textId="77777777" w:rsidR="006F605B" w:rsidRPr="00DC66CD" w:rsidRDefault="006F605B" w:rsidP="00F902D9">
            <w:pPr>
              <w:snapToGrid w:val="0"/>
              <w:spacing w:after="0" w:line="240" w:lineRule="auto"/>
              <w:jc w:val="center"/>
              <w:rPr>
                <w:rFonts w:ascii="Garamond" w:hAnsi="Garamond"/>
                <w:b/>
                <w:sz w:val="20"/>
                <w:szCs w:val="20"/>
              </w:rPr>
            </w:pPr>
            <w:r w:rsidRPr="00DC66CD">
              <w:rPr>
                <w:rFonts w:ascii="Garamond" w:hAnsi="Garamond"/>
                <w:b/>
                <w:sz w:val="20"/>
                <w:szCs w:val="20"/>
              </w:rPr>
              <w:t>Bazë (viti)</w:t>
            </w:r>
          </w:p>
        </w:tc>
        <w:tc>
          <w:tcPr>
            <w:tcW w:w="2406" w:type="dxa"/>
            <w:vAlign w:val="center"/>
          </w:tcPr>
          <w:p w14:paraId="39371CD0" w14:textId="32F64B5C" w:rsidR="006F605B" w:rsidRPr="00DC66CD" w:rsidRDefault="00C27435" w:rsidP="00F902D9">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(viti)</w:t>
            </w:r>
          </w:p>
        </w:tc>
        <w:tc>
          <w:tcPr>
            <w:tcW w:w="2406" w:type="dxa"/>
            <w:vAlign w:val="center"/>
          </w:tcPr>
          <w:p w14:paraId="12592318" w14:textId="77777777" w:rsidR="006F605B" w:rsidRPr="00DC66CD" w:rsidRDefault="006F605B" w:rsidP="00F902D9">
            <w:pPr>
              <w:snapToGrid w:val="0"/>
              <w:spacing w:after="0" w:line="240" w:lineRule="auto"/>
              <w:jc w:val="center"/>
              <w:rPr>
                <w:rFonts w:ascii="Garamond" w:hAnsi="Garamond"/>
                <w:b/>
                <w:sz w:val="20"/>
                <w:szCs w:val="20"/>
              </w:rPr>
            </w:pPr>
            <w:r w:rsidRPr="00DC66CD">
              <w:rPr>
                <w:rFonts w:ascii="Garamond" w:hAnsi="Garamond"/>
                <w:b/>
                <w:sz w:val="20"/>
                <w:szCs w:val="20"/>
              </w:rPr>
              <w:t>Objektivi (viti)</w:t>
            </w:r>
          </w:p>
        </w:tc>
      </w:tr>
      <w:tr w:rsidR="00F902D9" w:rsidRPr="00DC66CD" w14:paraId="04B34B9E" w14:textId="77777777" w:rsidTr="00F902D9">
        <w:trPr>
          <w:jc w:val="center"/>
        </w:trPr>
        <w:tc>
          <w:tcPr>
            <w:tcW w:w="2405" w:type="dxa"/>
          </w:tcPr>
          <w:p w14:paraId="2FA560A1" w14:textId="55BB9BB3" w:rsidR="006F605B" w:rsidRPr="00DC66CD" w:rsidRDefault="006F605B" w:rsidP="00D31907">
            <w:pPr>
              <w:snapToGrid w:val="0"/>
              <w:spacing w:after="0" w:line="240" w:lineRule="auto"/>
              <w:rPr>
                <w:rFonts w:ascii="Garamond" w:hAnsi="Garamond"/>
                <w:sz w:val="20"/>
                <w:szCs w:val="20"/>
              </w:rPr>
            </w:pPr>
            <w:r w:rsidRPr="00DC66CD">
              <w:rPr>
                <w:rFonts w:ascii="Garamond" w:eastAsia="SimSun" w:hAnsi="Garamond"/>
                <w:sz w:val="20"/>
                <w:szCs w:val="20"/>
              </w:rPr>
              <w:t xml:space="preserve">Hyrja në fuqi e </w:t>
            </w:r>
            <w:r w:rsidR="00D31907" w:rsidRPr="00DC66CD">
              <w:rPr>
                <w:rFonts w:ascii="Garamond" w:eastAsia="SimSun" w:hAnsi="Garamond"/>
                <w:sz w:val="20"/>
                <w:szCs w:val="20"/>
              </w:rPr>
              <w:t>l</w:t>
            </w:r>
            <w:r w:rsidRPr="00DC66CD">
              <w:rPr>
                <w:rFonts w:ascii="Garamond" w:eastAsia="SimSun" w:hAnsi="Garamond"/>
                <w:sz w:val="20"/>
                <w:szCs w:val="20"/>
              </w:rPr>
              <w:t xml:space="preserve">igjit </w:t>
            </w:r>
            <w:r w:rsidR="002A29AD" w:rsidRPr="00DC66CD">
              <w:rPr>
                <w:rFonts w:ascii="Garamond" w:eastAsia="SimSun" w:hAnsi="Garamond"/>
                <w:sz w:val="20"/>
                <w:szCs w:val="20"/>
              </w:rPr>
              <w:t>“</w:t>
            </w:r>
            <w:r w:rsidRPr="00DC66CD">
              <w:rPr>
                <w:rFonts w:ascii="Garamond" w:eastAsia="SimSun" w:hAnsi="Garamond"/>
                <w:sz w:val="20"/>
                <w:szCs w:val="20"/>
              </w:rPr>
              <w:t xml:space="preserve">Mbi </w:t>
            </w:r>
            <w:r w:rsidR="00D31907" w:rsidRPr="00DC66CD">
              <w:rPr>
                <w:rFonts w:ascii="Garamond" w:eastAsia="SimSun" w:hAnsi="Garamond"/>
                <w:sz w:val="20"/>
                <w:szCs w:val="20"/>
              </w:rPr>
              <w:t>s</w:t>
            </w:r>
            <w:r w:rsidRPr="00DC66CD">
              <w:rPr>
                <w:rFonts w:ascii="Garamond" w:eastAsia="SimSun" w:hAnsi="Garamond"/>
                <w:sz w:val="20"/>
                <w:szCs w:val="20"/>
              </w:rPr>
              <w:t xml:space="preserve">hërbimet e </w:t>
            </w:r>
            <w:r w:rsidR="00D31907" w:rsidRPr="00DC66CD">
              <w:rPr>
                <w:rFonts w:ascii="Garamond" w:eastAsia="SimSun" w:hAnsi="Garamond"/>
                <w:sz w:val="20"/>
                <w:szCs w:val="20"/>
              </w:rPr>
              <w:t>p</w:t>
            </w:r>
            <w:r w:rsidRPr="00DC66CD">
              <w:rPr>
                <w:rFonts w:ascii="Garamond" w:eastAsia="SimSun" w:hAnsi="Garamond"/>
                <w:sz w:val="20"/>
                <w:szCs w:val="20"/>
              </w:rPr>
              <w:t>agesave</w:t>
            </w:r>
            <w:r w:rsidR="002A29AD" w:rsidRPr="00DC66CD">
              <w:rPr>
                <w:rFonts w:ascii="Garamond" w:eastAsia="SimSun" w:hAnsi="Garamond"/>
                <w:sz w:val="20"/>
                <w:szCs w:val="20"/>
              </w:rPr>
              <w:t>”</w:t>
            </w:r>
          </w:p>
        </w:tc>
        <w:tc>
          <w:tcPr>
            <w:tcW w:w="2405" w:type="dxa"/>
          </w:tcPr>
          <w:p w14:paraId="2AF34216" w14:textId="77777777" w:rsidR="00F902D9" w:rsidRPr="00DC66CD" w:rsidRDefault="006F605B" w:rsidP="002F2A1D">
            <w:pPr>
              <w:snapToGrid w:val="0"/>
              <w:spacing w:after="0" w:line="240" w:lineRule="auto"/>
              <w:rPr>
                <w:rFonts w:ascii="Garamond" w:hAnsi="Garamond"/>
                <w:sz w:val="20"/>
                <w:szCs w:val="20"/>
              </w:rPr>
            </w:pPr>
            <w:r w:rsidRPr="00DC66CD">
              <w:rPr>
                <w:rFonts w:ascii="Garamond" w:hAnsi="Garamond"/>
                <w:sz w:val="20"/>
                <w:szCs w:val="20"/>
              </w:rPr>
              <w:t xml:space="preserve">Aprovimi i ligjit </w:t>
            </w:r>
          </w:p>
          <w:p w14:paraId="7678D3E2" w14:textId="513B1591" w:rsidR="006F605B" w:rsidRPr="00DC66CD" w:rsidRDefault="006F605B" w:rsidP="002F2A1D">
            <w:pPr>
              <w:snapToGrid w:val="0"/>
              <w:spacing w:after="0" w:line="240" w:lineRule="auto"/>
              <w:rPr>
                <w:rFonts w:ascii="Garamond" w:hAnsi="Garamond"/>
                <w:sz w:val="20"/>
                <w:szCs w:val="20"/>
              </w:rPr>
            </w:pPr>
            <w:r w:rsidRPr="00DC66CD">
              <w:rPr>
                <w:rFonts w:ascii="Garamond" w:hAnsi="Garamond"/>
                <w:sz w:val="20"/>
                <w:szCs w:val="20"/>
              </w:rPr>
              <w:t xml:space="preserve">(tremujori i 2020) </w:t>
            </w:r>
          </w:p>
        </w:tc>
        <w:tc>
          <w:tcPr>
            <w:tcW w:w="2406" w:type="dxa"/>
          </w:tcPr>
          <w:p w14:paraId="146570D0" w14:textId="1D6E1F0D" w:rsidR="006F605B" w:rsidRPr="00DC66CD" w:rsidRDefault="006F605B" w:rsidP="00D31907">
            <w:pPr>
              <w:snapToGrid w:val="0"/>
              <w:spacing w:after="0" w:line="240" w:lineRule="auto"/>
              <w:rPr>
                <w:rFonts w:ascii="Garamond" w:hAnsi="Garamond"/>
                <w:sz w:val="20"/>
                <w:szCs w:val="20"/>
              </w:rPr>
            </w:pPr>
            <w:r w:rsidRPr="00DC66CD">
              <w:rPr>
                <w:rFonts w:ascii="Garamond" w:hAnsi="Garamond"/>
                <w:sz w:val="20"/>
                <w:szCs w:val="20"/>
              </w:rPr>
              <w:t xml:space="preserve">Krijimi i akteve nënligjore në zbatim të </w:t>
            </w:r>
            <w:r w:rsidR="00D31907" w:rsidRPr="00DC66CD">
              <w:rPr>
                <w:rFonts w:ascii="Garamond" w:hAnsi="Garamond"/>
                <w:sz w:val="20"/>
                <w:szCs w:val="20"/>
              </w:rPr>
              <w:t>l</w:t>
            </w:r>
            <w:r w:rsidRPr="00DC66CD">
              <w:rPr>
                <w:rFonts w:ascii="Garamond" w:hAnsi="Garamond"/>
                <w:sz w:val="20"/>
                <w:szCs w:val="20"/>
              </w:rPr>
              <w:t xml:space="preserve">igjit </w:t>
            </w:r>
          </w:p>
        </w:tc>
        <w:tc>
          <w:tcPr>
            <w:tcW w:w="2406" w:type="dxa"/>
          </w:tcPr>
          <w:p w14:paraId="12A5A66B" w14:textId="252A9DCA" w:rsidR="006F605B" w:rsidRPr="00DC66CD" w:rsidRDefault="006F605B" w:rsidP="002F2A1D">
            <w:pPr>
              <w:snapToGrid w:val="0"/>
              <w:spacing w:after="0" w:line="240" w:lineRule="auto"/>
              <w:rPr>
                <w:rFonts w:ascii="Garamond" w:hAnsi="Garamond"/>
                <w:sz w:val="20"/>
                <w:szCs w:val="20"/>
              </w:rPr>
            </w:pPr>
            <w:r w:rsidRPr="00DC66CD">
              <w:rPr>
                <w:rFonts w:ascii="Garamond" w:hAnsi="Garamond"/>
                <w:sz w:val="20"/>
                <w:szCs w:val="20"/>
              </w:rPr>
              <w:t xml:space="preserve">Zbatimi </w:t>
            </w:r>
            <w:r w:rsidR="00D31907" w:rsidRPr="00DC66CD">
              <w:rPr>
                <w:rFonts w:ascii="Garamond" w:hAnsi="Garamond"/>
                <w:sz w:val="20"/>
                <w:szCs w:val="20"/>
              </w:rPr>
              <w:t>final i ligjit</w:t>
            </w:r>
          </w:p>
          <w:p w14:paraId="77EE1BF4" w14:textId="77777777" w:rsidR="006F605B" w:rsidRPr="00DC66CD" w:rsidRDefault="006F605B" w:rsidP="002F2A1D">
            <w:pPr>
              <w:snapToGrid w:val="0"/>
              <w:spacing w:after="0" w:line="240" w:lineRule="auto"/>
              <w:rPr>
                <w:rFonts w:ascii="Garamond" w:hAnsi="Garamond"/>
                <w:sz w:val="20"/>
                <w:szCs w:val="20"/>
              </w:rPr>
            </w:pPr>
          </w:p>
        </w:tc>
      </w:tr>
      <w:tr w:rsidR="00F902D9" w:rsidRPr="00DC66CD" w14:paraId="1964969B" w14:textId="77777777" w:rsidTr="00F902D9">
        <w:trPr>
          <w:jc w:val="center"/>
        </w:trPr>
        <w:tc>
          <w:tcPr>
            <w:tcW w:w="2405" w:type="dxa"/>
          </w:tcPr>
          <w:p w14:paraId="6D689622" w14:textId="46296008" w:rsidR="006F605B" w:rsidRPr="00DC66CD" w:rsidRDefault="006F605B" w:rsidP="002F2A1D">
            <w:pPr>
              <w:snapToGrid w:val="0"/>
              <w:spacing w:after="0" w:line="240" w:lineRule="auto"/>
              <w:rPr>
                <w:rFonts w:ascii="Garamond" w:hAnsi="Garamond"/>
                <w:sz w:val="20"/>
                <w:szCs w:val="20"/>
              </w:rPr>
            </w:pPr>
            <w:r w:rsidRPr="00DC66CD">
              <w:rPr>
                <w:rFonts w:ascii="Garamond" w:eastAsia="SimSun" w:hAnsi="Garamond"/>
                <w:sz w:val="20"/>
                <w:szCs w:val="20"/>
              </w:rPr>
              <w:t xml:space="preserve">Hartimi i një akti ligjor që do të transpozojë direktivën e Bashkimit Evropian </w:t>
            </w:r>
            <w:r w:rsidR="002A29AD" w:rsidRPr="00DC66CD">
              <w:rPr>
                <w:rFonts w:ascii="Garamond" w:eastAsia="SimSun" w:hAnsi="Garamond"/>
                <w:sz w:val="20"/>
                <w:szCs w:val="20"/>
              </w:rPr>
              <w:t>“</w:t>
            </w:r>
            <w:r w:rsidRPr="00DC66CD">
              <w:rPr>
                <w:rFonts w:ascii="Garamond" w:eastAsia="SimSun" w:hAnsi="Garamond"/>
                <w:sz w:val="20"/>
                <w:szCs w:val="20"/>
              </w:rPr>
              <w:t>Për llogarinë e pagesës</w:t>
            </w:r>
            <w:r w:rsidR="002A29AD" w:rsidRPr="00DC66CD">
              <w:rPr>
                <w:rFonts w:ascii="Garamond" w:eastAsia="SimSun" w:hAnsi="Garamond"/>
                <w:sz w:val="20"/>
                <w:szCs w:val="20"/>
              </w:rPr>
              <w:t>”</w:t>
            </w:r>
            <w:r w:rsidR="00F902D9" w:rsidRPr="00DC66CD">
              <w:rPr>
                <w:rFonts w:ascii="Garamond" w:eastAsia="SimSun" w:hAnsi="Garamond"/>
                <w:sz w:val="20"/>
                <w:szCs w:val="20"/>
              </w:rPr>
              <w:t>, brenda vitit 2021</w:t>
            </w:r>
          </w:p>
        </w:tc>
        <w:tc>
          <w:tcPr>
            <w:tcW w:w="2405" w:type="dxa"/>
          </w:tcPr>
          <w:p w14:paraId="605476DC" w14:textId="77777777" w:rsidR="006F605B" w:rsidRPr="00DC66CD" w:rsidRDefault="006F605B" w:rsidP="002F2A1D">
            <w:pPr>
              <w:snapToGrid w:val="0"/>
              <w:spacing w:after="0" w:line="240" w:lineRule="auto"/>
              <w:rPr>
                <w:rFonts w:ascii="Garamond" w:hAnsi="Garamond"/>
                <w:sz w:val="20"/>
                <w:szCs w:val="20"/>
              </w:rPr>
            </w:pPr>
            <w:r w:rsidRPr="00DC66CD">
              <w:rPr>
                <w:rFonts w:ascii="Garamond" w:hAnsi="Garamond"/>
                <w:sz w:val="20"/>
                <w:szCs w:val="20"/>
              </w:rPr>
              <w:t>Hartimi i aktit ligjor (2020)</w:t>
            </w:r>
          </w:p>
        </w:tc>
        <w:tc>
          <w:tcPr>
            <w:tcW w:w="2406" w:type="dxa"/>
          </w:tcPr>
          <w:p w14:paraId="2360ADF7" w14:textId="534E4025" w:rsidR="006F605B" w:rsidRPr="00DC66CD" w:rsidRDefault="006F605B" w:rsidP="00F902D9">
            <w:pPr>
              <w:snapToGrid w:val="0"/>
              <w:spacing w:after="0" w:line="240" w:lineRule="auto"/>
              <w:rPr>
                <w:rFonts w:ascii="Garamond" w:hAnsi="Garamond"/>
                <w:sz w:val="20"/>
                <w:szCs w:val="20"/>
              </w:rPr>
            </w:pPr>
            <w:r w:rsidRPr="00DC66CD">
              <w:rPr>
                <w:rFonts w:ascii="Garamond" w:hAnsi="Garamond"/>
                <w:sz w:val="20"/>
                <w:szCs w:val="20"/>
              </w:rPr>
              <w:t xml:space="preserve">Aprovimi i aktit </w:t>
            </w:r>
            <w:r w:rsidR="00D31907" w:rsidRPr="00DC66CD">
              <w:rPr>
                <w:rFonts w:ascii="Garamond" w:hAnsi="Garamond"/>
                <w:sz w:val="20"/>
                <w:szCs w:val="20"/>
              </w:rPr>
              <w:t>l</w:t>
            </w:r>
            <w:r w:rsidRPr="00DC66CD">
              <w:rPr>
                <w:rFonts w:ascii="Garamond" w:hAnsi="Garamond"/>
                <w:sz w:val="20"/>
                <w:szCs w:val="20"/>
              </w:rPr>
              <w:t xml:space="preserve">igjor (2021) </w:t>
            </w:r>
          </w:p>
        </w:tc>
        <w:tc>
          <w:tcPr>
            <w:tcW w:w="2406" w:type="dxa"/>
          </w:tcPr>
          <w:p w14:paraId="4EFEA09D" w14:textId="396B8714" w:rsidR="006F605B" w:rsidRPr="00DC66CD" w:rsidRDefault="006F605B" w:rsidP="00F902D9">
            <w:pPr>
              <w:snapToGrid w:val="0"/>
              <w:spacing w:after="0" w:line="240" w:lineRule="auto"/>
              <w:jc w:val="right"/>
              <w:rPr>
                <w:rFonts w:ascii="Garamond" w:hAnsi="Garamond"/>
                <w:sz w:val="20"/>
                <w:szCs w:val="20"/>
              </w:rPr>
            </w:pPr>
            <w:r w:rsidRPr="00DC66CD">
              <w:rPr>
                <w:rFonts w:ascii="Garamond" w:hAnsi="Garamond"/>
                <w:sz w:val="20"/>
                <w:szCs w:val="20"/>
              </w:rPr>
              <w:t>Zbatimi i aktit ligjor 2021</w:t>
            </w:r>
            <w:r w:rsidR="00F902D9" w:rsidRPr="00DC66CD">
              <w:rPr>
                <w:rFonts w:ascii="Garamond" w:hAnsi="Garamond"/>
                <w:sz w:val="20"/>
                <w:szCs w:val="20"/>
              </w:rPr>
              <w:t>–</w:t>
            </w:r>
            <w:r w:rsidRPr="00DC66CD">
              <w:rPr>
                <w:rFonts w:ascii="Garamond" w:hAnsi="Garamond"/>
                <w:sz w:val="20"/>
                <w:szCs w:val="20"/>
              </w:rPr>
              <w:t>2022</w:t>
            </w:r>
          </w:p>
        </w:tc>
      </w:tr>
      <w:tr w:rsidR="00F902D9" w:rsidRPr="00DC66CD" w14:paraId="2A294EFE" w14:textId="77777777" w:rsidTr="00F902D9">
        <w:trPr>
          <w:jc w:val="center"/>
        </w:trPr>
        <w:tc>
          <w:tcPr>
            <w:tcW w:w="2405" w:type="dxa"/>
          </w:tcPr>
          <w:p w14:paraId="42F27D8B" w14:textId="4A22ADA2" w:rsidR="006F605B" w:rsidRPr="00DC66CD" w:rsidRDefault="006F605B" w:rsidP="002F2A1D">
            <w:pPr>
              <w:snapToGrid w:val="0"/>
              <w:spacing w:after="0" w:line="240" w:lineRule="auto"/>
              <w:rPr>
                <w:rFonts w:ascii="Garamond" w:hAnsi="Garamond"/>
                <w:sz w:val="20"/>
                <w:szCs w:val="20"/>
              </w:rPr>
            </w:pPr>
            <w:r w:rsidRPr="00DC66CD">
              <w:rPr>
                <w:rFonts w:ascii="Garamond" w:eastAsia="SimSun" w:hAnsi="Garamond"/>
                <w:sz w:val="20"/>
                <w:szCs w:val="20"/>
              </w:rPr>
              <w:t>Miratimi i ndryshimeve rregullative dhe në infrastrukturë për ske</w:t>
            </w:r>
            <w:r w:rsidR="00F902D9" w:rsidRPr="00DC66CD">
              <w:rPr>
                <w:rFonts w:ascii="Garamond" w:eastAsia="SimSun" w:hAnsi="Garamond"/>
                <w:sz w:val="20"/>
                <w:szCs w:val="20"/>
              </w:rPr>
              <w:t>mën e debitit direkt ndërbankar</w:t>
            </w:r>
          </w:p>
        </w:tc>
        <w:tc>
          <w:tcPr>
            <w:tcW w:w="2405" w:type="dxa"/>
          </w:tcPr>
          <w:p w14:paraId="6BC7110A" w14:textId="77777777" w:rsidR="006F605B" w:rsidRPr="00DC66CD" w:rsidRDefault="006F605B" w:rsidP="002F2A1D">
            <w:pPr>
              <w:snapToGrid w:val="0"/>
              <w:spacing w:after="0" w:line="240" w:lineRule="auto"/>
              <w:rPr>
                <w:rFonts w:ascii="Garamond" w:hAnsi="Garamond"/>
                <w:sz w:val="20"/>
                <w:szCs w:val="20"/>
              </w:rPr>
            </w:pPr>
          </w:p>
        </w:tc>
        <w:tc>
          <w:tcPr>
            <w:tcW w:w="2406" w:type="dxa"/>
          </w:tcPr>
          <w:p w14:paraId="4EE59AC7" w14:textId="77777777" w:rsidR="006F605B" w:rsidRPr="00DC66CD" w:rsidRDefault="006F605B" w:rsidP="00F902D9">
            <w:pPr>
              <w:snapToGrid w:val="0"/>
              <w:spacing w:after="0" w:line="240" w:lineRule="auto"/>
              <w:jc w:val="right"/>
              <w:rPr>
                <w:rFonts w:ascii="Garamond" w:hAnsi="Garamond"/>
                <w:sz w:val="20"/>
                <w:szCs w:val="20"/>
              </w:rPr>
            </w:pPr>
          </w:p>
        </w:tc>
        <w:tc>
          <w:tcPr>
            <w:tcW w:w="2406" w:type="dxa"/>
          </w:tcPr>
          <w:p w14:paraId="596F9EBB" w14:textId="77777777" w:rsidR="006F605B" w:rsidRPr="00DC66CD" w:rsidRDefault="006F605B" w:rsidP="00F902D9">
            <w:pPr>
              <w:snapToGrid w:val="0"/>
              <w:spacing w:after="0" w:line="240" w:lineRule="auto"/>
              <w:jc w:val="right"/>
              <w:rPr>
                <w:rFonts w:ascii="Garamond" w:hAnsi="Garamond"/>
                <w:sz w:val="20"/>
                <w:szCs w:val="20"/>
              </w:rPr>
            </w:pPr>
            <w:r w:rsidRPr="00DC66CD">
              <w:rPr>
                <w:rFonts w:ascii="Garamond" w:hAnsi="Garamond"/>
                <w:sz w:val="20"/>
                <w:szCs w:val="20"/>
              </w:rPr>
              <w:t>2020</w:t>
            </w:r>
          </w:p>
        </w:tc>
      </w:tr>
      <w:tr w:rsidR="00F902D9" w:rsidRPr="00DC66CD" w14:paraId="30851ACE" w14:textId="77777777" w:rsidTr="00F902D9">
        <w:trPr>
          <w:jc w:val="center"/>
        </w:trPr>
        <w:tc>
          <w:tcPr>
            <w:tcW w:w="2405" w:type="dxa"/>
          </w:tcPr>
          <w:p w14:paraId="0DC81EB3" w14:textId="076CAE64" w:rsidR="006F605B" w:rsidRPr="00DC66CD" w:rsidRDefault="006F605B" w:rsidP="002F2A1D">
            <w:pPr>
              <w:snapToGrid w:val="0"/>
              <w:spacing w:after="0" w:line="240" w:lineRule="auto"/>
              <w:rPr>
                <w:rFonts w:ascii="Garamond" w:hAnsi="Garamond"/>
                <w:sz w:val="20"/>
                <w:szCs w:val="20"/>
              </w:rPr>
            </w:pPr>
            <w:r w:rsidRPr="00DC66CD">
              <w:rPr>
                <w:rFonts w:ascii="Garamond" w:eastAsia="SimSun" w:hAnsi="Garamond"/>
                <w:sz w:val="20"/>
                <w:szCs w:val="20"/>
              </w:rPr>
              <w:t xml:space="preserve">Miratimi i ndryshimeve rregullative dhe në infrastrukturë për </w:t>
            </w:r>
            <w:r w:rsidR="002A29AD" w:rsidRPr="00DC66CD">
              <w:rPr>
                <w:rFonts w:ascii="Garamond" w:eastAsia="SimSun" w:hAnsi="Garamond"/>
                <w:sz w:val="20"/>
                <w:szCs w:val="20"/>
              </w:rPr>
              <w:t>“</w:t>
            </w:r>
            <w:r w:rsidR="00F902D9" w:rsidRPr="00DC66CD">
              <w:rPr>
                <w:rFonts w:ascii="Garamond" w:eastAsia="SimSun" w:hAnsi="Garamond"/>
                <w:sz w:val="20"/>
                <w:szCs w:val="20"/>
              </w:rPr>
              <w:t>pjesëmarrjen</w:t>
            </w:r>
            <w:r w:rsidRPr="00DC66CD">
              <w:rPr>
                <w:rFonts w:ascii="Garamond" w:eastAsia="SimSun" w:hAnsi="Garamond"/>
                <w:sz w:val="20"/>
                <w:szCs w:val="20"/>
              </w:rPr>
              <w:t xml:space="preserve"> jo të </w:t>
            </w:r>
            <w:r w:rsidR="00D31907" w:rsidRPr="00DC66CD">
              <w:rPr>
                <w:rFonts w:ascii="Garamond" w:eastAsia="SimSun" w:hAnsi="Garamond"/>
                <w:sz w:val="20"/>
                <w:szCs w:val="20"/>
              </w:rPr>
              <w:t>drejtpërdrejtë</w:t>
            </w:r>
            <w:r w:rsidR="002A29AD" w:rsidRPr="00DC66CD">
              <w:rPr>
                <w:rFonts w:ascii="Garamond" w:eastAsia="SimSun" w:hAnsi="Garamond"/>
                <w:sz w:val="20"/>
                <w:szCs w:val="20"/>
              </w:rPr>
              <w:t>”</w:t>
            </w:r>
            <w:r w:rsidR="00F902D9" w:rsidRPr="00DC66CD">
              <w:rPr>
                <w:rFonts w:ascii="Garamond" w:eastAsia="SimSun" w:hAnsi="Garamond"/>
                <w:sz w:val="20"/>
                <w:szCs w:val="20"/>
              </w:rPr>
              <w:t xml:space="preserve"> në sistemin AECH</w:t>
            </w:r>
            <w:r w:rsidR="0072211B" w:rsidRPr="00DC66CD">
              <w:rPr>
                <w:rFonts w:ascii="Garamond" w:eastAsia="SimSun" w:hAnsi="Garamond"/>
                <w:sz w:val="20"/>
                <w:szCs w:val="20"/>
              </w:rPr>
              <w:t xml:space="preserve"> </w:t>
            </w:r>
            <w:r w:rsidR="00F902D9" w:rsidRPr="00DC66CD">
              <w:rPr>
                <w:rFonts w:ascii="Garamond" w:eastAsia="SimSun" w:hAnsi="Garamond"/>
                <w:sz w:val="20"/>
                <w:szCs w:val="20"/>
              </w:rPr>
              <w:t>ndërbankar</w:t>
            </w:r>
          </w:p>
        </w:tc>
        <w:tc>
          <w:tcPr>
            <w:tcW w:w="2405" w:type="dxa"/>
          </w:tcPr>
          <w:p w14:paraId="514E63E3" w14:textId="77777777" w:rsidR="006F605B" w:rsidRPr="00DC66CD" w:rsidRDefault="006F605B" w:rsidP="002F2A1D">
            <w:pPr>
              <w:snapToGrid w:val="0"/>
              <w:spacing w:after="0" w:line="240" w:lineRule="auto"/>
              <w:rPr>
                <w:rFonts w:ascii="Garamond" w:hAnsi="Garamond"/>
                <w:sz w:val="20"/>
                <w:szCs w:val="20"/>
              </w:rPr>
            </w:pPr>
          </w:p>
        </w:tc>
        <w:tc>
          <w:tcPr>
            <w:tcW w:w="2406" w:type="dxa"/>
          </w:tcPr>
          <w:p w14:paraId="475AD168" w14:textId="77777777" w:rsidR="006F605B" w:rsidRPr="00DC66CD" w:rsidRDefault="006F605B" w:rsidP="00F902D9">
            <w:pPr>
              <w:snapToGrid w:val="0"/>
              <w:spacing w:after="0" w:line="240" w:lineRule="auto"/>
              <w:jc w:val="right"/>
              <w:rPr>
                <w:rFonts w:ascii="Garamond" w:hAnsi="Garamond"/>
                <w:sz w:val="20"/>
                <w:szCs w:val="20"/>
              </w:rPr>
            </w:pPr>
          </w:p>
        </w:tc>
        <w:tc>
          <w:tcPr>
            <w:tcW w:w="2406" w:type="dxa"/>
          </w:tcPr>
          <w:p w14:paraId="022069BD" w14:textId="77777777" w:rsidR="006F605B" w:rsidRPr="00DC66CD" w:rsidRDefault="006F605B" w:rsidP="00F902D9">
            <w:pPr>
              <w:snapToGrid w:val="0"/>
              <w:spacing w:after="0" w:line="240" w:lineRule="auto"/>
              <w:jc w:val="right"/>
              <w:rPr>
                <w:rFonts w:ascii="Garamond" w:hAnsi="Garamond"/>
                <w:sz w:val="20"/>
                <w:szCs w:val="20"/>
              </w:rPr>
            </w:pPr>
            <w:r w:rsidRPr="00DC66CD">
              <w:rPr>
                <w:rFonts w:ascii="Garamond" w:hAnsi="Garamond"/>
                <w:sz w:val="20"/>
                <w:szCs w:val="20"/>
              </w:rPr>
              <w:t>2020</w:t>
            </w:r>
          </w:p>
        </w:tc>
      </w:tr>
      <w:tr w:rsidR="00F902D9" w:rsidRPr="00DC66CD" w14:paraId="12DEF3AF" w14:textId="77777777" w:rsidTr="00F902D9">
        <w:trPr>
          <w:jc w:val="center"/>
        </w:trPr>
        <w:tc>
          <w:tcPr>
            <w:tcW w:w="2405" w:type="dxa"/>
          </w:tcPr>
          <w:p w14:paraId="35632D32" w14:textId="4B9A192D" w:rsidR="006F605B" w:rsidRPr="00DC66CD" w:rsidRDefault="006F605B" w:rsidP="00F902D9">
            <w:pPr>
              <w:snapToGrid w:val="0"/>
              <w:spacing w:after="0" w:line="240" w:lineRule="auto"/>
              <w:rPr>
                <w:rFonts w:ascii="Garamond" w:hAnsi="Garamond"/>
                <w:sz w:val="20"/>
                <w:szCs w:val="20"/>
              </w:rPr>
            </w:pPr>
            <w:r w:rsidRPr="00DC66CD">
              <w:rPr>
                <w:rFonts w:ascii="Garamond" w:eastAsia="SimSun" w:hAnsi="Garamond"/>
                <w:sz w:val="20"/>
                <w:szCs w:val="20"/>
              </w:rPr>
              <w:t xml:space="preserve">Studimi i fizibilitetit për zbatimin e platformës kombëtare të procesimit të kartave (SWITCH)/ </w:t>
            </w:r>
            <w:r w:rsidRPr="00DC66CD">
              <w:rPr>
                <w:rFonts w:ascii="Garamond" w:eastAsia="SimSun" w:hAnsi="Garamond"/>
                <w:i/>
                <w:sz w:val="20"/>
                <w:szCs w:val="20"/>
              </w:rPr>
              <w:t>instant payment</w:t>
            </w:r>
            <w:r w:rsidRPr="00DC66CD">
              <w:rPr>
                <w:rFonts w:ascii="Garamond" w:eastAsia="SimSun" w:hAnsi="Garamond"/>
                <w:sz w:val="20"/>
                <w:szCs w:val="20"/>
              </w:rPr>
              <w:t xml:space="preserve">/pagesave në kohë reale </w:t>
            </w:r>
          </w:p>
        </w:tc>
        <w:tc>
          <w:tcPr>
            <w:tcW w:w="2405" w:type="dxa"/>
          </w:tcPr>
          <w:p w14:paraId="38C99787" w14:textId="22C15D8B" w:rsidR="006F605B" w:rsidRPr="00DC66CD" w:rsidRDefault="006F605B" w:rsidP="00D31907">
            <w:pPr>
              <w:snapToGrid w:val="0"/>
              <w:spacing w:after="0" w:line="240" w:lineRule="auto"/>
              <w:rPr>
                <w:rFonts w:ascii="Garamond" w:hAnsi="Garamond"/>
                <w:sz w:val="20"/>
                <w:szCs w:val="20"/>
              </w:rPr>
            </w:pPr>
            <w:r w:rsidRPr="00DC66CD">
              <w:rPr>
                <w:rFonts w:ascii="Garamond" w:hAnsi="Garamond"/>
                <w:sz w:val="20"/>
                <w:szCs w:val="20"/>
              </w:rPr>
              <w:t xml:space="preserve">Studimi i </w:t>
            </w:r>
            <w:r w:rsidR="00D31907" w:rsidRPr="00DC66CD">
              <w:rPr>
                <w:rFonts w:ascii="Garamond" w:hAnsi="Garamond"/>
                <w:sz w:val="20"/>
                <w:szCs w:val="20"/>
              </w:rPr>
              <w:t>r</w:t>
            </w:r>
            <w:r w:rsidRPr="00DC66CD">
              <w:rPr>
                <w:rFonts w:ascii="Garamond" w:hAnsi="Garamond"/>
                <w:sz w:val="20"/>
                <w:szCs w:val="20"/>
              </w:rPr>
              <w:t>ealizueshmërisë (2020)</w:t>
            </w:r>
          </w:p>
        </w:tc>
        <w:tc>
          <w:tcPr>
            <w:tcW w:w="2406" w:type="dxa"/>
          </w:tcPr>
          <w:p w14:paraId="331320F0" w14:textId="77777777" w:rsidR="00F902D9" w:rsidRPr="00DC66CD" w:rsidRDefault="006F605B" w:rsidP="00F902D9">
            <w:pPr>
              <w:snapToGrid w:val="0"/>
              <w:spacing w:after="0" w:line="240" w:lineRule="auto"/>
              <w:jc w:val="right"/>
              <w:rPr>
                <w:rFonts w:ascii="Garamond" w:hAnsi="Garamond"/>
                <w:sz w:val="20"/>
                <w:szCs w:val="20"/>
              </w:rPr>
            </w:pPr>
            <w:r w:rsidRPr="00DC66CD">
              <w:rPr>
                <w:rFonts w:ascii="Garamond" w:hAnsi="Garamond"/>
                <w:sz w:val="20"/>
                <w:szCs w:val="20"/>
              </w:rPr>
              <w:t xml:space="preserve">Termat e </w:t>
            </w:r>
            <w:r w:rsidR="00F902D9" w:rsidRPr="00DC66CD">
              <w:rPr>
                <w:rFonts w:ascii="Garamond" w:hAnsi="Garamond"/>
                <w:sz w:val="20"/>
                <w:szCs w:val="20"/>
              </w:rPr>
              <w:t xml:space="preserve">referencës </w:t>
            </w:r>
            <w:r w:rsidRPr="00DC66CD">
              <w:rPr>
                <w:rFonts w:ascii="Garamond" w:hAnsi="Garamond"/>
                <w:sz w:val="20"/>
                <w:szCs w:val="20"/>
              </w:rPr>
              <w:t xml:space="preserve">ToR </w:t>
            </w:r>
          </w:p>
          <w:p w14:paraId="28C6F102" w14:textId="5348CD27" w:rsidR="006F605B" w:rsidRPr="00DC66CD" w:rsidRDefault="006F605B" w:rsidP="00F902D9">
            <w:pPr>
              <w:snapToGrid w:val="0"/>
              <w:spacing w:after="0" w:line="240" w:lineRule="auto"/>
              <w:jc w:val="right"/>
              <w:rPr>
                <w:rFonts w:ascii="Garamond" w:hAnsi="Garamond"/>
                <w:sz w:val="20"/>
                <w:szCs w:val="20"/>
              </w:rPr>
            </w:pPr>
            <w:r w:rsidRPr="00DC66CD">
              <w:rPr>
                <w:rFonts w:ascii="Garamond" w:hAnsi="Garamond"/>
                <w:sz w:val="20"/>
                <w:szCs w:val="20"/>
              </w:rPr>
              <w:t>(2021)</w:t>
            </w:r>
          </w:p>
        </w:tc>
        <w:tc>
          <w:tcPr>
            <w:tcW w:w="2406" w:type="dxa"/>
          </w:tcPr>
          <w:p w14:paraId="7318A0D5" w14:textId="77777777" w:rsidR="006F605B" w:rsidRPr="00DC66CD" w:rsidRDefault="006F605B" w:rsidP="00F902D9">
            <w:pPr>
              <w:snapToGrid w:val="0"/>
              <w:spacing w:after="0" w:line="240" w:lineRule="auto"/>
              <w:jc w:val="right"/>
              <w:rPr>
                <w:rFonts w:ascii="Garamond" w:hAnsi="Garamond"/>
                <w:sz w:val="20"/>
                <w:szCs w:val="20"/>
              </w:rPr>
            </w:pPr>
            <w:r w:rsidRPr="00DC66CD">
              <w:rPr>
                <w:rFonts w:ascii="Garamond" w:hAnsi="Garamond"/>
                <w:sz w:val="20"/>
                <w:szCs w:val="20"/>
              </w:rPr>
              <w:t xml:space="preserve">Zbatimi 2022 </w:t>
            </w:r>
          </w:p>
        </w:tc>
      </w:tr>
    </w:tbl>
    <w:p w14:paraId="0E372E0F" w14:textId="77777777" w:rsidR="006F605B" w:rsidRPr="00DC66CD" w:rsidRDefault="006F605B" w:rsidP="006F605B">
      <w:pPr>
        <w:snapToGrid w:val="0"/>
        <w:spacing w:after="0" w:line="240" w:lineRule="auto"/>
        <w:ind w:firstLine="284"/>
        <w:rPr>
          <w:rFonts w:ascii="Garamond" w:hAnsi="Garamond"/>
          <w:sz w:val="24"/>
          <w:szCs w:val="24"/>
        </w:rPr>
      </w:pPr>
    </w:p>
    <w:p w14:paraId="5444CF0B" w14:textId="77777777" w:rsidR="002F2A1D" w:rsidRPr="00DC66CD" w:rsidRDefault="002F2A1D" w:rsidP="002F2A1D">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 xml:space="preserve">Ndikimi i pritshëm në konkurrueshmëri </w:t>
      </w:r>
    </w:p>
    <w:p w14:paraId="614BECD3" w14:textId="2DA3D0ED" w:rsidR="006F605B" w:rsidRPr="00DC66CD" w:rsidRDefault="002F2A1D" w:rsidP="002F2A1D">
      <w:pPr>
        <w:pStyle w:val="TEKSTIIII"/>
        <w:rPr>
          <w:rFonts w:eastAsiaTheme="majorEastAsia" w:cstheme="majorBidi"/>
        </w:rPr>
      </w:pPr>
      <w:r w:rsidRPr="00DC66CD">
        <w:rPr>
          <w:rFonts w:eastAsia="SimSun"/>
        </w:rPr>
        <w:t>1</w:t>
      </w:r>
      <w:r w:rsidR="000235CA" w:rsidRPr="00DC66CD">
        <w:rPr>
          <w:rFonts w:eastAsia="SimSun"/>
        </w:rPr>
        <w:t>.</w:t>
      </w:r>
      <w:r w:rsidRPr="00DC66CD">
        <w:rPr>
          <w:rFonts w:eastAsia="SimSun"/>
        </w:rPr>
        <w:t xml:space="preserve"> </w:t>
      </w:r>
      <w:r w:rsidR="006F605B" w:rsidRPr="00DC66CD">
        <w:rPr>
          <w:rFonts w:eastAsia="SimSun"/>
        </w:rPr>
        <w:t xml:space="preserve">Projektligji </w:t>
      </w:r>
      <w:r w:rsidR="002A29AD" w:rsidRPr="00DC66CD">
        <w:rPr>
          <w:rFonts w:eastAsia="SimSun"/>
        </w:rPr>
        <w:t>“</w:t>
      </w:r>
      <w:r w:rsidR="006F605B" w:rsidRPr="00DC66CD">
        <w:rPr>
          <w:rFonts w:eastAsia="SimSun"/>
        </w:rPr>
        <w:t xml:space="preserve">Mbi </w:t>
      </w:r>
      <w:r w:rsidR="000235CA" w:rsidRPr="00DC66CD">
        <w:rPr>
          <w:rFonts w:eastAsia="SimSun"/>
        </w:rPr>
        <w:t>shërbimet e pagesave</w:t>
      </w:r>
      <w:r w:rsidR="002A29AD" w:rsidRPr="00DC66CD">
        <w:rPr>
          <w:rFonts w:eastAsia="SimSun"/>
        </w:rPr>
        <w:t>”</w:t>
      </w:r>
      <w:r w:rsidR="006F605B" w:rsidRPr="00DC66CD">
        <w:rPr>
          <w:rFonts w:eastAsia="SimSun"/>
        </w:rPr>
        <w:t xml:space="preserve"> pritet të rrisë konkurrencën në tregun e shërbimit të pagesave nëpërmjet krijimit të një fushë të përshtatshme për institucionet financiare jobanka për të ofruar shërbime inovative të pagesave elektronike përmes:</w:t>
      </w:r>
    </w:p>
    <w:p w14:paraId="38C957B5" w14:textId="77777777" w:rsidR="006F605B" w:rsidRPr="00DC66CD" w:rsidRDefault="006F605B" w:rsidP="002F2A1D">
      <w:pPr>
        <w:pStyle w:val="TEKSTIIII"/>
        <w:rPr>
          <w:rFonts w:eastAsia="SimSun"/>
        </w:rPr>
      </w:pPr>
      <w:r w:rsidRPr="00DC66CD">
        <w:rPr>
          <w:rFonts w:eastAsia="SimSun"/>
        </w:rPr>
        <w:t xml:space="preserve">a) duke i lejuar ato të hapin llogari pagesash dhe të ofrojnë pagesa elektronike (gjë e cila nuk lejohet me legjislacionin aktual); </w:t>
      </w:r>
    </w:p>
    <w:p w14:paraId="1F369AAA" w14:textId="602FF33D" w:rsidR="006F605B" w:rsidRPr="00DC66CD" w:rsidRDefault="006F605B" w:rsidP="006F605B">
      <w:pPr>
        <w:spacing w:after="0" w:line="240" w:lineRule="auto"/>
        <w:ind w:firstLine="284"/>
        <w:jc w:val="both"/>
        <w:rPr>
          <w:rFonts w:ascii="Garamond" w:eastAsia="SimSun" w:hAnsi="Garamond"/>
          <w:sz w:val="24"/>
          <w:szCs w:val="24"/>
        </w:rPr>
      </w:pPr>
      <w:r w:rsidRPr="00DC66CD">
        <w:rPr>
          <w:rFonts w:ascii="Garamond" w:eastAsia="SimSun" w:hAnsi="Garamond"/>
          <w:sz w:val="24"/>
          <w:szCs w:val="24"/>
        </w:rPr>
        <w:t xml:space="preserve">b) krijimin e licencimit dhe </w:t>
      </w:r>
      <w:r w:rsidR="000235CA" w:rsidRPr="00DC66CD">
        <w:rPr>
          <w:rFonts w:ascii="Garamond" w:eastAsia="SimSun" w:hAnsi="Garamond"/>
          <w:sz w:val="24"/>
          <w:szCs w:val="24"/>
        </w:rPr>
        <w:t xml:space="preserve">të </w:t>
      </w:r>
      <w:r w:rsidRPr="00DC66CD">
        <w:rPr>
          <w:rFonts w:ascii="Garamond" w:eastAsia="SimSun" w:hAnsi="Garamond"/>
          <w:sz w:val="24"/>
          <w:szCs w:val="24"/>
        </w:rPr>
        <w:t>mbikëqyrjes së institucioneve që ofrojnë shërbime pagese në përpjesëtim me rrezikun që këto institucione mbartin;</w:t>
      </w:r>
    </w:p>
    <w:p w14:paraId="0CD8326B" w14:textId="77777777" w:rsidR="006F605B" w:rsidRPr="00DC66CD" w:rsidRDefault="006F605B" w:rsidP="006F605B">
      <w:pPr>
        <w:spacing w:after="0" w:line="240" w:lineRule="auto"/>
        <w:ind w:firstLine="284"/>
        <w:jc w:val="both"/>
        <w:rPr>
          <w:rFonts w:ascii="Garamond" w:eastAsia="SimSun" w:hAnsi="Garamond"/>
          <w:sz w:val="24"/>
          <w:szCs w:val="24"/>
        </w:rPr>
      </w:pPr>
      <w:r w:rsidRPr="00DC66CD">
        <w:rPr>
          <w:rFonts w:ascii="Garamond" w:eastAsia="SimSun" w:hAnsi="Garamond"/>
          <w:sz w:val="24"/>
          <w:szCs w:val="24"/>
        </w:rPr>
        <w:t>c) garantimin e aksesit të tyre në sisteme pagesash;</w:t>
      </w:r>
    </w:p>
    <w:p w14:paraId="5D12F15C" w14:textId="534FEDED" w:rsidR="006F605B" w:rsidRPr="00DC66CD" w:rsidRDefault="000235CA" w:rsidP="006F605B">
      <w:pPr>
        <w:spacing w:after="0" w:line="240" w:lineRule="auto"/>
        <w:ind w:firstLine="284"/>
        <w:jc w:val="both"/>
        <w:rPr>
          <w:rFonts w:ascii="Garamond" w:eastAsia="SimSun" w:hAnsi="Garamond"/>
          <w:sz w:val="24"/>
          <w:szCs w:val="24"/>
        </w:rPr>
      </w:pPr>
      <w:r w:rsidRPr="00DC66CD">
        <w:rPr>
          <w:rFonts w:ascii="Garamond" w:eastAsia="SimSun" w:hAnsi="Garamond"/>
          <w:sz w:val="24"/>
          <w:szCs w:val="24"/>
        </w:rPr>
        <w:t xml:space="preserve">d) garantimin e aksesit te </w:t>
      </w:r>
      <w:r w:rsidR="006F605B" w:rsidRPr="00DC66CD">
        <w:rPr>
          <w:rFonts w:ascii="Garamond" w:eastAsia="SimSun" w:hAnsi="Garamond"/>
          <w:sz w:val="24"/>
          <w:szCs w:val="24"/>
        </w:rPr>
        <w:t>palët e treta (TPP</w:t>
      </w:r>
      <w:r w:rsidRPr="00DC66CD">
        <w:rPr>
          <w:rFonts w:ascii="Garamond" w:eastAsia="SimSun" w:hAnsi="Garamond"/>
          <w:sz w:val="24"/>
          <w:szCs w:val="24"/>
        </w:rPr>
        <w:t xml:space="preserve"> </w:t>
      </w:r>
      <w:r w:rsidR="006F605B" w:rsidRPr="00DC66CD">
        <w:rPr>
          <w:rFonts w:ascii="Garamond" w:eastAsia="SimSun" w:hAnsi="Garamond"/>
          <w:sz w:val="24"/>
          <w:szCs w:val="24"/>
        </w:rPr>
        <w:t>- ofruesit e shërbimit të informacionit mbi llogarinë dhe ofruesit e shërbimit të pagesës të informacionit mbi llogarinë) të informacionit mbi llogarinë e klientit pas pëlqimit të qartë të këtij të fundit përmes krijimit të infrastrukturës së Bankës së Hapur (</w:t>
      </w:r>
      <w:r w:rsidR="006F605B" w:rsidRPr="00DC66CD">
        <w:rPr>
          <w:rFonts w:ascii="Garamond" w:eastAsia="SimSun" w:hAnsi="Garamond"/>
          <w:i/>
          <w:sz w:val="24"/>
          <w:szCs w:val="24"/>
        </w:rPr>
        <w:t>Open Banking</w:t>
      </w:r>
      <w:r w:rsidR="006F605B" w:rsidRPr="00DC66CD">
        <w:rPr>
          <w:rFonts w:ascii="Garamond" w:eastAsia="SimSun" w:hAnsi="Garamond"/>
          <w:sz w:val="24"/>
          <w:szCs w:val="24"/>
        </w:rPr>
        <w:t>)</w:t>
      </w:r>
      <w:r w:rsidR="00254D99" w:rsidRPr="00DC66CD">
        <w:rPr>
          <w:rFonts w:ascii="Garamond" w:eastAsia="SimSun" w:hAnsi="Garamond"/>
          <w:sz w:val="24"/>
          <w:szCs w:val="24"/>
        </w:rPr>
        <w:t>;</w:t>
      </w:r>
      <w:r w:rsidR="006F605B" w:rsidRPr="00DC66CD">
        <w:rPr>
          <w:rFonts w:ascii="Garamond" w:eastAsia="SimSun" w:hAnsi="Garamond"/>
          <w:sz w:val="24"/>
          <w:szCs w:val="24"/>
        </w:rPr>
        <w:t xml:space="preserve"> si dhe </w:t>
      </w:r>
    </w:p>
    <w:p w14:paraId="3AC242FE" w14:textId="77777777" w:rsidR="006F605B" w:rsidRPr="00DC66CD" w:rsidRDefault="006F605B" w:rsidP="006F605B">
      <w:pPr>
        <w:spacing w:after="0" w:line="240" w:lineRule="auto"/>
        <w:ind w:firstLine="284"/>
        <w:jc w:val="both"/>
        <w:rPr>
          <w:rFonts w:ascii="Garamond" w:eastAsia="SimSun" w:hAnsi="Garamond"/>
          <w:sz w:val="24"/>
          <w:szCs w:val="24"/>
        </w:rPr>
      </w:pPr>
      <w:r w:rsidRPr="00DC66CD">
        <w:rPr>
          <w:rFonts w:ascii="Garamond" w:eastAsia="SimSun" w:hAnsi="Garamond"/>
          <w:sz w:val="24"/>
          <w:szCs w:val="24"/>
        </w:rPr>
        <w:t>e) krijimin e një kornize prudenciale për mbrojtjen e konsumatorit.</w:t>
      </w:r>
    </w:p>
    <w:p w14:paraId="4990EBAE" w14:textId="55B31188" w:rsidR="006F605B" w:rsidRPr="00DC66CD" w:rsidRDefault="00F10444" w:rsidP="00F10444">
      <w:pPr>
        <w:pStyle w:val="TEKSTIIII"/>
        <w:rPr>
          <w:rFonts w:eastAsia="SimSun"/>
        </w:rPr>
      </w:pPr>
      <w:r w:rsidRPr="00DC66CD">
        <w:rPr>
          <w:rFonts w:eastAsia="SimSun"/>
        </w:rPr>
        <w:t xml:space="preserve">2. </w:t>
      </w:r>
      <w:r w:rsidR="006F605B" w:rsidRPr="00DC66CD">
        <w:rPr>
          <w:rFonts w:eastAsia="SimSun"/>
        </w:rPr>
        <w:t xml:space="preserve">Hartimi i aktit ligjor që do të transpozojë </w:t>
      </w:r>
      <w:r w:rsidR="00254D99" w:rsidRPr="00DC66CD">
        <w:rPr>
          <w:rFonts w:eastAsia="SimSun"/>
        </w:rPr>
        <w:t xml:space="preserve">direktivën </w:t>
      </w:r>
      <w:r w:rsidR="006F605B" w:rsidRPr="00DC66CD">
        <w:rPr>
          <w:rFonts w:eastAsia="SimSun"/>
        </w:rPr>
        <w:t xml:space="preserve">e Bashkimit Evropian </w:t>
      </w:r>
      <w:r w:rsidR="002A29AD" w:rsidRPr="00DC66CD">
        <w:rPr>
          <w:rFonts w:eastAsia="SimSun"/>
        </w:rPr>
        <w:t>“</w:t>
      </w:r>
      <w:r w:rsidR="006F605B" w:rsidRPr="00DC66CD">
        <w:rPr>
          <w:rFonts w:eastAsia="SimSun"/>
        </w:rPr>
        <w:t>Mbi llogarinë e pagesës</w:t>
      </w:r>
      <w:r w:rsidR="002A29AD" w:rsidRPr="00DC66CD">
        <w:rPr>
          <w:rFonts w:eastAsia="SimSun"/>
        </w:rPr>
        <w:t>”</w:t>
      </w:r>
      <w:r w:rsidR="006F605B" w:rsidRPr="00DC66CD">
        <w:rPr>
          <w:rFonts w:eastAsia="SimSun"/>
        </w:rPr>
        <w:t>:</w:t>
      </w:r>
    </w:p>
    <w:p w14:paraId="57AE5125" w14:textId="26B56E21" w:rsidR="006F605B" w:rsidRPr="00DC66CD" w:rsidRDefault="006F605B" w:rsidP="006F605B">
      <w:pPr>
        <w:spacing w:after="0" w:line="240" w:lineRule="auto"/>
        <w:ind w:firstLine="284"/>
        <w:jc w:val="both"/>
        <w:rPr>
          <w:rFonts w:ascii="Garamond" w:eastAsia="SimSun" w:hAnsi="Garamond"/>
          <w:sz w:val="24"/>
          <w:szCs w:val="24"/>
        </w:rPr>
      </w:pPr>
      <w:r w:rsidRPr="00DC66CD">
        <w:rPr>
          <w:rFonts w:ascii="Garamond" w:eastAsia="SimSun" w:hAnsi="Garamond"/>
          <w:sz w:val="24"/>
          <w:szCs w:val="24"/>
        </w:rPr>
        <w:t>Vlerësohet/pritet që të rrisë konkurrencën nëpërmjet përmirësimit të mëtejshëm të transparencës së shërbimeve të ofruara në treg</w:t>
      </w:r>
      <w:r w:rsidR="00254D99" w:rsidRPr="00DC66CD">
        <w:rPr>
          <w:rFonts w:ascii="Garamond" w:eastAsia="SimSun" w:hAnsi="Garamond"/>
          <w:sz w:val="24"/>
          <w:szCs w:val="24"/>
        </w:rPr>
        <w:t>,</w:t>
      </w:r>
      <w:r w:rsidRPr="00DC66CD">
        <w:rPr>
          <w:rFonts w:ascii="Garamond" w:eastAsia="SimSun" w:hAnsi="Garamond"/>
          <w:sz w:val="24"/>
          <w:szCs w:val="24"/>
        </w:rPr>
        <w:t xml:space="preserve"> si dhe </w:t>
      </w:r>
      <w:r w:rsidR="00254D99" w:rsidRPr="00DC66CD">
        <w:rPr>
          <w:rFonts w:ascii="Garamond" w:eastAsia="SimSun" w:hAnsi="Garamond"/>
          <w:sz w:val="24"/>
          <w:szCs w:val="24"/>
        </w:rPr>
        <w:t xml:space="preserve">të </w:t>
      </w:r>
      <w:r w:rsidRPr="00DC66CD">
        <w:rPr>
          <w:rFonts w:ascii="Garamond" w:eastAsia="SimSun" w:hAnsi="Garamond"/>
          <w:sz w:val="24"/>
          <w:szCs w:val="24"/>
        </w:rPr>
        <w:t>rritjes së lëvizshmërisë së klientëve përmes vendosjes së procedurave të ndërrimit/ndryshimit me kosto më efektive ndërmjet ofruesve të ndryshëm të shërbimeve të pagesave.</w:t>
      </w:r>
    </w:p>
    <w:p w14:paraId="556BD799" w14:textId="69D70E31" w:rsidR="006F605B" w:rsidRPr="00DC66CD" w:rsidRDefault="00F10444" w:rsidP="00F10444">
      <w:pPr>
        <w:pStyle w:val="TEKSTIIII"/>
        <w:rPr>
          <w:rFonts w:eastAsia="SimSun"/>
        </w:rPr>
      </w:pPr>
      <w:r w:rsidRPr="00DC66CD">
        <w:rPr>
          <w:rFonts w:eastAsia="SimSun"/>
        </w:rPr>
        <w:t xml:space="preserve">3. </w:t>
      </w:r>
      <w:r w:rsidR="006F605B" w:rsidRPr="00DC66CD">
        <w:rPr>
          <w:rFonts w:eastAsia="SimSun"/>
        </w:rPr>
        <w:t xml:space="preserve">Miratimi i ndryshimeve rregullative dhe në infrastrukturë për </w:t>
      </w:r>
      <w:r w:rsidR="002A29AD" w:rsidRPr="00DC66CD">
        <w:rPr>
          <w:rFonts w:eastAsia="SimSun"/>
        </w:rPr>
        <w:t>“</w:t>
      </w:r>
      <w:r w:rsidR="00254D99" w:rsidRPr="00DC66CD">
        <w:rPr>
          <w:rFonts w:eastAsia="SimSun"/>
        </w:rPr>
        <w:t>pjesëmarrje</w:t>
      </w:r>
      <w:r w:rsidR="006F605B" w:rsidRPr="00DC66CD">
        <w:rPr>
          <w:rFonts w:eastAsia="SimSun"/>
        </w:rPr>
        <w:t xml:space="preserve"> jo të drejtpërdrejtë</w:t>
      </w:r>
      <w:r w:rsidR="002A29AD" w:rsidRPr="00DC66CD">
        <w:rPr>
          <w:rFonts w:eastAsia="SimSun"/>
        </w:rPr>
        <w:t>”</w:t>
      </w:r>
      <w:r w:rsidR="006F605B" w:rsidRPr="00DC66CD">
        <w:rPr>
          <w:rFonts w:eastAsia="SimSun"/>
        </w:rPr>
        <w:t xml:space="preserve"> në AECH</w:t>
      </w:r>
      <w:r w:rsidR="00254D99" w:rsidRPr="00DC66CD">
        <w:rPr>
          <w:rFonts w:eastAsia="SimSun"/>
        </w:rPr>
        <w:t xml:space="preserve"> </w:t>
      </w:r>
      <w:r w:rsidR="006F605B" w:rsidRPr="00DC66CD">
        <w:rPr>
          <w:rFonts w:eastAsia="SimSun"/>
        </w:rPr>
        <w:t>-</w:t>
      </w:r>
      <w:r w:rsidR="00254D99" w:rsidRPr="00DC66CD">
        <w:rPr>
          <w:rFonts w:eastAsia="SimSun"/>
        </w:rPr>
        <w:t xml:space="preserve"> </w:t>
      </w:r>
      <w:r w:rsidR="006F605B" w:rsidRPr="00DC66CD">
        <w:rPr>
          <w:rFonts w:eastAsia="SimSun"/>
        </w:rPr>
        <w:t>përmirësimin e kushteve të tregut ndërmjet bankave dhe institucioneve financiare jobanka</w:t>
      </w:r>
      <w:r w:rsidR="00254D99" w:rsidRPr="00DC66CD">
        <w:rPr>
          <w:rFonts w:eastAsia="SimSun"/>
        </w:rPr>
        <w:t>,</w:t>
      </w:r>
      <w:r w:rsidR="006F605B" w:rsidRPr="00DC66CD">
        <w:rPr>
          <w:rFonts w:eastAsia="SimSun"/>
        </w:rPr>
        <w:t xml:space="preserve"> të cilat ofrojnë shërbime pagese.</w:t>
      </w:r>
    </w:p>
    <w:p w14:paraId="253AFCA6" w14:textId="433601A3" w:rsidR="006F605B" w:rsidRPr="00DC66CD" w:rsidRDefault="00F10444" w:rsidP="00F10444">
      <w:pPr>
        <w:pStyle w:val="TEKSTIIII"/>
        <w:rPr>
          <w:rFonts w:eastAsia="SimSun"/>
        </w:rPr>
      </w:pPr>
      <w:r w:rsidRPr="00DC66CD">
        <w:rPr>
          <w:rFonts w:eastAsia="SimSun"/>
        </w:rPr>
        <w:t xml:space="preserve">4. </w:t>
      </w:r>
      <w:r w:rsidR="006F605B" w:rsidRPr="00DC66CD">
        <w:rPr>
          <w:rFonts w:eastAsia="SimSun"/>
        </w:rPr>
        <w:t>Mundësia e zbatimit të një platforme kombëtare të procesimit të kartave (SWITCH)/</w:t>
      </w:r>
      <w:r w:rsidR="006F605B" w:rsidRPr="00DC66CD">
        <w:rPr>
          <w:rFonts w:eastAsia="SimSun"/>
          <w:i/>
        </w:rPr>
        <w:t>instant payment</w:t>
      </w:r>
      <w:r w:rsidR="006F605B" w:rsidRPr="00DC66CD">
        <w:rPr>
          <w:rFonts w:eastAsia="SimSun"/>
        </w:rPr>
        <w:t>/pagesat në kohë reale</w:t>
      </w:r>
      <w:r w:rsidR="00772573" w:rsidRPr="00DC66CD">
        <w:rPr>
          <w:rFonts w:eastAsia="SimSun"/>
        </w:rPr>
        <w:t>.</w:t>
      </w:r>
    </w:p>
    <w:p w14:paraId="62FB2DA4" w14:textId="626D0896" w:rsidR="006F605B" w:rsidRPr="00DC66CD" w:rsidRDefault="006F605B" w:rsidP="006F605B">
      <w:pPr>
        <w:snapToGrid w:val="0"/>
        <w:spacing w:after="0" w:line="240" w:lineRule="auto"/>
        <w:ind w:firstLine="284"/>
        <w:rPr>
          <w:rFonts w:ascii="Garamond" w:hAnsi="Garamond"/>
          <w:sz w:val="24"/>
          <w:szCs w:val="24"/>
        </w:rPr>
      </w:pPr>
      <w:r w:rsidRPr="00DC66CD">
        <w:rPr>
          <w:rFonts w:ascii="Garamond" w:eastAsia="SimSun" w:hAnsi="Garamond"/>
          <w:sz w:val="24"/>
          <w:szCs w:val="24"/>
        </w:rPr>
        <w:t>Rritja e konkurrencës për procesimin e kostove të pagesave të kartave dhe</w:t>
      </w:r>
      <w:r w:rsidR="00254D99" w:rsidRPr="00DC66CD">
        <w:rPr>
          <w:rFonts w:ascii="Garamond" w:eastAsia="SimSun" w:hAnsi="Garamond"/>
          <w:sz w:val="24"/>
          <w:szCs w:val="24"/>
        </w:rPr>
        <w:t>,</w:t>
      </w:r>
      <w:r w:rsidRPr="00DC66CD">
        <w:rPr>
          <w:rFonts w:ascii="Garamond" w:eastAsia="SimSun" w:hAnsi="Garamond"/>
          <w:sz w:val="24"/>
          <w:szCs w:val="24"/>
        </w:rPr>
        <w:t xml:space="preserve"> gjithashtu</w:t>
      </w:r>
      <w:r w:rsidR="00254D99" w:rsidRPr="00DC66CD">
        <w:rPr>
          <w:rFonts w:ascii="Garamond" w:eastAsia="SimSun" w:hAnsi="Garamond"/>
          <w:sz w:val="24"/>
          <w:szCs w:val="24"/>
        </w:rPr>
        <w:t>,</w:t>
      </w:r>
      <w:r w:rsidRPr="00DC66CD">
        <w:rPr>
          <w:rFonts w:ascii="Garamond" w:eastAsia="SimSun" w:hAnsi="Garamond"/>
          <w:sz w:val="24"/>
          <w:szCs w:val="24"/>
        </w:rPr>
        <w:t xml:space="preserve"> rritja e konkurrencës ndërmjet pagesave me karta dhe transfertave të kreditit në formë joletër.</w:t>
      </w:r>
    </w:p>
    <w:p w14:paraId="4291AEAE" w14:textId="0BEF422E" w:rsidR="006F605B" w:rsidRPr="00DC66CD" w:rsidRDefault="00F10444" w:rsidP="00F10444">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5. </w:t>
      </w:r>
      <w:r w:rsidR="006F605B" w:rsidRPr="00DC66CD">
        <w:rPr>
          <w:rFonts w:ascii="Garamond" w:hAnsi="Garamond"/>
          <w:color w:val="000000" w:themeColor="text1"/>
          <w:sz w:val="24"/>
          <w:szCs w:val="24"/>
        </w:rPr>
        <w:t>Kosto</w:t>
      </w:r>
      <w:r w:rsidR="00254D99" w:rsidRPr="00DC66CD">
        <w:rPr>
          <w:rFonts w:ascii="Garamond" w:hAnsi="Garamond"/>
          <w:color w:val="000000" w:themeColor="text1"/>
          <w:sz w:val="24"/>
          <w:szCs w:val="24"/>
        </w:rPr>
        <w:t>ja</w:t>
      </w:r>
      <w:r w:rsidR="006F605B" w:rsidRPr="00DC66CD">
        <w:rPr>
          <w:rFonts w:ascii="Garamond" w:hAnsi="Garamond"/>
          <w:color w:val="000000" w:themeColor="text1"/>
          <w:sz w:val="24"/>
          <w:szCs w:val="24"/>
        </w:rPr>
        <w:t xml:space="preserve"> e parashikuar e aktiviteteve dhe burimi i financimit</w:t>
      </w:r>
    </w:p>
    <w:p w14:paraId="69E71004" w14:textId="6BD657A2" w:rsidR="006F605B" w:rsidRPr="00DC66CD" w:rsidRDefault="006F605B" w:rsidP="00254D99">
      <w:pPr>
        <w:spacing w:after="0" w:line="240" w:lineRule="auto"/>
        <w:ind w:firstLine="284"/>
        <w:jc w:val="both"/>
        <w:rPr>
          <w:rFonts w:ascii="Garamond" w:eastAsia="SimSun" w:hAnsi="Garamond"/>
          <w:color w:val="000000" w:themeColor="text1"/>
          <w:sz w:val="24"/>
          <w:szCs w:val="24"/>
        </w:rPr>
      </w:pPr>
      <w:r w:rsidRPr="00DC66CD">
        <w:rPr>
          <w:rFonts w:ascii="Garamond" w:eastAsia="SimSun" w:hAnsi="Garamond"/>
          <w:color w:val="000000" w:themeColor="text1"/>
          <w:sz w:val="24"/>
          <w:szCs w:val="24"/>
        </w:rPr>
        <w:t xml:space="preserve">Procesi i hartimit të ligjit </w:t>
      </w:r>
      <w:r w:rsidR="002A29AD" w:rsidRPr="00DC66CD">
        <w:rPr>
          <w:rFonts w:ascii="Garamond" w:eastAsia="SimSun" w:hAnsi="Garamond"/>
          <w:color w:val="000000" w:themeColor="text1"/>
          <w:sz w:val="24"/>
          <w:szCs w:val="24"/>
        </w:rPr>
        <w:t>“</w:t>
      </w:r>
      <w:r w:rsidRPr="00DC66CD">
        <w:rPr>
          <w:rFonts w:ascii="Garamond" w:eastAsia="SimSun" w:hAnsi="Garamond"/>
          <w:color w:val="000000" w:themeColor="text1"/>
          <w:sz w:val="24"/>
          <w:szCs w:val="24"/>
        </w:rPr>
        <w:t xml:space="preserve">Mbi shërbimet e </w:t>
      </w:r>
      <w:r w:rsidR="00651D87" w:rsidRPr="00DC66CD">
        <w:rPr>
          <w:rFonts w:ascii="Garamond" w:eastAsia="SimSun" w:hAnsi="Garamond"/>
          <w:color w:val="000000" w:themeColor="text1"/>
          <w:sz w:val="24"/>
          <w:szCs w:val="24"/>
        </w:rPr>
        <w:t>p</w:t>
      </w:r>
      <w:r w:rsidRPr="00DC66CD">
        <w:rPr>
          <w:rFonts w:ascii="Garamond" w:eastAsia="SimSun" w:hAnsi="Garamond"/>
          <w:color w:val="000000" w:themeColor="text1"/>
          <w:sz w:val="24"/>
          <w:szCs w:val="24"/>
        </w:rPr>
        <w:t>agesave</w:t>
      </w:r>
      <w:r w:rsidR="002A29AD" w:rsidRPr="00DC66CD">
        <w:rPr>
          <w:rFonts w:ascii="Garamond" w:eastAsia="SimSun" w:hAnsi="Garamond"/>
          <w:color w:val="000000" w:themeColor="text1"/>
          <w:sz w:val="24"/>
          <w:szCs w:val="24"/>
        </w:rPr>
        <w:t>”</w:t>
      </w:r>
      <w:r w:rsidR="00651D87" w:rsidRPr="00DC66CD">
        <w:rPr>
          <w:rFonts w:ascii="Garamond" w:eastAsia="SimSun" w:hAnsi="Garamond"/>
          <w:color w:val="000000" w:themeColor="text1"/>
          <w:sz w:val="24"/>
          <w:szCs w:val="24"/>
        </w:rPr>
        <w:t>,</w:t>
      </w:r>
      <w:r w:rsidRPr="00DC66CD">
        <w:rPr>
          <w:rFonts w:ascii="Garamond" w:eastAsia="SimSun" w:hAnsi="Garamond"/>
          <w:color w:val="000000" w:themeColor="text1"/>
          <w:sz w:val="24"/>
          <w:szCs w:val="24"/>
        </w:rPr>
        <w:t xml:space="preserve"> si dhe i akteve nënligjore të tij, si dhe projektligji që do të transpozojë direktivën e Bashkimit Evropian </w:t>
      </w:r>
      <w:r w:rsidR="002A29AD" w:rsidRPr="00DC66CD">
        <w:rPr>
          <w:rFonts w:ascii="Garamond" w:eastAsia="SimSun" w:hAnsi="Garamond"/>
          <w:color w:val="000000" w:themeColor="text1"/>
          <w:sz w:val="24"/>
          <w:szCs w:val="24"/>
        </w:rPr>
        <w:t>“</w:t>
      </w:r>
      <w:r w:rsidRPr="00DC66CD">
        <w:rPr>
          <w:rFonts w:ascii="Garamond" w:eastAsia="SimSun" w:hAnsi="Garamond"/>
          <w:color w:val="000000" w:themeColor="text1"/>
          <w:sz w:val="24"/>
          <w:szCs w:val="24"/>
        </w:rPr>
        <w:t xml:space="preserve">Mbi </w:t>
      </w:r>
      <w:r w:rsidR="00651D87" w:rsidRPr="00DC66CD">
        <w:rPr>
          <w:rFonts w:ascii="Garamond" w:eastAsia="SimSun" w:hAnsi="Garamond"/>
          <w:color w:val="000000" w:themeColor="text1"/>
          <w:sz w:val="24"/>
          <w:szCs w:val="24"/>
        </w:rPr>
        <w:t>llogarinë e pagesës</w:t>
      </w:r>
      <w:r w:rsidR="002A29AD" w:rsidRPr="00DC66CD">
        <w:rPr>
          <w:rFonts w:ascii="Garamond" w:eastAsia="SimSun" w:hAnsi="Garamond"/>
          <w:color w:val="000000" w:themeColor="text1"/>
          <w:sz w:val="24"/>
          <w:szCs w:val="24"/>
        </w:rPr>
        <w:t>”</w:t>
      </w:r>
      <w:r w:rsidRPr="00DC66CD">
        <w:rPr>
          <w:rFonts w:ascii="Garamond" w:eastAsia="SimSun" w:hAnsi="Garamond"/>
          <w:color w:val="000000" w:themeColor="text1"/>
          <w:sz w:val="24"/>
          <w:szCs w:val="24"/>
        </w:rPr>
        <w:t xml:space="preserve"> është financuar nga SECO.</w:t>
      </w:r>
    </w:p>
    <w:p w14:paraId="605E5C3E" w14:textId="00DE5D1D" w:rsidR="006F605B" w:rsidRPr="00DC66CD" w:rsidRDefault="006F605B" w:rsidP="00254D99">
      <w:pPr>
        <w:snapToGrid w:val="0"/>
        <w:spacing w:after="0" w:line="240" w:lineRule="auto"/>
        <w:ind w:firstLine="284"/>
        <w:jc w:val="both"/>
        <w:rPr>
          <w:rFonts w:ascii="Garamond" w:hAnsi="Garamond"/>
          <w:color w:val="000000" w:themeColor="text1"/>
          <w:sz w:val="24"/>
          <w:szCs w:val="24"/>
        </w:rPr>
      </w:pPr>
      <w:r w:rsidRPr="00DC66CD">
        <w:rPr>
          <w:rFonts w:ascii="Garamond" w:eastAsia="SimSun" w:hAnsi="Garamond"/>
          <w:color w:val="000000" w:themeColor="text1"/>
          <w:sz w:val="24"/>
          <w:szCs w:val="24"/>
        </w:rPr>
        <w:t xml:space="preserve">Zhvillimet infrastrukturore do të mbulohen nga Banka e Shqipërisë (me përjashtim të SWITCH-it kombëtar i cili do të jetë një </w:t>
      </w:r>
      <w:r w:rsidR="00651D87" w:rsidRPr="00DC66CD">
        <w:rPr>
          <w:rFonts w:ascii="Garamond" w:eastAsia="SimSun" w:hAnsi="Garamond"/>
          <w:color w:val="000000" w:themeColor="text1"/>
          <w:sz w:val="24"/>
          <w:szCs w:val="24"/>
        </w:rPr>
        <w:t>k</w:t>
      </w:r>
      <w:r w:rsidRPr="00DC66CD">
        <w:rPr>
          <w:rFonts w:ascii="Garamond" w:eastAsia="SimSun" w:hAnsi="Garamond"/>
          <w:color w:val="000000" w:themeColor="text1"/>
          <w:sz w:val="24"/>
          <w:szCs w:val="24"/>
        </w:rPr>
        <w:t>onsortium ndërbankar).</w:t>
      </w:r>
    </w:p>
    <w:p w14:paraId="35127F5A" w14:textId="74CA9076" w:rsidR="006F605B" w:rsidRPr="00DC66CD" w:rsidRDefault="00F10444" w:rsidP="00F10444">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6. </w:t>
      </w:r>
      <w:r w:rsidR="006F605B" w:rsidRPr="00DC66CD">
        <w:rPr>
          <w:rFonts w:ascii="Garamond" w:hAnsi="Garamond"/>
          <w:color w:val="000000" w:themeColor="text1"/>
          <w:sz w:val="24"/>
          <w:szCs w:val="24"/>
        </w:rPr>
        <w:t>Ndikimi i pritshëm në rezultatet sociale, si</w:t>
      </w:r>
      <w:r w:rsidR="00254D99" w:rsidRPr="00DC66CD">
        <w:rPr>
          <w:rFonts w:ascii="Garamond" w:hAnsi="Garamond"/>
          <w:color w:val="000000" w:themeColor="text1"/>
          <w:sz w:val="24"/>
          <w:szCs w:val="24"/>
        </w:rPr>
        <w:t>:</w:t>
      </w:r>
      <w:r w:rsidR="006F605B" w:rsidRPr="00DC66CD">
        <w:rPr>
          <w:rFonts w:ascii="Garamond" w:hAnsi="Garamond"/>
          <w:color w:val="000000" w:themeColor="text1"/>
          <w:sz w:val="24"/>
          <w:szCs w:val="24"/>
        </w:rPr>
        <w:t xml:space="preserve"> punësimi, ulja e varfërisë, barazia dhe gjinia</w:t>
      </w:r>
    </w:p>
    <w:p w14:paraId="21AC7797" w14:textId="48315714" w:rsidR="006F605B" w:rsidRPr="00DC66CD" w:rsidRDefault="006F605B" w:rsidP="006F605B">
      <w:pPr>
        <w:spacing w:after="0" w:line="240" w:lineRule="auto"/>
        <w:ind w:firstLine="284"/>
        <w:jc w:val="both"/>
        <w:rPr>
          <w:rFonts w:ascii="Garamond" w:eastAsia="SimSun" w:hAnsi="Garamond"/>
          <w:color w:val="000000" w:themeColor="text1"/>
          <w:sz w:val="24"/>
          <w:szCs w:val="24"/>
        </w:rPr>
      </w:pPr>
      <w:r w:rsidRPr="00DC66CD">
        <w:rPr>
          <w:rFonts w:ascii="Garamond" w:eastAsia="SimSun" w:hAnsi="Garamond"/>
          <w:color w:val="000000" w:themeColor="text1"/>
          <w:sz w:val="24"/>
          <w:szCs w:val="24"/>
        </w:rPr>
        <w:t xml:space="preserve">Duke marrë parasysh që projektligji </w:t>
      </w:r>
      <w:r w:rsidR="002A29AD" w:rsidRPr="00DC66CD">
        <w:rPr>
          <w:rFonts w:ascii="Garamond" w:eastAsia="SimSun" w:hAnsi="Garamond"/>
          <w:color w:val="000000" w:themeColor="text1"/>
          <w:sz w:val="24"/>
          <w:szCs w:val="24"/>
        </w:rPr>
        <w:t>“</w:t>
      </w:r>
      <w:r w:rsidRPr="00DC66CD">
        <w:rPr>
          <w:rFonts w:ascii="Garamond" w:eastAsia="SimSun" w:hAnsi="Garamond"/>
          <w:color w:val="000000" w:themeColor="text1"/>
          <w:sz w:val="24"/>
          <w:szCs w:val="24"/>
        </w:rPr>
        <w:t xml:space="preserve">Mbi </w:t>
      </w:r>
      <w:r w:rsidR="0019133C" w:rsidRPr="00DC66CD">
        <w:rPr>
          <w:rFonts w:ascii="Garamond" w:eastAsia="SimSun" w:hAnsi="Garamond"/>
          <w:color w:val="000000" w:themeColor="text1"/>
          <w:sz w:val="24"/>
          <w:szCs w:val="24"/>
        </w:rPr>
        <w:t>shërbimet e pagesave</w:t>
      </w:r>
      <w:r w:rsidR="002A29AD" w:rsidRPr="00DC66CD">
        <w:rPr>
          <w:rFonts w:ascii="Garamond" w:eastAsia="SimSun" w:hAnsi="Garamond"/>
          <w:color w:val="000000" w:themeColor="text1"/>
          <w:sz w:val="24"/>
          <w:szCs w:val="24"/>
        </w:rPr>
        <w:t>”</w:t>
      </w:r>
      <w:r w:rsidRPr="00DC66CD">
        <w:rPr>
          <w:rFonts w:ascii="Garamond" w:eastAsia="SimSun" w:hAnsi="Garamond"/>
          <w:color w:val="000000" w:themeColor="text1"/>
          <w:sz w:val="24"/>
          <w:szCs w:val="24"/>
        </w:rPr>
        <w:t xml:space="preserve"> nxit përfshirjen e kompanive </w:t>
      </w:r>
      <w:r w:rsidRPr="00DC66CD">
        <w:rPr>
          <w:rFonts w:ascii="Garamond" w:eastAsia="SimSun" w:hAnsi="Garamond"/>
          <w:i/>
          <w:color w:val="000000" w:themeColor="text1"/>
          <w:sz w:val="24"/>
          <w:szCs w:val="24"/>
        </w:rPr>
        <w:t>Fintech</w:t>
      </w:r>
      <w:r w:rsidRPr="00DC66CD">
        <w:rPr>
          <w:rFonts w:ascii="Garamond" w:eastAsia="SimSun" w:hAnsi="Garamond"/>
          <w:color w:val="000000" w:themeColor="text1"/>
          <w:sz w:val="24"/>
          <w:szCs w:val="24"/>
        </w:rPr>
        <w:t xml:space="preserve"> në sferën financiare, vlerësohet se hyrja e ofruesve të rinj të shërbimeve të pagesave do të përmirësojë/</w:t>
      </w:r>
      <w:r w:rsidR="0019133C" w:rsidRPr="00DC66CD">
        <w:rPr>
          <w:rFonts w:ascii="Garamond" w:eastAsia="SimSun" w:hAnsi="Garamond"/>
          <w:color w:val="000000" w:themeColor="text1"/>
          <w:sz w:val="24"/>
          <w:szCs w:val="24"/>
        </w:rPr>
        <w:t xml:space="preserve">do të </w:t>
      </w:r>
      <w:r w:rsidRPr="00DC66CD">
        <w:rPr>
          <w:rFonts w:ascii="Garamond" w:eastAsia="SimSun" w:hAnsi="Garamond"/>
          <w:color w:val="000000" w:themeColor="text1"/>
          <w:sz w:val="24"/>
          <w:szCs w:val="24"/>
        </w:rPr>
        <w:t>nxisë</w:t>
      </w:r>
      <w:r w:rsidR="0019133C" w:rsidRPr="00DC66CD">
        <w:rPr>
          <w:rFonts w:ascii="Garamond" w:eastAsia="SimSun" w:hAnsi="Garamond"/>
          <w:color w:val="000000" w:themeColor="text1"/>
          <w:sz w:val="24"/>
          <w:szCs w:val="24"/>
        </w:rPr>
        <w:t>,</w:t>
      </w:r>
      <w:r w:rsidRPr="00DC66CD">
        <w:rPr>
          <w:rFonts w:ascii="Garamond" w:eastAsia="SimSun" w:hAnsi="Garamond"/>
          <w:color w:val="000000" w:themeColor="text1"/>
          <w:sz w:val="24"/>
          <w:szCs w:val="24"/>
        </w:rPr>
        <w:t xml:space="preserve"> gjithashtu</w:t>
      </w:r>
      <w:r w:rsidR="0019133C" w:rsidRPr="00DC66CD">
        <w:rPr>
          <w:rFonts w:ascii="Garamond" w:eastAsia="SimSun" w:hAnsi="Garamond"/>
          <w:color w:val="000000" w:themeColor="text1"/>
          <w:sz w:val="24"/>
          <w:szCs w:val="24"/>
        </w:rPr>
        <w:t>,</w:t>
      </w:r>
      <w:r w:rsidRPr="00DC66CD">
        <w:rPr>
          <w:rFonts w:ascii="Garamond" w:eastAsia="SimSun" w:hAnsi="Garamond"/>
          <w:color w:val="000000" w:themeColor="text1"/>
          <w:sz w:val="24"/>
          <w:szCs w:val="24"/>
        </w:rPr>
        <w:t xml:space="preserve"> edhe punësimin.</w:t>
      </w:r>
    </w:p>
    <w:p w14:paraId="707491CD" w14:textId="4D37F60B" w:rsidR="006F605B" w:rsidRPr="00DC66CD" w:rsidRDefault="0019133C" w:rsidP="006F605B">
      <w:pPr>
        <w:snapToGrid w:val="0"/>
        <w:spacing w:after="0" w:line="240" w:lineRule="auto"/>
        <w:ind w:firstLine="284"/>
        <w:jc w:val="both"/>
        <w:rPr>
          <w:rFonts w:ascii="Garamond" w:hAnsi="Garamond"/>
          <w:color w:val="000000" w:themeColor="text1"/>
          <w:sz w:val="24"/>
          <w:szCs w:val="24"/>
        </w:rPr>
      </w:pPr>
      <w:r w:rsidRPr="00DC66CD">
        <w:rPr>
          <w:rFonts w:ascii="Garamond" w:eastAsia="SimSun" w:hAnsi="Garamond"/>
          <w:color w:val="000000" w:themeColor="text1"/>
          <w:sz w:val="24"/>
          <w:szCs w:val="24"/>
        </w:rPr>
        <w:t>Nga ana tjetër</w:t>
      </w:r>
      <w:r w:rsidR="006F605B" w:rsidRPr="00DC66CD">
        <w:rPr>
          <w:rFonts w:ascii="Garamond" w:eastAsia="SimSun" w:hAnsi="Garamond"/>
          <w:color w:val="000000" w:themeColor="text1"/>
          <w:sz w:val="24"/>
          <w:szCs w:val="24"/>
        </w:rPr>
        <w:t xml:space="preserve"> është pranuar gjerësisht se përfshirja financiare është një komponent i rëndësishëm në uljen e varfërisë. Në këtë drejtim, duke marrë parasysh që strategjia ka si synim gjithëpërfshirës/themelor rritjen e përqindjes së popullsisë që ka akses në shërbimet financiare nga 40% në 70%, vlerësohet se strategjia ka një ndikim të drejtpërdrejtë në uljen e varfërisë.</w:t>
      </w:r>
    </w:p>
    <w:p w14:paraId="7FA97E13" w14:textId="0AAC8DD9" w:rsidR="006F605B" w:rsidRPr="00DC66CD" w:rsidRDefault="00F10444" w:rsidP="00F10444">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7. </w:t>
      </w:r>
      <w:r w:rsidR="006F605B" w:rsidRPr="00DC66CD">
        <w:rPr>
          <w:rFonts w:ascii="Garamond" w:hAnsi="Garamond"/>
          <w:color w:val="000000" w:themeColor="text1"/>
          <w:sz w:val="24"/>
          <w:szCs w:val="24"/>
        </w:rPr>
        <w:t>Ndikimi i pritshëm në mjedis</w:t>
      </w:r>
    </w:p>
    <w:p w14:paraId="2456A6D3" w14:textId="77777777" w:rsidR="006F605B" w:rsidRPr="00DC66CD" w:rsidRDefault="006F605B" w:rsidP="006F605B">
      <w:pPr>
        <w:snapToGrid w:val="0"/>
        <w:spacing w:after="0" w:line="240" w:lineRule="auto"/>
        <w:ind w:firstLine="284"/>
        <w:jc w:val="both"/>
        <w:rPr>
          <w:rFonts w:ascii="Garamond" w:hAnsi="Garamond"/>
          <w:color w:val="000000" w:themeColor="text1"/>
          <w:sz w:val="24"/>
          <w:szCs w:val="24"/>
        </w:rPr>
      </w:pPr>
      <w:r w:rsidRPr="00DC66CD">
        <w:rPr>
          <w:rFonts w:ascii="Garamond" w:eastAsia="SimSun" w:hAnsi="Garamond"/>
          <w:color w:val="000000" w:themeColor="text1"/>
          <w:sz w:val="24"/>
          <w:szCs w:val="24"/>
        </w:rPr>
        <w:t>Strategjia pritet të promovojë pagesa elektronike kundrejt pagesave në formë letër. Në këtë drejtim pritet që shërbimet e reja të pagesave do të promovojnë politika më miqësore ndaj mjedisit.</w:t>
      </w:r>
    </w:p>
    <w:p w14:paraId="6BCDC28D" w14:textId="5F7806CA" w:rsidR="006F605B" w:rsidRPr="00DC66CD" w:rsidRDefault="00F10444" w:rsidP="00F10444">
      <w:pPr>
        <w:pStyle w:val="Heading6"/>
        <w:keepNext w:val="0"/>
        <w:keepLines w:val="0"/>
        <w:snapToGrid w:val="0"/>
        <w:spacing w:before="0" w:line="240" w:lineRule="auto"/>
        <w:ind w:left="284"/>
        <w:jc w:val="both"/>
        <w:rPr>
          <w:rFonts w:ascii="Garamond" w:hAnsi="Garamond"/>
          <w:color w:val="000000" w:themeColor="text1"/>
          <w:sz w:val="24"/>
          <w:szCs w:val="24"/>
        </w:rPr>
      </w:pPr>
      <w:r w:rsidRPr="00DC66CD">
        <w:rPr>
          <w:rFonts w:ascii="Garamond" w:hAnsi="Garamond"/>
          <w:color w:val="000000" w:themeColor="text1"/>
          <w:sz w:val="24"/>
          <w:szCs w:val="24"/>
        </w:rPr>
        <w:t xml:space="preserve">8. </w:t>
      </w:r>
      <w:r w:rsidR="006F605B" w:rsidRPr="00DC66CD">
        <w:rPr>
          <w:rFonts w:ascii="Garamond" w:hAnsi="Garamond"/>
          <w:color w:val="000000" w:themeColor="text1"/>
          <w:sz w:val="24"/>
          <w:szCs w:val="24"/>
        </w:rPr>
        <w:t>Rreziqet e mundshme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1414"/>
        <w:gridCol w:w="3925"/>
      </w:tblGrid>
      <w:tr w:rsidR="006F605B" w:rsidRPr="00DC66CD" w14:paraId="4B01C17F" w14:textId="77777777" w:rsidTr="0019133C">
        <w:trPr>
          <w:jc w:val="center"/>
        </w:trPr>
        <w:tc>
          <w:tcPr>
            <w:tcW w:w="3941" w:type="dxa"/>
            <w:vAlign w:val="center"/>
          </w:tcPr>
          <w:p w14:paraId="4FAD87CB" w14:textId="77777777" w:rsidR="006F605B" w:rsidRPr="00DC66CD" w:rsidRDefault="006F605B" w:rsidP="0019133C">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1414" w:type="dxa"/>
            <w:vAlign w:val="center"/>
          </w:tcPr>
          <w:p w14:paraId="4F3F583A" w14:textId="59E5BFA1" w:rsidR="006F605B" w:rsidRPr="00DC66CD" w:rsidRDefault="006F605B" w:rsidP="0019133C">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r w:rsidR="00F85068" w:rsidRPr="00DC66CD">
              <w:rPr>
                <w:rFonts w:ascii="Garamond" w:hAnsi="Garamond"/>
                <w:b/>
                <w:sz w:val="20"/>
                <w:szCs w:val="20"/>
              </w:rPr>
              <w:t>(i ulët, i lartë)</w:t>
            </w:r>
          </w:p>
        </w:tc>
        <w:tc>
          <w:tcPr>
            <w:tcW w:w="3925" w:type="dxa"/>
            <w:vAlign w:val="center"/>
          </w:tcPr>
          <w:p w14:paraId="4C288EF9" w14:textId="77777777" w:rsidR="006F605B" w:rsidRPr="00DC66CD" w:rsidRDefault="006F605B" w:rsidP="0019133C">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4AAE56A6" w14:textId="77777777" w:rsidTr="0019133C">
        <w:trPr>
          <w:jc w:val="center"/>
        </w:trPr>
        <w:tc>
          <w:tcPr>
            <w:tcW w:w="3941" w:type="dxa"/>
          </w:tcPr>
          <w:p w14:paraId="1D68F337" w14:textId="2BDF8AE0" w:rsidR="006F605B" w:rsidRPr="00DC66CD" w:rsidRDefault="006F605B" w:rsidP="00C90336">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Mosmiratimi i ligjeve dhe </w:t>
            </w:r>
            <w:r w:rsidR="0019133C" w:rsidRPr="00DC66CD">
              <w:rPr>
                <w:rFonts w:ascii="Garamond" w:hAnsi="Garamond"/>
                <w:color w:val="0D0D0D" w:themeColor="text1" w:themeTint="F2"/>
                <w:sz w:val="20"/>
                <w:szCs w:val="20"/>
              </w:rPr>
              <w:t xml:space="preserve">i </w:t>
            </w:r>
            <w:r w:rsidRPr="00DC66CD">
              <w:rPr>
                <w:rFonts w:ascii="Garamond" w:hAnsi="Garamond"/>
                <w:color w:val="0D0D0D" w:themeColor="text1" w:themeTint="F2"/>
                <w:sz w:val="20"/>
                <w:szCs w:val="20"/>
              </w:rPr>
              <w:t>rregulloreve në nivelin e duhur</w:t>
            </w:r>
            <w:r w:rsidR="00C90336" w:rsidRPr="00DC66CD">
              <w:rPr>
                <w:rFonts w:ascii="Garamond" w:hAnsi="Garamond"/>
                <w:color w:val="0D0D0D" w:themeColor="text1" w:themeTint="F2"/>
                <w:sz w:val="20"/>
                <w:szCs w:val="20"/>
              </w:rPr>
              <w:t>,</w:t>
            </w:r>
            <w:r w:rsidRPr="00DC66CD">
              <w:rPr>
                <w:rFonts w:ascii="Garamond" w:hAnsi="Garamond"/>
                <w:color w:val="0D0D0D" w:themeColor="text1" w:themeTint="F2"/>
                <w:sz w:val="20"/>
                <w:szCs w:val="20"/>
              </w:rPr>
              <w:t xml:space="preserve"> në kohën e planifikuar për miratim </w:t>
            </w:r>
            <w:r w:rsidR="00C90336" w:rsidRPr="00DC66CD">
              <w:rPr>
                <w:rFonts w:ascii="Garamond" w:hAnsi="Garamond"/>
                <w:color w:val="0D0D0D" w:themeColor="text1" w:themeTint="F2"/>
                <w:sz w:val="20"/>
                <w:szCs w:val="20"/>
              </w:rPr>
              <w:t>të</w:t>
            </w:r>
            <w:r w:rsidRPr="00DC66CD">
              <w:rPr>
                <w:rFonts w:ascii="Garamond" w:hAnsi="Garamond"/>
                <w:color w:val="0D0D0D" w:themeColor="text1" w:themeTint="F2"/>
                <w:sz w:val="20"/>
                <w:szCs w:val="20"/>
              </w:rPr>
              <w:t xml:space="preserve"> ligjeve të tjera të lidhura indirekt që pengojnë ose kanibalizojnë objektivat e synuar</w:t>
            </w:r>
            <w:r w:rsidR="00C90336" w:rsidRPr="00DC66CD">
              <w:rPr>
                <w:rFonts w:ascii="Garamond" w:hAnsi="Garamond"/>
                <w:color w:val="0D0D0D" w:themeColor="text1" w:themeTint="F2"/>
                <w:sz w:val="20"/>
                <w:szCs w:val="20"/>
              </w:rPr>
              <w:t xml:space="preserve"> të ligjit/të </w:t>
            </w:r>
            <w:r w:rsidRPr="00DC66CD">
              <w:rPr>
                <w:rFonts w:ascii="Garamond" w:hAnsi="Garamond"/>
                <w:color w:val="0D0D0D" w:themeColor="text1" w:themeTint="F2"/>
                <w:sz w:val="20"/>
                <w:szCs w:val="20"/>
              </w:rPr>
              <w:t>ndryshimeve</w:t>
            </w:r>
            <w:r w:rsidR="00C90336" w:rsidRPr="00DC66CD">
              <w:rPr>
                <w:rFonts w:ascii="Garamond" w:hAnsi="Garamond"/>
                <w:color w:val="0D0D0D" w:themeColor="text1" w:themeTint="F2"/>
                <w:sz w:val="20"/>
                <w:szCs w:val="20"/>
              </w:rPr>
              <w:t xml:space="preserve"> rregullative të planifikuara</w:t>
            </w:r>
          </w:p>
        </w:tc>
        <w:tc>
          <w:tcPr>
            <w:tcW w:w="1414" w:type="dxa"/>
          </w:tcPr>
          <w:p w14:paraId="5E4742CB" w14:textId="77777777" w:rsidR="006F605B" w:rsidRPr="00DC66CD" w:rsidRDefault="006F605B" w:rsidP="00F10444">
            <w:pPr>
              <w:snapToGrid w:val="0"/>
              <w:spacing w:after="0" w:line="240" w:lineRule="auto"/>
              <w:rPr>
                <w:rFonts w:ascii="Garamond" w:hAnsi="Garamond"/>
                <w:sz w:val="20"/>
                <w:szCs w:val="20"/>
              </w:rPr>
            </w:pPr>
            <w:r w:rsidRPr="00DC66CD">
              <w:rPr>
                <w:rFonts w:ascii="Garamond" w:hAnsi="Garamond"/>
                <w:sz w:val="20"/>
                <w:szCs w:val="20"/>
              </w:rPr>
              <w:t xml:space="preserve">I ulët </w:t>
            </w:r>
          </w:p>
        </w:tc>
        <w:tc>
          <w:tcPr>
            <w:tcW w:w="3925" w:type="dxa"/>
          </w:tcPr>
          <w:p w14:paraId="6EDA6054" w14:textId="05F18579" w:rsidR="006F605B" w:rsidRPr="00DC66CD" w:rsidRDefault="006F605B" w:rsidP="00F10444">
            <w:pPr>
              <w:snapToGrid w:val="0"/>
              <w:spacing w:after="0" w:line="240" w:lineRule="auto"/>
              <w:rPr>
                <w:rFonts w:ascii="Garamond" w:hAnsi="Garamond"/>
                <w:sz w:val="20"/>
                <w:szCs w:val="20"/>
              </w:rPr>
            </w:pPr>
            <w:r w:rsidRPr="00DC66CD">
              <w:rPr>
                <w:rFonts w:ascii="Garamond" w:hAnsi="Garamond"/>
                <w:sz w:val="20"/>
                <w:szCs w:val="20"/>
              </w:rPr>
              <w:t>Koordinimi ndërmjet institucioneve të ndryshme nëpërmjet Komitetit K</w:t>
            </w:r>
            <w:r w:rsidR="00C90336" w:rsidRPr="00DC66CD">
              <w:rPr>
                <w:rFonts w:ascii="Garamond" w:hAnsi="Garamond"/>
                <w:sz w:val="20"/>
                <w:szCs w:val="20"/>
              </w:rPr>
              <w:t>ombëtar të Sistemit të Pagesave</w:t>
            </w:r>
            <w:r w:rsidR="0072211B" w:rsidRPr="00DC66CD">
              <w:rPr>
                <w:rFonts w:ascii="Garamond" w:hAnsi="Garamond"/>
                <w:sz w:val="20"/>
                <w:szCs w:val="20"/>
              </w:rPr>
              <w:t xml:space="preserve"> </w:t>
            </w:r>
          </w:p>
        </w:tc>
      </w:tr>
      <w:tr w:rsidR="006F605B" w:rsidRPr="00DC66CD" w14:paraId="2BEB8131" w14:textId="77777777" w:rsidTr="0019133C">
        <w:trPr>
          <w:jc w:val="center"/>
        </w:trPr>
        <w:tc>
          <w:tcPr>
            <w:tcW w:w="3941" w:type="dxa"/>
          </w:tcPr>
          <w:p w14:paraId="1D3EF9F2" w14:textId="326E1ACC" w:rsidR="006F605B" w:rsidRPr="00DC66CD" w:rsidRDefault="006F605B" w:rsidP="00C90336">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Mungesa e përfshirjes së të gjith</w:t>
            </w:r>
            <w:r w:rsidR="00C90336" w:rsidRPr="00DC66CD">
              <w:rPr>
                <w:rFonts w:ascii="Garamond" w:hAnsi="Garamond"/>
                <w:color w:val="0D0D0D" w:themeColor="text1" w:themeTint="F2"/>
                <w:sz w:val="20"/>
                <w:szCs w:val="20"/>
              </w:rPr>
              <w:t>a</w:t>
            </w:r>
            <w:r w:rsidRPr="00DC66CD">
              <w:rPr>
                <w:rFonts w:ascii="Garamond" w:hAnsi="Garamond"/>
                <w:color w:val="0D0D0D" w:themeColor="text1" w:themeTint="F2"/>
                <w:sz w:val="20"/>
                <w:szCs w:val="20"/>
              </w:rPr>
              <w:t xml:space="preserve"> palëve të interesit që kontribuojnë në hartimin, zbatimin dhe ekzekutimin e ndryshimeve në </w:t>
            </w:r>
            <w:r w:rsidR="00C90336" w:rsidRPr="00DC66CD">
              <w:rPr>
                <w:rFonts w:ascii="Garamond" w:hAnsi="Garamond"/>
                <w:color w:val="0D0D0D" w:themeColor="text1" w:themeTint="F2"/>
                <w:sz w:val="20"/>
                <w:szCs w:val="20"/>
              </w:rPr>
              <w:t xml:space="preserve">ligje </w:t>
            </w:r>
            <w:r w:rsidRPr="00DC66CD">
              <w:rPr>
                <w:rFonts w:ascii="Garamond" w:hAnsi="Garamond"/>
                <w:color w:val="0D0D0D" w:themeColor="text1" w:themeTint="F2"/>
                <w:sz w:val="20"/>
                <w:szCs w:val="20"/>
              </w:rPr>
              <w:t>/rregullore dhe në infrastruktu</w:t>
            </w:r>
            <w:r w:rsidR="00C90336" w:rsidRPr="00DC66CD">
              <w:rPr>
                <w:rFonts w:ascii="Garamond" w:hAnsi="Garamond"/>
                <w:color w:val="0D0D0D" w:themeColor="text1" w:themeTint="F2"/>
                <w:sz w:val="20"/>
                <w:szCs w:val="20"/>
              </w:rPr>
              <w:t>rat që planifikohen të zbatohen</w:t>
            </w:r>
          </w:p>
        </w:tc>
        <w:tc>
          <w:tcPr>
            <w:tcW w:w="1414" w:type="dxa"/>
          </w:tcPr>
          <w:p w14:paraId="14077203" w14:textId="77777777" w:rsidR="006F605B" w:rsidRPr="00DC66CD" w:rsidRDefault="006F605B" w:rsidP="00F10444">
            <w:pPr>
              <w:snapToGrid w:val="0"/>
              <w:spacing w:after="0" w:line="240" w:lineRule="auto"/>
              <w:rPr>
                <w:rFonts w:ascii="Garamond" w:hAnsi="Garamond"/>
                <w:sz w:val="20"/>
                <w:szCs w:val="20"/>
              </w:rPr>
            </w:pPr>
            <w:r w:rsidRPr="00DC66CD">
              <w:rPr>
                <w:rFonts w:ascii="Garamond" w:hAnsi="Garamond"/>
                <w:sz w:val="20"/>
                <w:szCs w:val="20"/>
              </w:rPr>
              <w:t>I ulët</w:t>
            </w:r>
          </w:p>
        </w:tc>
        <w:tc>
          <w:tcPr>
            <w:tcW w:w="3925" w:type="dxa"/>
          </w:tcPr>
          <w:p w14:paraId="7CADA04C" w14:textId="30AA55D1" w:rsidR="006F605B" w:rsidRPr="00DC66CD" w:rsidRDefault="006F605B" w:rsidP="00F10444">
            <w:pPr>
              <w:snapToGrid w:val="0"/>
              <w:spacing w:after="0" w:line="240" w:lineRule="auto"/>
              <w:rPr>
                <w:rFonts w:ascii="Garamond" w:hAnsi="Garamond"/>
                <w:sz w:val="20"/>
                <w:szCs w:val="20"/>
              </w:rPr>
            </w:pPr>
            <w:r w:rsidRPr="00DC66CD">
              <w:rPr>
                <w:rFonts w:ascii="Garamond" w:hAnsi="Garamond"/>
                <w:sz w:val="20"/>
                <w:szCs w:val="20"/>
              </w:rPr>
              <w:t>Koordinimi ndërmjet institucioneve të ndryshme nëpërmjet Komitetit K</w:t>
            </w:r>
            <w:r w:rsidR="00C90336" w:rsidRPr="00DC66CD">
              <w:rPr>
                <w:rFonts w:ascii="Garamond" w:hAnsi="Garamond"/>
                <w:sz w:val="20"/>
                <w:szCs w:val="20"/>
              </w:rPr>
              <w:t>ombëtar të Sistemit të Pagesave</w:t>
            </w:r>
          </w:p>
        </w:tc>
      </w:tr>
      <w:tr w:rsidR="006F605B" w:rsidRPr="00DC66CD" w14:paraId="37A62999" w14:textId="77777777" w:rsidTr="0019133C">
        <w:trPr>
          <w:jc w:val="center"/>
        </w:trPr>
        <w:tc>
          <w:tcPr>
            <w:tcW w:w="3941" w:type="dxa"/>
          </w:tcPr>
          <w:p w14:paraId="04C7F8C4" w14:textId="474DE446" w:rsidR="006F605B" w:rsidRPr="00DC66CD" w:rsidRDefault="006F605B" w:rsidP="00C90336">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Mungesë ekspertize dhe/ose ekspertizë e kufizuar për të aplikuar</w:t>
            </w:r>
            <w:r w:rsidR="00C90336" w:rsidRPr="00DC66CD">
              <w:rPr>
                <w:rFonts w:ascii="Garamond" w:hAnsi="Garamond"/>
                <w:color w:val="0D0D0D" w:themeColor="text1" w:themeTint="F2"/>
                <w:sz w:val="20"/>
                <w:szCs w:val="20"/>
              </w:rPr>
              <w:t xml:space="preserve"> ndryshime në ligj</w:t>
            </w:r>
            <w:r w:rsidRPr="00DC66CD">
              <w:rPr>
                <w:rFonts w:ascii="Garamond" w:hAnsi="Garamond"/>
                <w:color w:val="0D0D0D" w:themeColor="text1" w:themeTint="F2"/>
                <w:sz w:val="20"/>
                <w:szCs w:val="20"/>
              </w:rPr>
              <w:t xml:space="preserve">/rregullore dhe/ose zbatime teknike të parashikuara të </w:t>
            </w:r>
            <w:r w:rsidR="00C90336" w:rsidRPr="00DC66CD">
              <w:rPr>
                <w:rFonts w:ascii="Garamond" w:hAnsi="Garamond"/>
                <w:color w:val="0D0D0D" w:themeColor="text1" w:themeTint="F2"/>
                <w:sz w:val="20"/>
                <w:szCs w:val="20"/>
              </w:rPr>
              <w:t>përmirësimit të infrastrukturës</w:t>
            </w:r>
          </w:p>
        </w:tc>
        <w:tc>
          <w:tcPr>
            <w:tcW w:w="1414" w:type="dxa"/>
          </w:tcPr>
          <w:p w14:paraId="069F2104" w14:textId="77777777" w:rsidR="006F605B" w:rsidRPr="00DC66CD" w:rsidRDefault="006F605B" w:rsidP="00F10444">
            <w:pPr>
              <w:snapToGrid w:val="0"/>
              <w:spacing w:after="0" w:line="240" w:lineRule="auto"/>
              <w:rPr>
                <w:rFonts w:ascii="Garamond" w:hAnsi="Garamond"/>
                <w:sz w:val="20"/>
                <w:szCs w:val="20"/>
              </w:rPr>
            </w:pPr>
            <w:r w:rsidRPr="00DC66CD">
              <w:rPr>
                <w:rFonts w:ascii="Garamond" w:hAnsi="Garamond"/>
                <w:sz w:val="20"/>
                <w:szCs w:val="20"/>
              </w:rPr>
              <w:t>I ulët</w:t>
            </w:r>
          </w:p>
        </w:tc>
        <w:tc>
          <w:tcPr>
            <w:tcW w:w="3925" w:type="dxa"/>
          </w:tcPr>
          <w:p w14:paraId="21C25791" w14:textId="66163AEA" w:rsidR="006F605B" w:rsidRPr="00DC66CD" w:rsidRDefault="006F605B" w:rsidP="00F10444">
            <w:pPr>
              <w:snapToGrid w:val="0"/>
              <w:spacing w:after="0" w:line="240" w:lineRule="auto"/>
              <w:jc w:val="both"/>
              <w:rPr>
                <w:rFonts w:ascii="Garamond" w:hAnsi="Garamond"/>
                <w:sz w:val="20"/>
                <w:szCs w:val="20"/>
              </w:rPr>
            </w:pPr>
            <w:r w:rsidRPr="00DC66CD">
              <w:rPr>
                <w:rFonts w:ascii="Garamond" w:hAnsi="Garamond"/>
                <w:sz w:val="20"/>
                <w:szCs w:val="20"/>
              </w:rPr>
              <w:t>Banka e Shqipërisë po punon intensivisht për të pasur ekspertizën e duhur nga Banka Botërore dhe Bankat Qendrore të vendeve të Bashkimit Ev</w:t>
            </w:r>
            <w:r w:rsidR="00C90336" w:rsidRPr="00DC66CD">
              <w:rPr>
                <w:rFonts w:ascii="Garamond" w:hAnsi="Garamond"/>
                <w:sz w:val="20"/>
                <w:szCs w:val="20"/>
              </w:rPr>
              <w:t>ropian</w:t>
            </w:r>
          </w:p>
        </w:tc>
      </w:tr>
    </w:tbl>
    <w:p w14:paraId="3825A227" w14:textId="77777777" w:rsidR="006F605B" w:rsidRPr="00DC66CD" w:rsidRDefault="006F605B" w:rsidP="006F605B">
      <w:pPr>
        <w:snapToGrid w:val="0"/>
        <w:spacing w:after="0" w:line="240" w:lineRule="auto"/>
        <w:ind w:firstLine="284"/>
        <w:rPr>
          <w:rFonts w:ascii="Garamond" w:hAnsi="Garamond"/>
          <w:sz w:val="24"/>
          <w:szCs w:val="24"/>
        </w:rPr>
      </w:pPr>
    </w:p>
    <w:p w14:paraId="16CA8950" w14:textId="24BBE7D8" w:rsidR="006F605B" w:rsidRPr="00DC66CD" w:rsidRDefault="00F10444" w:rsidP="00F10444">
      <w:pPr>
        <w:pStyle w:val="TEKSTIIII"/>
        <w:rPr>
          <w:b/>
        </w:rPr>
      </w:pPr>
      <w:bookmarkStart w:id="41" w:name="_Toc484076189"/>
      <w:bookmarkStart w:id="42" w:name="_Toc30661233"/>
      <w:r w:rsidRPr="00DC66CD">
        <w:rPr>
          <w:b/>
        </w:rPr>
        <w:t xml:space="preserve">5.3.4 </w:t>
      </w:r>
      <w:r w:rsidR="006F605B" w:rsidRPr="00DC66CD">
        <w:rPr>
          <w:b/>
        </w:rPr>
        <w:t>Kërkim, zhvillim dhe inovacion, dhe ekonomia digjitale</w:t>
      </w:r>
      <w:bookmarkEnd w:id="41"/>
      <w:bookmarkEnd w:id="42"/>
    </w:p>
    <w:p w14:paraId="73027F0D" w14:textId="57BA1F69" w:rsidR="006F605B" w:rsidRPr="00DC66CD" w:rsidRDefault="00F10444" w:rsidP="00F10444">
      <w:pPr>
        <w:pStyle w:val="TEKSTIIII"/>
        <w:rPr>
          <w:i/>
        </w:rPr>
      </w:pPr>
      <w:r w:rsidRPr="00DC66CD">
        <w:rPr>
          <w:i/>
        </w:rPr>
        <w:t xml:space="preserve">a) </w:t>
      </w:r>
      <w:r w:rsidR="006F605B" w:rsidRPr="00DC66CD">
        <w:rPr>
          <w:i/>
        </w:rPr>
        <w:t>Analiza e pengesave kryesore</w:t>
      </w:r>
    </w:p>
    <w:p w14:paraId="41D11061" w14:textId="5B431E62"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Sektori TIK dhe telekomunikacionet përbë</w:t>
      </w:r>
      <w:r w:rsidR="00C90336" w:rsidRPr="00DC66CD">
        <w:rPr>
          <w:rFonts w:ascii="Garamond" w:hAnsi="Garamond"/>
          <w:sz w:val="24"/>
          <w:szCs w:val="24"/>
        </w:rPr>
        <w:t>j</w:t>
      </w:r>
      <w:r w:rsidRPr="00DC66CD">
        <w:rPr>
          <w:rFonts w:ascii="Garamond" w:hAnsi="Garamond"/>
          <w:sz w:val="24"/>
          <w:szCs w:val="24"/>
        </w:rPr>
        <w:t>n</w:t>
      </w:r>
      <w:r w:rsidR="00C90336" w:rsidRPr="00DC66CD">
        <w:rPr>
          <w:rFonts w:ascii="Garamond" w:hAnsi="Garamond"/>
          <w:sz w:val="24"/>
          <w:szCs w:val="24"/>
        </w:rPr>
        <w:t>ë</w:t>
      </w:r>
      <w:r w:rsidRPr="00DC66CD">
        <w:rPr>
          <w:rFonts w:ascii="Garamond" w:hAnsi="Garamond"/>
          <w:sz w:val="24"/>
          <w:szCs w:val="24"/>
        </w:rPr>
        <w:t xml:space="preserve"> një nga sektorët e rëndësishëm ekonomik</w:t>
      </w:r>
      <w:r w:rsidR="009D4EFD" w:rsidRPr="00DC66CD">
        <w:rPr>
          <w:rFonts w:ascii="Garamond" w:hAnsi="Garamond"/>
          <w:sz w:val="24"/>
          <w:szCs w:val="24"/>
        </w:rPr>
        <w:t>ë</w:t>
      </w:r>
      <w:r w:rsidRPr="00DC66CD">
        <w:rPr>
          <w:rFonts w:ascii="Garamond" w:hAnsi="Garamond"/>
          <w:sz w:val="24"/>
          <w:szCs w:val="24"/>
        </w:rPr>
        <w:t xml:space="preserve"> në vend. Infrastruktura digjitale dhe </w:t>
      </w:r>
      <w:r w:rsidRPr="00DC66CD">
        <w:rPr>
          <w:rFonts w:ascii="Garamond" w:hAnsi="Garamond"/>
          <w:i/>
          <w:sz w:val="24"/>
          <w:szCs w:val="24"/>
        </w:rPr>
        <w:t>broadband</w:t>
      </w:r>
      <w:r w:rsidRPr="00DC66CD">
        <w:rPr>
          <w:rFonts w:ascii="Garamond" w:hAnsi="Garamond"/>
          <w:sz w:val="24"/>
          <w:szCs w:val="24"/>
        </w:rPr>
        <w:t xml:space="preserve"> janë thelbësore për të gjitha zhvillimet e tjera në integrimin digjital dhe ndikon në të gjithë sektorët e ekonomisë. Infrastruktura digjitale është një parakusht për zhvillimet e ekonomisë digjitale në industrinë inovative, e-qeverisjen, e-shëndetësinë, ofrimin e shërbimeve të ndërveprueshme, ofrimin e shërbimeve ndërkufitare etj. Zhvillimi i rrjeteve </w:t>
      </w:r>
      <w:r w:rsidRPr="00DC66CD">
        <w:rPr>
          <w:rFonts w:ascii="Garamond" w:hAnsi="Garamond"/>
          <w:i/>
          <w:sz w:val="24"/>
          <w:szCs w:val="24"/>
        </w:rPr>
        <w:t>broadband</w:t>
      </w:r>
      <w:r w:rsidRPr="00DC66CD">
        <w:rPr>
          <w:rFonts w:ascii="Garamond" w:hAnsi="Garamond"/>
          <w:sz w:val="24"/>
          <w:szCs w:val="24"/>
        </w:rPr>
        <w:t xml:space="preserve"> kërkon investime të mëdha dhe në këtë aspekt</w:t>
      </w:r>
      <w:r w:rsidR="009D4EFD" w:rsidRPr="00DC66CD">
        <w:rPr>
          <w:rFonts w:ascii="Garamond" w:hAnsi="Garamond"/>
          <w:sz w:val="24"/>
          <w:szCs w:val="24"/>
        </w:rPr>
        <w:t>,</w:t>
      </w:r>
      <w:r w:rsidRPr="00DC66CD">
        <w:rPr>
          <w:rFonts w:ascii="Garamond" w:hAnsi="Garamond"/>
          <w:sz w:val="24"/>
          <w:szCs w:val="24"/>
        </w:rPr>
        <w:t xml:space="preserve"> sektori privat është kontribuesi kryesor. Në Shqipëri, tregu i telekomunikacionit është i hapur plotësisht për konkurrencën që nga viti 2008. </w:t>
      </w:r>
      <w:r w:rsidRPr="00DC66CD">
        <w:rPr>
          <w:rFonts w:ascii="Garamond" w:hAnsi="Garamond"/>
          <w:i/>
          <w:sz w:val="24"/>
          <w:szCs w:val="24"/>
        </w:rPr>
        <w:t>Broadband</w:t>
      </w:r>
      <w:r w:rsidRPr="00DC66CD">
        <w:rPr>
          <w:rFonts w:ascii="Garamond" w:hAnsi="Garamond"/>
          <w:sz w:val="24"/>
          <w:szCs w:val="24"/>
        </w:rPr>
        <w:t xml:space="preserve"> nga rrjetet e lëvizshme ofrohet gjerësisht bazuar në teknologjinë LTE. Ndërkohë, në treg ka një numër të konsiderueshëm të ISP-ve që ofrojnë lidhje </w:t>
      </w:r>
      <w:r w:rsidRPr="00DC66CD">
        <w:rPr>
          <w:rFonts w:ascii="Garamond" w:hAnsi="Garamond"/>
          <w:i/>
          <w:sz w:val="24"/>
          <w:szCs w:val="24"/>
        </w:rPr>
        <w:t>broadband</w:t>
      </w:r>
      <w:r w:rsidR="009D4EFD" w:rsidRPr="00DC66CD">
        <w:rPr>
          <w:rFonts w:ascii="Garamond" w:hAnsi="Garamond"/>
          <w:i/>
          <w:sz w:val="24"/>
          <w:szCs w:val="24"/>
        </w:rPr>
        <w:t>,</w:t>
      </w:r>
      <w:r w:rsidRPr="00DC66CD">
        <w:rPr>
          <w:rFonts w:ascii="Garamond" w:hAnsi="Garamond"/>
          <w:sz w:val="24"/>
          <w:szCs w:val="24"/>
        </w:rPr>
        <w:t xml:space="preserve"> bazuar në rrjetin fiks. Prej vitesh në treg ofrohen shërbime të kombinuara trefishe/katërfishe: telefoni, internet dhe TV. Përdoruesit e internetit dhe abonimet në </w:t>
      </w:r>
      <w:r w:rsidRPr="00DC66CD">
        <w:rPr>
          <w:rFonts w:ascii="Garamond" w:hAnsi="Garamond"/>
          <w:i/>
          <w:sz w:val="24"/>
          <w:szCs w:val="24"/>
        </w:rPr>
        <w:t>broadband</w:t>
      </w:r>
      <w:r w:rsidRPr="00DC66CD">
        <w:rPr>
          <w:rFonts w:ascii="Garamond" w:hAnsi="Garamond"/>
          <w:sz w:val="24"/>
          <w:szCs w:val="24"/>
        </w:rPr>
        <w:t xml:space="preserve"> fiks në Shqipëri janë rritur çdo vit me 10</w:t>
      </w:r>
      <w:r w:rsidR="00C51D2D" w:rsidRPr="00DC66CD">
        <w:rPr>
          <w:rFonts w:ascii="Garamond" w:hAnsi="Garamond"/>
          <w:sz w:val="24"/>
          <w:szCs w:val="24"/>
        </w:rPr>
        <w:t>–</w:t>
      </w:r>
      <w:r w:rsidRPr="00DC66CD">
        <w:rPr>
          <w:rFonts w:ascii="Garamond" w:hAnsi="Garamond"/>
          <w:sz w:val="24"/>
          <w:szCs w:val="24"/>
        </w:rPr>
        <w:t>15%. Në fund të vitit 2018</w:t>
      </w:r>
      <w:r w:rsidR="00C51D2D" w:rsidRPr="00DC66CD">
        <w:rPr>
          <w:rFonts w:ascii="Garamond" w:hAnsi="Garamond"/>
          <w:sz w:val="24"/>
          <w:szCs w:val="24"/>
        </w:rPr>
        <w:t>,</w:t>
      </w:r>
      <w:r w:rsidRPr="00DC66CD">
        <w:rPr>
          <w:rFonts w:ascii="Garamond" w:hAnsi="Garamond"/>
          <w:sz w:val="24"/>
          <w:szCs w:val="24"/>
        </w:rPr>
        <w:t xml:space="preserve"> numri i abonimeve </w:t>
      </w:r>
      <w:r w:rsidRPr="00DC66CD">
        <w:rPr>
          <w:rFonts w:ascii="Garamond" w:hAnsi="Garamond"/>
          <w:i/>
          <w:sz w:val="24"/>
          <w:szCs w:val="24"/>
        </w:rPr>
        <w:t>broadband</w:t>
      </w:r>
      <w:r w:rsidRPr="00DC66CD">
        <w:rPr>
          <w:rFonts w:ascii="Garamond" w:hAnsi="Garamond"/>
          <w:sz w:val="24"/>
          <w:szCs w:val="24"/>
        </w:rPr>
        <w:t xml:space="preserve"> fiks ishte 361.000. Megjithatë, penetrimi i </w:t>
      </w:r>
      <w:r w:rsidRPr="00DC66CD">
        <w:rPr>
          <w:rFonts w:ascii="Garamond" w:hAnsi="Garamond"/>
          <w:i/>
          <w:sz w:val="24"/>
          <w:szCs w:val="24"/>
        </w:rPr>
        <w:t>broadband</w:t>
      </w:r>
      <w:r w:rsidRPr="00DC66CD">
        <w:rPr>
          <w:rFonts w:ascii="Garamond" w:hAnsi="Garamond"/>
          <w:sz w:val="24"/>
          <w:szCs w:val="24"/>
        </w:rPr>
        <w:t>-it fiks mbetet në nivele shumë të ulëta krahasuar me vendet e tjera të rajonit dhe me vendet e BE-së.</w:t>
      </w:r>
    </w:p>
    <w:p w14:paraId="0C6E406B" w14:textId="7777777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Situata e </w:t>
      </w:r>
      <w:r w:rsidRPr="00DC66CD">
        <w:rPr>
          <w:rFonts w:ascii="Garamond" w:hAnsi="Garamond"/>
          <w:i/>
          <w:sz w:val="24"/>
          <w:szCs w:val="24"/>
        </w:rPr>
        <w:t>broadband</w:t>
      </w:r>
      <w:r w:rsidRPr="00DC66CD">
        <w:rPr>
          <w:rFonts w:ascii="Garamond" w:hAnsi="Garamond"/>
          <w:sz w:val="24"/>
          <w:szCs w:val="24"/>
        </w:rPr>
        <w:t xml:space="preserve"> në Shqipëri është si më poshtë:</w:t>
      </w:r>
    </w:p>
    <w:p w14:paraId="7CAA00EA" w14:textId="7CCCB6D6" w:rsidR="006F605B" w:rsidRPr="00DC66CD" w:rsidRDefault="00D477CC" w:rsidP="00D477CC">
      <w:pPr>
        <w:pStyle w:val="TEKSTIIII"/>
      </w:pPr>
      <w:r w:rsidRPr="00DC66CD">
        <w:t>-</w:t>
      </w:r>
      <w:r w:rsidR="005E58A0" w:rsidRPr="00DC66CD">
        <w:t xml:space="preserve"> </w:t>
      </w:r>
      <w:r w:rsidR="00C51D2D" w:rsidRPr="00DC66CD">
        <w:t>e</w:t>
      </w:r>
      <w:r w:rsidR="006F605B" w:rsidRPr="00DC66CD">
        <w:t xml:space="preserve">kziston një boshllëk i madh për sa i përket depërtimit të </w:t>
      </w:r>
      <w:r w:rsidR="006F605B" w:rsidRPr="00DC66CD">
        <w:rPr>
          <w:i/>
        </w:rPr>
        <w:t>broadband</w:t>
      </w:r>
      <w:r w:rsidR="006F605B" w:rsidRPr="00DC66CD">
        <w:t>-it fiks midis zonave urbane dhe atyre rurale;</w:t>
      </w:r>
    </w:p>
    <w:p w14:paraId="20F20C1E" w14:textId="331FB8C0" w:rsidR="006F605B" w:rsidRPr="00DC66CD" w:rsidRDefault="00D477CC" w:rsidP="00D477CC">
      <w:pPr>
        <w:pStyle w:val="TEKSTIIII"/>
      </w:pPr>
      <w:r w:rsidRPr="00DC66CD">
        <w:t>-</w:t>
      </w:r>
      <w:r w:rsidR="005E58A0" w:rsidRPr="00DC66CD">
        <w:t xml:space="preserve"> </w:t>
      </w:r>
      <w:r w:rsidR="00C51D2D" w:rsidRPr="00DC66CD">
        <w:t>p</w:t>
      </w:r>
      <w:r w:rsidR="006F605B" w:rsidRPr="00DC66CD">
        <w:t xml:space="preserve">enetrim i </w:t>
      </w:r>
      <w:r w:rsidR="006F605B" w:rsidRPr="00DC66CD">
        <w:rPr>
          <w:i/>
        </w:rPr>
        <w:t>broadband</w:t>
      </w:r>
      <w:r w:rsidR="006F605B" w:rsidRPr="00DC66CD">
        <w:t>-it fiks është i ulët, përafërsisht 40% e familjeve;</w:t>
      </w:r>
    </w:p>
    <w:p w14:paraId="00C79F2A" w14:textId="62011A35" w:rsidR="006F605B" w:rsidRPr="00DC66CD" w:rsidRDefault="00D477CC" w:rsidP="00D477CC">
      <w:pPr>
        <w:pStyle w:val="TEKSTIIII"/>
      </w:pPr>
      <w:r w:rsidRPr="00DC66CD">
        <w:t>-</w:t>
      </w:r>
      <w:r w:rsidR="005E58A0" w:rsidRPr="00DC66CD">
        <w:t xml:space="preserve"> </w:t>
      </w:r>
      <w:r w:rsidR="00C51D2D" w:rsidRPr="00DC66CD">
        <w:t>p</w:t>
      </w:r>
      <w:r w:rsidR="006F605B" w:rsidRPr="00DC66CD">
        <w:t xml:space="preserve">enetrim i </w:t>
      </w:r>
      <w:r w:rsidR="006F605B" w:rsidRPr="00DC66CD">
        <w:rPr>
          <w:i/>
        </w:rPr>
        <w:t>broadband</w:t>
      </w:r>
      <w:r w:rsidR="006F605B" w:rsidRPr="00DC66CD">
        <w:t>-it të telefonisë celulare është më i lartë se ai fiks, mbulimi i popullsisë me LTE është mbi 85%;</w:t>
      </w:r>
    </w:p>
    <w:p w14:paraId="0531AD95" w14:textId="255DA4E9" w:rsidR="006F605B" w:rsidRPr="00DC66CD" w:rsidRDefault="00D477CC" w:rsidP="00D477CC">
      <w:pPr>
        <w:pStyle w:val="TEKSTIIII"/>
      </w:pPr>
      <w:r w:rsidRPr="00DC66CD">
        <w:t>-</w:t>
      </w:r>
      <w:r w:rsidR="005E58A0" w:rsidRPr="00DC66CD">
        <w:t xml:space="preserve"> </w:t>
      </w:r>
      <w:r w:rsidR="00C51D2D" w:rsidRPr="00DC66CD">
        <w:t>p</w:t>
      </w:r>
      <w:r w:rsidR="006F605B" w:rsidRPr="00DC66CD">
        <w:t xml:space="preserve">ërdoruesit e </w:t>
      </w:r>
      <w:r w:rsidR="006F605B" w:rsidRPr="00DC66CD">
        <w:rPr>
          <w:i/>
        </w:rPr>
        <w:t>broadband</w:t>
      </w:r>
      <w:r w:rsidR="006F605B" w:rsidRPr="00DC66CD">
        <w:t>-it të telefonisë celulare arritën në mbi 1.8 milionë deri në fund të vitit 2018.</w:t>
      </w:r>
    </w:p>
    <w:p w14:paraId="5DDCDDC2" w14:textId="5E8462D1"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Situata aktuale e lidhjes </w:t>
      </w:r>
      <w:r w:rsidRPr="00DC66CD">
        <w:rPr>
          <w:rFonts w:ascii="Garamond" w:hAnsi="Garamond"/>
          <w:i/>
          <w:sz w:val="24"/>
          <w:szCs w:val="24"/>
        </w:rPr>
        <w:t>broadband</w:t>
      </w:r>
      <w:r w:rsidRPr="00DC66CD">
        <w:rPr>
          <w:rFonts w:ascii="Garamond" w:hAnsi="Garamond"/>
          <w:sz w:val="24"/>
          <w:szCs w:val="24"/>
        </w:rPr>
        <w:t xml:space="preserve"> në arsimin publik është larg nga ajo e ofrimit të këtij shërbimi me shpejtësi mbi 30 </w:t>
      </w:r>
      <w:r w:rsidR="00C51D2D" w:rsidRPr="00DC66CD">
        <w:rPr>
          <w:rFonts w:ascii="Garamond" w:hAnsi="Garamond"/>
          <w:sz w:val="24"/>
          <w:szCs w:val="24"/>
        </w:rPr>
        <w:t>Mbps</w:t>
      </w:r>
      <w:r w:rsidRPr="00DC66CD">
        <w:rPr>
          <w:rFonts w:ascii="Garamond" w:hAnsi="Garamond"/>
          <w:sz w:val="24"/>
          <w:szCs w:val="24"/>
        </w:rPr>
        <w:t xml:space="preserve">. </w:t>
      </w:r>
      <w:r w:rsidRPr="00DC66CD">
        <w:rPr>
          <w:rFonts w:ascii="Garamond" w:hAnsi="Garamond"/>
          <w:i/>
          <w:sz w:val="24"/>
          <w:szCs w:val="24"/>
        </w:rPr>
        <w:t>Bandwidth</w:t>
      </w:r>
      <w:r w:rsidRPr="00DC66CD">
        <w:rPr>
          <w:rFonts w:ascii="Garamond" w:hAnsi="Garamond"/>
          <w:sz w:val="24"/>
          <w:szCs w:val="24"/>
        </w:rPr>
        <w:t xml:space="preserve"> maksimal i ofruar është deri në 8</w:t>
      </w:r>
      <w:r w:rsidR="00C51D2D" w:rsidRPr="00DC66CD">
        <w:rPr>
          <w:rFonts w:ascii="Garamond" w:hAnsi="Garamond"/>
          <w:sz w:val="24"/>
          <w:szCs w:val="24"/>
        </w:rPr>
        <w:t>–</w:t>
      </w:r>
      <w:r w:rsidRPr="00DC66CD">
        <w:rPr>
          <w:rFonts w:ascii="Garamond" w:hAnsi="Garamond"/>
          <w:sz w:val="24"/>
          <w:szCs w:val="24"/>
        </w:rPr>
        <w:t xml:space="preserve">10 </w:t>
      </w:r>
      <w:r w:rsidR="00C51D2D" w:rsidRPr="00DC66CD">
        <w:rPr>
          <w:rFonts w:ascii="Garamond" w:hAnsi="Garamond"/>
          <w:sz w:val="24"/>
          <w:szCs w:val="24"/>
        </w:rPr>
        <w:t xml:space="preserve">Mbps </w:t>
      </w:r>
      <w:r w:rsidRPr="00DC66CD">
        <w:rPr>
          <w:rFonts w:ascii="Garamond" w:hAnsi="Garamond"/>
          <w:sz w:val="24"/>
          <w:szCs w:val="24"/>
        </w:rPr>
        <w:t>dhe gjysma e shkollave janë pa ose me lidhje internet shumë të kufizuar. E njëjta situatë ekziston edhe për institucionet e shëndetit publik, gjë që e bën të vështirë zbatimin e shërbimeve të e-shëndetësisë, veçanërisht në zonat e largëta të vendit.</w:t>
      </w:r>
    </w:p>
    <w:p w14:paraId="7D343C63" w14:textId="22C1A43A"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Qeveria e Shqipërisë ka identifikuar zhvillimin e infrastrukturës digjitale dhe </w:t>
      </w:r>
      <w:r w:rsidRPr="00DC66CD">
        <w:rPr>
          <w:rFonts w:ascii="Garamond" w:hAnsi="Garamond"/>
          <w:i/>
          <w:sz w:val="24"/>
          <w:szCs w:val="24"/>
        </w:rPr>
        <w:t>broadband</w:t>
      </w:r>
      <w:r w:rsidRPr="00DC66CD">
        <w:rPr>
          <w:rFonts w:ascii="Garamond" w:hAnsi="Garamond"/>
          <w:sz w:val="24"/>
          <w:szCs w:val="24"/>
        </w:rPr>
        <w:t xml:space="preserve"> si prioritet kyç në dokumentet strategjike</w:t>
      </w:r>
      <w:r w:rsidR="00C51D2D" w:rsidRPr="00DC66CD">
        <w:rPr>
          <w:rFonts w:ascii="Garamond" w:hAnsi="Garamond"/>
          <w:sz w:val="24"/>
          <w:szCs w:val="24"/>
        </w:rPr>
        <w:t>,</w:t>
      </w:r>
      <w:r w:rsidRPr="00DC66CD">
        <w:rPr>
          <w:rFonts w:ascii="Garamond" w:hAnsi="Garamond"/>
          <w:sz w:val="24"/>
          <w:szCs w:val="24"/>
        </w:rPr>
        <w:t xml:space="preserve"> si: Strategjia Kombëtare për Zhvillim dhe Integrim (SKZHI), Strategjia e Agjendës Digjitale, Programi i Reformave Ekonomike (ERP) </w:t>
      </w:r>
      <w:r w:rsidR="00433A3A" w:rsidRPr="00DC66CD">
        <w:rPr>
          <w:rFonts w:ascii="Garamond" w:hAnsi="Garamond"/>
          <w:sz w:val="24"/>
          <w:szCs w:val="24"/>
        </w:rPr>
        <w:t>2019–</w:t>
      </w:r>
      <w:r w:rsidRPr="00DC66CD">
        <w:rPr>
          <w:rFonts w:ascii="Garamond" w:hAnsi="Garamond"/>
          <w:sz w:val="24"/>
          <w:szCs w:val="24"/>
        </w:rPr>
        <w:t xml:space="preserve">2021, Plani Kombëtar i </w:t>
      </w:r>
      <w:r w:rsidRPr="00DC66CD">
        <w:rPr>
          <w:rFonts w:ascii="Garamond" w:hAnsi="Garamond"/>
          <w:i/>
          <w:sz w:val="24"/>
          <w:szCs w:val="24"/>
        </w:rPr>
        <w:t>Broadband</w:t>
      </w:r>
      <w:r w:rsidR="00C51D2D" w:rsidRPr="00DC66CD">
        <w:rPr>
          <w:rFonts w:ascii="Garamond" w:hAnsi="Garamond"/>
          <w:sz w:val="24"/>
          <w:szCs w:val="24"/>
        </w:rPr>
        <w:t>-it</w:t>
      </w:r>
      <w:r w:rsidRPr="00DC66CD">
        <w:rPr>
          <w:rFonts w:ascii="Garamond" w:hAnsi="Garamond"/>
          <w:sz w:val="24"/>
          <w:szCs w:val="24"/>
        </w:rPr>
        <w:t xml:space="preserve">. Prioriteti i dytë strategjik i Agjendës Digjitale 2020: </w:t>
      </w:r>
      <w:r w:rsidR="00C51D2D" w:rsidRPr="00DC66CD">
        <w:rPr>
          <w:rFonts w:ascii="Garamond" w:hAnsi="Garamond"/>
          <w:sz w:val="24"/>
          <w:szCs w:val="24"/>
        </w:rPr>
        <w:t>“</w:t>
      </w:r>
      <w:r w:rsidRPr="00DC66CD">
        <w:rPr>
          <w:rFonts w:ascii="Garamond" w:hAnsi="Garamond"/>
          <w:sz w:val="24"/>
          <w:szCs w:val="24"/>
        </w:rPr>
        <w:t>Politika për zhvillimin e komunikimeve elektronike në të gjithë sektorët (shëndetësi, arsim, mjedis, bujqësi, turizëm, kulturë, energji, transport etj.)</w:t>
      </w:r>
      <w:r w:rsidR="002A29AD" w:rsidRPr="00DC66CD">
        <w:rPr>
          <w:rFonts w:ascii="Garamond" w:hAnsi="Garamond"/>
          <w:sz w:val="24"/>
          <w:szCs w:val="24"/>
        </w:rPr>
        <w:t>”</w:t>
      </w:r>
      <w:r w:rsidRPr="00DC66CD">
        <w:rPr>
          <w:rFonts w:ascii="Garamond" w:hAnsi="Garamond"/>
          <w:sz w:val="24"/>
          <w:szCs w:val="24"/>
        </w:rPr>
        <w:t xml:space="preserve"> thekson se një nga drejtimet kryesore është zhvillimi i infrastrukturës së komunikimeve elektronike, së bashku me </w:t>
      </w:r>
      <w:r w:rsidRPr="00DC66CD">
        <w:rPr>
          <w:rFonts w:ascii="Garamond" w:hAnsi="Garamond"/>
          <w:i/>
          <w:sz w:val="24"/>
          <w:szCs w:val="24"/>
        </w:rPr>
        <w:t>broadband</w:t>
      </w:r>
      <w:r w:rsidRPr="00DC66CD">
        <w:rPr>
          <w:rFonts w:ascii="Garamond" w:hAnsi="Garamond"/>
          <w:sz w:val="24"/>
          <w:szCs w:val="24"/>
        </w:rPr>
        <w:t xml:space="preserve">-in e shpejtë dhe shumë të shpejtë. </w:t>
      </w:r>
    </w:p>
    <w:p w14:paraId="57FDABE8" w14:textId="19BD4516"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Kuadri ligjor kryesor për telekomunikacionin dhe </w:t>
      </w:r>
      <w:r w:rsidRPr="00DC66CD">
        <w:rPr>
          <w:rFonts w:ascii="Garamond" w:hAnsi="Garamond"/>
          <w:i/>
          <w:sz w:val="24"/>
          <w:szCs w:val="24"/>
        </w:rPr>
        <w:t>broadband</w:t>
      </w:r>
      <w:r w:rsidRPr="00DC66CD">
        <w:rPr>
          <w:rFonts w:ascii="Garamond" w:hAnsi="Garamond"/>
          <w:sz w:val="24"/>
          <w:szCs w:val="24"/>
        </w:rPr>
        <w:t>-in është ligji</w:t>
      </w:r>
      <w:r w:rsidR="00E33D88" w:rsidRPr="00DC66CD">
        <w:rPr>
          <w:rFonts w:ascii="Garamond" w:hAnsi="Garamond"/>
          <w:sz w:val="24"/>
          <w:szCs w:val="24"/>
        </w:rPr>
        <w:t xml:space="preserve"> nr. </w:t>
      </w:r>
      <w:r w:rsidRPr="00DC66CD">
        <w:rPr>
          <w:rFonts w:ascii="Garamond" w:hAnsi="Garamond"/>
          <w:sz w:val="24"/>
          <w:szCs w:val="24"/>
        </w:rPr>
        <w:t>9918</w:t>
      </w:r>
      <w:r w:rsidR="00C51D2D" w:rsidRPr="00DC66CD">
        <w:rPr>
          <w:rFonts w:ascii="Garamond" w:hAnsi="Garamond"/>
          <w:sz w:val="24"/>
          <w:szCs w:val="24"/>
        </w:rPr>
        <w:t>,</w:t>
      </w:r>
      <w:r w:rsidRPr="00DC66CD">
        <w:rPr>
          <w:rFonts w:ascii="Garamond" w:hAnsi="Garamond"/>
          <w:sz w:val="24"/>
          <w:szCs w:val="24"/>
        </w:rPr>
        <w:t xml:space="preserve"> datë 19.5.2008</w:t>
      </w:r>
      <w:r w:rsidR="00C51D2D"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sz w:val="24"/>
          <w:szCs w:val="24"/>
        </w:rPr>
        <w:t>“</w:t>
      </w:r>
      <w:r w:rsidRPr="00DC66CD">
        <w:rPr>
          <w:rFonts w:ascii="Garamond" w:hAnsi="Garamond"/>
          <w:sz w:val="24"/>
          <w:szCs w:val="24"/>
        </w:rPr>
        <w:t>Për komunikimet elektronike në Republikën e Shqipërisë</w:t>
      </w:r>
      <w:r w:rsidR="002A29AD" w:rsidRPr="00DC66CD">
        <w:rPr>
          <w:rFonts w:ascii="Garamond" w:hAnsi="Garamond"/>
          <w:sz w:val="24"/>
          <w:szCs w:val="24"/>
        </w:rPr>
        <w:t>”</w:t>
      </w:r>
      <w:r w:rsidR="00C51D2D" w:rsidRPr="00DC66CD">
        <w:rPr>
          <w:rFonts w:ascii="Garamond" w:hAnsi="Garamond"/>
          <w:sz w:val="24"/>
          <w:szCs w:val="24"/>
        </w:rPr>
        <w:t>,</w:t>
      </w:r>
      <w:r w:rsidRPr="00DC66CD">
        <w:rPr>
          <w:rFonts w:ascii="Garamond" w:hAnsi="Garamond"/>
          <w:sz w:val="24"/>
          <w:szCs w:val="24"/>
        </w:rPr>
        <w:t xml:space="preserve"> i amenduar. Ky ligj është bazuar në paketën e BE</w:t>
      </w:r>
      <w:r w:rsidR="005E58A0" w:rsidRPr="00DC66CD">
        <w:rPr>
          <w:rFonts w:ascii="Garamond" w:hAnsi="Garamond"/>
          <w:sz w:val="24"/>
          <w:szCs w:val="24"/>
        </w:rPr>
        <w:t>-së</w:t>
      </w:r>
      <w:r w:rsidRPr="00DC66CD">
        <w:rPr>
          <w:rFonts w:ascii="Garamond" w:hAnsi="Garamond"/>
          <w:sz w:val="24"/>
          <w:szCs w:val="24"/>
        </w:rPr>
        <w:t xml:space="preserve"> për komunikimet elektronike 2002, amenduar nga direktiva 2009. Shqipëria ka miratuar</w:t>
      </w:r>
      <w:r w:rsidR="00C51D2D" w:rsidRPr="00DC66CD">
        <w:rPr>
          <w:rFonts w:ascii="Garamond" w:hAnsi="Garamond"/>
          <w:sz w:val="24"/>
          <w:szCs w:val="24"/>
        </w:rPr>
        <w:t>,</w:t>
      </w:r>
      <w:r w:rsidRPr="00DC66CD">
        <w:rPr>
          <w:rFonts w:ascii="Garamond" w:hAnsi="Garamond"/>
          <w:sz w:val="24"/>
          <w:szCs w:val="24"/>
        </w:rPr>
        <w:t xml:space="preserve"> gjithashtu</w:t>
      </w:r>
      <w:r w:rsidR="00C51D2D" w:rsidRPr="00DC66CD">
        <w:rPr>
          <w:rFonts w:ascii="Garamond" w:hAnsi="Garamond"/>
          <w:sz w:val="24"/>
          <w:szCs w:val="24"/>
        </w:rPr>
        <w:t>,</w:t>
      </w:r>
      <w:r w:rsidRPr="00DC66CD">
        <w:rPr>
          <w:rFonts w:ascii="Garamond" w:hAnsi="Garamond"/>
          <w:sz w:val="24"/>
          <w:szCs w:val="24"/>
        </w:rPr>
        <w:t xml:space="preserve"> </w:t>
      </w:r>
      <w:r w:rsidR="005E58A0" w:rsidRPr="00DC66CD">
        <w:rPr>
          <w:rFonts w:ascii="Garamond" w:hAnsi="Garamond"/>
          <w:sz w:val="24"/>
          <w:szCs w:val="24"/>
        </w:rPr>
        <w:t>l</w:t>
      </w:r>
      <w:r w:rsidRPr="00DC66CD">
        <w:rPr>
          <w:rFonts w:ascii="Garamond" w:hAnsi="Garamond"/>
          <w:sz w:val="24"/>
          <w:szCs w:val="24"/>
        </w:rPr>
        <w:t>igjin</w:t>
      </w:r>
      <w:r w:rsidR="00E33D88" w:rsidRPr="00DC66CD">
        <w:rPr>
          <w:rFonts w:ascii="Garamond" w:hAnsi="Garamond"/>
          <w:sz w:val="24"/>
          <w:szCs w:val="24"/>
        </w:rPr>
        <w:t xml:space="preserve"> nr. </w:t>
      </w:r>
      <w:r w:rsidRPr="00DC66CD">
        <w:rPr>
          <w:rFonts w:ascii="Garamond" w:hAnsi="Garamond"/>
          <w:sz w:val="24"/>
          <w:szCs w:val="24"/>
        </w:rPr>
        <w:t>120, datë 24.11.2016</w:t>
      </w:r>
      <w:r w:rsidR="00C51D2D" w:rsidRPr="00DC66CD">
        <w:rPr>
          <w:rFonts w:ascii="Garamond" w:hAnsi="Garamond"/>
          <w:sz w:val="24"/>
          <w:szCs w:val="24"/>
        </w:rPr>
        <w:t>,</w:t>
      </w:r>
      <w:r w:rsidRPr="00DC66CD">
        <w:rPr>
          <w:rFonts w:ascii="Garamond" w:hAnsi="Garamond"/>
          <w:sz w:val="24"/>
          <w:szCs w:val="24"/>
        </w:rPr>
        <w:t xml:space="preserve"> për zhvillimin e </w:t>
      </w:r>
      <w:r w:rsidRPr="00DC66CD">
        <w:rPr>
          <w:rFonts w:ascii="Garamond" w:hAnsi="Garamond"/>
          <w:i/>
          <w:sz w:val="24"/>
          <w:szCs w:val="24"/>
        </w:rPr>
        <w:t>broadban</w:t>
      </w:r>
      <w:r w:rsidR="00C51D2D" w:rsidRPr="00DC66CD">
        <w:rPr>
          <w:rFonts w:ascii="Garamond" w:hAnsi="Garamond"/>
          <w:i/>
          <w:sz w:val="24"/>
          <w:szCs w:val="24"/>
        </w:rPr>
        <w:t>d-</w:t>
      </w:r>
      <w:r w:rsidR="00C51D2D" w:rsidRPr="00DC66CD">
        <w:rPr>
          <w:rFonts w:ascii="Garamond" w:hAnsi="Garamond"/>
          <w:sz w:val="24"/>
          <w:szCs w:val="24"/>
        </w:rPr>
        <w:t>it</w:t>
      </w:r>
      <w:r w:rsidRPr="00DC66CD">
        <w:rPr>
          <w:rStyle w:val="FootnoteReference"/>
          <w:rFonts w:ascii="Garamond" w:hAnsi="Garamond"/>
          <w:sz w:val="24"/>
          <w:szCs w:val="24"/>
        </w:rPr>
        <w:footnoteReference w:id="22"/>
      </w:r>
      <w:r w:rsidRPr="00DC66CD">
        <w:rPr>
          <w:rFonts w:ascii="Garamond" w:hAnsi="Garamond"/>
          <w:sz w:val="24"/>
          <w:szCs w:val="24"/>
        </w:rPr>
        <w:t xml:space="preserve">. Ky ligj synon të rrisë investimet, të përmirësojë depërtimin e </w:t>
      </w:r>
      <w:r w:rsidRPr="00DC66CD">
        <w:rPr>
          <w:rFonts w:ascii="Garamond" w:hAnsi="Garamond"/>
          <w:i/>
          <w:sz w:val="24"/>
          <w:szCs w:val="24"/>
        </w:rPr>
        <w:t>broadband</w:t>
      </w:r>
      <w:r w:rsidRPr="00DC66CD">
        <w:rPr>
          <w:rFonts w:ascii="Garamond" w:hAnsi="Garamond"/>
          <w:sz w:val="24"/>
          <w:szCs w:val="24"/>
        </w:rPr>
        <w:t xml:space="preserve">-it, të rrisë efikasitetin e infrastrukturës ekzistuese përmes ndarjes së infrastrukturës, si dhe do të rrisë konkurrencën. Përveç kësaj, ky ligj ka edhe disa përfitime sociale dhe mjedisore. Zbatimi </w:t>
      </w:r>
      <w:r w:rsidR="005E58A0" w:rsidRPr="00DC66CD">
        <w:rPr>
          <w:rFonts w:ascii="Garamond" w:hAnsi="Garamond"/>
          <w:sz w:val="24"/>
          <w:szCs w:val="24"/>
        </w:rPr>
        <w:t xml:space="preserve">i ligjit </w:t>
      </w:r>
      <w:r w:rsidR="00E33D88" w:rsidRPr="00DC66CD">
        <w:rPr>
          <w:rFonts w:ascii="Garamond" w:hAnsi="Garamond"/>
          <w:sz w:val="24"/>
          <w:szCs w:val="24"/>
        </w:rPr>
        <w:t xml:space="preserve">nr. </w:t>
      </w:r>
      <w:r w:rsidRPr="00DC66CD">
        <w:rPr>
          <w:rFonts w:ascii="Garamond" w:hAnsi="Garamond"/>
          <w:sz w:val="24"/>
          <w:szCs w:val="24"/>
        </w:rPr>
        <w:t>120/2016 është ende në fazat e hershme. Puna për të ndarë infrastrukturën</w:t>
      </w:r>
      <w:r w:rsidR="00C51D2D" w:rsidRPr="00DC66CD">
        <w:rPr>
          <w:rFonts w:ascii="Garamond" w:hAnsi="Garamond"/>
          <w:sz w:val="24"/>
          <w:szCs w:val="24"/>
        </w:rPr>
        <w:t>,</w:t>
      </w:r>
      <w:r w:rsidRPr="00DC66CD">
        <w:rPr>
          <w:rFonts w:ascii="Garamond" w:hAnsi="Garamond"/>
          <w:sz w:val="24"/>
          <w:szCs w:val="24"/>
        </w:rPr>
        <w:t xml:space="preserve"> midis sektorit energjetik dhe sektorit telekom</w:t>
      </w:r>
      <w:r w:rsidR="00C51D2D" w:rsidRPr="00DC66CD">
        <w:rPr>
          <w:rFonts w:ascii="Garamond" w:hAnsi="Garamond"/>
          <w:sz w:val="24"/>
          <w:szCs w:val="24"/>
        </w:rPr>
        <w:t>,</w:t>
      </w:r>
      <w:r w:rsidRPr="00DC66CD">
        <w:rPr>
          <w:rFonts w:ascii="Garamond" w:hAnsi="Garamond"/>
          <w:sz w:val="24"/>
          <w:szCs w:val="24"/>
        </w:rPr>
        <w:t xml:space="preserve"> është në proces.</w:t>
      </w:r>
    </w:p>
    <w:p w14:paraId="39B8CC8E" w14:textId="0D1025AD"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Në </w:t>
      </w:r>
      <w:r w:rsidR="005E58A0" w:rsidRPr="00DC66CD">
        <w:rPr>
          <w:rFonts w:ascii="Garamond" w:hAnsi="Garamond"/>
          <w:sz w:val="24"/>
          <w:szCs w:val="24"/>
        </w:rPr>
        <w:t>d</w:t>
      </w:r>
      <w:r w:rsidRPr="00DC66CD">
        <w:rPr>
          <w:rFonts w:ascii="Garamond" w:hAnsi="Garamond"/>
          <w:sz w:val="24"/>
          <w:szCs w:val="24"/>
        </w:rPr>
        <w:t>hjetor 2018, Bashkimi E</w:t>
      </w:r>
      <w:r w:rsidR="005E58A0" w:rsidRPr="00DC66CD">
        <w:rPr>
          <w:rFonts w:ascii="Garamond" w:hAnsi="Garamond"/>
          <w:sz w:val="24"/>
          <w:szCs w:val="24"/>
        </w:rPr>
        <w:t>v</w:t>
      </w:r>
      <w:r w:rsidRPr="00DC66CD">
        <w:rPr>
          <w:rFonts w:ascii="Garamond" w:hAnsi="Garamond"/>
          <w:sz w:val="24"/>
          <w:szCs w:val="24"/>
        </w:rPr>
        <w:t xml:space="preserve">ropian ka aprovuar kodin e ri të komunikimeve elektronike nga </w:t>
      </w:r>
      <w:r w:rsidR="005E58A0" w:rsidRPr="00DC66CD">
        <w:rPr>
          <w:rFonts w:ascii="Garamond" w:hAnsi="Garamond"/>
          <w:sz w:val="24"/>
          <w:szCs w:val="24"/>
        </w:rPr>
        <w:t>d</w:t>
      </w:r>
      <w:r w:rsidRPr="00DC66CD">
        <w:rPr>
          <w:rFonts w:ascii="Garamond" w:hAnsi="Garamond"/>
          <w:sz w:val="24"/>
          <w:szCs w:val="24"/>
        </w:rPr>
        <w:t>irektiva 2018/1972/EU. Kodi i ri i komunikimeve elektronike zëvendëson paketën rregullatore të BE</w:t>
      </w:r>
      <w:r w:rsidR="005E58A0" w:rsidRPr="00DC66CD">
        <w:rPr>
          <w:rFonts w:ascii="Garamond" w:hAnsi="Garamond"/>
          <w:sz w:val="24"/>
          <w:szCs w:val="24"/>
        </w:rPr>
        <w:t>-së</w:t>
      </w:r>
      <w:r w:rsidRPr="00DC66CD">
        <w:rPr>
          <w:rFonts w:ascii="Garamond" w:hAnsi="Garamond"/>
          <w:sz w:val="24"/>
          <w:szCs w:val="24"/>
        </w:rPr>
        <w:t xml:space="preserve"> për komunikimet elektronike 2002/19/EC, 2002/20/EC, 2002/22/EC, 2002/21/EC të amenduar. Dispozitat e kodit përfshijnë masa për të stimuluar investimet dhe marrjen e rrjeteve me kapacitet shumë të lartë në Bashkimin Evropian, rregulla të reja të spektrit për lidhjen mobile dhe 5G, si dhe ndryshimet në qeverisje, regjimin e shërbimit universal, rregullat e mbrojtjes së përdoruesit fundorë dhe rregullat e numërimit dhe të komunikimit urgjent.</w:t>
      </w:r>
    </w:p>
    <w:p w14:paraId="018C454C" w14:textId="511340C5"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Raporti i Komisionit </w:t>
      </w:r>
      <w:r w:rsidR="00C51D2D" w:rsidRPr="00DC66CD">
        <w:rPr>
          <w:rFonts w:ascii="Garamond" w:hAnsi="Garamond"/>
          <w:sz w:val="24"/>
          <w:szCs w:val="24"/>
        </w:rPr>
        <w:t>Evropian</w:t>
      </w:r>
      <w:r w:rsidRPr="00DC66CD">
        <w:rPr>
          <w:rFonts w:ascii="Garamond" w:hAnsi="Garamond"/>
          <w:sz w:val="24"/>
          <w:szCs w:val="24"/>
        </w:rPr>
        <w:t xml:space="preserve"> 2019, rekomandon</w:t>
      </w:r>
      <w:r w:rsidR="00C51D2D" w:rsidRPr="00DC66CD">
        <w:rPr>
          <w:rFonts w:ascii="Garamond" w:hAnsi="Garamond"/>
          <w:sz w:val="24"/>
          <w:szCs w:val="24"/>
        </w:rPr>
        <w:t>,</w:t>
      </w:r>
      <w:r w:rsidRPr="00DC66CD">
        <w:rPr>
          <w:rFonts w:ascii="Garamond" w:hAnsi="Garamond"/>
          <w:sz w:val="24"/>
          <w:szCs w:val="24"/>
        </w:rPr>
        <w:t xml:space="preserve"> gjithashtu</w:t>
      </w:r>
      <w:r w:rsidR="00C51D2D" w:rsidRPr="00DC66CD">
        <w:rPr>
          <w:rFonts w:ascii="Garamond" w:hAnsi="Garamond"/>
          <w:sz w:val="24"/>
          <w:szCs w:val="24"/>
        </w:rPr>
        <w:t>,</w:t>
      </w:r>
      <w:r w:rsidRPr="00DC66CD">
        <w:rPr>
          <w:rFonts w:ascii="Garamond" w:hAnsi="Garamond"/>
          <w:sz w:val="24"/>
          <w:szCs w:val="24"/>
        </w:rPr>
        <w:t xml:space="preserve"> që Shqipëria duhet t</w:t>
      </w:r>
      <w:r w:rsidR="00C51D2D" w:rsidRPr="00DC66CD">
        <w:rPr>
          <w:rFonts w:ascii="Garamond" w:hAnsi="Garamond"/>
          <w:sz w:val="24"/>
          <w:szCs w:val="24"/>
        </w:rPr>
        <w:t>ë</w:t>
      </w:r>
      <w:r w:rsidRPr="00DC66CD">
        <w:rPr>
          <w:rFonts w:ascii="Garamond" w:hAnsi="Garamond"/>
          <w:sz w:val="24"/>
          <w:szCs w:val="24"/>
        </w:rPr>
        <w:t xml:space="preserve"> ad</w:t>
      </w:r>
      <w:r w:rsidR="00C51D2D" w:rsidRPr="00DC66CD">
        <w:rPr>
          <w:rFonts w:ascii="Garamond" w:hAnsi="Garamond"/>
          <w:sz w:val="24"/>
          <w:szCs w:val="24"/>
        </w:rPr>
        <w:t>a</w:t>
      </w:r>
      <w:r w:rsidRPr="00DC66CD">
        <w:rPr>
          <w:rFonts w:ascii="Garamond" w:hAnsi="Garamond"/>
          <w:sz w:val="24"/>
          <w:szCs w:val="24"/>
        </w:rPr>
        <w:t>ptojë amendamentet e nevojshme të ligjit të komunikimeve elektronike, në përafrim me Kodin e</w:t>
      </w:r>
      <w:r w:rsidR="00C51D2D" w:rsidRPr="00DC66CD">
        <w:rPr>
          <w:rFonts w:ascii="Garamond" w:hAnsi="Garamond"/>
          <w:sz w:val="24"/>
          <w:szCs w:val="24"/>
        </w:rPr>
        <w:t xml:space="preserve"> Ri të Komunikimeve Elektronike</w:t>
      </w:r>
      <w:r w:rsidRPr="00DC66CD">
        <w:rPr>
          <w:rFonts w:ascii="Garamond" w:hAnsi="Garamond"/>
          <w:sz w:val="24"/>
          <w:szCs w:val="24"/>
        </w:rPr>
        <w:t xml:space="preserve"> dhe të përgati</w:t>
      </w:r>
      <w:r w:rsidR="00C51D2D" w:rsidRPr="00DC66CD">
        <w:rPr>
          <w:rFonts w:ascii="Garamond" w:hAnsi="Garamond"/>
          <w:sz w:val="24"/>
          <w:szCs w:val="24"/>
        </w:rPr>
        <w:t>t</w:t>
      </w:r>
      <w:r w:rsidRPr="00DC66CD">
        <w:rPr>
          <w:rFonts w:ascii="Garamond" w:hAnsi="Garamond"/>
          <w:sz w:val="24"/>
          <w:szCs w:val="24"/>
        </w:rPr>
        <w:t xml:space="preserve">ë një plan veprimi për agjendën digjitale. Rishikimi i kuadrit ligjor ekzistues duhet të marrë në konsideratë rregullimin më të mirë të ofrimit të shërbimit universal për komunikimet elektronike, përfshirë mbulimin </w:t>
      </w:r>
      <w:r w:rsidRPr="00DC66CD">
        <w:rPr>
          <w:rFonts w:ascii="Garamond" w:hAnsi="Garamond"/>
          <w:i/>
          <w:sz w:val="24"/>
          <w:szCs w:val="24"/>
        </w:rPr>
        <w:t>broadband</w:t>
      </w:r>
      <w:r w:rsidRPr="00DC66CD">
        <w:rPr>
          <w:rFonts w:ascii="Garamond" w:hAnsi="Garamond"/>
          <w:sz w:val="24"/>
          <w:szCs w:val="24"/>
        </w:rPr>
        <w:t xml:space="preserve">, bazuar në rregullat e BE-së për ndihmën shtetërore në </w:t>
      </w:r>
      <w:r w:rsidRPr="00DC66CD">
        <w:rPr>
          <w:rFonts w:ascii="Garamond" w:hAnsi="Garamond"/>
          <w:i/>
          <w:sz w:val="24"/>
          <w:szCs w:val="24"/>
        </w:rPr>
        <w:t>broadband</w:t>
      </w:r>
      <w:r w:rsidRPr="00DC66CD">
        <w:rPr>
          <w:rFonts w:ascii="Garamond" w:hAnsi="Garamond"/>
          <w:sz w:val="24"/>
          <w:szCs w:val="24"/>
        </w:rPr>
        <w:t>.</w:t>
      </w:r>
    </w:p>
    <w:p w14:paraId="7D4B22B0" w14:textId="77C22ED2"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Bazuar në </w:t>
      </w:r>
      <w:r w:rsidR="005E58A0" w:rsidRPr="00DC66CD">
        <w:rPr>
          <w:rFonts w:ascii="Garamond" w:hAnsi="Garamond"/>
          <w:sz w:val="24"/>
          <w:szCs w:val="24"/>
        </w:rPr>
        <w:t>u</w:t>
      </w:r>
      <w:r w:rsidRPr="00DC66CD">
        <w:rPr>
          <w:rFonts w:ascii="Garamond" w:hAnsi="Garamond"/>
          <w:sz w:val="24"/>
          <w:szCs w:val="24"/>
        </w:rPr>
        <w:t>rdhrin e Kryeministrit</w:t>
      </w:r>
      <w:r w:rsidR="00E33D88" w:rsidRPr="00DC66CD">
        <w:rPr>
          <w:rFonts w:ascii="Garamond" w:hAnsi="Garamond"/>
          <w:sz w:val="24"/>
          <w:szCs w:val="24"/>
        </w:rPr>
        <w:t xml:space="preserve"> nr. </w:t>
      </w:r>
      <w:r w:rsidRPr="00DC66CD">
        <w:rPr>
          <w:rFonts w:ascii="Garamond" w:hAnsi="Garamond"/>
          <w:sz w:val="24"/>
          <w:szCs w:val="24"/>
        </w:rPr>
        <w:t>157</w:t>
      </w:r>
      <w:r w:rsidR="005E58A0" w:rsidRPr="00DC66CD">
        <w:rPr>
          <w:rFonts w:ascii="Garamond" w:hAnsi="Garamond"/>
          <w:sz w:val="24"/>
          <w:szCs w:val="24"/>
        </w:rPr>
        <w:t>,</w:t>
      </w:r>
      <w:r w:rsidRPr="00DC66CD">
        <w:rPr>
          <w:rFonts w:ascii="Garamond" w:hAnsi="Garamond"/>
          <w:sz w:val="24"/>
          <w:szCs w:val="24"/>
        </w:rPr>
        <w:t xml:space="preserve"> datë 22.10.2018, </w:t>
      </w:r>
      <w:r w:rsidR="002A29AD" w:rsidRPr="00DC66CD">
        <w:rPr>
          <w:rFonts w:ascii="Garamond" w:hAnsi="Garamond"/>
          <w:sz w:val="24"/>
          <w:szCs w:val="24"/>
        </w:rPr>
        <w:t>“</w:t>
      </w:r>
      <w:r w:rsidRPr="00DC66CD">
        <w:rPr>
          <w:rFonts w:ascii="Garamond" w:hAnsi="Garamond"/>
          <w:sz w:val="24"/>
          <w:szCs w:val="24"/>
        </w:rPr>
        <w:t>Mbi masat për zbatimin e një qasje</w:t>
      </w:r>
      <w:r w:rsidR="00C51D2D" w:rsidRPr="00DC66CD">
        <w:rPr>
          <w:rFonts w:ascii="Garamond" w:hAnsi="Garamond"/>
          <w:sz w:val="24"/>
          <w:szCs w:val="24"/>
        </w:rPr>
        <w:t>je të gjerë sektoriale/</w:t>
      </w:r>
      <w:r w:rsidR="005E58A0" w:rsidRPr="00DC66CD">
        <w:rPr>
          <w:rFonts w:ascii="Garamond" w:hAnsi="Garamond"/>
          <w:sz w:val="24"/>
          <w:szCs w:val="24"/>
        </w:rPr>
        <w:t>ndër</w:t>
      </w:r>
      <w:r w:rsidRPr="00DC66CD">
        <w:rPr>
          <w:rFonts w:ascii="Garamond" w:hAnsi="Garamond"/>
          <w:sz w:val="24"/>
          <w:szCs w:val="24"/>
        </w:rPr>
        <w:t>sektoriale, si dhe krijimin dhe funksionimin e me</w:t>
      </w:r>
      <w:r w:rsidR="00C51D2D" w:rsidRPr="00DC66CD">
        <w:rPr>
          <w:rFonts w:ascii="Garamond" w:hAnsi="Garamond"/>
          <w:sz w:val="24"/>
          <w:szCs w:val="24"/>
        </w:rPr>
        <w:t>kanizmit të integruar sektorial</w:t>
      </w:r>
      <w:r w:rsidRPr="00DC66CD">
        <w:rPr>
          <w:rFonts w:ascii="Garamond" w:hAnsi="Garamond"/>
          <w:sz w:val="24"/>
          <w:szCs w:val="24"/>
        </w:rPr>
        <w:t>/</w:t>
      </w:r>
      <w:r w:rsidR="005E58A0" w:rsidRPr="00DC66CD">
        <w:rPr>
          <w:rFonts w:ascii="Garamond" w:hAnsi="Garamond"/>
          <w:sz w:val="24"/>
          <w:szCs w:val="24"/>
        </w:rPr>
        <w:t>ndër</w:t>
      </w:r>
      <w:r w:rsidRPr="00DC66CD">
        <w:rPr>
          <w:rFonts w:ascii="Garamond" w:hAnsi="Garamond"/>
          <w:sz w:val="24"/>
          <w:szCs w:val="24"/>
        </w:rPr>
        <w:t>sektorial</w:t>
      </w:r>
      <w:r w:rsidR="00C51D2D" w:rsidRPr="00DC66CD">
        <w:rPr>
          <w:rFonts w:ascii="Garamond" w:hAnsi="Garamond"/>
          <w:sz w:val="24"/>
          <w:szCs w:val="24"/>
        </w:rPr>
        <w:t>,</w:t>
      </w:r>
      <w:r w:rsidRPr="00DC66CD">
        <w:rPr>
          <w:rFonts w:ascii="Garamond" w:hAnsi="Garamond"/>
          <w:sz w:val="24"/>
          <w:szCs w:val="24"/>
        </w:rPr>
        <w:t xml:space="preserve"> u krijuan </w:t>
      </w:r>
      <w:r w:rsidR="00C51D2D" w:rsidRPr="00DC66CD">
        <w:rPr>
          <w:rFonts w:ascii="Garamond" w:hAnsi="Garamond"/>
          <w:sz w:val="24"/>
          <w:szCs w:val="24"/>
        </w:rPr>
        <w:t xml:space="preserve">komitetet </w:t>
      </w:r>
      <w:r w:rsidRPr="00DC66CD">
        <w:rPr>
          <w:rFonts w:ascii="Garamond" w:hAnsi="Garamond"/>
          <w:sz w:val="24"/>
          <w:szCs w:val="24"/>
        </w:rPr>
        <w:t>GMIP (</w:t>
      </w:r>
      <w:r w:rsidR="00C51D2D" w:rsidRPr="00DC66CD">
        <w:rPr>
          <w:rFonts w:ascii="Garamond" w:hAnsi="Garamond"/>
          <w:sz w:val="24"/>
          <w:szCs w:val="24"/>
        </w:rPr>
        <w:t xml:space="preserve">Grupet </w:t>
      </w:r>
      <w:r w:rsidRPr="00DC66CD">
        <w:rPr>
          <w:rFonts w:ascii="Garamond" w:hAnsi="Garamond"/>
          <w:sz w:val="24"/>
          <w:szCs w:val="24"/>
        </w:rPr>
        <w:t xml:space="preserve">e Menaxhimit të Integruar të Programit) dhe Komitetet Sektoriale Drejtuese. Komiteti Drejtues Sektorial i </w:t>
      </w:r>
      <w:r w:rsidR="002A29AD" w:rsidRPr="00DC66CD">
        <w:rPr>
          <w:rFonts w:ascii="Garamond" w:hAnsi="Garamond"/>
          <w:i/>
          <w:sz w:val="24"/>
          <w:szCs w:val="24"/>
        </w:rPr>
        <w:t>“</w:t>
      </w:r>
      <w:r w:rsidRPr="00DC66CD">
        <w:rPr>
          <w:rFonts w:ascii="Garamond" w:hAnsi="Garamond"/>
          <w:i/>
          <w:sz w:val="24"/>
          <w:szCs w:val="24"/>
        </w:rPr>
        <w:t>Connectivity</w:t>
      </w:r>
      <w:r w:rsidR="002A29AD" w:rsidRPr="00DC66CD">
        <w:rPr>
          <w:rFonts w:ascii="Garamond" w:hAnsi="Garamond"/>
          <w:i/>
          <w:sz w:val="24"/>
          <w:szCs w:val="24"/>
        </w:rPr>
        <w:t>”</w:t>
      </w:r>
      <w:r w:rsidRPr="00DC66CD">
        <w:rPr>
          <w:rFonts w:ascii="Garamond" w:hAnsi="Garamond"/>
          <w:sz w:val="24"/>
          <w:szCs w:val="24"/>
        </w:rPr>
        <w:t xml:space="preserve"> drejtohet nga Ministria e Infrastrukturës dhe Energjisë. Telekomunikacioni dhe </w:t>
      </w:r>
      <w:r w:rsidRPr="00DC66CD">
        <w:rPr>
          <w:rFonts w:ascii="Garamond" w:hAnsi="Garamond"/>
          <w:i/>
          <w:sz w:val="24"/>
          <w:szCs w:val="24"/>
        </w:rPr>
        <w:t>Broadband</w:t>
      </w:r>
      <w:r w:rsidRPr="00DC66CD">
        <w:rPr>
          <w:rFonts w:ascii="Garamond" w:hAnsi="Garamond"/>
          <w:sz w:val="24"/>
          <w:szCs w:val="24"/>
        </w:rPr>
        <w:t>-i është një grup specifik tematik pjesë e Komitetit të Lidhjes.</w:t>
      </w:r>
    </w:p>
    <w:p w14:paraId="467EAEFA" w14:textId="3246F86B"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Grupi tematik i Telekomunikacionit dhe </w:t>
      </w:r>
      <w:r w:rsidRPr="00DC66CD">
        <w:rPr>
          <w:rFonts w:ascii="Garamond" w:hAnsi="Garamond"/>
          <w:i/>
          <w:sz w:val="24"/>
          <w:szCs w:val="24"/>
        </w:rPr>
        <w:t>Broadband</w:t>
      </w:r>
      <w:r w:rsidRPr="00DC66CD">
        <w:rPr>
          <w:rFonts w:ascii="Garamond" w:hAnsi="Garamond"/>
          <w:sz w:val="24"/>
          <w:szCs w:val="24"/>
        </w:rPr>
        <w:t xml:space="preserve">-it u krijua në </w:t>
      </w:r>
      <w:r w:rsidR="00C51D2D" w:rsidRPr="00DC66CD">
        <w:rPr>
          <w:rFonts w:ascii="Garamond" w:hAnsi="Garamond"/>
          <w:sz w:val="24"/>
          <w:szCs w:val="24"/>
        </w:rPr>
        <w:t xml:space="preserve">shkurt </w:t>
      </w:r>
      <w:r w:rsidRPr="00DC66CD">
        <w:rPr>
          <w:rFonts w:ascii="Garamond" w:hAnsi="Garamond"/>
          <w:sz w:val="24"/>
          <w:szCs w:val="24"/>
        </w:rPr>
        <w:t xml:space="preserve">2019, nga një urdhër specifik i </w:t>
      </w:r>
      <w:r w:rsidR="00C51D2D" w:rsidRPr="00DC66CD">
        <w:rPr>
          <w:rFonts w:ascii="Garamond" w:hAnsi="Garamond"/>
          <w:sz w:val="24"/>
          <w:szCs w:val="24"/>
        </w:rPr>
        <w:t xml:space="preserve">ministrit </w:t>
      </w:r>
      <w:r w:rsidRPr="00DC66CD">
        <w:rPr>
          <w:rFonts w:ascii="Garamond" w:hAnsi="Garamond"/>
          <w:sz w:val="24"/>
          <w:szCs w:val="24"/>
        </w:rPr>
        <w:t>të Infrastrukturës dhe Energjisë. Grupi tematik i telekomunikacionit dhe</w:t>
      </w:r>
      <w:r w:rsidR="00C51D2D" w:rsidRPr="00DC66CD">
        <w:rPr>
          <w:rFonts w:ascii="Garamond" w:hAnsi="Garamond"/>
          <w:sz w:val="24"/>
          <w:szCs w:val="24"/>
        </w:rPr>
        <w:t xml:space="preserve"> i</w:t>
      </w:r>
      <w:r w:rsidRPr="00DC66CD">
        <w:rPr>
          <w:rFonts w:ascii="Garamond" w:hAnsi="Garamond"/>
          <w:sz w:val="24"/>
          <w:szCs w:val="24"/>
        </w:rPr>
        <w:t xml:space="preserve"> </w:t>
      </w:r>
      <w:r w:rsidRPr="00DC66CD">
        <w:rPr>
          <w:rFonts w:ascii="Garamond" w:hAnsi="Garamond"/>
          <w:i/>
          <w:sz w:val="24"/>
          <w:szCs w:val="24"/>
        </w:rPr>
        <w:t>broadband</w:t>
      </w:r>
      <w:r w:rsidRPr="00DC66CD">
        <w:rPr>
          <w:rFonts w:ascii="Garamond" w:hAnsi="Garamond"/>
          <w:sz w:val="24"/>
          <w:szCs w:val="24"/>
        </w:rPr>
        <w:t>-it</w:t>
      </w:r>
      <w:r w:rsidR="00772573" w:rsidRPr="00DC66CD">
        <w:rPr>
          <w:rFonts w:ascii="Garamond" w:hAnsi="Garamond"/>
          <w:sz w:val="24"/>
          <w:szCs w:val="24"/>
        </w:rPr>
        <w:t>,</w:t>
      </w:r>
      <w:r w:rsidRPr="00DC66CD">
        <w:rPr>
          <w:rFonts w:ascii="Garamond" w:hAnsi="Garamond"/>
          <w:sz w:val="24"/>
          <w:szCs w:val="24"/>
        </w:rPr>
        <w:t xml:space="preserve"> si pjesë e Komitetit Sektorial Drejtues të </w:t>
      </w:r>
      <w:r w:rsidR="002A29AD" w:rsidRPr="00DC66CD">
        <w:rPr>
          <w:rFonts w:ascii="Garamond" w:hAnsi="Garamond"/>
          <w:i/>
          <w:sz w:val="24"/>
          <w:szCs w:val="24"/>
        </w:rPr>
        <w:t>“</w:t>
      </w:r>
      <w:r w:rsidRPr="00DC66CD">
        <w:rPr>
          <w:rFonts w:ascii="Garamond" w:hAnsi="Garamond"/>
          <w:i/>
          <w:sz w:val="24"/>
          <w:szCs w:val="24"/>
        </w:rPr>
        <w:t>Connectivity</w:t>
      </w:r>
      <w:r w:rsidR="002A29AD" w:rsidRPr="00DC66CD">
        <w:rPr>
          <w:rFonts w:ascii="Garamond" w:hAnsi="Garamond"/>
          <w:i/>
          <w:sz w:val="24"/>
          <w:szCs w:val="24"/>
        </w:rPr>
        <w:t>”</w:t>
      </w:r>
      <w:r w:rsidRPr="00DC66CD">
        <w:rPr>
          <w:rFonts w:ascii="Garamond" w:hAnsi="Garamond"/>
          <w:i/>
          <w:sz w:val="24"/>
          <w:szCs w:val="24"/>
        </w:rPr>
        <w:t>,</w:t>
      </w:r>
      <w:r w:rsidRPr="00DC66CD">
        <w:rPr>
          <w:rFonts w:ascii="Garamond" w:hAnsi="Garamond"/>
          <w:sz w:val="24"/>
          <w:szCs w:val="24"/>
        </w:rPr>
        <w:t xml:space="preserve"> synon të sigurojë bashkëpunim dhe vendimmarrje të përbashkët në nivelin më të lartë politik dhe menaxherial për planifikimin, koordinimin dhe monitorimin e programeve </w:t>
      </w:r>
      <w:r w:rsidR="005E58A0" w:rsidRPr="00DC66CD">
        <w:rPr>
          <w:rFonts w:ascii="Garamond" w:hAnsi="Garamond"/>
          <w:sz w:val="24"/>
          <w:szCs w:val="24"/>
        </w:rPr>
        <w:t>ndër</w:t>
      </w:r>
      <w:r w:rsidRPr="00DC66CD">
        <w:rPr>
          <w:rFonts w:ascii="Garamond" w:hAnsi="Garamond"/>
          <w:sz w:val="24"/>
          <w:szCs w:val="24"/>
        </w:rPr>
        <w:t>sektoriale dhe kombëtare në fushat me përparësi, duke siguruar udhëzime për vijimin e zbatimit të koordinuar të politikave dhe reformave prioritare përmes raportimi</w:t>
      </w:r>
      <w:r w:rsidR="00C51D2D" w:rsidRPr="00DC66CD">
        <w:rPr>
          <w:rFonts w:ascii="Garamond" w:hAnsi="Garamond"/>
          <w:sz w:val="24"/>
          <w:szCs w:val="24"/>
        </w:rPr>
        <w:t>t</w:t>
      </w:r>
      <w:r w:rsidRPr="00DC66CD">
        <w:rPr>
          <w:rFonts w:ascii="Garamond" w:hAnsi="Garamond"/>
          <w:sz w:val="24"/>
          <w:szCs w:val="24"/>
        </w:rPr>
        <w:t xml:space="preserve"> dhe monitorimi</w:t>
      </w:r>
      <w:r w:rsidR="00C51D2D" w:rsidRPr="00DC66CD">
        <w:rPr>
          <w:rFonts w:ascii="Garamond" w:hAnsi="Garamond"/>
          <w:sz w:val="24"/>
          <w:szCs w:val="24"/>
        </w:rPr>
        <w:t>t</w:t>
      </w:r>
      <w:r w:rsidRPr="00DC66CD">
        <w:rPr>
          <w:rFonts w:ascii="Garamond" w:hAnsi="Garamond"/>
          <w:sz w:val="24"/>
          <w:szCs w:val="24"/>
        </w:rPr>
        <w:t xml:space="preserve"> </w:t>
      </w:r>
      <w:r w:rsidR="00C51D2D" w:rsidRPr="00DC66CD">
        <w:rPr>
          <w:rFonts w:ascii="Garamond" w:hAnsi="Garamond"/>
          <w:sz w:val="24"/>
          <w:szCs w:val="24"/>
        </w:rPr>
        <w:t>të</w:t>
      </w:r>
      <w:r w:rsidRPr="00DC66CD">
        <w:rPr>
          <w:rFonts w:ascii="Garamond" w:hAnsi="Garamond"/>
          <w:sz w:val="24"/>
          <w:szCs w:val="24"/>
        </w:rPr>
        <w:t xml:space="preserve"> masave që lidhen me qëllimet dhe objektivat prioritarë në fushat prioritare, reformat dhe sektorët me rëndësi të veçantë etj.</w:t>
      </w:r>
    </w:p>
    <w:p w14:paraId="050B8790" w14:textId="09881B06" w:rsidR="006F605B" w:rsidRPr="00DC66CD" w:rsidRDefault="006F605B" w:rsidP="00C51D2D">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Një studim i plotë i fizibilitetit për zhvillimin e </w:t>
      </w:r>
      <w:r w:rsidRPr="00DC66CD">
        <w:rPr>
          <w:rFonts w:ascii="Garamond" w:hAnsi="Garamond"/>
          <w:i/>
          <w:sz w:val="24"/>
          <w:szCs w:val="24"/>
        </w:rPr>
        <w:t>broadband</w:t>
      </w:r>
      <w:r w:rsidRPr="00DC66CD">
        <w:rPr>
          <w:rFonts w:ascii="Garamond" w:hAnsi="Garamond"/>
          <w:sz w:val="24"/>
          <w:szCs w:val="24"/>
        </w:rPr>
        <w:t>-it është duke u përgatitur me mbështetjen e WBIF</w:t>
      </w:r>
      <w:r w:rsidR="00BC2C4B" w:rsidRPr="00DC66CD">
        <w:rPr>
          <w:rFonts w:ascii="Garamond" w:hAnsi="Garamond"/>
          <w:sz w:val="24"/>
          <w:szCs w:val="24"/>
        </w:rPr>
        <w:t>-së</w:t>
      </w:r>
      <w:r w:rsidRPr="00DC66CD">
        <w:rPr>
          <w:rFonts w:ascii="Garamond" w:hAnsi="Garamond"/>
          <w:sz w:val="24"/>
          <w:szCs w:val="24"/>
        </w:rPr>
        <w:t xml:space="preserve">. Ky studim do të mbështesë përgatitjen e një Programi Kombëtar për Zhvillimin e Infrastrukturës </w:t>
      </w:r>
      <w:r w:rsidRPr="00DC66CD">
        <w:rPr>
          <w:rFonts w:ascii="Garamond" w:hAnsi="Garamond"/>
          <w:i/>
          <w:sz w:val="24"/>
          <w:szCs w:val="24"/>
        </w:rPr>
        <w:t>Broadband</w:t>
      </w:r>
      <w:r w:rsidRPr="00DC66CD">
        <w:rPr>
          <w:rFonts w:ascii="Garamond" w:hAnsi="Garamond"/>
          <w:sz w:val="24"/>
          <w:szCs w:val="24"/>
        </w:rPr>
        <w:t xml:space="preserve"> në </w:t>
      </w:r>
      <w:r w:rsidR="00BC2C4B" w:rsidRPr="00DC66CD">
        <w:rPr>
          <w:rFonts w:ascii="Garamond" w:hAnsi="Garamond"/>
          <w:sz w:val="24"/>
          <w:szCs w:val="24"/>
        </w:rPr>
        <w:t xml:space="preserve">zona </w:t>
      </w:r>
      <w:r w:rsidRPr="00DC66CD">
        <w:rPr>
          <w:rFonts w:ascii="Garamond" w:hAnsi="Garamond"/>
          <w:sz w:val="24"/>
          <w:szCs w:val="24"/>
        </w:rPr>
        <w:t xml:space="preserve">ku mungon interesi i mjaftueshëm tregtar për investime, si dhe për të arritur objektivat për lidhjen </w:t>
      </w:r>
      <w:r w:rsidRPr="00DC66CD">
        <w:rPr>
          <w:rFonts w:ascii="Garamond" w:hAnsi="Garamond"/>
          <w:i/>
          <w:sz w:val="24"/>
          <w:szCs w:val="24"/>
        </w:rPr>
        <w:t>broadband</w:t>
      </w:r>
      <w:r w:rsidR="00BC2C4B" w:rsidRPr="00DC66CD">
        <w:rPr>
          <w:rFonts w:ascii="Garamond" w:hAnsi="Garamond"/>
          <w:i/>
          <w:sz w:val="24"/>
          <w:szCs w:val="24"/>
        </w:rPr>
        <w:t>,</w:t>
      </w:r>
      <w:r w:rsidRPr="00DC66CD">
        <w:rPr>
          <w:rFonts w:ascii="Garamond" w:hAnsi="Garamond"/>
          <w:sz w:val="24"/>
          <w:szCs w:val="24"/>
        </w:rPr>
        <w:t xml:space="preserve"> me të paktën 30 Mbit/s dhe më shumë drejt </w:t>
      </w:r>
      <w:r w:rsidRPr="00DC66CD">
        <w:rPr>
          <w:rFonts w:ascii="Garamond" w:hAnsi="Garamond"/>
          <w:i/>
          <w:sz w:val="24"/>
          <w:szCs w:val="24"/>
        </w:rPr>
        <w:t>gigabit society,</w:t>
      </w:r>
      <w:r w:rsidRPr="00DC66CD">
        <w:rPr>
          <w:rFonts w:ascii="Garamond" w:hAnsi="Garamond"/>
          <w:sz w:val="24"/>
          <w:szCs w:val="24"/>
        </w:rPr>
        <w:t xml:space="preserve"> bazuar në strategjinë </w:t>
      </w:r>
      <w:r w:rsidR="002A29AD" w:rsidRPr="00DC66CD">
        <w:rPr>
          <w:rFonts w:ascii="Garamond" w:hAnsi="Garamond"/>
          <w:i/>
          <w:sz w:val="24"/>
          <w:szCs w:val="24"/>
        </w:rPr>
        <w:t>“</w:t>
      </w:r>
      <w:r w:rsidRPr="00DC66CD">
        <w:rPr>
          <w:rFonts w:ascii="Garamond" w:hAnsi="Garamond"/>
          <w:i/>
          <w:sz w:val="24"/>
          <w:szCs w:val="24"/>
        </w:rPr>
        <w:t>Gigabit Society</w:t>
      </w:r>
      <w:r w:rsidR="002A29AD" w:rsidRPr="00DC66CD">
        <w:rPr>
          <w:rFonts w:ascii="Garamond" w:hAnsi="Garamond"/>
          <w:i/>
          <w:sz w:val="24"/>
          <w:szCs w:val="24"/>
        </w:rPr>
        <w:t>”</w:t>
      </w:r>
      <w:r w:rsidRPr="00DC66CD">
        <w:rPr>
          <w:rFonts w:ascii="Garamond" w:hAnsi="Garamond"/>
          <w:sz w:val="24"/>
          <w:szCs w:val="24"/>
        </w:rPr>
        <w:t xml:space="preserve"> t</w:t>
      </w:r>
      <w:r w:rsidR="00BC2C4B" w:rsidRPr="00DC66CD">
        <w:rPr>
          <w:rFonts w:ascii="Garamond" w:hAnsi="Garamond"/>
          <w:sz w:val="24"/>
          <w:szCs w:val="24"/>
        </w:rPr>
        <w:t>ë</w:t>
      </w:r>
      <w:r w:rsidRPr="00DC66CD">
        <w:rPr>
          <w:rFonts w:ascii="Garamond" w:hAnsi="Garamond"/>
          <w:sz w:val="24"/>
          <w:szCs w:val="24"/>
        </w:rPr>
        <w:t xml:space="preserve"> BE-së. Për më tepër, është hartuar një udhërrëfyes 5G për Shqipërinë. Puna për të rishikuar Planin Kombëtar të </w:t>
      </w:r>
      <w:r w:rsidRPr="00DC66CD">
        <w:rPr>
          <w:rFonts w:ascii="Garamond" w:hAnsi="Garamond"/>
          <w:i/>
          <w:sz w:val="24"/>
          <w:szCs w:val="24"/>
        </w:rPr>
        <w:t>Broadband</w:t>
      </w:r>
      <w:r w:rsidRPr="00DC66CD">
        <w:rPr>
          <w:rFonts w:ascii="Garamond" w:hAnsi="Garamond"/>
          <w:sz w:val="24"/>
          <w:szCs w:val="24"/>
        </w:rPr>
        <w:t xml:space="preserve">-it filloi gjatë korrikut 2019. Zhvillimi i </w:t>
      </w:r>
      <w:r w:rsidRPr="00DC66CD">
        <w:rPr>
          <w:rFonts w:ascii="Garamond" w:hAnsi="Garamond"/>
          <w:i/>
          <w:sz w:val="24"/>
          <w:szCs w:val="24"/>
        </w:rPr>
        <w:t>broadband</w:t>
      </w:r>
      <w:r w:rsidRPr="00DC66CD">
        <w:rPr>
          <w:rFonts w:ascii="Garamond" w:hAnsi="Garamond"/>
          <w:sz w:val="24"/>
          <w:szCs w:val="24"/>
        </w:rPr>
        <w:t xml:space="preserve">-it është në përputhje me Agjendën </w:t>
      </w:r>
      <w:r w:rsidR="00C52483" w:rsidRPr="00DC66CD">
        <w:rPr>
          <w:rFonts w:ascii="Garamond" w:hAnsi="Garamond"/>
          <w:sz w:val="24"/>
          <w:szCs w:val="24"/>
        </w:rPr>
        <w:t>Digjital</w:t>
      </w:r>
      <w:r w:rsidRPr="00DC66CD">
        <w:rPr>
          <w:rFonts w:ascii="Garamond" w:hAnsi="Garamond"/>
          <w:sz w:val="24"/>
          <w:szCs w:val="24"/>
        </w:rPr>
        <w:t>e të BE-së, dhe një nga përparësitë e WB6 të Planit Shumëvjeçar të Veprimit për Zonën Ekonomike Rajonale (MAP-REA) të miratuar gjatë Samitit të Triestes</w:t>
      </w:r>
      <w:r w:rsidR="00BC2C4B" w:rsidRPr="00DC66CD">
        <w:rPr>
          <w:rFonts w:ascii="Garamond" w:hAnsi="Garamond"/>
          <w:sz w:val="24"/>
          <w:szCs w:val="24"/>
        </w:rPr>
        <w:t>,</w:t>
      </w:r>
      <w:r w:rsidRPr="00DC66CD">
        <w:rPr>
          <w:rFonts w:ascii="Garamond" w:hAnsi="Garamond"/>
          <w:sz w:val="24"/>
          <w:szCs w:val="24"/>
        </w:rPr>
        <w:t xml:space="preserve"> të mbajtur më 12 </w:t>
      </w:r>
      <w:r w:rsidR="00793227" w:rsidRPr="00DC66CD">
        <w:rPr>
          <w:rFonts w:ascii="Garamond" w:hAnsi="Garamond"/>
          <w:sz w:val="24"/>
          <w:szCs w:val="24"/>
        </w:rPr>
        <w:t>k</w:t>
      </w:r>
      <w:r w:rsidRPr="00DC66CD">
        <w:rPr>
          <w:rFonts w:ascii="Garamond" w:hAnsi="Garamond"/>
          <w:sz w:val="24"/>
          <w:szCs w:val="24"/>
        </w:rPr>
        <w:t>orrik 2017.</w:t>
      </w:r>
    </w:p>
    <w:p w14:paraId="3EB00341" w14:textId="4283484B"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Mjedisi i kërkimit dhe inovacionit në Shqipëri është ende përballë sfidave që ngadalësojnë transformimin e tij në një shtyllë të qëndrueshme për zhvillimin ekonomik. Ndërkohë, korniza strategjike dhe ligjore vazhdojnë të përmirësohen për të lehtësuar një transformim të tillë në vitet e ardhshme. Një nga hapat më të rëndësishëm të ndërmarrë në vitin 2017 ishte miratimi i Strategjisë Kombëtare për Shkencë, Teknologji dhe Inovacion (</w:t>
      </w:r>
      <w:r w:rsidR="004F5BD7" w:rsidRPr="00DC66CD">
        <w:rPr>
          <w:rFonts w:ascii="Garamond" w:hAnsi="Garamond"/>
          <w:sz w:val="24"/>
          <w:szCs w:val="24"/>
        </w:rPr>
        <w:t>SKSHTI</w:t>
      </w:r>
      <w:r w:rsidRPr="00DC66CD">
        <w:rPr>
          <w:rFonts w:ascii="Garamond" w:hAnsi="Garamond"/>
          <w:sz w:val="24"/>
          <w:szCs w:val="24"/>
        </w:rPr>
        <w:t>)</w:t>
      </w:r>
      <w:r w:rsidR="004F5BD7" w:rsidRPr="00DC66CD">
        <w:rPr>
          <w:rFonts w:ascii="Garamond" w:hAnsi="Garamond"/>
          <w:sz w:val="24"/>
          <w:szCs w:val="24"/>
        </w:rPr>
        <w:t>,</w:t>
      </w:r>
      <w:r w:rsidRPr="00DC66CD">
        <w:rPr>
          <w:rFonts w:ascii="Garamond" w:hAnsi="Garamond"/>
          <w:sz w:val="24"/>
          <w:szCs w:val="24"/>
        </w:rPr>
        <w:t xml:space="preserve"> </w:t>
      </w:r>
      <w:r w:rsidR="00433A3A" w:rsidRPr="00DC66CD">
        <w:rPr>
          <w:rFonts w:ascii="Garamond" w:hAnsi="Garamond"/>
          <w:sz w:val="24"/>
          <w:szCs w:val="24"/>
        </w:rPr>
        <w:t>2017–</w:t>
      </w:r>
      <w:r w:rsidRPr="00DC66CD">
        <w:rPr>
          <w:rFonts w:ascii="Garamond" w:hAnsi="Garamond"/>
          <w:sz w:val="24"/>
          <w:szCs w:val="24"/>
        </w:rPr>
        <w:t>2022.</w:t>
      </w:r>
    </w:p>
    <w:p w14:paraId="0179A757" w14:textId="54CF423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Shqipëria është në proces të miratimit të një Strategjie të Specializimit të zgjuar (S3). Në prill 2018 u krijua një grup pune nga </w:t>
      </w:r>
      <w:r w:rsidR="004F5BD7" w:rsidRPr="00DC66CD">
        <w:rPr>
          <w:rFonts w:ascii="Garamond" w:hAnsi="Garamond"/>
          <w:sz w:val="24"/>
          <w:szCs w:val="24"/>
        </w:rPr>
        <w:t xml:space="preserve">ministri </w:t>
      </w:r>
      <w:r w:rsidRPr="00DC66CD">
        <w:rPr>
          <w:rFonts w:ascii="Garamond" w:hAnsi="Garamond"/>
          <w:sz w:val="24"/>
          <w:szCs w:val="24"/>
        </w:rPr>
        <w:t xml:space="preserve">i Arsimit, Sportit dhe Rinisë. GG ka hartuar një </w:t>
      </w:r>
      <w:r w:rsidR="004F5BD7" w:rsidRPr="00DC66CD">
        <w:rPr>
          <w:rFonts w:ascii="Garamond" w:hAnsi="Garamond"/>
          <w:sz w:val="24"/>
          <w:szCs w:val="24"/>
        </w:rPr>
        <w:t>hartë rrugore të aktivite</w:t>
      </w:r>
      <w:r w:rsidRPr="00DC66CD">
        <w:rPr>
          <w:rFonts w:ascii="Garamond" w:hAnsi="Garamond"/>
          <w:sz w:val="24"/>
          <w:szCs w:val="24"/>
        </w:rPr>
        <w:t xml:space="preserve">teve që do të ndërmerren deri në miratimin e saj përfundimtar. Tregu i vetëm </w:t>
      </w:r>
      <w:r w:rsidR="00C52483" w:rsidRPr="00DC66CD">
        <w:rPr>
          <w:rFonts w:ascii="Garamond" w:hAnsi="Garamond"/>
          <w:sz w:val="24"/>
          <w:szCs w:val="24"/>
        </w:rPr>
        <w:t>digjital</w:t>
      </w:r>
      <w:r w:rsidRPr="00DC66CD">
        <w:rPr>
          <w:rFonts w:ascii="Garamond" w:hAnsi="Garamond"/>
          <w:sz w:val="24"/>
          <w:szCs w:val="24"/>
        </w:rPr>
        <w:t xml:space="preserve"> shqiptar paraqet një qasje të re për të nxitur rritjen dhe masat për të arritur atë janë pjesë e Agjendës </w:t>
      </w:r>
      <w:r w:rsidR="00C52483" w:rsidRPr="00DC66CD">
        <w:rPr>
          <w:rFonts w:ascii="Garamond" w:hAnsi="Garamond"/>
          <w:sz w:val="24"/>
          <w:szCs w:val="24"/>
        </w:rPr>
        <w:t>Digjital</w:t>
      </w:r>
      <w:r w:rsidRPr="00DC66CD">
        <w:rPr>
          <w:rFonts w:ascii="Garamond" w:hAnsi="Garamond"/>
          <w:sz w:val="24"/>
          <w:szCs w:val="24"/>
        </w:rPr>
        <w:t>e të Shqipërisë</w:t>
      </w:r>
      <w:r w:rsidR="004F5BD7" w:rsidRPr="00DC66CD">
        <w:rPr>
          <w:rFonts w:ascii="Garamond" w:hAnsi="Garamond"/>
          <w:sz w:val="24"/>
          <w:szCs w:val="24"/>
        </w:rPr>
        <w:t>,</w:t>
      </w:r>
      <w:r w:rsidRPr="00DC66CD">
        <w:rPr>
          <w:rFonts w:ascii="Garamond" w:hAnsi="Garamond"/>
          <w:sz w:val="24"/>
          <w:szCs w:val="24"/>
        </w:rPr>
        <w:t xml:space="preserve"> </w:t>
      </w:r>
      <w:r w:rsidR="00433A3A" w:rsidRPr="00DC66CD">
        <w:rPr>
          <w:rFonts w:ascii="Garamond" w:hAnsi="Garamond"/>
          <w:sz w:val="24"/>
          <w:szCs w:val="24"/>
        </w:rPr>
        <w:t>2015–</w:t>
      </w:r>
      <w:r w:rsidRPr="00DC66CD">
        <w:rPr>
          <w:rFonts w:ascii="Garamond" w:hAnsi="Garamond"/>
          <w:sz w:val="24"/>
          <w:szCs w:val="24"/>
        </w:rPr>
        <w:t xml:space="preserve">2020. Një projektligj i ri </w:t>
      </w:r>
      <w:r w:rsidR="002A29AD" w:rsidRPr="00DC66CD">
        <w:rPr>
          <w:rFonts w:ascii="Garamond" w:hAnsi="Garamond"/>
          <w:sz w:val="24"/>
          <w:szCs w:val="24"/>
        </w:rPr>
        <w:t>“</w:t>
      </w:r>
      <w:r w:rsidRPr="00DC66CD">
        <w:rPr>
          <w:rFonts w:ascii="Garamond" w:hAnsi="Garamond"/>
          <w:sz w:val="24"/>
          <w:szCs w:val="24"/>
        </w:rPr>
        <w:t>për kërkimin</w:t>
      </w:r>
      <w:r w:rsidR="002A29AD" w:rsidRPr="00DC66CD">
        <w:rPr>
          <w:rFonts w:ascii="Garamond" w:hAnsi="Garamond"/>
          <w:sz w:val="24"/>
          <w:szCs w:val="24"/>
        </w:rPr>
        <w:t>”</w:t>
      </w:r>
      <w:r w:rsidRPr="00DC66CD">
        <w:rPr>
          <w:rFonts w:ascii="Garamond" w:hAnsi="Garamond"/>
          <w:sz w:val="24"/>
          <w:szCs w:val="24"/>
        </w:rPr>
        <w:t xml:space="preserve"> është përfunduar dhe është planifikuar të paraqitet në parlament</w:t>
      </w:r>
      <w:r w:rsidR="004F5BD7" w:rsidRPr="00DC66CD">
        <w:rPr>
          <w:rFonts w:ascii="Garamond" w:hAnsi="Garamond"/>
          <w:sz w:val="24"/>
          <w:szCs w:val="24"/>
        </w:rPr>
        <w:t>.</w:t>
      </w:r>
    </w:p>
    <w:p w14:paraId="5494DE57" w14:textId="19B5B868" w:rsidR="006F605B" w:rsidRPr="00DC66CD" w:rsidRDefault="00D477CC" w:rsidP="00D477CC">
      <w:pPr>
        <w:pStyle w:val="Heading4"/>
        <w:keepNext w:val="0"/>
        <w:keepLines w:val="0"/>
        <w:widowControl w:val="0"/>
        <w:snapToGrid w:val="0"/>
        <w:spacing w:before="0" w:line="240" w:lineRule="auto"/>
        <w:ind w:left="284"/>
        <w:rPr>
          <w:rFonts w:ascii="Garamond" w:hAnsi="Garamond"/>
          <w:b w:val="0"/>
          <w:color w:val="auto"/>
          <w:sz w:val="24"/>
          <w:szCs w:val="24"/>
        </w:rPr>
      </w:pPr>
      <w:r w:rsidRPr="00DC66CD">
        <w:rPr>
          <w:rFonts w:ascii="Garamond" w:hAnsi="Garamond"/>
          <w:b w:val="0"/>
          <w:color w:val="auto"/>
          <w:sz w:val="24"/>
          <w:szCs w:val="24"/>
        </w:rPr>
        <w:t xml:space="preserve">b) </w:t>
      </w:r>
      <w:r w:rsidR="006F605B" w:rsidRPr="00DC66CD">
        <w:rPr>
          <w:rFonts w:ascii="Garamond" w:hAnsi="Garamond"/>
          <w:b w:val="0"/>
          <w:color w:val="auto"/>
          <w:sz w:val="24"/>
          <w:szCs w:val="24"/>
        </w:rPr>
        <w:t>Masat e reformave</w:t>
      </w:r>
    </w:p>
    <w:p w14:paraId="6E228C1A" w14:textId="77777777" w:rsidR="006F605B" w:rsidRPr="00DC66CD" w:rsidRDefault="006F605B" w:rsidP="006F605B">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11: Përmirësimi i kapaciteteve institucionale të sistemit të kërkimit dhe inovacionit</w:t>
      </w:r>
    </w:p>
    <w:p w14:paraId="3E65B788" w14:textId="65473D4C" w:rsidR="006F605B" w:rsidRPr="00DC66CD" w:rsidRDefault="00D477CC" w:rsidP="00D477C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 </w:t>
      </w:r>
      <w:r w:rsidR="006F605B" w:rsidRPr="00DC66CD">
        <w:rPr>
          <w:rFonts w:ascii="Garamond" w:hAnsi="Garamond"/>
          <w:color w:val="auto"/>
          <w:sz w:val="24"/>
          <w:szCs w:val="24"/>
        </w:rPr>
        <w:t>Përshkrimi</w:t>
      </w:r>
    </w:p>
    <w:p w14:paraId="5F3EC06F" w14:textId="6A5602A1"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Masa përputhet me </w:t>
      </w:r>
      <w:r w:rsidR="00C00B3E" w:rsidRPr="00DC66CD">
        <w:rPr>
          <w:rFonts w:ascii="Garamond" w:hAnsi="Garamond"/>
          <w:sz w:val="24"/>
          <w:szCs w:val="24"/>
        </w:rPr>
        <w:t>“</w:t>
      </w:r>
      <w:r w:rsidRPr="00DC66CD">
        <w:rPr>
          <w:rFonts w:ascii="Garamond" w:hAnsi="Garamond"/>
          <w:sz w:val="24"/>
          <w:szCs w:val="24"/>
        </w:rPr>
        <w:t xml:space="preserve">Strategjinë </w:t>
      </w:r>
      <w:r w:rsidR="00C00B3E" w:rsidRPr="00DC66CD">
        <w:rPr>
          <w:rFonts w:ascii="Garamond" w:hAnsi="Garamond"/>
          <w:sz w:val="24"/>
          <w:szCs w:val="24"/>
        </w:rPr>
        <w:t>për shkencë, teknologji dhe inovacion”,</w:t>
      </w:r>
      <w:r w:rsidRPr="00DC66CD">
        <w:rPr>
          <w:rFonts w:ascii="Garamond" w:hAnsi="Garamond"/>
          <w:sz w:val="24"/>
          <w:szCs w:val="24"/>
        </w:rPr>
        <w:t xml:space="preserve"> </w:t>
      </w:r>
      <w:r w:rsidR="00433A3A" w:rsidRPr="00DC66CD">
        <w:rPr>
          <w:rFonts w:ascii="Garamond" w:hAnsi="Garamond"/>
          <w:sz w:val="24"/>
          <w:szCs w:val="24"/>
        </w:rPr>
        <w:t>2017–</w:t>
      </w:r>
      <w:r w:rsidRPr="00DC66CD">
        <w:rPr>
          <w:rFonts w:ascii="Garamond" w:hAnsi="Garamond"/>
          <w:sz w:val="24"/>
          <w:szCs w:val="24"/>
        </w:rPr>
        <w:t>2022; Programi</w:t>
      </w:r>
      <w:r w:rsidR="00C00B3E" w:rsidRPr="00DC66CD">
        <w:rPr>
          <w:rFonts w:ascii="Garamond" w:hAnsi="Garamond"/>
          <w:sz w:val="24"/>
          <w:szCs w:val="24"/>
        </w:rPr>
        <w:t>n</w:t>
      </w:r>
      <w:r w:rsidRPr="00DC66CD">
        <w:rPr>
          <w:rFonts w:ascii="Garamond" w:hAnsi="Garamond"/>
          <w:sz w:val="24"/>
          <w:szCs w:val="24"/>
        </w:rPr>
        <w:t xml:space="preserve"> qeveritar </w:t>
      </w:r>
      <w:r w:rsidR="00433A3A" w:rsidRPr="00DC66CD">
        <w:rPr>
          <w:rFonts w:ascii="Garamond" w:hAnsi="Garamond"/>
          <w:sz w:val="24"/>
          <w:szCs w:val="24"/>
        </w:rPr>
        <w:t>2017–</w:t>
      </w:r>
      <w:r w:rsidRPr="00DC66CD">
        <w:rPr>
          <w:rFonts w:ascii="Garamond" w:hAnsi="Garamond"/>
          <w:sz w:val="24"/>
          <w:szCs w:val="24"/>
        </w:rPr>
        <w:t>2020; Plani</w:t>
      </w:r>
      <w:r w:rsidR="00C00B3E" w:rsidRPr="00DC66CD">
        <w:rPr>
          <w:rFonts w:ascii="Garamond" w:hAnsi="Garamond"/>
          <w:sz w:val="24"/>
          <w:szCs w:val="24"/>
        </w:rPr>
        <w:t>n</w:t>
      </w:r>
      <w:r w:rsidRPr="00DC66CD">
        <w:rPr>
          <w:rFonts w:ascii="Garamond" w:hAnsi="Garamond"/>
          <w:sz w:val="24"/>
          <w:szCs w:val="24"/>
        </w:rPr>
        <w:t xml:space="preserve"> Kombëtar për Integrimin Evropian</w:t>
      </w:r>
      <w:r w:rsidR="00C00B3E" w:rsidRPr="00DC66CD">
        <w:rPr>
          <w:rFonts w:ascii="Garamond" w:hAnsi="Garamond"/>
          <w:sz w:val="24"/>
          <w:szCs w:val="24"/>
        </w:rPr>
        <w:t>,</w:t>
      </w:r>
      <w:r w:rsidRPr="00DC66CD">
        <w:rPr>
          <w:rFonts w:ascii="Garamond" w:hAnsi="Garamond"/>
          <w:sz w:val="24"/>
          <w:szCs w:val="24"/>
        </w:rPr>
        <w:t xml:space="preserve"> </w:t>
      </w:r>
      <w:r w:rsidR="00433A3A" w:rsidRPr="00DC66CD">
        <w:rPr>
          <w:rFonts w:ascii="Garamond" w:hAnsi="Garamond"/>
          <w:sz w:val="24"/>
          <w:szCs w:val="24"/>
        </w:rPr>
        <w:t>2017–</w:t>
      </w:r>
      <w:r w:rsidRPr="00DC66CD">
        <w:rPr>
          <w:rFonts w:ascii="Garamond" w:hAnsi="Garamond"/>
          <w:sz w:val="24"/>
          <w:szCs w:val="24"/>
        </w:rPr>
        <w:t>2021</w:t>
      </w:r>
      <w:r w:rsidR="00C00B3E" w:rsidRPr="00DC66CD">
        <w:rPr>
          <w:rFonts w:ascii="Garamond" w:hAnsi="Garamond"/>
          <w:sz w:val="24"/>
          <w:szCs w:val="24"/>
        </w:rPr>
        <w:t>,</w:t>
      </w:r>
      <w:r w:rsidRPr="00DC66CD">
        <w:rPr>
          <w:rFonts w:ascii="Garamond" w:hAnsi="Garamond"/>
          <w:sz w:val="24"/>
          <w:szCs w:val="24"/>
        </w:rPr>
        <w:t xml:space="preserve"> </w:t>
      </w:r>
      <w:r w:rsidR="00AD1A6E" w:rsidRPr="00DC66CD">
        <w:rPr>
          <w:rFonts w:ascii="Garamond" w:hAnsi="Garamond"/>
          <w:sz w:val="24"/>
          <w:szCs w:val="24"/>
        </w:rPr>
        <w:t xml:space="preserve">kapitulli </w:t>
      </w:r>
      <w:r w:rsidRPr="00DC66CD">
        <w:rPr>
          <w:rFonts w:ascii="Garamond" w:hAnsi="Garamond"/>
          <w:sz w:val="24"/>
          <w:szCs w:val="24"/>
        </w:rPr>
        <w:t>25</w:t>
      </w:r>
      <w:r w:rsidR="00AD1A6E" w:rsidRPr="00DC66CD">
        <w:rPr>
          <w:rFonts w:ascii="Garamond" w:hAnsi="Garamond"/>
          <w:sz w:val="24"/>
          <w:szCs w:val="24"/>
        </w:rPr>
        <w:t>,</w:t>
      </w:r>
      <w:r w:rsidRPr="00DC66CD">
        <w:rPr>
          <w:rFonts w:ascii="Garamond" w:hAnsi="Garamond"/>
          <w:sz w:val="24"/>
          <w:szCs w:val="24"/>
        </w:rPr>
        <w:t xml:space="preserve"> </w:t>
      </w:r>
      <w:r w:rsidR="00AD1A6E" w:rsidRPr="00DC66CD">
        <w:rPr>
          <w:rFonts w:ascii="Garamond" w:hAnsi="Garamond"/>
          <w:sz w:val="24"/>
          <w:szCs w:val="24"/>
        </w:rPr>
        <w:t>“</w:t>
      </w:r>
      <w:r w:rsidRPr="00DC66CD">
        <w:rPr>
          <w:rFonts w:ascii="Garamond" w:hAnsi="Garamond"/>
          <w:sz w:val="24"/>
          <w:szCs w:val="24"/>
        </w:rPr>
        <w:t xml:space="preserve">Shkenca dhe </w:t>
      </w:r>
      <w:r w:rsidR="00AD1A6E" w:rsidRPr="00DC66CD">
        <w:rPr>
          <w:rFonts w:ascii="Garamond" w:hAnsi="Garamond"/>
          <w:sz w:val="24"/>
          <w:szCs w:val="24"/>
        </w:rPr>
        <w:t>kërkimi shkencor”</w:t>
      </w:r>
      <w:r w:rsidRPr="00DC66CD">
        <w:rPr>
          <w:rFonts w:ascii="Garamond" w:hAnsi="Garamond"/>
          <w:sz w:val="24"/>
          <w:szCs w:val="24"/>
        </w:rPr>
        <w:t>; SEE 2020. Qëllimi i tij është të zhvillojë infrastrukturën e kërkimit dhe inovacionit, të aktivizojë burimet financiare publike dhe private që mbështesin kërkimin shkencor dhe promovojnë studiuesit shkencorë. Për më tepër, ai synon të rrisë bashkëpunimin midis studiuesve dhe komunitetit të biznesit që mbështesin krijimin e vendeve të punës dhe zhvillimin ekonomik të vendit.</w:t>
      </w:r>
    </w:p>
    <w:p w14:paraId="05694EF9" w14:textId="73B78ED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Masa përfshin nisma ligjore që do të zhvillohen gjatë viteve 2020</w:t>
      </w:r>
      <w:r w:rsidR="00AD1A6E" w:rsidRPr="00DC66CD">
        <w:rPr>
          <w:rFonts w:ascii="Garamond" w:hAnsi="Garamond"/>
          <w:sz w:val="24"/>
          <w:szCs w:val="24"/>
        </w:rPr>
        <w:t>–</w:t>
      </w:r>
      <w:r w:rsidRPr="00DC66CD">
        <w:rPr>
          <w:rFonts w:ascii="Garamond" w:hAnsi="Garamond"/>
          <w:sz w:val="24"/>
          <w:szCs w:val="24"/>
        </w:rPr>
        <w:t>2022; aktivitete në lidhje me përmirësimin e infrastrukturës kërkimore; aktivitetet promovuese të programeve shkencore evropiane; investime për të mbështetur kërkimin shkencor të lidhur ngushtë me zhvillimin ekonomik të vendit; aktivitete të promovimit të kapital</w:t>
      </w:r>
      <w:r w:rsidR="007206A4" w:rsidRPr="00DC66CD">
        <w:rPr>
          <w:rFonts w:ascii="Garamond" w:hAnsi="Garamond"/>
          <w:sz w:val="24"/>
          <w:szCs w:val="24"/>
        </w:rPr>
        <w:t>it njerëzor</w:t>
      </w:r>
      <w:r w:rsidRPr="00DC66CD">
        <w:rPr>
          <w:rFonts w:ascii="Garamond" w:hAnsi="Garamond"/>
          <w:sz w:val="24"/>
          <w:szCs w:val="24"/>
        </w:rPr>
        <w:t xml:space="preserve"> etj.</w:t>
      </w:r>
    </w:p>
    <w:p w14:paraId="1B3F9E69" w14:textId="60673178" w:rsidR="006F605B" w:rsidRPr="00DC66CD" w:rsidRDefault="00D477CC" w:rsidP="00D477C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72ACDB50" w14:textId="02922D07" w:rsidR="006F605B" w:rsidRPr="00DC66CD" w:rsidRDefault="00D477CC" w:rsidP="00D477CC">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AD1A6E" w:rsidRPr="00DC66CD">
        <w:rPr>
          <w:rFonts w:ascii="Garamond" w:hAnsi="Garamond" w:cs="Times New Roman"/>
          <w:b/>
          <w:sz w:val="24"/>
          <w:szCs w:val="24"/>
        </w:rPr>
        <w:t>-ën:</w:t>
      </w:r>
    </w:p>
    <w:p w14:paraId="6C667C9A" w14:textId="67763568" w:rsidR="006F605B" w:rsidRPr="00DC66CD" w:rsidRDefault="00D477CC" w:rsidP="00D477CC">
      <w:pPr>
        <w:pStyle w:val="TEKSTIIII"/>
      </w:pPr>
      <w:r w:rsidRPr="00DC66CD">
        <w:t>-</w:t>
      </w:r>
      <w:r w:rsidR="00793227" w:rsidRPr="00DC66CD">
        <w:t xml:space="preserve"> </w:t>
      </w:r>
      <w:r w:rsidR="00AD1A6E" w:rsidRPr="00DC66CD">
        <w:t>r</w:t>
      </w:r>
      <w:r w:rsidR="006F605B" w:rsidRPr="00DC66CD">
        <w:t>ritja e kapaciteteve të Agjencisë Kombëtare të Kërkimit Shkencor dhe Inovacionit përmes vendosjes së marrëveshjeve/projekteve dypalëshe dhe shumëpalëshe;</w:t>
      </w:r>
    </w:p>
    <w:p w14:paraId="32C7198E" w14:textId="5A0FE082" w:rsidR="006F605B" w:rsidRPr="00DC66CD" w:rsidRDefault="00D477CC" w:rsidP="00D477CC">
      <w:pPr>
        <w:pStyle w:val="TEKSTIIII"/>
      </w:pPr>
      <w:r w:rsidRPr="00DC66CD">
        <w:t>-</w:t>
      </w:r>
      <w:r w:rsidR="00793227" w:rsidRPr="00DC66CD">
        <w:t xml:space="preserve"> </w:t>
      </w:r>
      <w:r w:rsidR="00AD1A6E" w:rsidRPr="00DC66CD">
        <w:t xml:space="preserve">krijimi </w:t>
      </w:r>
      <w:r w:rsidR="006F605B" w:rsidRPr="00DC66CD">
        <w:t>i strukturave të koordinimit kombëtar për kërkimin shkencor (një strukturë ndërinstitucionale);</w:t>
      </w:r>
    </w:p>
    <w:p w14:paraId="1B2C2EEF" w14:textId="4C06DA37" w:rsidR="006F605B" w:rsidRPr="00DC66CD" w:rsidRDefault="00D477CC" w:rsidP="00D477CC">
      <w:pPr>
        <w:pStyle w:val="TEKSTIIII"/>
      </w:pPr>
      <w:r w:rsidRPr="00DC66CD">
        <w:t>-</w:t>
      </w:r>
      <w:r w:rsidR="00793227" w:rsidRPr="00DC66CD">
        <w:t xml:space="preserve"> AKSHI</w:t>
      </w:r>
      <w:r w:rsidR="00AD1A6E" w:rsidRPr="00DC66CD">
        <w:t xml:space="preserve">, </w:t>
      </w:r>
      <w:r w:rsidR="006F605B" w:rsidRPr="00DC66CD">
        <w:t>në bashkëpunim me INSTAT</w:t>
      </w:r>
      <w:r w:rsidR="00793227" w:rsidRPr="00DC66CD">
        <w:t>-in</w:t>
      </w:r>
      <w:r w:rsidR="006F605B" w:rsidRPr="00DC66CD">
        <w:t xml:space="preserve"> dhe </w:t>
      </w:r>
      <w:r w:rsidR="00793227" w:rsidRPr="00DC66CD">
        <w:t xml:space="preserve">me </w:t>
      </w:r>
      <w:r w:rsidR="006F605B" w:rsidRPr="00DC66CD">
        <w:t>MFE</w:t>
      </w:r>
      <w:r w:rsidR="00793227" w:rsidRPr="00DC66CD">
        <w:t>-në</w:t>
      </w:r>
      <w:r w:rsidR="006F605B" w:rsidRPr="00DC66CD">
        <w:t xml:space="preserve"> do të mbledhë dhe </w:t>
      </w:r>
      <w:r w:rsidR="00AD1A6E" w:rsidRPr="00DC66CD">
        <w:t xml:space="preserve">do të </w:t>
      </w:r>
      <w:r w:rsidR="006F605B" w:rsidRPr="00DC66CD">
        <w:t>përpunojë të dhëna për matjen e treguesit GERD;</w:t>
      </w:r>
    </w:p>
    <w:p w14:paraId="09115235" w14:textId="6E04DC57" w:rsidR="006F605B" w:rsidRPr="00DC66CD" w:rsidRDefault="00D477CC" w:rsidP="00D477CC">
      <w:pPr>
        <w:pStyle w:val="TEKSTIIII"/>
      </w:pPr>
      <w:r w:rsidRPr="00DC66CD">
        <w:t>-</w:t>
      </w:r>
      <w:r w:rsidR="00793227" w:rsidRPr="00DC66CD">
        <w:t xml:space="preserve"> </w:t>
      </w:r>
      <w:r w:rsidR="00AD1A6E" w:rsidRPr="00DC66CD">
        <w:t xml:space="preserve">infrastruktura </w:t>
      </w:r>
      <w:r w:rsidR="006F605B" w:rsidRPr="00DC66CD">
        <w:t>kërkimore do të vazhdojë të mbështetet pas monitorimit të performancës së tyre;</w:t>
      </w:r>
    </w:p>
    <w:p w14:paraId="788B6463" w14:textId="6F4106FF" w:rsidR="006F605B" w:rsidRPr="00DC66CD" w:rsidRDefault="00D477CC" w:rsidP="00D477CC">
      <w:pPr>
        <w:pStyle w:val="TEKSTIIII"/>
      </w:pPr>
      <w:r w:rsidRPr="00DC66CD">
        <w:t>-</w:t>
      </w:r>
      <w:r w:rsidR="00793227" w:rsidRPr="00DC66CD">
        <w:t xml:space="preserve"> </w:t>
      </w:r>
      <w:r w:rsidR="00AD1A6E" w:rsidRPr="00DC66CD">
        <w:t xml:space="preserve">vazhdimi </w:t>
      </w:r>
      <w:r w:rsidR="006F605B" w:rsidRPr="00DC66CD">
        <w:t>i hartimit të S3.</w:t>
      </w:r>
    </w:p>
    <w:p w14:paraId="16971F75" w14:textId="0F9E1855" w:rsidR="006F605B" w:rsidRPr="00DC66CD" w:rsidRDefault="00D477CC" w:rsidP="00D477CC">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AD1A6E" w:rsidRPr="00DC66CD">
        <w:rPr>
          <w:rFonts w:ascii="Garamond" w:hAnsi="Garamond" w:cs="Times New Roman"/>
          <w:b/>
          <w:sz w:val="24"/>
          <w:szCs w:val="24"/>
        </w:rPr>
        <w:t>-shin:</w:t>
      </w:r>
    </w:p>
    <w:p w14:paraId="3E9E77C9" w14:textId="26DE51B6" w:rsidR="006F605B" w:rsidRPr="00DC66CD" w:rsidRDefault="00D477CC" w:rsidP="00D477CC">
      <w:pPr>
        <w:pStyle w:val="TEKSTIIII"/>
      </w:pPr>
      <w:r w:rsidRPr="00DC66CD">
        <w:t>-</w:t>
      </w:r>
      <w:r w:rsidR="00793227" w:rsidRPr="00DC66CD">
        <w:t xml:space="preserve"> </w:t>
      </w:r>
      <w:r w:rsidR="00AD1A6E" w:rsidRPr="00DC66CD">
        <w:t>f</w:t>
      </w:r>
      <w:r w:rsidR="006F605B" w:rsidRPr="00DC66CD">
        <w:t>inalizimi i S3 dhe sigurimi për fillimin e zbatimit;</w:t>
      </w:r>
    </w:p>
    <w:p w14:paraId="60664145" w14:textId="5207FF7A" w:rsidR="006F605B" w:rsidRPr="00DC66CD" w:rsidRDefault="00D477CC" w:rsidP="00D477CC">
      <w:pPr>
        <w:pStyle w:val="TEKSTIIII"/>
      </w:pPr>
      <w:r w:rsidRPr="00DC66CD">
        <w:t>-</w:t>
      </w:r>
      <w:r w:rsidR="00793227" w:rsidRPr="00DC66CD">
        <w:t xml:space="preserve"> </w:t>
      </w:r>
      <w:r w:rsidR="00AD1A6E" w:rsidRPr="00DC66CD">
        <w:t>i</w:t>
      </w:r>
      <w:r w:rsidR="006F605B" w:rsidRPr="00DC66CD">
        <w:t>dentifikimi i partnerëve për inovacion; eksplorimi i shanseve të reja brenda bashkëpunimit ndërmjet universiteteve dhe bizneseve;</w:t>
      </w:r>
    </w:p>
    <w:p w14:paraId="4DE2D972" w14:textId="599A2C6E" w:rsidR="006F605B" w:rsidRPr="00DC66CD" w:rsidRDefault="00D477CC" w:rsidP="00D477CC">
      <w:pPr>
        <w:pStyle w:val="TEKSTIIII"/>
      </w:pPr>
      <w:r w:rsidRPr="00DC66CD">
        <w:t>-</w:t>
      </w:r>
      <w:r w:rsidR="00793227" w:rsidRPr="00DC66CD">
        <w:t xml:space="preserve"> </w:t>
      </w:r>
      <w:r w:rsidR="00AD1A6E" w:rsidRPr="00DC66CD">
        <w:t>i</w:t>
      </w:r>
      <w:r w:rsidR="006F605B" w:rsidRPr="00DC66CD">
        <w:t>nfrastruktura kërkimore do të vazhdojë të mbështetet pas monitorimit të performancës së tyre.</w:t>
      </w:r>
    </w:p>
    <w:p w14:paraId="12BCBB0A" w14:textId="39F18697" w:rsidR="006F605B" w:rsidRPr="00DC66CD" w:rsidRDefault="00D477CC" w:rsidP="00D477CC">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AD1A6E" w:rsidRPr="00DC66CD">
        <w:rPr>
          <w:rFonts w:ascii="Garamond" w:hAnsi="Garamond" w:cs="Times New Roman"/>
          <w:b/>
          <w:sz w:val="24"/>
          <w:szCs w:val="24"/>
        </w:rPr>
        <w:t>-shin:</w:t>
      </w:r>
    </w:p>
    <w:p w14:paraId="6D603331" w14:textId="2B2D2514" w:rsidR="006F605B" w:rsidRPr="00DC66CD" w:rsidRDefault="00D477CC" w:rsidP="00D477CC">
      <w:pPr>
        <w:pStyle w:val="TEKSTIIII"/>
      </w:pPr>
      <w:r w:rsidRPr="00DC66CD">
        <w:t>-</w:t>
      </w:r>
      <w:r w:rsidR="00793227" w:rsidRPr="00DC66CD">
        <w:t xml:space="preserve"> </w:t>
      </w:r>
      <w:r w:rsidR="00AD1A6E" w:rsidRPr="00DC66CD">
        <w:t>p</w:t>
      </w:r>
      <w:r w:rsidR="006F605B" w:rsidRPr="00DC66CD">
        <w:t>ërpos projekteve hulumtuese, projektet e inovacionit do të mbështeten dhe financohen</w:t>
      </w:r>
      <w:r w:rsidR="00AD1A6E" w:rsidRPr="00DC66CD">
        <w:t>,</w:t>
      </w:r>
      <w:r w:rsidR="006F605B" w:rsidRPr="00DC66CD">
        <w:t xml:space="preserve"> pasi ato kanë në thelb bashkëpunimin midis shkencës (</w:t>
      </w:r>
      <w:r w:rsidR="00AD1A6E" w:rsidRPr="00DC66CD">
        <w:t>universiteteve</w:t>
      </w:r>
      <w:r w:rsidR="006F605B" w:rsidRPr="00DC66CD">
        <w:t>) dhe biznesit, duke promovuar modele të reja</w:t>
      </w:r>
      <w:r w:rsidR="00AD1A6E" w:rsidRPr="00DC66CD">
        <w:t>,</w:t>
      </w:r>
      <w:r w:rsidR="006F605B" w:rsidRPr="00DC66CD">
        <w:t xml:space="preserve"> si </w:t>
      </w:r>
      <w:r w:rsidR="006F605B" w:rsidRPr="00DC66CD">
        <w:rPr>
          <w:i/>
        </w:rPr>
        <w:t>hackathons</w:t>
      </w:r>
      <w:r w:rsidR="006F605B" w:rsidRPr="00DC66CD">
        <w:t xml:space="preserve"> dhe </w:t>
      </w:r>
      <w:r w:rsidR="006F605B" w:rsidRPr="00DC66CD">
        <w:rPr>
          <w:i/>
        </w:rPr>
        <w:t>triple-helix</w:t>
      </w:r>
      <w:r w:rsidR="006F605B" w:rsidRPr="00DC66CD">
        <w:t xml:space="preserve"> (BE për inovacion);</w:t>
      </w:r>
    </w:p>
    <w:p w14:paraId="1E98C05C" w14:textId="55930497" w:rsidR="006F605B" w:rsidRPr="00DC66CD" w:rsidRDefault="00D477CC" w:rsidP="00D477CC">
      <w:pPr>
        <w:pStyle w:val="TEKSTIIII"/>
      </w:pPr>
      <w:r w:rsidRPr="00DC66CD">
        <w:t>-</w:t>
      </w:r>
      <w:r w:rsidR="00793227" w:rsidRPr="00DC66CD">
        <w:t xml:space="preserve"> </w:t>
      </w:r>
      <w:r w:rsidR="00AD1A6E" w:rsidRPr="00DC66CD">
        <w:t>pë</w:t>
      </w:r>
      <w:r w:rsidR="006F605B" w:rsidRPr="00DC66CD">
        <w:t xml:space="preserve">rgatitja e udhëzimeve dhe </w:t>
      </w:r>
      <w:r w:rsidR="00AD1A6E" w:rsidRPr="00DC66CD">
        <w:t xml:space="preserve">e </w:t>
      </w:r>
      <w:r w:rsidR="006F605B" w:rsidRPr="00DC66CD">
        <w:t xml:space="preserve">modeleve të nevojshme për financimin e projekteve të inovacionit. Siguroni miratimin e tyre </w:t>
      </w:r>
      <w:r w:rsidR="00AD1A6E" w:rsidRPr="00DC66CD">
        <w:t>nga bordi i administrimit.</w:t>
      </w:r>
    </w:p>
    <w:p w14:paraId="70C4F41E" w14:textId="29F2B916" w:rsidR="006F605B" w:rsidRPr="00DC66CD" w:rsidRDefault="00D477CC" w:rsidP="00D477C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1"/>
        <w:gridCol w:w="1745"/>
        <w:gridCol w:w="1742"/>
        <w:gridCol w:w="1722"/>
      </w:tblGrid>
      <w:tr w:rsidR="006F605B" w:rsidRPr="00DC66CD" w14:paraId="40365273" w14:textId="77777777" w:rsidTr="00AD1A6E">
        <w:trPr>
          <w:jc w:val="center"/>
        </w:trPr>
        <w:tc>
          <w:tcPr>
            <w:tcW w:w="4248" w:type="dxa"/>
            <w:vAlign w:val="center"/>
          </w:tcPr>
          <w:p w14:paraId="4ED60F78" w14:textId="77777777" w:rsidR="006F605B" w:rsidRPr="00DC66CD" w:rsidRDefault="006F605B" w:rsidP="00AD1A6E">
            <w:pPr>
              <w:snapToGrid w:val="0"/>
              <w:spacing w:after="0" w:line="240" w:lineRule="auto"/>
              <w:ind w:firstLine="284"/>
              <w:jc w:val="center"/>
              <w:rPr>
                <w:rFonts w:ascii="Garamond" w:hAnsi="Garamond"/>
                <w:b/>
                <w:sz w:val="20"/>
                <w:szCs w:val="20"/>
              </w:rPr>
            </w:pPr>
            <w:r w:rsidRPr="00DC66CD">
              <w:rPr>
                <w:rFonts w:ascii="Garamond" w:hAnsi="Garamond"/>
                <w:b/>
                <w:sz w:val="20"/>
                <w:szCs w:val="20"/>
              </w:rPr>
              <w:t>Indikatori</w:t>
            </w:r>
          </w:p>
        </w:tc>
        <w:tc>
          <w:tcPr>
            <w:tcW w:w="1791" w:type="dxa"/>
            <w:vAlign w:val="center"/>
          </w:tcPr>
          <w:p w14:paraId="051C5014" w14:textId="77777777" w:rsidR="006F605B" w:rsidRPr="00DC66CD" w:rsidRDefault="006F605B" w:rsidP="00AD1A6E">
            <w:pPr>
              <w:snapToGrid w:val="0"/>
              <w:spacing w:after="0" w:line="240" w:lineRule="auto"/>
              <w:ind w:firstLine="284"/>
              <w:jc w:val="center"/>
              <w:rPr>
                <w:rFonts w:ascii="Garamond" w:hAnsi="Garamond"/>
                <w:b/>
                <w:sz w:val="20"/>
                <w:szCs w:val="20"/>
              </w:rPr>
            </w:pPr>
            <w:r w:rsidRPr="00DC66CD">
              <w:rPr>
                <w:rFonts w:ascii="Garamond" w:hAnsi="Garamond"/>
                <w:b/>
                <w:sz w:val="20"/>
                <w:szCs w:val="20"/>
              </w:rPr>
              <w:t>Bazë (2019)</w:t>
            </w:r>
          </w:p>
        </w:tc>
        <w:tc>
          <w:tcPr>
            <w:tcW w:w="1791" w:type="dxa"/>
            <w:vAlign w:val="center"/>
          </w:tcPr>
          <w:p w14:paraId="2A38CECE" w14:textId="367C4D17" w:rsidR="006F605B" w:rsidRPr="00DC66CD" w:rsidRDefault="00C27435" w:rsidP="00AD1A6E">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(2020)</w:t>
            </w:r>
          </w:p>
        </w:tc>
        <w:tc>
          <w:tcPr>
            <w:tcW w:w="1792" w:type="dxa"/>
            <w:vAlign w:val="center"/>
          </w:tcPr>
          <w:p w14:paraId="60628FDF" w14:textId="77777777" w:rsidR="006F605B" w:rsidRPr="00DC66CD" w:rsidRDefault="006F605B" w:rsidP="00AD1A6E">
            <w:pPr>
              <w:snapToGrid w:val="0"/>
              <w:spacing w:after="0" w:line="240" w:lineRule="auto"/>
              <w:jc w:val="center"/>
              <w:rPr>
                <w:rFonts w:ascii="Garamond" w:hAnsi="Garamond"/>
                <w:b/>
                <w:sz w:val="20"/>
                <w:szCs w:val="20"/>
              </w:rPr>
            </w:pPr>
            <w:r w:rsidRPr="00DC66CD">
              <w:rPr>
                <w:rFonts w:ascii="Garamond" w:hAnsi="Garamond"/>
                <w:b/>
                <w:sz w:val="20"/>
                <w:szCs w:val="20"/>
              </w:rPr>
              <w:t>Objektivi (2022)</w:t>
            </w:r>
          </w:p>
        </w:tc>
      </w:tr>
      <w:tr w:rsidR="006F605B" w:rsidRPr="00DC66CD" w14:paraId="6888135D" w14:textId="77777777" w:rsidTr="00AD1A6E">
        <w:trPr>
          <w:jc w:val="center"/>
        </w:trPr>
        <w:tc>
          <w:tcPr>
            <w:tcW w:w="4248" w:type="dxa"/>
          </w:tcPr>
          <w:p w14:paraId="7F05E9F4" w14:textId="77777777" w:rsidR="006F605B" w:rsidRPr="00DC66CD" w:rsidRDefault="006F605B" w:rsidP="00793227">
            <w:pPr>
              <w:snapToGrid w:val="0"/>
              <w:spacing w:after="0" w:line="240" w:lineRule="auto"/>
              <w:rPr>
                <w:rFonts w:ascii="Garamond" w:hAnsi="Garamond"/>
                <w:sz w:val="20"/>
                <w:szCs w:val="20"/>
              </w:rPr>
            </w:pPr>
            <w:r w:rsidRPr="00DC66CD">
              <w:rPr>
                <w:rFonts w:ascii="Garamond" w:hAnsi="Garamond"/>
                <w:sz w:val="20"/>
                <w:szCs w:val="20"/>
              </w:rPr>
              <w:t>Numri i projekteve të kërkimit dhe inovacionit të themeluar</w:t>
            </w:r>
          </w:p>
        </w:tc>
        <w:tc>
          <w:tcPr>
            <w:tcW w:w="1791" w:type="dxa"/>
          </w:tcPr>
          <w:p w14:paraId="20ED303A" w14:textId="77777777" w:rsidR="006F605B" w:rsidRPr="00DC66CD" w:rsidRDefault="006F605B" w:rsidP="00AD1A6E">
            <w:pPr>
              <w:spacing w:after="0" w:line="240" w:lineRule="auto"/>
              <w:jc w:val="right"/>
              <w:rPr>
                <w:rFonts w:ascii="Garamond" w:hAnsi="Garamond"/>
                <w:sz w:val="20"/>
                <w:szCs w:val="20"/>
              </w:rPr>
            </w:pPr>
            <w:r w:rsidRPr="00DC66CD">
              <w:rPr>
                <w:rFonts w:ascii="Garamond" w:hAnsi="Garamond"/>
                <w:sz w:val="20"/>
                <w:szCs w:val="20"/>
              </w:rPr>
              <w:t>15 NPSR</w:t>
            </w:r>
          </w:p>
          <w:p w14:paraId="465FDAD7" w14:textId="2ACB9E8D" w:rsidR="006F605B" w:rsidRPr="00DC66CD" w:rsidRDefault="006F605B" w:rsidP="00AD1A6E">
            <w:pPr>
              <w:snapToGrid w:val="0"/>
              <w:spacing w:after="0" w:line="240" w:lineRule="auto"/>
              <w:jc w:val="right"/>
              <w:rPr>
                <w:rFonts w:ascii="Garamond" w:hAnsi="Garamond"/>
                <w:sz w:val="20"/>
                <w:szCs w:val="20"/>
              </w:rPr>
            </w:pPr>
            <w:r w:rsidRPr="00DC66CD">
              <w:rPr>
                <w:rFonts w:ascii="Garamond" w:hAnsi="Garamond"/>
                <w:sz w:val="20"/>
                <w:szCs w:val="20"/>
              </w:rPr>
              <w:t xml:space="preserve">12 </w:t>
            </w:r>
            <w:r w:rsidR="00AD1A6E" w:rsidRPr="00DC66CD">
              <w:rPr>
                <w:rFonts w:ascii="Garamond" w:hAnsi="Garamond"/>
                <w:sz w:val="20"/>
                <w:szCs w:val="20"/>
              </w:rPr>
              <w:t>infrastrukturë</w:t>
            </w:r>
          </w:p>
        </w:tc>
        <w:tc>
          <w:tcPr>
            <w:tcW w:w="1791" w:type="dxa"/>
          </w:tcPr>
          <w:p w14:paraId="665B45AA" w14:textId="77777777" w:rsidR="006F605B" w:rsidRPr="00DC66CD" w:rsidRDefault="006F605B" w:rsidP="00AD1A6E">
            <w:pPr>
              <w:snapToGrid w:val="0"/>
              <w:spacing w:after="0" w:line="240" w:lineRule="auto"/>
              <w:ind w:firstLine="284"/>
              <w:jc w:val="right"/>
              <w:rPr>
                <w:rFonts w:ascii="Garamond" w:hAnsi="Garamond"/>
                <w:sz w:val="20"/>
                <w:szCs w:val="20"/>
              </w:rPr>
            </w:pPr>
            <w:r w:rsidRPr="00DC66CD">
              <w:rPr>
                <w:rFonts w:ascii="Garamond" w:hAnsi="Garamond"/>
                <w:sz w:val="20"/>
                <w:szCs w:val="20"/>
              </w:rPr>
              <w:t>20/20</w:t>
            </w:r>
          </w:p>
        </w:tc>
        <w:tc>
          <w:tcPr>
            <w:tcW w:w="1792" w:type="dxa"/>
          </w:tcPr>
          <w:p w14:paraId="568C899C" w14:textId="77777777" w:rsidR="006F605B" w:rsidRPr="00DC66CD" w:rsidRDefault="006F605B" w:rsidP="00AD1A6E">
            <w:pPr>
              <w:snapToGrid w:val="0"/>
              <w:spacing w:after="0" w:line="240" w:lineRule="auto"/>
              <w:ind w:firstLine="284"/>
              <w:jc w:val="right"/>
              <w:rPr>
                <w:rFonts w:ascii="Garamond" w:hAnsi="Garamond"/>
                <w:sz w:val="20"/>
                <w:szCs w:val="20"/>
              </w:rPr>
            </w:pPr>
            <w:r w:rsidRPr="00DC66CD">
              <w:rPr>
                <w:rFonts w:ascii="Garamond" w:hAnsi="Garamond"/>
                <w:sz w:val="20"/>
                <w:szCs w:val="20"/>
              </w:rPr>
              <w:t>25/25</w:t>
            </w:r>
          </w:p>
        </w:tc>
      </w:tr>
      <w:tr w:rsidR="006F605B" w:rsidRPr="00DC66CD" w14:paraId="62CCF77D" w14:textId="77777777" w:rsidTr="00AD1A6E">
        <w:trPr>
          <w:jc w:val="center"/>
        </w:trPr>
        <w:tc>
          <w:tcPr>
            <w:tcW w:w="4248" w:type="dxa"/>
          </w:tcPr>
          <w:p w14:paraId="475BD3FD" w14:textId="77777777" w:rsidR="006F605B" w:rsidRPr="00DC66CD" w:rsidRDefault="006F605B" w:rsidP="00793227">
            <w:pPr>
              <w:snapToGrid w:val="0"/>
              <w:spacing w:after="0" w:line="240" w:lineRule="auto"/>
              <w:rPr>
                <w:rFonts w:ascii="Garamond" w:hAnsi="Garamond"/>
                <w:sz w:val="20"/>
                <w:szCs w:val="20"/>
              </w:rPr>
            </w:pPr>
            <w:r w:rsidRPr="00DC66CD">
              <w:rPr>
                <w:rFonts w:ascii="Garamond" w:hAnsi="Garamond"/>
                <w:sz w:val="20"/>
                <w:szCs w:val="20"/>
              </w:rPr>
              <w:t>% e fondit të kërkimit dhe inovacionit kundrejt PBB-së (GERD)</w:t>
            </w:r>
          </w:p>
        </w:tc>
        <w:tc>
          <w:tcPr>
            <w:tcW w:w="1791" w:type="dxa"/>
          </w:tcPr>
          <w:p w14:paraId="28E07EC2" w14:textId="77777777" w:rsidR="006F605B" w:rsidRPr="00DC66CD" w:rsidRDefault="006F605B" w:rsidP="00AD1A6E">
            <w:pPr>
              <w:snapToGrid w:val="0"/>
              <w:spacing w:after="0" w:line="240" w:lineRule="auto"/>
              <w:ind w:firstLine="284"/>
              <w:jc w:val="right"/>
              <w:rPr>
                <w:rFonts w:ascii="Garamond" w:hAnsi="Garamond"/>
                <w:sz w:val="20"/>
                <w:szCs w:val="20"/>
              </w:rPr>
            </w:pPr>
            <w:r w:rsidRPr="00DC66CD">
              <w:rPr>
                <w:rFonts w:ascii="Garamond" w:hAnsi="Garamond"/>
                <w:sz w:val="20"/>
                <w:szCs w:val="20"/>
              </w:rPr>
              <w:t>0.04</w:t>
            </w:r>
            <w:r w:rsidRPr="00DC66CD">
              <w:rPr>
                <w:rStyle w:val="FootnoteReference"/>
                <w:rFonts w:ascii="Garamond" w:hAnsi="Garamond"/>
                <w:sz w:val="20"/>
                <w:szCs w:val="20"/>
              </w:rPr>
              <w:footnoteReference w:id="23"/>
            </w:r>
          </w:p>
        </w:tc>
        <w:tc>
          <w:tcPr>
            <w:tcW w:w="1791" w:type="dxa"/>
          </w:tcPr>
          <w:p w14:paraId="476B96E4" w14:textId="77777777" w:rsidR="006F605B" w:rsidRPr="00DC66CD" w:rsidRDefault="006F605B" w:rsidP="00AD1A6E">
            <w:pPr>
              <w:snapToGrid w:val="0"/>
              <w:spacing w:after="0" w:line="240" w:lineRule="auto"/>
              <w:ind w:firstLine="284"/>
              <w:jc w:val="right"/>
              <w:rPr>
                <w:rFonts w:ascii="Garamond" w:hAnsi="Garamond"/>
                <w:sz w:val="20"/>
                <w:szCs w:val="20"/>
              </w:rPr>
            </w:pPr>
            <w:r w:rsidRPr="00DC66CD">
              <w:rPr>
                <w:rFonts w:ascii="Garamond" w:hAnsi="Garamond"/>
                <w:sz w:val="20"/>
                <w:szCs w:val="20"/>
              </w:rPr>
              <w:t>0.1</w:t>
            </w:r>
          </w:p>
        </w:tc>
        <w:tc>
          <w:tcPr>
            <w:tcW w:w="1792" w:type="dxa"/>
          </w:tcPr>
          <w:p w14:paraId="05888E6F" w14:textId="77777777" w:rsidR="006F605B" w:rsidRPr="00DC66CD" w:rsidRDefault="006F605B" w:rsidP="00AD1A6E">
            <w:pPr>
              <w:snapToGrid w:val="0"/>
              <w:spacing w:after="0" w:line="240" w:lineRule="auto"/>
              <w:ind w:firstLine="284"/>
              <w:jc w:val="right"/>
              <w:rPr>
                <w:rFonts w:ascii="Garamond" w:hAnsi="Garamond"/>
                <w:sz w:val="20"/>
                <w:szCs w:val="20"/>
              </w:rPr>
            </w:pPr>
            <w:r w:rsidRPr="00DC66CD">
              <w:rPr>
                <w:rFonts w:ascii="Garamond" w:hAnsi="Garamond"/>
                <w:sz w:val="20"/>
                <w:szCs w:val="20"/>
              </w:rPr>
              <w:t>0.1</w:t>
            </w:r>
          </w:p>
        </w:tc>
      </w:tr>
      <w:tr w:rsidR="006F605B" w:rsidRPr="00DC66CD" w14:paraId="3129FD16" w14:textId="77777777" w:rsidTr="00AD1A6E">
        <w:trPr>
          <w:jc w:val="center"/>
        </w:trPr>
        <w:tc>
          <w:tcPr>
            <w:tcW w:w="4248" w:type="dxa"/>
          </w:tcPr>
          <w:p w14:paraId="6C3F54F8" w14:textId="72AF1CF2" w:rsidR="006F605B" w:rsidRPr="00DC66CD" w:rsidRDefault="00AD1A6E" w:rsidP="00AD1A6E">
            <w:pPr>
              <w:snapToGrid w:val="0"/>
              <w:spacing w:after="0" w:line="240" w:lineRule="auto"/>
              <w:rPr>
                <w:rFonts w:ascii="Garamond" w:hAnsi="Garamond"/>
                <w:sz w:val="20"/>
                <w:szCs w:val="20"/>
              </w:rPr>
            </w:pPr>
            <w:r w:rsidRPr="00DC66CD">
              <w:rPr>
                <w:rFonts w:ascii="Garamond" w:hAnsi="Garamond"/>
                <w:sz w:val="20"/>
                <w:szCs w:val="20"/>
              </w:rPr>
              <w:t>Numri i marrëveshjeve</w:t>
            </w:r>
            <w:r w:rsidR="006F605B" w:rsidRPr="00DC66CD">
              <w:rPr>
                <w:rFonts w:ascii="Garamond" w:hAnsi="Garamond"/>
                <w:sz w:val="20"/>
                <w:szCs w:val="20"/>
              </w:rPr>
              <w:t>/projekteve bilaterale dhe multilaterale të krijuara</w:t>
            </w:r>
          </w:p>
        </w:tc>
        <w:tc>
          <w:tcPr>
            <w:tcW w:w="1791" w:type="dxa"/>
          </w:tcPr>
          <w:p w14:paraId="54AB90C6" w14:textId="77777777" w:rsidR="006F605B" w:rsidRPr="00DC66CD" w:rsidRDefault="006F605B" w:rsidP="00AD1A6E">
            <w:pPr>
              <w:snapToGrid w:val="0"/>
              <w:spacing w:after="0" w:line="240" w:lineRule="auto"/>
              <w:ind w:firstLine="284"/>
              <w:jc w:val="right"/>
              <w:rPr>
                <w:rFonts w:ascii="Garamond" w:hAnsi="Garamond"/>
                <w:sz w:val="20"/>
                <w:szCs w:val="20"/>
              </w:rPr>
            </w:pPr>
            <w:r w:rsidRPr="00DC66CD">
              <w:rPr>
                <w:rFonts w:ascii="Garamond" w:hAnsi="Garamond"/>
                <w:sz w:val="20"/>
                <w:szCs w:val="20"/>
              </w:rPr>
              <w:t>x</w:t>
            </w:r>
          </w:p>
        </w:tc>
        <w:tc>
          <w:tcPr>
            <w:tcW w:w="1791" w:type="dxa"/>
          </w:tcPr>
          <w:p w14:paraId="54DDDE4F" w14:textId="77777777" w:rsidR="006F605B" w:rsidRPr="00DC66CD" w:rsidRDefault="006F605B" w:rsidP="00AD1A6E">
            <w:pPr>
              <w:snapToGrid w:val="0"/>
              <w:spacing w:after="0" w:line="240" w:lineRule="auto"/>
              <w:ind w:firstLine="284"/>
              <w:jc w:val="right"/>
              <w:rPr>
                <w:rFonts w:ascii="Garamond" w:hAnsi="Garamond"/>
                <w:sz w:val="20"/>
                <w:szCs w:val="20"/>
              </w:rPr>
            </w:pPr>
            <w:r w:rsidRPr="00DC66CD">
              <w:rPr>
                <w:rFonts w:ascii="Garamond" w:hAnsi="Garamond"/>
                <w:sz w:val="20"/>
                <w:szCs w:val="20"/>
              </w:rPr>
              <w:t>4+</w:t>
            </w:r>
          </w:p>
        </w:tc>
        <w:tc>
          <w:tcPr>
            <w:tcW w:w="1792" w:type="dxa"/>
          </w:tcPr>
          <w:p w14:paraId="5EA6697E" w14:textId="77777777" w:rsidR="006F605B" w:rsidRPr="00DC66CD" w:rsidRDefault="006F605B" w:rsidP="00AD1A6E">
            <w:pPr>
              <w:snapToGrid w:val="0"/>
              <w:spacing w:after="0" w:line="240" w:lineRule="auto"/>
              <w:ind w:firstLine="284"/>
              <w:jc w:val="right"/>
              <w:rPr>
                <w:rFonts w:ascii="Garamond" w:hAnsi="Garamond"/>
                <w:sz w:val="20"/>
                <w:szCs w:val="20"/>
              </w:rPr>
            </w:pPr>
            <w:r w:rsidRPr="00DC66CD">
              <w:rPr>
                <w:rFonts w:ascii="Garamond" w:hAnsi="Garamond"/>
                <w:sz w:val="20"/>
                <w:szCs w:val="20"/>
              </w:rPr>
              <w:t>5+</w:t>
            </w:r>
          </w:p>
        </w:tc>
      </w:tr>
    </w:tbl>
    <w:p w14:paraId="32DF0790" w14:textId="77777777" w:rsidR="006F605B" w:rsidRPr="00DC66CD" w:rsidRDefault="006F605B" w:rsidP="006F605B">
      <w:pPr>
        <w:snapToGrid w:val="0"/>
        <w:spacing w:after="0" w:line="240" w:lineRule="auto"/>
        <w:ind w:firstLine="284"/>
        <w:rPr>
          <w:rFonts w:ascii="Garamond" w:hAnsi="Garamond"/>
          <w:sz w:val="24"/>
          <w:szCs w:val="24"/>
        </w:rPr>
      </w:pPr>
    </w:p>
    <w:p w14:paraId="3131FF99" w14:textId="162DB0D6" w:rsidR="006F605B" w:rsidRPr="00DC66CD" w:rsidRDefault="00D477CC" w:rsidP="00D477C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Ndikimi i pritshëm në konkurrueshmëri</w:t>
      </w:r>
    </w:p>
    <w:p w14:paraId="662753B7" w14:textId="06B5E09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Forcimi i kapaciteteve kërkimore institucionale do të kontribuojë në përmirësimin e pjesëmarrjes në programet </w:t>
      </w:r>
      <w:r w:rsidR="00AD1A6E" w:rsidRPr="00DC66CD">
        <w:rPr>
          <w:rFonts w:ascii="Garamond" w:hAnsi="Garamond"/>
          <w:sz w:val="24"/>
          <w:szCs w:val="24"/>
        </w:rPr>
        <w:t>“</w:t>
      </w:r>
      <w:r w:rsidRPr="00DC66CD">
        <w:rPr>
          <w:rFonts w:ascii="Garamond" w:hAnsi="Garamond"/>
          <w:sz w:val="24"/>
          <w:szCs w:val="24"/>
        </w:rPr>
        <w:t>Horizon</w:t>
      </w:r>
      <w:r w:rsidR="00AD1A6E" w:rsidRPr="00DC66CD">
        <w:rPr>
          <w:rFonts w:ascii="Garamond" w:hAnsi="Garamond"/>
          <w:sz w:val="24"/>
          <w:szCs w:val="24"/>
        </w:rPr>
        <w:t>t</w:t>
      </w:r>
      <w:r w:rsidRPr="00DC66CD">
        <w:rPr>
          <w:rFonts w:ascii="Garamond" w:hAnsi="Garamond"/>
          <w:sz w:val="24"/>
          <w:szCs w:val="24"/>
        </w:rPr>
        <w:t xml:space="preserve"> 2020</w:t>
      </w:r>
      <w:r w:rsidR="00AD1A6E" w:rsidRPr="00DC66CD">
        <w:rPr>
          <w:rFonts w:ascii="Garamond" w:hAnsi="Garamond"/>
          <w:sz w:val="24"/>
          <w:szCs w:val="24"/>
        </w:rPr>
        <w:t>”</w:t>
      </w:r>
      <w:r w:rsidRPr="00DC66CD">
        <w:rPr>
          <w:rFonts w:ascii="Garamond" w:hAnsi="Garamond"/>
          <w:sz w:val="24"/>
          <w:szCs w:val="24"/>
        </w:rPr>
        <w:t xml:space="preserve"> dhe do të forcojë lidhjet midis akademisë, biznesit dhe qeverisë në planin afatmesëm dhe afatgjatë. Ushqyerja e biznesit me kërkime dhe inovacion do të çojë në prodhimin e produkteve inovative në këto infrastrukturë dhe krijimin e vlerës së shtuar përmes komercializimit të këtyre produkteve.</w:t>
      </w:r>
    </w:p>
    <w:p w14:paraId="219582CD" w14:textId="0A768AA1" w:rsidR="006F605B" w:rsidRPr="00DC66CD" w:rsidRDefault="00D477CC" w:rsidP="00D477C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Kosto</w:t>
      </w:r>
      <w:r w:rsidR="00AD1A6E"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7FC7C245"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Buxheti total i programit të kërkimit në Programin Buxhetor Afatmesëm.</w:t>
      </w:r>
    </w:p>
    <w:p w14:paraId="725F9A56" w14:textId="37DE3C8E" w:rsidR="006F605B" w:rsidRPr="00DC66CD" w:rsidRDefault="00D477CC" w:rsidP="00D477C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6. </w:t>
      </w:r>
      <w:r w:rsidR="006F605B" w:rsidRPr="00DC66CD">
        <w:rPr>
          <w:rFonts w:ascii="Garamond" w:hAnsi="Garamond"/>
          <w:color w:val="auto"/>
          <w:sz w:val="24"/>
          <w:szCs w:val="24"/>
        </w:rPr>
        <w:t>Ndikimi i pritshëm në rezultatet sociale, si punësimi, ulja e varfërisë, barazia dhe gjinia</w:t>
      </w:r>
    </w:p>
    <w:p w14:paraId="58B0BDFE" w14:textId="00B100AF"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Synon të përmirësojë kapacitetet financiare dhe menaxheriale të infrastrukturave kërkimore në universitete</w:t>
      </w:r>
      <w:r w:rsidR="00AD1A6E" w:rsidRPr="00DC66CD">
        <w:rPr>
          <w:rFonts w:ascii="Garamond" w:hAnsi="Garamond"/>
          <w:sz w:val="24"/>
          <w:szCs w:val="24"/>
        </w:rPr>
        <w:t>,</w:t>
      </w:r>
      <w:r w:rsidRPr="00DC66CD">
        <w:rPr>
          <w:rFonts w:ascii="Garamond" w:hAnsi="Garamond"/>
          <w:sz w:val="24"/>
          <w:szCs w:val="24"/>
        </w:rPr>
        <w:t xml:space="preserve"> ku studiuesit e kualifikuar do të bashkëpunojnë me komunitetin e biznesit për biznes të ri inovativ që promovojnë krijimin e vendeve të punës.</w:t>
      </w:r>
    </w:p>
    <w:p w14:paraId="2C3D9559" w14:textId="40374901" w:rsidR="006F605B" w:rsidRPr="00DC66CD" w:rsidRDefault="00D477CC" w:rsidP="00D477C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7. </w:t>
      </w:r>
      <w:r w:rsidR="006F605B" w:rsidRPr="00DC66CD">
        <w:rPr>
          <w:rFonts w:ascii="Garamond" w:hAnsi="Garamond"/>
          <w:color w:val="auto"/>
          <w:sz w:val="24"/>
          <w:szCs w:val="24"/>
        </w:rPr>
        <w:t>Ndikimi i pritshëm në mjedis</w:t>
      </w:r>
    </w:p>
    <w:p w14:paraId="1C48F328" w14:textId="77777777" w:rsidR="00C2186F" w:rsidRPr="00DC66CD" w:rsidRDefault="006F605B" w:rsidP="00C2186F">
      <w:pPr>
        <w:snapToGrid w:val="0"/>
        <w:spacing w:after="0" w:line="240" w:lineRule="auto"/>
        <w:ind w:firstLine="284"/>
        <w:rPr>
          <w:rFonts w:ascii="Garamond" w:hAnsi="Garamond"/>
          <w:sz w:val="24"/>
          <w:szCs w:val="24"/>
        </w:rPr>
      </w:pPr>
      <w:r w:rsidRPr="00DC66CD">
        <w:rPr>
          <w:rFonts w:ascii="Garamond" w:hAnsi="Garamond"/>
          <w:sz w:val="24"/>
          <w:szCs w:val="24"/>
        </w:rPr>
        <w:t>Masa nuk p</w:t>
      </w:r>
      <w:r w:rsidR="00C2186F" w:rsidRPr="00DC66CD">
        <w:rPr>
          <w:rFonts w:ascii="Garamond" w:hAnsi="Garamond"/>
          <w:sz w:val="24"/>
          <w:szCs w:val="24"/>
        </w:rPr>
        <w:t>ritet të ketë ndikim në mjedis.</w:t>
      </w:r>
    </w:p>
    <w:p w14:paraId="63872890" w14:textId="7105242E" w:rsidR="006F605B" w:rsidRPr="00DC66CD" w:rsidRDefault="00C2186F" w:rsidP="00C2186F">
      <w:pPr>
        <w:snapToGrid w:val="0"/>
        <w:spacing w:after="0" w:line="240" w:lineRule="auto"/>
        <w:ind w:firstLine="284"/>
        <w:rPr>
          <w:rFonts w:ascii="Garamond" w:hAnsi="Garamond"/>
          <w:i/>
          <w:sz w:val="24"/>
          <w:szCs w:val="24"/>
        </w:rPr>
      </w:pPr>
      <w:r w:rsidRPr="00DC66CD">
        <w:rPr>
          <w:rFonts w:ascii="Garamond" w:hAnsi="Garamond"/>
          <w:i/>
          <w:sz w:val="24"/>
          <w:szCs w:val="24"/>
        </w:rPr>
        <w:t xml:space="preserve">8. </w:t>
      </w:r>
      <w:r w:rsidR="006F605B" w:rsidRPr="00DC66CD">
        <w:rPr>
          <w:rFonts w:ascii="Garamond" w:hAnsi="Garamond"/>
          <w:i/>
          <w:sz w:val="24"/>
          <w:szCs w:val="24"/>
        </w:rPr>
        <w:t>Rreziqet e mundshme</w:t>
      </w:r>
    </w:p>
    <w:p w14:paraId="532C15D8" w14:textId="2173E3E9" w:rsidR="006F605B" w:rsidRPr="00DC66CD" w:rsidRDefault="006F605B" w:rsidP="00AD1A6E">
      <w:pPr>
        <w:snapToGrid w:val="0"/>
        <w:spacing w:after="0" w:line="240" w:lineRule="auto"/>
        <w:ind w:firstLine="284"/>
        <w:jc w:val="both"/>
        <w:rPr>
          <w:rFonts w:ascii="Garamond" w:hAnsi="Garamond"/>
          <w:sz w:val="24"/>
          <w:szCs w:val="24"/>
        </w:rPr>
      </w:pPr>
      <w:r w:rsidRPr="00DC66CD">
        <w:rPr>
          <w:rFonts w:ascii="Garamond" w:hAnsi="Garamond"/>
          <w:sz w:val="24"/>
          <w:szCs w:val="24"/>
        </w:rPr>
        <w:t>Sfidat për zbatimin e masave të lartpërmendura në fushën e kërkimit dhe inovacionit përfshijnë vështirësi në koordinimin ndërinstitucional</w:t>
      </w:r>
      <w:r w:rsidR="00AD1A6E" w:rsidRPr="00DC66CD">
        <w:rPr>
          <w:rFonts w:ascii="Garamond" w:hAnsi="Garamond"/>
          <w:sz w:val="24"/>
          <w:szCs w:val="24"/>
        </w:rPr>
        <w:t>,</w:t>
      </w:r>
      <w:r w:rsidRPr="00DC66CD">
        <w:rPr>
          <w:rFonts w:ascii="Garamond" w:hAnsi="Garamond"/>
          <w:sz w:val="24"/>
          <w:szCs w:val="24"/>
        </w:rPr>
        <w:t xml:space="preserve"> si dhe kufizimet e buxhetit.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970"/>
        <w:gridCol w:w="4132"/>
      </w:tblGrid>
      <w:tr w:rsidR="006F605B" w:rsidRPr="00DC66CD" w14:paraId="2B65D2A0" w14:textId="77777777" w:rsidTr="00AD1A6E">
        <w:trPr>
          <w:jc w:val="center"/>
        </w:trPr>
        <w:tc>
          <w:tcPr>
            <w:tcW w:w="2178" w:type="dxa"/>
            <w:vAlign w:val="center"/>
          </w:tcPr>
          <w:p w14:paraId="5D4EF122" w14:textId="77777777" w:rsidR="006F605B" w:rsidRPr="00DC66CD" w:rsidRDefault="006F605B" w:rsidP="00AD1A6E">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2970" w:type="dxa"/>
            <w:vAlign w:val="center"/>
          </w:tcPr>
          <w:p w14:paraId="3885943F" w14:textId="2B2698E0" w:rsidR="006F605B" w:rsidRPr="00DC66CD" w:rsidRDefault="006F605B" w:rsidP="00AD1A6E">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r w:rsidR="00F85068" w:rsidRPr="00DC66CD">
              <w:rPr>
                <w:rFonts w:ascii="Garamond" w:hAnsi="Garamond"/>
                <w:b/>
                <w:sz w:val="20"/>
                <w:szCs w:val="20"/>
              </w:rPr>
              <w:t>(i ulët, i lartë)</w:t>
            </w:r>
          </w:p>
        </w:tc>
        <w:tc>
          <w:tcPr>
            <w:tcW w:w="4132" w:type="dxa"/>
            <w:vAlign w:val="center"/>
          </w:tcPr>
          <w:p w14:paraId="77950821" w14:textId="77777777" w:rsidR="006F605B" w:rsidRPr="00DC66CD" w:rsidRDefault="006F605B" w:rsidP="00AD1A6E">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690E8F94" w14:textId="77777777" w:rsidTr="00AD1A6E">
        <w:trPr>
          <w:jc w:val="center"/>
        </w:trPr>
        <w:tc>
          <w:tcPr>
            <w:tcW w:w="2178" w:type="dxa"/>
          </w:tcPr>
          <w:p w14:paraId="7C4E08AE" w14:textId="77777777" w:rsidR="006F605B" w:rsidRPr="00DC66CD" w:rsidRDefault="006F605B" w:rsidP="00FF12AC">
            <w:pPr>
              <w:snapToGrid w:val="0"/>
              <w:spacing w:after="0" w:line="240" w:lineRule="auto"/>
              <w:rPr>
                <w:rFonts w:ascii="Garamond" w:hAnsi="Garamond"/>
                <w:sz w:val="20"/>
                <w:szCs w:val="20"/>
              </w:rPr>
            </w:pPr>
            <w:r w:rsidRPr="00DC66CD">
              <w:rPr>
                <w:rFonts w:ascii="Garamond" w:hAnsi="Garamond"/>
                <w:sz w:val="20"/>
                <w:szCs w:val="20"/>
              </w:rPr>
              <w:t>Kufizime buxhetore</w:t>
            </w:r>
          </w:p>
        </w:tc>
        <w:tc>
          <w:tcPr>
            <w:tcW w:w="2970" w:type="dxa"/>
          </w:tcPr>
          <w:p w14:paraId="58B00321" w14:textId="14E4EF47" w:rsidR="006F605B" w:rsidRPr="00DC66CD" w:rsidRDefault="00793227" w:rsidP="00FF12AC">
            <w:pPr>
              <w:snapToGrid w:val="0"/>
              <w:spacing w:after="0" w:line="240" w:lineRule="auto"/>
              <w:rPr>
                <w:rFonts w:ascii="Garamond" w:hAnsi="Garamond"/>
                <w:sz w:val="20"/>
                <w:szCs w:val="20"/>
              </w:rPr>
            </w:pPr>
            <w:r w:rsidRPr="00DC66CD">
              <w:rPr>
                <w:rFonts w:ascii="Garamond" w:hAnsi="Garamond"/>
                <w:sz w:val="20"/>
                <w:szCs w:val="20"/>
              </w:rPr>
              <w:t>I u</w:t>
            </w:r>
            <w:r w:rsidR="006F605B" w:rsidRPr="00DC66CD">
              <w:rPr>
                <w:rFonts w:ascii="Garamond" w:hAnsi="Garamond"/>
                <w:sz w:val="20"/>
                <w:szCs w:val="20"/>
              </w:rPr>
              <w:t>lët</w:t>
            </w:r>
          </w:p>
        </w:tc>
        <w:tc>
          <w:tcPr>
            <w:tcW w:w="4132" w:type="dxa"/>
          </w:tcPr>
          <w:p w14:paraId="7374F602" w14:textId="5F9E1294" w:rsidR="006F605B" w:rsidRPr="00DC66CD" w:rsidRDefault="006F605B" w:rsidP="00AD1A6E">
            <w:pPr>
              <w:snapToGrid w:val="0"/>
              <w:spacing w:after="0" w:line="240" w:lineRule="auto"/>
              <w:rPr>
                <w:rFonts w:ascii="Garamond" w:hAnsi="Garamond"/>
                <w:sz w:val="20"/>
                <w:szCs w:val="20"/>
              </w:rPr>
            </w:pPr>
            <w:r w:rsidRPr="00DC66CD">
              <w:rPr>
                <w:rFonts w:ascii="Garamond" w:hAnsi="Garamond"/>
                <w:sz w:val="20"/>
                <w:szCs w:val="20"/>
              </w:rPr>
              <w:t>Sipas kornizës së buxhetit afatmesëm, fondet e planifikuara për infrastrukturën kërkimore shkencore janë rritur për tr</w:t>
            </w:r>
            <w:r w:rsidR="00AD1A6E" w:rsidRPr="00DC66CD">
              <w:rPr>
                <w:rFonts w:ascii="Garamond" w:hAnsi="Garamond"/>
                <w:sz w:val="20"/>
                <w:szCs w:val="20"/>
              </w:rPr>
              <w:t>e</w:t>
            </w:r>
            <w:r w:rsidRPr="00DC66CD">
              <w:rPr>
                <w:rFonts w:ascii="Garamond" w:hAnsi="Garamond"/>
                <w:sz w:val="20"/>
                <w:szCs w:val="20"/>
              </w:rPr>
              <w:t xml:space="preserve"> v</w:t>
            </w:r>
            <w:r w:rsidR="00AD1A6E" w:rsidRPr="00DC66CD">
              <w:rPr>
                <w:rFonts w:ascii="Garamond" w:hAnsi="Garamond"/>
                <w:sz w:val="20"/>
                <w:szCs w:val="20"/>
              </w:rPr>
              <w:t>vjetët</w:t>
            </w:r>
            <w:r w:rsidRPr="00DC66CD">
              <w:rPr>
                <w:rFonts w:ascii="Garamond" w:hAnsi="Garamond"/>
                <w:sz w:val="20"/>
                <w:szCs w:val="20"/>
              </w:rPr>
              <w:t xml:space="preserve"> e ardhsh</w:t>
            </w:r>
            <w:r w:rsidR="00AD1A6E" w:rsidRPr="00DC66CD">
              <w:rPr>
                <w:rFonts w:ascii="Garamond" w:hAnsi="Garamond"/>
                <w:sz w:val="20"/>
                <w:szCs w:val="20"/>
              </w:rPr>
              <w:t>ë</w:t>
            </w:r>
            <w:r w:rsidRPr="00DC66CD">
              <w:rPr>
                <w:rFonts w:ascii="Garamond" w:hAnsi="Garamond"/>
                <w:sz w:val="20"/>
                <w:szCs w:val="20"/>
              </w:rPr>
              <w:t>m</w:t>
            </w:r>
          </w:p>
        </w:tc>
      </w:tr>
    </w:tbl>
    <w:p w14:paraId="6EA70D7C" w14:textId="77777777" w:rsidR="006F605B" w:rsidRPr="00DC66CD" w:rsidRDefault="006F605B" w:rsidP="006F605B">
      <w:pPr>
        <w:snapToGrid w:val="0"/>
        <w:spacing w:after="0" w:line="240" w:lineRule="auto"/>
        <w:ind w:firstLine="284"/>
        <w:rPr>
          <w:rFonts w:ascii="Garamond" w:hAnsi="Garamond"/>
          <w:sz w:val="24"/>
          <w:szCs w:val="24"/>
        </w:rPr>
      </w:pPr>
    </w:p>
    <w:p w14:paraId="0BE8FC2C" w14:textId="77777777" w:rsidR="006F605B" w:rsidRPr="00DC66CD" w:rsidRDefault="006F605B" w:rsidP="006F605B">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12: Zhvillimi i infrastrukturës të brezit të gjerë për ekonominë digjitale</w:t>
      </w:r>
    </w:p>
    <w:p w14:paraId="041EEB78" w14:textId="6EAA7447" w:rsidR="006F605B" w:rsidRPr="00DC66CD" w:rsidRDefault="00FF12AC" w:rsidP="00FF12A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 </w:t>
      </w:r>
      <w:r w:rsidR="006F605B" w:rsidRPr="00DC66CD">
        <w:rPr>
          <w:rFonts w:ascii="Garamond" w:hAnsi="Garamond"/>
          <w:color w:val="auto"/>
          <w:sz w:val="24"/>
          <w:szCs w:val="24"/>
        </w:rPr>
        <w:t>Përshkrimi</w:t>
      </w:r>
    </w:p>
    <w:p w14:paraId="313C1903" w14:textId="28117312"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Zhvillimi i </w:t>
      </w:r>
      <w:r w:rsidR="00AD1A6E" w:rsidRPr="00DC66CD">
        <w:rPr>
          <w:rFonts w:ascii="Garamond" w:hAnsi="Garamond"/>
          <w:sz w:val="24"/>
          <w:szCs w:val="24"/>
        </w:rPr>
        <w:t xml:space="preserve">infrastrukturës </w:t>
      </w:r>
      <w:r w:rsidR="00AD1A6E" w:rsidRPr="00DC66CD">
        <w:rPr>
          <w:rFonts w:ascii="Garamond" w:hAnsi="Garamond"/>
          <w:i/>
          <w:sz w:val="24"/>
          <w:szCs w:val="24"/>
        </w:rPr>
        <w:t>broadband</w:t>
      </w:r>
      <w:r w:rsidR="00AD1A6E" w:rsidRPr="00DC66CD">
        <w:rPr>
          <w:rFonts w:ascii="Garamond" w:hAnsi="Garamond"/>
          <w:sz w:val="24"/>
          <w:szCs w:val="24"/>
        </w:rPr>
        <w:t xml:space="preserve"> </w:t>
      </w:r>
      <w:r w:rsidRPr="00DC66CD">
        <w:rPr>
          <w:rFonts w:ascii="Garamond" w:hAnsi="Garamond"/>
          <w:sz w:val="24"/>
          <w:szCs w:val="24"/>
        </w:rPr>
        <w:t xml:space="preserve">është një nga çështjet më të rëndësishme të strategjisë rajonale. Zhvillimi </w:t>
      </w:r>
      <w:r w:rsidR="00AD1A6E" w:rsidRPr="00DC66CD">
        <w:rPr>
          <w:rFonts w:ascii="Garamond" w:hAnsi="Garamond"/>
          <w:i/>
          <w:sz w:val="24"/>
          <w:szCs w:val="24"/>
        </w:rPr>
        <w:t>broadband</w:t>
      </w:r>
      <w:r w:rsidR="00AD1A6E" w:rsidRPr="00DC66CD">
        <w:rPr>
          <w:rFonts w:ascii="Garamond" w:hAnsi="Garamond"/>
          <w:sz w:val="24"/>
          <w:szCs w:val="24"/>
        </w:rPr>
        <w:t xml:space="preserve"> </w:t>
      </w:r>
      <w:r w:rsidRPr="00DC66CD">
        <w:rPr>
          <w:rFonts w:ascii="Garamond" w:hAnsi="Garamond"/>
          <w:sz w:val="24"/>
          <w:szCs w:val="24"/>
        </w:rPr>
        <w:t>është në përputhje me Agjendën Digjitale t</w:t>
      </w:r>
      <w:r w:rsidR="00AD1A6E" w:rsidRPr="00DC66CD">
        <w:rPr>
          <w:rFonts w:ascii="Garamond" w:hAnsi="Garamond"/>
          <w:sz w:val="24"/>
          <w:szCs w:val="24"/>
        </w:rPr>
        <w:t>ë</w:t>
      </w:r>
      <w:r w:rsidRPr="00DC66CD">
        <w:rPr>
          <w:rFonts w:ascii="Garamond" w:hAnsi="Garamond"/>
          <w:sz w:val="24"/>
          <w:szCs w:val="24"/>
        </w:rPr>
        <w:t xml:space="preserve"> BE-së, pjesë e përparësive të </w:t>
      </w:r>
      <w:r w:rsidR="00AD1A6E" w:rsidRPr="00DC66CD">
        <w:rPr>
          <w:rFonts w:ascii="Garamond" w:hAnsi="Garamond"/>
          <w:sz w:val="24"/>
          <w:szCs w:val="24"/>
        </w:rPr>
        <w:t xml:space="preserve">strategjisë </w:t>
      </w:r>
      <w:r w:rsidRPr="00DC66CD">
        <w:rPr>
          <w:rFonts w:ascii="Garamond" w:hAnsi="Garamond"/>
          <w:sz w:val="24"/>
          <w:szCs w:val="24"/>
        </w:rPr>
        <w:t>SEE-2020</w:t>
      </w:r>
      <w:r w:rsidR="00AD1A6E" w:rsidRPr="00DC66CD">
        <w:rPr>
          <w:rFonts w:ascii="Garamond" w:hAnsi="Garamond"/>
          <w:sz w:val="24"/>
          <w:szCs w:val="24"/>
        </w:rPr>
        <w:t>,</w:t>
      </w:r>
      <w:r w:rsidRPr="00DC66CD">
        <w:rPr>
          <w:rFonts w:ascii="Garamond" w:hAnsi="Garamond"/>
          <w:sz w:val="24"/>
          <w:szCs w:val="24"/>
        </w:rPr>
        <w:t xml:space="preserve"> nën shtyllën e rritjes inteligjente dhe</w:t>
      </w:r>
      <w:r w:rsidR="00AD1A6E" w:rsidRPr="00DC66CD">
        <w:rPr>
          <w:rFonts w:ascii="Garamond" w:hAnsi="Garamond"/>
          <w:sz w:val="24"/>
          <w:szCs w:val="24"/>
        </w:rPr>
        <w:t>,</w:t>
      </w:r>
      <w:r w:rsidRPr="00DC66CD">
        <w:rPr>
          <w:rFonts w:ascii="Garamond" w:hAnsi="Garamond"/>
          <w:sz w:val="24"/>
          <w:szCs w:val="24"/>
        </w:rPr>
        <w:t xml:space="preserve"> gjithashtu</w:t>
      </w:r>
      <w:r w:rsidR="00AD1A6E" w:rsidRPr="00DC66CD">
        <w:rPr>
          <w:rFonts w:ascii="Garamond" w:hAnsi="Garamond"/>
          <w:sz w:val="24"/>
          <w:szCs w:val="24"/>
        </w:rPr>
        <w:t>,</w:t>
      </w:r>
      <w:r w:rsidRPr="00DC66CD">
        <w:rPr>
          <w:rFonts w:ascii="Garamond" w:hAnsi="Garamond"/>
          <w:sz w:val="24"/>
          <w:szCs w:val="24"/>
        </w:rPr>
        <w:t xml:space="preserve"> pjesë e MAP-REA e WB6</w:t>
      </w:r>
      <w:r w:rsidR="00AD1A6E" w:rsidRPr="00DC66CD">
        <w:rPr>
          <w:rFonts w:ascii="Garamond" w:hAnsi="Garamond"/>
          <w:sz w:val="24"/>
          <w:szCs w:val="24"/>
        </w:rPr>
        <w:t>,</w:t>
      </w:r>
      <w:r w:rsidRPr="00DC66CD">
        <w:rPr>
          <w:rFonts w:ascii="Garamond" w:hAnsi="Garamond"/>
          <w:sz w:val="24"/>
          <w:szCs w:val="24"/>
        </w:rPr>
        <w:t xml:space="preserve"> të miratuar në Samitin e Trieste</w:t>
      </w:r>
      <w:r w:rsidR="00AD1A6E" w:rsidRPr="00DC66CD">
        <w:rPr>
          <w:rFonts w:ascii="Garamond" w:hAnsi="Garamond"/>
          <w:sz w:val="24"/>
          <w:szCs w:val="24"/>
        </w:rPr>
        <w:t>s,</w:t>
      </w:r>
      <w:r w:rsidRPr="00DC66CD">
        <w:rPr>
          <w:rFonts w:ascii="Garamond" w:hAnsi="Garamond"/>
          <w:sz w:val="24"/>
          <w:szCs w:val="24"/>
        </w:rPr>
        <w:t xml:space="preserve"> më 12 korrik 2017, nën shtyllën e integrimit digjital. Në përputhje me objektivat e SEE 2020, procesin e integrimit në BE dhe programin kombëtar parashikohen një numër masash. Masat e reformave të propozuara do të rrisin investimet, do të përmirësojnë depërtimin </w:t>
      </w:r>
      <w:r w:rsidRPr="00DC66CD">
        <w:rPr>
          <w:rFonts w:ascii="Garamond" w:hAnsi="Garamond"/>
          <w:i/>
          <w:sz w:val="24"/>
          <w:szCs w:val="24"/>
        </w:rPr>
        <w:t>broadband</w:t>
      </w:r>
      <w:r w:rsidRPr="00DC66CD">
        <w:rPr>
          <w:rFonts w:ascii="Garamond" w:hAnsi="Garamond"/>
          <w:sz w:val="24"/>
          <w:szCs w:val="24"/>
        </w:rPr>
        <w:t>, do të rrisin efikasitetin e infrastrukturës ekzistuese përmes ndarjes së infrastrukturës, si dhe do të rrisin konkurrencën. Për më tepër, ekzistojnë disa përfitime sociale dhe mjedisore përmes:</w:t>
      </w:r>
    </w:p>
    <w:p w14:paraId="69984754" w14:textId="5E4510C5" w:rsidR="006F605B" w:rsidRPr="00DC66CD" w:rsidRDefault="00FF12AC" w:rsidP="00FF12AC">
      <w:pPr>
        <w:pStyle w:val="TEKSTIIII"/>
      </w:pPr>
      <w:r w:rsidRPr="00DC66CD">
        <w:t>-</w:t>
      </w:r>
      <w:r w:rsidR="00793227" w:rsidRPr="00DC66CD">
        <w:t xml:space="preserve"> </w:t>
      </w:r>
      <w:r w:rsidR="006F605B" w:rsidRPr="00DC66CD">
        <w:t xml:space="preserve">mbulim më i mirë </w:t>
      </w:r>
      <w:r w:rsidR="006F605B" w:rsidRPr="00DC66CD">
        <w:rPr>
          <w:i/>
        </w:rPr>
        <w:t>broadband</w:t>
      </w:r>
      <w:r w:rsidR="006F605B" w:rsidRPr="00DC66CD">
        <w:t>, që do të thotë kohezion social dhe territorial</w:t>
      </w:r>
      <w:r w:rsidR="00793227" w:rsidRPr="00DC66CD">
        <w:t>;</w:t>
      </w:r>
    </w:p>
    <w:p w14:paraId="11F5470C" w14:textId="1AA13062" w:rsidR="006F605B" w:rsidRPr="00DC66CD" w:rsidRDefault="00FF12AC" w:rsidP="00FF12AC">
      <w:pPr>
        <w:pStyle w:val="TEKSTIIII"/>
      </w:pPr>
      <w:r w:rsidRPr="00DC66CD">
        <w:t>-</w:t>
      </w:r>
      <w:r w:rsidR="00793227" w:rsidRPr="00DC66CD">
        <w:t xml:space="preserve"> </w:t>
      </w:r>
      <w:r w:rsidR="006F605B" w:rsidRPr="00DC66CD">
        <w:t>rrit sinergjitë nëpër sektorë</w:t>
      </w:r>
      <w:r w:rsidR="00793227" w:rsidRPr="00DC66CD">
        <w:t>,</w:t>
      </w:r>
      <w:r w:rsidR="006F605B" w:rsidRPr="00DC66CD">
        <w:t xml:space="preserve"> p.sh.</w:t>
      </w:r>
      <w:r w:rsidR="00793227" w:rsidRPr="00DC66CD">
        <w:t>,</w:t>
      </w:r>
      <w:r w:rsidR="006F605B" w:rsidRPr="00DC66CD">
        <w:t xml:space="preserve"> rrjete inteligjente dhe sisteme inteligjente transporti</w:t>
      </w:r>
      <w:r w:rsidR="00793227" w:rsidRPr="00DC66CD">
        <w:t>;</w:t>
      </w:r>
    </w:p>
    <w:p w14:paraId="09B34F8F" w14:textId="34C9D8C6" w:rsidR="006F605B" w:rsidRPr="00DC66CD" w:rsidRDefault="00FF12AC" w:rsidP="00FF12AC">
      <w:pPr>
        <w:pStyle w:val="TEKSTIIII"/>
      </w:pPr>
      <w:r w:rsidRPr="00DC66CD">
        <w:t>-</w:t>
      </w:r>
      <w:r w:rsidR="00793227" w:rsidRPr="00DC66CD">
        <w:t xml:space="preserve"> </w:t>
      </w:r>
      <w:r w:rsidR="006F605B" w:rsidRPr="00DC66CD">
        <w:t>më pak dyfishime të punimeve civile, më pak gërmime</w:t>
      </w:r>
      <w:r w:rsidR="00793227" w:rsidRPr="00DC66CD">
        <w:t>;</w:t>
      </w:r>
    </w:p>
    <w:p w14:paraId="3EFFDD44" w14:textId="35C5717F" w:rsidR="006F605B" w:rsidRPr="00DC66CD" w:rsidRDefault="00FF12AC" w:rsidP="00FF12AC">
      <w:pPr>
        <w:pStyle w:val="TEKSTIIII"/>
      </w:pPr>
      <w:r w:rsidRPr="00DC66CD">
        <w:t>-</w:t>
      </w:r>
      <w:r w:rsidR="00793227" w:rsidRPr="00DC66CD">
        <w:t xml:space="preserve"> </w:t>
      </w:r>
      <w:r w:rsidR="006F605B" w:rsidRPr="00DC66CD">
        <w:t>përmirësim i mjedisit të biznesit përmes transparencës dhe procedurave të thjeshta për lejet e ndërtimit etj.</w:t>
      </w:r>
    </w:p>
    <w:p w14:paraId="78D85C02" w14:textId="3D87B5D1"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Zhvillimi i infrastrukturës </w:t>
      </w:r>
      <w:r w:rsidRPr="00DC66CD">
        <w:rPr>
          <w:rFonts w:ascii="Garamond" w:hAnsi="Garamond"/>
          <w:i/>
          <w:sz w:val="24"/>
          <w:szCs w:val="24"/>
        </w:rPr>
        <w:t>broadband</w:t>
      </w:r>
      <w:r w:rsidRPr="00DC66CD">
        <w:rPr>
          <w:rFonts w:ascii="Garamond" w:hAnsi="Garamond"/>
          <w:sz w:val="24"/>
          <w:szCs w:val="24"/>
        </w:rPr>
        <w:t xml:space="preserve"> është duke ecur paralel me zhvillimin e rëndësishëm në e-qeverisje, e-shërbime, digjitalizim i sistemit TIK në administratën publike</w:t>
      </w:r>
      <w:r w:rsidR="00D74B70" w:rsidRPr="00DC66CD">
        <w:rPr>
          <w:rFonts w:ascii="Garamond" w:hAnsi="Garamond"/>
          <w:sz w:val="24"/>
          <w:szCs w:val="24"/>
        </w:rPr>
        <w:t>,</w:t>
      </w:r>
      <w:r w:rsidRPr="00DC66CD">
        <w:rPr>
          <w:rFonts w:ascii="Garamond" w:hAnsi="Garamond"/>
          <w:sz w:val="24"/>
          <w:szCs w:val="24"/>
        </w:rPr>
        <w:t xml:space="preserve"> që është një element i rëndësishëm për ekosistemin TIK dhe ekonominë digjitale. Kjo pjesë e investimeve është e lidhur me anën e kërkesës së </w:t>
      </w:r>
      <w:r w:rsidRPr="00DC66CD">
        <w:rPr>
          <w:rFonts w:ascii="Garamond" w:hAnsi="Garamond"/>
          <w:i/>
          <w:sz w:val="24"/>
          <w:szCs w:val="24"/>
        </w:rPr>
        <w:t>broadband</w:t>
      </w:r>
      <w:r w:rsidRPr="00DC66CD">
        <w:rPr>
          <w:rFonts w:ascii="Garamond" w:hAnsi="Garamond"/>
          <w:sz w:val="24"/>
          <w:szCs w:val="24"/>
        </w:rPr>
        <w:t>-it.</w:t>
      </w:r>
    </w:p>
    <w:p w14:paraId="1F4E9E8E" w14:textId="089EDE6E"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Pjesë e planit për të zbatuar këtë reformë gjatë v</w:t>
      </w:r>
      <w:r w:rsidR="008F27B9" w:rsidRPr="00DC66CD">
        <w:rPr>
          <w:rFonts w:ascii="Garamond" w:hAnsi="Garamond"/>
          <w:sz w:val="24"/>
          <w:szCs w:val="24"/>
        </w:rPr>
        <w:t>jetëve</w:t>
      </w:r>
      <w:r w:rsidRPr="00DC66CD">
        <w:rPr>
          <w:rFonts w:ascii="Garamond" w:hAnsi="Garamond"/>
          <w:sz w:val="24"/>
          <w:szCs w:val="24"/>
        </w:rPr>
        <w:t xml:space="preserve"> të ardhsh</w:t>
      </w:r>
      <w:r w:rsidR="008F27B9" w:rsidRPr="00DC66CD">
        <w:rPr>
          <w:rFonts w:ascii="Garamond" w:hAnsi="Garamond"/>
          <w:sz w:val="24"/>
          <w:szCs w:val="24"/>
        </w:rPr>
        <w:t>ë</w:t>
      </w:r>
      <w:r w:rsidRPr="00DC66CD">
        <w:rPr>
          <w:rFonts w:ascii="Garamond" w:hAnsi="Garamond"/>
          <w:sz w:val="24"/>
          <w:szCs w:val="24"/>
        </w:rPr>
        <w:t>m</w:t>
      </w:r>
      <w:r w:rsidR="00793227" w:rsidRPr="00DC66CD">
        <w:rPr>
          <w:rFonts w:ascii="Garamond" w:hAnsi="Garamond"/>
          <w:sz w:val="24"/>
          <w:szCs w:val="24"/>
        </w:rPr>
        <w:t>,</w:t>
      </w:r>
      <w:r w:rsidRPr="00DC66CD">
        <w:rPr>
          <w:rFonts w:ascii="Garamond" w:hAnsi="Garamond"/>
          <w:sz w:val="24"/>
          <w:szCs w:val="24"/>
        </w:rPr>
        <w:t xml:space="preserve"> do të jenë:</w:t>
      </w:r>
    </w:p>
    <w:p w14:paraId="262581BB" w14:textId="5A40AD06" w:rsidR="006F605B" w:rsidRPr="00DC66CD" w:rsidRDefault="00FF12AC" w:rsidP="00FF12AC">
      <w:pPr>
        <w:pStyle w:val="TEKSTIIII"/>
      </w:pPr>
      <w:r w:rsidRPr="00DC66CD">
        <w:t>-</w:t>
      </w:r>
      <w:r w:rsidR="00793227" w:rsidRPr="00DC66CD">
        <w:t xml:space="preserve"> </w:t>
      </w:r>
      <w:r w:rsidR="008F27B9" w:rsidRPr="00DC66CD">
        <w:t>r</w:t>
      </w:r>
      <w:r w:rsidR="006F605B" w:rsidRPr="00DC66CD">
        <w:t xml:space="preserve">ishikimi i planit të veprimit të Planit Kombëtar të </w:t>
      </w:r>
      <w:r w:rsidR="006F605B" w:rsidRPr="00DC66CD">
        <w:rPr>
          <w:i/>
        </w:rPr>
        <w:t>Broadband</w:t>
      </w:r>
      <w:r w:rsidR="006F605B" w:rsidRPr="00DC66CD">
        <w:t>-it;</w:t>
      </w:r>
    </w:p>
    <w:p w14:paraId="07EEBC1A" w14:textId="7443D31B" w:rsidR="006F605B" w:rsidRPr="00DC66CD" w:rsidRDefault="00FF12AC" w:rsidP="00FF12AC">
      <w:pPr>
        <w:pStyle w:val="TEKSTIIII"/>
      </w:pPr>
      <w:r w:rsidRPr="00DC66CD">
        <w:t>-</w:t>
      </w:r>
      <w:r w:rsidR="00793227" w:rsidRPr="00DC66CD">
        <w:t xml:space="preserve"> </w:t>
      </w:r>
      <w:r w:rsidR="008F27B9" w:rsidRPr="00DC66CD">
        <w:t>k</w:t>
      </w:r>
      <w:r w:rsidR="006F605B" w:rsidRPr="00DC66CD">
        <w:t xml:space="preserve">ryerja e </w:t>
      </w:r>
      <w:r w:rsidR="008F27B9" w:rsidRPr="00DC66CD">
        <w:t xml:space="preserve">“Studimit të fizibilitetit dhe analizës kosto-përfitim për zhvillimin e infrastrukturës rajonale </w:t>
      </w:r>
      <w:r w:rsidR="008F27B9" w:rsidRPr="00DC66CD">
        <w:rPr>
          <w:i/>
        </w:rPr>
        <w:t>broadband”</w:t>
      </w:r>
      <w:r w:rsidR="008F27B9" w:rsidRPr="00DC66CD">
        <w:t>;</w:t>
      </w:r>
    </w:p>
    <w:p w14:paraId="6CB2EAC3" w14:textId="45F8FCC1" w:rsidR="006F605B" w:rsidRPr="00DC66CD" w:rsidRDefault="00FF12AC" w:rsidP="00FF12AC">
      <w:pPr>
        <w:pStyle w:val="TEKSTIIII"/>
      </w:pPr>
      <w:r w:rsidRPr="00DC66CD">
        <w:t>-</w:t>
      </w:r>
      <w:r w:rsidR="00793227" w:rsidRPr="00DC66CD">
        <w:t xml:space="preserve"> </w:t>
      </w:r>
      <w:r w:rsidR="008F27B9" w:rsidRPr="00DC66CD">
        <w:t>n</w:t>
      </w:r>
      <w:r w:rsidR="006F605B" w:rsidRPr="00DC66CD">
        <w:t xml:space="preserve">gritja e zyrave rajonale/kombëtare kompetente për </w:t>
      </w:r>
      <w:r w:rsidR="006F605B" w:rsidRPr="00DC66CD">
        <w:rPr>
          <w:i/>
        </w:rPr>
        <w:t>broadband</w:t>
      </w:r>
      <w:r w:rsidR="006F605B" w:rsidRPr="00DC66CD">
        <w:t>-in;</w:t>
      </w:r>
    </w:p>
    <w:p w14:paraId="26E53952" w14:textId="5DE05856" w:rsidR="006F605B" w:rsidRPr="00DC66CD" w:rsidRDefault="00FF12AC" w:rsidP="00FF12AC">
      <w:pPr>
        <w:pStyle w:val="TEKSTIIII"/>
      </w:pPr>
      <w:r w:rsidRPr="00DC66CD">
        <w:t>-</w:t>
      </w:r>
      <w:r w:rsidR="00793227" w:rsidRPr="00DC66CD">
        <w:t xml:space="preserve"> </w:t>
      </w:r>
      <w:r w:rsidR="008F27B9" w:rsidRPr="00DC66CD">
        <w:t>f</w:t>
      </w:r>
      <w:r w:rsidR="006F605B" w:rsidRPr="00DC66CD">
        <w:t xml:space="preserve">illimi i projekteve pilot për zhvillimin e infrastrukturës </w:t>
      </w:r>
      <w:r w:rsidR="006F605B" w:rsidRPr="00DC66CD">
        <w:rPr>
          <w:i/>
        </w:rPr>
        <w:t>broadband</w:t>
      </w:r>
      <w:r w:rsidR="006F605B" w:rsidRPr="00DC66CD">
        <w:t xml:space="preserve"> në zonat rurale dhe të largëta;</w:t>
      </w:r>
    </w:p>
    <w:p w14:paraId="42D4C9A5" w14:textId="7D115BCD" w:rsidR="006F605B" w:rsidRPr="00DC66CD" w:rsidRDefault="00FF12AC"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w:t>
      </w:r>
      <w:r w:rsidR="00793227" w:rsidRPr="00DC66CD">
        <w:rPr>
          <w:rFonts w:ascii="Garamond" w:hAnsi="Garamond"/>
          <w:sz w:val="24"/>
          <w:szCs w:val="24"/>
        </w:rPr>
        <w:t xml:space="preserve"> </w:t>
      </w:r>
      <w:r w:rsidR="008F27B9" w:rsidRPr="00DC66CD">
        <w:rPr>
          <w:rFonts w:ascii="Garamond" w:hAnsi="Garamond"/>
          <w:sz w:val="24"/>
          <w:szCs w:val="24"/>
        </w:rPr>
        <w:t>k</w:t>
      </w:r>
      <w:r w:rsidR="006F605B" w:rsidRPr="00DC66CD">
        <w:rPr>
          <w:rFonts w:ascii="Garamond" w:hAnsi="Garamond"/>
          <w:sz w:val="24"/>
          <w:szCs w:val="24"/>
        </w:rPr>
        <w:t xml:space="preserve">rijimi i sinergjive me projekte shërbimesh: ndjekja e rekomandimeve të studimit </w:t>
      </w:r>
      <w:r w:rsidR="006F605B" w:rsidRPr="00DC66CD">
        <w:rPr>
          <w:rFonts w:ascii="Garamond" w:hAnsi="Garamond"/>
          <w:i/>
          <w:sz w:val="24"/>
          <w:szCs w:val="24"/>
        </w:rPr>
        <w:t>Balkan Digital Highway</w:t>
      </w:r>
      <w:r w:rsidR="006F605B" w:rsidRPr="00DC66CD">
        <w:rPr>
          <w:rFonts w:ascii="Garamond" w:hAnsi="Garamond"/>
          <w:sz w:val="24"/>
          <w:szCs w:val="24"/>
        </w:rPr>
        <w:t>.</w:t>
      </w:r>
    </w:p>
    <w:p w14:paraId="10FDC628" w14:textId="7E2596EF" w:rsidR="006F605B" w:rsidRPr="00DC66CD" w:rsidRDefault="00FF12AC" w:rsidP="00FF12A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72A79643" w14:textId="7517EF6A" w:rsidR="006F605B" w:rsidRPr="00DC66CD" w:rsidRDefault="00FF12AC" w:rsidP="00FF12AC">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8F27B9" w:rsidRPr="00DC66CD">
        <w:rPr>
          <w:rFonts w:ascii="Garamond" w:hAnsi="Garamond" w:cs="Times New Roman"/>
          <w:b/>
          <w:sz w:val="24"/>
          <w:szCs w:val="24"/>
        </w:rPr>
        <w:t>-ën:</w:t>
      </w:r>
    </w:p>
    <w:p w14:paraId="223C8F37" w14:textId="7D3E2C8D" w:rsidR="006F605B" w:rsidRPr="00DC66CD" w:rsidRDefault="00FF12AC" w:rsidP="00FF12AC">
      <w:pPr>
        <w:pStyle w:val="TEKSTIIII"/>
      </w:pPr>
      <w:r w:rsidRPr="00DC66CD">
        <w:t>-</w:t>
      </w:r>
      <w:r w:rsidR="00793227" w:rsidRPr="00DC66CD">
        <w:t xml:space="preserve"> </w:t>
      </w:r>
      <w:r w:rsidR="008F27B9" w:rsidRPr="00DC66CD">
        <w:t>m</w:t>
      </w:r>
      <w:r w:rsidR="006F605B" w:rsidRPr="00DC66CD">
        <w:t xml:space="preserve">iratimi i Planit të ri Kombëtar të </w:t>
      </w:r>
      <w:r w:rsidR="006F605B" w:rsidRPr="00DC66CD">
        <w:rPr>
          <w:i/>
        </w:rPr>
        <w:t>Broadband</w:t>
      </w:r>
      <w:r w:rsidR="006F605B" w:rsidRPr="00DC66CD">
        <w:t>-it;</w:t>
      </w:r>
    </w:p>
    <w:p w14:paraId="084EE2A9" w14:textId="0D9B4602" w:rsidR="006F605B" w:rsidRPr="00DC66CD" w:rsidRDefault="00FF12AC" w:rsidP="00FF12AC">
      <w:pPr>
        <w:pStyle w:val="TEKSTIIII"/>
      </w:pPr>
      <w:r w:rsidRPr="00DC66CD">
        <w:t>-</w:t>
      </w:r>
      <w:r w:rsidR="00793227" w:rsidRPr="00DC66CD">
        <w:t xml:space="preserve"> </w:t>
      </w:r>
      <w:r w:rsidR="008F27B9" w:rsidRPr="00DC66CD">
        <w:t>k</w:t>
      </w:r>
      <w:r w:rsidR="006F605B" w:rsidRPr="00DC66CD">
        <w:t xml:space="preserve">ryerja e </w:t>
      </w:r>
      <w:r w:rsidR="008F27B9" w:rsidRPr="00DC66CD">
        <w:t>“</w:t>
      </w:r>
      <w:r w:rsidR="006F605B" w:rsidRPr="00DC66CD">
        <w:t xml:space="preserve">Studimit të </w:t>
      </w:r>
      <w:r w:rsidR="008F27B9" w:rsidRPr="00DC66CD">
        <w:t xml:space="preserve">fizibilitetit dhe analizës kosto-përfitim për zhvillimin e infrastrukturës rajonale </w:t>
      </w:r>
      <w:r w:rsidR="008F27B9" w:rsidRPr="00DC66CD">
        <w:rPr>
          <w:i/>
        </w:rPr>
        <w:t>broadband</w:t>
      </w:r>
      <w:r w:rsidR="008F27B9" w:rsidRPr="00DC66CD">
        <w:t>”</w:t>
      </w:r>
      <w:r w:rsidR="006F605B" w:rsidRPr="00DC66CD">
        <w:t>;</w:t>
      </w:r>
    </w:p>
    <w:p w14:paraId="555A3147" w14:textId="4F82AF3E" w:rsidR="006F605B" w:rsidRPr="00DC66CD" w:rsidRDefault="00FF12AC" w:rsidP="00FF12AC">
      <w:pPr>
        <w:pStyle w:val="ListParagraph"/>
        <w:widowControl w:val="0"/>
        <w:snapToGrid w:val="0"/>
        <w:spacing w:after="0" w:line="240" w:lineRule="auto"/>
        <w:ind w:left="284"/>
        <w:contextualSpacing w:val="0"/>
        <w:jc w:val="both"/>
        <w:rPr>
          <w:rFonts w:ascii="Garamond" w:hAnsi="Garamond" w:cs="Times New Roman"/>
          <w:sz w:val="24"/>
          <w:szCs w:val="24"/>
        </w:rPr>
      </w:pPr>
      <w:r w:rsidRPr="00DC66CD">
        <w:rPr>
          <w:rFonts w:ascii="Garamond" w:hAnsi="Garamond" w:cs="Times New Roman"/>
          <w:sz w:val="24"/>
          <w:szCs w:val="24"/>
        </w:rPr>
        <w:t xml:space="preserve">- </w:t>
      </w:r>
      <w:r w:rsidR="008F27B9" w:rsidRPr="00DC66CD">
        <w:rPr>
          <w:rFonts w:ascii="Garamond" w:hAnsi="Garamond" w:cs="Times New Roman"/>
          <w:sz w:val="24"/>
          <w:szCs w:val="24"/>
        </w:rPr>
        <w:t xml:space="preserve">miratimi </w:t>
      </w:r>
      <w:r w:rsidR="006F605B" w:rsidRPr="00DC66CD">
        <w:rPr>
          <w:rFonts w:ascii="Garamond" w:hAnsi="Garamond" w:cs="Times New Roman"/>
          <w:sz w:val="24"/>
          <w:szCs w:val="24"/>
        </w:rPr>
        <w:t>i udhërrëfyesit 5G për Shqipërinë.</w:t>
      </w:r>
    </w:p>
    <w:p w14:paraId="0021605E" w14:textId="6389BE7B" w:rsidR="006F605B" w:rsidRPr="00DC66CD" w:rsidRDefault="00FF12AC" w:rsidP="00FF12AC">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8F27B9" w:rsidRPr="00DC66CD">
        <w:rPr>
          <w:rFonts w:ascii="Garamond" w:hAnsi="Garamond" w:cs="Times New Roman"/>
          <w:b/>
          <w:sz w:val="24"/>
          <w:szCs w:val="24"/>
        </w:rPr>
        <w:t>-shin:</w:t>
      </w:r>
    </w:p>
    <w:p w14:paraId="1B7A9505" w14:textId="5545CF00" w:rsidR="006F605B" w:rsidRPr="00DC66CD" w:rsidRDefault="00FF12AC" w:rsidP="00FF12AC">
      <w:pPr>
        <w:pStyle w:val="TEKSTIIII"/>
      </w:pPr>
      <w:r w:rsidRPr="00DC66CD">
        <w:t>-</w:t>
      </w:r>
      <w:r w:rsidR="00793227" w:rsidRPr="00DC66CD">
        <w:t xml:space="preserve"> </w:t>
      </w:r>
      <w:r w:rsidR="008F27B9" w:rsidRPr="00DC66CD">
        <w:t>n</w:t>
      </w:r>
      <w:r w:rsidR="006F605B" w:rsidRPr="00DC66CD">
        <w:t xml:space="preserve">gritja e zyrave rajonale/kombëtare kompetente për </w:t>
      </w:r>
      <w:r w:rsidR="006F605B" w:rsidRPr="00DC66CD">
        <w:rPr>
          <w:i/>
        </w:rPr>
        <w:t>broadband</w:t>
      </w:r>
      <w:r w:rsidR="006F605B" w:rsidRPr="00DC66CD">
        <w:t>;</w:t>
      </w:r>
    </w:p>
    <w:p w14:paraId="48B3B45D" w14:textId="4F788E4E" w:rsidR="006F605B" w:rsidRPr="00DC66CD" w:rsidRDefault="00FF12AC" w:rsidP="00FF12AC">
      <w:pPr>
        <w:pStyle w:val="TEKSTIIII"/>
      </w:pPr>
      <w:r w:rsidRPr="00DC66CD">
        <w:t>-</w:t>
      </w:r>
      <w:r w:rsidR="00793227" w:rsidRPr="00DC66CD">
        <w:t xml:space="preserve"> </w:t>
      </w:r>
      <w:r w:rsidR="008F27B9" w:rsidRPr="00DC66CD">
        <w:t>f</w:t>
      </w:r>
      <w:r w:rsidR="006F605B" w:rsidRPr="00DC66CD">
        <w:t xml:space="preserve">illimi i projekteve pilot për zhvillimin e infrastrukturës </w:t>
      </w:r>
      <w:r w:rsidR="006F605B" w:rsidRPr="00DC66CD">
        <w:rPr>
          <w:i/>
        </w:rPr>
        <w:t>broadband</w:t>
      </w:r>
      <w:r w:rsidR="006F605B" w:rsidRPr="00DC66CD">
        <w:t xml:space="preserve"> në </w:t>
      </w:r>
      <w:r w:rsidR="008403BE" w:rsidRPr="00DC66CD">
        <w:t>z</w:t>
      </w:r>
      <w:r w:rsidR="006F605B" w:rsidRPr="00DC66CD">
        <w:t xml:space="preserve">onën 1 (zona rurale dhe të largëta/turistike në </w:t>
      </w:r>
      <w:r w:rsidR="008F27B9" w:rsidRPr="00DC66CD">
        <w:t xml:space="preserve">veri </w:t>
      </w:r>
      <w:r w:rsidR="006F605B" w:rsidRPr="00DC66CD">
        <w:t>të Shqipërisë (Shkodër, Kukës, Tropojë, Dibër);</w:t>
      </w:r>
    </w:p>
    <w:p w14:paraId="311B29F4" w14:textId="5EF82BDD" w:rsidR="006F605B" w:rsidRPr="00DC66CD" w:rsidRDefault="00FF12AC" w:rsidP="00FF12AC">
      <w:pPr>
        <w:pStyle w:val="TEKSTIIII"/>
      </w:pPr>
      <w:r w:rsidRPr="00DC66CD">
        <w:t>-</w:t>
      </w:r>
      <w:r w:rsidR="00793227" w:rsidRPr="00DC66CD">
        <w:t xml:space="preserve"> </w:t>
      </w:r>
      <w:r w:rsidR="008F27B9" w:rsidRPr="00DC66CD">
        <w:t>m</w:t>
      </w:r>
      <w:r w:rsidR="006F605B" w:rsidRPr="00DC66CD">
        <w:t>iratim i ligjit të ri për komunikimet elektronike, në përputhje me Kodin e Ri E</w:t>
      </w:r>
      <w:r w:rsidR="00793227" w:rsidRPr="00DC66CD">
        <w:t>v</w:t>
      </w:r>
      <w:r w:rsidR="006F605B" w:rsidRPr="00DC66CD">
        <w:t>ropian për Komunikimet Elektronike</w:t>
      </w:r>
      <w:r w:rsidR="008F27B9" w:rsidRPr="00DC66CD">
        <w:t>,</w:t>
      </w:r>
      <w:r w:rsidR="006F605B" w:rsidRPr="00DC66CD">
        <w:t xml:space="preserve"> miratuar nga BE</w:t>
      </w:r>
      <w:r w:rsidR="00793227" w:rsidRPr="00DC66CD">
        <w:t>-ja</w:t>
      </w:r>
      <w:r w:rsidR="006F605B" w:rsidRPr="00DC66CD">
        <w:t xml:space="preserve"> </w:t>
      </w:r>
      <w:r w:rsidR="00793227" w:rsidRPr="00DC66CD">
        <w:t>m</w:t>
      </w:r>
      <w:r w:rsidR="006F605B" w:rsidRPr="00DC66CD">
        <w:t>ë 2018.</w:t>
      </w:r>
    </w:p>
    <w:p w14:paraId="7A254B21" w14:textId="71B79BD8" w:rsidR="006F605B" w:rsidRPr="00DC66CD" w:rsidRDefault="00FF12AC" w:rsidP="00FF12AC">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8F27B9" w:rsidRPr="00DC66CD">
        <w:rPr>
          <w:rFonts w:ascii="Garamond" w:hAnsi="Garamond" w:cs="Times New Roman"/>
          <w:b/>
          <w:sz w:val="24"/>
          <w:szCs w:val="24"/>
        </w:rPr>
        <w:t>-shin:</w:t>
      </w:r>
    </w:p>
    <w:p w14:paraId="03C03ADC" w14:textId="01D19E08" w:rsidR="006F605B" w:rsidRPr="00DC66CD" w:rsidRDefault="00FF12AC" w:rsidP="00FF12AC">
      <w:pPr>
        <w:pStyle w:val="TEKSTIIII"/>
      </w:pPr>
      <w:r w:rsidRPr="00DC66CD">
        <w:t>-</w:t>
      </w:r>
      <w:r w:rsidR="00793227" w:rsidRPr="00DC66CD">
        <w:t xml:space="preserve"> </w:t>
      </w:r>
      <w:r w:rsidR="006F605B" w:rsidRPr="00DC66CD">
        <w:t xml:space="preserve">Fillimi i projekteve pilot për zhvillimin e infrastrukturës </w:t>
      </w:r>
      <w:r w:rsidR="006F605B" w:rsidRPr="00DC66CD">
        <w:rPr>
          <w:i/>
        </w:rPr>
        <w:t>broadband</w:t>
      </w:r>
      <w:r w:rsidR="006F605B" w:rsidRPr="00DC66CD">
        <w:t xml:space="preserve"> në </w:t>
      </w:r>
      <w:r w:rsidR="00793227" w:rsidRPr="00DC66CD">
        <w:t>z</w:t>
      </w:r>
      <w:r w:rsidR="006F605B" w:rsidRPr="00DC66CD">
        <w:t>onën 2 (zona rurale dhe të largëta/turistike. Për t</w:t>
      </w:r>
      <w:r w:rsidR="00876FDB" w:rsidRPr="00DC66CD">
        <w:t>’</w:t>
      </w:r>
      <w:r w:rsidR="006F605B" w:rsidRPr="00DC66CD">
        <w:t xml:space="preserve">u vendosur bazuar në rezultatet e </w:t>
      </w:r>
      <w:r w:rsidR="00793227" w:rsidRPr="00DC66CD">
        <w:t>studimit të fizibilitetit</w:t>
      </w:r>
      <w:r w:rsidR="006F605B" w:rsidRPr="00DC66CD">
        <w:t>).</w:t>
      </w:r>
    </w:p>
    <w:p w14:paraId="6616B53D" w14:textId="6383A218" w:rsidR="006F605B" w:rsidRPr="00DC66CD" w:rsidRDefault="00FF12AC" w:rsidP="00FF12A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9"/>
        <w:gridCol w:w="1721"/>
        <w:gridCol w:w="1757"/>
        <w:gridCol w:w="1743"/>
      </w:tblGrid>
      <w:tr w:rsidR="006F605B" w:rsidRPr="00DC66CD" w14:paraId="34E46788" w14:textId="77777777" w:rsidTr="00876FDB">
        <w:trPr>
          <w:jc w:val="center"/>
        </w:trPr>
        <w:tc>
          <w:tcPr>
            <w:tcW w:w="4248" w:type="dxa"/>
            <w:vAlign w:val="center"/>
          </w:tcPr>
          <w:p w14:paraId="1033E3B8" w14:textId="77777777" w:rsidR="006F605B" w:rsidRPr="00DC66CD" w:rsidRDefault="006F605B" w:rsidP="00876FDB">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1791" w:type="dxa"/>
            <w:vAlign w:val="center"/>
          </w:tcPr>
          <w:p w14:paraId="31B3C0C4" w14:textId="77777777" w:rsidR="006F605B" w:rsidRPr="00DC66CD" w:rsidRDefault="006F605B" w:rsidP="00876FDB">
            <w:pPr>
              <w:snapToGrid w:val="0"/>
              <w:spacing w:after="0" w:line="240" w:lineRule="auto"/>
              <w:jc w:val="center"/>
              <w:rPr>
                <w:rFonts w:ascii="Garamond" w:hAnsi="Garamond"/>
                <w:b/>
                <w:sz w:val="20"/>
                <w:szCs w:val="20"/>
              </w:rPr>
            </w:pPr>
            <w:r w:rsidRPr="00DC66CD">
              <w:rPr>
                <w:rFonts w:ascii="Garamond" w:hAnsi="Garamond"/>
                <w:b/>
                <w:sz w:val="20"/>
                <w:szCs w:val="20"/>
              </w:rPr>
              <w:t>Bazë (viti)</w:t>
            </w:r>
          </w:p>
        </w:tc>
        <w:tc>
          <w:tcPr>
            <w:tcW w:w="1791" w:type="dxa"/>
            <w:vAlign w:val="center"/>
          </w:tcPr>
          <w:p w14:paraId="57F6FE83" w14:textId="58499CE6" w:rsidR="006F605B" w:rsidRPr="00DC66CD" w:rsidRDefault="00C27435" w:rsidP="00876FDB">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(viti)</w:t>
            </w:r>
          </w:p>
        </w:tc>
        <w:tc>
          <w:tcPr>
            <w:tcW w:w="1792" w:type="dxa"/>
            <w:vAlign w:val="center"/>
          </w:tcPr>
          <w:p w14:paraId="398EC33A" w14:textId="77777777" w:rsidR="006F605B" w:rsidRPr="00DC66CD" w:rsidRDefault="006F605B" w:rsidP="00876FDB">
            <w:pPr>
              <w:snapToGrid w:val="0"/>
              <w:spacing w:after="0" w:line="240" w:lineRule="auto"/>
              <w:jc w:val="center"/>
              <w:rPr>
                <w:rFonts w:ascii="Garamond" w:hAnsi="Garamond"/>
                <w:b/>
                <w:sz w:val="20"/>
                <w:szCs w:val="20"/>
              </w:rPr>
            </w:pPr>
            <w:r w:rsidRPr="00DC66CD">
              <w:rPr>
                <w:rFonts w:ascii="Garamond" w:hAnsi="Garamond"/>
                <w:b/>
                <w:sz w:val="20"/>
                <w:szCs w:val="20"/>
              </w:rPr>
              <w:t>Objektivi (viti)</w:t>
            </w:r>
          </w:p>
        </w:tc>
      </w:tr>
      <w:tr w:rsidR="006F605B" w:rsidRPr="00DC66CD" w14:paraId="78054FB1" w14:textId="77777777" w:rsidTr="00876FDB">
        <w:trPr>
          <w:jc w:val="center"/>
        </w:trPr>
        <w:tc>
          <w:tcPr>
            <w:tcW w:w="4248" w:type="dxa"/>
          </w:tcPr>
          <w:p w14:paraId="39648F9E" w14:textId="2AB369D1" w:rsidR="006F605B" w:rsidRPr="00DC66CD" w:rsidRDefault="006F605B" w:rsidP="00FF12AC">
            <w:pPr>
              <w:snapToGrid w:val="0"/>
              <w:spacing w:after="0" w:line="240" w:lineRule="auto"/>
              <w:rPr>
                <w:rFonts w:ascii="Garamond" w:hAnsi="Garamond"/>
                <w:sz w:val="20"/>
                <w:szCs w:val="20"/>
              </w:rPr>
            </w:pPr>
            <w:r w:rsidRPr="00DC66CD">
              <w:rPr>
                <w:rFonts w:ascii="Garamond" w:hAnsi="Garamond"/>
                <w:sz w:val="20"/>
                <w:szCs w:val="20"/>
              </w:rPr>
              <w:t xml:space="preserve">Rritje e penetrimit të </w:t>
            </w:r>
            <w:r w:rsidRPr="00DC66CD">
              <w:rPr>
                <w:rFonts w:ascii="Garamond" w:hAnsi="Garamond"/>
                <w:i/>
                <w:sz w:val="20"/>
                <w:szCs w:val="20"/>
              </w:rPr>
              <w:t>broadband</w:t>
            </w:r>
            <w:r w:rsidR="00876FDB" w:rsidRPr="00DC66CD">
              <w:rPr>
                <w:rFonts w:ascii="Garamond" w:hAnsi="Garamond"/>
                <w:i/>
                <w:sz w:val="20"/>
                <w:szCs w:val="20"/>
              </w:rPr>
              <w:t>-</w:t>
            </w:r>
            <w:r w:rsidRPr="00DC66CD">
              <w:rPr>
                <w:rFonts w:ascii="Garamond" w:hAnsi="Garamond"/>
                <w:sz w:val="20"/>
                <w:szCs w:val="20"/>
              </w:rPr>
              <w:t xml:space="preserve">it fiks, duke përfshirë zonat rurale – penetrimi i </w:t>
            </w:r>
            <w:r w:rsidRPr="00DC66CD">
              <w:rPr>
                <w:rFonts w:ascii="Garamond" w:hAnsi="Garamond"/>
                <w:i/>
                <w:sz w:val="20"/>
                <w:szCs w:val="20"/>
              </w:rPr>
              <w:t>broadband</w:t>
            </w:r>
            <w:r w:rsidR="00876FDB" w:rsidRPr="00DC66CD">
              <w:rPr>
                <w:rFonts w:ascii="Garamond" w:hAnsi="Garamond"/>
                <w:sz w:val="20"/>
                <w:szCs w:val="20"/>
              </w:rPr>
              <w:t>-it</w:t>
            </w:r>
            <w:r w:rsidRPr="00DC66CD">
              <w:rPr>
                <w:rFonts w:ascii="Garamond" w:hAnsi="Garamond"/>
                <w:sz w:val="20"/>
                <w:szCs w:val="20"/>
              </w:rPr>
              <w:t xml:space="preserve"> në shtëpi</w:t>
            </w:r>
          </w:p>
        </w:tc>
        <w:tc>
          <w:tcPr>
            <w:tcW w:w="1791" w:type="dxa"/>
          </w:tcPr>
          <w:p w14:paraId="61E6779D" w14:textId="77777777" w:rsidR="006F605B" w:rsidRPr="00DC66CD" w:rsidRDefault="006F605B" w:rsidP="00876FDB">
            <w:pPr>
              <w:snapToGrid w:val="0"/>
              <w:spacing w:after="0" w:line="240" w:lineRule="auto"/>
              <w:jc w:val="right"/>
              <w:rPr>
                <w:rFonts w:ascii="Garamond" w:hAnsi="Garamond"/>
                <w:sz w:val="20"/>
                <w:szCs w:val="20"/>
              </w:rPr>
            </w:pPr>
            <w:r w:rsidRPr="00DC66CD">
              <w:rPr>
                <w:rFonts w:ascii="Garamond" w:hAnsi="Garamond"/>
                <w:sz w:val="20"/>
                <w:szCs w:val="20"/>
              </w:rPr>
              <w:t>38%</w:t>
            </w:r>
          </w:p>
        </w:tc>
        <w:tc>
          <w:tcPr>
            <w:tcW w:w="1791" w:type="dxa"/>
          </w:tcPr>
          <w:p w14:paraId="6187AC5B" w14:textId="77777777" w:rsidR="006F605B" w:rsidRPr="00DC66CD" w:rsidRDefault="006F605B" w:rsidP="00876FDB">
            <w:pPr>
              <w:snapToGrid w:val="0"/>
              <w:spacing w:after="0" w:line="240" w:lineRule="auto"/>
              <w:jc w:val="right"/>
              <w:rPr>
                <w:rFonts w:ascii="Garamond" w:hAnsi="Garamond"/>
                <w:sz w:val="20"/>
                <w:szCs w:val="20"/>
              </w:rPr>
            </w:pPr>
          </w:p>
        </w:tc>
        <w:tc>
          <w:tcPr>
            <w:tcW w:w="1792" w:type="dxa"/>
          </w:tcPr>
          <w:p w14:paraId="2CEC1599" w14:textId="77777777" w:rsidR="006F605B" w:rsidRPr="00DC66CD" w:rsidRDefault="006F605B" w:rsidP="00876FDB">
            <w:pPr>
              <w:snapToGrid w:val="0"/>
              <w:spacing w:after="0" w:line="240" w:lineRule="auto"/>
              <w:jc w:val="right"/>
              <w:rPr>
                <w:rFonts w:ascii="Garamond" w:hAnsi="Garamond"/>
                <w:sz w:val="20"/>
                <w:szCs w:val="20"/>
              </w:rPr>
            </w:pPr>
            <w:r w:rsidRPr="00DC66CD">
              <w:rPr>
                <w:rFonts w:ascii="Garamond" w:hAnsi="Garamond"/>
                <w:sz w:val="20"/>
                <w:szCs w:val="20"/>
              </w:rPr>
              <w:t>45%</w:t>
            </w:r>
          </w:p>
        </w:tc>
      </w:tr>
      <w:tr w:rsidR="006F605B" w:rsidRPr="00DC66CD" w14:paraId="72EBFB9F" w14:textId="77777777" w:rsidTr="00876FDB">
        <w:trPr>
          <w:jc w:val="center"/>
        </w:trPr>
        <w:tc>
          <w:tcPr>
            <w:tcW w:w="4248" w:type="dxa"/>
          </w:tcPr>
          <w:p w14:paraId="7ECF3395" w14:textId="58F7B806" w:rsidR="006F605B" w:rsidRPr="00DC66CD" w:rsidRDefault="006F605B" w:rsidP="00FF12AC">
            <w:pPr>
              <w:snapToGrid w:val="0"/>
              <w:spacing w:after="0" w:line="240" w:lineRule="auto"/>
              <w:rPr>
                <w:rFonts w:ascii="Garamond" w:hAnsi="Garamond"/>
                <w:sz w:val="20"/>
                <w:szCs w:val="20"/>
              </w:rPr>
            </w:pPr>
            <w:r w:rsidRPr="00DC66CD">
              <w:rPr>
                <w:rFonts w:ascii="Garamond" w:hAnsi="Garamond"/>
                <w:sz w:val="20"/>
                <w:szCs w:val="20"/>
              </w:rPr>
              <w:t xml:space="preserve">Rritje e numrit të shkollave publike dhe </w:t>
            </w:r>
            <w:r w:rsidR="00876FDB" w:rsidRPr="00DC66CD">
              <w:rPr>
                <w:rFonts w:ascii="Garamond" w:hAnsi="Garamond"/>
                <w:sz w:val="20"/>
                <w:szCs w:val="20"/>
              </w:rPr>
              <w:t xml:space="preserve">e </w:t>
            </w:r>
            <w:r w:rsidRPr="00DC66CD">
              <w:rPr>
                <w:rFonts w:ascii="Garamond" w:hAnsi="Garamond"/>
                <w:sz w:val="20"/>
                <w:szCs w:val="20"/>
              </w:rPr>
              <w:t xml:space="preserve">strukturave shëndetësore me lidhje </w:t>
            </w:r>
            <w:r w:rsidRPr="00DC66CD">
              <w:rPr>
                <w:rFonts w:ascii="Garamond" w:hAnsi="Garamond"/>
                <w:i/>
                <w:sz w:val="20"/>
                <w:szCs w:val="20"/>
              </w:rPr>
              <w:t>broadband</w:t>
            </w:r>
            <w:r w:rsidR="00876FDB" w:rsidRPr="00DC66CD">
              <w:rPr>
                <w:rFonts w:ascii="Garamond" w:hAnsi="Garamond"/>
                <w:sz w:val="20"/>
                <w:szCs w:val="20"/>
              </w:rPr>
              <w:t>-in</w:t>
            </w:r>
            <w:r w:rsidRPr="00DC66CD">
              <w:rPr>
                <w:rFonts w:ascii="Garamond" w:hAnsi="Garamond"/>
                <w:sz w:val="20"/>
                <w:szCs w:val="20"/>
              </w:rPr>
              <w:t xml:space="preserve"> – shpejtësia mesatare e internetit</w:t>
            </w:r>
          </w:p>
        </w:tc>
        <w:tc>
          <w:tcPr>
            <w:tcW w:w="1791" w:type="dxa"/>
          </w:tcPr>
          <w:p w14:paraId="6DFAC5C0" w14:textId="77777777" w:rsidR="006F605B" w:rsidRPr="00DC66CD" w:rsidRDefault="006F605B" w:rsidP="00876FDB">
            <w:pPr>
              <w:snapToGrid w:val="0"/>
              <w:spacing w:after="0" w:line="240" w:lineRule="auto"/>
              <w:jc w:val="right"/>
              <w:rPr>
                <w:rFonts w:ascii="Garamond" w:hAnsi="Garamond"/>
                <w:sz w:val="20"/>
                <w:szCs w:val="20"/>
              </w:rPr>
            </w:pPr>
            <w:r w:rsidRPr="00DC66CD">
              <w:rPr>
                <w:rFonts w:ascii="Garamond" w:hAnsi="Garamond"/>
                <w:sz w:val="20"/>
                <w:szCs w:val="20"/>
              </w:rPr>
              <w:t>8 Mbps</w:t>
            </w:r>
          </w:p>
        </w:tc>
        <w:tc>
          <w:tcPr>
            <w:tcW w:w="1791" w:type="dxa"/>
          </w:tcPr>
          <w:p w14:paraId="488142DF" w14:textId="77777777" w:rsidR="006F605B" w:rsidRPr="00DC66CD" w:rsidRDefault="006F605B" w:rsidP="00876FDB">
            <w:pPr>
              <w:snapToGrid w:val="0"/>
              <w:spacing w:after="0" w:line="240" w:lineRule="auto"/>
              <w:jc w:val="right"/>
              <w:rPr>
                <w:rFonts w:ascii="Garamond" w:hAnsi="Garamond"/>
                <w:sz w:val="20"/>
                <w:szCs w:val="20"/>
              </w:rPr>
            </w:pPr>
          </w:p>
        </w:tc>
        <w:tc>
          <w:tcPr>
            <w:tcW w:w="1792" w:type="dxa"/>
          </w:tcPr>
          <w:p w14:paraId="21EF430D" w14:textId="77777777" w:rsidR="006F605B" w:rsidRPr="00DC66CD" w:rsidRDefault="006F605B" w:rsidP="00876FDB">
            <w:pPr>
              <w:snapToGrid w:val="0"/>
              <w:spacing w:after="0" w:line="240" w:lineRule="auto"/>
              <w:jc w:val="right"/>
              <w:rPr>
                <w:rFonts w:ascii="Garamond" w:hAnsi="Garamond"/>
                <w:sz w:val="20"/>
                <w:szCs w:val="20"/>
              </w:rPr>
            </w:pPr>
            <w:r w:rsidRPr="00DC66CD">
              <w:rPr>
                <w:rFonts w:ascii="Garamond" w:hAnsi="Garamond"/>
                <w:sz w:val="20"/>
                <w:szCs w:val="20"/>
              </w:rPr>
              <w:t>20 Mbps</w:t>
            </w:r>
          </w:p>
        </w:tc>
      </w:tr>
      <w:tr w:rsidR="006F605B" w:rsidRPr="00DC66CD" w14:paraId="2E59A463" w14:textId="77777777" w:rsidTr="00876FDB">
        <w:trPr>
          <w:jc w:val="center"/>
        </w:trPr>
        <w:tc>
          <w:tcPr>
            <w:tcW w:w="4248" w:type="dxa"/>
          </w:tcPr>
          <w:p w14:paraId="622101EA" w14:textId="77777777" w:rsidR="006F605B" w:rsidRPr="00DC66CD" w:rsidRDefault="006F605B" w:rsidP="00FF12AC">
            <w:pPr>
              <w:snapToGrid w:val="0"/>
              <w:spacing w:after="0" w:line="240" w:lineRule="auto"/>
              <w:rPr>
                <w:rFonts w:ascii="Garamond" w:hAnsi="Garamond"/>
                <w:sz w:val="20"/>
                <w:szCs w:val="20"/>
              </w:rPr>
            </w:pPr>
            <w:r w:rsidRPr="00DC66CD">
              <w:rPr>
                <w:rFonts w:ascii="Garamond" w:hAnsi="Garamond"/>
                <w:sz w:val="20"/>
                <w:szCs w:val="20"/>
              </w:rPr>
              <w:t xml:space="preserve">Rritje e lidhjes </w:t>
            </w:r>
            <w:r w:rsidRPr="00DC66CD">
              <w:rPr>
                <w:rFonts w:ascii="Garamond" w:hAnsi="Garamond"/>
                <w:i/>
                <w:sz w:val="20"/>
                <w:szCs w:val="20"/>
              </w:rPr>
              <w:t>broadband</w:t>
            </w:r>
            <w:r w:rsidRPr="00DC66CD">
              <w:rPr>
                <w:rFonts w:ascii="Garamond" w:hAnsi="Garamond"/>
                <w:sz w:val="20"/>
                <w:szCs w:val="20"/>
              </w:rPr>
              <w:t xml:space="preserve"> për NVM</w:t>
            </w:r>
          </w:p>
        </w:tc>
        <w:tc>
          <w:tcPr>
            <w:tcW w:w="1791" w:type="dxa"/>
          </w:tcPr>
          <w:p w14:paraId="2753514A" w14:textId="77777777" w:rsidR="006F605B" w:rsidRPr="00DC66CD" w:rsidRDefault="006F605B" w:rsidP="00876FDB">
            <w:pPr>
              <w:snapToGrid w:val="0"/>
              <w:spacing w:after="0" w:line="240" w:lineRule="auto"/>
              <w:jc w:val="right"/>
              <w:rPr>
                <w:rFonts w:ascii="Garamond" w:hAnsi="Garamond"/>
                <w:sz w:val="20"/>
                <w:szCs w:val="20"/>
              </w:rPr>
            </w:pPr>
          </w:p>
        </w:tc>
        <w:tc>
          <w:tcPr>
            <w:tcW w:w="1791" w:type="dxa"/>
          </w:tcPr>
          <w:p w14:paraId="42625136" w14:textId="77777777" w:rsidR="006F605B" w:rsidRPr="00DC66CD" w:rsidRDefault="006F605B" w:rsidP="00876FDB">
            <w:pPr>
              <w:snapToGrid w:val="0"/>
              <w:spacing w:after="0" w:line="240" w:lineRule="auto"/>
              <w:jc w:val="right"/>
              <w:rPr>
                <w:rFonts w:ascii="Garamond" w:hAnsi="Garamond"/>
                <w:sz w:val="20"/>
                <w:szCs w:val="20"/>
              </w:rPr>
            </w:pPr>
          </w:p>
        </w:tc>
        <w:tc>
          <w:tcPr>
            <w:tcW w:w="1792" w:type="dxa"/>
          </w:tcPr>
          <w:p w14:paraId="50D2497A" w14:textId="77777777" w:rsidR="006F605B" w:rsidRPr="00DC66CD" w:rsidRDefault="006F605B" w:rsidP="00876FDB">
            <w:pPr>
              <w:snapToGrid w:val="0"/>
              <w:spacing w:after="0" w:line="240" w:lineRule="auto"/>
              <w:jc w:val="right"/>
              <w:rPr>
                <w:rFonts w:ascii="Garamond" w:hAnsi="Garamond"/>
                <w:sz w:val="20"/>
                <w:szCs w:val="20"/>
              </w:rPr>
            </w:pPr>
            <w:r w:rsidRPr="00DC66CD">
              <w:rPr>
                <w:rFonts w:ascii="Garamond" w:hAnsi="Garamond"/>
                <w:sz w:val="20"/>
                <w:szCs w:val="20"/>
              </w:rPr>
              <w:t>≥30 Mbps</w:t>
            </w:r>
          </w:p>
        </w:tc>
      </w:tr>
      <w:tr w:rsidR="006F605B" w:rsidRPr="00DC66CD" w14:paraId="2D37064C" w14:textId="77777777" w:rsidTr="00876FDB">
        <w:trPr>
          <w:jc w:val="center"/>
        </w:trPr>
        <w:tc>
          <w:tcPr>
            <w:tcW w:w="4248" w:type="dxa"/>
          </w:tcPr>
          <w:p w14:paraId="4004465A" w14:textId="77777777" w:rsidR="006F605B" w:rsidRPr="00DC66CD" w:rsidRDefault="006F605B" w:rsidP="00FF12AC">
            <w:pPr>
              <w:snapToGrid w:val="0"/>
              <w:spacing w:after="0" w:line="240" w:lineRule="auto"/>
              <w:rPr>
                <w:rFonts w:ascii="Garamond" w:hAnsi="Garamond"/>
                <w:sz w:val="20"/>
                <w:szCs w:val="20"/>
              </w:rPr>
            </w:pPr>
            <w:r w:rsidRPr="00DC66CD">
              <w:rPr>
                <w:rFonts w:ascii="Garamond" w:hAnsi="Garamond"/>
                <w:sz w:val="20"/>
                <w:szCs w:val="20"/>
              </w:rPr>
              <w:t xml:space="preserve">Rritje e përqindjes së mbulimit me </w:t>
            </w:r>
            <w:r w:rsidRPr="00DC66CD">
              <w:rPr>
                <w:rFonts w:ascii="Garamond" w:hAnsi="Garamond"/>
                <w:i/>
                <w:sz w:val="20"/>
                <w:szCs w:val="20"/>
              </w:rPr>
              <w:t>broadband</w:t>
            </w:r>
            <w:r w:rsidRPr="00DC66CD">
              <w:rPr>
                <w:rFonts w:ascii="Garamond" w:hAnsi="Garamond"/>
                <w:sz w:val="20"/>
                <w:szCs w:val="20"/>
              </w:rPr>
              <w:t xml:space="preserve"> me shpejtësi &gt;30 Mbps</w:t>
            </w:r>
          </w:p>
        </w:tc>
        <w:tc>
          <w:tcPr>
            <w:tcW w:w="1791" w:type="dxa"/>
          </w:tcPr>
          <w:p w14:paraId="7F0BC31B" w14:textId="77777777" w:rsidR="006F605B" w:rsidRPr="00DC66CD" w:rsidRDefault="006F605B" w:rsidP="00876FDB">
            <w:pPr>
              <w:snapToGrid w:val="0"/>
              <w:spacing w:after="0" w:line="240" w:lineRule="auto"/>
              <w:jc w:val="right"/>
              <w:rPr>
                <w:rFonts w:ascii="Garamond" w:hAnsi="Garamond"/>
                <w:sz w:val="20"/>
                <w:szCs w:val="20"/>
              </w:rPr>
            </w:pPr>
          </w:p>
        </w:tc>
        <w:tc>
          <w:tcPr>
            <w:tcW w:w="1791" w:type="dxa"/>
          </w:tcPr>
          <w:p w14:paraId="0148EFE7" w14:textId="77777777" w:rsidR="006F605B" w:rsidRPr="00DC66CD" w:rsidRDefault="006F605B" w:rsidP="00876FDB">
            <w:pPr>
              <w:snapToGrid w:val="0"/>
              <w:spacing w:after="0" w:line="240" w:lineRule="auto"/>
              <w:jc w:val="right"/>
              <w:rPr>
                <w:rFonts w:ascii="Garamond" w:hAnsi="Garamond"/>
                <w:sz w:val="20"/>
                <w:szCs w:val="20"/>
              </w:rPr>
            </w:pPr>
          </w:p>
        </w:tc>
        <w:tc>
          <w:tcPr>
            <w:tcW w:w="1792" w:type="dxa"/>
          </w:tcPr>
          <w:p w14:paraId="66282597" w14:textId="77777777" w:rsidR="006F605B" w:rsidRPr="00DC66CD" w:rsidRDefault="006F605B" w:rsidP="00876FDB">
            <w:pPr>
              <w:snapToGrid w:val="0"/>
              <w:spacing w:after="0" w:line="240" w:lineRule="auto"/>
              <w:jc w:val="right"/>
              <w:rPr>
                <w:rFonts w:ascii="Garamond" w:hAnsi="Garamond"/>
                <w:sz w:val="20"/>
                <w:szCs w:val="20"/>
              </w:rPr>
            </w:pPr>
          </w:p>
        </w:tc>
      </w:tr>
    </w:tbl>
    <w:p w14:paraId="32F95AE4" w14:textId="77777777" w:rsidR="006F605B" w:rsidRPr="00DC66CD" w:rsidRDefault="006F605B" w:rsidP="006F605B">
      <w:pPr>
        <w:snapToGrid w:val="0"/>
        <w:spacing w:after="0" w:line="240" w:lineRule="auto"/>
        <w:ind w:firstLine="284"/>
        <w:rPr>
          <w:rFonts w:ascii="Garamond" w:hAnsi="Garamond"/>
          <w:sz w:val="24"/>
          <w:szCs w:val="24"/>
        </w:rPr>
      </w:pPr>
    </w:p>
    <w:p w14:paraId="2320A908" w14:textId="45D1E8E2" w:rsidR="006F605B" w:rsidRPr="00DC66CD" w:rsidRDefault="00FF12AC" w:rsidP="00FF12A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Ndikimi i pritshëm në konkurrueshmëri</w:t>
      </w:r>
    </w:p>
    <w:p w14:paraId="37016755" w14:textId="51E7886E"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Reforma e propozuar parashikon rritjen e investimeve në vend, përmirësimin e penetrimit </w:t>
      </w:r>
      <w:r w:rsidRPr="00DC66CD">
        <w:rPr>
          <w:rFonts w:ascii="Garamond" w:hAnsi="Garamond"/>
          <w:i/>
          <w:sz w:val="24"/>
          <w:szCs w:val="24"/>
        </w:rPr>
        <w:t>broadband</w:t>
      </w:r>
      <w:r w:rsidRPr="00DC66CD">
        <w:rPr>
          <w:rFonts w:ascii="Garamond" w:hAnsi="Garamond"/>
          <w:sz w:val="24"/>
          <w:szCs w:val="24"/>
        </w:rPr>
        <w:t xml:space="preserve">, rritjen e </w:t>
      </w:r>
      <w:r w:rsidR="008403BE" w:rsidRPr="00DC66CD">
        <w:rPr>
          <w:rFonts w:ascii="Garamond" w:hAnsi="Garamond"/>
          <w:sz w:val="24"/>
          <w:szCs w:val="24"/>
        </w:rPr>
        <w:t>eficienc</w:t>
      </w:r>
      <w:r w:rsidRPr="00DC66CD">
        <w:rPr>
          <w:rFonts w:ascii="Garamond" w:hAnsi="Garamond"/>
          <w:sz w:val="24"/>
          <w:szCs w:val="24"/>
        </w:rPr>
        <w:t>ës së infrastrukturës ekzistuese nëpërmjet ndarjes së infrastrukturës, si dhe të rritjen e konkurrueshmërisë. Zhvillimi i zonave të largëta dhe rurale nëpërmjet përdorimit të TIK</w:t>
      </w:r>
      <w:r w:rsidR="00A219D1" w:rsidRPr="00DC66CD">
        <w:rPr>
          <w:rFonts w:ascii="Garamond" w:hAnsi="Garamond"/>
          <w:sz w:val="24"/>
          <w:szCs w:val="24"/>
        </w:rPr>
        <w:t>-ut</w:t>
      </w:r>
      <w:r w:rsidRPr="00DC66CD">
        <w:rPr>
          <w:rFonts w:ascii="Garamond" w:hAnsi="Garamond"/>
          <w:sz w:val="24"/>
          <w:szCs w:val="24"/>
        </w:rPr>
        <w:t xml:space="preserve"> për bizneset dhe fermerët, si dhe aksesi që vjen si rezultat i njohurive të metodave teknologjike, si pjesë e kësaj reforme, pritet të përmirësojë konkurrueshmërinë në këto fusha.</w:t>
      </w:r>
    </w:p>
    <w:p w14:paraId="4BE5F009" w14:textId="1D49A2D6"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Disa nga përfitimet sociale të reformës janë: mbulim më i mirë me internet që përkthehet në kohezion social dhe territorial; rritje e sinergjisë midis sektorëve, p.sh.</w:t>
      </w:r>
      <w:r w:rsidR="002110A4" w:rsidRPr="00DC66CD">
        <w:rPr>
          <w:rFonts w:ascii="Garamond" w:hAnsi="Garamond"/>
          <w:sz w:val="24"/>
          <w:szCs w:val="24"/>
        </w:rPr>
        <w:t>,</w:t>
      </w:r>
      <w:r w:rsidRPr="00DC66CD">
        <w:rPr>
          <w:rFonts w:ascii="Garamond" w:hAnsi="Garamond"/>
          <w:sz w:val="24"/>
          <w:szCs w:val="24"/>
        </w:rPr>
        <w:t xml:space="preserve"> </w:t>
      </w:r>
      <w:r w:rsidRPr="00DC66CD">
        <w:rPr>
          <w:rFonts w:ascii="Garamond" w:hAnsi="Garamond"/>
          <w:i/>
          <w:sz w:val="24"/>
          <w:szCs w:val="24"/>
        </w:rPr>
        <w:t>smart grids</w:t>
      </w:r>
      <w:r w:rsidRPr="00DC66CD">
        <w:rPr>
          <w:rFonts w:ascii="Garamond" w:hAnsi="Garamond"/>
          <w:sz w:val="24"/>
          <w:szCs w:val="24"/>
        </w:rPr>
        <w:t xml:space="preserve"> dhe sistemet inteligjente të transportit; më pak dyfishim të punëve civile që do të thotë më pak gërmime dhe/ose më pak ndotje akustike; përmirësim i klimës së biznesit nëpërmjet procedurave transparente dhe më të thjeshta për pajisjen me leje nd</w:t>
      </w:r>
      <w:r w:rsidR="007206A4" w:rsidRPr="00DC66CD">
        <w:rPr>
          <w:rFonts w:ascii="Garamond" w:hAnsi="Garamond"/>
          <w:sz w:val="24"/>
          <w:szCs w:val="24"/>
        </w:rPr>
        <w:t>ërtimi</w:t>
      </w:r>
      <w:r w:rsidRPr="00DC66CD">
        <w:rPr>
          <w:rFonts w:ascii="Garamond" w:hAnsi="Garamond"/>
          <w:sz w:val="24"/>
          <w:szCs w:val="24"/>
        </w:rPr>
        <w:t xml:space="preserve"> etj.</w:t>
      </w:r>
    </w:p>
    <w:p w14:paraId="740F2025" w14:textId="3A69D0FB" w:rsidR="006F605B" w:rsidRPr="00DC66CD" w:rsidRDefault="00FF12AC" w:rsidP="00FF12A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Kosto</w:t>
      </w:r>
      <w:r w:rsidR="00A219D1"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03511458" w14:textId="7FA2586C" w:rsidR="006F605B" w:rsidRPr="00DC66CD" w:rsidRDefault="00FF12AC" w:rsidP="00FF12AC">
      <w:pPr>
        <w:pStyle w:val="TEKSTIIII"/>
      </w:pPr>
      <w:r w:rsidRPr="00DC66CD">
        <w:t xml:space="preserve">1. </w:t>
      </w:r>
      <w:r w:rsidR="006F605B" w:rsidRPr="00DC66CD">
        <w:t xml:space="preserve">Miratimi i Planit të ri Kombëtar të </w:t>
      </w:r>
      <w:r w:rsidR="006F605B" w:rsidRPr="00DC66CD">
        <w:rPr>
          <w:i/>
        </w:rPr>
        <w:t>Broadband</w:t>
      </w:r>
      <w:r w:rsidR="00A219D1" w:rsidRPr="00DC66CD">
        <w:t>-it</w:t>
      </w:r>
      <w:r w:rsidR="006F605B" w:rsidRPr="00DC66CD">
        <w:t>:</w:t>
      </w:r>
    </w:p>
    <w:p w14:paraId="588632D5" w14:textId="2A45166B" w:rsidR="006F605B" w:rsidRPr="00DC66CD" w:rsidRDefault="00FF12AC" w:rsidP="00FF12AC">
      <w:pPr>
        <w:pStyle w:val="TEKSTIIII"/>
      </w:pPr>
      <w:r w:rsidRPr="00DC66CD">
        <w:t>-</w:t>
      </w:r>
      <w:r w:rsidR="00A219D1" w:rsidRPr="00DC66CD">
        <w:t xml:space="preserve"> </w:t>
      </w:r>
      <w:r w:rsidR="006F605B" w:rsidRPr="00DC66CD">
        <w:t xml:space="preserve">5.500 </w:t>
      </w:r>
      <w:r w:rsidR="00A219D1" w:rsidRPr="00DC66CD">
        <w:t xml:space="preserve">euro </w:t>
      </w:r>
      <w:r w:rsidR="006F605B" w:rsidRPr="00DC66CD">
        <w:t xml:space="preserve">nga buxheti i shtetit për rishikimin e planit të veprimit të Planit Kombëtar të </w:t>
      </w:r>
      <w:r w:rsidR="006F605B" w:rsidRPr="00DC66CD">
        <w:rPr>
          <w:i/>
        </w:rPr>
        <w:t>Broadband</w:t>
      </w:r>
      <w:r w:rsidR="006F605B" w:rsidRPr="00DC66CD">
        <w:t>-it</w:t>
      </w:r>
      <w:r w:rsidR="00A219D1" w:rsidRPr="00DC66CD">
        <w:t>;</w:t>
      </w:r>
    </w:p>
    <w:p w14:paraId="2F58FE6F" w14:textId="3779D3D3" w:rsidR="006F605B" w:rsidRPr="00DC66CD" w:rsidRDefault="00A219D1" w:rsidP="00FF12AC">
      <w:pPr>
        <w:pStyle w:val="TEKSTIIII"/>
      </w:pPr>
      <w:r w:rsidRPr="00DC66CD">
        <w:t xml:space="preserve">- mbështetje </w:t>
      </w:r>
      <w:r w:rsidR="006F605B" w:rsidRPr="00DC66CD">
        <w:t>nga ITU</w:t>
      </w:r>
      <w:r w:rsidRPr="00DC66CD">
        <w:t>-ja</w:t>
      </w:r>
      <w:r w:rsidR="006F605B" w:rsidRPr="00DC66CD">
        <w:t xml:space="preserve"> me një ekspert për hartimin e Planit Kombëtar të </w:t>
      </w:r>
      <w:r w:rsidR="006F605B" w:rsidRPr="00DC66CD">
        <w:rPr>
          <w:i/>
        </w:rPr>
        <w:t>Broadband</w:t>
      </w:r>
      <w:r w:rsidR="006F605B" w:rsidRPr="00DC66CD">
        <w:t>-it;</w:t>
      </w:r>
    </w:p>
    <w:p w14:paraId="0425A5C5" w14:textId="57C00E08" w:rsidR="006F605B" w:rsidRPr="00DC66CD" w:rsidRDefault="00FF12AC" w:rsidP="00FF12AC">
      <w:pPr>
        <w:pStyle w:val="TEKSTIIII"/>
      </w:pPr>
      <w:r w:rsidRPr="00DC66CD">
        <w:t xml:space="preserve">2. </w:t>
      </w:r>
      <w:r w:rsidR="006F605B" w:rsidRPr="00DC66CD">
        <w:t xml:space="preserve">Studimi i fizibilitetit dhe analiza kosto-përfitim për zhvillimin e infrastrukturës rajonale të </w:t>
      </w:r>
      <w:r w:rsidR="006F605B" w:rsidRPr="00DC66CD">
        <w:rPr>
          <w:i/>
        </w:rPr>
        <w:t>broadband</w:t>
      </w:r>
      <w:r w:rsidR="00A219D1" w:rsidRPr="00DC66CD">
        <w:t>-it</w:t>
      </w:r>
      <w:r w:rsidR="006F605B" w:rsidRPr="00DC66CD">
        <w:t>:</w:t>
      </w:r>
    </w:p>
    <w:p w14:paraId="335527F2" w14:textId="15BFAE8F" w:rsidR="006F605B" w:rsidRPr="00DC66CD" w:rsidRDefault="00FF12AC" w:rsidP="00FF12AC">
      <w:pPr>
        <w:pStyle w:val="TEKSTIIII"/>
      </w:pPr>
      <w:r w:rsidRPr="00DC66CD">
        <w:t>-</w:t>
      </w:r>
      <w:r w:rsidR="008403BE" w:rsidRPr="00DC66CD">
        <w:t xml:space="preserve"> </w:t>
      </w:r>
      <w:r w:rsidR="006F605B" w:rsidRPr="00DC66CD">
        <w:t xml:space="preserve">520.000 </w:t>
      </w:r>
      <w:r w:rsidR="008403BE" w:rsidRPr="00DC66CD">
        <w:t>e</w:t>
      </w:r>
      <w:r w:rsidR="006F605B" w:rsidRPr="00DC66CD">
        <w:t>uro nga granti i WBIF</w:t>
      </w:r>
      <w:r w:rsidR="00A219D1" w:rsidRPr="00DC66CD">
        <w:t>-së;</w:t>
      </w:r>
    </w:p>
    <w:p w14:paraId="64EA3D4A" w14:textId="23DD3D79" w:rsidR="006F605B" w:rsidRPr="00DC66CD" w:rsidRDefault="00FF12AC" w:rsidP="00FF12AC">
      <w:pPr>
        <w:pStyle w:val="TEKSTIIII"/>
      </w:pPr>
      <w:r w:rsidRPr="00DC66CD">
        <w:t>-</w:t>
      </w:r>
      <w:r w:rsidR="008403BE" w:rsidRPr="00DC66CD">
        <w:t xml:space="preserve"> </w:t>
      </w:r>
      <w:r w:rsidR="006F605B" w:rsidRPr="00DC66CD">
        <w:t xml:space="preserve">25.000 </w:t>
      </w:r>
      <w:r w:rsidR="008403BE" w:rsidRPr="00DC66CD">
        <w:t>e</w:t>
      </w:r>
      <w:r w:rsidR="006F605B" w:rsidRPr="00DC66CD">
        <w:t>uro nga Buxheti i MIE</w:t>
      </w:r>
      <w:r w:rsidR="008403BE" w:rsidRPr="00DC66CD">
        <w:t>-s</w:t>
      </w:r>
      <w:r w:rsidR="006F605B" w:rsidRPr="00DC66CD">
        <w:t>.</w:t>
      </w:r>
    </w:p>
    <w:p w14:paraId="093E1993" w14:textId="5E33E644" w:rsidR="006F605B" w:rsidRPr="00DC66CD" w:rsidRDefault="00FF12AC" w:rsidP="00FF12AC">
      <w:pPr>
        <w:pStyle w:val="TEKSTIIII"/>
      </w:pPr>
      <w:r w:rsidRPr="00DC66CD">
        <w:t xml:space="preserve">3. </w:t>
      </w:r>
      <w:r w:rsidR="006F605B" w:rsidRPr="00DC66CD">
        <w:t xml:space="preserve">Buxheti për aktivitetet nën planin e ri të veprimit të </w:t>
      </w:r>
      <w:r w:rsidR="00A219D1" w:rsidRPr="00DC66CD">
        <w:t xml:space="preserve">agjendës digjitale </w:t>
      </w:r>
      <w:r w:rsidR="006F605B" w:rsidRPr="00DC66CD">
        <w:t>(digjitalizimi i shërbimeve/</w:t>
      </w:r>
      <w:r w:rsidR="00A219D1" w:rsidRPr="00DC66CD">
        <w:t xml:space="preserve">i </w:t>
      </w:r>
      <w:r w:rsidR="006F605B" w:rsidRPr="00DC66CD">
        <w:t xml:space="preserve">sektorit TIK – ana e kërkesës e ekosistemit </w:t>
      </w:r>
      <w:r w:rsidR="006F605B" w:rsidRPr="00DC66CD">
        <w:rPr>
          <w:i/>
        </w:rPr>
        <w:t>Broadband</w:t>
      </w:r>
      <w:r w:rsidR="006F605B" w:rsidRPr="00DC66CD">
        <w:t>)</w:t>
      </w:r>
      <w:r w:rsidR="00A219D1" w:rsidRPr="00DC66CD">
        <w:t>,</w:t>
      </w:r>
      <w:r w:rsidR="006F605B" w:rsidRPr="00DC66CD">
        <w:t xml:space="preserve"> p</w:t>
      </w:r>
      <w:r w:rsidR="008403BE" w:rsidRPr="00DC66CD">
        <w:t>ë</w:t>
      </w:r>
      <w:r w:rsidR="006F605B" w:rsidRPr="00DC66CD">
        <w:t xml:space="preserve">r </w:t>
      </w:r>
      <w:r w:rsidR="00433A3A" w:rsidRPr="00DC66CD">
        <w:t>2019–</w:t>
      </w:r>
      <w:r w:rsidR="00A219D1" w:rsidRPr="00DC66CD">
        <w:t xml:space="preserve">2020, </w:t>
      </w:r>
      <w:r w:rsidR="006F605B" w:rsidRPr="00DC66CD">
        <w:rPr>
          <w:b/>
        </w:rPr>
        <w:t xml:space="preserve">është afërsisht 26 mln </w:t>
      </w:r>
      <w:r w:rsidR="008403BE" w:rsidRPr="00DC66CD">
        <w:rPr>
          <w:b/>
        </w:rPr>
        <w:t>e</w:t>
      </w:r>
      <w:r w:rsidR="006F605B" w:rsidRPr="00DC66CD">
        <w:rPr>
          <w:b/>
        </w:rPr>
        <w:t xml:space="preserve">uro si </w:t>
      </w:r>
      <w:r w:rsidR="008403BE" w:rsidRPr="00DC66CD">
        <w:rPr>
          <w:b/>
        </w:rPr>
        <w:t xml:space="preserve">buxhet shteti </w:t>
      </w:r>
      <w:r w:rsidR="006F605B" w:rsidRPr="00DC66CD">
        <w:rPr>
          <w:b/>
        </w:rPr>
        <w:t xml:space="preserve">dhe 12.5 mln </w:t>
      </w:r>
      <w:r w:rsidR="008403BE" w:rsidRPr="00DC66CD">
        <w:rPr>
          <w:b/>
        </w:rPr>
        <w:t>e</w:t>
      </w:r>
      <w:r w:rsidR="006F605B" w:rsidRPr="00DC66CD">
        <w:rPr>
          <w:b/>
        </w:rPr>
        <w:t>uro dona</w:t>
      </w:r>
      <w:r w:rsidR="00A219D1" w:rsidRPr="00DC66CD">
        <w:rPr>
          <w:b/>
        </w:rPr>
        <w:t>t</w:t>
      </w:r>
      <w:r w:rsidR="006F605B" w:rsidRPr="00DC66CD">
        <w:rPr>
          <w:b/>
        </w:rPr>
        <w:t>orë/IPA/fonde të tjera (pritet të miratohet së shpejti me VKM</w:t>
      </w:r>
      <w:r w:rsidR="006F605B" w:rsidRPr="00DC66CD">
        <w:t>).</w:t>
      </w:r>
    </w:p>
    <w:p w14:paraId="2E67E024" w14:textId="0815B71E"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Ndikimi në buxhet për rishikimin e Planit Kombëtar të </w:t>
      </w:r>
      <w:r w:rsidRPr="00DC66CD">
        <w:rPr>
          <w:rFonts w:ascii="Garamond" w:hAnsi="Garamond"/>
          <w:i/>
          <w:sz w:val="24"/>
          <w:szCs w:val="24"/>
        </w:rPr>
        <w:t>Broadband</w:t>
      </w:r>
      <w:r w:rsidRPr="00DC66CD">
        <w:rPr>
          <w:rFonts w:ascii="Garamond" w:hAnsi="Garamond"/>
          <w:sz w:val="24"/>
          <w:szCs w:val="24"/>
        </w:rPr>
        <w:t>-it vjen si rezultat i kostove administrative të stafit. Kostoja e studimit të fizibilitetit do të mbulohet nga WBIF</w:t>
      </w:r>
      <w:r w:rsidR="00A219D1" w:rsidRPr="00DC66CD">
        <w:rPr>
          <w:rFonts w:ascii="Garamond" w:hAnsi="Garamond"/>
          <w:sz w:val="24"/>
          <w:szCs w:val="24"/>
        </w:rPr>
        <w:t>-ja</w:t>
      </w:r>
      <w:r w:rsidRPr="00DC66CD">
        <w:rPr>
          <w:rFonts w:ascii="Garamond" w:hAnsi="Garamond"/>
          <w:sz w:val="24"/>
          <w:szCs w:val="24"/>
        </w:rPr>
        <w:t>.</w:t>
      </w:r>
    </w:p>
    <w:p w14:paraId="620E8058" w14:textId="598D03BA"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Në total projekti për zhvillimin e </w:t>
      </w:r>
      <w:r w:rsidRPr="00DC66CD">
        <w:rPr>
          <w:rFonts w:ascii="Garamond" w:hAnsi="Garamond"/>
          <w:i/>
          <w:sz w:val="24"/>
          <w:szCs w:val="24"/>
        </w:rPr>
        <w:t>broadband</w:t>
      </w:r>
      <w:r w:rsidRPr="00DC66CD">
        <w:rPr>
          <w:rFonts w:ascii="Garamond" w:hAnsi="Garamond"/>
          <w:sz w:val="24"/>
          <w:szCs w:val="24"/>
        </w:rPr>
        <w:t xml:space="preserve">-it vlerësohet të jetë 48 milionë </w:t>
      </w:r>
      <w:r w:rsidR="00A219D1" w:rsidRPr="00DC66CD">
        <w:rPr>
          <w:rFonts w:ascii="Garamond" w:hAnsi="Garamond"/>
          <w:sz w:val="24"/>
          <w:szCs w:val="24"/>
        </w:rPr>
        <w:t xml:space="preserve">euro </w:t>
      </w:r>
      <w:r w:rsidRPr="00DC66CD">
        <w:rPr>
          <w:rFonts w:ascii="Garamond" w:hAnsi="Garamond"/>
          <w:sz w:val="24"/>
          <w:szCs w:val="24"/>
        </w:rPr>
        <w:t>me kontribute të ndryshme.</w:t>
      </w:r>
    </w:p>
    <w:p w14:paraId="615EA3CE" w14:textId="39A38E61"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Investimet për zhvillimin e infrastrukturës</w:t>
      </w:r>
      <w:r w:rsidR="0072211B" w:rsidRPr="00DC66CD">
        <w:rPr>
          <w:rFonts w:ascii="Garamond" w:hAnsi="Garamond"/>
          <w:sz w:val="24"/>
          <w:szCs w:val="24"/>
        </w:rPr>
        <w:t xml:space="preserve"> </w:t>
      </w:r>
      <w:r w:rsidRPr="00DC66CD">
        <w:rPr>
          <w:rFonts w:ascii="Garamond" w:hAnsi="Garamond"/>
          <w:i/>
          <w:sz w:val="24"/>
          <w:szCs w:val="24"/>
        </w:rPr>
        <w:t>broadband</w:t>
      </w:r>
      <w:r w:rsidRPr="00DC66CD">
        <w:rPr>
          <w:rFonts w:ascii="Garamond" w:hAnsi="Garamond"/>
          <w:sz w:val="24"/>
          <w:szCs w:val="24"/>
        </w:rPr>
        <w:t xml:space="preserve"> në zonën 1 </w:t>
      </w:r>
      <w:r w:rsidRPr="00DC66CD">
        <w:rPr>
          <w:rFonts w:ascii="Garamond" w:hAnsi="Garamond"/>
          <w:color w:val="000000" w:themeColor="text1"/>
          <w:sz w:val="24"/>
          <w:szCs w:val="24"/>
        </w:rPr>
        <w:t xml:space="preserve">(zona të bardha) </w:t>
      </w:r>
      <w:r w:rsidRPr="00DC66CD">
        <w:rPr>
          <w:rFonts w:ascii="Garamond" w:hAnsi="Garamond"/>
          <w:sz w:val="24"/>
          <w:szCs w:val="24"/>
        </w:rPr>
        <w:t>dhe në zonën 2 (zona gri) etj., do të jenë pjesë e këtij projekti.</w:t>
      </w:r>
    </w:p>
    <w:p w14:paraId="06BF0F00" w14:textId="2F291CD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Në kuptimin e rrjetit </w:t>
      </w:r>
      <w:r w:rsidRPr="00DC66CD">
        <w:rPr>
          <w:rFonts w:ascii="Garamond" w:hAnsi="Garamond"/>
          <w:i/>
          <w:sz w:val="24"/>
          <w:szCs w:val="24"/>
        </w:rPr>
        <w:t>broadband</w:t>
      </w:r>
      <w:r w:rsidRPr="00DC66CD">
        <w:rPr>
          <w:rFonts w:ascii="Garamond" w:hAnsi="Garamond"/>
          <w:sz w:val="24"/>
          <w:szCs w:val="24"/>
        </w:rPr>
        <w:t>, BE</w:t>
      </w:r>
      <w:r w:rsidR="00A219D1" w:rsidRPr="00DC66CD">
        <w:rPr>
          <w:rFonts w:ascii="Garamond" w:hAnsi="Garamond"/>
          <w:sz w:val="24"/>
          <w:szCs w:val="24"/>
        </w:rPr>
        <w:t>-ja</w:t>
      </w:r>
      <w:r w:rsidRPr="00DC66CD">
        <w:rPr>
          <w:rFonts w:ascii="Garamond" w:hAnsi="Garamond"/>
          <w:sz w:val="24"/>
          <w:szCs w:val="24"/>
        </w:rPr>
        <w:t xml:space="preserve"> propozoi klasifikimin e zonave sipas statusit të saj ekzistues ose të ardhshëm të infrastrukturës së rrjetit NGN, duke përcaktuar kështu situatën e tregut</w:t>
      </w:r>
      <w:r w:rsidR="00A219D1" w:rsidRPr="00DC66CD">
        <w:rPr>
          <w:rFonts w:ascii="Garamond" w:hAnsi="Garamond"/>
          <w:sz w:val="24"/>
          <w:szCs w:val="24"/>
        </w:rPr>
        <w:t>,</w:t>
      </w:r>
      <w:r w:rsidRPr="00DC66CD">
        <w:rPr>
          <w:rFonts w:ascii="Garamond" w:hAnsi="Garamond"/>
          <w:sz w:val="24"/>
          <w:szCs w:val="24"/>
        </w:rPr>
        <w:t xml:space="preserve"> si për rrjetet bazë dhe për rrjetet </w:t>
      </w:r>
      <w:r w:rsidRPr="00DC66CD">
        <w:rPr>
          <w:rFonts w:ascii="Garamond" w:hAnsi="Garamond"/>
          <w:i/>
          <w:sz w:val="24"/>
          <w:szCs w:val="24"/>
        </w:rPr>
        <w:t>broadband</w:t>
      </w:r>
      <w:r w:rsidRPr="00DC66CD">
        <w:rPr>
          <w:rFonts w:ascii="Garamond" w:hAnsi="Garamond"/>
          <w:sz w:val="24"/>
          <w:szCs w:val="24"/>
        </w:rPr>
        <w:t xml:space="preserve"> NGN:</w:t>
      </w:r>
    </w:p>
    <w:p w14:paraId="6AAF1B76" w14:textId="703096A6" w:rsidR="006F605B" w:rsidRPr="00DC66CD" w:rsidRDefault="00FF12AC" w:rsidP="00FF12AC">
      <w:pPr>
        <w:pStyle w:val="TEKSTIIII"/>
      </w:pPr>
      <w:r w:rsidRPr="00DC66CD">
        <w:t>-</w:t>
      </w:r>
      <w:r w:rsidR="00310FDE" w:rsidRPr="00DC66CD">
        <w:t xml:space="preserve"> </w:t>
      </w:r>
      <w:r w:rsidR="00A219D1" w:rsidRPr="00DC66CD">
        <w:t>z</w:t>
      </w:r>
      <w:r w:rsidR="006F605B" w:rsidRPr="00DC66CD">
        <w:t xml:space="preserve">onë e bardhë nëse rrjeti </w:t>
      </w:r>
      <w:r w:rsidR="006F605B" w:rsidRPr="00DC66CD">
        <w:rPr>
          <w:i/>
        </w:rPr>
        <w:t>broadband</w:t>
      </w:r>
      <w:r w:rsidR="006F605B" w:rsidRPr="00DC66CD">
        <w:t xml:space="preserve"> NGN aktualisht nuk është i pranishëm ose nuk është planifikuar të jetë funksional brenda tr</w:t>
      </w:r>
      <w:r w:rsidR="00A219D1" w:rsidRPr="00DC66CD">
        <w:t>e</w:t>
      </w:r>
      <w:r w:rsidR="006F605B" w:rsidRPr="00DC66CD">
        <w:t xml:space="preserve"> v</w:t>
      </w:r>
      <w:r w:rsidR="00A219D1" w:rsidRPr="00DC66CD">
        <w:t>jetëve</w:t>
      </w:r>
      <w:r w:rsidR="006F605B" w:rsidRPr="00DC66CD">
        <w:t xml:space="preserve"> të ardhsh</w:t>
      </w:r>
      <w:r w:rsidR="00A219D1" w:rsidRPr="00DC66CD">
        <w:t>ë</w:t>
      </w:r>
      <w:r w:rsidR="006F605B" w:rsidRPr="00DC66CD">
        <w:t>m; në këtë rast mund të lejohet ndihma shtetërore</w:t>
      </w:r>
      <w:r w:rsidR="00A219D1" w:rsidRPr="00DC66CD">
        <w:t>;</w:t>
      </w:r>
    </w:p>
    <w:p w14:paraId="5ABD5B00" w14:textId="429E7403" w:rsidR="006F605B" w:rsidRPr="00DC66CD" w:rsidRDefault="00FF12AC" w:rsidP="00FF12AC">
      <w:pPr>
        <w:pStyle w:val="TEKSTIIII"/>
      </w:pPr>
      <w:r w:rsidRPr="00DC66CD">
        <w:t>-</w:t>
      </w:r>
      <w:r w:rsidR="00310FDE" w:rsidRPr="00DC66CD">
        <w:t xml:space="preserve"> </w:t>
      </w:r>
      <w:r w:rsidR="00A219D1" w:rsidRPr="00DC66CD">
        <w:t>z</w:t>
      </w:r>
      <w:r w:rsidR="006F605B" w:rsidRPr="00DC66CD">
        <w:t xml:space="preserve">onë gri nëse ka vetëm një rrjet </w:t>
      </w:r>
      <w:r w:rsidR="006F605B" w:rsidRPr="00DC66CD">
        <w:rPr>
          <w:i/>
        </w:rPr>
        <w:t>broadband</w:t>
      </w:r>
      <w:r w:rsidR="006F605B" w:rsidRPr="00DC66CD">
        <w:t xml:space="preserve"> NGN</w:t>
      </w:r>
      <w:r w:rsidR="00A219D1" w:rsidRPr="00DC66CD">
        <w:t>,</w:t>
      </w:r>
      <w:r w:rsidR="006F605B" w:rsidRPr="00DC66CD">
        <w:t xml:space="preserve"> që është në funksion (ose është planifikuar të jetë kështu brenda tr</w:t>
      </w:r>
      <w:r w:rsidR="00A219D1" w:rsidRPr="00DC66CD">
        <w:t>e</w:t>
      </w:r>
      <w:r w:rsidR="006F605B" w:rsidRPr="00DC66CD">
        <w:t xml:space="preserve"> </w:t>
      </w:r>
      <w:r w:rsidR="00A219D1" w:rsidRPr="00DC66CD">
        <w:t>vjetëve</w:t>
      </w:r>
      <w:r w:rsidR="006F605B" w:rsidRPr="00DC66CD">
        <w:t xml:space="preserve"> të ardhshëm); në këtë rast, zona mund të jetë e pranueshme për ndihmën shtetërore, por do të jetë e nevojshme një analizë më e hollësishme</w:t>
      </w:r>
      <w:r w:rsidR="00A219D1" w:rsidRPr="00DC66CD">
        <w:t>.</w:t>
      </w:r>
    </w:p>
    <w:p w14:paraId="4B643E2D" w14:textId="4B071A8E" w:rsidR="006F605B" w:rsidRPr="00DC66CD" w:rsidRDefault="00FF12AC" w:rsidP="00FF12A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6. </w:t>
      </w:r>
      <w:r w:rsidR="006F605B" w:rsidRPr="00DC66CD">
        <w:rPr>
          <w:rFonts w:ascii="Garamond" w:hAnsi="Garamond"/>
          <w:color w:val="auto"/>
          <w:sz w:val="24"/>
          <w:szCs w:val="24"/>
        </w:rPr>
        <w:t>Ndikimi i pritshëm në rezultatet sociale, si</w:t>
      </w:r>
      <w:r w:rsidR="00812CBB" w:rsidRPr="00DC66CD">
        <w:rPr>
          <w:rFonts w:ascii="Garamond" w:hAnsi="Garamond"/>
          <w:color w:val="auto"/>
          <w:sz w:val="24"/>
          <w:szCs w:val="24"/>
        </w:rPr>
        <w:t>:</w:t>
      </w:r>
      <w:r w:rsidR="006F605B" w:rsidRPr="00DC66CD">
        <w:rPr>
          <w:rFonts w:ascii="Garamond" w:hAnsi="Garamond"/>
          <w:color w:val="auto"/>
          <w:sz w:val="24"/>
          <w:szCs w:val="24"/>
        </w:rPr>
        <w:t xml:space="preserve"> punësimi, ulja e varfërisë, barazia dhe gjinia</w:t>
      </w:r>
    </w:p>
    <w:p w14:paraId="5FB2230E" w14:textId="65210366" w:rsidR="006F605B" w:rsidRPr="00DC66CD" w:rsidRDefault="006F605B" w:rsidP="00812CBB">
      <w:pPr>
        <w:spacing w:after="0" w:line="240" w:lineRule="auto"/>
        <w:ind w:firstLine="284"/>
        <w:jc w:val="both"/>
        <w:rPr>
          <w:rFonts w:ascii="Garamond" w:hAnsi="Garamond"/>
          <w:sz w:val="24"/>
          <w:szCs w:val="24"/>
        </w:rPr>
      </w:pPr>
      <w:r w:rsidRPr="00DC66CD">
        <w:rPr>
          <w:rFonts w:ascii="Garamond" w:hAnsi="Garamond"/>
          <w:sz w:val="24"/>
          <w:szCs w:val="24"/>
        </w:rPr>
        <w:t xml:space="preserve">Zhvillimi i </w:t>
      </w:r>
      <w:r w:rsidRPr="00DC66CD">
        <w:rPr>
          <w:rFonts w:ascii="Garamond" w:hAnsi="Garamond"/>
          <w:i/>
          <w:sz w:val="24"/>
          <w:szCs w:val="24"/>
        </w:rPr>
        <w:t>broadband</w:t>
      </w:r>
      <w:r w:rsidRPr="00DC66CD">
        <w:rPr>
          <w:rFonts w:ascii="Garamond" w:hAnsi="Garamond"/>
          <w:sz w:val="24"/>
          <w:szCs w:val="24"/>
        </w:rPr>
        <w:t>-it pritet të rrisë numrin e të punësuarve dhe</w:t>
      </w:r>
      <w:r w:rsidR="00812CBB" w:rsidRPr="00DC66CD">
        <w:rPr>
          <w:rFonts w:ascii="Garamond" w:hAnsi="Garamond"/>
          <w:sz w:val="24"/>
          <w:szCs w:val="24"/>
        </w:rPr>
        <w:t>,</w:t>
      </w:r>
      <w:r w:rsidRPr="00DC66CD">
        <w:rPr>
          <w:rFonts w:ascii="Garamond" w:hAnsi="Garamond"/>
          <w:sz w:val="24"/>
          <w:szCs w:val="24"/>
        </w:rPr>
        <w:t xml:space="preserve"> gjithashtu</w:t>
      </w:r>
      <w:r w:rsidR="00812CBB" w:rsidRPr="00DC66CD">
        <w:rPr>
          <w:rFonts w:ascii="Garamond" w:hAnsi="Garamond"/>
          <w:sz w:val="24"/>
          <w:szCs w:val="24"/>
        </w:rPr>
        <w:t>,</w:t>
      </w:r>
      <w:r w:rsidRPr="00DC66CD">
        <w:rPr>
          <w:rFonts w:ascii="Garamond" w:hAnsi="Garamond"/>
          <w:sz w:val="24"/>
          <w:szCs w:val="24"/>
        </w:rPr>
        <w:t xml:space="preserve"> të krijojë më shumë mundësi punësimi </w:t>
      </w:r>
      <w:r w:rsidRPr="00DC66CD">
        <w:rPr>
          <w:rFonts w:ascii="Garamond" w:hAnsi="Garamond"/>
          <w:i/>
          <w:sz w:val="24"/>
          <w:szCs w:val="24"/>
        </w:rPr>
        <w:t>online</w:t>
      </w:r>
      <w:r w:rsidRPr="00DC66CD">
        <w:rPr>
          <w:rFonts w:ascii="Garamond" w:hAnsi="Garamond"/>
          <w:sz w:val="24"/>
          <w:szCs w:val="24"/>
        </w:rPr>
        <w:t xml:space="preserve"> për femrat. Referuar studimit </w:t>
      </w:r>
      <w:r w:rsidR="002A29AD" w:rsidRPr="00DC66CD">
        <w:rPr>
          <w:rFonts w:ascii="Garamond" w:hAnsi="Garamond"/>
          <w:i/>
          <w:sz w:val="24"/>
          <w:szCs w:val="24"/>
        </w:rPr>
        <w:t>“</w:t>
      </w:r>
      <w:r w:rsidRPr="00DC66CD">
        <w:rPr>
          <w:rFonts w:ascii="Garamond" w:hAnsi="Garamond"/>
          <w:i/>
          <w:sz w:val="24"/>
          <w:szCs w:val="24"/>
        </w:rPr>
        <w:t>Impakti i transformimit digjital në Ballkanin Perëndimor – Trajtimi i sfidave drejt stabilitetit politik dhe prosperitetit ekonomik</w:t>
      </w:r>
      <w:r w:rsidR="00812CBB" w:rsidRPr="00DC66CD">
        <w:rPr>
          <w:rFonts w:ascii="Garamond" w:hAnsi="Garamond"/>
          <w:i/>
          <w:sz w:val="24"/>
          <w:szCs w:val="24"/>
        </w:rPr>
        <w:t>”</w:t>
      </w:r>
      <w:r w:rsidRPr="00DC66CD">
        <w:rPr>
          <w:rStyle w:val="FootnoteReference"/>
          <w:rFonts w:ascii="Garamond" w:hAnsi="Garamond"/>
          <w:sz w:val="24"/>
          <w:szCs w:val="24"/>
        </w:rPr>
        <w:footnoteReference w:id="24"/>
      </w:r>
      <w:r w:rsidRPr="00DC66CD">
        <w:rPr>
          <w:rFonts w:ascii="Garamond" w:hAnsi="Garamond"/>
          <w:sz w:val="24"/>
          <w:szCs w:val="24"/>
        </w:rPr>
        <w:t xml:space="preserve">, investimet në rrjetin </w:t>
      </w:r>
      <w:r w:rsidRPr="00DC66CD">
        <w:rPr>
          <w:rFonts w:ascii="Garamond" w:hAnsi="Garamond"/>
          <w:i/>
          <w:sz w:val="24"/>
          <w:szCs w:val="24"/>
        </w:rPr>
        <w:t>broadband</w:t>
      </w:r>
      <w:r w:rsidRPr="00DC66CD">
        <w:rPr>
          <w:rFonts w:ascii="Garamond" w:hAnsi="Garamond"/>
          <w:sz w:val="24"/>
          <w:szCs w:val="24"/>
        </w:rPr>
        <w:t xml:space="preserve"> mund të japin kontribut në dinamikën e krijimit të vendeve të reja të punës në ekonomitë e Ballkanit Perëndimor. Sipas studimit, investimet në infrastrukturën </w:t>
      </w:r>
      <w:r w:rsidRPr="00DC66CD">
        <w:rPr>
          <w:rFonts w:ascii="Garamond" w:hAnsi="Garamond"/>
          <w:i/>
          <w:sz w:val="24"/>
          <w:szCs w:val="24"/>
        </w:rPr>
        <w:t>broadband</w:t>
      </w:r>
      <w:r w:rsidRPr="00DC66CD">
        <w:rPr>
          <w:rFonts w:ascii="Garamond" w:hAnsi="Garamond"/>
          <w:sz w:val="24"/>
          <w:szCs w:val="24"/>
        </w:rPr>
        <w:t xml:space="preserve"> me një vlerë prej 100 milion</w:t>
      </w:r>
      <w:r w:rsidR="00310FDE" w:rsidRPr="00DC66CD">
        <w:rPr>
          <w:rFonts w:ascii="Garamond" w:hAnsi="Garamond"/>
          <w:sz w:val="24"/>
          <w:szCs w:val="24"/>
        </w:rPr>
        <w:t>ë</w:t>
      </w:r>
      <w:r w:rsidRPr="00DC66CD">
        <w:rPr>
          <w:rFonts w:ascii="Garamond" w:hAnsi="Garamond"/>
          <w:sz w:val="24"/>
          <w:szCs w:val="24"/>
        </w:rPr>
        <w:t xml:space="preserve"> </w:t>
      </w:r>
      <w:r w:rsidR="00310FDE" w:rsidRPr="00DC66CD">
        <w:rPr>
          <w:rFonts w:ascii="Garamond" w:hAnsi="Garamond"/>
          <w:sz w:val="24"/>
          <w:szCs w:val="24"/>
        </w:rPr>
        <w:t>e</w:t>
      </w:r>
      <w:r w:rsidRPr="00DC66CD">
        <w:rPr>
          <w:rFonts w:ascii="Garamond" w:hAnsi="Garamond"/>
          <w:sz w:val="24"/>
          <w:szCs w:val="24"/>
        </w:rPr>
        <w:t>uro</w:t>
      </w:r>
      <w:r w:rsidR="00310FDE" w:rsidRPr="00DC66CD">
        <w:rPr>
          <w:rFonts w:ascii="Garamond" w:hAnsi="Garamond"/>
          <w:sz w:val="24"/>
          <w:szCs w:val="24"/>
        </w:rPr>
        <w:t>sh</w:t>
      </w:r>
      <w:r w:rsidRPr="00DC66CD">
        <w:rPr>
          <w:rFonts w:ascii="Garamond" w:hAnsi="Garamond"/>
          <w:sz w:val="24"/>
          <w:szCs w:val="24"/>
        </w:rPr>
        <w:t xml:space="preserve"> mund të krijojnë 3,000 deri në 10,000 vende të reja pune. Si rezultat i produktivitetit më të ulët të punës (nevojitet më shumë punë për njësi të prodhuar), mundësia e krijimit të vendeve të reja të punës, prej investimeve në rrjetin </w:t>
      </w:r>
      <w:r w:rsidRPr="00DC66CD">
        <w:rPr>
          <w:rFonts w:ascii="Garamond" w:hAnsi="Garamond"/>
          <w:i/>
          <w:sz w:val="24"/>
          <w:szCs w:val="24"/>
        </w:rPr>
        <w:t>broadband</w:t>
      </w:r>
      <w:r w:rsidR="00812CBB" w:rsidRPr="00DC66CD">
        <w:rPr>
          <w:rFonts w:ascii="Garamond" w:hAnsi="Garamond"/>
          <w:sz w:val="24"/>
          <w:szCs w:val="24"/>
        </w:rPr>
        <w:t xml:space="preserve"> </w:t>
      </w:r>
      <w:r w:rsidRPr="00DC66CD">
        <w:rPr>
          <w:rFonts w:ascii="Garamond" w:hAnsi="Garamond"/>
          <w:sz w:val="24"/>
          <w:szCs w:val="24"/>
        </w:rPr>
        <w:t>është më e lartë në Shqipëri; afërsisht 10,000 vende të reja pune.</w:t>
      </w:r>
    </w:p>
    <w:p w14:paraId="4FF7C0B4" w14:textId="5271220B"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Sipas studimit, nxitja e kërkesës nëpërmjet investimeve prej 100 milion</w:t>
      </w:r>
      <w:r w:rsidR="00310FDE" w:rsidRPr="00DC66CD">
        <w:rPr>
          <w:rFonts w:ascii="Garamond" w:hAnsi="Garamond"/>
          <w:sz w:val="24"/>
          <w:szCs w:val="24"/>
        </w:rPr>
        <w:t>ë</w:t>
      </w:r>
      <w:r w:rsidRPr="00DC66CD">
        <w:rPr>
          <w:rFonts w:ascii="Garamond" w:hAnsi="Garamond"/>
          <w:sz w:val="24"/>
          <w:szCs w:val="24"/>
        </w:rPr>
        <w:t xml:space="preserve"> </w:t>
      </w:r>
      <w:r w:rsidR="00310FDE" w:rsidRPr="00DC66CD">
        <w:rPr>
          <w:rFonts w:ascii="Garamond" w:hAnsi="Garamond"/>
          <w:sz w:val="24"/>
          <w:szCs w:val="24"/>
        </w:rPr>
        <w:t>e</w:t>
      </w:r>
      <w:r w:rsidRPr="00DC66CD">
        <w:rPr>
          <w:rFonts w:ascii="Garamond" w:hAnsi="Garamond"/>
          <w:sz w:val="24"/>
          <w:szCs w:val="24"/>
        </w:rPr>
        <w:t>uro</w:t>
      </w:r>
      <w:r w:rsidR="00812CBB" w:rsidRPr="00DC66CD">
        <w:rPr>
          <w:rFonts w:ascii="Garamond" w:hAnsi="Garamond"/>
          <w:sz w:val="24"/>
          <w:szCs w:val="24"/>
        </w:rPr>
        <w:t>sh</w:t>
      </w:r>
      <w:r w:rsidRPr="00DC66CD">
        <w:rPr>
          <w:rFonts w:ascii="Garamond" w:hAnsi="Garamond"/>
          <w:sz w:val="24"/>
          <w:szCs w:val="24"/>
        </w:rPr>
        <w:t xml:space="preserve"> në rrjetin </w:t>
      </w:r>
      <w:r w:rsidRPr="00DC66CD">
        <w:rPr>
          <w:rFonts w:ascii="Garamond" w:hAnsi="Garamond"/>
          <w:i/>
          <w:sz w:val="24"/>
          <w:szCs w:val="24"/>
        </w:rPr>
        <w:t>broadband</w:t>
      </w:r>
      <w:r w:rsidRPr="00DC66CD">
        <w:rPr>
          <w:rFonts w:ascii="Garamond" w:hAnsi="Garamond"/>
          <w:sz w:val="24"/>
          <w:szCs w:val="24"/>
        </w:rPr>
        <w:t xml:space="preserve">, do të rezultonte në një vlerë të shtuar bruto shtesë, deri në 0.9% në rastin e Shqipërisë. Përveç kësaj, investimet në rrjetin </w:t>
      </w:r>
      <w:r w:rsidRPr="00DC66CD">
        <w:rPr>
          <w:rFonts w:ascii="Garamond" w:hAnsi="Garamond"/>
          <w:i/>
          <w:sz w:val="24"/>
          <w:szCs w:val="24"/>
        </w:rPr>
        <w:t>broadband</w:t>
      </w:r>
      <w:r w:rsidRPr="00DC66CD">
        <w:rPr>
          <w:rFonts w:ascii="Garamond" w:hAnsi="Garamond"/>
          <w:sz w:val="24"/>
          <w:szCs w:val="24"/>
        </w:rPr>
        <w:t xml:space="preserve"> do të përmirësojnë prodhimin në përgjithësi, pasi efektet relative mbi </w:t>
      </w:r>
      <w:r w:rsidR="00812CBB" w:rsidRPr="00DC66CD">
        <w:rPr>
          <w:rFonts w:ascii="Garamond" w:hAnsi="Garamond"/>
          <w:sz w:val="24"/>
          <w:szCs w:val="24"/>
        </w:rPr>
        <w:t xml:space="preserve">vlerën e shtuar bruto </w:t>
      </w:r>
      <w:r w:rsidRPr="00DC66CD">
        <w:rPr>
          <w:rFonts w:ascii="Garamond" w:hAnsi="Garamond"/>
          <w:sz w:val="24"/>
          <w:szCs w:val="24"/>
        </w:rPr>
        <w:t xml:space="preserve">tejkalojnë efektet në punësim. Duke shtuar përfitimet ekonomike dhe vendet e reja të punës, investimet në rrjetin </w:t>
      </w:r>
      <w:r w:rsidRPr="00DC66CD">
        <w:rPr>
          <w:rFonts w:ascii="Garamond" w:hAnsi="Garamond"/>
          <w:i/>
          <w:sz w:val="24"/>
          <w:szCs w:val="24"/>
        </w:rPr>
        <w:t>broadband</w:t>
      </w:r>
      <w:r w:rsidRPr="00DC66CD">
        <w:rPr>
          <w:rFonts w:ascii="Garamond" w:hAnsi="Garamond"/>
          <w:sz w:val="24"/>
          <w:szCs w:val="24"/>
        </w:rPr>
        <w:t xml:space="preserve"> jo vetëm japin përfitime ekonomike, por</w:t>
      </w:r>
      <w:r w:rsidR="00812CBB" w:rsidRPr="00DC66CD">
        <w:rPr>
          <w:rFonts w:ascii="Garamond" w:hAnsi="Garamond"/>
          <w:sz w:val="24"/>
          <w:szCs w:val="24"/>
        </w:rPr>
        <w:t>,</w:t>
      </w:r>
      <w:r w:rsidRPr="00DC66CD">
        <w:rPr>
          <w:rFonts w:ascii="Garamond" w:hAnsi="Garamond"/>
          <w:sz w:val="24"/>
          <w:szCs w:val="24"/>
        </w:rPr>
        <w:t xml:space="preserve"> gjithashtu</w:t>
      </w:r>
      <w:r w:rsidR="00812CBB" w:rsidRPr="00DC66CD">
        <w:rPr>
          <w:rFonts w:ascii="Garamond" w:hAnsi="Garamond"/>
          <w:sz w:val="24"/>
          <w:szCs w:val="24"/>
        </w:rPr>
        <w:t>,</w:t>
      </w:r>
      <w:r w:rsidRPr="00DC66CD">
        <w:rPr>
          <w:rFonts w:ascii="Garamond" w:hAnsi="Garamond"/>
          <w:sz w:val="24"/>
          <w:szCs w:val="24"/>
        </w:rPr>
        <w:t xml:space="preserve"> promovojnë stabilitet politik, si dhe cilësi më të lartë të shërbimeve publike. Reforma krijon mundësinë e adresimit të çështjeve gjinore në TIK</w:t>
      </w:r>
      <w:r w:rsidR="00812CBB" w:rsidRPr="00DC66CD">
        <w:rPr>
          <w:rFonts w:ascii="Garamond" w:hAnsi="Garamond"/>
          <w:sz w:val="24"/>
          <w:szCs w:val="24"/>
        </w:rPr>
        <w:t>,</w:t>
      </w:r>
      <w:r w:rsidRPr="00DC66CD">
        <w:rPr>
          <w:rFonts w:ascii="Garamond" w:hAnsi="Garamond"/>
          <w:sz w:val="24"/>
          <w:szCs w:val="24"/>
        </w:rPr>
        <w:t xml:space="preserve"> nëpërmjet rritjes së mundësive të femrave si punonjëse </w:t>
      </w:r>
      <w:r w:rsidRPr="00DC66CD">
        <w:rPr>
          <w:rFonts w:ascii="Garamond" w:hAnsi="Garamond"/>
          <w:i/>
          <w:sz w:val="24"/>
          <w:szCs w:val="24"/>
        </w:rPr>
        <w:t>online</w:t>
      </w:r>
      <w:r w:rsidRPr="00DC66CD">
        <w:rPr>
          <w:rFonts w:ascii="Garamond" w:hAnsi="Garamond"/>
          <w:sz w:val="24"/>
          <w:szCs w:val="24"/>
        </w:rPr>
        <w:t xml:space="preserve"> nga shtëpia në zonat e largëta dhe rurale.</w:t>
      </w:r>
    </w:p>
    <w:p w14:paraId="542DAFB7" w14:textId="5E1EFC90" w:rsidR="006F605B" w:rsidRPr="00DC66CD" w:rsidRDefault="00FF12AC" w:rsidP="00FF12A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7. </w:t>
      </w:r>
      <w:r w:rsidR="006F605B" w:rsidRPr="00DC66CD">
        <w:rPr>
          <w:rFonts w:ascii="Garamond" w:hAnsi="Garamond"/>
          <w:color w:val="auto"/>
          <w:sz w:val="24"/>
          <w:szCs w:val="24"/>
        </w:rPr>
        <w:t>Ndikimi i pritshëm në mjedis</w:t>
      </w:r>
    </w:p>
    <w:p w14:paraId="77BAF2F1" w14:textId="029DCBC3"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Reforma nuk pritet t</w:t>
      </w:r>
      <w:r w:rsidR="008B5731">
        <w:rPr>
          <w:rFonts w:ascii="Garamond" w:hAnsi="Garamond"/>
          <w:sz w:val="24"/>
          <w:szCs w:val="24"/>
        </w:rPr>
        <w:t>ë</w:t>
      </w:r>
      <w:r w:rsidRPr="00DC66CD">
        <w:rPr>
          <w:rFonts w:ascii="Garamond" w:hAnsi="Garamond"/>
          <w:sz w:val="24"/>
          <w:szCs w:val="24"/>
        </w:rPr>
        <w:t xml:space="preserve"> ketë ndikim në mjedis.</w:t>
      </w:r>
    </w:p>
    <w:p w14:paraId="5A3A2EDD" w14:textId="7AF99664" w:rsidR="006F605B" w:rsidRPr="00DC66CD" w:rsidRDefault="00FF12AC" w:rsidP="00FF12A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8. </w:t>
      </w:r>
      <w:r w:rsidR="006F605B" w:rsidRPr="00DC66CD">
        <w:rPr>
          <w:rFonts w:ascii="Garamond" w:hAnsi="Garamond"/>
          <w:color w:val="auto"/>
          <w:sz w:val="24"/>
          <w:szCs w:val="24"/>
        </w:rPr>
        <w:t>Rreziqet e mundshme</w:t>
      </w:r>
    </w:p>
    <w:p w14:paraId="0524AF8D"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1542"/>
        <w:gridCol w:w="4063"/>
      </w:tblGrid>
      <w:tr w:rsidR="006F605B" w:rsidRPr="00DC66CD" w14:paraId="674552D5" w14:textId="77777777" w:rsidTr="004F4E33">
        <w:trPr>
          <w:jc w:val="center"/>
        </w:trPr>
        <w:tc>
          <w:tcPr>
            <w:tcW w:w="3823" w:type="dxa"/>
            <w:vAlign w:val="center"/>
          </w:tcPr>
          <w:p w14:paraId="6B6F70D6"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1559" w:type="dxa"/>
            <w:vAlign w:val="center"/>
          </w:tcPr>
          <w:p w14:paraId="5933EB38" w14:textId="77777777" w:rsidR="00812CB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p>
          <w:p w14:paraId="2D48BFEC" w14:textId="37D39A69" w:rsidR="006F605B" w:rsidRPr="00DC66CD" w:rsidRDefault="00F85068" w:rsidP="004F4E33">
            <w:pPr>
              <w:snapToGrid w:val="0"/>
              <w:spacing w:after="0" w:line="240" w:lineRule="auto"/>
              <w:jc w:val="center"/>
              <w:rPr>
                <w:rFonts w:ascii="Garamond" w:hAnsi="Garamond"/>
                <w:b/>
                <w:sz w:val="20"/>
                <w:szCs w:val="20"/>
              </w:rPr>
            </w:pPr>
            <w:r w:rsidRPr="00DC66CD">
              <w:rPr>
                <w:rFonts w:ascii="Garamond" w:hAnsi="Garamond"/>
                <w:b/>
                <w:sz w:val="20"/>
                <w:szCs w:val="20"/>
              </w:rPr>
              <w:t>(i ulët, i lartë)</w:t>
            </w:r>
          </w:p>
        </w:tc>
        <w:tc>
          <w:tcPr>
            <w:tcW w:w="4240" w:type="dxa"/>
            <w:vAlign w:val="center"/>
          </w:tcPr>
          <w:p w14:paraId="5AF79614"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550C54B5" w14:textId="77777777" w:rsidTr="004F4E33">
        <w:trPr>
          <w:jc w:val="center"/>
        </w:trPr>
        <w:tc>
          <w:tcPr>
            <w:tcW w:w="3823" w:type="dxa"/>
          </w:tcPr>
          <w:p w14:paraId="69879FDA" w14:textId="77777777" w:rsidR="006F605B" w:rsidRPr="00DC66CD" w:rsidRDefault="006F605B" w:rsidP="00FF12AC">
            <w:pPr>
              <w:snapToGrid w:val="0"/>
              <w:spacing w:after="0" w:line="240" w:lineRule="auto"/>
              <w:rPr>
                <w:rFonts w:ascii="Garamond" w:hAnsi="Garamond"/>
                <w:sz w:val="20"/>
                <w:szCs w:val="20"/>
              </w:rPr>
            </w:pPr>
            <w:r w:rsidRPr="00DC66CD">
              <w:rPr>
                <w:rFonts w:ascii="Garamond" w:hAnsi="Garamond"/>
                <w:sz w:val="20"/>
                <w:szCs w:val="20"/>
              </w:rPr>
              <w:t>Infrastruktura digjitale dhe infrastrukturat e tjera, të tilla si projektet e transportit dhe energjisë kanë nevojë të koordinohen në mënyrë që të përfitohet nga sinergjia dhe investimet e përbashkëta</w:t>
            </w:r>
          </w:p>
        </w:tc>
        <w:tc>
          <w:tcPr>
            <w:tcW w:w="1559" w:type="dxa"/>
          </w:tcPr>
          <w:p w14:paraId="130C4C4F" w14:textId="77777777" w:rsidR="006F605B" w:rsidRPr="00DC66CD" w:rsidRDefault="006F605B" w:rsidP="00812CBB">
            <w:pPr>
              <w:snapToGrid w:val="0"/>
              <w:spacing w:after="0" w:line="240" w:lineRule="auto"/>
              <w:jc w:val="center"/>
              <w:rPr>
                <w:rFonts w:ascii="Garamond" w:hAnsi="Garamond"/>
                <w:sz w:val="20"/>
                <w:szCs w:val="20"/>
              </w:rPr>
            </w:pPr>
            <w:r w:rsidRPr="00DC66CD">
              <w:rPr>
                <w:rFonts w:ascii="Garamond" w:hAnsi="Garamond"/>
                <w:sz w:val="20"/>
                <w:szCs w:val="20"/>
              </w:rPr>
              <w:t>15%</w:t>
            </w:r>
          </w:p>
        </w:tc>
        <w:tc>
          <w:tcPr>
            <w:tcW w:w="4240" w:type="dxa"/>
          </w:tcPr>
          <w:p w14:paraId="59D82B92" w14:textId="77777777" w:rsidR="006F605B" w:rsidRPr="00DC66CD" w:rsidRDefault="006F605B" w:rsidP="00FF12AC">
            <w:pPr>
              <w:snapToGrid w:val="0"/>
              <w:spacing w:after="0" w:line="240" w:lineRule="auto"/>
              <w:rPr>
                <w:rFonts w:ascii="Garamond" w:hAnsi="Garamond"/>
                <w:sz w:val="20"/>
                <w:szCs w:val="20"/>
              </w:rPr>
            </w:pPr>
            <w:r w:rsidRPr="00DC66CD">
              <w:rPr>
                <w:rFonts w:ascii="Garamond" w:hAnsi="Garamond"/>
                <w:sz w:val="20"/>
                <w:szCs w:val="20"/>
              </w:rPr>
              <w:t>Monitorim, raportim dhe bashkëpunim i ngushtë i vazhdueshëm midis grupeve të interesit</w:t>
            </w:r>
          </w:p>
        </w:tc>
      </w:tr>
      <w:tr w:rsidR="006F605B" w:rsidRPr="00DC66CD" w14:paraId="02D92A02" w14:textId="77777777" w:rsidTr="004F4E33">
        <w:trPr>
          <w:jc w:val="center"/>
        </w:trPr>
        <w:tc>
          <w:tcPr>
            <w:tcW w:w="3823" w:type="dxa"/>
          </w:tcPr>
          <w:p w14:paraId="551A8755" w14:textId="77777777" w:rsidR="006F605B" w:rsidRPr="00DC66CD" w:rsidRDefault="006F605B" w:rsidP="00FF12AC">
            <w:pPr>
              <w:snapToGrid w:val="0"/>
              <w:spacing w:after="0" w:line="240" w:lineRule="auto"/>
              <w:rPr>
                <w:rFonts w:ascii="Garamond" w:hAnsi="Garamond"/>
                <w:sz w:val="20"/>
                <w:szCs w:val="20"/>
              </w:rPr>
            </w:pPr>
            <w:r w:rsidRPr="00DC66CD">
              <w:rPr>
                <w:rFonts w:ascii="Garamond" w:hAnsi="Garamond"/>
                <w:sz w:val="20"/>
                <w:szCs w:val="20"/>
              </w:rPr>
              <w:t>Mungesa e bashkëpunimit midis aktorëve të ndryshëm të përfshirë në këtë proces është një nga vështirësitë e identifikuara në këtë sektor</w:t>
            </w:r>
          </w:p>
        </w:tc>
        <w:tc>
          <w:tcPr>
            <w:tcW w:w="1559" w:type="dxa"/>
          </w:tcPr>
          <w:p w14:paraId="75C6B113" w14:textId="77777777" w:rsidR="006F605B" w:rsidRPr="00DC66CD" w:rsidRDefault="006F605B" w:rsidP="00812CBB">
            <w:pPr>
              <w:snapToGrid w:val="0"/>
              <w:spacing w:after="0" w:line="240" w:lineRule="auto"/>
              <w:jc w:val="center"/>
              <w:rPr>
                <w:rFonts w:ascii="Garamond" w:hAnsi="Garamond"/>
                <w:sz w:val="20"/>
                <w:szCs w:val="20"/>
              </w:rPr>
            </w:pPr>
            <w:r w:rsidRPr="00DC66CD">
              <w:rPr>
                <w:rFonts w:ascii="Garamond" w:hAnsi="Garamond"/>
                <w:sz w:val="20"/>
                <w:szCs w:val="20"/>
              </w:rPr>
              <w:t>15%</w:t>
            </w:r>
          </w:p>
        </w:tc>
        <w:tc>
          <w:tcPr>
            <w:tcW w:w="4240" w:type="dxa"/>
          </w:tcPr>
          <w:p w14:paraId="62842701" w14:textId="77777777" w:rsidR="006F605B" w:rsidRPr="00DC66CD" w:rsidRDefault="006F605B" w:rsidP="00FF12AC">
            <w:pPr>
              <w:snapToGrid w:val="0"/>
              <w:spacing w:after="0" w:line="240" w:lineRule="auto"/>
              <w:rPr>
                <w:rFonts w:ascii="Garamond" w:hAnsi="Garamond"/>
                <w:sz w:val="20"/>
                <w:szCs w:val="20"/>
              </w:rPr>
            </w:pPr>
            <w:r w:rsidRPr="00DC66CD">
              <w:rPr>
                <w:rFonts w:ascii="Garamond" w:hAnsi="Garamond"/>
                <w:sz w:val="20"/>
                <w:szCs w:val="20"/>
              </w:rPr>
              <w:t>Monitorim, raportim dhe bashkëpunim i ngushtë i vazhdueshëm midis grupeve të interesit</w:t>
            </w:r>
          </w:p>
        </w:tc>
      </w:tr>
    </w:tbl>
    <w:p w14:paraId="602D3DA1" w14:textId="77777777" w:rsidR="006F605B" w:rsidRPr="00DC66CD" w:rsidRDefault="006F605B" w:rsidP="006F605B">
      <w:pPr>
        <w:snapToGrid w:val="0"/>
        <w:spacing w:after="0" w:line="240" w:lineRule="auto"/>
        <w:ind w:firstLine="284"/>
        <w:rPr>
          <w:rFonts w:ascii="Garamond" w:hAnsi="Garamond"/>
          <w:sz w:val="24"/>
          <w:szCs w:val="24"/>
        </w:rPr>
      </w:pPr>
    </w:p>
    <w:p w14:paraId="6542C75F" w14:textId="5326798B" w:rsidR="006F605B" w:rsidRPr="00DC66CD" w:rsidRDefault="00603429" w:rsidP="00603429">
      <w:pPr>
        <w:pStyle w:val="TEKSTIIII"/>
        <w:rPr>
          <w:b/>
        </w:rPr>
      </w:pPr>
      <w:bookmarkStart w:id="43" w:name="_Toc484076190"/>
      <w:bookmarkStart w:id="44" w:name="_Toc30661234"/>
      <w:r w:rsidRPr="00DC66CD">
        <w:rPr>
          <w:b/>
        </w:rPr>
        <w:t xml:space="preserve">5.3.5 </w:t>
      </w:r>
      <w:r w:rsidR="006F605B" w:rsidRPr="00DC66CD">
        <w:rPr>
          <w:b/>
        </w:rPr>
        <w:t>Reformat e tregtisë</w:t>
      </w:r>
      <w:bookmarkEnd w:id="43"/>
      <w:bookmarkEnd w:id="44"/>
    </w:p>
    <w:p w14:paraId="4DE7828B" w14:textId="5BCD4399" w:rsidR="006F605B" w:rsidRPr="00DC66CD" w:rsidRDefault="00603429" w:rsidP="00603429">
      <w:pPr>
        <w:pStyle w:val="TEKSTIIII"/>
        <w:rPr>
          <w:i/>
        </w:rPr>
      </w:pPr>
      <w:r w:rsidRPr="00DC66CD">
        <w:rPr>
          <w:i/>
        </w:rPr>
        <w:t xml:space="preserve">a) </w:t>
      </w:r>
      <w:r w:rsidR="006F605B" w:rsidRPr="00DC66CD">
        <w:rPr>
          <w:i/>
        </w:rPr>
        <w:t>Analiza e pengesave kryesore</w:t>
      </w:r>
    </w:p>
    <w:p w14:paraId="4587F213" w14:textId="0109951C" w:rsidR="006F605B" w:rsidRPr="00DC66CD" w:rsidRDefault="006F605B" w:rsidP="006F605B">
      <w:pPr>
        <w:spacing w:after="0" w:line="240" w:lineRule="auto"/>
        <w:ind w:firstLine="284"/>
        <w:jc w:val="both"/>
        <w:rPr>
          <w:rFonts w:ascii="Garamond" w:eastAsia="Times New Roman" w:hAnsi="Garamond"/>
          <w:sz w:val="24"/>
          <w:szCs w:val="24"/>
        </w:rPr>
      </w:pPr>
      <w:r w:rsidRPr="00DC66CD">
        <w:rPr>
          <w:rFonts w:ascii="Garamond" w:eastAsia="Times New Roman" w:hAnsi="Garamond"/>
          <w:color w:val="0D0D0D"/>
          <w:sz w:val="24"/>
          <w:szCs w:val="24"/>
        </w:rPr>
        <w:t>Regjimi tregtar shqiptar nuk ka pësuar ndonjë ndryshim thelbësor dhe ka ruajtur nivelin e tij të përgjithshëm të hapjes gjatë vitit të kaluar. Hapja e tregtisë për vitin 2018, si një aksion për PBB</w:t>
      </w:r>
      <w:r w:rsidR="00D626EA" w:rsidRPr="00DC66CD">
        <w:rPr>
          <w:rFonts w:ascii="Garamond" w:eastAsia="Times New Roman" w:hAnsi="Garamond"/>
          <w:color w:val="0D0D0D"/>
          <w:sz w:val="24"/>
          <w:szCs w:val="24"/>
        </w:rPr>
        <w:t>-në</w:t>
      </w:r>
      <w:r w:rsidRPr="00DC66CD">
        <w:rPr>
          <w:rFonts w:ascii="Garamond" w:eastAsia="Times New Roman" w:hAnsi="Garamond"/>
          <w:color w:val="0D0D0D"/>
          <w:sz w:val="24"/>
          <w:szCs w:val="24"/>
        </w:rPr>
        <w:t>, arriti në 56%, ndërsa koeficienti i mbulimit të eksporteve/importeve tregoi një rritje të lehtë nga 43.6% për 2017 në 48.4% për 2018. Shkëmbimi tregtar shqiptar tregoi një përmirësim gjatë vitit 2018 me një rritje të eksportet me (13.7%) dhe një rritje të vogël të importeve me (2.4%).</w:t>
      </w:r>
    </w:p>
    <w:p w14:paraId="0B5EAC1B" w14:textId="2647E39F" w:rsidR="006F605B" w:rsidRPr="00DC66CD" w:rsidRDefault="006F605B" w:rsidP="006F605B">
      <w:pPr>
        <w:spacing w:after="0" w:line="240" w:lineRule="auto"/>
        <w:ind w:firstLine="284"/>
        <w:jc w:val="both"/>
        <w:rPr>
          <w:rFonts w:ascii="Garamond" w:eastAsia="Times New Roman" w:hAnsi="Garamond"/>
          <w:sz w:val="24"/>
          <w:szCs w:val="24"/>
        </w:rPr>
      </w:pPr>
      <w:r w:rsidRPr="00DC66CD">
        <w:rPr>
          <w:rFonts w:ascii="Garamond" w:eastAsia="Times New Roman" w:hAnsi="Garamond"/>
          <w:color w:val="0D0D0D"/>
          <w:sz w:val="24"/>
          <w:szCs w:val="24"/>
        </w:rPr>
        <w:t>Partnerët kryesorë të BE</w:t>
      </w:r>
      <w:r w:rsidR="00D626EA" w:rsidRPr="00DC66CD">
        <w:rPr>
          <w:rFonts w:ascii="Garamond" w:eastAsia="Times New Roman" w:hAnsi="Garamond"/>
          <w:color w:val="0D0D0D"/>
          <w:sz w:val="24"/>
          <w:szCs w:val="24"/>
        </w:rPr>
        <w:t>-së</w:t>
      </w:r>
      <w:r w:rsidRPr="00DC66CD">
        <w:rPr>
          <w:rFonts w:ascii="Garamond" w:eastAsia="Times New Roman" w:hAnsi="Garamond"/>
          <w:color w:val="0D0D0D"/>
          <w:sz w:val="24"/>
          <w:szCs w:val="24"/>
        </w:rPr>
        <w:t xml:space="preserve"> për eksporte gjatë vitit 2018 ishin Italia dhe Spanja dhe për importet ishin Italia dhe Greqia. Gjatë vitit 2018 eksportet në Itali dhe Spanjë ishin 10.2% dhe 62.9%</w:t>
      </w:r>
      <w:r w:rsidR="00D626EA" w:rsidRPr="00DC66CD">
        <w:rPr>
          <w:rFonts w:ascii="Garamond" w:eastAsia="Times New Roman" w:hAnsi="Garamond"/>
          <w:color w:val="0D0D0D"/>
          <w:sz w:val="24"/>
          <w:szCs w:val="24"/>
        </w:rPr>
        <w:t>,</w:t>
      </w:r>
      <w:r w:rsidRPr="00DC66CD">
        <w:rPr>
          <w:rFonts w:ascii="Garamond" w:eastAsia="Times New Roman" w:hAnsi="Garamond"/>
          <w:color w:val="0D0D0D"/>
          <w:sz w:val="24"/>
          <w:szCs w:val="24"/>
        </w:rPr>
        <w:t xml:space="preserve"> respektivisht i eksportit të përgjithshëm në BE; ndërsa importet nga Italia dhe Greqia ishin përkatësisht 43.7% dhe 13% e totalit të importeve nga BE. Eksportet për në Itali në vitin 2018, krahasuar me një vit më parë, u rritën me 2.1% dhe importet u ulën me 2.2%; ndërsa eksportet në Spanjë në 2018, krahasuar me të njëjtën periudhë të vitit 2017, u rritën me 61.3% dhe importet nga Greqia u rritën me 4.5%.</w:t>
      </w:r>
    </w:p>
    <w:p w14:paraId="49FD3C2F" w14:textId="45C1BF99" w:rsidR="006F605B" w:rsidRPr="00DC66CD" w:rsidRDefault="006F605B" w:rsidP="006F605B">
      <w:pPr>
        <w:spacing w:after="0" w:line="240" w:lineRule="auto"/>
        <w:ind w:firstLine="284"/>
        <w:jc w:val="both"/>
        <w:rPr>
          <w:rFonts w:ascii="Garamond" w:eastAsia="Times New Roman" w:hAnsi="Garamond"/>
          <w:sz w:val="24"/>
          <w:szCs w:val="24"/>
        </w:rPr>
      </w:pPr>
      <w:r w:rsidRPr="00DC66CD">
        <w:rPr>
          <w:rFonts w:ascii="Garamond" w:eastAsia="Times New Roman" w:hAnsi="Garamond"/>
          <w:color w:val="0D0D0D"/>
          <w:sz w:val="24"/>
          <w:szCs w:val="24"/>
        </w:rPr>
        <w:t>Për më tepër, për integrim më të mirë dhe më të madh në tregjet rajonale, me synimin për të rritur pjesën e eksportit në rajon, për të adresuar më mirë pengesat në tregtinë dhe diversifikimin e eksporteve</w:t>
      </w:r>
      <w:r w:rsidR="00772573" w:rsidRPr="00DC66CD">
        <w:rPr>
          <w:rFonts w:ascii="Garamond" w:eastAsia="Times New Roman" w:hAnsi="Garamond"/>
          <w:color w:val="0D0D0D"/>
          <w:sz w:val="24"/>
          <w:szCs w:val="24"/>
        </w:rPr>
        <w:t>,</w:t>
      </w:r>
      <w:r w:rsidRPr="00DC66CD">
        <w:rPr>
          <w:rFonts w:ascii="Garamond" w:eastAsia="Times New Roman" w:hAnsi="Garamond"/>
          <w:color w:val="0D0D0D"/>
          <w:sz w:val="24"/>
          <w:szCs w:val="24"/>
        </w:rPr>
        <w:t xml:space="preserve"> do të prezantohet një qasje gjithëpërfshirëse në zbatimin e njëkohësisht të masave kombëtare dhe rajonale në fusha e lehtësimit të tregtisë. Për këtë arsye</w:t>
      </w:r>
      <w:r w:rsidR="00772573" w:rsidRPr="00DC66CD">
        <w:rPr>
          <w:rFonts w:ascii="Garamond" w:eastAsia="Times New Roman" w:hAnsi="Garamond"/>
          <w:color w:val="0D0D0D"/>
          <w:sz w:val="24"/>
          <w:szCs w:val="24"/>
        </w:rPr>
        <w:t>,</w:t>
      </w:r>
      <w:r w:rsidRPr="00DC66CD">
        <w:rPr>
          <w:rFonts w:ascii="Garamond" w:eastAsia="Times New Roman" w:hAnsi="Garamond"/>
          <w:color w:val="0D0D0D"/>
          <w:sz w:val="24"/>
          <w:szCs w:val="24"/>
        </w:rPr>
        <w:t xml:space="preserve"> në përputhje me rekomandimet e treguesit të tregtisë së OECD</w:t>
      </w:r>
      <w:r w:rsidR="00D626EA" w:rsidRPr="00DC66CD">
        <w:rPr>
          <w:rFonts w:ascii="Garamond" w:eastAsia="Times New Roman" w:hAnsi="Garamond"/>
          <w:color w:val="0D0D0D"/>
          <w:sz w:val="24"/>
          <w:szCs w:val="24"/>
        </w:rPr>
        <w:t>-së</w:t>
      </w:r>
      <w:r w:rsidRPr="00DC66CD">
        <w:rPr>
          <w:rFonts w:ascii="Garamond" w:eastAsia="Times New Roman" w:hAnsi="Garamond"/>
          <w:color w:val="0D0D0D"/>
          <w:sz w:val="24"/>
          <w:szCs w:val="24"/>
        </w:rPr>
        <w:t xml:space="preserve"> për </w:t>
      </w:r>
      <w:r w:rsidR="00D626EA" w:rsidRPr="00DC66CD">
        <w:rPr>
          <w:rFonts w:ascii="Garamond" w:eastAsia="Times New Roman" w:hAnsi="Garamond"/>
          <w:color w:val="0D0D0D"/>
          <w:sz w:val="24"/>
          <w:szCs w:val="24"/>
        </w:rPr>
        <w:t xml:space="preserve">konkurrencën </w:t>
      </w:r>
      <w:r w:rsidRPr="00DC66CD">
        <w:rPr>
          <w:rFonts w:ascii="Garamond" w:eastAsia="Times New Roman" w:hAnsi="Garamond"/>
          <w:color w:val="0D0D0D"/>
          <w:sz w:val="24"/>
          <w:szCs w:val="24"/>
        </w:rPr>
        <w:t xml:space="preserve">2018 dhe </w:t>
      </w:r>
      <w:r w:rsidR="00D626EA" w:rsidRPr="00DC66CD">
        <w:rPr>
          <w:rFonts w:ascii="Garamond" w:eastAsia="Times New Roman" w:hAnsi="Garamond"/>
          <w:color w:val="0D0D0D"/>
          <w:sz w:val="24"/>
          <w:szCs w:val="24"/>
        </w:rPr>
        <w:t>“</w:t>
      </w:r>
      <w:r w:rsidRPr="00DC66CD">
        <w:rPr>
          <w:rFonts w:ascii="Garamond" w:eastAsia="Times New Roman" w:hAnsi="Garamond"/>
          <w:color w:val="0D0D0D"/>
          <w:sz w:val="24"/>
          <w:szCs w:val="24"/>
        </w:rPr>
        <w:t xml:space="preserve">Strategjinë e </w:t>
      </w:r>
      <w:r w:rsidR="00D626EA" w:rsidRPr="00DC66CD">
        <w:rPr>
          <w:rFonts w:ascii="Garamond" w:eastAsia="Times New Roman" w:hAnsi="Garamond"/>
          <w:color w:val="0D0D0D"/>
          <w:sz w:val="24"/>
          <w:szCs w:val="24"/>
        </w:rPr>
        <w:t>zhvillimit të biznesit dhe investimeve”,</w:t>
      </w:r>
      <w:r w:rsidRPr="00DC66CD">
        <w:rPr>
          <w:rFonts w:ascii="Garamond" w:eastAsia="Times New Roman" w:hAnsi="Garamond"/>
          <w:color w:val="0D0D0D"/>
          <w:sz w:val="24"/>
          <w:szCs w:val="24"/>
        </w:rPr>
        <w:t xml:space="preserve"> </w:t>
      </w:r>
      <w:r w:rsidR="00433A3A" w:rsidRPr="00DC66CD">
        <w:rPr>
          <w:rFonts w:ascii="Garamond" w:eastAsia="Times New Roman" w:hAnsi="Garamond"/>
          <w:color w:val="0D0D0D"/>
          <w:sz w:val="24"/>
          <w:szCs w:val="24"/>
        </w:rPr>
        <w:t>2014–</w:t>
      </w:r>
      <w:r w:rsidRPr="00DC66CD">
        <w:rPr>
          <w:rFonts w:ascii="Garamond" w:eastAsia="Times New Roman" w:hAnsi="Garamond"/>
          <w:color w:val="0D0D0D"/>
          <w:sz w:val="24"/>
          <w:szCs w:val="24"/>
        </w:rPr>
        <w:t>2020, është iniciuar një strategji e vetme dhe një plan veprimi për të përmirësuar performancën tregtare të vendit. Është ngritur një grup pune brenda Ministrisë së Financave dhe Ekonomisë, për të analizuar dhe identifikuar sektorët dhe produktet specifike që kanë potencial për t</w:t>
      </w:r>
      <w:r w:rsidR="002C582E" w:rsidRPr="00DC66CD">
        <w:rPr>
          <w:rFonts w:ascii="Garamond" w:eastAsia="Times New Roman" w:hAnsi="Garamond"/>
          <w:color w:val="0D0D0D"/>
          <w:sz w:val="24"/>
          <w:szCs w:val="24"/>
        </w:rPr>
        <w:t>’</w:t>
      </w:r>
      <w:r w:rsidRPr="00DC66CD">
        <w:rPr>
          <w:rFonts w:ascii="Garamond" w:eastAsia="Times New Roman" w:hAnsi="Garamond"/>
          <w:color w:val="0D0D0D"/>
          <w:sz w:val="24"/>
          <w:szCs w:val="24"/>
        </w:rPr>
        <w:t>u eksportuar. Ky dokument do të shërbejë si bazë për prezantimin e masave të reja për vitet e ardhshme. Bazuar në analizën dhe inputet në bashkëpunim me sektorin e biznesit</w:t>
      </w:r>
      <w:r w:rsidR="00772573" w:rsidRPr="00DC66CD">
        <w:rPr>
          <w:rFonts w:ascii="Garamond" w:eastAsia="Times New Roman" w:hAnsi="Garamond"/>
          <w:color w:val="0D0D0D"/>
          <w:sz w:val="24"/>
          <w:szCs w:val="24"/>
        </w:rPr>
        <w:t>,</w:t>
      </w:r>
      <w:r w:rsidRPr="00DC66CD">
        <w:rPr>
          <w:rFonts w:ascii="Garamond" w:eastAsia="Times New Roman" w:hAnsi="Garamond"/>
          <w:color w:val="0D0D0D"/>
          <w:sz w:val="24"/>
          <w:szCs w:val="24"/>
        </w:rPr>
        <w:t xml:space="preserve"> një seri rekomandimesh dhe plani i veprimit do të përgatiten dhe do t</w:t>
      </w:r>
      <w:r w:rsidR="002C582E" w:rsidRPr="00DC66CD">
        <w:rPr>
          <w:rFonts w:ascii="Garamond" w:eastAsia="Times New Roman" w:hAnsi="Garamond"/>
          <w:color w:val="0D0D0D"/>
          <w:sz w:val="24"/>
          <w:szCs w:val="24"/>
        </w:rPr>
        <w:t>’</w:t>
      </w:r>
      <w:r w:rsidRPr="00DC66CD">
        <w:rPr>
          <w:rFonts w:ascii="Garamond" w:eastAsia="Times New Roman" w:hAnsi="Garamond"/>
          <w:color w:val="0D0D0D"/>
          <w:sz w:val="24"/>
          <w:szCs w:val="24"/>
        </w:rPr>
        <w:t>u shpërndahen palëve të interesuara për zbatim.</w:t>
      </w:r>
    </w:p>
    <w:p w14:paraId="12FAAFA4" w14:textId="14CB79CD" w:rsidR="006F605B" w:rsidRPr="00DC66CD" w:rsidRDefault="006F605B" w:rsidP="006F605B">
      <w:pPr>
        <w:spacing w:after="0" w:line="240" w:lineRule="auto"/>
        <w:ind w:firstLine="284"/>
        <w:jc w:val="both"/>
        <w:rPr>
          <w:rFonts w:ascii="Garamond" w:eastAsia="Times New Roman" w:hAnsi="Garamond"/>
          <w:sz w:val="24"/>
          <w:szCs w:val="24"/>
        </w:rPr>
      </w:pPr>
      <w:r w:rsidRPr="00DC66CD">
        <w:rPr>
          <w:rFonts w:ascii="Garamond" w:eastAsia="Times New Roman" w:hAnsi="Garamond"/>
          <w:color w:val="0D0D0D"/>
          <w:sz w:val="24"/>
          <w:szCs w:val="24"/>
        </w:rPr>
        <w:t>Shqipëria mbetet shumë e përkushtuar për forcimin e kapaciteteve të Komitetit Kombëtar të Lehtësimit të</w:t>
      </w:r>
      <w:r w:rsidRPr="00DC66CD">
        <w:rPr>
          <w:rFonts w:ascii="Garamond" w:eastAsia="Times New Roman" w:hAnsi="Garamond"/>
          <w:sz w:val="24"/>
          <w:szCs w:val="24"/>
        </w:rPr>
        <w:t xml:space="preserve"> Tregtisë. Për këtë qëllim, janë krijuar dy grupe pune </w:t>
      </w:r>
      <w:r w:rsidRPr="00DC66CD">
        <w:rPr>
          <w:rFonts w:ascii="Garamond" w:eastAsia="Times New Roman" w:hAnsi="Garamond"/>
          <w:i/>
          <w:sz w:val="24"/>
          <w:szCs w:val="24"/>
        </w:rPr>
        <w:t xml:space="preserve">ad hoc </w:t>
      </w:r>
      <w:r w:rsidRPr="00DC66CD">
        <w:rPr>
          <w:rFonts w:ascii="Garamond" w:eastAsia="Times New Roman" w:hAnsi="Garamond"/>
          <w:sz w:val="24"/>
          <w:szCs w:val="24"/>
        </w:rPr>
        <w:t>që përqendrohen në zvogëlimin dhe/ose eliminimin e tarifave dhe pagesave për importe dhe eksporte aty ku është e nevojshme dhe njohja e përbashkët e dokumenteve dhe certifikatave fitosanitare në mënyrë bilaterale me palët CEFTA</w:t>
      </w:r>
      <w:r w:rsidR="00772573" w:rsidRPr="00DC66CD">
        <w:rPr>
          <w:rFonts w:ascii="Garamond" w:eastAsia="Times New Roman" w:hAnsi="Garamond"/>
          <w:sz w:val="24"/>
          <w:szCs w:val="24"/>
        </w:rPr>
        <w:t>.</w:t>
      </w:r>
      <w:r w:rsidRPr="00DC66CD">
        <w:rPr>
          <w:rFonts w:ascii="Garamond" w:eastAsia="Times New Roman" w:hAnsi="Garamond"/>
          <w:sz w:val="24"/>
          <w:szCs w:val="24"/>
        </w:rPr>
        <w:t xml:space="preserve"> Forcimi i kapacitetit administrativ dhe stafit të kualifikuar për tregti mbetet një sfidë.</w:t>
      </w:r>
    </w:p>
    <w:p w14:paraId="3630F4E1" w14:textId="78F2117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color w:val="0D0D0D"/>
          <w:sz w:val="24"/>
          <w:szCs w:val="24"/>
        </w:rPr>
        <w:t>Masat që janë futur në ERP</w:t>
      </w:r>
      <w:r w:rsidR="00D626EA" w:rsidRPr="00DC66CD">
        <w:rPr>
          <w:rFonts w:ascii="Garamond" w:eastAsia="Times New Roman" w:hAnsi="Garamond"/>
          <w:color w:val="0D0D0D"/>
          <w:sz w:val="24"/>
          <w:szCs w:val="24"/>
        </w:rPr>
        <w:t>,</w:t>
      </w:r>
      <w:r w:rsidRPr="00DC66CD">
        <w:rPr>
          <w:rFonts w:ascii="Garamond" w:eastAsia="Times New Roman" w:hAnsi="Garamond"/>
          <w:color w:val="0D0D0D"/>
          <w:sz w:val="24"/>
          <w:szCs w:val="24"/>
        </w:rPr>
        <w:t xml:space="preserve"> </w:t>
      </w:r>
      <w:r w:rsidR="00433A3A" w:rsidRPr="00DC66CD">
        <w:rPr>
          <w:rFonts w:ascii="Garamond" w:eastAsia="Times New Roman" w:hAnsi="Garamond"/>
          <w:color w:val="0D0D0D"/>
          <w:sz w:val="24"/>
          <w:szCs w:val="24"/>
        </w:rPr>
        <w:t>2019–</w:t>
      </w:r>
      <w:r w:rsidRPr="00DC66CD">
        <w:rPr>
          <w:rFonts w:ascii="Garamond" w:eastAsia="Times New Roman" w:hAnsi="Garamond"/>
          <w:color w:val="0D0D0D"/>
          <w:sz w:val="24"/>
          <w:szCs w:val="24"/>
        </w:rPr>
        <w:t>2021</w:t>
      </w:r>
      <w:r w:rsidR="00772573" w:rsidRPr="00DC66CD">
        <w:rPr>
          <w:rFonts w:ascii="Garamond" w:eastAsia="Times New Roman" w:hAnsi="Garamond"/>
          <w:color w:val="0D0D0D"/>
          <w:sz w:val="24"/>
          <w:szCs w:val="24"/>
        </w:rPr>
        <w:t>,</w:t>
      </w:r>
      <w:r w:rsidRPr="00DC66CD">
        <w:rPr>
          <w:rFonts w:ascii="Garamond" w:eastAsia="Times New Roman" w:hAnsi="Garamond"/>
          <w:color w:val="0D0D0D"/>
          <w:sz w:val="24"/>
          <w:szCs w:val="24"/>
        </w:rPr>
        <w:t xml:space="preserve"> të cilat janë në përputhje me MAP REA dhe synojnë uljen e kostove dhe kohën e procedurave të tregtisë ndërkufitare, do të vazhdojnë të zbatohen. Për më tepër, për të zbatuar angazhimet që rrjedhin nga </w:t>
      </w:r>
      <w:r w:rsidR="00D626EA" w:rsidRPr="00DC66CD">
        <w:rPr>
          <w:rFonts w:ascii="Garamond" w:eastAsia="Times New Roman" w:hAnsi="Garamond"/>
          <w:color w:val="0D0D0D"/>
          <w:sz w:val="24"/>
          <w:szCs w:val="24"/>
        </w:rPr>
        <w:t xml:space="preserve">protokolli </w:t>
      </w:r>
      <w:r w:rsidRPr="00DC66CD">
        <w:rPr>
          <w:rFonts w:ascii="Garamond" w:eastAsia="Times New Roman" w:hAnsi="Garamond"/>
          <w:color w:val="0D0D0D"/>
          <w:sz w:val="24"/>
          <w:szCs w:val="24"/>
        </w:rPr>
        <w:t>shtesë 5, në nivelin rajonal, përparësia më e lartë do t</w:t>
      </w:r>
      <w:r w:rsidR="002C582E" w:rsidRPr="00DC66CD">
        <w:rPr>
          <w:rFonts w:ascii="Garamond" w:eastAsia="Times New Roman" w:hAnsi="Garamond"/>
          <w:color w:val="0D0D0D"/>
          <w:sz w:val="24"/>
          <w:szCs w:val="24"/>
        </w:rPr>
        <w:t>’</w:t>
      </w:r>
      <w:r w:rsidRPr="00DC66CD">
        <w:rPr>
          <w:rFonts w:ascii="Garamond" w:eastAsia="Times New Roman" w:hAnsi="Garamond"/>
          <w:color w:val="0D0D0D"/>
          <w:sz w:val="24"/>
          <w:szCs w:val="24"/>
        </w:rPr>
        <w:t>i jepet përgatitjeve të sigurimit të zbatimit të njohjes së ndërsjellë të dokumenteve kufitare dhe operatorit të autorizuar ekonomik</w:t>
      </w:r>
      <w:r w:rsidRPr="00DC66CD">
        <w:rPr>
          <w:rFonts w:ascii="Garamond" w:hAnsi="Garamond"/>
          <w:sz w:val="24"/>
          <w:szCs w:val="24"/>
        </w:rPr>
        <w:t>.</w:t>
      </w:r>
    </w:p>
    <w:p w14:paraId="20162CBA" w14:textId="26CF5E44" w:rsidR="006F605B" w:rsidRPr="00DC66CD" w:rsidRDefault="00030AD5" w:rsidP="00030AD5">
      <w:pPr>
        <w:pStyle w:val="Heading4"/>
        <w:keepNext w:val="0"/>
        <w:keepLines w:val="0"/>
        <w:widowControl w:val="0"/>
        <w:snapToGrid w:val="0"/>
        <w:spacing w:before="0" w:line="240" w:lineRule="auto"/>
        <w:ind w:left="284"/>
        <w:rPr>
          <w:rFonts w:ascii="Garamond" w:hAnsi="Garamond"/>
          <w:b w:val="0"/>
          <w:i w:val="0"/>
          <w:color w:val="auto"/>
          <w:sz w:val="24"/>
          <w:szCs w:val="24"/>
        </w:rPr>
      </w:pPr>
      <w:r w:rsidRPr="00DC66CD">
        <w:rPr>
          <w:rFonts w:ascii="Garamond" w:hAnsi="Garamond"/>
          <w:b w:val="0"/>
          <w:i w:val="0"/>
          <w:color w:val="auto"/>
          <w:sz w:val="24"/>
          <w:szCs w:val="24"/>
        </w:rPr>
        <w:t xml:space="preserve">a) </w:t>
      </w:r>
      <w:r w:rsidR="006F605B" w:rsidRPr="00DC66CD">
        <w:rPr>
          <w:rFonts w:ascii="Garamond" w:hAnsi="Garamond"/>
          <w:b w:val="0"/>
          <w:i w:val="0"/>
          <w:color w:val="auto"/>
          <w:sz w:val="24"/>
          <w:szCs w:val="24"/>
        </w:rPr>
        <w:t>Masat e reformave</w:t>
      </w:r>
    </w:p>
    <w:p w14:paraId="07D4FEAE" w14:textId="77777777" w:rsidR="00030AD5" w:rsidRPr="00DC66CD" w:rsidRDefault="006F605B" w:rsidP="00030AD5">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13: Lehtësimi i lë</w:t>
      </w:r>
      <w:r w:rsidR="00030AD5" w:rsidRPr="00DC66CD">
        <w:rPr>
          <w:rFonts w:ascii="Garamond" w:hAnsi="Garamond"/>
          <w:i/>
          <w:color w:val="auto"/>
          <w:sz w:val="24"/>
          <w:szCs w:val="24"/>
        </w:rPr>
        <w:t>vizjes ndërkufitare të mallrave</w:t>
      </w:r>
    </w:p>
    <w:p w14:paraId="639F243A" w14:textId="113B1814" w:rsidR="006F605B" w:rsidRPr="00DC66CD" w:rsidRDefault="00030AD5" w:rsidP="00030AD5">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 xml:space="preserve">1. </w:t>
      </w:r>
      <w:r w:rsidR="006F605B" w:rsidRPr="00DC66CD">
        <w:rPr>
          <w:rFonts w:ascii="Garamond" w:hAnsi="Garamond"/>
          <w:i/>
          <w:color w:val="auto"/>
          <w:sz w:val="24"/>
          <w:szCs w:val="24"/>
        </w:rPr>
        <w:t>Përshkrimi</w:t>
      </w:r>
    </w:p>
    <w:p w14:paraId="6B3DAC78" w14:textId="0CC1F4D0" w:rsidR="006F605B" w:rsidRPr="00DC66CD" w:rsidRDefault="006F605B" w:rsidP="006F605B">
      <w:pPr>
        <w:spacing w:after="0" w:line="240" w:lineRule="auto"/>
        <w:ind w:firstLine="284"/>
        <w:jc w:val="both"/>
        <w:rPr>
          <w:rFonts w:ascii="Garamond" w:eastAsia="Times New Roman" w:hAnsi="Garamond"/>
          <w:color w:val="0D0D0D" w:themeColor="text1" w:themeTint="F2"/>
          <w:sz w:val="24"/>
          <w:szCs w:val="24"/>
        </w:rPr>
      </w:pPr>
      <w:r w:rsidRPr="00DC66CD">
        <w:rPr>
          <w:rFonts w:ascii="Garamond" w:eastAsia="Times New Roman" w:hAnsi="Garamond"/>
          <w:color w:val="000000" w:themeColor="text1"/>
          <w:sz w:val="24"/>
          <w:szCs w:val="24"/>
        </w:rPr>
        <w:t xml:space="preserve">Megjithëse Shqipëria renditet e 25-ta në aspektin tregtar përmes kufijve në raportin e </w:t>
      </w:r>
      <w:r w:rsidRPr="00DC66CD">
        <w:rPr>
          <w:rFonts w:ascii="Garamond" w:hAnsi="Garamond"/>
          <w:i/>
          <w:color w:val="0D0D0D" w:themeColor="text1" w:themeTint="F2"/>
          <w:sz w:val="24"/>
          <w:szCs w:val="24"/>
        </w:rPr>
        <w:t>Doing Business 2020</w:t>
      </w:r>
      <w:r w:rsidRPr="00DC66CD">
        <w:rPr>
          <w:rStyle w:val="tlid-translation"/>
          <w:rFonts w:ascii="Garamond" w:hAnsi="Garamond"/>
          <w:sz w:val="24"/>
          <w:szCs w:val="24"/>
        </w:rPr>
        <w:t>, ajo nuk performon mirë në treguesit e tjerë të konkurrencës në raportet e infrastrukturës së tregtisë dhe transportit.</w:t>
      </w:r>
      <w:r w:rsidRPr="00DC66CD">
        <w:rPr>
          <w:rFonts w:ascii="Garamond" w:eastAsia="Times New Roman" w:hAnsi="Garamond"/>
          <w:color w:val="FF0000"/>
          <w:sz w:val="24"/>
          <w:szCs w:val="24"/>
        </w:rPr>
        <w:t xml:space="preserve"> </w:t>
      </w:r>
      <w:r w:rsidRPr="00DC66CD">
        <w:rPr>
          <w:rStyle w:val="tlid-translation"/>
          <w:rFonts w:ascii="Garamond" w:hAnsi="Garamond"/>
          <w:sz w:val="24"/>
          <w:szCs w:val="24"/>
        </w:rPr>
        <w:t>Shqipëria renditet në vendin e 81-të në Indeksin Global të Konkurrencës 2019 nga 141 ekonomi, duke fituar 65.8 pikë nga 100 nën</w:t>
      </w:r>
      <w:r w:rsidR="00D626EA" w:rsidRPr="00DC66CD">
        <w:rPr>
          <w:rStyle w:val="tlid-translation"/>
          <w:rFonts w:ascii="Garamond" w:hAnsi="Garamond"/>
          <w:sz w:val="24"/>
          <w:szCs w:val="24"/>
        </w:rPr>
        <w:t xml:space="preserve"> </w:t>
      </w:r>
      <w:r w:rsidRPr="00DC66CD">
        <w:rPr>
          <w:rStyle w:val="tlid-translation"/>
          <w:rFonts w:ascii="Garamond" w:hAnsi="Garamond"/>
          <w:sz w:val="24"/>
          <w:szCs w:val="24"/>
        </w:rPr>
        <w:t>shtyllën e hapjes së tregtisë dhe 35.5 nga 100 nën</w:t>
      </w:r>
      <w:r w:rsidR="00D626EA" w:rsidRPr="00DC66CD">
        <w:rPr>
          <w:rStyle w:val="tlid-translation"/>
          <w:rFonts w:ascii="Garamond" w:hAnsi="Garamond"/>
          <w:sz w:val="24"/>
          <w:szCs w:val="24"/>
        </w:rPr>
        <w:t xml:space="preserve"> </w:t>
      </w:r>
      <w:r w:rsidRPr="00DC66CD">
        <w:rPr>
          <w:rStyle w:val="tlid-translation"/>
          <w:rFonts w:ascii="Garamond" w:hAnsi="Garamond"/>
          <w:sz w:val="24"/>
          <w:szCs w:val="24"/>
        </w:rPr>
        <w:t>shtyllën e infrastrukturës së transportit.</w:t>
      </w:r>
    </w:p>
    <w:p w14:paraId="380E6AE9" w14:textId="0C66606F" w:rsidR="006F605B" w:rsidRPr="00DC66CD" w:rsidRDefault="006F605B" w:rsidP="006F605B">
      <w:pPr>
        <w:spacing w:after="0" w:line="240" w:lineRule="auto"/>
        <w:ind w:firstLine="284"/>
        <w:jc w:val="both"/>
        <w:rPr>
          <w:rFonts w:ascii="Garamond" w:eastAsia="Times New Roman" w:hAnsi="Garamond"/>
          <w:sz w:val="24"/>
          <w:szCs w:val="24"/>
        </w:rPr>
      </w:pPr>
      <w:r w:rsidRPr="00DC66CD">
        <w:rPr>
          <w:rFonts w:ascii="Garamond" w:eastAsia="Times New Roman" w:hAnsi="Garamond"/>
          <w:color w:val="0D0D0D"/>
          <w:sz w:val="24"/>
          <w:szCs w:val="24"/>
        </w:rPr>
        <w:t>Koordinimi dhe veprimet kolektive janë të domosdoshme për të zvogëluar kostot e transaksioneve tregtare përgjatë korridoreve rajonale të tregtisë. Heqja e kufizimeve në korridoret e tregtisë mund të lejojë formimin e zinxhirëve të vlerës globale dhe të promovojë specializim më të mirë të industrive në vend. Lehtësimi i tregtisë dhe transportit janë element</w:t>
      </w:r>
      <w:r w:rsidR="00D626EA" w:rsidRPr="00DC66CD">
        <w:rPr>
          <w:rFonts w:ascii="Garamond" w:eastAsia="Times New Roman" w:hAnsi="Garamond"/>
          <w:color w:val="0D0D0D"/>
          <w:sz w:val="24"/>
          <w:szCs w:val="24"/>
        </w:rPr>
        <w:t>e</w:t>
      </w:r>
      <w:r w:rsidRPr="00DC66CD">
        <w:rPr>
          <w:rFonts w:ascii="Garamond" w:eastAsia="Times New Roman" w:hAnsi="Garamond"/>
          <w:color w:val="0D0D0D"/>
          <w:sz w:val="24"/>
          <w:szCs w:val="24"/>
        </w:rPr>
        <w:t>t kryesor</w:t>
      </w:r>
      <w:r w:rsidR="00D626EA" w:rsidRPr="00DC66CD">
        <w:rPr>
          <w:rFonts w:ascii="Garamond" w:eastAsia="Times New Roman" w:hAnsi="Garamond"/>
          <w:color w:val="0D0D0D"/>
          <w:sz w:val="24"/>
          <w:szCs w:val="24"/>
        </w:rPr>
        <w:t>e</w:t>
      </w:r>
      <w:r w:rsidRPr="00DC66CD">
        <w:rPr>
          <w:rFonts w:ascii="Garamond" w:eastAsia="Times New Roman" w:hAnsi="Garamond"/>
          <w:color w:val="0D0D0D"/>
          <w:sz w:val="24"/>
          <w:szCs w:val="24"/>
        </w:rPr>
        <w:t xml:space="preserve"> për thellimin e integrimit ekonomik në rajon, i cili ishte përfunduar gjatë v</w:t>
      </w:r>
      <w:r w:rsidR="00950098" w:rsidRPr="00DC66CD">
        <w:rPr>
          <w:rFonts w:ascii="Garamond" w:eastAsia="Times New Roman" w:hAnsi="Garamond"/>
          <w:color w:val="0D0D0D"/>
          <w:sz w:val="24"/>
          <w:szCs w:val="24"/>
        </w:rPr>
        <w:t>jetëve</w:t>
      </w:r>
      <w:r w:rsidRPr="00DC66CD">
        <w:rPr>
          <w:rFonts w:ascii="Garamond" w:eastAsia="Times New Roman" w:hAnsi="Garamond"/>
          <w:color w:val="0D0D0D"/>
          <w:sz w:val="24"/>
          <w:szCs w:val="24"/>
        </w:rPr>
        <w:t xml:space="preserve"> të fundit nga përpjekjet diplomatike të nivelit të lartë </w:t>
      </w:r>
      <w:r w:rsidR="002A29AD" w:rsidRPr="00DC66CD">
        <w:rPr>
          <w:rFonts w:ascii="Garamond" w:eastAsia="Times New Roman" w:hAnsi="Garamond"/>
          <w:color w:val="0D0D0D"/>
          <w:sz w:val="24"/>
          <w:szCs w:val="24"/>
        </w:rPr>
        <w:t>“</w:t>
      </w:r>
      <w:r w:rsidRPr="00DC66CD">
        <w:rPr>
          <w:rFonts w:ascii="Garamond" w:eastAsia="Times New Roman" w:hAnsi="Garamond"/>
          <w:color w:val="0D0D0D"/>
          <w:sz w:val="24"/>
          <w:szCs w:val="24"/>
        </w:rPr>
        <w:t>Procesi i Berlinit</w:t>
      </w:r>
      <w:r w:rsidR="002A29AD" w:rsidRPr="00DC66CD">
        <w:rPr>
          <w:rFonts w:ascii="Garamond" w:eastAsia="Times New Roman" w:hAnsi="Garamond"/>
          <w:color w:val="0D0D0D"/>
          <w:sz w:val="24"/>
          <w:szCs w:val="24"/>
        </w:rPr>
        <w:t>”</w:t>
      </w:r>
      <w:r w:rsidRPr="00DC66CD">
        <w:rPr>
          <w:rFonts w:ascii="Garamond" w:eastAsia="Times New Roman" w:hAnsi="Garamond"/>
          <w:color w:val="0D0D0D"/>
          <w:sz w:val="24"/>
          <w:szCs w:val="24"/>
        </w:rPr>
        <w:t>, i cili synon lehtësimin e tregtisë, çështjeve të zhvillimit të infrastrukturës dhe zhvillimit ekonomik.</w:t>
      </w:r>
    </w:p>
    <w:p w14:paraId="1C28351A" w14:textId="5802F9BD" w:rsidR="006F605B" w:rsidRPr="00DC66CD" w:rsidRDefault="006F605B" w:rsidP="006F605B">
      <w:pPr>
        <w:spacing w:after="0" w:line="240" w:lineRule="auto"/>
        <w:ind w:firstLine="284"/>
        <w:jc w:val="both"/>
        <w:rPr>
          <w:rFonts w:ascii="Garamond" w:eastAsia="Times New Roman" w:hAnsi="Garamond"/>
          <w:sz w:val="24"/>
          <w:szCs w:val="24"/>
        </w:rPr>
      </w:pPr>
      <w:r w:rsidRPr="00DC66CD">
        <w:rPr>
          <w:rFonts w:ascii="Garamond" w:eastAsia="Times New Roman" w:hAnsi="Garamond"/>
          <w:color w:val="0D0D0D"/>
          <w:sz w:val="24"/>
          <w:szCs w:val="24"/>
        </w:rPr>
        <w:t>Bazuar në analizat e mësipërme, dy masa të reja do të futen në ERP</w:t>
      </w:r>
      <w:r w:rsidR="00950098" w:rsidRPr="00DC66CD">
        <w:rPr>
          <w:rFonts w:ascii="Garamond" w:eastAsia="Times New Roman" w:hAnsi="Garamond"/>
          <w:color w:val="0D0D0D"/>
          <w:sz w:val="24"/>
          <w:szCs w:val="24"/>
        </w:rPr>
        <w:t>,</w:t>
      </w:r>
      <w:r w:rsidRPr="00DC66CD">
        <w:rPr>
          <w:rFonts w:ascii="Garamond" w:eastAsia="Times New Roman" w:hAnsi="Garamond"/>
          <w:color w:val="0D0D0D"/>
          <w:sz w:val="24"/>
          <w:szCs w:val="24"/>
        </w:rPr>
        <w:t xml:space="preserve"> 2020</w:t>
      </w:r>
      <w:r w:rsidR="00950098" w:rsidRPr="00DC66CD">
        <w:rPr>
          <w:rFonts w:ascii="Garamond" w:eastAsia="Times New Roman" w:hAnsi="Garamond"/>
          <w:color w:val="0D0D0D"/>
          <w:sz w:val="24"/>
          <w:szCs w:val="24"/>
        </w:rPr>
        <w:t>–</w:t>
      </w:r>
      <w:r w:rsidRPr="00DC66CD">
        <w:rPr>
          <w:rFonts w:ascii="Garamond" w:eastAsia="Times New Roman" w:hAnsi="Garamond"/>
          <w:color w:val="0D0D0D"/>
          <w:sz w:val="24"/>
          <w:szCs w:val="24"/>
        </w:rPr>
        <w:t>2022, me fokus në lehtësimin e tregtisë dhe transportit në kufi.</w:t>
      </w:r>
    </w:p>
    <w:p w14:paraId="4D89F2B9" w14:textId="5C68F796" w:rsidR="006F605B" w:rsidRPr="00DC66CD" w:rsidRDefault="006F605B" w:rsidP="006F605B">
      <w:pPr>
        <w:spacing w:after="0" w:line="240" w:lineRule="auto"/>
        <w:ind w:firstLine="284"/>
        <w:jc w:val="both"/>
        <w:rPr>
          <w:rFonts w:ascii="Garamond" w:eastAsia="Times New Roman" w:hAnsi="Garamond"/>
          <w:sz w:val="24"/>
          <w:szCs w:val="24"/>
        </w:rPr>
      </w:pPr>
      <w:r w:rsidRPr="00DC66CD">
        <w:rPr>
          <w:rFonts w:ascii="Garamond" w:eastAsia="Times New Roman" w:hAnsi="Garamond"/>
          <w:i/>
          <w:iCs/>
          <w:color w:val="0D0D0D"/>
          <w:sz w:val="24"/>
          <w:szCs w:val="24"/>
        </w:rPr>
        <w:t>i</w:t>
      </w:r>
      <w:r w:rsidR="004F4E33" w:rsidRPr="00DC66CD">
        <w:rPr>
          <w:rFonts w:ascii="Garamond" w:eastAsia="Times New Roman" w:hAnsi="Garamond"/>
          <w:i/>
          <w:iCs/>
          <w:color w:val="0D0D0D"/>
          <w:sz w:val="24"/>
          <w:szCs w:val="24"/>
        </w:rPr>
        <w:t>.</w:t>
      </w:r>
      <w:r w:rsidRPr="00DC66CD">
        <w:rPr>
          <w:rFonts w:ascii="Garamond" w:eastAsia="Times New Roman" w:hAnsi="Garamond"/>
          <w:i/>
          <w:iCs/>
          <w:color w:val="0D0D0D"/>
          <w:sz w:val="24"/>
          <w:szCs w:val="24"/>
        </w:rPr>
        <w:t xml:space="preserve"> Përmirësimi i kalimit kufitar </w:t>
      </w:r>
      <w:r w:rsidRPr="00DC66CD">
        <w:rPr>
          <w:rFonts w:ascii="Garamond" w:eastAsia="Times New Roman" w:hAnsi="Garamond"/>
          <w:i/>
          <w:iCs/>
          <w:sz w:val="24"/>
          <w:szCs w:val="24"/>
        </w:rPr>
        <w:t xml:space="preserve">të pikës </w:t>
      </w:r>
      <w:r w:rsidRPr="00DC66CD">
        <w:rPr>
          <w:rFonts w:ascii="Garamond" w:hAnsi="Garamond"/>
          <w:i/>
          <w:sz w:val="24"/>
          <w:szCs w:val="24"/>
        </w:rPr>
        <w:t>Qafë</w:t>
      </w:r>
      <w:r w:rsidR="00950098" w:rsidRPr="00DC66CD">
        <w:rPr>
          <w:rFonts w:ascii="Garamond" w:hAnsi="Garamond"/>
          <w:i/>
          <w:sz w:val="24"/>
          <w:szCs w:val="24"/>
        </w:rPr>
        <w:t>t</w:t>
      </w:r>
      <w:r w:rsidRPr="00DC66CD">
        <w:rPr>
          <w:rFonts w:ascii="Garamond" w:hAnsi="Garamond"/>
          <w:i/>
          <w:sz w:val="24"/>
          <w:szCs w:val="24"/>
        </w:rPr>
        <w:t>hanë</w:t>
      </w:r>
      <w:r w:rsidRPr="00DC66CD">
        <w:rPr>
          <w:rFonts w:ascii="Garamond" w:eastAsia="Times New Roman" w:hAnsi="Garamond"/>
          <w:i/>
          <w:iCs/>
          <w:sz w:val="24"/>
          <w:szCs w:val="24"/>
        </w:rPr>
        <w:t xml:space="preserve"> (Shqipëri) me Maqedoninë e Veriut, përmes krijimit të një ndalese të vetme operative. </w:t>
      </w:r>
      <w:r w:rsidRPr="00DC66CD">
        <w:rPr>
          <w:rFonts w:ascii="Garamond" w:eastAsia="Times New Roman" w:hAnsi="Garamond"/>
          <w:color w:val="0D0D0D"/>
          <w:sz w:val="24"/>
          <w:szCs w:val="24"/>
        </w:rPr>
        <w:t>Masa e propozuar do të rezultojë në promovimin e lëvizjeve ndërkombëtare dhe tranzitore të njerëzve dhe mallrave me BE</w:t>
      </w:r>
      <w:r w:rsidR="00950098" w:rsidRPr="00DC66CD">
        <w:rPr>
          <w:rFonts w:ascii="Garamond" w:eastAsia="Times New Roman" w:hAnsi="Garamond"/>
          <w:color w:val="0D0D0D"/>
          <w:sz w:val="24"/>
          <w:szCs w:val="24"/>
        </w:rPr>
        <w:t>-në</w:t>
      </w:r>
      <w:r w:rsidRPr="00DC66CD">
        <w:rPr>
          <w:rFonts w:ascii="Garamond" w:eastAsia="Times New Roman" w:hAnsi="Garamond"/>
          <w:color w:val="0D0D0D"/>
          <w:sz w:val="24"/>
          <w:szCs w:val="24"/>
        </w:rPr>
        <w:t xml:space="preserve"> dhe fqinjët e saj rajonal. Ky përmirësim do të ketë një ndikim pozitiv në kostot logjistike të tërheqjes së më shumë përdoruesve ndërkombëtarë në transportin rrugor</w:t>
      </w:r>
      <w:r w:rsidR="0072211B" w:rsidRPr="00DC66CD">
        <w:rPr>
          <w:rFonts w:ascii="Garamond" w:eastAsia="Times New Roman" w:hAnsi="Garamond"/>
          <w:color w:val="0D0D0D"/>
          <w:sz w:val="24"/>
          <w:szCs w:val="24"/>
        </w:rPr>
        <w:t xml:space="preserve"> </w:t>
      </w:r>
      <w:r w:rsidRPr="00DC66CD">
        <w:rPr>
          <w:rFonts w:ascii="Garamond" w:eastAsia="Times New Roman" w:hAnsi="Garamond"/>
          <w:color w:val="0D0D0D"/>
          <w:sz w:val="24"/>
          <w:szCs w:val="24"/>
        </w:rPr>
        <w:t>dhe rritjen e mundësive ekonomike për drejtuesit e kamionëve në distanca të gjata dhe përdoruesit lokalë të rrugës.</w:t>
      </w:r>
    </w:p>
    <w:p w14:paraId="4031799A" w14:textId="24A0C4B8"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i/>
          <w:iCs/>
          <w:color w:val="0D0D0D"/>
          <w:sz w:val="24"/>
          <w:szCs w:val="24"/>
        </w:rPr>
        <w:t>ii</w:t>
      </w:r>
      <w:r w:rsidR="004F4E33" w:rsidRPr="00DC66CD">
        <w:rPr>
          <w:rFonts w:ascii="Garamond" w:eastAsia="Times New Roman" w:hAnsi="Garamond"/>
          <w:i/>
          <w:iCs/>
          <w:color w:val="0D0D0D"/>
          <w:sz w:val="24"/>
          <w:szCs w:val="24"/>
        </w:rPr>
        <w:t>.</w:t>
      </w:r>
      <w:r w:rsidRPr="00DC66CD">
        <w:rPr>
          <w:rFonts w:ascii="Garamond" w:eastAsia="Times New Roman" w:hAnsi="Garamond"/>
          <w:i/>
          <w:iCs/>
          <w:color w:val="0D0D0D"/>
          <w:sz w:val="24"/>
          <w:szCs w:val="24"/>
        </w:rPr>
        <w:t xml:space="preserve"> Zhvillimi i </w:t>
      </w:r>
      <w:r w:rsidR="00950098" w:rsidRPr="00DC66CD">
        <w:rPr>
          <w:rFonts w:ascii="Garamond" w:eastAsia="Times New Roman" w:hAnsi="Garamond"/>
          <w:i/>
          <w:iCs/>
          <w:color w:val="0D0D0D"/>
          <w:sz w:val="24"/>
          <w:szCs w:val="24"/>
        </w:rPr>
        <w:t xml:space="preserve">sistemit të ri </w:t>
      </w:r>
      <w:r w:rsidR="00950098" w:rsidRPr="00DC66CD">
        <w:rPr>
          <w:rStyle w:val="tlid-translation"/>
          <w:rFonts w:ascii="Garamond" w:hAnsi="Garamond"/>
          <w:i/>
          <w:sz w:val="24"/>
          <w:szCs w:val="24"/>
        </w:rPr>
        <w:t>të kalimit</w:t>
      </w:r>
      <w:r w:rsidR="00950098" w:rsidRPr="00DC66CD">
        <w:rPr>
          <w:rStyle w:val="tlid-translation"/>
          <w:rFonts w:ascii="Garamond" w:hAnsi="Garamond"/>
          <w:sz w:val="24"/>
          <w:szCs w:val="24"/>
        </w:rPr>
        <w:t xml:space="preserve"> </w:t>
      </w:r>
      <w:r w:rsidR="00950098" w:rsidRPr="00DC66CD">
        <w:rPr>
          <w:rFonts w:ascii="Garamond" w:eastAsia="Times New Roman" w:hAnsi="Garamond"/>
          <w:i/>
          <w:iCs/>
          <w:color w:val="0D0D0D"/>
          <w:sz w:val="24"/>
          <w:szCs w:val="24"/>
        </w:rPr>
        <w:t xml:space="preserve">të kompjuterizuar </w:t>
      </w:r>
      <w:r w:rsidRPr="00DC66CD">
        <w:rPr>
          <w:rFonts w:ascii="Garamond" w:eastAsia="Times New Roman" w:hAnsi="Garamond"/>
          <w:color w:val="0D0D0D"/>
          <w:sz w:val="24"/>
          <w:szCs w:val="24"/>
        </w:rPr>
        <w:t>plotësisht i pajtueshëm me BE-NCTS</w:t>
      </w:r>
      <w:r w:rsidRPr="00DC66CD">
        <w:rPr>
          <w:rFonts w:ascii="Garamond" w:eastAsia="Arial Narrow" w:hAnsi="Garamond"/>
          <w:bCs/>
          <w:sz w:val="24"/>
          <w:szCs w:val="24"/>
        </w:rPr>
        <w:t>.</w:t>
      </w:r>
    </w:p>
    <w:p w14:paraId="7D4E9052" w14:textId="231779F4" w:rsidR="006F605B" w:rsidRPr="00DC66CD" w:rsidRDefault="00030AD5" w:rsidP="00030AD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4A03A382" w14:textId="7A6447BD" w:rsidR="006F605B" w:rsidRPr="00DC66CD" w:rsidRDefault="00030AD5" w:rsidP="00030AD5">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950098" w:rsidRPr="00DC66CD">
        <w:rPr>
          <w:rFonts w:ascii="Garamond" w:hAnsi="Garamond" w:cs="Times New Roman"/>
          <w:b/>
          <w:sz w:val="24"/>
          <w:szCs w:val="24"/>
        </w:rPr>
        <w:t>-ën:</w:t>
      </w:r>
    </w:p>
    <w:p w14:paraId="08A486AD" w14:textId="03E74B61" w:rsidR="006F605B" w:rsidRPr="00DC66CD" w:rsidRDefault="00030AD5" w:rsidP="00030AD5">
      <w:pPr>
        <w:pStyle w:val="TEKSTIIII"/>
      </w:pPr>
      <w:r w:rsidRPr="00DC66CD">
        <w:rPr>
          <w:rFonts w:eastAsia="Times New Roman"/>
        </w:rPr>
        <w:t>-</w:t>
      </w:r>
      <w:r w:rsidR="00950098" w:rsidRPr="00DC66CD">
        <w:rPr>
          <w:rFonts w:eastAsia="Times New Roman"/>
        </w:rPr>
        <w:t xml:space="preserve"> promovimi </w:t>
      </w:r>
      <w:r w:rsidR="006F605B" w:rsidRPr="00DC66CD">
        <w:rPr>
          <w:rFonts w:eastAsia="Times New Roman"/>
        </w:rPr>
        <w:t>i konceptit AEO me palët e interesuara përkatëse dhe njohja e ndërsjellë e programeve të AEO nën AP5 me sektorin privat</w:t>
      </w:r>
      <w:r w:rsidR="006F605B" w:rsidRPr="00DC66CD">
        <w:t>;</w:t>
      </w:r>
    </w:p>
    <w:p w14:paraId="2ACF4329" w14:textId="661BB5B6" w:rsidR="006F605B" w:rsidRPr="00DC66CD" w:rsidRDefault="00030AD5" w:rsidP="00030AD5">
      <w:pPr>
        <w:pStyle w:val="TEKSTIIII"/>
      </w:pPr>
      <w:r w:rsidRPr="00DC66CD">
        <w:rPr>
          <w:rFonts w:eastAsia="Times New Roman"/>
        </w:rPr>
        <w:t>-</w:t>
      </w:r>
      <w:r w:rsidR="00950098" w:rsidRPr="00DC66CD">
        <w:rPr>
          <w:rFonts w:eastAsia="Times New Roman"/>
        </w:rPr>
        <w:t xml:space="preserve"> rishikimi </w:t>
      </w:r>
      <w:r w:rsidR="006F605B" w:rsidRPr="00DC66CD">
        <w:rPr>
          <w:rFonts w:eastAsia="Times New Roman"/>
        </w:rPr>
        <w:t>i gjendjes fizike ekzistuese dhe pajisjeve dhe nevojave të parashikuara në projektin me Maqedoninë e Veriut</w:t>
      </w:r>
      <w:r w:rsidR="006F605B" w:rsidRPr="00DC66CD">
        <w:t>.</w:t>
      </w:r>
    </w:p>
    <w:p w14:paraId="6C504B17" w14:textId="48337D8C" w:rsidR="006F605B" w:rsidRPr="00DC66CD" w:rsidRDefault="00030AD5" w:rsidP="00030AD5">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950098" w:rsidRPr="00DC66CD">
        <w:rPr>
          <w:rFonts w:ascii="Garamond" w:hAnsi="Garamond" w:cs="Times New Roman"/>
          <w:b/>
          <w:sz w:val="24"/>
          <w:szCs w:val="24"/>
        </w:rPr>
        <w:t>-shin:</w:t>
      </w:r>
    </w:p>
    <w:p w14:paraId="5F5DB155" w14:textId="0332A012" w:rsidR="006F605B" w:rsidRPr="00DC66CD" w:rsidRDefault="00030AD5" w:rsidP="00030AD5">
      <w:pPr>
        <w:pStyle w:val="TEKSTIIII"/>
      </w:pPr>
      <w:r w:rsidRPr="00DC66CD">
        <w:rPr>
          <w:rFonts w:eastAsia="Times New Roman"/>
        </w:rPr>
        <w:t>-</w:t>
      </w:r>
      <w:r w:rsidR="00950098" w:rsidRPr="00DC66CD">
        <w:rPr>
          <w:rFonts w:eastAsia="Times New Roman"/>
        </w:rPr>
        <w:t xml:space="preserve"> r</w:t>
      </w:r>
      <w:r w:rsidR="006F605B" w:rsidRPr="00DC66CD">
        <w:rPr>
          <w:rFonts w:eastAsia="Times New Roman"/>
        </w:rPr>
        <w:t>ishikimi i praktikave të tanishme dhe planit për të promovuar integrimin e rrjedhave të informacionit midis agjencive kufitare dhe tregtarëve dhe harmonizimin e procedurave të tyre operative me Maqedoninë e Veriut</w:t>
      </w:r>
      <w:r w:rsidR="006F605B" w:rsidRPr="00DC66CD">
        <w:t>;</w:t>
      </w:r>
    </w:p>
    <w:p w14:paraId="2868ED03" w14:textId="6F2391B0" w:rsidR="006F605B" w:rsidRPr="00DC66CD" w:rsidRDefault="00030AD5" w:rsidP="00030AD5">
      <w:pPr>
        <w:pStyle w:val="TEKSTIIII"/>
      </w:pPr>
      <w:r w:rsidRPr="00DC66CD">
        <w:rPr>
          <w:rFonts w:eastAsia="Times New Roman"/>
        </w:rPr>
        <w:t>-</w:t>
      </w:r>
      <w:r w:rsidR="00950098" w:rsidRPr="00DC66CD">
        <w:rPr>
          <w:rFonts w:eastAsia="Times New Roman"/>
        </w:rPr>
        <w:t xml:space="preserve"> z</w:t>
      </w:r>
      <w:r w:rsidR="006F605B" w:rsidRPr="00DC66CD">
        <w:rPr>
          <w:rFonts w:eastAsia="Times New Roman"/>
        </w:rPr>
        <w:t>batimi i planit për të promovuar integrimin dhe harmonizimin</w:t>
      </w:r>
      <w:r w:rsidR="006F605B" w:rsidRPr="00DC66CD">
        <w:t>;</w:t>
      </w:r>
    </w:p>
    <w:p w14:paraId="5C594B7A" w14:textId="7B8495B4" w:rsidR="006F605B" w:rsidRPr="00DC66CD" w:rsidRDefault="00030AD5" w:rsidP="00030AD5">
      <w:pPr>
        <w:pStyle w:val="TEKSTIIII"/>
      </w:pPr>
      <w:r w:rsidRPr="00DC66CD">
        <w:rPr>
          <w:rFonts w:eastAsia="Times New Roman"/>
        </w:rPr>
        <w:t>-</w:t>
      </w:r>
      <w:r w:rsidR="00950098" w:rsidRPr="00DC66CD">
        <w:rPr>
          <w:rFonts w:eastAsia="Times New Roman"/>
        </w:rPr>
        <w:t xml:space="preserve"> a</w:t>
      </w:r>
      <w:r w:rsidR="006F605B" w:rsidRPr="00DC66CD">
        <w:rPr>
          <w:rFonts w:eastAsia="Times New Roman"/>
        </w:rPr>
        <w:t>naliza e situatës dhe rishikimi i praktikës më të mirë ndërkombëtare në zbatimin e një NCTS të re</w:t>
      </w:r>
      <w:r w:rsidR="006F605B" w:rsidRPr="00DC66CD">
        <w:t>.</w:t>
      </w:r>
    </w:p>
    <w:p w14:paraId="68B17AC8" w14:textId="7421135F" w:rsidR="006F605B" w:rsidRPr="00DC66CD" w:rsidRDefault="00030AD5" w:rsidP="00030AD5">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950098" w:rsidRPr="00DC66CD">
        <w:rPr>
          <w:rFonts w:ascii="Garamond" w:hAnsi="Garamond" w:cs="Times New Roman"/>
          <w:b/>
          <w:sz w:val="24"/>
          <w:szCs w:val="24"/>
        </w:rPr>
        <w:t>-shin:</w:t>
      </w:r>
    </w:p>
    <w:p w14:paraId="7BC04755" w14:textId="65C99183" w:rsidR="006F605B" w:rsidRPr="00DC66CD" w:rsidRDefault="00030AD5" w:rsidP="00030AD5">
      <w:pPr>
        <w:pStyle w:val="TEKSTIIII"/>
      </w:pPr>
      <w:r w:rsidRPr="00DC66CD">
        <w:rPr>
          <w:rFonts w:eastAsia="Times New Roman"/>
        </w:rPr>
        <w:t>-</w:t>
      </w:r>
      <w:r w:rsidR="00950098" w:rsidRPr="00DC66CD">
        <w:rPr>
          <w:rFonts w:eastAsia="Times New Roman"/>
        </w:rPr>
        <w:t xml:space="preserve"> a</w:t>
      </w:r>
      <w:r w:rsidR="006F605B" w:rsidRPr="00DC66CD">
        <w:rPr>
          <w:rFonts w:eastAsia="Times New Roman"/>
        </w:rPr>
        <w:t xml:space="preserve">rkitektura dhe vendosja e </w:t>
      </w:r>
      <w:r w:rsidR="00950098" w:rsidRPr="00DC66CD">
        <w:rPr>
          <w:rFonts w:eastAsia="Times New Roman"/>
        </w:rPr>
        <w:t>aplikimit kombëtar të tranzitit dhe regjistrimi dhe identifikimi i operatorit ekonomik p</w:t>
      </w:r>
      <w:r w:rsidR="006F605B" w:rsidRPr="00DC66CD">
        <w:rPr>
          <w:rFonts w:eastAsia="Times New Roman"/>
        </w:rPr>
        <w:t>lotësisht i pajtueshëm me BE-NCTS</w:t>
      </w:r>
      <w:r w:rsidR="006F605B" w:rsidRPr="00DC66CD">
        <w:t>;</w:t>
      </w:r>
    </w:p>
    <w:p w14:paraId="1A7D91AD" w14:textId="65524783" w:rsidR="006F605B" w:rsidRPr="00DC66CD" w:rsidRDefault="00030AD5" w:rsidP="00030AD5">
      <w:pPr>
        <w:pStyle w:val="TEKSTIIII"/>
      </w:pPr>
      <w:r w:rsidRPr="00DC66CD">
        <w:rPr>
          <w:rFonts w:eastAsia="Times New Roman"/>
        </w:rPr>
        <w:t>-</w:t>
      </w:r>
      <w:r w:rsidR="00950098" w:rsidRPr="00DC66CD">
        <w:rPr>
          <w:rFonts w:eastAsia="Times New Roman"/>
        </w:rPr>
        <w:t xml:space="preserve"> v</w:t>
      </w:r>
      <w:r w:rsidR="006F605B" w:rsidRPr="00DC66CD">
        <w:rPr>
          <w:rFonts w:eastAsia="Times New Roman"/>
        </w:rPr>
        <w:t>endosja e moduleve për zbatimin e NCTS, duke përfshirë sistemin kombëtar të IT</w:t>
      </w:r>
      <w:r w:rsidR="00950098" w:rsidRPr="00DC66CD">
        <w:rPr>
          <w:rFonts w:eastAsia="Times New Roman"/>
        </w:rPr>
        <w:t>-së,</w:t>
      </w:r>
      <w:r w:rsidR="006F605B" w:rsidRPr="00DC66CD">
        <w:rPr>
          <w:rFonts w:eastAsia="Times New Roman"/>
        </w:rPr>
        <w:t xml:space="preserve"> që krijon lidhje me fushën e përbashkët të BE-së përmes </w:t>
      </w:r>
      <w:r w:rsidR="002A29AD" w:rsidRPr="00DC66CD">
        <w:rPr>
          <w:rFonts w:eastAsia="Times New Roman"/>
        </w:rPr>
        <w:t>“</w:t>
      </w:r>
      <w:r w:rsidR="006F605B" w:rsidRPr="00DC66CD">
        <w:rPr>
          <w:rFonts w:eastAsia="Times New Roman"/>
        </w:rPr>
        <w:t>CCN/CSI</w:t>
      </w:r>
      <w:r w:rsidR="002A29AD" w:rsidRPr="00DC66CD">
        <w:rPr>
          <w:rFonts w:eastAsia="Times New Roman"/>
        </w:rPr>
        <w:t>”</w:t>
      </w:r>
      <w:r w:rsidR="006F605B" w:rsidRPr="00DC66CD">
        <w:rPr>
          <w:rFonts w:eastAsia="Times New Roman"/>
        </w:rPr>
        <w:t>/</w:t>
      </w:r>
      <w:r w:rsidR="002A29AD" w:rsidRPr="00DC66CD">
        <w:rPr>
          <w:rFonts w:eastAsia="Times New Roman"/>
        </w:rPr>
        <w:t>“</w:t>
      </w:r>
      <w:r w:rsidR="006F605B" w:rsidRPr="00DC66CD">
        <w:rPr>
          <w:rFonts w:eastAsia="Times New Roman"/>
        </w:rPr>
        <w:t>SPEED 2</w:t>
      </w:r>
      <w:r w:rsidR="002A29AD" w:rsidRPr="00DC66CD">
        <w:rPr>
          <w:rFonts w:eastAsia="Times New Roman"/>
        </w:rPr>
        <w:t>”</w:t>
      </w:r>
      <w:r w:rsidR="006F605B" w:rsidRPr="00DC66CD">
        <w:rPr>
          <w:rFonts w:eastAsia="Times New Roman"/>
        </w:rPr>
        <w:t>.</w:t>
      </w:r>
    </w:p>
    <w:p w14:paraId="63BEB83C" w14:textId="08036958" w:rsidR="006F605B" w:rsidRPr="00DC66CD" w:rsidRDefault="00030AD5" w:rsidP="00030AD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1720"/>
        <w:gridCol w:w="1757"/>
        <w:gridCol w:w="1743"/>
      </w:tblGrid>
      <w:tr w:rsidR="004F4E33" w:rsidRPr="00DC66CD" w14:paraId="2DA60871" w14:textId="77777777" w:rsidTr="004F4E33">
        <w:trPr>
          <w:jc w:val="center"/>
        </w:trPr>
        <w:tc>
          <w:tcPr>
            <w:tcW w:w="4248" w:type="dxa"/>
            <w:vAlign w:val="center"/>
          </w:tcPr>
          <w:p w14:paraId="26AECFDB"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1791" w:type="dxa"/>
            <w:vAlign w:val="center"/>
          </w:tcPr>
          <w:p w14:paraId="1B68DA47"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Bazë</w:t>
            </w:r>
          </w:p>
        </w:tc>
        <w:tc>
          <w:tcPr>
            <w:tcW w:w="1791" w:type="dxa"/>
            <w:vAlign w:val="center"/>
          </w:tcPr>
          <w:p w14:paraId="208AA7D7"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Objektivi ndërmjetëm</w:t>
            </w:r>
          </w:p>
        </w:tc>
        <w:tc>
          <w:tcPr>
            <w:tcW w:w="1792" w:type="dxa"/>
            <w:vAlign w:val="center"/>
          </w:tcPr>
          <w:p w14:paraId="0255B8FA"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Objektivi</w:t>
            </w:r>
          </w:p>
        </w:tc>
      </w:tr>
      <w:tr w:rsidR="004F4E33" w:rsidRPr="00DC66CD" w14:paraId="0AA981F2" w14:textId="77777777" w:rsidTr="004F4E33">
        <w:trPr>
          <w:jc w:val="center"/>
        </w:trPr>
        <w:tc>
          <w:tcPr>
            <w:tcW w:w="4248" w:type="dxa"/>
          </w:tcPr>
          <w:p w14:paraId="559EA4AE" w14:textId="77777777" w:rsidR="006F605B" w:rsidRPr="00DC66CD" w:rsidRDefault="006F605B" w:rsidP="00030AD5">
            <w:pPr>
              <w:snapToGrid w:val="0"/>
              <w:spacing w:after="0" w:line="240" w:lineRule="auto"/>
              <w:rPr>
                <w:rFonts w:ascii="Garamond" w:hAnsi="Garamond"/>
                <w:sz w:val="20"/>
                <w:szCs w:val="20"/>
              </w:rPr>
            </w:pPr>
            <w:r w:rsidRPr="00DC66CD">
              <w:rPr>
                <w:rFonts w:ascii="Garamond" w:eastAsia="Times New Roman" w:hAnsi="Garamond"/>
                <w:sz w:val="20"/>
                <w:szCs w:val="20"/>
              </w:rPr>
              <w:t>Rritja e eksporteve në rajon</w:t>
            </w:r>
          </w:p>
        </w:tc>
        <w:tc>
          <w:tcPr>
            <w:tcW w:w="1791" w:type="dxa"/>
          </w:tcPr>
          <w:p w14:paraId="42207895"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8%</w:t>
            </w:r>
          </w:p>
        </w:tc>
        <w:tc>
          <w:tcPr>
            <w:tcW w:w="1791" w:type="dxa"/>
          </w:tcPr>
          <w:p w14:paraId="72BED001"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10%</w:t>
            </w:r>
          </w:p>
        </w:tc>
        <w:tc>
          <w:tcPr>
            <w:tcW w:w="1792" w:type="dxa"/>
          </w:tcPr>
          <w:p w14:paraId="1D3EBB70"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12%</w:t>
            </w:r>
          </w:p>
        </w:tc>
      </w:tr>
      <w:tr w:rsidR="004F4E33" w:rsidRPr="00DC66CD" w14:paraId="20E28D73" w14:textId="77777777" w:rsidTr="004F4E33">
        <w:trPr>
          <w:jc w:val="center"/>
        </w:trPr>
        <w:tc>
          <w:tcPr>
            <w:tcW w:w="4248" w:type="dxa"/>
          </w:tcPr>
          <w:p w14:paraId="23EAD49E" w14:textId="77777777" w:rsidR="006F605B" w:rsidRPr="00DC66CD" w:rsidRDefault="006F605B" w:rsidP="00030AD5">
            <w:pPr>
              <w:snapToGrid w:val="0"/>
              <w:spacing w:after="0" w:line="240" w:lineRule="auto"/>
              <w:rPr>
                <w:rFonts w:ascii="Garamond" w:hAnsi="Garamond"/>
                <w:sz w:val="20"/>
                <w:szCs w:val="20"/>
              </w:rPr>
            </w:pPr>
            <w:r w:rsidRPr="00DC66CD">
              <w:rPr>
                <w:rFonts w:ascii="Garamond" w:eastAsia="Times New Roman" w:hAnsi="Garamond"/>
                <w:sz w:val="20"/>
                <w:szCs w:val="20"/>
              </w:rPr>
              <w:t>Ulja e kostos së transaksionit</w:t>
            </w:r>
          </w:p>
        </w:tc>
        <w:tc>
          <w:tcPr>
            <w:tcW w:w="1791" w:type="dxa"/>
          </w:tcPr>
          <w:p w14:paraId="02EB719E"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4</w:t>
            </w:r>
          </w:p>
        </w:tc>
        <w:tc>
          <w:tcPr>
            <w:tcW w:w="1791" w:type="dxa"/>
          </w:tcPr>
          <w:p w14:paraId="1D726110"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8</w:t>
            </w:r>
          </w:p>
        </w:tc>
        <w:tc>
          <w:tcPr>
            <w:tcW w:w="1792" w:type="dxa"/>
          </w:tcPr>
          <w:p w14:paraId="4802722A"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10</w:t>
            </w:r>
          </w:p>
        </w:tc>
      </w:tr>
      <w:tr w:rsidR="004F4E33" w:rsidRPr="00DC66CD" w14:paraId="13650B36" w14:textId="77777777" w:rsidTr="004F4E33">
        <w:trPr>
          <w:jc w:val="center"/>
        </w:trPr>
        <w:tc>
          <w:tcPr>
            <w:tcW w:w="4248" w:type="dxa"/>
          </w:tcPr>
          <w:p w14:paraId="2E59469A" w14:textId="77777777" w:rsidR="006F605B" w:rsidRPr="00DC66CD" w:rsidRDefault="006F605B" w:rsidP="00030AD5">
            <w:pPr>
              <w:snapToGrid w:val="0"/>
              <w:spacing w:after="0" w:line="240" w:lineRule="auto"/>
              <w:rPr>
                <w:rFonts w:ascii="Garamond" w:hAnsi="Garamond"/>
                <w:sz w:val="20"/>
                <w:szCs w:val="20"/>
              </w:rPr>
            </w:pPr>
            <w:r w:rsidRPr="00DC66CD">
              <w:rPr>
                <w:rFonts w:ascii="Garamond" w:eastAsia="Times New Roman" w:hAnsi="Garamond"/>
                <w:sz w:val="20"/>
                <w:szCs w:val="20"/>
              </w:rPr>
              <w:t>Koha e duhur për të zhdoganuar mallrat</w:t>
            </w:r>
          </w:p>
        </w:tc>
        <w:tc>
          <w:tcPr>
            <w:tcW w:w="1791" w:type="dxa"/>
          </w:tcPr>
          <w:p w14:paraId="31F642E9"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9</w:t>
            </w:r>
          </w:p>
        </w:tc>
        <w:tc>
          <w:tcPr>
            <w:tcW w:w="1791" w:type="dxa"/>
          </w:tcPr>
          <w:p w14:paraId="4F71AAA0"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9</w:t>
            </w:r>
          </w:p>
        </w:tc>
        <w:tc>
          <w:tcPr>
            <w:tcW w:w="1792" w:type="dxa"/>
          </w:tcPr>
          <w:p w14:paraId="56ABAEFD"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8.5</w:t>
            </w:r>
          </w:p>
        </w:tc>
      </w:tr>
    </w:tbl>
    <w:p w14:paraId="266BCE4A" w14:textId="77777777" w:rsidR="006F605B" w:rsidRPr="00DC66CD" w:rsidRDefault="006F605B" w:rsidP="006F605B">
      <w:pPr>
        <w:snapToGrid w:val="0"/>
        <w:spacing w:after="0" w:line="240" w:lineRule="auto"/>
        <w:ind w:firstLine="284"/>
        <w:rPr>
          <w:rFonts w:ascii="Garamond" w:hAnsi="Garamond"/>
          <w:sz w:val="24"/>
          <w:szCs w:val="24"/>
        </w:rPr>
      </w:pPr>
    </w:p>
    <w:p w14:paraId="10D5C527" w14:textId="13B39A82" w:rsidR="006F605B" w:rsidRPr="00DC66CD" w:rsidRDefault="00030AD5" w:rsidP="00030AD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Ndikimi i pritshëm në konkurrueshmëri</w:t>
      </w:r>
    </w:p>
    <w:p w14:paraId="73F91B98" w14:textId="35642EC5"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sz w:val="24"/>
          <w:szCs w:val="24"/>
        </w:rPr>
        <w:t xml:space="preserve">Përfitimet kryesore të këtyre masave do të jenë kursimi i kohës për procedurat e zhdoganimit të importit dhe </w:t>
      </w:r>
      <w:r w:rsidR="006C1AD1" w:rsidRPr="00DC66CD">
        <w:rPr>
          <w:rFonts w:ascii="Garamond" w:eastAsia="Times New Roman" w:hAnsi="Garamond"/>
          <w:sz w:val="24"/>
          <w:szCs w:val="24"/>
        </w:rPr>
        <w:t xml:space="preserve">të </w:t>
      </w:r>
      <w:r w:rsidRPr="00DC66CD">
        <w:rPr>
          <w:rFonts w:ascii="Garamond" w:eastAsia="Times New Roman" w:hAnsi="Garamond"/>
          <w:sz w:val="24"/>
          <w:szCs w:val="24"/>
        </w:rPr>
        <w:t xml:space="preserve">eksportit, radhitja dhe ndjekja midis pikave të kryqëzimit që do të stimulojnë tregtinë ndërkufitare dhe do të kontribuojnë pozitivisht në rritjen ekonomike, </w:t>
      </w:r>
      <w:r w:rsidRPr="00DC66CD">
        <w:rPr>
          <w:rStyle w:val="tlid-translation"/>
          <w:rFonts w:ascii="Garamond" w:hAnsi="Garamond"/>
          <w:sz w:val="24"/>
          <w:szCs w:val="24"/>
        </w:rPr>
        <w:t>duke</w:t>
      </w:r>
      <w:r w:rsidRPr="00DC66CD">
        <w:rPr>
          <w:rFonts w:ascii="Garamond" w:eastAsia="Times New Roman" w:hAnsi="Garamond"/>
          <w:sz w:val="24"/>
          <w:szCs w:val="24"/>
        </w:rPr>
        <w:t xml:space="preserve"> sjellë efekte pozitive dhe produktivitet</w:t>
      </w:r>
      <w:r w:rsidRPr="00DC66CD">
        <w:rPr>
          <w:rFonts w:ascii="Garamond" w:hAnsi="Garamond"/>
          <w:sz w:val="24"/>
          <w:szCs w:val="24"/>
        </w:rPr>
        <w:t>.</w:t>
      </w:r>
    </w:p>
    <w:p w14:paraId="5ED310F4" w14:textId="5F631E52" w:rsidR="006F605B" w:rsidRPr="00DC66CD" w:rsidRDefault="00030AD5" w:rsidP="00030AD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Kosto</w:t>
      </w:r>
      <w:r w:rsidR="006C1AD1"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623E4FFB" w14:textId="29072EC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sz w:val="24"/>
          <w:szCs w:val="24"/>
        </w:rPr>
        <w:t>Kostoja e vlerësuar për zbatimin e NCTS</w:t>
      </w:r>
      <w:r w:rsidR="006C1AD1" w:rsidRPr="00DC66CD">
        <w:rPr>
          <w:rFonts w:ascii="Garamond" w:eastAsia="Times New Roman" w:hAnsi="Garamond"/>
          <w:sz w:val="24"/>
          <w:szCs w:val="24"/>
        </w:rPr>
        <w:t>-së</w:t>
      </w:r>
      <w:r w:rsidRPr="00DC66CD">
        <w:rPr>
          <w:rFonts w:ascii="Garamond" w:eastAsia="Times New Roman" w:hAnsi="Garamond"/>
          <w:sz w:val="24"/>
          <w:szCs w:val="24"/>
        </w:rPr>
        <w:t xml:space="preserve"> dhe një ndalesë operative të vetme me Maqedoninë e Veriut është afërsisht 2.7 milion</w:t>
      </w:r>
      <w:r w:rsidR="00310FDE" w:rsidRPr="00DC66CD">
        <w:rPr>
          <w:rFonts w:ascii="Garamond" w:eastAsia="Times New Roman" w:hAnsi="Garamond"/>
          <w:sz w:val="24"/>
          <w:szCs w:val="24"/>
        </w:rPr>
        <w:t>ë</w:t>
      </w:r>
      <w:r w:rsidRPr="00DC66CD">
        <w:rPr>
          <w:rFonts w:ascii="Garamond" w:eastAsia="Times New Roman" w:hAnsi="Garamond"/>
          <w:sz w:val="24"/>
          <w:szCs w:val="24"/>
        </w:rPr>
        <w:t xml:space="preserve"> euro</w:t>
      </w:r>
      <w:bookmarkStart w:id="45" w:name="_ftnref1"/>
      <w:bookmarkEnd w:id="45"/>
      <w:r w:rsidRPr="00DC66CD">
        <w:rPr>
          <w:rFonts w:ascii="Garamond" w:eastAsia="Times New Roman" w:hAnsi="Garamond"/>
          <w:sz w:val="24"/>
          <w:szCs w:val="24"/>
        </w:rPr>
        <w:t xml:space="preserve"> për një projekt 5</w:t>
      </w:r>
      <w:r w:rsidR="00310FDE" w:rsidRPr="00DC66CD">
        <w:rPr>
          <w:rFonts w:ascii="Garamond" w:eastAsia="Times New Roman" w:hAnsi="Garamond"/>
          <w:sz w:val="24"/>
          <w:szCs w:val="24"/>
        </w:rPr>
        <w:t>-</w:t>
      </w:r>
      <w:r w:rsidRPr="00DC66CD">
        <w:rPr>
          <w:rFonts w:ascii="Garamond" w:eastAsia="Times New Roman" w:hAnsi="Garamond"/>
          <w:sz w:val="24"/>
          <w:szCs w:val="24"/>
        </w:rPr>
        <w:t>vjeçar, një kredi nga Banka Botërore.</w:t>
      </w:r>
    </w:p>
    <w:p w14:paraId="1392FD12" w14:textId="5DD33C27" w:rsidR="006F605B" w:rsidRPr="00DC66CD" w:rsidRDefault="00030AD5" w:rsidP="00030AD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6. </w:t>
      </w:r>
      <w:r w:rsidR="006F605B" w:rsidRPr="00DC66CD">
        <w:rPr>
          <w:rFonts w:ascii="Garamond" w:hAnsi="Garamond"/>
          <w:color w:val="auto"/>
          <w:sz w:val="24"/>
          <w:szCs w:val="24"/>
        </w:rPr>
        <w:t>Ndikimi i pritshëm në rezultatet sociale, si punësimi, ulja e varfërisë, barazia dhe gjinia</w:t>
      </w:r>
    </w:p>
    <w:p w14:paraId="09036233" w14:textId="77777777" w:rsidR="006F605B" w:rsidRPr="00DC66CD" w:rsidRDefault="006F605B" w:rsidP="006F605B">
      <w:pPr>
        <w:spacing w:after="0" w:line="240" w:lineRule="auto"/>
        <w:ind w:firstLine="284"/>
        <w:jc w:val="both"/>
        <w:rPr>
          <w:rFonts w:ascii="Garamond" w:hAnsi="Garamond"/>
          <w:sz w:val="24"/>
          <w:szCs w:val="24"/>
        </w:rPr>
      </w:pPr>
      <w:r w:rsidRPr="00DC66CD">
        <w:rPr>
          <w:rFonts w:ascii="Garamond" w:eastAsia="Times New Roman" w:hAnsi="Garamond"/>
          <w:sz w:val="24"/>
          <w:szCs w:val="24"/>
        </w:rPr>
        <w:t>Një ndikim i drejtpërdrejtë do të jetë në rritjen e vëllimit të tregtisë, nxitjen e rritjes ekonomike, promovimin e vendeve të reja të punës dhe mundësi të reja</w:t>
      </w:r>
      <w:r w:rsidRPr="00DC66CD">
        <w:rPr>
          <w:rFonts w:ascii="Garamond" w:hAnsi="Garamond"/>
          <w:sz w:val="24"/>
          <w:szCs w:val="24"/>
        </w:rPr>
        <w:t>.</w:t>
      </w:r>
    </w:p>
    <w:p w14:paraId="29296F07" w14:textId="0CB1BF4D" w:rsidR="006F605B" w:rsidRPr="00DC66CD" w:rsidRDefault="00030AD5" w:rsidP="00030AD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7. </w:t>
      </w:r>
      <w:r w:rsidR="006F605B" w:rsidRPr="00DC66CD">
        <w:rPr>
          <w:rFonts w:ascii="Garamond" w:hAnsi="Garamond"/>
          <w:color w:val="auto"/>
          <w:sz w:val="24"/>
          <w:szCs w:val="24"/>
        </w:rPr>
        <w:t>Ndikimi i pritshëm në mjedis</w:t>
      </w:r>
    </w:p>
    <w:p w14:paraId="0C2FED5E" w14:textId="77777777" w:rsidR="00030AD5" w:rsidRPr="00DC66CD" w:rsidRDefault="006F605B" w:rsidP="00030AD5">
      <w:pPr>
        <w:snapToGrid w:val="0"/>
        <w:spacing w:after="0" w:line="240" w:lineRule="auto"/>
        <w:ind w:firstLine="284"/>
        <w:jc w:val="both"/>
        <w:rPr>
          <w:rFonts w:ascii="Garamond" w:eastAsia="Times New Roman" w:hAnsi="Garamond"/>
          <w:sz w:val="24"/>
          <w:szCs w:val="24"/>
          <w:lang w:eastAsia="x-none"/>
        </w:rPr>
      </w:pPr>
      <w:r w:rsidRPr="00DC66CD">
        <w:rPr>
          <w:rFonts w:ascii="Garamond" w:eastAsia="Times New Roman" w:hAnsi="Garamond"/>
          <w:sz w:val="24"/>
          <w:szCs w:val="24"/>
          <w:lang w:eastAsia="x-none"/>
        </w:rPr>
        <w:t>Masa është neutrale për sa i përket ndikimit në mjedis.</w:t>
      </w:r>
    </w:p>
    <w:p w14:paraId="426DF3C2" w14:textId="799A0C22" w:rsidR="006F605B" w:rsidRPr="00DC66CD" w:rsidRDefault="00030AD5" w:rsidP="00030AD5">
      <w:pPr>
        <w:snapToGrid w:val="0"/>
        <w:spacing w:after="0" w:line="240" w:lineRule="auto"/>
        <w:ind w:firstLine="284"/>
        <w:jc w:val="both"/>
        <w:rPr>
          <w:rFonts w:ascii="Garamond" w:hAnsi="Garamond"/>
          <w:i/>
          <w:sz w:val="24"/>
          <w:szCs w:val="24"/>
        </w:rPr>
      </w:pPr>
      <w:r w:rsidRPr="00DC66CD">
        <w:rPr>
          <w:rFonts w:ascii="Garamond" w:eastAsia="Times New Roman" w:hAnsi="Garamond"/>
          <w:i/>
          <w:sz w:val="24"/>
          <w:szCs w:val="24"/>
          <w:lang w:eastAsia="x-none"/>
        </w:rPr>
        <w:t xml:space="preserve">8. </w:t>
      </w:r>
      <w:r w:rsidR="006F605B" w:rsidRPr="00DC66CD">
        <w:rPr>
          <w:rFonts w:ascii="Garamond" w:hAnsi="Garamond"/>
          <w:i/>
          <w:sz w:val="24"/>
          <w:szCs w:val="24"/>
        </w:rPr>
        <w:t>Rreziqet e mundshme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1542"/>
        <w:gridCol w:w="4076"/>
      </w:tblGrid>
      <w:tr w:rsidR="006F605B" w:rsidRPr="00DC66CD" w14:paraId="739EC355" w14:textId="77777777" w:rsidTr="004F4E33">
        <w:trPr>
          <w:jc w:val="center"/>
        </w:trPr>
        <w:tc>
          <w:tcPr>
            <w:tcW w:w="3823" w:type="dxa"/>
            <w:vAlign w:val="center"/>
          </w:tcPr>
          <w:p w14:paraId="0F2D272E"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1559" w:type="dxa"/>
            <w:vAlign w:val="center"/>
          </w:tcPr>
          <w:p w14:paraId="31AE6193" w14:textId="77777777" w:rsidR="004F4E33"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p>
          <w:p w14:paraId="5244D10C" w14:textId="09E21BD9" w:rsidR="006F605B" w:rsidRPr="00DC66CD" w:rsidRDefault="00F85068" w:rsidP="004F4E33">
            <w:pPr>
              <w:snapToGrid w:val="0"/>
              <w:spacing w:after="0" w:line="240" w:lineRule="auto"/>
              <w:jc w:val="center"/>
              <w:rPr>
                <w:rFonts w:ascii="Garamond" w:hAnsi="Garamond"/>
                <w:b/>
                <w:sz w:val="20"/>
                <w:szCs w:val="20"/>
              </w:rPr>
            </w:pPr>
            <w:r w:rsidRPr="00DC66CD">
              <w:rPr>
                <w:rFonts w:ascii="Garamond" w:hAnsi="Garamond"/>
                <w:b/>
                <w:sz w:val="20"/>
                <w:szCs w:val="20"/>
              </w:rPr>
              <w:t>(i ulët, i lartë)</w:t>
            </w:r>
          </w:p>
        </w:tc>
        <w:tc>
          <w:tcPr>
            <w:tcW w:w="4240" w:type="dxa"/>
            <w:vAlign w:val="center"/>
          </w:tcPr>
          <w:p w14:paraId="3514A22F"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1B565E67" w14:textId="77777777" w:rsidTr="004F4E33">
        <w:trPr>
          <w:jc w:val="center"/>
        </w:trPr>
        <w:tc>
          <w:tcPr>
            <w:tcW w:w="3823" w:type="dxa"/>
          </w:tcPr>
          <w:p w14:paraId="2CB8810D" w14:textId="77777777" w:rsidR="006F605B" w:rsidRPr="00DC66CD" w:rsidRDefault="006F605B" w:rsidP="00030AD5">
            <w:pPr>
              <w:snapToGrid w:val="0"/>
              <w:spacing w:after="0" w:line="240" w:lineRule="auto"/>
              <w:rPr>
                <w:rFonts w:ascii="Garamond" w:hAnsi="Garamond"/>
                <w:sz w:val="20"/>
                <w:szCs w:val="20"/>
              </w:rPr>
            </w:pPr>
            <w:r w:rsidRPr="00DC66CD">
              <w:rPr>
                <w:rFonts w:ascii="Garamond" w:eastAsia="Times New Roman" w:hAnsi="Garamond"/>
                <w:sz w:val="20"/>
                <w:szCs w:val="20"/>
              </w:rPr>
              <w:t>Kapaciteti institucional për zbatimin e reformës</w:t>
            </w:r>
          </w:p>
        </w:tc>
        <w:tc>
          <w:tcPr>
            <w:tcW w:w="1559" w:type="dxa"/>
          </w:tcPr>
          <w:p w14:paraId="3D3B9C3A" w14:textId="09AEA0BE" w:rsidR="006F605B" w:rsidRPr="00DC66CD" w:rsidRDefault="00310FDE" w:rsidP="00030AD5">
            <w:pPr>
              <w:snapToGrid w:val="0"/>
              <w:spacing w:after="0" w:line="240" w:lineRule="auto"/>
              <w:rPr>
                <w:rFonts w:ascii="Garamond" w:hAnsi="Garamond"/>
                <w:sz w:val="20"/>
                <w:szCs w:val="20"/>
              </w:rPr>
            </w:pPr>
            <w:r w:rsidRPr="00DC66CD">
              <w:rPr>
                <w:rFonts w:ascii="Garamond" w:hAnsi="Garamond"/>
                <w:sz w:val="20"/>
                <w:szCs w:val="20"/>
              </w:rPr>
              <w:t>I m</w:t>
            </w:r>
            <w:r w:rsidR="006F605B" w:rsidRPr="00DC66CD">
              <w:rPr>
                <w:rFonts w:ascii="Garamond" w:hAnsi="Garamond"/>
                <w:sz w:val="20"/>
                <w:szCs w:val="20"/>
              </w:rPr>
              <w:t>esëm</w:t>
            </w:r>
          </w:p>
        </w:tc>
        <w:tc>
          <w:tcPr>
            <w:tcW w:w="4240" w:type="dxa"/>
          </w:tcPr>
          <w:p w14:paraId="32E52201" w14:textId="221E3B23" w:rsidR="006F605B" w:rsidRPr="00DC66CD" w:rsidRDefault="006F605B" w:rsidP="00030AD5">
            <w:pPr>
              <w:snapToGrid w:val="0"/>
              <w:spacing w:after="0" w:line="240" w:lineRule="auto"/>
              <w:rPr>
                <w:rFonts w:ascii="Garamond" w:hAnsi="Garamond"/>
                <w:sz w:val="20"/>
                <w:szCs w:val="20"/>
              </w:rPr>
            </w:pPr>
            <w:r w:rsidRPr="00DC66CD">
              <w:rPr>
                <w:rFonts w:ascii="Garamond" w:eastAsia="Times New Roman" w:hAnsi="Garamond"/>
                <w:sz w:val="20"/>
                <w:szCs w:val="20"/>
              </w:rPr>
              <w:t xml:space="preserve">Masat kanë nevojë për një koordinim të lartë </w:t>
            </w:r>
            <w:r w:rsidR="005E58A0" w:rsidRPr="00DC66CD">
              <w:rPr>
                <w:rFonts w:ascii="Garamond" w:eastAsia="Times New Roman" w:hAnsi="Garamond"/>
                <w:sz w:val="20"/>
                <w:szCs w:val="20"/>
              </w:rPr>
              <w:t>ndër</w:t>
            </w:r>
            <w:r w:rsidRPr="00DC66CD">
              <w:rPr>
                <w:rFonts w:ascii="Garamond" w:eastAsia="Times New Roman" w:hAnsi="Garamond"/>
                <w:sz w:val="20"/>
                <w:szCs w:val="20"/>
              </w:rPr>
              <w:t>institucional me vendin fqinj, i cili mund të vonojë ose të ndalojë zbatimin</w:t>
            </w:r>
          </w:p>
        </w:tc>
      </w:tr>
    </w:tbl>
    <w:p w14:paraId="5B704752" w14:textId="77777777" w:rsidR="006F605B" w:rsidRPr="00DC66CD" w:rsidRDefault="006F605B" w:rsidP="006F605B">
      <w:pPr>
        <w:snapToGrid w:val="0"/>
        <w:spacing w:after="0" w:line="240" w:lineRule="auto"/>
        <w:ind w:firstLine="284"/>
        <w:rPr>
          <w:rFonts w:ascii="Garamond" w:hAnsi="Garamond"/>
          <w:sz w:val="24"/>
          <w:szCs w:val="24"/>
        </w:rPr>
      </w:pPr>
    </w:p>
    <w:p w14:paraId="7D6CED93" w14:textId="77777777" w:rsidR="006F605B" w:rsidRPr="00DC66CD" w:rsidRDefault="006F605B" w:rsidP="006F605B">
      <w:pPr>
        <w:snapToGrid w:val="0"/>
        <w:spacing w:after="0" w:line="240" w:lineRule="auto"/>
        <w:ind w:firstLine="284"/>
        <w:rPr>
          <w:rFonts w:ascii="Garamond" w:hAnsi="Garamond"/>
          <w:sz w:val="24"/>
          <w:szCs w:val="24"/>
        </w:rPr>
      </w:pPr>
    </w:p>
    <w:p w14:paraId="56E329F8" w14:textId="7C9C9336" w:rsidR="006F605B" w:rsidRPr="00DC66CD" w:rsidRDefault="00030AD5" w:rsidP="00030AD5">
      <w:pPr>
        <w:pStyle w:val="TEKSTIIII"/>
        <w:rPr>
          <w:b/>
        </w:rPr>
      </w:pPr>
      <w:bookmarkStart w:id="46" w:name="_Toc484076191"/>
      <w:bookmarkStart w:id="47" w:name="_Toc30661235"/>
      <w:r w:rsidRPr="00DC66CD">
        <w:rPr>
          <w:b/>
        </w:rPr>
        <w:t xml:space="preserve">5.3.6 </w:t>
      </w:r>
      <w:r w:rsidR="006F605B" w:rsidRPr="00DC66CD">
        <w:rPr>
          <w:b/>
        </w:rPr>
        <w:t>Arsimi dhe aftësimi</w:t>
      </w:r>
      <w:bookmarkEnd w:id="46"/>
      <w:bookmarkEnd w:id="47"/>
    </w:p>
    <w:p w14:paraId="63CDFBD0" w14:textId="4F33FE39" w:rsidR="006F605B" w:rsidRPr="00DC66CD" w:rsidRDefault="00030AD5" w:rsidP="00030AD5">
      <w:pPr>
        <w:pStyle w:val="TEKSTIIII"/>
        <w:rPr>
          <w:i/>
        </w:rPr>
      </w:pPr>
      <w:r w:rsidRPr="00DC66CD">
        <w:rPr>
          <w:i/>
        </w:rPr>
        <w:t xml:space="preserve">a) </w:t>
      </w:r>
      <w:r w:rsidR="006F605B" w:rsidRPr="00DC66CD">
        <w:rPr>
          <w:i/>
        </w:rPr>
        <w:t>Analiza e pengesave kryesore</w:t>
      </w:r>
    </w:p>
    <w:p w14:paraId="704249E7" w14:textId="0C084028"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Cilësia e arsimit dhe gjithëpërfshirja mbeten prioritete kryesore për sistemin arsimor parauniversitar. Shqipëria ka miratuar kurrikul të re bazuar në kompetencat shoqëruar me setin e librave</w:t>
      </w:r>
      <w:r w:rsidR="006C1AD1" w:rsidRPr="00DC66CD">
        <w:rPr>
          <w:rFonts w:ascii="Garamond" w:hAnsi="Garamond"/>
          <w:sz w:val="24"/>
          <w:szCs w:val="24"/>
        </w:rPr>
        <w:t>,</w:t>
      </w:r>
      <w:r w:rsidRPr="00DC66CD">
        <w:rPr>
          <w:rFonts w:ascii="Garamond" w:hAnsi="Garamond"/>
          <w:sz w:val="24"/>
          <w:szCs w:val="24"/>
        </w:rPr>
        <w:t xml:space="preserve"> në përputhje me përmbajtjen dhe metodologjinë e re e zbatuar gradualisht nga viti 2014, nga klasa 1 deri 12 në sistemin arsimor parauniversitar.</w:t>
      </w:r>
    </w:p>
    <w:p w14:paraId="3A1A1FF9" w14:textId="61C1CCC5"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Për të siguruar arsim cilësor dhe zbatimin e kurrikulës së re të bazuar në kompetenca, është i nevojshëm për t</w:t>
      </w:r>
      <w:r w:rsidR="006C1AD1" w:rsidRPr="00DC66CD">
        <w:rPr>
          <w:rFonts w:ascii="Garamond" w:hAnsi="Garamond"/>
          <w:sz w:val="24"/>
          <w:szCs w:val="24"/>
        </w:rPr>
        <w:t>’</w:t>
      </w:r>
      <w:r w:rsidRPr="00DC66CD">
        <w:rPr>
          <w:rFonts w:ascii="Garamond" w:hAnsi="Garamond"/>
          <w:sz w:val="24"/>
          <w:szCs w:val="24"/>
        </w:rPr>
        <w:t>u adresuar: përmirësimi i mëtejshëm i infrastrukturës shkollore, sigurimi i mjeteve didaktike, përdorimi i teknologjisë në procesin e mësimit, rritja e numrit të laboratorëve, kabineteve të IT-së, dhe objekteve sportive në shkolla. Vijimi me trajnimin e vazhdueshëm të mësuesve për metodologjinë e mësimdhënies, vlerësimit të nxënësve si dhe trajnimi fillestar i mësuesve të rinj, bazuar në kurrikulën me bazë kompetencën, është thelbësore.</w:t>
      </w:r>
    </w:p>
    <w:p w14:paraId="17497371" w14:textId="6A2F1DBC"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Arsimi gjithëpërfshirës synon sigurimin e kushteve që çdo fëmijë të arrijë potencialin e plotë në sistemin arsimor. Integrimi i të gjithë fëmijëve me aftësi të kufizuara në sistemin arsimor vijon të mbetet sfidë. Numri i nxënësve me aftësi të kufizuara në shkolla </w:t>
      </w:r>
      <w:r w:rsidR="00772573" w:rsidRPr="00DC66CD">
        <w:rPr>
          <w:rFonts w:ascii="Garamond" w:hAnsi="Garamond"/>
          <w:sz w:val="24"/>
          <w:szCs w:val="24"/>
        </w:rPr>
        <w:t>jo</w:t>
      </w:r>
      <w:r w:rsidRPr="00DC66CD">
        <w:rPr>
          <w:rFonts w:ascii="Garamond" w:hAnsi="Garamond"/>
          <w:sz w:val="24"/>
          <w:szCs w:val="24"/>
        </w:rPr>
        <w:t>speciale</w:t>
      </w:r>
      <w:r w:rsidR="006C1AD1" w:rsidRPr="00DC66CD">
        <w:rPr>
          <w:rFonts w:ascii="Garamond" w:hAnsi="Garamond"/>
          <w:sz w:val="24"/>
          <w:szCs w:val="24"/>
        </w:rPr>
        <w:t>,</w:t>
      </w:r>
      <w:r w:rsidRPr="00DC66CD">
        <w:rPr>
          <w:rFonts w:ascii="Garamond" w:hAnsi="Garamond"/>
          <w:sz w:val="24"/>
          <w:szCs w:val="24"/>
        </w:rPr>
        <w:t xml:space="preserve"> në vitet </w:t>
      </w:r>
      <w:r w:rsidR="00433A3A" w:rsidRPr="00DC66CD">
        <w:rPr>
          <w:rFonts w:ascii="Garamond" w:hAnsi="Garamond"/>
          <w:sz w:val="24"/>
          <w:szCs w:val="24"/>
        </w:rPr>
        <w:t>2018–</w:t>
      </w:r>
      <w:r w:rsidR="006C1AD1" w:rsidRPr="00DC66CD">
        <w:rPr>
          <w:rFonts w:ascii="Garamond" w:hAnsi="Garamond"/>
          <w:sz w:val="24"/>
          <w:szCs w:val="24"/>
        </w:rPr>
        <w:t>’</w:t>
      </w:r>
      <w:r w:rsidRPr="00DC66CD">
        <w:rPr>
          <w:rFonts w:ascii="Garamond" w:hAnsi="Garamond"/>
          <w:sz w:val="24"/>
          <w:szCs w:val="24"/>
        </w:rPr>
        <w:t>19</w:t>
      </w:r>
      <w:r w:rsidR="006C1AD1" w:rsidRPr="00DC66CD">
        <w:rPr>
          <w:rFonts w:ascii="Garamond" w:hAnsi="Garamond"/>
          <w:sz w:val="24"/>
          <w:szCs w:val="24"/>
        </w:rPr>
        <w:t>,</w:t>
      </w:r>
      <w:r w:rsidRPr="00DC66CD">
        <w:rPr>
          <w:rFonts w:ascii="Garamond" w:hAnsi="Garamond"/>
          <w:sz w:val="24"/>
          <w:szCs w:val="24"/>
        </w:rPr>
        <w:t xml:space="preserve"> ishte 3,683, të mbështetur nga 944 mësues ndihmës, rreth një mësues për katër nxënës me aftësi të kufizuara në nivel kombëtar. Duhet të adresohet më tej numri i pamjaftueshëm i</w:t>
      </w:r>
      <w:r w:rsidR="0072211B" w:rsidRPr="00DC66CD">
        <w:rPr>
          <w:rFonts w:ascii="Garamond" w:hAnsi="Garamond"/>
          <w:sz w:val="24"/>
          <w:szCs w:val="24"/>
        </w:rPr>
        <w:t xml:space="preserve"> </w:t>
      </w:r>
      <w:r w:rsidRPr="00DC66CD">
        <w:rPr>
          <w:rFonts w:ascii="Garamond" w:hAnsi="Garamond"/>
          <w:sz w:val="24"/>
          <w:szCs w:val="24"/>
        </w:rPr>
        <w:t xml:space="preserve">mësuesve ndihmës në rajone ku numri i nxënësve me aftësi të kufizuara për mësues është më i lartë, siç janë Tirana, </w:t>
      </w:r>
      <w:r w:rsidR="006C1AD1" w:rsidRPr="00DC66CD">
        <w:rPr>
          <w:rFonts w:ascii="Garamond" w:hAnsi="Garamond"/>
          <w:sz w:val="24"/>
          <w:szCs w:val="24"/>
        </w:rPr>
        <w:t xml:space="preserve">qarku </w:t>
      </w:r>
      <w:r w:rsidRPr="00DC66CD">
        <w:rPr>
          <w:rFonts w:ascii="Garamond" w:hAnsi="Garamond"/>
          <w:sz w:val="24"/>
          <w:szCs w:val="24"/>
        </w:rPr>
        <w:t>i Tiranës, Durrësi dhe Kamza. Ashtë aprovuar udhëzuesi i ri për mësuesit ndihmës</w:t>
      </w:r>
      <w:r w:rsidR="006C1AD1" w:rsidRPr="00DC66CD">
        <w:rPr>
          <w:rFonts w:ascii="Garamond" w:hAnsi="Garamond"/>
          <w:sz w:val="24"/>
          <w:szCs w:val="24"/>
        </w:rPr>
        <w:t>,</w:t>
      </w:r>
      <w:r w:rsidRPr="00DC66CD">
        <w:rPr>
          <w:rFonts w:ascii="Garamond" w:hAnsi="Garamond"/>
          <w:sz w:val="24"/>
          <w:szCs w:val="24"/>
        </w:rPr>
        <w:t xml:space="preserve"> duke ulur numrin raportin nxënës për mësues në 2</w:t>
      </w:r>
      <w:r w:rsidR="006C1AD1" w:rsidRPr="00DC66CD">
        <w:rPr>
          <w:rFonts w:ascii="Garamond" w:hAnsi="Garamond"/>
          <w:sz w:val="24"/>
          <w:szCs w:val="24"/>
        </w:rPr>
        <w:t>–</w:t>
      </w:r>
      <w:r w:rsidRPr="00DC66CD">
        <w:rPr>
          <w:rFonts w:ascii="Garamond" w:hAnsi="Garamond"/>
          <w:sz w:val="24"/>
          <w:szCs w:val="24"/>
        </w:rPr>
        <w:t>3 nxënës për 1 mësues në nivel kombëtar.</w:t>
      </w:r>
    </w:p>
    <w:p w14:paraId="77DE83AC" w14:textId="2C94A885"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Gjatë vitit 2019 është adresuar një çështje thelbësore për përmirësimin e këtij shërbimi arsimor: mungesa e mësuesve të licencuar të arsimit special (mësuesit ndihmës). MASR</w:t>
      </w:r>
      <w:r w:rsidR="006C1AD1" w:rsidRPr="00DC66CD">
        <w:rPr>
          <w:rFonts w:ascii="Garamond" w:hAnsi="Garamond"/>
          <w:sz w:val="24"/>
          <w:szCs w:val="24"/>
        </w:rPr>
        <w:t>-ja</w:t>
      </w:r>
      <w:r w:rsidRPr="00DC66CD">
        <w:rPr>
          <w:rFonts w:ascii="Garamond" w:hAnsi="Garamond"/>
          <w:sz w:val="24"/>
          <w:szCs w:val="24"/>
        </w:rPr>
        <w:t xml:space="preserve"> ka bërë ndërhyrjet e nevojshme ligjore për të legjitimuar licencimin e kësaj kategorie mësuesish dhe në dhjetor 2019 janë licencuar 20 mësuesit e parë të arsimit special.</w:t>
      </w:r>
    </w:p>
    <w:p w14:paraId="2E6E6495" w14:textId="1C7C54EA"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Në kuadër të përmirësimit të cilësisë së arsimit dhe sigurimin e arsimit gjithëpërfshirës është edhe centralizimi i klasave të kombinuara (kolektive) duke transferuar nxënësit e këtyre klasave në shkolla ku mund të arsimohen në klasa normale, me bashkëmoshatarë të tyre. Mungesa e infrastrukturës së duhur rrugore sidomos në zonat rurale të largëta, është pengesa kryesore për transportin e nxënësve. Gjithashtu</w:t>
      </w:r>
      <w:r w:rsidR="0065705E" w:rsidRPr="00DC66CD">
        <w:rPr>
          <w:rFonts w:ascii="Garamond" w:hAnsi="Garamond"/>
          <w:sz w:val="24"/>
          <w:szCs w:val="24"/>
        </w:rPr>
        <w:t>,</w:t>
      </w:r>
      <w:r w:rsidRPr="00DC66CD">
        <w:rPr>
          <w:rFonts w:ascii="Garamond" w:hAnsi="Garamond"/>
          <w:sz w:val="24"/>
          <w:szCs w:val="24"/>
        </w:rPr>
        <w:t xml:space="preserve"> rritja e mbështetjes dhe sensibilizimi i prindërve dhe komunitetit për këtë proces centralizimi dhe</w:t>
      </w:r>
      <w:r w:rsidR="0072211B" w:rsidRPr="00DC66CD">
        <w:rPr>
          <w:rFonts w:ascii="Garamond" w:hAnsi="Garamond"/>
          <w:sz w:val="24"/>
          <w:szCs w:val="24"/>
        </w:rPr>
        <w:t xml:space="preserve"> </w:t>
      </w:r>
      <w:r w:rsidRPr="00DC66CD">
        <w:rPr>
          <w:rFonts w:ascii="Garamond" w:hAnsi="Garamond"/>
          <w:sz w:val="24"/>
          <w:szCs w:val="24"/>
        </w:rPr>
        <w:t>transferimi të fëmijëve në shkolla me klasa normale, ku mund t</w:t>
      </w:r>
      <w:r w:rsidR="002C582E" w:rsidRPr="00DC66CD">
        <w:rPr>
          <w:rFonts w:ascii="Garamond" w:hAnsi="Garamond"/>
          <w:sz w:val="24"/>
          <w:szCs w:val="24"/>
        </w:rPr>
        <w:t>’</w:t>
      </w:r>
      <w:r w:rsidRPr="00DC66CD">
        <w:rPr>
          <w:rFonts w:ascii="Garamond" w:hAnsi="Garamond"/>
          <w:sz w:val="24"/>
          <w:szCs w:val="24"/>
        </w:rPr>
        <w:t>i sigurohet një arsim më cilësor, është një sfidë aktuale.</w:t>
      </w:r>
    </w:p>
    <w:p w14:paraId="3D47F9E0" w14:textId="32E984D3" w:rsidR="006F605B" w:rsidRPr="00DC66CD" w:rsidRDefault="006F605B" w:rsidP="006F605B">
      <w:pPr>
        <w:spacing w:after="0" w:line="240" w:lineRule="auto"/>
        <w:ind w:firstLine="284"/>
        <w:jc w:val="both"/>
        <w:rPr>
          <w:rFonts w:ascii="Garamond" w:eastAsia="Times New Roman" w:hAnsi="Garamond"/>
          <w:color w:val="000000"/>
          <w:sz w:val="24"/>
          <w:szCs w:val="24"/>
          <w:lang w:eastAsia="en-GB"/>
        </w:rPr>
      </w:pPr>
      <w:r w:rsidRPr="00DC66CD">
        <w:rPr>
          <w:rFonts w:ascii="Garamond" w:eastAsia="Times New Roman" w:hAnsi="Garamond"/>
          <w:color w:val="000000"/>
          <w:sz w:val="24"/>
          <w:szCs w:val="24"/>
          <w:lang w:eastAsia="en-GB"/>
        </w:rPr>
        <w:t>Reforma e sistemit të arsimit dhe aftësimit profesional (AFP) në Shqipëri është përqendruar kryesisht në përmirësimin aksesueshmërisë, atraktivitetit të sistemit të AFP-së, dhe rëndësisë së lidhjeve/me tregun e punës, ndërsa përpiqet të sigurojë parimet thelbësore të gjithë përfshirjes, autonomisë, cilësisë, bashkëpunimit, pjesëmarrjes, lëvizshmërisë dhe diversitetit. Pavarësisht nga potenciali i sistemit të AFP-së për t</w:t>
      </w:r>
      <w:r w:rsidR="0065705E"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i materializuar këto parime, sfidat legjislative, institucionale dhe të zbatimit vazhdojnë. Sistemi i AFP-së ende përpiqet të përgjigjet në mënyrë proaktive ndaj nevojave/kërkesave të sektorit privat, ofron një gamë të ngushtë të programeve/kurseve dhe</w:t>
      </w:r>
      <w:r w:rsidR="0065705E"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kryesisht mundëson përvetësimin e aftësive të ulëta në dëm të aftësive të mesme dhe të larta profesionale. Ofruesit e AFP-së kanë një autonomi të kufizuar me vendimmarrje të pavarur të centralizuar dhe të kufizuar financiare. Bashkëpunimi me sektorin privat e ka dhënë disa rezultate pozitive sidomos në fushën e mësimit të bazuar në punë dhe</w:t>
      </w:r>
      <w:r w:rsidR="0065705E"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për sa i përket pjesëmarrjes së tyre në bordet menaxhuese të bordeve të ofruesve të AFP-së. Megjithatë, është e nevojshme pjesëmarrja e sektorit privat në nivele më të larta qeverisjeje.</w:t>
      </w:r>
    </w:p>
    <w:p w14:paraId="0D49CC96" w14:textId="4306B34E" w:rsidR="006F605B" w:rsidRPr="00DC66CD" w:rsidRDefault="006F605B" w:rsidP="006F605B">
      <w:pPr>
        <w:spacing w:after="0" w:line="240" w:lineRule="auto"/>
        <w:ind w:firstLine="284"/>
        <w:jc w:val="both"/>
        <w:rPr>
          <w:rFonts w:ascii="Garamond" w:eastAsia="Times New Roman" w:hAnsi="Garamond"/>
          <w:color w:val="000000"/>
          <w:sz w:val="24"/>
          <w:szCs w:val="24"/>
          <w:lang w:eastAsia="en-GB"/>
        </w:rPr>
      </w:pPr>
      <w:r w:rsidRPr="00DC66CD">
        <w:rPr>
          <w:rFonts w:ascii="Garamond" w:eastAsia="Times New Roman" w:hAnsi="Garamond"/>
          <w:color w:val="000000"/>
          <w:sz w:val="24"/>
          <w:szCs w:val="24"/>
          <w:lang w:eastAsia="en-GB"/>
        </w:rPr>
        <w:t>2019</w:t>
      </w:r>
      <w:r w:rsidR="0065705E" w:rsidRPr="00DC66CD">
        <w:rPr>
          <w:rFonts w:ascii="Garamond" w:eastAsia="Times New Roman" w:hAnsi="Garamond"/>
          <w:color w:val="000000"/>
          <w:sz w:val="24"/>
          <w:szCs w:val="24"/>
          <w:lang w:eastAsia="en-GB"/>
        </w:rPr>
        <w:t>-ta</w:t>
      </w:r>
      <w:r w:rsidRPr="00DC66CD">
        <w:rPr>
          <w:rFonts w:ascii="Garamond" w:eastAsia="Times New Roman" w:hAnsi="Garamond"/>
          <w:color w:val="000000"/>
          <w:sz w:val="24"/>
          <w:szCs w:val="24"/>
          <w:lang w:eastAsia="en-GB"/>
        </w:rPr>
        <w:t xml:space="preserve"> ka shënuar politika të konsiderueshme të zhvillimit të aftësive, si dhe kornizën ligjore dhe institucionale që rregullon sektorin. Pas rishikimit afatmesëm të Strategjisë Kombëtare të Punësimit dhe Aftësive</w:t>
      </w:r>
      <w:r w:rsidR="00162C00"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w:t>
      </w:r>
      <w:r w:rsidR="00433A3A" w:rsidRPr="00DC66CD">
        <w:rPr>
          <w:rFonts w:ascii="Garamond" w:eastAsia="Times New Roman" w:hAnsi="Garamond"/>
          <w:color w:val="000000"/>
          <w:sz w:val="24"/>
          <w:szCs w:val="24"/>
          <w:lang w:eastAsia="en-GB"/>
        </w:rPr>
        <w:t>2014–</w:t>
      </w:r>
      <w:r w:rsidRPr="00DC66CD">
        <w:rPr>
          <w:rFonts w:ascii="Garamond" w:eastAsia="Times New Roman" w:hAnsi="Garamond"/>
          <w:color w:val="000000"/>
          <w:sz w:val="24"/>
          <w:szCs w:val="24"/>
          <w:lang w:eastAsia="en-GB"/>
        </w:rPr>
        <w:t xml:space="preserve">2020, strategjia dhe plani i saj i veprimit të lidhur janë rishikuar dhe zgjatur deri në vitin 2022 (siç është aprovuar me një </w:t>
      </w:r>
      <w:r w:rsidR="00162C00" w:rsidRPr="00DC66CD">
        <w:rPr>
          <w:rFonts w:ascii="Garamond" w:eastAsia="Times New Roman" w:hAnsi="Garamond"/>
          <w:color w:val="000000"/>
          <w:sz w:val="24"/>
          <w:szCs w:val="24"/>
          <w:lang w:eastAsia="en-GB"/>
        </w:rPr>
        <w:t xml:space="preserve">vendim </w:t>
      </w:r>
      <w:r w:rsidRPr="00DC66CD">
        <w:rPr>
          <w:rFonts w:ascii="Garamond" w:eastAsia="Times New Roman" w:hAnsi="Garamond"/>
          <w:color w:val="000000"/>
          <w:sz w:val="24"/>
          <w:szCs w:val="24"/>
          <w:lang w:eastAsia="en-GB"/>
        </w:rPr>
        <w:t xml:space="preserve">të Këshillit të Ministrave në </w:t>
      </w:r>
      <w:r w:rsidR="00162C00" w:rsidRPr="00DC66CD">
        <w:rPr>
          <w:rFonts w:ascii="Garamond" w:eastAsia="Times New Roman" w:hAnsi="Garamond"/>
          <w:color w:val="000000"/>
          <w:sz w:val="24"/>
          <w:szCs w:val="24"/>
          <w:lang w:eastAsia="en-GB"/>
        </w:rPr>
        <w:t xml:space="preserve">tetor </w:t>
      </w:r>
      <w:r w:rsidRPr="00DC66CD">
        <w:rPr>
          <w:rFonts w:ascii="Garamond" w:eastAsia="Times New Roman" w:hAnsi="Garamond"/>
          <w:color w:val="000000"/>
          <w:sz w:val="24"/>
          <w:szCs w:val="24"/>
          <w:lang w:eastAsia="en-GB"/>
        </w:rPr>
        <w:t xml:space="preserve">2019). Miratimi i ligjit </w:t>
      </w:r>
      <w:r w:rsidR="00162C00" w:rsidRPr="00DC66CD">
        <w:rPr>
          <w:rFonts w:ascii="Garamond" w:eastAsia="Times New Roman" w:hAnsi="Garamond"/>
          <w:color w:val="000000"/>
          <w:sz w:val="24"/>
          <w:szCs w:val="24"/>
          <w:lang w:eastAsia="en-GB"/>
        </w:rPr>
        <w:t>nr</w:t>
      </w:r>
      <w:r w:rsidRPr="00DC66CD">
        <w:rPr>
          <w:rFonts w:ascii="Garamond" w:eastAsia="Times New Roman" w:hAnsi="Garamond"/>
          <w:color w:val="000000"/>
          <w:sz w:val="24"/>
          <w:szCs w:val="24"/>
          <w:lang w:eastAsia="en-GB"/>
        </w:rPr>
        <w:t>.</w:t>
      </w:r>
      <w:r w:rsidR="00162C00" w:rsidRPr="00DC66CD">
        <w:rPr>
          <w:rFonts w:ascii="Garamond" w:eastAsia="Times New Roman" w:hAnsi="Garamond"/>
          <w:color w:val="000000"/>
          <w:sz w:val="24"/>
          <w:szCs w:val="24"/>
          <w:lang w:eastAsia="en-GB"/>
        </w:rPr>
        <w:t xml:space="preserve"> </w:t>
      </w:r>
      <w:r w:rsidRPr="00DC66CD">
        <w:rPr>
          <w:rFonts w:ascii="Garamond" w:eastAsia="Times New Roman" w:hAnsi="Garamond"/>
          <w:color w:val="000000"/>
          <w:sz w:val="24"/>
          <w:szCs w:val="24"/>
          <w:lang w:eastAsia="en-GB"/>
        </w:rPr>
        <w:t>15/2019</w:t>
      </w:r>
      <w:r w:rsidR="00162C00"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w:t>
      </w:r>
      <w:r w:rsidR="002A29AD"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Për </w:t>
      </w:r>
      <w:r w:rsidR="00162C00" w:rsidRPr="00DC66CD">
        <w:rPr>
          <w:rFonts w:ascii="Garamond" w:eastAsia="Times New Roman" w:hAnsi="Garamond"/>
          <w:color w:val="000000"/>
          <w:sz w:val="24"/>
          <w:szCs w:val="24"/>
          <w:lang w:eastAsia="en-GB"/>
        </w:rPr>
        <w:t>promovimin e punësimit</w:t>
      </w:r>
      <w:r w:rsidR="002A29AD"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në </w:t>
      </w:r>
      <w:r w:rsidR="00162C00" w:rsidRPr="00DC66CD">
        <w:rPr>
          <w:rFonts w:ascii="Garamond" w:eastAsia="Times New Roman" w:hAnsi="Garamond"/>
          <w:color w:val="000000"/>
          <w:sz w:val="24"/>
          <w:szCs w:val="24"/>
          <w:lang w:eastAsia="en-GB"/>
        </w:rPr>
        <w:t xml:space="preserve">mars </w:t>
      </w:r>
      <w:r w:rsidRPr="00DC66CD">
        <w:rPr>
          <w:rFonts w:ascii="Garamond" w:eastAsia="Times New Roman" w:hAnsi="Garamond"/>
          <w:color w:val="000000"/>
          <w:sz w:val="24"/>
          <w:szCs w:val="24"/>
          <w:lang w:eastAsia="en-GB"/>
        </w:rPr>
        <w:t>2019, përfundoi kornizën ligjore që lidhet me politikat/programet e punësimit dhe zhvillimin e aftësive</w:t>
      </w:r>
      <w:r w:rsidR="00772573"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por më e rëndësishmja i hapi rrugën përfundimit të akteve nënligjore të ligjit të AFP-së. Deri në nëntor 2019, 13 nga 23 akteve nënligjore janë miratuar, 2 ishin në fazën përfundimtare të miratimit, 5 hartuar dhe rreth të ndahet për konsultime të mëtejshme dhe vetëm 3 nuk ka filluar. Për më tepër, vendosi ofruesit e arsimit dhe aftësimit profesional nën menaxhimin e Agjencisë Kombëtare të Punësimit dhe Aftësive (AKSH) </w:t>
      </w:r>
      <w:r w:rsidR="00162C00"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VKM</w:t>
      </w:r>
      <w:r w:rsidR="00162C00" w:rsidRPr="00DC66CD">
        <w:rPr>
          <w:rFonts w:ascii="Garamond" w:eastAsia="Times New Roman" w:hAnsi="Garamond"/>
          <w:color w:val="000000"/>
          <w:sz w:val="24"/>
          <w:szCs w:val="24"/>
          <w:lang w:eastAsia="en-GB"/>
        </w:rPr>
        <w:t>-ja</w:t>
      </w:r>
      <w:r w:rsidRPr="00DC66CD">
        <w:rPr>
          <w:rFonts w:ascii="Garamond" w:eastAsia="Times New Roman" w:hAnsi="Garamond"/>
          <w:color w:val="000000"/>
          <w:sz w:val="24"/>
          <w:szCs w:val="24"/>
          <w:lang w:eastAsia="en-GB"/>
        </w:rPr>
        <w:t xml:space="preserve"> 554/2019. Struktura e aprovuar e NAES përfshin një rritje të konsiderueshme të burimeve njerëzore në nivelin qendror</w:t>
      </w:r>
      <w:r w:rsidR="00162C00"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duke lejuar që institucioni të kryejë të gjitha funksionet e dhëna me ligj. Rikonstruksioni i Agjencisë Kombëtare të AAP</w:t>
      </w:r>
      <w:r w:rsidR="00162C00" w:rsidRPr="00DC66CD">
        <w:rPr>
          <w:rFonts w:ascii="Garamond" w:eastAsia="Times New Roman" w:hAnsi="Garamond"/>
          <w:color w:val="000000"/>
          <w:sz w:val="24"/>
          <w:szCs w:val="24"/>
          <w:lang w:eastAsia="en-GB"/>
        </w:rPr>
        <w:t>-së</w:t>
      </w:r>
      <w:r w:rsidRPr="00DC66CD">
        <w:rPr>
          <w:rFonts w:ascii="Garamond" w:eastAsia="Times New Roman" w:hAnsi="Garamond"/>
          <w:color w:val="000000"/>
          <w:sz w:val="24"/>
          <w:szCs w:val="24"/>
          <w:lang w:eastAsia="en-GB"/>
        </w:rPr>
        <w:t xml:space="preserve"> dhe </w:t>
      </w:r>
      <w:r w:rsidR="00162C00" w:rsidRPr="00DC66CD">
        <w:rPr>
          <w:rFonts w:ascii="Garamond" w:eastAsia="Times New Roman" w:hAnsi="Garamond"/>
          <w:color w:val="000000"/>
          <w:sz w:val="24"/>
          <w:szCs w:val="24"/>
          <w:lang w:eastAsia="en-GB"/>
        </w:rPr>
        <w:t xml:space="preserve">i Kualifikimeve </w:t>
      </w:r>
      <w:r w:rsidRPr="00DC66CD">
        <w:rPr>
          <w:rFonts w:ascii="Garamond" w:eastAsia="Times New Roman" w:hAnsi="Garamond"/>
          <w:color w:val="000000"/>
          <w:sz w:val="24"/>
          <w:szCs w:val="24"/>
          <w:lang w:eastAsia="en-GB"/>
        </w:rPr>
        <w:t xml:space="preserve">(NAVETQ), duke përfshirë të gjitha funksionet e reja të dhëna nga </w:t>
      </w:r>
      <w:r w:rsidR="00162C00" w:rsidRPr="00DC66CD">
        <w:rPr>
          <w:rFonts w:ascii="Garamond" w:eastAsia="Times New Roman" w:hAnsi="Garamond"/>
          <w:color w:val="000000"/>
          <w:sz w:val="24"/>
          <w:szCs w:val="24"/>
          <w:lang w:eastAsia="en-GB"/>
        </w:rPr>
        <w:t xml:space="preserve">ligji </w:t>
      </w:r>
      <w:r w:rsidRPr="00DC66CD">
        <w:rPr>
          <w:rFonts w:ascii="Garamond" w:eastAsia="Times New Roman" w:hAnsi="Garamond"/>
          <w:color w:val="000000"/>
          <w:sz w:val="24"/>
          <w:szCs w:val="24"/>
          <w:lang w:eastAsia="en-GB"/>
        </w:rPr>
        <w:t>për AAP</w:t>
      </w:r>
      <w:r w:rsidR="00162C00" w:rsidRPr="00DC66CD">
        <w:rPr>
          <w:rFonts w:ascii="Garamond" w:eastAsia="Times New Roman" w:hAnsi="Garamond"/>
          <w:color w:val="000000"/>
          <w:sz w:val="24"/>
          <w:szCs w:val="24"/>
          <w:lang w:eastAsia="en-GB"/>
        </w:rPr>
        <w:t>-në</w:t>
      </w:r>
      <w:r w:rsidRPr="00DC66CD">
        <w:rPr>
          <w:rFonts w:ascii="Garamond" w:eastAsia="Times New Roman" w:hAnsi="Garamond"/>
          <w:color w:val="000000"/>
          <w:sz w:val="24"/>
          <w:szCs w:val="24"/>
          <w:lang w:eastAsia="en-GB"/>
        </w:rPr>
        <w:t xml:space="preserve"> dhe </w:t>
      </w:r>
      <w:r w:rsidR="00162C00" w:rsidRPr="00DC66CD">
        <w:rPr>
          <w:rFonts w:ascii="Garamond" w:eastAsia="Times New Roman" w:hAnsi="Garamond"/>
          <w:color w:val="000000"/>
          <w:sz w:val="24"/>
          <w:szCs w:val="24"/>
          <w:lang w:eastAsia="en-GB"/>
        </w:rPr>
        <w:t xml:space="preserve">ligji </w:t>
      </w:r>
      <w:r w:rsidRPr="00DC66CD">
        <w:rPr>
          <w:rFonts w:ascii="Garamond" w:eastAsia="Times New Roman" w:hAnsi="Garamond"/>
          <w:color w:val="000000"/>
          <w:sz w:val="24"/>
          <w:szCs w:val="24"/>
          <w:lang w:eastAsia="en-GB"/>
        </w:rPr>
        <w:t xml:space="preserve">për </w:t>
      </w:r>
      <w:r w:rsidR="00162C00" w:rsidRPr="00DC66CD">
        <w:rPr>
          <w:rFonts w:ascii="Garamond" w:eastAsia="Times New Roman" w:hAnsi="Garamond"/>
          <w:color w:val="000000"/>
          <w:sz w:val="24"/>
          <w:szCs w:val="24"/>
          <w:lang w:eastAsia="en-GB"/>
        </w:rPr>
        <w:t>kornizën e kualifikimeve shqiptare</w:t>
      </w:r>
      <w:r w:rsidRPr="00DC66CD">
        <w:rPr>
          <w:rFonts w:ascii="Garamond" w:eastAsia="Times New Roman" w:hAnsi="Garamond"/>
          <w:color w:val="000000"/>
          <w:sz w:val="24"/>
          <w:szCs w:val="24"/>
          <w:lang w:eastAsia="en-GB"/>
        </w:rPr>
        <w:t>, kompleton kryesisht kornizën institucionale që rregullon sektorin e AFP-së.</w:t>
      </w:r>
    </w:p>
    <w:p w14:paraId="633A5189" w14:textId="73198BB4" w:rsidR="006F605B" w:rsidRPr="00DC66CD" w:rsidRDefault="006F605B" w:rsidP="006F605B">
      <w:pPr>
        <w:spacing w:after="0" w:line="240" w:lineRule="auto"/>
        <w:ind w:firstLine="284"/>
        <w:jc w:val="both"/>
        <w:rPr>
          <w:rFonts w:ascii="Garamond" w:eastAsia="Times New Roman" w:hAnsi="Garamond"/>
          <w:color w:val="000000"/>
          <w:sz w:val="24"/>
          <w:szCs w:val="24"/>
          <w:lang w:eastAsia="en-GB"/>
        </w:rPr>
      </w:pPr>
      <w:r w:rsidRPr="00DC66CD">
        <w:rPr>
          <w:rFonts w:ascii="Garamond" w:eastAsia="Times New Roman" w:hAnsi="Garamond"/>
          <w:color w:val="000000"/>
          <w:sz w:val="24"/>
          <w:szCs w:val="24"/>
          <w:lang w:eastAsia="en-GB"/>
        </w:rPr>
        <w:t>Sipas të dhënave të INSTAT</w:t>
      </w:r>
      <w:hyperlink r:id="rId104" w:anchor="_ftn1" w:history="1">
        <w:r w:rsidRPr="00DC66CD">
          <w:rPr>
            <w:rStyle w:val="FootnoteReference"/>
            <w:rFonts w:ascii="Garamond" w:eastAsia="Times New Roman" w:hAnsi="Garamond"/>
            <w:sz w:val="24"/>
            <w:szCs w:val="24"/>
            <w:lang w:eastAsia="en-GB"/>
          </w:rPr>
          <w:footnoteReference w:id="25"/>
        </w:r>
        <w:r w:rsidRPr="00DC66CD">
          <w:rPr>
            <w:rFonts w:ascii="Garamond" w:eastAsia="Times New Roman" w:hAnsi="Garamond"/>
            <w:color w:val="000000"/>
            <w:sz w:val="24"/>
            <w:szCs w:val="24"/>
            <w:lang w:eastAsia="en-GB"/>
          </w:rPr>
          <w:t xml:space="preserve">, </w:t>
        </w:r>
      </w:hyperlink>
      <w:r w:rsidRPr="00DC66CD">
        <w:rPr>
          <w:rFonts w:ascii="Garamond" w:eastAsia="Times New Roman" w:hAnsi="Garamond"/>
          <w:color w:val="000000"/>
          <w:sz w:val="24"/>
          <w:szCs w:val="24"/>
          <w:lang w:eastAsia="en-GB"/>
        </w:rPr>
        <w:t>norma e punësimit të personave me arsimin e mesëm profesional është 68.3% në krahasim me 53% për ata me arsim të mesëm të përgjithshëm, duke theksuar se rritja e mundësive të punësimit për ata që janë në posedim të aftësive profesionale. Që nga viti 2017, punësimi i të gjithë maturantëve të AFP-së (si studentë të arsimit të mesëm dhe të trajnuar të mesëm) në gjurmimin përmes një studimi vjetor gjurmues. Këto rezultate tregojnë se në 2019</w:t>
      </w:r>
      <w:r w:rsidR="00162C00"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52% e të diplomuarve nga 2018 ishin të punësuar dhe 12% janë njëkohësisht duke punuar dhe studiuar, për një normë të përgjithshme të punësimit prej 64%. Rezultatet nga 2018 (duke kërkuar në të diplomuar nga 2017) tregojnë se 55% janë të punësuar dhe 8% ishin duke punuar dhe studiuar, për një normë të përgjithshme të punësimit prej 63%. Pjesa e studentëve që ndjekin studimet e mëtejshme u rrit në vitin 2019.</w:t>
      </w:r>
    </w:p>
    <w:p w14:paraId="51047F8D" w14:textId="07D759F3" w:rsidR="006F605B" w:rsidRPr="00DC66CD" w:rsidRDefault="006F605B" w:rsidP="006F605B">
      <w:pPr>
        <w:spacing w:after="0" w:line="240" w:lineRule="auto"/>
        <w:ind w:firstLine="284"/>
        <w:jc w:val="both"/>
        <w:rPr>
          <w:rFonts w:ascii="Garamond" w:eastAsia="Times New Roman" w:hAnsi="Garamond"/>
          <w:color w:val="000000"/>
          <w:sz w:val="24"/>
          <w:szCs w:val="24"/>
          <w:lang w:eastAsia="en-GB"/>
        </w:rPr>
      </w:pPr>
      <w:r w:rsidRPr="00DC66CD">
        <w:rPr>
          <w:rFonts w:ascii="Garamond" w:eastAsia="Times New Roman" w:hAnsi="Garamond"/>
          <w:color w:val="000000"/>
          <w:sz w:val="24"/>
          <w:szCs w:val="24"/>
          <w:lang w:eastAsia="en-GB"/>
        </w:rPr>
        <w:t>Pavarësisht, avantazh të qartë në tregun e punës të të diplomuarve të AAP</w:t>
      </w:r>
      <w:r w:rsidR="005829A1" w:rsidRPr="00DC66CD">
        <w:rPr>
          <w:rFonts w:ascii="Garamond" w:eastAsia="Times New Roman" w:hAnsi="Garamond"/>
          <w:color w:val="000000"/>
          <w:sz w:val="24"/>
          <w:szCs w:val="24"/>
          <w:lang w:eastAsia="en-GB"/>
        </w:rPr>
        <w:t>-së</w:t>
      </w:r>
      <w:r w:rsidRPr="00DC66CD">
        <w:rPr>
          <w:rFonts w:ascii="Garamond" w:eastAsia="Times New Roman" w:hAnsi="Garamond"/>
          <w:color w:val="000000"/>
          <w:sz w:val="24"/>
          <w:szCs w:val="24"/>
          <w:lang w:eastAsia="en-GB"/>
        </w:rPr>
        <w:t>, regjistrimi në arsimin e mesëm profesional në vitin akademik</w:t>
      </w:r>
      <w:r w:rsidR="005829A1"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w:t>
      </w:r>
      <w:r w:rsidR="00433A3A" w:rsidRPr="00DC66CD">
        <w:rPr>
          <w:rFonts w:ascii="Garamond" w:eastAsia="Times New Roman" w:hAnsi="Garamond"/>
          <w:color w:val="000000"/>
          <w:sz w:val="24"/>
          <w:szCs w:val="24"/>
          <w:lang w:eastAsia="en-GB"/>
        </w:rPr>
        <w:t>2019–</w:t>
      </w:r>
      <w:r w:rsidRPr="00DC66CD">
        <w:rPr>
          <w:rFonts w:ascii="Garamond" w:eastAsia="Times New Roman" w:hAnsi="Garamond"/>
          <w:color w:val="000000"/>
          <w:sz w:val="24"/>
          <w:szCs w:val="24"/>
          <w:lang w:eastAsia="en-GB"/>
        </w:rPr>
        <w:t>2020</w:t>
      </w:r>
      <w:r w:rsidR="005829A1"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ra në 18,164 (nga 19,200 në </w:t>
      </w:r>
      <w:r w:rsidR="00433A3A" w:rsidRPr="00DC66CD">
        <w:rPr>
          <w:rFonts w:ascii="Garamond" w:eastAsia="Times New Roman" w:hAnsi="Garamond"/>
          <w:color w:val="000000"/>
          <w:sz w:val="24"/>
          <w:szCs w:val="24"/>
          <w:lang w:eastAsia="en-GB"/>
        </w:rPr>
        <w:t>2018–</w:t>
      </w:r>
      <w:r w:rsidRPr="00DC66CD">
        <w:rPr>
          <w:rFonts w:ascii="Garamond" w:eastAsia="Times New Roman" w:hAnsi="Garamond"/>
          <w:color w:val="000000"/>
          <w:sz w:val="24"/>
          <w:szCs w:val="24"/>
          <w:lang w:eastAsia="en-GB"/>
        </w:rPr>
        <w:t>2019) studentët</w:t>
      </w:r>
      <w:r w:rsidR="00772573"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njëkohësisht theksuan si sfidë atraktivitetin, nevojën për promovim më të madh të arsimit profesional, si një rrugë e zbatueshme dr</w:t>
      </w:r>
      <w:r w:rsidR="005829A1" w:rsidRPr="00DC66CD">
        <w:rPr>
          <w:rFonts w:ascii="Garamond" w:eastAsia="Times New Roman" w:hAnsi="Garamond"/>
          <w:color w:val="000000"/>
          <w:sz w:val="24"/>
          <w:szCs w:val="24"/>
          <w:lang w:eastAsia="en-GB"/>
        </w:rPr>
        <w:t>ejt punësimit</w:t>
      </w:r>
      <w:r w:rsidRPr="00DC66CD">
        <w:rPr>
          <w:rFonts w:ascii="Garamond" w:eastAsia="Times New Roman" w:hAnsi="Garamond"/>
          <w:color w:val="000000"/>
          <w:sz w:val="24"/>
          <w:szCs w:val="24"/>
          <w:lang w:eastAsia="en-GB"/>
        </w:rPr>
        <w:t xml:space="preserve"> dhe ndikimet e rënies demografike. Në vitin aktual akademik ka një rritje të konsiderueshme të numrit të studentëve nga zonat rurale dhe grupeve të margjinalizuara. Më konkretisht, pjesëmarrja e romëve dhe egjiptianëve (R/E) u rrit me 12%</w:t>
      </w:r>
      <w:r w:rsidR="005829A1"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duke arritur në 580 studentë (krahasuar me 519 në vitin e kaluar), ndërsa pjesëmarrja e personave me aftësi të kufizuara u rrit nga 108 në 128. 45,3% e nxënësve janë nga zona rurale, një rritje prej 43% </w:t>
      </w:r>
      <w:r w:rsidR="005829A1" w:rsidRPr="00DC66CD">
        <w:rPr>
          <w:rFonts w:ascii="Garamond" w:eastAsia="Times New Roman" w:hAnsi="Garamond"/>
          <w:color w:val="000000"/>
          <w:sz w:val="24"/>
          <w:szCs w:val="24"/>
          <w:lang w:eastAsia="en-GB"/>
        </w:rPr>
        <w:t>m</w:t>
      </w:r>
      <w:r w:rsidRPr="00DC66CD">
        <w:rPr>
          <w:rFonts w:ascii="Garamond" w:eastAsia="Times New Roman" w:hAnsi="Garamond"/>
          <w:color w:val="000000"/>
          <w:sz w:val="24"/>
          <w:szCs w:val="24"/>
          <w:lang w:eastAsia="en-GB"/>
        </w:rPr>
        <w:t xml:space="preserve">ë </w:t>
      </w:r>
      <w:r w:rsidR="00433A3A" w:rsidRPr="00DC66CD">
        <w:rPr>
          <w:rFonts w:ascii="Garamond" w:eastAsia="Times New Roman" w:hAnsi="Garamond"/>
          <w:color w:val="000000"/>
          <w:sz w:val="24"/>
          <w:szCs w:val="24"/>
          <w:lang w:eastAsia="en-GB"/>
        </w:rPr>
        <w:t>2018–</w:t>
      </w:r>
      <w:r w:rsidRPr="00DC66CD">
        <w:rPr>
          <w:rFonts w:ascii="Garamond" w:eastAsia="Times New Roman" w:hAnsi="Garamond"/>
          <w:color w:val="000000"/>
          <w:sz w:val="24"/>
          <w:szCs w:val="24"/>
          <w:lang w:eastAsia="en-GB"/>
        </w:rPr>
        <w:t>2019.</w:t>
      </w:r>
    </w:p>
    <w:p w14:paraId="349E11ED" w14:textId="53A8FF5B" w:rsidR="006F605B" w:rsidRPr="00DC66CD" w:rsidRDefault="006F605B" w:rsidP="006F605B">
      <w:pPr>
        <w:spacing w:after="0" w:line="240" w:lineRule="auto"/>
        <w:ind w:firstLine="284"/>
        <w:jc w:val="both"/>
        <w:rPr>
          <w:rFonts w:ascii="Garamond" w:eastAsia="Times New Roman" w:hAnsi="Garamond"/>
          <w:color w:val="000000"/>
          <w:sz w:val="24"/>
          <w:szCs w:val="24"/>
          <w:lang w:eastAsia="en-GB"/>
        </w:rPr>
      </w:pPr>
      <w:r w:rsidRPr="00DC66CD">
        <w:rPr>
          <w:rFonts w:ascii="Garamond" w:eastAsia="Times New Roman" w:hAnsi="Garamond"/>
          <w:color w:val="000000"/>
          <w:sz w:val="24"/>
          <w:szCs w:val="24"/>
          <w:lang w:eastAsia="en-GB"/>
        </w:rPr>
        <w:t>Lidhur me sigurimin e kurseve profesion</w:t>
      </w:r>
      <w:r w:rsidR="0074572F" w:rsidRPr="00DC66CD">
        <w:rPr>
          <w:rFonts w:ascii="Garamond" w:eastAsia="Times New Roman" w:hAnsi="Garamond"/>
          <w:color w:val="000000"/>
          <w:sz w:val="24"/>
          <w:szCs w:val="24"/>
          <w:lang w:eastAsia="en-GB"/>
        </w:rPr>
        <w:t>ale afat</w:t>
      </w:r>
      <w:r w:rsidRPr="00DC66CD">
        <w:rPr>
          <w:rFonts w:ascii="Garamond" w:eastAsia="Times New Roman" w:hAnsi="Garamond"/>
          <w:color w:val="000000"/>
          <w:sz w:val="24"/>
          <w:szCs w:val="24"/>
          <w:lang w:eastAsia="en-GB"/>
        </w:rPr>
        <w:t>shkurtra të trajnimit nëpërmjet Drejtorive Rajonale Publike të Tra</w:t>
      </w:r>
      <w:r w:rsidR="0074572F" w:rsidRPr="00DC66CD">
        <w:rPr>
          <w:rFonts w:ascii="Garamond" w:eastAsia="Times New Roman" w:hAnsi="Garamond"/>
          <w:color w:val="000000"/>
          <w:sz w:val="24"/>
          <w:szCs w:val="24"/>
          <w:lang w:eastAsia="en-GB"/>
        </w:rPr>
        <w:t>jnimit Profesional, gjatë janar–</w:t>
      </w:r>
      <w:r w:rsidRPr="00DC66CD">
        <w:rPr>
          <w:rFonts w:ascii="Garamond" w:eastAsia="Times New Roman" w:hAnsi="Garamond"/>
          <w:color w:val="000000"/>
          <w:sz w:val="24"/>
          <w:szCs w:val="24"/>
          <w:lang w:eastAsia="en-GB"/>
        </w:rPr>
        <w:t xml:space="preserve">nëntor 2019 numri i të trajnuarve të regjistruar arriti në 25,411 persona (nga të cilët 11,109 ishin femra). Kjo paraqet një rritje në krahasim me vitin 2018, kur numri i përgjithshëm i trajnuarve arriti në 17,844. Pavarësisht nga kjo rritje e rëndësishme, pjesëmarrja në arsimin dhe trajnimin formal ose </w:t>
      </w:r>
      <w:r w:rsidR="00772573" w:rsidRPr="00DC66CD">
        <w:rPr>
          <w:rFonts w:ascii="Garamond" w:eastAsia="Times New Roman" w:hAnsi="Garamond"/>
          <w:color w:val="000000"/>
          <w:sz w:val="24"/>
          <w:szCs w:val="24"/>
          <w:lang w:eastAsia="en-GB"/>
        </w:rPr>
        <w:t>jo</w:t>
      </w:r>
      <w:r w:rsidRPr="00DC66CD">
        <w:rPr>
          <w:rFonts w:ascii="Garamond" w:eastAsia="Times New Roman" w:hAnsi="Garamond"/>
          <w:color w:val="000000"/>
          <w:sz w:val="24"/>
          <w:szCs w:val="24"/>
          <w:lang w:eastAsia="en-GB"/>
        </w:rPr>
        <w:t>formal në Shqipëri mbetet shumë e ulët.</w:t>
      </w:r>
    </w:p>
    <w:p w14:paraId="578CF526" w14:textId="20E16250" w:rsidR="006F605B" w:rsidRPr="00DC66CD" w:rsidRDefault="006F605B" w:rsidP="006F605B">
      <w:pPr>
        <w:spacing w:after="0" w:line="240" w:lineRule="auto"/>
        <w:ind w:firstLine="284"/>
        <w:jc w:val="both"/>
        <w:rPr>
          <w:rFonts w:ascii="Garamond" w:eastAsia="Times New Roman" w:hAnsi="Garamond"/>
          <w:color w:val="000000"/>
          <w:sz w:val="24"/>
          <w:szCs w:val="24"/>
          <w:lang w:eastAsia="en-GB"/>
        </w:rPr>
      </w:pPr>
      <w:r w:rsidRPr="00DC66CD">
        <w:rPr>
          <w:rFonts w:ascii="Garamond" w:eastAsia="Times New Roman" w:hAnsi="Garamond"/>
          <w:color w:val="000000"/>
          <w:sz w:val="24"/>
          <w:szCs w:val="24"/>
          <w:lang w:eastAsia="en-GB"/>
        </w:rPr>
        <w:t>Prioritet i është dhënë</w:t>
      </w:r>
      <w:r w:rsidR="0074572F"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gjithashtu</w:t>
      </w:r>
      <w:r w:rsidR="0074572F"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sigurimit të cilësisë në arsimin dhe aftësimin profesional, veçanërisht zhvillimin e vazhdueshëm profesional të mësuesve/instruktorëve. Për herë të parë në 20 vjet, një program trajnimi pedagogjik 24-ditor u zhvillua në 2016 në shënjestër të të gjithë mësuesve dhe instruktorëve të AFP-së. Njohuritë pedagogjike dhe teknike kërkojnë trajnim të vazhdueshëm dhe zhvillim të vazhdueshëm</w:t>
      </w:r>
      <w:r w:rsidR="0074572F"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në mënyrë që të mundësojnë mësimin e njohurive bashkëkohore në një mënyrë të kuptueshme. Gjatë 3 v</w:t>
      </w:r>
      <w:r w:rsidR="0074572F" w:rsidRPr="00DC66CD">
        <w:rPr>
          <w:rFonts w:ascii="Garamond" w:eastAsia="Times New Roman" w:hAnsi="Garamond"/>
          <w:color w:val="000000"/>
          <w:sz w:val="24"/>
          <w:szCs w:val="24"/>
          <w:lang w:eastAsia="en-GB"/>
        </w:rPr>
        <w:t>jetëve</w:t>
      </w:r>
      <w:r w:rsidRPr="00DC66CD">
        <w:rPr>
          <w:rFonts w:ascii="Garamond" w:eastAsia="Times New Roman" w:hAnsi="Garamond"/>
          <w:color w:val="000000"/>
          <w:sz w:val="24"/>
          <w:szCs w:val="24"/>
          <w:lang w:eastAsia="en-GB"/>
        </w:rPr>
        <w:t xml:space="preserve"> janë traj</w:t>
      </w:r>
      <w:r w:rsidR="0074572F" w:rsidRPr="00DC66CD">
        <w:rPr>
          <w:rFonts w:ascii="Garamond" w:eastAsia="Times New Roman" w:hAnsi="Garamond"/>
          <w:color w:val="000000"/>
          <w:sz w:val="24"/>
          <w:szCs w:val="24"/>
          <w:lang w:eastAsia="en-GB"/>
        </w:rPr>
        <w:t>nuar 491 mësues dhe instruktorë</w:t>
      </w:r>
      <w:r w:rsidRPr="00DC66CD">
        <w:rPr>
          <w:rFonts w:ascii="Garamond" w:eastAsia="Times New Roman" w:hAnsi="Garamond"/>
          <w:color w:val="000000"/>
          <w:sz w:val="24"/>
          <w:szCs w:val="24"/>
          <w:lang w:eastAsia="en-GB"/>
        </w:rPr>
        <w:t xml:space="preserve"> dhe një shtesë 120 janë trajnuar në vitin 2019. Përtej trajnimit pedagogjik 21-ditor, programe të tjera trajnimi u janë dorëzuar menaxherëve dhe mësuesve në arsimin profesional përmes programeve të donatorëve. Institucionalizimi i tyre dhe sigurimi i zhvillimit të vazhdueshëm profesional përtej kualifikimit fillestar është akoma i nevojshëm.</w:t>
      </w:r>
    </w:p>
    <w:p w14:paraId="55A59110" w14:textId="4ED4A5B1" w:rsidR="006F605B" w:rsidRPr="00DC66CD" w:rsidRDefault="006F605B" w:rsidP="006F605B">
      <w:pPr>
        <w:spacing w:after="0" w:line="240" w:lineRule="auto"/>
        <w:ind w:firstLine="284"/>
        <w:jc w:val="both"/>
        <w:rPr>
          <w:rFonts w:ascii="Garamond" w:eastAsia="Times New Roman" w:hAnsi="Garamond"/>
          <w:color w:val="000000"/>
          <w:sz w:val="24"/>
          <w:szCs w:val="24"/>
          <w:lang w:eastAsia="en-GB"/>
        </w:rPr>
      </w:pPr>
      <w:r w:rsidRPr="00DC66CD">
        <w:rPr>
          <w:rFonts w:ascii="Garamond" w:eastAsia="Times New Roman" w:hAnsi="Garamond"/>
          <w:color w:val="000000"/>
          <w:sz w:val="24"/>
          <w:szCs w:val="24"/>
          <w:lang w:eastAsia="en-GB"/>
        </w:rPr>
        <w:t>Një hap shtesë drejt sigurimit të cilësisë ishte vetëvlerësimi i kryer në të gjithë 45 ofruesit e AFP-së (35 shkolla dhe 10 QFP) në vitin 2019 - mbështetur nga UNDP</w:t>
      </w:r>
      <w:r w:rsidR="0074572F" w:rsidRPr="00DC66CD">
        <w:rPr>
          <w:rFonts w:ascii="Garamond" w:eastAsia="Times New Roman" w:hAnsi="Garamond"/>
          <w:color w:val="000000"/>
          <w:sz w:val="24"/>
          <w:szCs w:val="24"/>
          <w:lang w:eastAsia="en-GB"/>
        </w:rPr>
        <w:t>-ja</w:t>
      </w:r>
      <w:r w:rsidRPr="00DC66CD">
        <w:rPr>
          <w:rFonts w:ascii="Garamond" w:eastAsia="Times New Roman" w:hAnsi="Garamond"/>
          <w:color w:val="000000"/>
          <w:sz w:val="24"/>
          <w:szCs w:val="24"/>
          <w:lang w:eastAsia="en-GB"/>
        </w:rPr>
        <w:t xml:space="preserve"> dhe NAVETQ</w:t>
      </w:r>
      <w:r w:rsidR="0074572F" w:rsidRPr="00DC66CD">
        <w:rPr>
          <w:rFonts w:ascii="Garamond" w:eastAsia="Times New Roman" w:hAnsi="Garamond"/>
          <w:color w:val="000000"/>
          <w:sz w:val="24"/>
          <w:szCs w:val="24"/>
          <w:lang w:eastAsia="en-GB"/>
        </w:rPr>
        <w:t>-ja</w:t>
      </w:r>
      <w:r w:rsidRPr="00DC66CD">
        <w:rPr>
          <w:rFonts w:ascii="Garamond" w:eastAsia="Times New Roman" w:hAnsi="Garamond"/>
          <w:color w:val="000000"/>
          <w:sz w:val="24"/>
          <w:szCs w:val="24"/>
          <w:lang w:eastAsia="en-GB"/>
        </w:rPr>
        <w:t xml:space="preserve">, dhe i cili do të shërbejë një bazë të mirë për përmirësime të mëtejshme në nivelin e ofruesit. Për të përmbushur nevojat e tregut të punës për punonjës të aftë, në vitin </w:t>
      </w:r>
      <w:r w:rsidR="0074572F" w:rsidRPr="00DC66CD">
        <w:rPr>
          <w:rFonts w:ascii="Garamond" w:eastAsia="Times New Roman" w:hAnsi="Garamond"/>
          <w:color w:val="000000"/>
          <w:sz w:val="24"/>
          <w:szCs w:val="24"/>
          <w:lang w:eastAsia="en-GB"/>
        </w:rPr>
        <w:t>2019 janë hartuar 13 përshkrime/</w:t>
      </w:r>
      <w:r w:rsidRPr="00DC66CD">
        <w:rPr>
          <w:rFonts w:ascii="Garamond" w:eastAsia="Times New Roman" w:hAnsi="Garamond"/>
          <w:color w:val="000000"/>
          <w:sz w:val="24"/>
          <w:szCs w:val="24"/>
          <w:lang w:eastAsia="en-GB"/>
        </w:rPr>
        <w:t>standarde të kualifikimit profesional dhe 6 kurrikula kornizë</w:t>
      </w:r>
      <w:r w:rsidR="00772573"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Aktualisht, AKAFPK</w:t>
      </w:r>
      <w:r w:rsidR="0074572F" w:rsidRPr="00DC66CD">
        <w:rPr>
          <w:rFonts w:ascii="Garamond" w:eastAsia="Times New Roman" w:hAnsi="Garamond"/>
          <w:color w:val="000000"/>
          <w:sz w:val="24"/>
          <w:szCs w:val="24"/>
          <w:lang w:eastAsia="en-GB"/>
        </w:rPr>
        <w:t>-ja</w:t>
      </w:r>
      <w:r w:rsidRPr="00DC66CD">
        <w:rPr>
          <w:rFonts w:ascii="Garamond" w:eastAsia="Times New Roman" w:hAnsi="Garamond"/>
          <w:color w:val="000000"/>
          <w:sz w:val="24"/>
          <w:szCs w:val="24"/>
          <w:lang w:eastAsia="en-GB"/>
        </w:rPr>
        <w:t xml:space="preserve"> është në proces të zhvillimit të dy kualifikime</w:t>
      </w:r>
      <w:r w:rsidR="0074572F" w:rsidRPr="00DC66CD">
        <w:rPr>
          <w:rFonts w:ascii="Garamond" w:eastAsia="Times New Roman" w:hAnsi="Garamond"/>
          <w:color w:val="000000"/>
          <w:sz w:val="24"/>
          <w:szCs w:val="24"/>
          <w:lang w:eastAsia="en-GB"/>
        </w:rPr>
        <w:t>ve</w:t>
      </w:r>
      <w:r w:rsidRPr="00DC66CD">
        <w:rPr>
          <w:rFonts w:ascii="Garamond" w:eastAsia="Times New Roman" w:hAnsi="Garamond"/>
          <w:color w:val="000000"/>
          <w:sz w:val="24"/>
          <w:szCs w:val="24"/>
          <w:lang w:eastAsia="en-GB"/>
        </w:rPr>
        <w:t xml:space="preserve"> të reja për të teknologjitë e programimit dhe bujqësore. Kurrikulat e rishikuar synojnë të përfshijnë grupe të margjinalizuara për të ndjekur arsimin profesional.</w:t>
      </w:r>
    </w:p>
    <w:p w14:paraId="4BBAFFFC" w14:textId="033C3C38" w:rsidR="006F605B" w:rsidRPr="00DC66CD" w:rsidRDefault="006F605B" w:rsidP="006F605B">
      <w:pPr>
        <w:spacing w:after="0" w:line="240" w:lineRule="auto"/>
        <w:ind w:firstLine="284"/>
        <w:jc w:val="both"/>
        <w:rPr>
          <w:rFonts w:ascii="Garamond" w:eastAsia="Times New Roman" w:hAnsi="Garamond"/>
          <w:color w:val="000000"/>
          <w:sz w:val="24"/>
          <w:szCs w:val="24"/>
          <w:lang w:eastAsia="en-GB"/>
        </w:rPr>
      </w:pPr>
      <w:r w:rsidRPr="00DC66CD">
        <w:rPr>
          <w:rFonts w:ascii="Garamond" w:eastAsia="Times New Roman" w:hAnsi="Garamond"/>
          <w:color w:val="000000"/>
          <w:sz w:val="24"/>
          <w:szCs w:val="24"/>
          <w:lang w:eastAsia="en-GB"/>
        </w:rPr>
        <w:t>Gjithashtu, Rregullorja Kombëtare</w:t>
      </w:r>
      <w:r w:rsidR="0072211B" w:rsidRPr="00DC66CD">
        <w:rPr>
          <w:rFonts w:ascii="Garamond" w:eastAsia="Times New Roman" w:hAnsi="Garamond"/>
          <w:color w:val="000000"/>
          <w:sz w:val="24"/>
          <w:szCs w:val="24"/>
          <w:lang w:eastAsia="en-GB"/>
        </w:rPr>
        <w:t xml:space="preserve"> </w:t>
      </w:r>
      <w:r w:rsidRPr="00DC66CD">
        <w:rPr>
          <w:rFonts w:ascii="Garamond" w:eastAsia="Times New Roman" w:hAnsi="Garamond"/>
          <w:color w:val="000000"/>
          <w:sz w:val="24"/>
          <w:szCs w:val="24"/>
          <w:lang w:eastAsia="en-GB"/>
        </w:rPr>
        <w:t xml:space="preserve">e </w:t>
      </w:r>
      <w:r w:rsidR="0074572F" w:rsidRPr="00DC66CD">
        <w:rPr>
          <w:rFonts w:ascii="Garamond" w:eastAsia="Times New Roman" w:hAnsi="Garamond"/>
          <w:color w:val="000000"/>
          <w:sz w:val="24"/>
          <w:szCs w:val="24"/>
          <w:lang w:eastAsia="en-GB"/>
        </w:rPr>
        <w:t xml:space="preserve">Elementeve Thelbësore </w:t>
      </w:r>
      <w:r w:rsidRPr="00DC66CD">
        <w:rPr>
          <w:rFonts w:ascii="Garamond" w:eastAsia="Times New Roman" w:hAnsi="Garamond"/>
          <w:color w:val="000000"/>
          <w:sz w:val="24"/>
          <w:szCs w:val="24"/>
          <w:lang w:eastAsia="en-GB"/>
        </w:rPr>
        <w:t>të WBL</w:t>
      </w:r>
      <w:r w:rsidR="0074572F" w:rsidRPr="00DC66CD">
        <w:rPr>
          <w:rFonts w:ascii="Garamond" w:eastAsia="Times New Roman" w:hAnsi="Garamond"/>
          <w:color w:val="000000"/>
          <w:sz w:val="24"/>
          <w:szCs w:val="24"/>
          <w:lang w:eastAsia="en-GB"/>
        </w:rPr>
        <w:t>-së</w:t>
      </w:r>
      <w:r w:rsidRPr="00DC66CD">
        <w:rPr>
          <w:rFonts w:ascii="Garamond" w:eastAsia="Times New Roman" w:hAnsi="Garamond"/>
          <w:color w:val="000000"/>
          <w:sz w:val="24"/>
          <w:szCs w:val="24"/>
          <w:lang w:eastAsia="en-GB"/>
        </w:rPr>
        <w:t xml:space="preserve"> (mësimi i bazuar në punë) është në pritje të aprovimit. Ai rregullon WBL</w:t>
      </w:r>
      <w:r w:rsidR="0074572F" w:rsidRPr="00DC66CD">
        <w:rPr>
          <w:rFonts w:ascii="Garamond" w:eastAsia="Times New Roman" w:hAnsi="Garamond"/>
          <w:color w:val="000000"/>
          <w:sz w:val="24"/>
          <w:szCs w:val="24"/>
          <w:lang w:eastAsia="en-GB"/>
        </w:rPr>
        <w:t>-në</w:t>
      </w:r>
      <w:r w:rsidRPr="00DC66CD">
        <w:rPr>
          <w:rFonts w:ascii="Garamond" w:eastAsia="Times New Roman" w:hAnsi="Garamond"/>
          <w:color w:val="000000"/>
          <w:sz w:val="24"/>
          <w:szCs w:val="24"/>
          <w:lang w:eastAsia="en-GB"/>
        </w:rPr>
        <w:t xml:space="preserve"> në nivel kombëtar në role dhe përgjegjësi midis shkollave LFS dhe sektorit privat</w:t>
      </w:r>
      <w:r w:rsidR="0074572F"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në mënyrë që të rrisë cilësinë për shpërndarjen e WBL</w:t>
      </w:r>
      <w:r w:rsidR="0074572F" w:rsidRPr="00DC66CD">
        <w:rPr>
          <w:rFonts w:ascii="Garamond" w:eastAsia="Times New Roman" w:hAnsi="Garamond"/>
          <w:color w:val="000000"/>
          <w:sz w:val="24"/>
          <w:szCs w:val="24"/>
          <w:lang w:eastAsia="en-GB"/>
        </w:rPr>
        <w:t>-së</w:t>
      </w:r>
      <w:r w:rsidRPr="00DC66CD">
        <w:rPr>
          <w:rFonts w:ascii="Garamond" w:eastAsia="Times New Roman" w:hAnsi="Garamond"/>
          <w:color w:val="000000"/>
          <w:sz w:val="24"/>
          <w:szCs w:val="24"/>
          <w:lang w:eastAsia="en-GB"/>
        </w:rPr>
        <w:t>.</w:t>
      </w:r>
    </w:p>
    <w:p w14:paraId="5FFB32F9" w14:textId="6FB4003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color w:val="000000"/>
          <w:sz w:val="24"/>
          <w:szCs w:val="24"/>
          <w:lang w:eastAsia="en-GB"/>
        </w:rPr>
        <w:t xml:space="preserve">Përmes buxhetit të shtetit, investime të konsiderueshme në infrastrukturë janë bërë në shkollat profesionale dhe qendrat e trajnimit, si në aspektin e ndërtesave të reja, moderne dhe laboratorëve. Ndërsa, </w:t>
      </w:r>
      <w:r w:rsidR="00C52483" w:rsidRPr="00DC66CD">
        <w:rPr>
          <w:rFonts w:ascii="Garamond" w:eastAsia="Times New Roman" w:hAnsi="Garamond"/>
          <w:color w:val="000000"/>
          <w:sz w:val="24"/>
          <w:szCs w:val="24"/>
          <w:lang w:eastAsia="en-GB"/>
        </w:rPr>
        <w:t>digjital</w:t>
      </w:r>
      <w:r w:rsidRPr="00DC66CD">
        <w:rPr>
          <w:rFonts w:ascii="Garamond" w:eastAsia="Times New Roman" w:hAnsi="Garamond"/>
          <w:color w:val="000000"/>
          <w:sz w:val="24"/>
          <w:szCs w:val="24"/>
          <w:lang w:eastAsia="en-GB"/>
        </w:rPr>
        <w:t xml:space="preserve">izimi është bërë një element i rëndësishëm i tregut të punës dhe disa investime në infrastrukturë </w:t>
      </w:r>
      <w:r w:rsidR="00C52483" w:rsidRPr="00DC66CD">
        <w:rPr>
          <w:rFonts w:ascii="Garamond" w:eastAsia="Times New Roman" w:hAnsi="Garamond"/>
          <w:color w:val="000000"/>
          <w:sz w:val="24"/>
          <w:szCs w:val="24"/>
          <w:lang w:eastAsia="en-GB"/>
        </w:rPr>
        <w:t>digjital</w:t>
      </w:r>
      <w:r w:rsidRPr="00DC66CD">
        <w:rPr>
          <w:rFonts w:ascii="Garamond" w:eastAsia="Times New Roman" w:hAnsi="Garamond"/>
          <w:color w:val="000000"/>
          <w:sz w:val="24"/>
          <w:szCs w:val="24"/>
          <w:lang w:eastAsia="en-GB"/>
        </w:rPr>
        <w:t>e janë ndërmarrë</w:t>
      </w:r>
      <w:r w:rsidR="0074572F"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ofruesit e AFP-së ende nuk duhet të përdorin avantazhet e tij dhe të angazhohen në mënyra të reja të të mësuarit/mësimdhënies moderne.</w:t>
      </w:r>
    </w:p>
    <w:p w14:paraId="0E44272E" w14:textId="0ECAFAA5" w:rsidR="006F605B" w:rsidRPr="00DC66CD" w:rsidRDefault="00F351D6" w:rsidP="00F351D6">
      <w:pPr>
        <w:pStyle w:val="Heading4"/>
        <w:keepNext w:val="0"/>
        <w:keepLines w:val="0"/>
        <w:widowControl w:val="0"/>
        <w:snapToGrid w:val="0"/>
        <w:spacing w:before="0" w:line="240" w:lineRule="auto"/>
        <w:ind w:left="284"/>
        <w:rPr>
          <w:rFonts w:ascii="Garamond" w:hAnsi="Garamond"/>
          <w:b w:val="0"/>
          <w:color w:val="auto"/>
          <w:sz w:val="24"/>
          <w:szCs w:val="24"/>
        </w:rPr>
      </w:pPr>
      <w:r w:rsidRPr="00DC66CD">
        <w:rPr>
          <w:rFonts w:ascii="Garamond" w:hAnsi="Garamond"/>
          <w:b w:val="0"/>
          <w:color w:val="auto"/>
          <w:sz w:val="24"/>
          <w:szCs w:val="24"/>
        </w:rPr>
        <w:t xml:space="preserve">b) </w:t>
      </w:r>
      <w:r w:rsidR="006F605B" w:rsidRPr="00DC66CD">
        <w:rPr>
          <w:rFonts w:ascii="Garamond" w:hAnsi="Garamond"/>
          <w:b w:val="0"/>
          <w:color w:val="auto"/>
          <w:sz w:val="24"/>
          <w:szCs w:val="24"/>
        </w:rPr>
        <w:t>Masat e reformave</w:t>
      </w:r>
    </w:p>
    <w:p w14:paraId="679FC13D" w14:textId="4FD28392" w:rsidR="006F605B" w:rsidRPr="00DC66CD" w:rsidRDefault="006F605B" w:rsidP="006F605B">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14: Përfun</w:t>
      </w:r>
      <w:r w:rsidR="0074572F" w:rsidRPr="00DC66CD">
        <w:rPr>
          <w:rFonts w:ascii="Garamond" w:hAnsi="Garamond"/>
          <w:i/>
          <w:color w:val="auto"/>
          <w:sz w:val="24"/>
          <w:szCs w:val="24"/>
        </w:rPr>
        <w:t>dimi i reformës kurikulare para</w:t>
      </w:r>
      <w:r w:rsidRPr="00DC66CD">
        <w:rPr>
          <w:rFonts w:ascii="Garamond" w:hAnsi="Garamond"/>
          <w:i/>
          <w:color w:val="auto"/>
          <w:sz w:val="24"/>
          <w:szCs w:val="24"/>
        </w:rPr>
        <w:t>universitare, trajnimi dhe punësimi i mësuesve</w:t>
      </w:r>
    </w:p>
    <w:p w14:paraId="76C51D78" w14:textId="242F7E30" w:rsidR="006F605B" w:rsidRPr="00DC66CD" w:rsidRDefault="00F351D6" w:rsidP="00F351D6">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 </w:t>
      </w:r>
      <w:r w:rsidR="006F605B" w:rsidRPr="00DC66CD">
        <w:rPr>
          <w:rFonts w:ascii="Garamond" w:hAnsi="Garamond"/>
          <w:color w:val="auto"/>
          <w:sz w:val="24"/>
          <w:szCs w:val="24"/>
        </w:rPr>
        <w:t>Përshkrimi</w:t>
      </w:r>
    </w:p>
    <w:p w14:paraId="03087C68" w14:textId="24283153" w:rsidR="006F605B" w:rsidRPr="00DC66CD" w:rsidRDefault="006F605B" w:rsidP="006F605B">
      <w:pPr>
        <w:autoSpaceDE w:val="0"/>
        <w:autoSpaceDN w:val="0"/>
        <w:adjustRightInd w:val="0"/>
        <w:spacing w:after="0" w:line="240" w:lineRule="auto"/>
        <w:ind w:firstLine="284"/>
        <w:jc w:val="both"/>
        <w:rPr>
          <w:rFonts w:ascii="Garamond" w:eastAsia="Times New Roman" w:hAnsi="Garamond"/>
          <w:bCs/>
          <w:sz w:val="24"/>
          <w:szCs w:val="24"/>
        </w:rPr>
      </w:pPr>
      <w:r w:rsidRPr="00DC66CD">
        <w:rPr>
          <w:rFonts w:ascii="Garamond" w:hAnsi="Garamond"/>
          <w:sz w:val="24"/>
          <w:szCs w:val="24"/>
        </w:rPr>
        <w:t>Implementimi i kurrikulës së bazuar në kompetenca për klasën e pestë përmbylli procesin e reformës kurrikulare në vitin 2020 dhe do t</w:t>
      </w:r>
      <w:r w:rsidR="0074572F" w:rsidRPr="00DC66CD">
        <w:rPr>
          <w:rFonts w:ascii="Garamond" w:hAnsi="Garamond"/>
          <w:sz w:val="24"/>
          <w:szCs w:val="24"/>
        </w:rPr>
        <w:t>’</w:t>
      </w:r>
      <w:r w:rsidRPr="00DC66CD">
        <w:rPr>
          <w:rFonts w:ascii="Garamond" w:hAnsi="Garamond"/>
          <w:sz w:val="24"/>
          <w:szCs w:val="24"/>
        </w:rPr>
        <w:t xml:space="preserve">i japë mundësinë MASR-së të zhvendosë fokusin drejt vijimit të trajnimit të mësuesve dhe vlerësimit të kurrikulës së re. </w:t>
      </w:r>
      <w:r w:rsidRPr="00DC66CD">
        <w:rPr>
          <w:rFonts w:ascii="Garamond" w:eastAsia="Times New Roman" w:hAnsi="Garamond"/>
          <w:bCs/>
          <w:sz w:val="24"/>
          <w:szCs w:val="24"/>
        </w:rPr>
        <w:t>Reforma në arsimin parashkollor ka qenë në koherencë me reformat në të gjitha nivelet e tjera të sistemit arsimor parauniversitar. Në këtë kuadër janë hartuar dokumente të reja kurrikulare</w:t>
      </w:r>
      <w:r w:rsidR="0074572F" w:rsidRPr="00DC66CD">
        <w:rPr>
          <w:rFonts w:ascii="Garamond" w:eastAsia="Times New Roman" w:hAnsi="Garamond"/>
          <w:bCs/>
          <w:sz w:val="24"/>
          <w:szCs w:val="24"/>
        </w:rPr>
        <w:t>,</w:t>
      </w:r>
      <w:r w:rsidR="0072211B" w:rsidRPr="00DC66CD">
        <w:rPr>
          <w:rFonts w:ascii="Garamond" w:eastAsia="Times New Roman" w:hAnsi="Garamond"/>
          <w:bCs/>
          <w:sz w:val="24"/>
          <w:szCs w:val="24"/>
        </w:rPr>
        <w:t xml:space="preserve"> </w:t>
      </w:r>
      <w:r w:rsidRPr="00DC66CD">
        <w:rPr>
          <w:rFonts w:ascii="Garamond" w:eastAsia="Times New Roman" w:hAnsi="Garamond"/>
          <w:bCs/>
          <w:sz w:val="24"/>
          <w:szCs w:val="24"/>
        </w:rPr>
        <w:t xml:space="preserve">si dhe zhvillimi profesional i mësuesve parashkollorë. </w:t>
      </w:r>
    </w:p>
    <w:p w14:paraId="77996656" w14:textId="752BA065"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Një politikë tjetër e rëndësishme është </w:t>
      </w:r>
      <w:r w:rsidR="0074572F" w:rsidRPr="00DC66CD">
        <w:rPr>
          <w:rFonts w:ascii="Garamond" w:hAnsi="Garamond"/>
          <w:sz w:val="24"/>
          <w:szCs w:val="24"/>
        </w:rPr>
        <w:t>“</w:t>
      </w:r>
      <w:r w:rsidRPr="00DC66CD">
        <w:rPr>
          <w:rFonts w:ascii="Garamond" w:hAnsi="Garamond"/>
          <w:sz w:val="24"/>
          <w:szCs w:val="24"/>
        </w:rPr>
        <w:t>sigurimi i teksteve falas</w:t>
      </w:r>
      <w:r w:rsidR="0074572F" w:rsidRPr="00DC66CD">
        <w:rPr>
          <w:rFonts w:ascii="Garamond" w:hAnsi="Garamond"/>
          <w:sz w:val="24"/>
          <w:szCs w:val="24"/>
        </w:rPr>
        <w:t>”</w:t>
      </w:r>
      <w:r w:rsidRPr="00DC66CD">
        <w:rPr>
          <w:rFonts w:ascii="Garamond" w:hAnsi="Garamond"/>
          <w:sz w:val="24"/>
          <w:szCs w:val="24"/>
        </w:rPr>
        <w:t xml:space="preserve"> për të gjithë nxënësit e arsimit të detyrueshëm (klasa 1</w:t>
      </w:r>
      <w:r w:rsidR="0074572F" w:rsidRPr="00DC66CD">
        <w:rPr>
          <w:rFonts w:ascii="Garamond" w:hAnsi="Garamond"/>
          <w:sz w:val="24"/>
          <w:szCs w:val="24"/>
        </w:rPr>
        <w:t>–</w:t>
      </w:r>
      <w:r w:rsidRPr="00DC66CD">
        <w:rPr>
          <w:rFonts w:ascii="Garamond" w:hAnsi="Garamond"/>
          <w:sz w:val="24"/>
          <w:szCs w:val="24"/>
        </w:rPr>
        <w:t>9) deri në vitin 2022, përveç fëmijëve nga kategoritë vulnerabël.</w:t>
      </w:r>
    </w:p>
    <w:p w14:paraId="52F7F92A" w14:textId="77777777" w:rsidR="006F605B" w:rsidRPr="00DC66CD" w:rsidRDefault="006F605B" w:rsidP="006F605B">
      <w:pPr>
        <w:autoSpaceDE w:val="0"/>
        <w:autoSpaceDN w:val="0"/>
        <w:adjustRightInd w:val="0"/>
        <w:spacing w:after="0" w:line="240" w:lineRule="auto"/>
        <w:ind w:firstLine="284"/>
        <w:jc w:val="both"/>
        <w:rPr>
          <w:rFonts w:ascii="Garamond" w:eastAsia="Times New Roman" w:hAnsi="Garamond"/>
          <w:bCs/>
          <w:sz w:val="24"/>
          <w:szCs w:val="24"/>
        </w:rPr>
      </w:pPr>
      <w:r w:rsidRPr="00DC66CD">
        <w:rPr>
          <w:rFonts w:ascii="Garamond" w:eastAsia="Times New Roman" w:hAnsi="Garamond"/>
          <w:bCs/>
          <w:sz w:val="24"/>
          <w:szCs w:val="24"/>
        </w:rPr>
        <w:t>Në lidhje me zhvillimin e vazhdueshëm profesional të mësuesve, legjislacioni shprehet që mësuesit dhe drejtorët duhet të trajnohen të paktën 3 ditë në vit, bazuar në nevojat e mësuesve dhe ofertave nga agjencitë e akredituara të trajnimit. Përveç agjencive të akredituara, trajnime për mësuesit ofron edhe Agjencia për Sigurimin e Cilësisë në Arsimin Parauniversitar (ASCAP).</w:t>
      </w:r>
    </w:p>
    <w:p w14:paraId="0E1E9DD9" w14:textId="52605C50"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Bazuar në Memorandumin e Mirëkuptimit mes MASR-së dhe </w:t>
      </w:r>
      <w:r w:rsidRPr="00DC66CD">
        <w:rPr>
          <w:rFonts w:ascii="Garamond" w:hAnsi="Garamond"/>
          <w:i/>
          <w:sz w:val="24"/>
          <w:szCs w:val="24"/>
        </w:rPr>
        <w:t>British Council</w:t>
      </w:r>
      <w:r w:rsidR="0074572F" w:rsidRPr="00DC66CD">
        <w:rPr>
          <w:rFonts w:ascii="Garamond" w:hAnsi="Garamond"/>
          <w:sz w:val="24"/>
          <w:szCs w:val="24"/>
        </w:rPr>
        <w:t>,</w:t>
      </w:r>
      <w:r w:rsidRPr="00DC66CD">
        <w:rPr>
          <w:rFonts w:ascii="Garamond" w:hAnsi="Garamond"/>
          <w:sz w:val="24"/>
          <w:szCs w:val="24"/>
        </w:rPr>
        <w:t xml:space="preserve"> në kuadër të programit </w:t>
      </w:r>
      <w:r w:rsidR="0074572F" w:rsidRPr="00DC66CD">
        <w:rPr>
          <w:rFonts w:ascii="Garamond" w:hAnsi="Garamond"/>
          <w:sz w:val="24"/>
          <w:szCs w:val="24"/>
        </w:rPr>
        <w:t>“</w:t>
      </w:r>
      <w:r w:rsidRPr="00DC66CD">
        <w:rPr>
          <w:rFonts w:ascii="Garamond" w:hAnsi="Garamond"/>
          <w:sz w:val="24"/>
          <w:szCs w:val="24"/>
        </w:rPr>
        <w:t>Shkollat e shekullit 21</w:t>
      </w:r>
      <w:r w:rsidR="0074572F" w:rsidRPr="00DC66CD">
        <w:rPr>
          <w:rFonts w:ascii="Garamond" w:hAnsi="Garamond"/>
          <w:sz w:val="24"/>
          <w:szCs w:val="24"/>
        </w:rPr>
        <w:t>”</w:t>
      </w:r>
      <w:r w:rsidRPr="00DC66CD">
        <w:rPr>
          <w:rFonts w:ascii="Garamond" w:hAnsi="Garamond"/>
          <w:sz w:val="24"/>
          <w:szCs w:val="24"/>
        </w:rPr>
        <w:t>,</w:t>
      </w:r>
      <w:r w:rsidR="0072211B" w:rsidRPr="00DC66CD">
        <w:rPr>
          <w:rFonts w:ascii="Garamond" w:hAnsi="Garamond"/>
          <w:sz w:val="24"/>
          <w:szCs w:val="24"/>
        </w:rPr>
        <w:t xml:space="preserve"> </w:t>
      </w:r>
      <w:r w:rsidRPr="00DC66CD">
        <w:rPr>
          <w:rFonts w:ascii="Garamond" w:hAnsi="Garamond"/>
          <w:sz w:val="24"/>
          <w:szCs w:val="24"/>
        </w:rPr>
        <w:t>financuar nga Qeveria e Mbretërisë së Bashkuar, një total prej 4.500 mësuesish do të trajnohen nga trajnues kombëtar, 23 500 micro:bits do të shpërndahen përgjatë programit dhe 1197 shkolla do të jenë përfituese. Ky program trajnimi është</w:t>
      </w:r>
      <w:r w:rsidR="0072211B" w:rsidRPr="00DC66CD">
        <w:rPr>
          <w:rFonts w:ascii="Garamond" w:hAnsi="Garamond"/>
          <w:sz w:val="24"/>
          <w:szCs w:val="24"/>
        </w:rPr>
        <w:t xml:space="preserve"> </w:t>
      </w:r>
      <w:r w:rsidRPr="00DC66CD">
        <w:rPr>
          <w:rFonts w:ascii="Garamond" w:hAnsi="Garamond"/>
          <w:sz w:val="24"/>
          <w:szCs w:val="24"/>
        </w:rPr>
        <w:t xml:space="preserve">i fokusuar në të menduarin kritik, zgjidhjen e problemeve dhe aftësitë në kodim për të përdorur </w:t>
      </w:r>
      <w:r w:rsidRPr="00DC66CD">
        <w:rPr>
          <w:rFonts w:ascii="Garamond" w:hAnsi="Garamond"/>
          <w:i/>
          <w:sz w:val="24"/>
          <w:szCs w:val="24"/>
        </w:rPr>
        <w:t>micro:bits</w:t>
      </w:r>
      <w:r w:rsidRPr="00DC66CD">
        <w:rPr>
          <w:rFonts w:ascii="Garamond" w:hAnsi="Garamond"/>
          <w:sz w:val="24"/>
          <w:szCs w:val="24"/>
        </w:rPr>
        <w:t xml:space="preserve"> dhe për të praktikuar aftësitë në klasë. Kurrikula e bazuar në kompetenca në Shqipëri përfshin në aftësitë themelore dhe kompetencën e të mësuarit gjatë gjithë jetës, të menduarit kritik, zgjidhjen e problemeve dhe aftësitë digjitale.</w:t>
      </w:r>
    </w:p>
    <w:p w14:paraId="0307AE0A" w14:textId="165AAC5A" w:rsidR="006F605B" w:rsidRPr="00DC66CD" w:rsidRDefault="003F088F" w:rsidP="003F088F">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58AC703A" w14:textId="6661AF32" w:rsidR="006F605B" w:rsidRPr="00DC66CD" w:rsidRDefault="003F088F" w:rsidP="003F088F">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74572F" w:rsidRPr="00DC66CD">
        <w:rPr>
          <w:rFonts w:ascii="Garamond" w:hAnsi="Garamond" w:cs="Times New Roman"/>
          <w:b/>
          <w:sz w:val="24"/>
          <w:szCs w:val="24"/>
        </w:rPr>
        <w:t>-ën:</w:t>
      </w:r>
    </w:p>
    <w:p w14:paraId="6A5A3C8F" w14:textId="2F277A08" w:rsidR="006F605B" w:rsidRPr="00DC66CD" w:rsidRDefault="003F088F" w:rsidP="003F088F">
      <w:pPr>
        <w:pStyle w:val="TEKSTIIII"/>
      </w:pPr>
      <w:r w:rsidRPr="00DC66CD">
        <w:t>-</w:t>
      </w:r>
      <w:r w:rsidR="0074572F" w:rsidRPr="00DC66CD">
        <w:t xml:space="preserve"> v</w:t>
      </w:r>
      <w:r w:rsidR="006F605B" w:rsidRPr="00DC66CD">
        <w:t>lerësimi i kurrikulës së re në arsimin parauniversitar bazuar në vlerësimin e brendshëm dhe raportet e jashtme;</w:t>
      </w:r>
    </w:p>
    <w:p w14:paraId="22D2227A" w14:textId="358FBD66" w:rsidR="006F605B" w:rsidRPr="00DC66CD" w:rsidRDefault="003F088F" w:rsidP="003F088F">
      <w:pPr>
        <w:pStyle w:val="TEKSTIIII"/>
      </w:pPr>
      <w:r w:rsidRPr="00DC66CD">
        <w:t>-</w:t>
      </w:r>
      <w:r w:rsidR="0074572F" w:rsidRPr="00DC66CD">
        <w:t xml:space="preserve"> p</w:t>
      </w:r>
      <w:r w:rsidR="006F605B" w:rsidRPr="00DC66CD">
        <w:t xml:space="preserve">ërfshirja e klasës së 6-të në politikën e </w:t>
      </w:r>
      <w:r w:rsidR="002A29AD" w:rsidRPr="00DC66CD">
        <w:t>“</w:t>
      </w:r>
      <w:r w:rsidR="006F605B" w:rsidRPr="00DC66CD">
        <w:t>teksteve shkollore falas</w:t>
      </w:r>
      <w:r w:rsidR="002A29AD" w:rsidRPr="00DC66CD">
        <w:t>”</w:t>
      </w:r>
      <w:r w:rsidR="006F605B" w:rsidRPr="00DC66CD">
        <w:t>;</w:t>
      </w:r>
    </w:p>
    <w:p w14:paraId="728164B4" w14:textId="721B8ADC" w:rsidR="006F605B" w:rsidRPr="00DC66CD" w:rsidRDefault="003F088F" w:rsidP="003F088F">
      <w:pPr>
        <w:pStyle w:val="TEKSTIIII"/>
      </w:pPr>
      <w:r w:rsidRPr="00DC66CD">
        <w:t>-</w:t>
      </w:r>
      <w:r w:rsidR="0074572F" w:rsidRPr="00DC66CD">
        <w:t xml:space="preserve"> t</w:t>
      </w:r>
      <w:r w:rsidR="006F605B" w:rsidRPr="00DC66CD">
        <w:t>rajnimi i 1100 ToT, drejtuesit e rrjeteve profesionale, në kurrikulën e bazuar në kompetenca</w:t>
      </w:r>
      <w:r w:rsidR="006F605B" w:rsidRPr="00DC66CD">
        <w:rPr>
          <w:rStyle w:val="FootnoteReference"/>
          <w:rFonts w:cs="Times New Roman"/>
        </w:rPr>
        <w:footnoteReference w:id="26"/>
      </w:r>
      <w:r w:rsidR="006F605B" w:rsidRPr="00DC66CD">
        <w:t>;</w:t>
      </w:r>
    </w:p>
    <w:p w14:paraId="69014B0B" w14:textId="226511D6" w:rsidR="006F605B" w:rsidRPr="00DC66CD" w:rsidRDefault="003F088F" w:rsidP="003F088F">
      <w:pPr>
        <w:pStyle w:val="TEKSTIIII"/>
      </w:pPr>
      <w:r w:rsidRPr="00DC66CD">
        <w:t>-</w:t>
      </w:r>
      <w:r w:rsidR="0074572F" w:rsidRPr="00DC66CD">
        <w:t xml:space="preserve"> r</w:t>
      </w:r>
      <w:r w:rsidR="006F605B" w:rsidRPr="00DC66CD">
        <w:t>ritja e kapaciteteve të stafit në njësitë arsimore vendore, mbi udhëzimet për sigurimin e cilësisë (200 specialistë);</w:t>
      </w:r>
    </w:p>
    <w:p w14:paraId="71A8D65C" w14:textId="4ADD7736" w:rsidR="006F605B" w:rsidRPr="00DC66CD" w:rsidRDefault="003F088F" w:rsidP="003F088F">
      <w:pPr>
        <w:pStyle w:val="TEKSTIIII"/>
      </w:pPr>
      <w:r w:rsidRPr="00DC66CD">
        <w:t>-</w:t>
      </w:r>
      <w:r w:rsidR="0074572F" w:rsidRPr="00DC66CD">
        <w:t xml:space="preserve"> t</w:t>
      </w:r>
      <w:r w:rsidR="006F605B" w:rsidRPr="00DC66CD">
        <w:t>rajnimi i 92 ToT, drejtuesit e rrjeteve profesionale në arsimin parashkollor, në kurrikulën e bazuar në kompetenca;</w:t>
      </w:r>
    </w:p>
    <w:p w14:paraId="753480CE" w14:textId="00366AE1" w:rsidR="006F605B" w:rsidRPr="00DC66CD" w:rsidRDefault="00D92789" w:rsidP="00D92789">
      <w:pPr>
        <w:pStyle w:val="TEKSTIIII"/>
      </w:pPr>
      <w:r w:rsidRPr="00DC66CD">
        <w:t>-</w:t>
      </w:r>
      <w:r w:rsidR="0074572F" w:rsidRPr="00DC66CD">
        <w:t xml:space="preserve"> t</w:t>
      </w:r>
      <w:r w:rsidR="006F605B" w:rsidRPr="00DC66CD">
        <w:t>rajnimi i 1500 drejtuesve të arsimit parashkollor dhe mësuesit e nxënësve të moshës 5</w:t>
      </w:r>
      <w:r w:rsidR="0074572F" w:rsidRPr="00DC66CD">
        <w:t>–</w:t>
      </w:r>
      <w:r w:rsidR="006F605B" w:rsidRPr="00DC66CD">
        <w:t>6, mbi dokumentacionin e ri të kurrikulave;</w:t>
      </w:r>
    </w:p>
    <w:p w14:paraId="7A3E4290" w14:textId="5D3B4A62" w:rsidR="006F605B" w:rsidRPr="00DC66CD" w:rsidRDefault="00D92789" w:rsidP="00D92789">
      <w:pPr>
        <w:pStyle w:val="TEKSTIIII"/>
      </w:pPr>
      <w:r w:rsidRPr="00DC66CD">
        <w:t>-</w:t>
      </w:r>
      <w:r w:rsidR="0074572F" w:rsidRPr="00DC66CD">
        <w:t xml:space="preserve"> t</w:t>
      </w:r>
      <w:r w:rsidR="006F605B" w:rsidRPr="00DC66CD">
        <w:t xml:space="preserve">rajnimi i 2,200 mësuesve dhe implementimi i programit </w:t>
      </w:r>
      <w:r w:rsidR="002A29AD" w:rsidRPr="00DC66CD">
        <w:t>“</w:t>
      </w:r>
      <w:r w:rsidR="006F605B" w:rsidRPr="00DC66CD">
        <w:t>Shkollat e shekullit 21</w:t>
      </w:r>
      <w:r w:rsidR="002A29AD" w:rsidRPr="00DC66CD">
        <w:t>”</w:t>
      </w:r>
      <w:r w:rsidR="006F605B" w:rsidRPr="00DC66CD">
        <w:t xml:space="preserve"> për 40,000 studentë.</w:t>
      </w:r>
    </w:p>
    <w:p w14:paraId="418C8586" w14:textId="42AEF169" w:rsidR="006F605B" w:rsidRPr="00DC66CD" w:rsidRDefault="00D92789" w:rsidP="00D92789">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74572F" w:rsidRPr="00DC66CD">
        <w:rPr>
          <w:rFonts w:ascii="Garamond" w:hAnsi="Garamond" w:cs="Times New Roman"/>
          <w:b/>
          <w:sz w:val="24"/>
          <w:szCs w:val="24"/>
        </w:rPr>
        <w:t>-shin</w:t>
      </w:r>
    </w:p>
    <w:p w14:paraId="46EB3F38" w14:textId="44207CCB" w:rsidR="006F605B" w:rsidRPr="00DC66CD" w:rsidRDefault="00D92789" w:rsidP="00D92789">
      <w:pPr>
        <w:pStyle w:val="TEKSTIIII"/>
        <w:rPr>
          <w:rStyle w:val="table0020gridchar"/>
        </w:rPr>
      </w:pPr>
      <w:r w:rsidRPr="00DC66CD">
        <w:rPr>
          <w:rStyle w:val="table0020gridchar"/>
        </w:rPr>
        <w:t>-</w:t>
      </w:r>
      <w:r w:rsidR="0074572F" w:rsidRPr="00DC66CD">
        <w:rPr>
          <w:rStyle w:val="table0020gridchar"/>
        </w:rPr>
        <w:t xml:space="preserve"> r</w:t>
      </w:r>
      <w:r w:rsidR="006F605B" w:rsidRPr="00DC66CD">
        <w:rPr>
          <w:rStyle w:val="table0020gridchar"/>
        </w:rPr>
        <w:t>ishikimi i kurrikulës për arsimin bazë dhe zbatimi i tij sipas rezultateve të vlerësimit;</w:t>
      </w:r>
    </w:p>
    <w:p w14:paraId="49E52381" w14:textId="62F2FB7D" w:rsidR="006F605B" w:rsidRPr="00DC66CD" w:rsidRDefault="00D92789" w:rsidP="00D92789">
      <w:pPr>
        <w:pStyle w:val="TEKSTIIII"/>
        <w:rPr>
          <w:rStyle w:val="table0020gridchar"/>
        </w:rPr>
      </w:pPr>
      <w:r w:rsidRPr="00DC66CD">
        <w:rPr>
          <w:rStyle w:val="table0020gridchar"/>
        </w:rPr>
        <w:t>-</w:t>
      </w:r>
      <w:r w:rsidR="0074572F" w:rsidRPr="00DC66CD">
        <w:rPr>
          <w:rStyle w:val="table0020gridchar"/>
        </w:rPr>
        <w:t xml:space="preserve"> tr</w:t>
      </w:r>
      <w:r w:rsidR="006F605B" w:rsidRPr="00DC66CD">
        <w:rPr>
          <w:rStyle w:val="table0020gridchar"/>
        </w:rPr>
        <w:t>ajnimi i 1100 ToT, drejtuesit e rrjeteve profesionale në kurrikulën e bazuar në kompetenca;</w:t>
      </w:r>
    </w:p>
    <w:p w14:paraId="768FF5BC" w14:textId="04105FE2" w:rsidR="006F605B" w:rsidRPr="00DC66CD" w:rsidRDefault="00D92789" w:rsidP="00D92789">
      <w:pPr>
        <w:pStyle w:val="TEKSTIIII"/>
        <w:rPr>
          <w:rStyle w:val="table0020gridchar"/>
        </w:rPr>
      </w:pPr>
      <w:r w:rsidRPr="00DC66CD">
        <w:rPr>
          <w:rStyle w:val="table0020gridchar"/>
        </w:rPr>
        <w:t>-</w:t>
      </w:r>
      <w:r w:rsidR="0074572F" w:rsidRPr="00DC66CD">
        <w:rPr>
          <w:rStyle w:val="table0020gridchar"/>
        </w:rPr>
        <w:t xml:space="preserve"> p</w:t>
      </w:r>
      <w:r w:rsidR="006F605B" w:rsidRPr="00DC66CD">
        <w:rPr>
          <w:rStyle w:val="table0020gridchar"/>
        </w:rPr>
        <w:t xml:space="preserve">ërfshirja e klasës së 7-të në politikën e </w:t>
      </w:r>
      <w:r w:rsidR="002A29AD" w:rsidRPr="00DC66CD">
        <w:rPr>
          <w:rStyle w:val="table0020gridchar"/>
        </w:rPr>
        <w:t>“</w:t>
      </w:r>
      <w:r w:rsidR="006F605B" w:rsidRPr="00DC66CD">
        <w:rPr>
          <w:rStyle w:val="table0020gridchar"/>
        </w:rPr>
        <w:t>librave shkollorë falas</w:t>
      </w:r>
      <w:r w:rsidR="002A29AD" w:rsidRPr="00DC66CD">
        <w:rPr>
          <w:rStyle w:val="table0020gridchar"/>
        </w:rPr>
        <w:t>”</w:t>
      </w:r>
      <w:r w:rsidR="006F605B" w:rsidRPr="00DC66CD">
        <w:rPr>
          <w:rStyle w:val="table0020gridchar"/>
        </w:rPr>
        <w:t>;</w:t>
      </w:r>
    </w:p>
    <w:p w14:paraId="0BD32064" w14:textId="0E34F08F" w:rsidR="006F605B" w:rsidRPr="00DC66CD" w:rsidRDefault="00D92789" w:rsidP="00D92789">
      <w:pPr>
        <w:pStyle w:val="TEKSTIIII"/>
        <w:rPr>
          <w:rStyle w:val="table0020gridchar"/>
        </w:rPr>
      </w:pPr>
      <w:r w:rsidRPr="00DC66CD">
        <w:rPr>
          <w:rStyle w:val="table0020gridchar"/>
        </w:rPr>
        <w:t>-</w:t>
      </w:r>
      <w:r w:rsidR="0074572F" w:rsidRPr="00DC66CD">
        <w:rPr>
          <w:rStyle w:val="table0020gridchar"/>
        </w:rPr>
        <w:t xml:space="preserve"> n</w:t>
      </w:r>
      <w:r w:rsidR="006F605B" w:rsidRPr="00DC66CD">
        <w:rPr>
          <w:rStyle w:val="table0020gridchar"/>
        </w:rPr>
        <w:t>gritja e qendrave të formimit të mësimit gjatë gjithë jetës në universitete për organizimin e aftësimit të mësuesve në arsimin parauniversitar;</w:t>
      </w:r>
    </w:p>
    <w:p w14:paraId="3D8E4FCE" w14:textId="55EA1719" w:rsidR="006F605B" w:rsidRPr="00DC66CD" w:rsidRDefault="00D92789" w:rsidP="00D92789">
      <w:pPr>
        <w:pStyle w:val="TEKSTIIII"/>
        <w:rPr>
          <w:rStyle w:val="table0020gridchar"/>
        </w:rPr>
      </w:pPr>
      <w:r w:rsidRPr="00DC66CD">
        <w:rPr>
          <w:rStyle w:val="table0020gridchar"/>
        </w:rPr>
        <w:t>-</w:t>
      </w:r>
      <w:r w:rsidR="0074572F" w:rsidRPr="00DC66CD">
        <w:rPr>
          <w:rStyle w:val="table0020gridchar"/>
        </w:rPr>
        <w:t xml:space="preserve"> v</w:t>
      </w:r>
      <w:r w:rsidR="006F605B" w:rsidRPr="00DC66CD">
        <w:rPr>
          <w:rStyle w:val="table0020gridchar"/>
        </w:rPr>
        <w:t>lerësimi i reformës së punësimit të mësuesve, përfshirë vlerësimin e portofolit, të procesit të testimit dhe të gjithë platformës;</w:t>
      </w:r>
    </w:p>
    <w:p w14:paraId="17986383" w14:textId="5785D6CB" w:rsidR="006F605B" w:rsidRPr="00DC66CD" w:rsidRDefault="00D92789" w:rsidP="00D92789">
      <w:pPr>
        <w:pStyle w:val="TEKSTIIII"/>
        <w:rPr>
          <w:rStyle w:val="table0020gridchar"/>
        </w:rPr>
      </w:pPr>
      <w:r w:rsidRPr="00DC66CD">
        <w:rPr>
          <w:rStyle w:val="table0020gridchar"/>
        </w:rPr>
        <w:t>-</w:t>
      </w:r>
      <w:r w:rsidR="0074572F" w:rsidRPr="00DC66CD">
        <w:rPr>
          <w:rStyle w:val="table0020gridchar"/>
        </w:rPr>
        <w:t xml:space="preserve"> n</w:t>
      </w:r>
      <w:r w:rsidR="006F605B" w:rsidRPr="00DC66CD">
        <w:rPr>
          <w:rStyle w:val="table0020gridchar"/>
        </w:rPr>
        <w:t>gritja e kapaciteteve për zbatimin e udhëzimeve për sigurimin e cilësisë, të stafit në njësitë arsimore vendore (200 specialistë të trajnuar dhe të mentoruar);</w:t>
      </w:r>
    </w:p>
    <w:p w14:paraId="4C2E4B9E" w14:textId="6D0075E4" w:rsidR="006F605B" w:rsidRPr="00DC66CD" w:rsidRDefault="00D92789" w:rsidP="00D92789">
      <w:pPr>
        <w:pStyle w:val="TEKSTIIII"/>
        <w:rPr>
          <w:rStyle w:val="table0020gridchar"/>
        </w:rPr>
      </w:pPr>
      <w:r w:rsidRPr="00DC66CD">
        <w:rPr>
          <w:rStyle w:val="table0020gridchar"/>
        </w:rPr>
        <w:t>-</w:t>
      </w:r>
      <w:r w:rsidR="0074572F" w:rsidRPr="00DC66CD">
        <w:rPr>
          <w:rStyle w:val="table0020gridchar"/>
        </w:rPr>
        <w:t xml:space="preserve"> t</w:t>
      </w:r>
      <w:r w:rsidR="006F605B" w:rsidRPr="00DC66CD">
        <w:rPr>
          <w:rStyle w:val="table0020gridchar"/>
        </w:rPr>
        <w:t>rajnimi i 4800 drejtorëve të arsimit parashkollor dhe mësuesit e nxënësve të moshës 5</w:t>
      </w:r>
      <w:r w:rsidR="00E96005" w:rsidRPr="00DC66CD">
        <w:rPr>
          <w:rStyle w:val="table0020gridchar"/>
        </w:rPr>
        <w:t>–</w:t>
      </w:r>
      <w:r w:rsidR="006F605B" w:rsidRPr="00DC66CD">
        <w:rPr>
          <w:rStyle w:val="table0020gridchar"/>
        </w:rPr>
        <w:t>6, mbi dokumentacionin e ri kurrikular;</w:t>
      </w:r>
    </w:p>
    <w:p w14:paraId="2717BAA0" w14:textId="28C84DC5" w:rsidR="006F605B" w:rsidRPr="00DC66CD" w:rsidRDefault="00D92789" w:rsidP="00D92789">
      <w:pPr>
        <w:pStyle w:val="TEKSTIIII"/>
        <w:rPr>
          <w:rStyle w:val="table0020gridchar"/>
        </w:rPr>
      </w:pPr>
      <w:r w:rsidRPr="00DC66CD">
        <w:rPr>
          <w:rStyle w:val="table0020gridchar"/>
        </w:rPr>
        <w:t>-</w:t>
      </w:r>
      <w:r w:rsidR="0074572F" w:rsidRPr="00DC66CD">
        <w:rPr>
          <w:rStyle w:val="table0020gridchar"/>
        </w:rPr>
        <w:t xml:space="preserve"> t</w:t>
      </w:r>
      <w:r w:rsidR="006F605B" w:rsidRPr="00DC66CD">
        <w:rPr>
          <w:rStyle w:val="table0020gridchar"/>
        </w:rPr>
        <w:t xml:space="preserve">rajnimi i 1100 mësuesve të mbetur dhe implementimi i programit </w:t>
      </w:r>
      <w:r w:rsidR="002A29AD" w:rsidRPr="00DC66CD">
        <w:rPr>
          <w:rStyle w:val="table0020gridchar"/>
        </w:rPr>
        <w:t>“</w:t>
      </w:r>
      <w:r w:rsidR="006F605B" w:rsidRPr="00DC66CD">
        <w:rPr>
          <w:rStyle w:val="table0020gridchar"/>
        </w:rPr>
        <w:t xml:space="preserve"> Shkollat e shekullit 21</w:t>
      </w:r>
      <w:r w:rsidR="002A29AD" w:rsidRPr="00DC66CD">
        <w:rPr>
          <w:rStyle w:val="table0020gridchar"/>
        </w:rPr>
        <w:t>”</w:t>
      </w:r>
      <w:r w:rsidR="006F605B" w:rsidRPr="00DC66CD">
        <w:rPr>
          <w:rStyle w:val="table0020gridchar"/>
        </w:rPr>
        <w:t xml:space="preserve"> për 20,000 nxënës.</w:t>
      </w:r>
    </w:p>
    <w:p w14:paraId="545F57E0" w14:textId="4A833389" w:rsidR="006F605B" w:rsidRPr="00DC66CD" w:rsidRDefault="00D92789" w:rsidP="00D92789">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E96005" w:rsidRPr="00DC66CD">
        <w:rPr>
          <w:rFonts w:ascii="Garamond" w:hAnsi="Garamond" w:cs="Times New Roman"/>
          <w:b/>
          <w:sz w:val="24"/>
          <w:szCs w:val="24"/>
        </w:rPr>
        <w:t>-shin:</w:t>
      </w:r>
    </w:p>
    <w:p w14:paraId="68BB1EB7" w14:textId="6CAEBCFE" w:rsidR="006F605B" w:rsidRPr="00DC66CD" w:rsidRDefault="00D92789" w:rsidP="00D92789">
      <w:pPr>
        <w:pStyle w:val="TEKSTIIII"/>
      </w:pPr>
      <w:r w:rsidRPr="00DC66CD">
        <w:t>-</w:t>
      </w:r>
      <w:r w:rsidR="006F605B" w:rsidRPr="00DC66CD">
        <w:t xml:space="preserve"> </w:t>
      </w:r>
      <w:r w:rsidR="00E96005" w:rsidRPr="00DC66CD">
        <w:t>r</w:t>
      </w:r>
      <w:r w:rsidR="006F605B" w:rsidRPr="00DC66CD">
        <w:t>ishikimi i kurrikulave për arsimin e mesëm të lartë</w:t>
      </w:r>
      <w:r w:rsidR="00E96005" w:rsidRPr="00DC66CD">
        <w:t>,</w:t>
      </w:r>
      <w:r w:rsidR="006F605B" w:rsidRPr="00DC66CD">
        <w:t xml:space="preserve"> sipas rezultateve të vlerësimit dhe zbatimi i tij;</w:t>
      </w:r>
    </w:p>
    <w:p w14:paraId="6D96335C" w14:textId="487F9979" w:rsidR="006F605B" w:rsidRPr="00DC66CD" w:rsidRDefault="00D92789" w:rsidP="00D92789">
      <w:pPr>
        <w:pStyle w:val="TEKSTIIII"/>
      </w:pPr>
      <w:r w:rsidRPr="00DC66CD">
        <w:t>-</w:t>
      </w:r>
      <w:r w:rsidR="00E96005" w:rsidRPr="00DC66CD">
        <w:t xml:space="preserve"> t</w:t>
      </w:r>
      <w:r w:rsidR="006F605B" w:rsidRPr="00DC66CD">
        <w:t>rajnimi i 1100 ToT, drejtuesit e rrjeteve profesionale në kurrikulën e bazuar në kompetenca;</w:t>
      </w:r>
    </w:p>
    <w:p w14:paraId="363D4B4E" w14:textId="622F9F1B" w:rsidR="006F605B" w:rsidRPr="00DC66CD" w:rsidRDefault="00D92789" w:rsidP="00D92789">
      <w:pPr>
        <w:pStyle w:val="TEKSTIIII"/>
      </w:pPr>
      <w:r w:rsidRPr="00DC66CD">
        <w:t>-</w:t>
      </w:r>
      <w:r w:rsidR="00E96005" w:rsidRPr="00DC66CD">
        <w:t xml:space="preserve"> p</w:t>
      </w:r>
      <w:r w:rsidR="006F605B" w:rsidRPr="00DC66CD">
        <w:t xml:space="preserve">ërfshirja e klasës së 8-të dhe të 9-të në politikën e </w:t>
      </w:r>
      <w:r w:rsidR="002A29AD" w:rsidRPr="00DC66CD">
        <w:t>“</w:t>
      </w:r>
      <w:r w:rsidR="006F605B" w:rsidRPr="00DC66CD">
        <w:t>teksteve shkollore falas</w:t>
      </w:r>
      <w:r w:rsidR="002A29AD" w:rsidRPr="00DC66CD">
        <w:t>”</w:t>
      </w:r>
      <w:r w:rsidR="006F605B" w:rsidRPr="00DC66CD">
        <w:t>;</w:t>
      </w:r>
    </w:p>
    <w:p w14:paraId="687EC4FA" w14:textId="57F7BB14" w:rsidR="006F605B" w:rsidRPr="00DC66CD" w:rsidRDefault="00D92789" w:rsidP="00D92789">
      <w:pPr>
        <w:pStyle w:val="TEKSTIIII"/>
      </w:pPr>
      <w:r w:rsidRPr="00DC66CD">
        <w:t>-</w:t>
      </w:r>
      <w:r w:rsidR="00E96005" w:rsidRPr="00DC66CD">
        <w:t xml:space="preserve"> v</w:t>
      </w:r>
      <w:r w:rsidR="006F605B" w:rsidRPr="00DC66CD">
        <w:t>lerësimi i efektivitetit të programit të aftësimit fillestar të mësuesve për mësuesit e rinj;</w:t>
      </w:r>
    </w:p>
    <w:p w14:paraId="62579C43" w14:textId="55D0DA29" w:rsidR="006F605B" w:rsidRPr="00DC66CD" w:rsidRDefault="00D92789" w:rsidP="00D92789">
      <w:pPr>
        <w:pStyle w:val="TEKSTIIII"/>
      </w:pPr>
      <w:r w:rsidRPr="00DC66CD">
        <w:t>-</w:t>
      </w:r>
      <w:r w:rsidR="00E96005" w:rsidRPr="00DC66CD">
        <w:t xml:space="preserve"> n</w:t>
      </w:r>
      <w:r w:rsidR="006F605B" w:rsidRPr="00DC66CD">
        <w:t>gritja e kapaciteteve për zbatimin e udhëzimeve për sigurimin e cilësisë, të stafit në njësitë arsimore vendore (200 specialistë të trajnuar dhe të mentoruar);</w:t>
      </w:r>
    </w:p>
    <w:p w14:paraId="56129054" w14:textId="0B62F7FD" w:rsidR="006F605B" w:rsidRPr="00DC66CD" w:rsidRDefault="00D92789" w:rsidP="00D92789">
      <w:pPr>
        <w:pStyle w:val="TEKSTIIII"/>
      </w:pPr>
      <w:r w:rsidRPr="00DC66CD">
        <w:t>-</w:t>
      </w:r>
      <w:r w:rsidR="00E96005" w:rsidRPr="00DC66CD">
        <w:t xml:space="preserve"> t</w:t>
      </w:r>
      <w:r w:rsidR="006F605B" w:rsidRPr="00DC66CD">
        <w:t xml:space="preserve">rajnimi i 4800 drejtuesve dhe </w:t>
      </w:r>
      <w:r w:rsidR="00E96005" w:rsidRPr="00DC66CD">
        <w:t xml:space="preserve">i </w:t>
      </w:r>
      <w:r w:rsidR="006F605B" w:rsidRPr="00DC66CD">
        <w:t>mësuesve të arsimit parashkollor të moshës 5</w:t>
      </w:r>
      <w:r w:rsidR="00E96005" w:rsidRPr="00DC66CD">
        <w:t>–</w:t>
      </w:r>
      <w:r w:rsidR="006F605B" w:rsidRPr="00DC66CD">
        <w:t>6, mbi dokumentacionin e ri kurrikular;</w:t>
      </w:r>
    </w:p>
    <w:p w14:paraId="2137C620" w14:textId="7DEC48B8" w:rsidR="006F605B" w:rsidRPr="00DC66CD" w:rsidRDefault="00D92789" w:rsidP="00D92789">
      <w:pPr>
        <w:pStyle w:val="TEKSTIIII"/>
      </w:pPr>
      <w:r w:rsidRPr="00DC66CD">
        <w:t>-</w:t>
      </w:r>
      <w:r w:rsidR="00E96005" w:rsidRPr="00DC66CD">
        <w:t xml:space="preserve"> a</w:t>
      </w:r>
      <w:r w:rsidR="006F605B" w:rsidRPr="00DC66CD">
        <w:t xml:space="preserve">nalizimi i rezultateve të programit </w:t>
      </w:r>
      <w:r w:rsidR="002A29AD" w:rsidRPr="00DC66CD">
        <w:t>“</w:t>
      </w:r>
      <w:r w:rsidR="006F605B" w:rsidRPr="00DC66CD">
        <w:t>Shkollat e shekullit 21</w:t>
      </w:r>
      <w:r w:rsidR="002A29AD" w:rsidRPr="00DC66CD">
        <w:t>”</w:t>
      </w:r>
      <w:r w:rsidR="006F605B" w:rsidRPr="00DC66CD">
        <w:t>.</w:t>
      </w:r>
    </w:p>
    <w:p w14:paraId="09B09CE8" w14:textId="0C6F8DCD" w:rsidR="006F605B" w:rsidRPr="00DC66CD" w:rsidRDefault="00D92789" w:rsidP="00D92789">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1"/>
        <w:gridCol w:w="1766"/>
        <w:gridCol w:w="1746"/>
        <w:gridCol w:w="1727"/>
      </w:tblGrid>
      <w:tr w:rsidR="006F605B" w:rsidRPr="00DC66CD" w14:paraId="295A9B8F" w14:textId="77777777" w:rsidTr="004F4E33">
        <w:tc>
          <w:tcPr>
            <w:tcW w:w="4248" w:type="dxa"/>
            <w:vAlign w:val="center"/>
          </w:tcPr>
          <w:p w14:paraId="57803524"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1791" w:type="dxa"/>
            <w:vAlign w:val="center"/>
          </w:tcPr>
          <w:p w14:paraId="6C837D24"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Bazë (2019)</w:t>
            </w:r>
          </w:p>
        </w:tc>
        <w:tc>
          <w:tcPr>
            <w:tcW w:w="1791" w:type="dxa"/>
            <w:vAlign w:val="center"/>
          </w:tcPr>
          <w:p w14:paraId="0B64D0D5" w14:textId="1101A994" w:rsidR="006F605B" w:rsidRPr="00DC66CD" w:rsidRDefault="00C27435"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(2021)</w:t>
            </w:r>
          </w:p>
        </w:tc>
        <w:tc>
          <w:tcPr>
            <w:tcW w:w="1792" w:type="dxa"/>
            <w:vAlign w:val="center"/>
          </w:tcPr>
          <w:p w14:paraId="35AC2D82"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Objektivi (2022)</w:t>
            </w:r>
          </w:p>
        </w:tc>
      </w:tr>
      <w:tr w:rsidR="006F605B" w:rsidRPr="00DC66CD" w14:paraId="040708DB" w14:textId="77777777" w:rsidTr="00D92789">
        <w:tc>
          <w:tcPr>
            <w:tcW w:w="4248" w:type="dxa"/>
            <w:vAlign w:val="center"/>
          </w:tcPr>
          <w:p w14:paraId="140E93CB" w14:textId="77777777" w:rsidR="006F605B" w:rsidRPr="00DC66CD" w:rsidRDefault="006F605B" w:rsidP="00D92789">
            <w:pPr>
              <w:snapToGrid w:val="0"/>
              <w:spacing w:after="0" w:line="240" w:lineRule="auto"/>
              <w:rPr>
                <w:rFonts w:ascii="Garamond" w:hAnsi="Garamond"/>
                <w:sz w:val="20"/>
                <w:szCs w:val="20"/>
              </w:rPr>
            </w:pPr>
            <w:r w:rsidRPr="00DC66CD">
              <w:rPr>
                <w:rFonts w:ascii="Garamond" w:hAnsi="Garamond"/>
                <w:sz w:val="20"/>
                <w:szCs w:val="20"/>
              </w:rPr>
              <w:t>Numri i mësuesve të trajnuar nëpërmjet rrjeteve profesionale</w:t>
            </w:r>
          </w:p>
        </w:tc>
        <w:tc>
          <w:tcPr>
            <w:tcW w:w="1791" w:type="dxa"/>
            <w:vAlign w:val="center"/>
          </w:tcPr>
          <w:p w14:paraId="0E489A3B" w14:textId="77777777" w:rsidR="006F605B" w:rsidRPr="00DC66CD" w:rsidRDefault="006F605B" w:rsidP="00D92789">
            <w:pPr>
              <w:snapToGrid w:val="0"/>
              <w:spacing w:after="0" w:line="240" w:lineRule="auto"/>
              <w:rPr>
                <w:rFonts w:ascii="Garamond" w:hAnsi="Garamond"/>
                <w:sz w:val="20"/>
                <w:szCs w:val="20"/>
              </w:rPr>
            </w:pPr>
            <w:r w:rsidRPr="00DC66CD">
              <w:rPr>
                <w:rFonts w:ascii="Garamond" w:eastAsia="Times New Roman" w:hAnsi="Garamond"/>
                <w:bCs/>
                <w:sz w:val="20"/>
                <w:szCs w:val="20"/>
              </w:rPr>
              <w:t>22 500</w:t>
            </w:r>
          </w:p>
        </w:tc>
        <w:tc>
          <w:tcPr>
            <w:tcW w:w="1791" w:type="dxa"/>
            <w:vAlign w:val="center"/>
          </w:tcPr>
          <w:p w14:paraId="125187DA" w14:textId="77777777" w:rsidR="006F605B" w:rsidRPr="00DC66CD" w:rsidRDefault="006F605B" w:rsidP="00D92789">
            <w:pPr>
              <w:snapToGrid w:val="0"/>
              <w:spacing w:after="0" w:line="240" w:lineRule="auto"/>
              <w:rPr>
                <w:rFonts w:ascii="Garamond" w:hAnsi="Garamond"/>
                <w:sz w:val="20"/>
                <w:szCs w:val="20"/>
              </w:rPr>
            </w:pPr>
            <w:r w:rsidRPr="00DC66CD">
              <w:rPr>
                <w:rFonts w:ascii="Garamond" w:eastAsia="Times New Roman" w:hAnsi="Garamond"/>
                <w:bCs/>
                <w:sz w:val="20"/>
                <w:szCs w:val="20"/>
              </w:rPr>
              <w:t>22500</w:t>
            </w:r>
          </w:p>
        </w:tc>
        <w:tc>
          <w:tcPr>
            <w:tcW w:w="1792" w:type="dxa"/>
            <w:vAlign w:val="center"/>
          </w:tcPr>
          <w:p w14:paraId="5CD5756F" w14:textId="77777777" w:rsidR="006F605B" w:rsidRPr="00DC66CD" w:rsidRDefault="006F605B" w:rsidP="00D92789">
            <w:pPr>
              <w:snapToGrid w:val="0"/>
              <w:spacing w:after="0" w:line="240" w:lineRule="auto"/>
              <w:rPr>
                <w:rFonts w:ascii="Garamond" w:hAnsi="Garamond"/>
                <w:sz w:val="20"/>
                <w:szCs w:val="20"/>
              </w:rPr>
            </w:pPr>
            <w:r w:rsidRPr="00DC66CD">
              <w:rPr>
                <w:rFonts w:ascii="Garamond" w:eastAsia="Times New Roman" w:hAnsi="Garamond"/>
                <w:bCs/>
                <w:sz w:val="20"/>
                <w:szCs w:val="20"/>
              </w:rPr>
              <w:t>22500</w:t>
            </w:r>
          </w:p>
        </w:tc>
      </w:tr>
      <w:tr w:rsidR="006F605B" w:rsidRPr="00DC66CD" w14:paraId="2ACE4815" w14:textId="77777777" w:rsidTr="00D92789">
        <w:tc>
          <w:tcPr>
            <w:tcW w:w="4248" w:type="dxa"/>
          </w:tcPr>
          <w:p w14:paraId="1CEB71C2" w14:textId="77777777" w:rsidR="006F605B" w:rsidRPr="00DC66CD" w:rsidRDefault="006F605B" w:rsidP="00D92789">
            <w:pPr>
              <w:snapToGrid w:val="0"/>
              <w:spacing w:after="0" w:line="240" w:lineRule="auto"/>
              <w:rPr>
                <w:rFonts w:ascii="Garamond" w:hAnsi="Garamond"/>
                <w:sz w:val="20"/>
                <w:szCs w:val="20"/>
              </w:rPr>
            </w:pPr>
            <w:r w:rsidRPr="00DC66CD">
              <w:rPr>
                <w:rFonts w:ascii="Garamond" w:hAnsi="Garamond"/>
                <w:sz w:val="20"/>
                <w:szCs w:val="20"/>
              </w:rPr>
              <w:t>Rezultatet e OECD PISA në aftësitë bazë të 15- vjeçarëve</w:t>
            </w:r>
          </w:p>
        </w:tc>
        <w:tc>
          <w:tcPr>
            <w:tcW w:w="1791" w:type="dxa"/>
          </w:tcPr>
          <w:p w14:paraId="0F77DBCC" w14:textId="77777777" w:rsidR="006F605B" w:rsidRPr="00DC66CD" w:rsidRDefault="006F605B" w:rsidP="00D92789">
            <w:pPr>
              <w:spacing w:after="0" w:line="240" w:lineRule="auto"/>
              <w:rPr>
                <w:rFonts w:ascii="Garamond" w:eastAsia="Arial Narrow" w:hAnsi="Garamond"/>
                <w:sz w:val="20"/>
                <w:szCs w:val="20"/>
              </w:rPr>
            </w:pPr>
            <w:r w:rsidRPr="00DC66CD">
              <w:rPr>
                <w:rFonts w:ascii="Garamond" w:eastAsia="Arial Narrow" w:hAnsi="Garamond"/>
                <w:sz w:val="20"/>
                <w:szCs w:val="20"/>
              </w:rPr>
              <w:t xml:space="preserve">PISA 2018 </w:t>
            </w:r>
          </w:p>
          <w:p w14:paraId="0437DD0E" w14:textId="77777777" w:rsidR="006F605B" w:rsidRPr="00DC66CD" w:rsidRDefault="006F605B" w:rsidP="00D92789">
            <w:pPr>
              <w:spacing w:after="0" w:line="240" w:lineRule="auto"/>
              <w:rPr>
                <w:rFonts w:ascii="Garamond" w:eastAsia="Arial Narrow" w:hAnsi="Garamond"/>
                <w:sz w:val="20"/>
                <w:szCs w:val="20"/>
              </w:rPr>
            </w:pPr>
            <w:r w:rsidRPr="00DC66CD">
              <w:rPr>
                <w:rFonts w:ascii="Garamond" w:eastAsia="Arial Narrow" w:hAnsi="Garamond"/>
                <w:sz w:val="20"/>
                <w:szCs w:val="20"/>
              </w:rPr>
              <w:t xml:space="preserve">literacy 405; </w:t>
            </w:r>
          </w:p>
          <w:p w14:paraId="6E28218C" w14:textId="77777777" w:rsidR="006F605B" w:rsidRPr="00DC66CD" w:rsidRDefault="006F605B" w:rsidP="00D92789">
            <w:pPr>
              <w:spacing w:after="0" w:line="240" w:lineRule="auto"/>
              <w:rPr>
                <w:rFonts w:ascii="Garamond" w:eastAsia="Arial Narrow" w:hAnsi="Garamond"/>
                <w:sz w:val="20"/>
                <w:szCs w:val="20"/>
              </w:rPr>
            </w:pPr>
            <w:r w:rsidRPr="00DC66CD">
              <w:rPr>
                <w:rFonts w:ascii="Garamond" w:eastAsia="Arial Narrow" w:hAnsi="Garamond"/>
                <w:sz w:val="20"/>
                <w:szCs w:val="20"/>
              </w:rPr>
              <w:t xml:space="preserve">matematikë 489; </w:t>
            </w:r>
          </w:p>
          <w:p w14:paraId="149BF24C" w14:textId="77777777" w:rsidR="006F605B" w:rsidRPr="00DC66CD" w:rsidRDefault="006F605B" w:rsidP="00D92789">
            <w:pPr>
              <w:snapToGrid w:val="0"/>
              <w:spacing w:after="0" w:line="240" w:lineRule="auto"/>
              <w:rPr>
                <w:rFonts w:ascii="Garamond" w:hAnsi="Garamond"/>
                <w:sz w:val="20"/>
                <w:szCs w:val="20"/>
              </w:rPr>
            </w:pPr>
            <w:r w:rsidRPr="00DC66CD">
              <w:rPr>
                <w:rFonts w:ascii="Garamond" w:eastAsia="Arial Narrow" w:hAnsi="Garamond"/>
                <w:sz w:val="20"/>
                <w:szCs w:val="20"/>
              </w:rPr>
              <w:t>shkencë 417</w:t>
            </w:r>
          </w:p>
        </w:tc>
        <w:tc>
          <w:tcPr>
            <w:tcW w:w="1791" w:type="dxa"/>
          </w:tcPr>
          <w:p w14:paraId="3DAAF998" w14:textId="77777777" w:rsidR="006F605B" w:rsidRPr="00DC66CD" w:rsidRDefault="006F605B" w:rsidP="00D92789">
            <w:pPr>
              <w:snapToGrid w:val="0"/>
              <w:spacing w:after="0" w:line="240" w:lineRule="auto"/>
              <w:rPr>
                <w:rFonts w:ascii="Garamond" w:hAnsi="Garamond"/>
                <w:sz w:val="20"/>
                <w:szCs w:val="20"/>
              </w:rPr>
            </w:pPr>
            <w:r w:rsidRPr="00DC66CD">
              <w:rPr>
                <w:rFonts w:ascii="Garamond" w:hAnsi="Garamond"/>
                <w:sz w:val="20"/>
                <w:szCs w:val="20"/>
              </w:rPr>
              <w:t>2021 PISA</w:t>
            </w:r>
          </w:p>
        </w:tc>
        <w:tc>
          <w:tcPr>
            <w:tcW w:w="1792" w:type="dxa"/>
          </w:tcPr>
          <w:p w14:paraId="6ED0662C" w14:textId="77777777" w:rsidR="00E96005" w:rsidRPr="00DC66CD" w:rsidRDefault="006F605B" w:rsidP="00D92789">
            <w:pPr>
              <w:snapToGrid w:val="0"/>
              <w:spacing w:after="0" w:line="240" w:lineRule="auto"/>
              <w:rPr>
                <w:rFonts w:ascii="Garamond" w:eastAsia="Times New Roman" w:hAnsi="Garamond"/>
                <w:bCs/>
                <w:sz w:val="20"/>
                <w:szCs w:val="20"/>
              </w:rPr>
            </w:pPr>
            <w:r w:rsidRPr="00DC66CD">
              <w:rPr>
                <w:rFonts w:ascii="Garamond" w:eastAsia="Times New Roman" w:hAnsi="Garamond"/>
                <w:bCs/>
                <w:sz w:val="20"/>
                <w:szCs w:val="20"/>
              </w:rPr>
              <w:t xml:space="preserve">2022 </w:t>
            </w:r>
          </w:p>
          <w:p w14:paraId="63360798" w14:textId="4CDECA31" w:rsidR="006F605B" w:rsidRPr="00DC66CD" w:rsidRDefault="006F605B" w:rsidP="00D92789">
            <w:pPr>
              <w:snapToGrid w:val="0"/>
              <w:spacing w:after="0" w:line="240" w:lineRule="auto"/>
              <w:rPr>
                <w:rFonts w:ascii="Garamond" w:hAnsi="Garamond"/>
                <w:sz w:val="20"/>
                <w:szCs w:val="20"/>
              </w:rPr>
            </w:pPr>
            <w:r w:rsidRPr="00DC66CD">
              <w:rPr>
                <w:rFonts w:ascii="Garamond" w:eastAsia="Times New Roman" w:hAnsi="Garamond"/>
                <w:bCs/>
                <w:sz w:val="20"/>
                <w:szCs w:val="20"/>
              </w:rPr>
              <w:t>(</w:t>
            </w:r>
            <w:r w:rsidR="00E96005" w:rsidRPr="00DC66CD">
              <w:rPr>
                <w:rFonts w:ascii="Garamond" w:eastAsia="Times New Roman" w:hAnsi="Garamond"/>
                <w:bCs/>
                <w:sz w:val="20"/>
                <w:szCs w:val="20"/>
              </w:rPr>
              <w:t>rezultatet e PISA 2021</w:t>
            </w:r>
            <w:r w:rsidRPr="00DC66CD">
              <w:rPr>
                <w:rFonts w:ascii="Garamond" w:eastAsia="Times New Roman" w:hAnsi="Garamond"/>
                <w:bCs/>
                <w:sz w:val="20"/>
                <w:szCs w:val="20"/>
              </w:rPr>
              <w:t>)</w:t>
            </w:r>
          </w:p>
        </w:tc>
      </w:tr>
      <w:tr w:rsidR="006F605B" w:rsidRPr="00DC66CD" w14:paraId="6D3341A4" w14:textId="77777777" w:rsidTr="00D92789">
        <w:tc>
          <w:tcPr>
            <w:tcW w:w="4248" w:type="dxa"/>
          </w:tcPr>
          <w:p w14:paraId="46B01CC1" w14:textId="77777777" w:rsidR="006F605B" w:rsidRPr="00DC66CD" w:rsidRDefault="006F605B" w:rsidP="00D92789">
            <w:pPr>
              <w:snapToGrid w:val="0"/>
              <w:spacing w:after="0" w:line="240" w:lineRule="auto"/>
              <w:rPr>
                <w:rFonts w:ascii="Garamond" w:hAnsi="Garamond"/>
                <w:sz w:val="20"/>
                <w:szCs w:val="20"/>
              </w:rPr>
            </w:pPr>
            <w:r w:rsidRPr="00DC66CD">
              <w:rPr>
                <w:rFonts w:ascii="Garamond" w:hAnsi="Garamond"/>
                <w:sz w:val="20"/>
                <w:szCs w:val="20"/>
              </w:rPr>
              <w:t>Numri i nxënësve që përfitojnë/përdorin tekste falas</w:t>
            </w:r>
          </w:p>
        </w:tc>
        <w:tc>
          <w:tcPr>
            <w:tcW w:w="1791" w:type="dxa"/>
          </w:tcPr>
          <w:p w14:paraId="6D4BEAC2" w14:textId="78753D3D" w:rsidR="006F605B" w:rsidRPr="00DC66CD" w:rsidRDefault="006F605B" w:rsidP="00D92789">
            <w:pPr>
              <w:snapToGrid w:val="0"/>
              <w:spacing w:after="0" w:line="240" w:lineRule="auto"/>
              <w:rPr>
                <w:rFonts w:ascii="Garamond" w:hAnsi="Garamond"/>
                <w:sz w:val="20"/>
                <w:szCs w:val="20"/>
              </w:rPr>
            </w:pPr>
            <w:r w:rsidRPr="00DC66CD">
              <w:rPr>
                <w:rFonts w:ascii="Garamond" w:eastAsia="Arial Narrow" w:hAnsi="Garamond"/>
                <w:sz w:val="20"/>
                <w:szCs w:val="20"/>
              </w:rPr>
              <w:t xml:space="preserve">Viti shkollor </w:t>
            </w:r>
            <w:r w:rsidR="00433A3A" w:rsidRPr="00DC66CD">
              <w:rPr>
                <w:rFonts w:ascii="Garamond" w:eastAsia="Arial Narrow" w:hAnsi="Garamond"/>
                <w:sz w:val="20"/>
                <w:szCs w:val="20"/>
              </w:rPr>
              <w:t>2019–</w:t>
            </w:r>
            <w:r w:rsidRPr="00DC66CD">
              <w:rPr>
                <w:rFonts w:ascii="Garamond" w:eastAsia="Arial Narrow" w:hAnsi="Garamond"/>
                <w:sz w:val="20"/>
                <w:szCs w:val="20"/>
              </w:rPr>
              <w:t>2020: rreth</w:t>
            </w:r>
            <w:r w:rsidR="00E96005" w:rsidRPr="00DC66CD">
              <w:rPr>
                <w:rFonts w:ascii="Garamond" w:eastAsia="Arial Narrow" w:hAnsi="Garamond"/>
                <w:sz w:val="20"/>
                <w:szCs w:val="20"/>
              </w:rPr>
              <w:t xml:space="preserve"> </w:t>
            </w:r>
            <w:r w:rsidRPr="00DC66CD">
              <w:rPr>
                <w:rFonts w:ascii="Garamond" w:eastAsia="Arial Narrow" w:hAnsi="Garamond"/>
                <w:sz w:val="20"/>
                <w:szCs w:val="20"/>
              </w:rPr>
              <w:t>155,000 nxënës, klasa 1</w:t>
            </w:r>
            <w:r w:rsidR="00E96005" w:rsidRPr="00DC66CD">
              <w:rPr>
                <w:rFonts w:ascii="Garamond" w:eastAsia="Arial Narrow" w:hAnsi="Garamond"/>
                <w:sz w:val="20"/>
                <w:szCs w:val="20"/>
              </w:rPr>
              <w:t>–</w:t>
            </w:r>
            <w:r w:rsidRPr="00DC66CD">
              <w:rPr>
                <w:rFonts w:ascii="Garamond" w:eastAsia="Arial Narrow" w:hAnsi="Garamond"/>
                <w:sz w:val="20"/>
                <w:szCs w:val="20"/>
              </w:rPr>
              <w:t>5; 70,000 nxënës nga 16 kategori vulnerabël</w:t>
            </w:r>
            <w:r w:rsidRPr="00DC66CD">
              <w:rPr>
                <w:rStyle w:val="FootnoteReference"/>
                <w:rFonts w:ascii="Garamond" w:eastAsia="Arial Narrow" w:hAnsi="Garamond"/>
                <w:sz w:val="20"/>
                <w:szCs w:val="20"/>
              </w:rPr>
              <w:footnoteReference w:id="27"/>
            </w:r>
          </w:p>
        </w:tc>
        <w:tc>
          <w:tcPr>
            <w:tcW w:w="1791" w:type="dxa"/>
          </w:tcPr>
          <w:p w14:paraId="1479FBBB" w14:textId="77777777" w:rsidR="006F605B" w:rsidRPr="00DC66CD" w:rsidRDefault="006F605B" w:rsidP="00D92789">
            <w:pPr>
              <w:snapToGrid w:val="0"/>
              <w:spacing w:after="0" w:line="240" w:lineRule="auto"/>
              <w:rPr>
                <w:rFonts w:ascii="Garamond" w:hAnsi="Garamond"/>
                <w:sz w:val="20"/>
                <w:szCs w:val="20"/>
              </w:rPr>
            </w:pPr>
          </w:p>
        </w:tc>
        <w:tc>
          <w:tcPr>
            <w:tcW w:w="1792" w:type="dxa"/>
          </w:tcPr>
          <w:p w14:paraId="26BAF41A" w14:textId="77777777" w:rsidR="006F605B" w:rsidRPr="00DC66CD" w:rsidRDefault="006F605B" w:rsidP="00D92789">
            <w:pPr>
              <w:snapToGrid w:val="0"/>
              <w:spacing w:after="0" w:line="240" w:lineRule="auto"/>
              <w:rPr>
                <w:rFonts w:ascii="Garamond" w:hAnsi="Garamond"/>
                <w:sz w:val="20"/>
                <w:szCs w:val="20"/>
              </w:rPr>
            </w:pPr>
          </w:p>
        </w:tc>
      </w:tr>
    </w:tbl>
    <w:p w14:paraId="626A1342" w14:textId="77777777" w:rsidR="006F605B" w:rsidRPr="00DC66CD" w:rsidRDefault="006F605B" w:rsidP="006F605B">
      <w:pPr>
        <w:snapToGrid w:val="0"/>
        <w:spacing w:after="0" w:line="240" w:lineRule="auto"/>
        <w:ind w:firstLine="284"/>
        <w:rPr>
          <w:rFonts w:ascii="Garamond" w:hAnsi="Garamond"/>
          <w:sz w:val="24"/>
          <w:szCs w:val="24"/>
        </w:rPr>
      </w:pPr>
    </w:p>
    <w:p w14:paraId="1A71AD5C" w14:textId="44BB3ED4" w:rsidR="006F605B" w:rsidRPr="00DC66CD" w:rsidRDefault="00E96005" w:rsidP="00E9600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Ndikimi i pritshëm në konkurrueshmëri</w:t>
      </w:r>
    </w:p>
    <w:p w14:paraId="161468DB" w14:textId="5778934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Në terma afatgjatë,</w:t>
      </w:r>
      <w:r w:rsidR="0072211B" w:rsidRPr="00DC66CD">
        <w:rPr>
          <w:rFonts w:ascii="Garamond" w:hAnsi="Garamond"/>
          <w:sz w:val="24"/>
          <w:szCs w:val="24"/>
        </w:rPr>
        <w:t xml:space="preserve"> </w:t>
      </w:r>
      <w:r w:rsidRPr="00DC66CD">
        <w:rPr>
          <w:rFonts w:ascii="Garamond" w:hAnsi="Garamond"/>
          <w:sz w:val="24"/>
          <w:szCs w:val="24"/>
        </w:rPr>
        <w:t>sipas studimeve si ai i PISA</w:t>
      </w:r>
      <w:r w:rsidR="00484D9B" w:rsidRPr="00DC66CD">
        <w:rPr>
          <w:rFonts w:ascii="Garamond" w:hAnsi="Garamond"/>
          <w:sz w:val="24"/>
          <w:szCs w:val="24"/>
        </w:rPr>
        <w:t>-s</w:t>
      </w:r>
      <w:r w:rsidRPr="00DC66CD">
        <w:rPr>
          <w:rFonts w:ascii="Garamond" w:hAnsi="Garamond"/>
          <w:sz w:val="24"/>
          <w:szCs w:val="24"/>
        </w:rPr>
        <w:t xml:space="preserve"> i OECD-së</w:t>
      </w:r>
      <w:r w:rsidR="00484D9B" w:rsidRPr="00DC66CD">
        <w:rPr>
          <w:rFonts w:ascii="Garamond" w:hAnsi="Garamond"/>
          <w:sz w:val="24"/>
          <w:szCs w:val="24"/>
        </w:rPr>
        <w:t>,</w:t>
      </w:r>
      <w:r w:rsidRPr="00DC66CD">
        <w:rPr>
          <w:rFonts w:ascii="Garamond" w:hAnsi="Garamond"/>
          <w:sz w:val="24"/>
          <w:szCs w:val="24"/>
        </w:rPr>
        <w:t xml:space="preserve"> i cili bën një lidhje midis rezultateve më të mira në aftësitë bazë dhe zhvillimit ekonomik të vendeve, rritja e cilësisë së mësuesve rrit dhe rezultatet në aftësitë duke mundësuar gjeneratat e nxënësve të përgatiten më mirë për tregun e punës, si punëmarrës apo punëdhënës.</w:t>
      </w:r>
    </w:p>
    <w:p w14:paraId="3F6772CC" w14:textId="1B712617" w:rsidR="006F605B" w:rsidRPr="00DC66CD" w:rsidRDefault="00E96005" w:rsidP="00A2223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Kosto</w:t>
      </w:r>
      <w:r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7EABDC64" w14:textId="022D65D4"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 xml:space="preserve">Në lidhje me programin </w:t>
      </w:r>
      <w:r w:rsidR="002A29AD" w:rsidRPr="00DC66CD">
        <w:rPr>
          <w:rFonts w:ascii="Garamond" w:hAnsi="Garamond"/>
          <w:sz w:val="24"/>
          <w:szCs w:val="24"/>
        </w:rPr>
        <w:t>“</w:t>
      </w:r>
      <w:r w:rsidRPr="00DC66CD">
        <w:rPr>
          <w:rFonts w:ascii="Garamond" w:hAnsi="Garamond"/>
          <w:sz w:val="24"/>
          <w:szCs w:val="24"/>
        </w:rPr>
        <w:t>Shkollat e shekullit 21</w:t>
      </w:r>
      <w:r w:rsidR="002A29AD" w:rsidRPr="00DC66CD">
        <w:rPr>
          <w:rFonts w:ascii="Garamond" w:hAnsi="Garamond"/>
          <w:sz w:val="24"/>
          <w:szCs w:val="24"/>
        </w:rPr>
        <w:t>”</w:t>
      </w:r>
      <w:r w:rsidRPr="00DC66CD">
        <w:rPr>
          <w:rFonts w:ascii="Garamond" w:hAnsi="Garamond"/>
          <w:sz w:val="24"/>
          <w:szCs w:val="24"/>
        </w:rPr>
        <w:t xml:space="preserve"> kostot e vlerësuara janë 3 milion</w:t>
      </w:r>
      <w:r w:rsidR="00310FDE" w:rsidRPr="00DC66CD">
        <w:rPr>
          <w:rFonts w:ascii="Garamond" w:hAnsi="Garamond"/>
          <w:sz w:val="24"/>
          <w:szCs w:val="24"/>
        </w:rPr>
        <w:t>ë</w:t>
      </w:r>
      <w:r w:rsidRPr="00DC66CD">
        <w:rPr>
          <w:rFonts w:ascii="Garamond" w:hAnsi="Garamond"/>
          <w:sz w:val="24"/>
          <w:szCs w:val="24"/>
        </w:rPr>
        <w:t xml:space="preserve"> e 484000 paund britanik</w:t>
      </w:r>
      <w:r w:rsidR="00310FDE" w:rsidRPr="00DC66CD">
        <w:rPr>
          <w:rFonts w:ascii="Garamond" w:hAnsi="Garamond"/>
          <w:sz w:val="24"/>
          <w:szCs w:val="24"/>
        </w:rPr>
        <w:t>ë</w:t>
      </w:r>
      <w:r w:rsidRPr="00DC66CD">
        <w:rPr>
          <w:rFonts w:ascii="Garamond" w:hAnsi="Garamond"/>
          <w:sz w:val="24"/>
          <w:szCs w:val="24"/>
        </w:rPr>
        <w:t xml:space="preserve"> gjatë 3 </w:t>
      </w:r>
      <w:r w:rsidR="00484D9B" w:rsidRPr="00DC66CD">
        <w:rPr>
          <w:rFonts w:ascii="Garamond" w:hAnsi="Garamond"/>
          <w:sz w:val="24"/>
          <w:szCs w:val="24"/>
        </w:rPr>
        <w:t>vjetëve</w:t>
      </w:r>
      <w:r w:rsidRPr="00DC66CD">
        <w:rPr>
          <w:rFonts w:ascii="Garamond" w:hAnsi="Garamond"/>
          <w:sz w:val="24"/>
          <w:szCs w:val="24"/>
        </w:rPr>
        <w:t>, të mbuluara nga Qeveria e Mbretërisë së Bashkuar.</w:t>
      </w:r>
    </w:p>
    <w:p w14:paraId="2232D1D4"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5660"/>
        <w:gridCol w:w="1256"/>
        <w:gridCol w:w="1381"/>
      </w:tblGrid>
      <w:tr w:rsidR="006F605B" w:rsidRPr="00DC66CD" w14:paraId="4CA7EA42" w14:textId="77777777" w:rsidTr="004F4E33">
        <w:trPr>
          <w:trHeight w:val="330"/>
        </w:trPr>
        <w:tc>
          <w:tcPr>
            <w:tcW w:w="988" w:type="dxa"/>
            <w:vAlign w:val="center"/>
            <w:hideMark/>
          </w:tcPr>
          <w:p w14:paraId="12A88244" w14:textId="77777777" w:rsidR="006F605B" w:rsidRPr="00DC66CD" w:rsidRDefault="006F605B" w:rsidP="004F4E33">
            <w:pPr>
              <w:spacing w:after="0" w:line="240" w:lineRule="auto"/>
              <w:jc w:val="center"/>
              <w:rPr>
                <w:rFonts w:ascii="Garamond" w:hAnsi="Garamond" w:cs="Times New Roman"/>
                <w:b/>
                <w:bCs/>
                <w:sz w:val="20"/>
                <w:szCs w:val="20"/>
              </w:rPr>
            </w:pPr>
            <w:r w:rsidRPr="00DC66CD">
              <w:rPr>
                <w:rFonts w:ascii="Garamond" w:hAnsi="Garamond" w:cs="Times New Roman"/>
                <w:b/>
                <w:bCs/>
                <w:sz w:val="20"/>
                <w:szCs w:val="20"/>
              </w:rPr>
              <w:t>Viti</w:t>
            </w:r>
          </w:p>
        </w:tc>
        <w:tc>
          <w:tcPr>
            <w:tcW w:w="5717" w:type="dxa"/>
            <w:vAlign w:val="center"/>
            <w:hideMark/>
          </w:tcPr>
          <w:p w14:paraId="659A32C8" w14:textId="77777777" w:rsidR="006F605B" w:rsidRPr="00DC66CD" w:rsidRDefault="006F605B" w:rsidP="004F4E33">
            <w:pPr>
              <w:spacing w:after="0" w:line="240" w:lineRule="auto"/>
              <w:jc w:val="center"/>
              <w:rPr>
                <w:rFonts w:ascii="Garamond" w:hAnsi="Garamond" w:cs="Times New Roman"/>
                <w:b/>
                <w:bCs/>
                <w:sz w:val="20"/>
                <w:szCs w:val="20"/>
              </w:rPr>
            </w:pPr>
            <w:r w:rsidRPr="00DC66CD">
              <w:rPr>
                <w:rFonts w:ascii="Garamond" w:hAnsi="Garamond" w:cs="Times New Roman"/>
                <w:b/>
                <w:bCs/>
                <w:sz w:val="20"/>
                <w:szCs w:val="20"/>
              </w:rPr>
              <w:t>Aktiviteti</w:t>
            </w:r>
          </w:p>
        </w:tc>
        <w:tc>
          <w:tcPr>
            <w:tcW w:w="1260" w:type="dxa"/>
            <w:vAlign w:val="center"/>
            <w:hideMark/>
          </w:tcPr>
          <w:p w14:paraId="679B18D1" w14:textId="44C61978" w:rsidR="006F605B" w:rsidRPr="00DC66CD" w:rsidRDefault="004F4E33" w:rsidP="004F4E33">
            <w:pPr>
              <w:spacing w:after="0" w:line="240" w:lineRule="auto"/>
              <w:jc w:val="center"/>
              <w:rPr>
                <w:rFonts w:ascii="Garamond" w:hAnsi="Garamond" w:cs="Times New Roman"/>
                <w:b/>
                <w:bCs/>
                <w:sz w:val="20"/>
                <w:szCs w:val="20"/>
              </w:rPr>
            </w:pPr>
            <w:r w:rsidRPr="00DC66CD">
              <w:rPr>
                <w:rFonts w:ascii="Garamond" w:hAnsi="Garamond" w:cs="Times New Roman"/>
                <w:b/>
                <w:bCs/>
                <w:sz w:val="20"/>
                <w:szCs w:val="20"/>
              </w:rPr>
              <w:t>Kostoja e vlerësuar</w:t>
            </w:r>
          </w:p>
        </w:tc>
        <w:tc>
          <w:tcPr>
            <w:tcW w:w="1385" w:type="dxa"/>
            <w:vAlign w:val="center"/>
            <w:hideMark/>
          </w:tcPr>
          <w:p w14:paraId="4413F4EC" w14:textId="77777777" w:rsidR="006F605B" w:rsidRPr="00DC66CD" w:rsidRDefault="006F605B" w:rsidP="004F4E33">
            <w:pPr>
              <w:spacing w:after="0" w:line="240" w:lineRule="auto"/>
              <w:jc w:val="center"/>
              <w:rPr>
                <w:rFonts w:ascii="Garamond" w:hAnsi="Garamond" w:cs="Times New Roman"/>
                <w:b/>
                <w:bCs/>
                <w:sz w:val="20"/>
                <w:szCs w:val="20"/>
              </w:rPr>
            </w:pPr>
            <w:r w:rsidRPr="00DC66CD">
              <w:rPr>
                <w:rFonts w:ascii="Garamond" w:hAnsi="Garamond" w:cs="Times New Roman"/>
                <w:b/>
                <w:bCs/>
                <w:sz w:val="20"/>
                <w:szCs w:val="20"/>
              </w:rPr>
              <w:t>Burimi i financimit</w:t>
            </w:r>
          </w:p>
        </w:tc>
      </w:tr>
      <w:tr w:rsidR="006F605B" w:rsidRPr="00DC66CD" w14:paraId="193769C2" w14:textId="77777777" w:rsidTr="00A22231">
        <w:trPr>
          <w:trHeight w:val="869"/>
        </w:trPr>
        <w:tc>
          <w:tcPr>
            <w:tcW w:w="988" w:type="dxa"/>
            <w:vMerge w:val="restart"/>
            <w:hideMark/>
          </w:tcPr>
          <w:p w14:paraId="60D2CEBA" w14:textId="77777777" w:rsidR="006F605B" w:rsidRPr="00DC66CD" w:rsidRDefault="006F605B" w:rsidP="00A22231">
            <w:pPr>
              <w:spacing w:after="0" w:line="240" w:lineRule="auto"/>
              <w:jc w:val="center"/>
              <w:rPr>
                <w:rFonts w:ascii="Garamond" w:hAnsi="Garamond" w:cs="Times New Roman"/>
                <w:sz w:val="20"/>
                <w:szCs w:val="20"/>
              </w:rPr>
            </w:pPr>
            <w:r w:rsidRPr="00DC66CD">
              <w:rPr>
                <w:rFonts w:ascii="Garamond" w:hAnsi="Garamond" w:cs="Times New Roman"/>
                <w:sz w:val="20"/>
                <w:szCs w:val="20"/>
              </w:rPr>
              <w:t>2020</w:t>
            </w:r>
          </w:p>
        </w:tc>
        <w:tc>
          <w:tcPr>
            <w:tcW w:w="5717" w:type="dxa"/>
            <w:hideMark/>
          </w:tcPr>
          <w:p w14:paraId="12518CDD" w14:textId="76D6ECBE"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Vlerësimi i kurrikulës së re në arsimin parauniversitar bazuar në vlerësimin e brendshëm</w:t>
            </w:r>
            <w:r w:rsidR="0072211B" w:rsidRPr="00DC66CD">
              <w:rPr>
                <w:rFonts w:ascii="Garamond" w:hAnsi="Garamond" w:cs="Times New Roman"/>
                <w:sz w:val="20"/>
                <w:szCs w:val="20"/>
              </w:rPr>
              <w:t xml:space="preserve"> </w:t>
            </w:r>
            <w:r w:rsidRPr="00DC66CD">
              <w:rPr>
                <w:rFonts w:ascii="Garamond" w:hAnsi="Garamond" w:cs="Times New Roman"/>
                <w:sz w:val="20"/>
                <w:szCs w:val="20"/>
              </w:rPr>
              <w:t xml:space="preserve">në arsimin bazë dhe atë të mesëm të lartë </w:t>
            </w:r>
          </w:p>
        </w:tc>
        <w:tc>
          <w:tcPr>
            <w:tcW w:w="1260" w:type="dxa"/>
            <w:hideMark/>
          </w:tcPr>
          <w:p w14:paraId="5D95C536" w14:textId="248692B2" w:rsidR="006F605B" w:rsidRPr="00DC66CD" w:rsidRDefault="004F4E33" w:rsidP="00484D9B">
            <w:pPr>
              <w:spacing w:after="0" w:line="240" w:lineRule="auto"/>
              <w:jc w:val="right"/>
              <w:rPr>
                <w:rFonts w:ascii="Garamond" w:hAnsi="Garamond" w:cs="Times New Roman"/>
                <w:sz w:val="20"/>
                <w:szCs w:val="20"/>
              </w:rPr>
            </w:pPr>
            <w:r w:rsidRPr="00DC66CD">
              <w:rPr>
                <w:rFonts w:ascii="Garamond" w:hAnsi="Garamond" w:cs="Times New Roman"/>
                <w:sz w:val="20"/>
                <w:szCs w:val="20"/>
              </w:rPr>
              <w:t>10 000 euro</w:t>
            </w:r>
          </w:p>
        </w:tc>
        <w:tc>
          <w:tcPr>
            <w:tcW w:w="1385" w:type="dxa"/>
            <w:hideMark/>
          </w:tcPr>
          <w:p w14:paraId="55BB9B08"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1A810856" w14:textId="77777777" w:rsidTr="00A22231">
        <w:trPr>
          <w:trHeight w:val="554"/>
        </w:trPr>
        <w:tc>
          <w:tcPr>
            <w:tcW w:w="988" w:type="dxa"/>
            <w:vMerge/>
            <w:hideMark/>
          </w:tcPr>
          <w:p w14:paraId="7DE107DF" w14:textId="77777777" w:rsidR="006F605B" w:rsidRPr="00DC66CD" w:rsidRDefault="006F605B" w:rsidP="00A22231">
            <w:pPr>
              <w:spacing w:after="0" w:line="240" w:lineRule="auto"/>
              <w:jc w:val="center"/>
              <w:rPr>
                <w:rFonts w:ascii="Garamond" w:hAnsi="Garamond" w:cs="Times New Roman"/>
                <w:sz w:val="20"/>
                <w:szCs w:val="20"/>
              </w:rPr>
            </w:pPr>
          </w:p>
        </w:tc>
        <w:tc>
          <w:tcPr>
            <w:tcW w:w="5717" w:type="dxa"/>
            <w:hideMark/>
          </w:tcPr>
          <w:p w14:paraId="3CF7F265"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Vlerësimi i kurrikulës së re në arsimin parauniversitar bazuar në vlerësimin e jashtëm</w:t>
            </w:r>
          </w:p>
        </w:tc>
        <w:tc>
          <w:tcPr>
            <w:tcW w:w="1260" w:type="dxa"/>
            <w:hideMark/>
          </w:tcPr>
          <w:p w14:paraId="0F1AD440" w14:textId="484EBF04" w:rsidR="006F605B" w:rsidRPr="00DC66CD" w:rsidRDefault="004F4E33" w:rsidP="00484D9B">
            <w:pPr>
              <w:spacing w:after="0" w:line="240" w:lineRule="auto"/>
              <w:jc w:val="right"/>
              <w:rPr>
                <w:rFonts w:ascii="Garamond" w:hAnsi="Garamond" w:cs="Times New Roman"/>
                <w:sz w:val="20"/>
                <w:szCs w:val="20"/>
              </w:rPr>
            </w:pPr>
            <w:r w:rsidRPr="00DC66CD">
              <w:rPr>
                <w:rFonts w:ascii="Garamond" w:hAnsi="Garamond" w:cs="Times New Roman"/>
                <w:sz w:val="20"/>
                <w:szCs w:val="20"/>
              </w:rPr>
              <w:t>27 300 euro</w:t>
            </w:r>
          </w:p>
        </w:tc>
        <w:tc>
          <w:tcPr>
            <w:tcW w:w="1385" w:type="dxa"/>
            <w:hideMark/>
          </w:tcPr>
          <w:p w14:paraId="134D60A3"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UNICEF</w:t>
            </w:r>
          </w:p>
        </w:tc>
      </w:tr>
      <w:tr w:rsidR="006F605B" w:rsidRPr="00DC66CD" w14:paraId="65583D53" w14:textId="77777777" w:rsidTr="00A22231">
        <w:trPr>
          <w:trHeight w:val="834"/>
        </w:trPr>
        <w:tc>
          <w:tcPr>
            <w:tcW w:w="988" w:type="dxa"/>
            <w:vMerge/>
            <w:hideMark/>
          </w:tcPr>
          <w:p w14:paraId="63298AC8" w14:textId="77777777" w:rsidR="006F605B" w:rsidRPr="00DC66CD" w:rsidRDefault="006F605B" w:rsidP="00A22231">
            <w:pPr>
              <w:spacing w:after="0" w:line="240" w:lineRule="auto"/>
              <w:jc w:val="center"/>
              <w:rPr>
                <w:rFonts w:ascii="Garamond" w:hAnsi="Garamond" w:cs="Times New Roman"/>
                <w:sz w:val="20"/>
                <w:szCs w:val="20"/>
              </w:rPr>
            </w:pPr>
          </w:p>
        </w:tc>
        <w:tc>
          <w:tcPr>
            <w:tcW w:w="5717" w:type="dxa"/>
            <w:hideMark/>
          </w:tcPr>
          <w:p w14:paraId="4BBDF5B2" w14:textId="2789213E"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Trajnim për 1100 ToT të fokusuar</w:t>
            </w:r>
            <w:r w:rsidR="00484D9B" w:rsidRPr="00DC66CD">
              <w:rPr>
                <w:rFonts w:ascii="Garamond" w:hAnsi="Garamond" w:cs="Times New Roman"/>
                <w:sz w:val="20"/>
                <w:szCs w:val="20"/>
              </w:rPr>
              <w:t>,</w:t>
            </w:r>
            <w:r w:rsidRPr="00DC66CD">
              <w:rPr>
                <w:rFonts w:ascii="Garamond" w:hAnsi="Garamond" w:cs="Times New Roman"/>
                <w:sz w:val="20"/>
                <w:szCs w:val="20"/>
              </w:rPr>
              <w:t xml:space="preserve"> veçanërisht</w:t>
            </w:r>
            <w:r w:rsidR="00484D9B" w:rsidRPr="00DC66CD">
              <w:rPr>
                <w:rFonts w:ascii="Garamond" w:hAnsi="Garamond" w:cs="Times New Roman"/>
                <w:sz w:val="20"/>
                <w:szCs w:val="20"/>
              </w:rPr>
              <w:t>,</w:t>
            </w:r>
            <w:r w:rsidRPr="00DC66CD">
              <w:rPr>
                <w:rFonts w:ascii="Garamond" w:hAnsi="Garamond" w:cs="Times New Roman"/>
                <w:sz w:val="20"/>
                <w:szCs w:val="20"/>
              </w:rPr>
              <w:t xml:space="preserve"> në shkencë</w:t>
            </w:r>
          </w:p>
        </w:tc>
        <w:tc>
          <w:tcPr>
            <w:tcW w:w="1260" w:type="dxa"/>
            <w:hideMark/>
          </w:tcPr>
          <w:p w14:paraId="51877BBD" w14:textId="55A7C6A7" w:rsidR="006F605B" w:rsidRPr="00DC66CD" w:rsidRDefault="004F4E33" w:rsidP="00484D9B">
            <w:pPr>
              <w:spacing w:after="0" w:line="240" w:lineRule="auto"/>
              <w:jc w:val="right"/>
              <w:rPr>
                <w:rFonts w:ascii="Garamond" w:hAnsi="Garamond" w:cs="Times New Roman"/>
                <w:sz w:val="20"/>
                <w:szCs w:val="20"/>
              </w:rPr>
            </w:pPr>
            <w:r w:rsidRPr="00DC66CD">
              <w:rPr>
                <w:rFonts w:ascii="Garamond" w:hAnsi="Garamond" w:cs="Times New Roman"/>
                <w:sz w:val="20"/>
                <w:szCs w:val="20"/>
              </w:rPr>
              <w:t>34 000 euro</w:t>
            </w:r>
          </w:p>
        </w:tc>
        <w:tc>
          <w:tcPr>
            <w:tcW w:w="1385" w:type="dxa"/>
            <w:hideMark/>
          </w:tcPr>
          <w:p w14:paraId="55A2E5D7"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3DC4ECEF" w14:textId="77777777" w:rsidTr="00A22231">
        <w:trPr>
          <w:trHeight w:val="862"/>
        </w:trPr>
        <w:tc>
          <w:tcPr>
            <w:tcW w:w="988" w:type="dxa"/>
            <w:vMerge/>
            <w:hideMark/>
          </w:tcPr>
          <w:p w14:paraId="0535794A" w14:textId="77777777" w:rsidR="006F605B" w:rsidRPr="00DC66CD" w:rsidRDefault="006F605B" w:rsidP="00A22231">
            <w:pPr>
              <w:spacing w:after="0" w:line="240" w:lineRule="auto"/>
              <w:jc w:val="center"/>
              <w:rPr>
                <w:rFonts w:ascii="Garamond" w:hAnsi="Garamond" w:cs="Times New Roman"/>
                <w:sz w:val="20"/>
                <w:szCs w:val="20"/>
              </w:rPr>
            </w:pPr>
          </w:p>
        </w:tc>
        <w:tc>
          <w:tcPr>
            <w:tcW w:w="5717" w:type="dxa"/>
            <w:hideMark/>
          </w:tcPr>
          <w:p w14:paraId="6F7AC114"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 xml:space="preserve">Ngritja e kapaciteteve për 200 specialistë të zyrave vendore arsimore </w:t>
            </w:r>
          </w:p>
        </w:tc>
        <w:tc>
          <w:tcPr>
            <w:tcW w:w="1260" w:type="dxa"/>
            <w:hideMark/>
          </w:tcPr>
          <w:p w14:paraId="534E1B1E" w14:textId="7124AAB6" w:rsidR="006F605B" w:rsidRPr="00DC66CD" w:rsidRDefault="004F4E33" w:rsidP="00484D9B">
            <w:pPr>
              <w:spacing w:after="0" w:line="240" w:lineRule="auto"/>
              <w:jc w:val="right"/>
              <w:rPr>
                <w:rFonts w:ascii="Garamond" w:hAnsi="Garamond" w:cs="Times New Roman"/>
                <w:sz w:val="20"/>
                <w:szCs w:val="20"/>
              </w:rPr>
            </w:pPr>
            <w:r w:rsidRPr="00DC66CD">
              <w:rPr>
                <w:rFonts w:ascii="Garamond" w:hAnsi="Garamond" w:cs="Times New Roman"/>
                <w:sz w:val="20"/>
                <w:szCs w:val="20"/>
              </w:rPr>
              <w:t>3 000 euro</w:t>
            </w:r>
          </w:p>
        </w:tc>
        <w:tc>
          <w:tcPr>
            <w:tcW w:w="1385" w:type="dxa"/>
            <w:hideMark/>
          </w:tcPr>
          <w:p w14:paraId="76733BAA"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721C22C9" w14:textId="77777777" w:rsidTr="00A22231">
        <w:trPr>
          <w:trHeight w:val="620"/>
        </w:trPr>
        <w:tc>
          <w:tcPr>
            <w:tcW w:w="988" w:type="dxa"/>
            <w:vMerge/>
            <w:hideMark/>
          </w:tcPr>
          <w:p w14:paraId="46C2502F" w14:textId="77777777" w:rsidR="006F605B" w:rsidRPr="00DC66CD" w:rsidRDefault="006F605B" w:rsidP="00A22231">
            <w:pPr>
              <w:spacing w:after="0" w:line="240" w:lineRule="auto"/>
              <w:jc w:val="center"/>
              <w:rPr>
                <w:rFonts w:ascii="Garamond" w:hAnsi="Garamond" w:cs="Times New Roman"/>
                <w:sz w:val="20"/>
                <w:szCs w:val="20"/>
              </w:rPr>
            </w:pPr>
          </w:p>
        </w:tc>
        <w:tc>
          <w:tcPr>
            <w:tcW w:w="5717" w:type="dxa"/>
            <w:hideMark/>
          </w:tcPr>
          <w:p w14:paraId="278B003B"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Trajnim për 92 ToT mbi kurrikulën e re.</w:t>
            </w:r>
          </w:p>
        </w:tc>
        <w:tc>
          <w:tcPr>
            <w:tcW w:w="1260" w:type="dxa"/>
            <w:hideMark/>
          </w:tcPr>
          <w:p w14:paraId="1A949327" w14:textId="2FD76A0F"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1 500 euro</w:t>
            </w:r>
          </w:p>
        </w:tc>
        <w:tc>
          <w:tcPr>
            <w:tcW w:w="1385" w:type="dxa"/>
            <w:hideMark/>
          </w:tcPr>
          <w:p w14:paraId="50DE1017" w14:textId="77777777" w:rsidR="006F605B" w:rsidRPr="00DC66CD" w:rsidRDefault="006F605B" w:rsidP="00A22231">
            <w:pPr>
              <w:spacing w:after="0" w:line="240" w:lineRule="auto"/>
              <w:rPr>
                <w:rFonts w:ascii="Garamond" w:hAnsi="Garamond" w:cs="Times New Roman"/>
                <w:sz w:val="20"/>
                <w:szCs w:val="20"/>
              </w:rPr>
            </w:pPr>
          </w:p>
        </w:tc>
      </w:tr>
      <w:tr w:rsidR="006F605B" w:rsidRPr="00DC66CD" w14:paraId="6BD26777" w14:textId="77777777" w:rsidTr="00A22231">
        <w:trPr>
          <w:trHeight w:val="645"/>
        </w:trPr>
        <w:tc>
          <w:tcPr>
            <w:tcW w:w="988" w:type="dxa"/>
            <w:vMerge/>
            <w:hideMark/>
          </w:tcPr>
          <w:p w14:paraId="3C6F7075" w14:textId="77777777" w:rsidR="006F605B" w:rsidRPr="00DC66CD" w:rsidRDefault="006F605B" w:rsidP="00A22231">
            <w:pPr>
              <w:spacing w:after="0" w:line="240" w:lineRule="auto"/>
              <w:jc w:val="center"/>
              <w:rPr>
                <w:rFonts w:ascii="Garamond" w:hAnsi="Garamond" w:cs="Times New Roman"/>
                <w:bCs/>
                <w:sz w:val="20"/>
                <w:szCs w:val="20"/>
              </w:rPr>
            </w:pPr>
          </w:p>
        </w:tc>
        <w:tc>
          <w:tcPr>
            <w:tcW w:w="5717" w:type="dxa"/>
            <w:hideMark/>
          </w:tcPr>
          <w:p w14:paraId="1A3A00AA" w14:textId="65317643"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Trajnim për 1500 drejtorë të arsimit parashkollor dhe mësuesit e moshë 5</w:t>
            </w:r>
            <w:r w:rsidR="00484D9B" w:rsidRPr="00DC66CD">
              <w:rPr>
                <w:rFonts w:ascii="Garamond" w:hAnsi="Garamond" w:cs="Times New Roman"/>
                <w:sz w:val="20"/>
                <w:szCs w:val="20"/>
              </w:rPr>
              <w:t>–</w:t>
            </w:r>
            <w:r w:rsidRPr="00DC66CD">
              <w:rPr>
                <w:rFonts w:ascii="Garamond" w:hAnsi="Garamond" w:cs="Times New Roman"/>
                <w:sz w:val="20"/>
                <w:szCs w:val="20"/>
              </w:rPr>
              <w:t>6 vjeç mbi dokumentacionin e ri kurrikular</w:t>
            </w:r>
          </w:p>
        </w:tc>
        <w:tc>
          <w:tcPr>
            <w:tcW w:w="1260" w:type="dxa"/>
            <w:hideMark/>
          </w:tcPr>
          <w:p w14:paraId="3E382A29" w14:textId="599D7ADC"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20 000 euro</w:t>
            </w:r>
          </w:p>
        </w:tc>
        <w:tc>
          <w:tcPr>
            <w:tcW w:w="1385" w:type="dxa"/>
            <w:hideMark/>
          </w:tcPr>
          <w:p w14:paraId="0BB64DC6" w14:textId="77777777" w:rsidR="006F605B" w:rsidRPr="00DC66CD" w:rsidRDefault="006F605B" w:rsidP="00A22231">
            <w:pPr>
              <w:spacing w:after="0" w:line="240" w:lineRule="auto"/>
              <w:rPr>
                <w:rFonts w:ascii="Garamond" w:hAnsi="Garamond" w:cs="Times New Roman"/>
                <w:sz w:val="20"/>
                <w:szCs w:val="20"/>
              </w:rPr>
            </w:pPr>
          </w:p>
        </w:tc>
      </w:tr>
      <w:tr w:rsidR="006F605B" w:rsidRPr="00DC66CD" w14:paraId="05BD7DFC" w14:textId="77777777" w:rsidTr="00A22231">
        <w:trPr>
          <w:trHeight w:val="818"/>
        </w:trPr>
        <w:tc>
          <w:tcPr>
            <w:tcW w:w="988" w:type="dxa"/>
            <w:vMerge w:val="restart"/>
            <w:hideMark/>
          </w:tcPr>
          <w:p w14:paraId="01D82576" w14:textId="77777777" w:rsidR="006F605B" w:rsidRPr="00DC66CD" w:rsidRDefault="006F605B" w:rsidP="00A22231">
            <w:pPr>
              <w:spacing w:after="0" w:line="240" w:lineRule="auto"/>
              <w:jc w:val="center"/>
              <w:rPr>
                <w:rFonts w:ascii="Garamond" w:hAnsi="Garamond" w:cs="Times New Roman"/>
                <w:bCs/>
                <w:sz w:val="20"/>
                <w:szCs w:val="20"/>
              </w:rPr>
            </w:pPr>
            <w:r w:rsidRPr="00DC66CD">
              <w:rPr>
                <w:rFonts w:ascii="Garamond" w:hAnsi="Garamond" w:cs="Times New Roman"/>
                <w:bCs/>
                <w:sz w:val="20"/>
                <w:szCs w:val="20"/>
              </w:rPr>
              <w:t>2021</w:t>
            </w:r>
          </w:p>
        </w:tc>
        <w:tc>
          <w:tcPr>
            <w:tcW w:w="5717" w:type="dxa"/>
            <w:hideMark/>
          </w:tcPr>
          <w:p w14:paraId="5C21E2A0" w14:textId="5D9FC8CF"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Trajnimi i 1100 ToT (drejtuesi i rrjeteve profesionale) për zbatimin e kurrikulës së re, të fokusuar</w:t>
            </w:r>
            <w:r w:rsidR="00484D9B" w:rsidRPr="00DC66CD">
              <w:rPr>
                <w:rFonts w:ascii="Garamond" w:hAnsi="Garamond" w:cs="Times New Roman"/>
                <w:sz w:val="20"/>
                <w:szCs w:val="20"/>
              </w:rPr>
              <w:t>,</w:t>
            </w:r>
            <w:r w:rsidRPr="00DC66CD">
              <w:rPr>
                <w:rFonts w:ascii="Garamond" w:hAnsi="Garamond" w:cs="Times New Roman"/>
                <w:sz w:val="20"/>
                <w:szCs w:val="20"/>
              </w:rPr>
              <w:t xml:space="preserve"> veçanërisht</w:t>
            </w:r>
            <w:r w:rsidR="00484D9B" w:rsidRPr="00DC66CD">
              <w:rPr>
                <w:rFonts w:ascii="Garamond" w:hAnsi="Garamond" w:cs="Times New Roman"/>
                <w:sz w:val="20"/>
                <w:szCs w:val="20"/>
              </w:rPr>
              <w:t>,</w:t>
            </w:r>
            <w:r w:rsidRPr="00DC66CD">
              <w:rPr>
                <w:rFonts w:ascii="Garamond" w:hAnsi="Garamond" w:cs="Times New Roman"/>
                <w:sz w:val="20"/>
                <w:szCs w:val="20"/>
              </w:rPr>
              <w:t xml:space="preserve"> në gjuhë</w:t>
            </w:r>
          </w:p>
        </w:tc>
        <w:tc>
          <w:tcPr>
            <w:tcW w:w="1260" w:type="dxa"/>
            <w:hideMark/>
          </w:tcPr>
          <w:p w14:paraId="1B000E43" w14:textId="6F5D6C8F"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40 000 euro</w:t>
            </w:r>
          </w:p>
        </w:tc>
        <w:tc>
          <w:tcPr>
            <w:tcW w:w="1385" w:type="dxa"/>
            <w:hideMark/>
          </w:tcPr>
          <w:p w14:paraId="6C2FEDAA"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15C55451" w14:textId="77777777" w:rsidTr="00A22231">
        <w:trPr>
          <w:trHeight w:val="702"/>
        </w:trPr>
        <w:tc>
          <w:tcPr>
            <w:tcW w:w="988" w:type="dxa"/>
            <w:vMerge/>
            <w:hideMark/>
          </w:tcPr>
          <w:p w14:paraId="5196DD53" w14:textId="77777777" w:rsidR="006F605B" w:rsidRPr="00DC66CD" w:rsidRDefault="006F605B" w:rsidP="00A22231">
            <w:pPr>
              <w:spacing w:after="0" w:line="240" w:lineRule="auto"/>
              <w:jc w:val="center"/>
              <w:rPr>
                <w:rFonts w:ascii="Garamond" w:hAnsi="Garamond" w:cs="Times New Roman"/>
                <w:bCs/>
                <w:sz w:val="20"/>
                <w:szCs w:val="20"/>
              </w:rPr>
            </w:pPr>
          </w:p>
        </w:tc>
        <w:tc>
          <w:tcPr>
            <w:tcW w:w="5717" w:type="dxa"/>
            <w:hideMark/>
          </w:tcPr>
          <w:p w14:paraId="23B59C82" w14:textId="55E78B88"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Rishikimi i kurrikulës për arsimin bazë dhe zbatimi i tij</w:t>
            </w:r>
            <w:r w:rsidR="00484D9B" w:rsidRPr="00DC66CD">
              <w:rPr>
                <w:rFonts w:ascii="Garamond" w:hAnsi="Garamond" w:cs="Times New Roman"/>
                <w:sz w:val="20"/>
                <w:szCs w:val="20"/>
              </w:rPr>
              <w:t>,</w:t>
            </w:r>
            <w:r w:rsidRPr="00DC66CD">
              <w:rPr>
                <w:rFonts w:ascii="Garamond" w:hAnsi="Garamond" w:cs="Times New Roman"/>
                <w:sz w:val="20"/>
                <w:szCs w:val="20"/>
              </w:rPr>
              <w:t xml:space="preserve"> sipas rezultateve të vlerësimit</w:t>
            </w:r>
          </w:p>
        </w:tc>
        <w:tc>
          <w:tcPr>
            <w:tcW w:w="1260" w:type="dxa"/>
            <w:hideMark/>
          </w:tcPr>
          <w:p w14:paraId="0941FB86" w14:textId="0D9D0756"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2 000 euro</w:t>
            </w:r>
          </w:p>
        </w:tc>
        <w:tc>
          <w:tcPr>
            <w:tcW w:w="1385" w:type="dxa"/>
            <w:hideMark/>
          </w:tcPr>
          <w:p w14:paraId="435B046B"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09A6867F" w14:textId="77777777" w:rsidTr="00A22231">
        <w:trPr>
          <w:trHeight w:val="840"/>
        </w:trPr>
        <w:tc>
          <w:tcPr>
            <w:tcW w:w="988" w:type="dxa"/>
            <w:vMerge/>
            <w:hideMark/>
          </w:tcPr>
          <w:p w14:paraId="4E4059ED" w14:textId="77777777" w:rsidR="006F605B" w:rsidRPr="00DC66CD" w:rsidRDefault="006F605B" w:rsidP="00A22231">
            <w:pPr>
              <w:spacing w:after="0" w:line="240" w:lineRule="auto"/>
              <w:jc w:val="center"/>
              <w:rPr>
                <w:rFonts w:ascii="Garamond" w:hAnsi="Garamond" w:cs="Times New Roman"/>
                <w:bCs/>
                <w:sz w:val="20"/>
                <w:szCs w:val="20"/>
              </w:rPr>
            </w:pPr>
          </w:p>
        </w:tc>
        <w:tc>
          <w:tcPr>
            <w:tcW w:w="5717" w:type="dxa"/>
            <w:hideMark/>
          </w:tcPr>
          <w:p w14:paraId="15C6C346" w14:textId="0246C72B"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Ngritja e qendrave të formimit të mësimit gjatë gjithë jetës në universitete për organizimin e</w:t>
            </w:r>
            <w:r w:rsidR="0072211B" w:rsidRPr="00DC66CD">
              <w:rPr>
                <w:rFonts w:ascii="Garamond" w:hAnsi="Garamond" w:cs="Times New Roman"/>
                <w:sz w:val="20"/>
                <w:szCs w:val="20"/>
              </w:rPr>
              <w:t xml:space="preserve"> </w:t>
            </w:r>
            <w:r w:rsidRPr="00DC66CD">
              <w:rPr>
                <w:rFonts w:ascii="Garamond" w:hAnsi="Garamond" w:cs="Times New Roman"/>
                <w:sz w:val="20"/>
                <w:szCs w:val="20"/>
              </w:rPr>
              <w:t>trajnimit të mësuesve në arsimin p</w:t>
            </w:r>
            <w:r w:rsidR="00484D9B" w:rsidRPr="00DC66CD">
              <w:rPr>
                <w:rFonts w:ascii="Garamond" w:hAnsi="Garamond" w:cs="Times New Roman"/>
                <w:sz w:val="20"/>
                <w:szCs w:val="20"/>
              </w:rPr>
              <w:t>arauniversitar</w:t>
            </w:r>
          </w:p>
        </w:tc>
        <w:tc>
          <w:tcPr>
            <w:tcW w:w="1260" w:type="dxa"/>
            <w:hideMark/>
          </w:tcPr>
          <w:p w14:paraId="053E16AC" w14:textId="16DCE524"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750 820 euro</w:t>
            </w:r>
          </w:p>
        </w:tc>
        <w:tc>
          <w:tcPr>
            <w:tcW w:w="1385" w:type="dxa"/>
            <w:hideMark/>
          </w:tcPr>
          <w:p w14:paraId="39F8677A"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Erasmus+, buxhet BE</w:t>
            </w:r>
          </w:p>
        </w:tc>
      </w:tr>
      <w:tr w:rsidR="006F605B" w:rsidRPr="00DC66CD" w14:paraId="4B877D4A" w14:textId="77777777" w:rsidTr="00A22231">
        <w:trPr>
          <w:trHeight w:val="649"/>
        </w:trPr>
        <w:tc>
          <w:tcPr>
            <w:tcW w:w="988" w:type="dxa"/>
            <w:vMerge/>
            <w:hideMark/>
          </w:tcPr>
          <w:p w14:paraId="54825B13" w14:textId="77777777" w:rsidR="006F605B" w:rsidRPr="00DC66CD" w:rsidRDefault="006F605B" w:rsidP="00A22231">
            <w:pPr>
              <w:spacing w:after="0" w:line="240" w:lineRule="auto"/>
              <w:jc w:val="center"/>
              <w:rPr>
                <w:rFonts w:ascii="Garamond" w:hAnsi="Garamond" w:cs="Times New Roman"/>
                <w:bCs/>
                <w:sz w:val="20"/>
                <w:szCs w:val="20"/>
              </w:rPr>
            </w:pPr>
          </w:p>
        </w:tc>
        <w:tc>
          <w:tcPr>
            <w:tcW w:w="5717" w:type="dxa"/>
            <w:hideMark/>
          </w:tcPr>
          <w:p w14:paraId="27ECD6CC" w14:textId="4DA10E01"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Trajnim për 200 specialistë të zyrave vendore arsimore për zbatimin e udhë</w:t>
            </w:r>
            <w:r w:rsidR="00484D9B" w:rsidRPr="00DC66CD">
              <w:rPr>
                <w:rFonts w:ascii="Garamond" w:hAnsi="Garamond" w:cs="Times New Roman"/>
                <w:sz w:val="20"/>
                <w:szCs w:val="20"/>
              </w:rPr>
              <w:t>zimeve për sigurimin e cilësisë</w:t>
            </w:r>
          </w:p>
        </w:tc>
        <w:tc>
          <w:tcPr>
            <w:tcW w:w="1260" w:type="dxa"/>
            <w:hideMark/>
          </w:tcPr>
          <w:p w14:paraId="43F9235B" w14:textId="03BFDE85"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4 000 euro</w:t>
            </w:r>
          </w:p>
        </w:tc>
        <w:tc>
          <w:tcPr>
            <w:tcW w:w="1385" w:type="dxa"/>
            <w:hideMark/>
          </w:tcPr>
          <w:p w14:paraId="47CE2C54"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686F2A1B" w14:textId="77777777" w:rsidTr="00A22231">
        <w:trPr>
          <w:trHeight w:val="529"/>
        </w:trPr>
        <w:tc>
          <w:tcPr>
            <w:tcW w:w="988" w:type="dxa"/>
            <w:vMerge/>
            <w:hideMark/>
          </w:tcPr>
          <w:p w14:paraId="27DE5381" w14:textId="77777777" w:rsidR="006F605B" w:rsidRPr="00DC66CD" w:rsidRDefault="006F605B" w:rsidP="00A22231">
            <w:pPr>
              <w:spacing w:after="0" w:line="240" w:lineRule="auto"/>
              <w:jc w:val="center"/>
              <w:rPr>
                <w:rFonts w:ascii="Garamond" w:hAnsi="Garamond" w:cs="Times New Roman"/>
                <w:bCs/>
                <w:sz w:val="20"/>
                <w:szCs w:val="20"/>
              </w:rPr>
            </w:pPr>
          </w:p>
        </w:tc>
        <w:tc>
          <w:tcPr>
            <w:tcW w:w="5717" w:type="dxa"/>
            <w:hideMark/>
          </w:tcPr>
          <w:p w14:paraId="17364A9E" w14:textId="3751D6EB"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Trajnim për 4500 drejtues dhe mësues të arsimit parashkollor të moshës 5</w:t>
            </w:r>
            <w:r w:rsidR="00484D9B" w:rsidRPr="00DC66CD">
              <w:rPr>
                <w:rFonts w:ascii="Garamond" w:hAnsi="Garamond" w:cs="Times New Roman"/>
                <w:sz w:val="20"/>
                <w:szCs w:val="20"/>
              </w:rPr>
              <w:t>–</w:t>
            </w:r>
            <w:r w:rsidRPr="00DC66CD">
              <w:rPr>
                <w:rFonts w:ascii="Garamond" w:hAnsi="Garamond" w:cs="Times New Roman"/>
                <w:sz w:val="20"/>
                <w:szCs w:val="20"/>
              </w:rPr>
              <w:t>6 vjeç mbi dok</w:t>
            </w:r>
            <w:r w:rsidR="00484D9B" w:rsidRPr="00DC66CD">
              <w:rPr>
                <w:rFonts w:ascii="Garamond" w:hAnsi="Garamond" w:cs="Times New Roman"/>
                <w:sz w:val="20"/>
                <w:szCs w:val="20"/>
              </w:rPr>
              <w:t>umentacionin e kurrikulës së re</w:t>
            </w:r>
          </w:p>
        </w:tc>
        <w:tc>
          <w:tcPr>
            <w:tcW w:w="1260" w:type="dxa"/>
            <w:hideMark/>
          </w:tcPr>
          <w:p w14:paraId="18D93F35" w14:textId="09A1FAF9"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60 000 euro</w:t>
            </w:r>
          </w:p>
        </w:tc>
        <w:tc>
          <w:tcPr>
            <w:tcW w:w="1385" w:type="dxa"/>
            <w:hideMark/>
          </w:tcPr>
          <w:p w14:paraId="615A8362" w14:textId="77777777" w:rsidR="006F605B" w:rsidRPr="00DC66CD" w:rsidRDefault="006F605B" w:rsidP="00A22231">
            <w:pPr>
              <w:spacing w:after="0" w:line="240" w:lineRule="auto"/>
              <w:rPr>
                <w:rFonts w:ascii="Garamond" w:hAnsi="Garamond" w:cs="Times New Roman"/>
                <w:sz w:val="20"/>
                <w:szCs w:val="20"/>
              </w:rPr>
            </w:pPr>
          </w:p>
        </w:tc>
      </w:tr>
      <w:tr w:rsidR="006F605B" w:rsidRPr="00DC66CD" w14:paraId="6165B08C" w14:textId="77777777" w:rsidTr="00A22231">
        <w:trPr>
          <w:trHeight w:val="888"/>
        </w:trPr>
        <w:tc>
          <w:tcPr>
            <w:tcW w:w="988" w:type="dxa"/>
            <w:vMerge w:val="restart"/>
            <w:hideMark/>
          </w:tcPr>
          <w:p w14:paraId="0BAF300B" w14:textId="77777777" w:rsidR="006F605B" w:rsidRPr="00DC66CD" w:rsidRDefault="006F605B" w:rsidP="00A22231">
            <w:pPr>
              <w:spacing w:after="0" w:line="240" w:lineRule="auto"/>
              <w:jc w:val="center"/>
              <w:rPr>
                <w:rFonts w:ascii="Garamond" w:hAnsi="Garamond" w:cs="Times New Roman"/>
                <w:bCs/>
                <w:sz w:val="20"/>
                <w:szCs w:val="20"/>
              </w:rPr>
            </w:pPr>
            <w:r w:rsidRPr="00DC66CD">
              <w:rPr>
                <w:rFonts w:ascii="Garamond" w:hAnsi="Garamond" w:cs="Times New Roman"/>
                <w:bCs/>
                <w:sz w:val="20"/>
                <w:szCs w:val="20"/>
              </w:rPr>
              <w:t>2022</w:t>
            </w:r>
          </w:p>
        </w:tc>
        <w:tc>
          <w:tcPr>
            <w:tcW w:w="5717" w:type="dxa"/>
            <w:hideMark/>
          </w:tcPr>
          <w:p w14:paraId="5AD2CE7E" w14:textId="23A90CC6"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Trajnimi i 1100 ToT (drejtues i rrjeteve profesionale) për zbatimin e kurrikulës së re bazuar në kompetenca, të fokusuar</w:t>
            </w:r>
            <w:r w:rsidR="00484D9B" w:rsidRPr="00DC66CD">
              <w:rPr>
                <w:rFonts w:ascii="Garamond" w:hAnsi="Garamond" w:cs="Times New Roman"/>
                <w:sz w:val="20"/>
                <w:szCs w:val="20"/>
              </w:rPr>
              <w:t>,</w:t>
            </w:r>
            <w:r w:rsidRPr="00DC66CD">
              <w:rPr>
                <w:rFonts w:ascii="Garamond" w:hAnsi="Garamond" w:cs="Times New Roman"/>
                <w:sz w:val="20"/>
                <w:szCs w:val="20"/>
              </w:rPr>
              <w:t xml:space="preserve"> veçanërisht</w:t>
            </w:r>
            <w:r w:rsidR="00484D9B" w:rsidRPr="00DC66CD">
              <w:rPr>
                <w:rFonts w:ascii="Garamond" w:hAnsi="Garamond" w:cs="Times New Roman"/>
                <w:sz w:val="20"/>
                <w:szCs w:val="20"/>
              </w:rPr>
              <w:t>,</w:t>
            </w:r>
            <w:r w:rsidRPr="00DC66CD">
              <w:rPr>
                <w:rFonts w:ascii="Garamond" w:hAnsi="Garamond" w:cs="Times New Roman"/>
                <w:sz w:val="20"/>
                <w:szCs w:val="20"/>
              </w:rPr>
              <w:t xml:space="preserve"> në matematikë</w:t>
            </w:r>
          </w:p>
        </w:tc>
        <w:tc>
          <w:tcPr>
            <w:tcW w:w="1260" w:type="dxa"/>
            <w:hideMark/>
          </w:tcPr>
          <w:p w14:paraId="64488FF6" w14:textId="13848F66"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40 000 euro</w:t>
            </w:r>
          </w:p>
        </w:tc>
        <w:tc>
          <w:tcPr>
            <w:tcW w:w="1385" w:type="dxa"/>
            <w:hideMark/>
          </w:tcPr>
          <w:p w14:paraId="4EC7C88D"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78FAB5F9" w14:textId="77777777" w:rsidTr="00A22231">
        <w:trPr>
          <w:trHeight w:val="666"/>
        </w:trPr>
        <w:tc>
          <w:tcPr>
            <w:tcW w:w="988" w:type="dxa"/>
            <w:vMerge/>
            <w:hideMark/>
          </w:tcPr>
          <w:p w14:paraId="1532D735" w14:textId="77777777" w:rsidR="006F605B" w:rsidRPr="00DC66CD" w:rsidRDefault="006F605B" w:rsidP="00A22231">
            <w:pPr>
              <w:spacing w:after="0" w:line="240" w:lineRule="auto"/>
              <w:rPr>
                <w:rFonts w:ascii="Garamond" w:hAnsi="Garamond" w:cs="Times New Roman"/>
                <w:bCs/>
                <w:sz w:val="20"/>
                <w:szCs w:val="20"/>
              </w:rPr>
            </w:pPr>
          </w:p>
        </w:tc>
        <w:tc>
          <w:tcPr>
            <w:tcW w:w="5717" w:type="dxa"/>
            <w:hideMark/>
          </w:tcPr>
          <w:p w14:paraId="5A76D8C1"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Rishikimi i kurrikulës për arsimin e mesëm të lartë dhe zbatimi i tij sipas rezultateve të vlerësimit</w:t>
            </w:r>
          </w:p>
        </w:tc>
        <w:tc>
          <w:tcPr>
            <w:tcW w:w="1260" w:type="dxa"/>
            <w:hideMark/>
          </w:tcPr>
          <w:p w14:paraId="1C664F6A" w14:textId="7C9D4E9C"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2 000 euro</w:t>
            </w:r>
          </w:p>
        </w:tc>
        <w:tc>
          <w:tcPr>
            <w:tcW w:w="1385" w:type="dxa"/>
            <w:hideMark/>
          </w:tcPr>
          <w:p w14:paraId="1C014D2F"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1E0241B6" w14:textId="77777777" w:rsidTr="00A22231">
        <w:trPr>
          <w:trHeight w:val="558"/>
        </w:trPr>
        <w:tc>
          <w:tcPr>
            <w:tcW w:w="988" w:type="dxa"/>
            <w:vMerge/>
            <w:hideMark/>
          </w:tcPr>
          <w:p w14:paraId="4524109C" w14:textId="77777777" w:rsidR="006F605B" w:rsidRPr="00DC66CD" w:rsidRDefault="006F605B" w:rsidP="00A22231">
            <w:pPr>
              <w:spacing w:after="0" w:line="240" w:lineRule="auto"/>
              <w:rPr>
                <w:rFonts w:ascii="Garamond" w:hAnsi="Garamond" w:cs="Times New Roman"/>
                <w:bCs/>
                <w:sz w:val="20"/>
                <w:szCs w:val="20"/>
              </w:rPr>
            </w:pPr>
          </w:p>
        </w:tc>
        <w:tc>
          <w:tcPr>
            <w:tcW w:w="5717" w:type="dxa"/>
            <w:hideMark/>
          </w:tcPr>
          <w:p w14:paraId="139E13F4"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Vlerësimi i efektivitetit të programit të aftësimit fillestar të mësuesve për mësuesit e rinj</w:t>
            </w:r>
          </w:p>
        </w:tc>
        <w:tc>
          <w:tcPr>
            <w:tcW w:w="1260" w:type="dxa"/>
            <w:hideMark/>
          </w:tcPr>
          <w:p w14:paraId="327044F8" w14:textId="0A307BF4"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2 000 euro</w:t>
            </w:r>
          </w:p>
        </w:tc>
        <w:tc>
          <w:tcPr>
            <w:tcW w:w="1385" w:type="dxa"/>
            <w:hideMark/>
          </w:tcPr>
          <w:p w14:paraId="1812A2F5"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1F92037D" w14:textId="77777777" w:rsidTr="00A22231">
        <w:trPr>
          <w:trHeight w:val="694"/>
        </w:trPr>
        <w:tc>
          <w:tcPr>
            <w:tcW w:w="988" w:type="dxa"/>
            <w:vMerge/>
            <w:hideMark/>
          </w:tcPr>
          <w:p w14:paraId="579F9924" w14:textId="77777777" w:rsidR="006F605B" w:rsidRPr="00DC66CD" w:rsidRDefault="006F605B" w:rsidP="00A22231">
            <w:pPr>
              <w:spacing w:after="0" w:line="240" w:lineRule="auto"/>
              <w:rPr>
                <w:rFonts w:ascii="Garamond" w:hAnsi="Garamond" w:cs="Times New Roman"/>
                <w:bCs/>
                <w:sz w:val="20"/>
                <w:szCs w:val="20"/>
              </w:rPr>
            </w:pPr>
          </w:p>
        </w:tc>
        <w:tc>
          <w:tcPr>
            <w:tcW w:w="5717" w:type="dxa"/>
            <w:hideMark/>
          </w:tcPr>
          <w:p w14:paraId="20C2D27F" w14:textId="05C10FFE"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Mentorim 200 specialistë njësitë vendore arsimore për zbatimin e udhë</w:t>
            </w:r>
            <w:r w:rsidR="00484D9B" w:rsidRPr="00DC66CD">
              <w:rPr>
                <w:rFonts w:ascii="Garamond" w:hAnsi="Garamond" w:cs="Times New Roman"/>
                <w:sz w:val="20"/>
                <w:szCs w:val="20"/>
              </w:rPr>
              <w:t>zimeve për sigurimin e cilësisë</w:t>
            </w:r>
          </w:p>
        </w:tc>
        <w:tc>
          <w:tcPr>
            <w:tcW w:w="1260" w:type="dxa"/>
            <w:hideMark/>
          </w:tcPr>
          <w:p w14:paraId="6D12127F" w14:textId="5B33BFFA" w:rsidR="006F605B" w:rsidRPr="00DC66CD" w:rsidRDefault="004F4E33" w:rsidP="00A22231">
            <w:pPr>
              <w:spacing w:after="0" w:line="240" w:lineRule="auto"/>
              <w:rPr>
                <w:rFonts w:ascii="Garamond" w:hAnsi="Garamond" w:cs="Times New Roman"/>
                <w:sz w:val="20"/>
                <w:szCs w:val="20"/>
              </w:rPr>
            </w:pPr>
            <w:r w:rsidRPr="00DC66CD">
              <w:rPr>
                <w:rFonts w:ascii="Garamond" w:hAnsi="Garamond" w:cs="Times New Roman"/>
                <w:sz w:val="20"/>
                <w:szCs w:val="20"/>
              </w:rPr>
              <w:t>4 000 euro</w:t>
            </w:r>
          </w:p>
        </w:tc>
        <w:tc>
          <w:tcPr>
            <w:tcW w:w="1385" w:type="dxa"/>
            <w:hideMark/>
          </w:tcPr>
          <w:p w14:paraId="695C9376" w14:textId="77777777" w:rsidR="006F605B" w:rsidRPr="00DC66CD" w:rsidRDefault="006F605B" w:rsidP="00A22231">
            <w:pPr>
              <w:spacing w:after="0" w:line="240" w:lineRule="auto"/>
              <w:rPr>
                <w:rFonts w:ascii="Garamond" w:hAnsi="Garamond" w:cs="Times New Roman"/>
                <w:sz w:val="20"/>
                <w:szCs w:val="20"/>
              </w:rPr>
            </w:pPr>
            <w:r w:rsidRPr="00DC66CD">
              <w:rPr>
                <w:rFonts w:ascii="Garamond" w:hAnsi="Garamond" w:cs="Times New Roman"/>
                <w:sz w:val="20"/>
                <w:szCs w:val="20"/>
              </w:rPr>
              <w:t>Buxheti i shtetit</w:t>
            </w:r>
          </w:p>
        </w:tc>
      </w:tr>
    </w:tbl>
    <w:p w14:paraId="3F9CA249" w14:textId="77777777" w:rsidR="006F605B" w:rsidRPr="00DC66CD" w:rsidRDefault="006F605B" w:rsidP="006F605B">
      <w:pPr>
        <w:snapToGrid w:val="0"/>
        <w:spacing w:after="0" w:line="240" w:lineRule="auto"/>
        <w:ind w:firstLine="284"/>
        <w:rPr>
          <w:rFonts w:ascii="Garamond" w:hAnsi="Garamond"/>
          <w:sz w:val="24"/>
          <w:szCs w:val="24"/>
        </w:rPr>
      </w:pPr>
    </w:p>
    <w:p w14:paraId="770A961F" w14:textId="5A8F2810" w:rsidR="006F605B" w:rsidRPr="00DC66CD" w:rsidRDefault="00A22231" w:rsidP="00A2223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Ndikimi i pritshëm në rezultatet sociale, si</w:t>
      </w:r>
      <w:r w:rsidR="00484D9B" w:rsidRPr="00DC66CD">
        <w:rPr>
          <w:rFonts w:ascii="Garamond" w:hAnsi="Garamond"/>
          <w:color w:val="auto"/>
          <w:sz w:val="24"/>
          <w:szCs w:val="24"/>
        </w:rPr>
        <w:t>:</w:t>
      </w:r>
      <w:r w:rsidR="006F605B" w:rsidRPr="00DC66CD">
        <w:rPr>
          <w:rFonts w:ascii="Garamond" w:hAnsi="Garamond"/>
          <w:color w:val="auto"/>
          <w:sz w:val="24"/>
          <w:szCs w:val="24"/>
        </w:rPr>
        <w:t xml:space="preserve"> punësimi, ulja e varfërisë, barazia dhe gjinia</w:t>
      </w:r>
    </w:p>
    <w:p w14:paraId="6C2E07AA"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Masa ka efekt neutral në aspektin gjinor. Barazia gjinore do të respektohet gjatë gjithë zbatimit të masës së reformës.</w:t>
      </w:r>
    </w:p>
    <w:p w14:paraId="4EFACAF2" w14:textId="7595429E" w:rsidR="006F605B" w:rsidRPr="00DC66CD" w:rsidRDefault="00A22231" w:rsidP="00A2223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6. </w:t>
      </w:r>
      <w:r w:rsidR="006F605B" w:rsidRPr="00DC66CD">
        <w:rPr>
          <w:rFonts w:ascii="Garamond" w:hAnsi="Garamond"/>
          <w:color w:val="auto"/>
          <w:sz w:val="24"/>
          <w:szCs w:val="24"/>
        </w:rPr>
        <w:t>Ndikimi i pritshëm në mjedis</w:t>
      </w:r>
    </w:p>
    <w:p w14:paraId="06488993"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Masa ka efekt neutral për sa i përket ndikimit në mjedis.</w:t>
      </w:r>
    </w:p>
    <w:p w14:paraId="4F198816" w14:textId="4993DD39" w:rsidR="006F605B" w:rsidRPr="00DC66CD" w:rsidRDefault="00A22231" w:rsidP="00A2223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7. </w:t>
      </w:r>
      <w:r w:rsidR="006F605B" w:rsidRPr="00DC66CD">
        <w:rPr>
          <w:rFonts w:ascii="Garamond" w:hAnsi="Garamond"/>
          <w:color w:val="auto"/>
          <w:sz w:val="24"/>
          <w:szCs w:val="24"/>
        </w:rPr>
        <w:t>Rreziqet e mundshme</w:t>
      </w:r>
    </w:p>
    <w:p w14:paraId="21868CEF"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1542"/>
        <w:gridCol w:w="4062"/>
      </w:tblGrid>
      <w:tr w:rsidR="006F605B" w:rsidRPr="00DC66CD" w14:paraId="6FD4B429" w14:textId="77777777" w:rsidTr="004F4E33">
        <w:tc>
          <w:tcPr>
            <w:tcW w:w="3823" w:type="dxa"/>
            <w:vAlign w:val="center"/>
          </w:tcPr>
          <w:p w14:paraId="41D9779A"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1559" w:type="dxa"/>
            <w:vAlign w:val="center"/>
          </w:tcPr>
          <w:p w14:paraId="7ECBF96A" w14:textId="77777777" w:rsidR="004F4E33"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p>
          <w:p w14:paraId="4ECE336C" w14:textId="722C5C21" w:rsidR="006F605B" w:rsidRPr="00DC66CD" w:rsidRDefault="00F85068" w:rsidP="004F4E33">
            <w:pPr>
              <w:snapToGrid w:val="0"/>
              <w:spacing w:after="0" w:line="240" w:lineRule="auto"/>
              <w:jc w:val="center"/>
              <w:rPr>
                <w:rFonts w:ascii="Garamond" w:hAnsi="Garamond"/>
                <w:b/>
                <w:sz w:val="20"/>
                <w:szCs w:val="20"/>
              </w:rPr>
            </w:pPr>
            <w:r w:rsidRPr="00DC66CD">
              <w:rPr>
                <w:rFonts w:ascii="Garamond" w:hAnsi="Garamond"/>
                <w:b/>
                <w:sz w:val="20"/>
                <w:szCs w:val="20"/>
              </w:rPr>
              <w:t>(i ulët, i lartë)</w:t>
            </w:r>
          </w:p>
        </w:tc>
        <w:tc>
          <w:tcPr>
            <w:tcW w:w="4240" w:type="dxa"/>
            <w:vAlign w:val="center"/>
          </w:tcPr>
          <w:p w14:paraId="5797A653"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5D94BDBD" w14:textId="77777777" w:rsidTr="00A22231">
        <w:tc>
          <w:tcPr>
            <w:tcW w:w="3823" w:type="dxa"/>
          </w:tcPr>
          <w:p w14:paraId="4E108C51" w14:textId="162842BA" w:rsidR="006F605B" w:rsidRPr="00DC66CD" w:rsidRDefault="006F605B" w:rsidP="00A22231">
            <w:pPr>
              <w:spacing w:after="0" w:line="240" w:lineRule="auto"/>
              <w:rPr>
                <w:rFonts w:ascii="Garamond" w:hAnsi="Garamond"/>
                <w:sz w:val="20"/>
                <w:szCs w:val="20"/>
              </w:rPr>
            </w:pPr>
            <w:r w:rsidRPr="00DC66CD">
              <w:rPr>
                <w:rFonts w:ascii="Garamond" w:hAnsi="Garamond"/>
                <w:sz w:val="20"/>
                <w:szCs w:val="20"/>
              </w:rPr>
              <w:t>Kufizimet buxhetore për</w:t>
            </w:r>
            <w:r w:rsidR="0072211B" w:rsidRPr="00DC66CD">
              <w:rPr>
                <w:rFonts w:ascii="Garamond" w:hAnsi="Garamond"/>
                <w:sz w:val="20"/>
                <w:szCs w:val="20"/>
              </w:rPr>
              <w:t xml:space="preserve"> </w:t>
            </w:r>
            <w:r w:rsidRPr="00DC66CD">
              <w:rPr>
                <w:rFonts w:ascii="Garamond" w:hAnsi="Garamond"/>
                <w:sz w:val="20"/>
                <w:szCs w:val="20"/>
              </w:rPr>
              <w:t xml:space="preserve">politikën e </w:t>
            </w:r>
            <w:r w:rsidR="002A29AD" w:rsidRPr="00DC66CD">
              <w:rPr>
                <w:rFonts w:ascii="Garamond" w:hAnsi="Garamond"/>
                <w:sz w:val="20"/>
                <w:szCs w:val="20"/>
              </w:rPr>
              <w:t>“</w:t>
            </w:r>
            <w:r w:rsidRPr="00DC66CD">
              <w:rPr>
                <w:rFonts w:ascii="Garamond" w:hAnsi="Garamond"/>
                <w:sz w:val="20"/>
                <w:szCs w:val="20"/>
              </w:rPr>
              <w:t>teksteve shkollore falas</w:t>
            </w:r>
            <w:r w:rsidR="002A29AD" w:rsidRPr="00DC66CD">
              <w:rPr>
                <w:rFonts w:ascii="Garamond" w:hAnsi="Garamond"/>
                <w:sz w:val="20"/>
                <w:szCs w:val="20"/>
              </w:rPr>
              <w:t>”</w:t>
            </w:r>
          </w:p>
        </w:tc>
        <w:tc>
          <w:tcPr>
            <w:tcW w:w="1559" w:type="dxa"/>
          </w:tcPr>
          <w:p w14:paraId="6BE3F057" w14:textId="77777777" w:rsidR="006F605B" w:rsidRPr="00DC66CD" w:rsidRDefault="006F605B" w:rsidP="00A22231">
            <w:pPr>
              <w:snapToGrid w:val="0"/>
              <w:spacing w:after="0" w:line="240" w:lineRule="auto"/>
              <w:rPr>
                <w:rFonts w:ascii="Garamond" w:hAnsi="Garamond"/>
                <w:sz w:val="20"/>
                <w:szCs w:val="20"/>
              </w:rPr>
            </w:pPr>
            <w:r w:rsidRPr="00DC66CD">
              <w:rPr>
                <w:rFonts w:ascii="Garamond" w:hAnsi="Garamond"/>
                <w:sz w:val="20"/>
                <w:szCs w:val="20"/>
              </w:rPr>
              <w:t>I ulët</w:t>
            </w:r>
          </w:p>
        </w:tc>
        <w:tc>
          <w:tcPr>
            <w:tcW w:w="4240" w:type="dxa"/>
          </w:tcPr>
          <w:p w14:paraId="22882F8B" w14:textId="1791E59C" w:rsidR="006F605B" w:rsidRPr="00DC66CD" w:rsidRDefault="006F605B" w:rsidP="00A22231">
            <w:pPr>
              <w:snapToGrid w:val="0"/>
              <w:spacing w:after="0" w:line="240" w:lineRule="auto"/>
              <w:rPr>
                <w:rFonts w:ascii="Garamond" w:hAnsi="Garamond"/>
                <w:sz w:val="20"/>
                <w:szCs w:val="20"/>
              </w:rPr>
            </w:pPr>
            <w:r w:rsidRPr="00DC66CD">
              <w:rPr>
                <w:rFonts w:ascii="Garamond" w:hAnsi="Garamond"/>
                <w:sz w:val="20"/>
                <w:szCs w:val="20"/>
              </w:rPr>
              <w:t>I përfshirë në Planin Buxhetor Afatmesëm</w:t>
            </w:r>
            <w:r w:rsidR="00484D9B" w:rsidRPr="00DC66CD">
              <w:rPr>
                <w:rFonts w:ascii="Garamond" w:hAnsi="Garamond"/>
                <w:sz w:val="20"/>
                <w:szCs w:val="20"/>
              </w:rPr>
              <w:t>, 2020-2022</w:t>
            </w:r>
          </w:p>
        </w:tc>
      </w:tr>
      <w:tr w:rsidR="006F605B" w:rsidRPr="00DC66CD" w14:paraId="08275E33" w14:textId="77777777" w:rsidTr="00A22231">
        <w:tc>
          <w:tcPr>
            <w:tcW w:w="3823" w:type="dxa"/>
          </w:tcPr>
          <w:p w14:paraId="2E3FD820" w14:textId="2194863B" w:rsidR="006F605B" w:rsidRPr="00DC66CD" w:rsidRDefault="006F605B" w:rsidP="00484D9B">
            <w:pPr>
              <w:snapToGrid w:val="0"/>
              <w:spacing w:after="0" w:line="240" w:lineRule="auto"/>
              <w:rPr>
                <w:rFonts w:ascii="Garamond" w:hAnsi="Garamond"/>
                <w:sz w:val="20"/>
                <w:szCs w:val="20"/>
              </w:rPr>
            </w:pPr>
            <w:r w:rsidRPr="00DC66CD">
              <w:rPr>
                <w:rFonts w:ascii="Garamond" w:hAnsi="Garamond"/>
                <w:sz w:val="20"/>
                <w:szCs w:val="20"/>
              </w:rPr>
              <w:t>Performanca e ulët e stafit të sapopunësuar në LEO</w:t>
            </w:r>
          </w:p>
        </w:tc>
        <w:tc>
          <w:tcPr>
            <w:tcW w:w="1559" w:type="dxa"/>
          </w:tcPr>
          <w:p w14:paraId="6252FCA5" w14:textId="77777777" w:rsidR="006F605B" w:rsidRPr="00DC66CD" w:rsidRDefault="006F605B" w:rsidP="00A22231">
            <w:pPr>
              <w:snapToGrid w:val="0"/>
              <w:spacing w:after="0" w:line="240" w:lineRule="auto"/>
              <w:rPr>
                <w:rFonts w:ascii="Garamond" w:hAnsi="Garamond"/>
                <w:sz w:val="20"/>
                <w:szCs w:val="20"/>
              </w:rPr>
            </w:pPr>
            <w:r w:rsidRPr="00DC66CD">
              <w:rPr>
                <w:rFonts w:ascii="Garamond" w:hAnsi="Garamond"/>
                <w:sz w:val="20"/>
                <w:szCs w:val="20"/>
              </w:rPr>
              <w:t>I ulët</w:t>
            </w:r>
          </w:p>
        </w:tc>
        <w:tc>
          <w:tcPr>
            <w:tcW w:w="4240" w:type="dxa"/>
          </w:tcPr>
          <w:p w14:paraId="24B3288D" w14:textId="685B6B17" w:rsidR="006F605B" w:rsidRPr="00DC66CD" w:rsidRDefault="006F605B" w:rsidP="00A22231">
            <w:pPr>
              <w:snapToGrid w:val="0"/>
              <w:spacing w:after="0" w:line="240" w:lineRule="auto"/>
              <w:rPr>
                <w:rFonts w:ascii="Garamond" w:hAnsi="Garamond"/>
                <w:sz w:val="20"/>
                <w:szCs w:val="20"/>
              </w:rPr>
            </w:pPr>
            <w:r w:rsidRPr="00DC66CD">
              <w:rPr>
                <w:rFonts w:ascii="Garamond" w:hAnsi="Garamond"/>
                <w:sz w:val="20"/>
                <w:szCs w:val="20"/>
              </w:rPr>
              <w:t>Planifikim për ngritjen e kapaciteteve për stafin e zyrave</w:t>
            </w:r>
            <w:r w:rsidR="0072211B" w:rsidRPr="00DC66CD">
              <w:rPr>
                <w:rFonts w:ascii="Garamond" w:hAnsi="Garamond"/>
                <w:sz w:val="20"/>
                <w:szCs w:val="20"/>
              </w:rPr>
              <w:t xml:space="preserve"> </w:t>
            </w:r>
            <w:r w:rsidRPr="00DC66CD">
              <w:rPr>
                <w:rFonts w:ascii="Garamond" w:hAnsi="Garamond"/>
                <w:sz w:val="20"/>
                <w:szCs w:val="20"/>
              </w:rPr>
              <w:t>vendore arsimore të cilët do të</w:t>
            </w:r>
            <w:r w:rsidR="00484D9B" w:rsidRPr="00DC66CD">
              <w:rPr>
                <w:rFonts w:ascii="Garamond" w:hAnsi="Garamond"/>
                <w:sz w:val="20"/>
                <w:szCs w:val="20"/>
              </w:rPr>
              <w:t xml:space="preserve"> vlerësojnë cilësinë në shkollë</w:t>
            </w:r>
            <w:r w:rsidRPr="00DC66CD">
              <w:rPr>
                <w:rFonts w:ascii="Garamond" w:hAnsi="Garamond"/>
                <w:sz w:val="20"/>
                <w:szCs w:val="20"/>
              </w:rPr>
              <w:t xml:space="preserve"> </w:t>
            </w:r>
          </w:p>
        </w:tc>
      </w:tr>
    </w:tbl>
    <w:p w14:paraId="69558E1C" w14:textId="77777777" w:rsidR="006F605B" w:rsidRPr="00DC66CD" w:rsidRDefault="006F605B" w:rsidP="006F605B">
      <w:pPr>
        <w:snapToGrid w:val="0"/>
        <w:spacing w:after="0" w:line="240" w:lineRule="auto"/>
        <w:ind w:firstLine="284"/>
        <w:rPr>
          <w:rFonts w:ascii="Garamond" w:hAnsi="Garamond"/>
          <w:sz w:val="24"/>
          <w:szCs w:val="24"/>
        </w:rPr>
      </w:pPr>
    </w:p>
    <w:p w14:paraId="4CDD2727" w14:textId="77777777" w:rsidR="006F605B" w:rsidRPr="00DC66CD" w:rsidRDefault="006F605B" w:rsidP="006F605B">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15: Arsimi përfshirës</w:t>
      </w:r>
    </w:p>
    <w:p w14:paraId="5B33D537" w14:textId="4F1A00B0" w:rsidR="006F605B" w:rsidRPr="00DC66CD" w:rsidRDefault="002E3F1C" w:rsidP="002E3F1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 </w:t>
      </w:r>
      <w:r w:rsidR="006F605B" w:rsidRPr="00DC66CD">
        <w:rPr>
          <w:rFonts w:ascii="Garamond" w:hAnsi="Garamond"/>
          <w:color w:val="auto"/>
          <w:sz w:val="24"/>
          <w:szCs w:val="24"/>
        </w:rPr>
        <w:t>Përshkrimi</w:t>
      </w:r>
    </w:p>
    <w:p w14:paraId="6E8774D9" w14:textId="59EE42CC" w:rsidR="006F605B" w:rsidRPr="00DC66CD" w:rsidRDefault="006F605B" w:rsidP="006F605B">
      <w:pPr>
        <w:tabs>
          <w:tab w:val="left" w:pos="6925"/>
        </w:tabs>
        <w:spacing w:after="0" w:line="240" w:lineRule="auto"/>
        <w:ind w:firstLine="284"/>
        <w:jc w:val="both"/>
        <w:rPr>
          <w:rFonts w:ascii="Garamond" w:hAnsi="Garamond"/>
          <w:sz w:val="24"/>
          <w:szCs w:val="24"/>
        </w:rPr>
      </w:pPr>
      <w:r w:rsidRPr="00DC66CD">
        <w:rPr>
          <w:rFonts w:ascii="Garamond" w:hAnsi="Garamond"/>
          <w:sz w:val="24"/>
          <w:szCs w:val="24"/>
        </w:rPr>
        <w:t>Kjo reformë synon arsim gjithëpërfshirës përmes rritjes së mëtejshme të numrit të mësuesve ndihmës për fëmijët me aftësi të kufizuara në shkollat publike kryesore dhe uljen e mëtejshme të nxënësve që ndjekin klasa kolektive me cilësi të ulët. Përgjatë dy viteve të kaluara është dhënë prioritet mbështetjes profesionale të mësuesve ndihmës. Janë bërë përpjekje për të organizuar mësuesit ndihmës në rrjete profesionale dhe trajnimin e tyre. Janë ngritur 42 rrjete profesionale dhe rreth 500 mësues ndihmës janë trajnuar nga Agjencia e Sigurimit të Cilësisë për Arsimin Parauniversitar</w:t>
      </w:r>
      <w:r w:rsidR="00484D9B" w:rsidRPr="00DC66CD">
        <w:rPr>
          <w:rFonts w:ascii="Garamond" w:hAnsi="Garamond"/>
          <w:sz w:val="24"/>
          <w:szCs w:val="24"/>
        </w:rPr>
        <w:t>,</w:t>
      </w:r>
      <w:r w:rsidRPr="00DC66CD">
        <w:rPr>
          <w:rFonts w:ascii="Garamond" w:hAnsi="Garamond"/>
          <w:sz w:val="24"/>
          <w:szCs w:val="24"/>
        </w:rPr>
        <w:t xml:space="preserve"> si dhe nga partnerë </w:t>
      </w:r>
      <w:r w:rsidR="00772573" w:rsidRPr="00DC66CD">
        <w:rPr>
          <w:rFonts w:ascii="Garamond" w:hAnsi="Garamond"/>
          <w:sz w:val="24"/>
          <w:szCs w:val="24"/>
        </w:rPr>
        <w:t>jo</w:t>
      </w:r>
      <w:r w:rsidRPr="00DC66CD">
        <w:rPr>
          <w:rFonts w:ascii="Garamond" w:hAnsi="Garamond"/>
          <w:sz w:val="24"/>
          <w:szCs w:val="24"/>
        </w:rPr>
        <w:t>qeveritarë. Nevojat për mësues ndihmës për fëmijë me aftësi të kufizuara përcaktohen nga komisionet multidisiplinare, të ngritura në secilën zyrë vendore arsimore.</w:t>
      </w:r>
    </w:p>
    <w:p w14:paraId="5D9A88D0" w14:textId="394590A1"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Sa i përket centralizimit të klasave kolektive, vitin e kaluar janë centralizuar 348 klasa të tilla duke i transferuar 2829 nxënës në shkollat </w:t>
      </w:r>
      <w:r w:rsidRPr="00DC66CD">
        <w:rPr>
          <w:rFonts w:ascii="Times New Roman" w:hAnsi="Times New Roman" w:cs="Times New Roman"/>
          <w:sz w:val="24"/>
          <w:szCs w:val="24"/>
        </w:rPr>
        <w:t>​​</w:t>
      </w:r>
      <w:r w:rsidRPr="00DC66CD">
        <w:rPr>
          <w:rFonts w:ascii="Garamond" w:hAnsi="Garamond"/>
          <w:sz w:val="24"/>
          <w:szCs w:val="24"/>
        </w:rPr>
        <w:t>m</w:t>
      </w:r>
      <w:r w:rsidRPr="00DC66CD">
        <w:rPr>
          <w:rFonts w:ascii="Garamond" w:hAnsi="Garamond" w:cs="Garamond"/>
          <w:sz w:val="24"/>
          <w:szCs w:val="24"/>
        </w:rPr>
        <w:t>ë</w:t>
      </w:r>
      <w:r w:rsidRPr="00DC66CD">
        <w:rPr>
          <w:rFonts w:ascii="Garamond" w:hAnsi="Garamond"/>
          <w:sz w:val="24"/>
          <w:szCs w:val="24"/>
        </w:rPr>
        <w:t xml:space="preserve"> t</w:t>
      </w:r>
      <w:r w:rsidRPr="00DC66CD">
        <w:rPr>
          <w:rFonts w:ascii="Garamond" w:hAnsi="Garamond" w:cs="Garamond"/>
          <w:sz w:val="24"/>
          <w:szCs w:val="24"/>
        </w:rPr>
        <w:t>ë</w:t>
      </w:r>
      <w:r w:rsidRPr="00DC66CD">
        <w:rPr>
          <w:rFonts w:ascii="Garamond" w:hAnsi="Garamond"/>
          <w:sz w:val="24"/>
          <w:szCs w:val="24"/>
        </w:rPr>
        <w:t xml:space="preserve"> af</w:t>
      </w:r>
      <w:r w:rsidRPr="00DC66CD">
        <w:rPr>
          <w:rFonts w:ascii="Garamond" w:hAnsi="Garamond" w:cs="Garamond"/>
          <w:sz w:val="24"/>
          <w:szCs w:val="24"/>
        </w:rPr>
        <w:t>ë</w:t>
      </w:r>
      <w:r w:rsidRPr="00DC66CD">
        <w:rPr>
          <w:rFonts w:ascii="Garamond" w:hAnsi="Garamond"/>
          <w:sz w:val="24"/>
          <w:szCs w:val="24"/>
        </w:rPr>
        <w:t>rta p</w:t>
      </w:r>
      <w:r w:rsidRPr="00DC66CD">
        <w:rPr>
          <w:rFonts w:ascii="Garamond" w:hAnsi="Garamond" w:cs="Garamond"/>
          <w:sz w:val="24"/>
          <w:szCs w:val="24"/>
        </w:rPr>
        <w:t>ë</w:t>
      </w:r>
      <w:r w:rsidRPr="00DC66CD">
        <w:rPr>
          <w:rFonts w:ascii="Garamond" w:hAnsi="Garamond"/>
          <w:sz w:val="24"/>
          <w:szCs w:val="24"/>
        </w:rPr>
        <w:t>r t</w:t>
      </w:r>
      <w:r w:rsidR="00484D9B" w:rsidRPr="00DC66CD">
        <w:rPr>
          <w:rFonts w:ascii="Garamond" w:hAnsi="Garamond"/>
          <w:sz w:val="24"/>
          <w:szCs w:val="24"/>
        </w:rPr>
        <w:t>’</w:t>
      </w:r>
      <w:r w:rsidRPr="00DC66CD">
        <w:rPr>
          <w:rFonts w:ascii="Garamond" w:hAnsi="Garamond"/>
          <w:sz w:val="24"/>
          <w:szCs w:val="24"/>
        </w:rPr>
        <w:t>u arsimuar n</w:t>
      </w:r>
      <w:r w:rsidRPr="00DC66CD">
        <w:rPr>
          <w:rFonts w:ascii="Garamond" w:hAnsi="Garamond" w:cs="Garamond"/>
          <w:sz w:val="24"/>
          <w:szCs w:val="24"/>
        </w:rPr>
        <w:t>ë</w:t>
      </w:r>
      <w:r w:rsidRPr="00DC66CD">
        <w:rPr>
          <w:rFonts w:ascii="Garamond" w:hAnsi="Garamond"/>
          <w:sz w:val="24"/>
          <w:szCs w:val="24"/>
        </w:rPr>
        <w:t xml:space="preserve"> klasa normale me bashk</w:t>
      </w:r>
      <w:r w:rsidRPr="00DC66CD">
        <w:rPr>
          <w:rFonts w:ascii="Garamond" w:hAnsi="Garamond" w:cs="Garamond"/>
          <w:sz w:val="24"/>
          <w:szCs w:val="24"/>
        </w:rPr>
        <w:t>ë</w:t>
      </w:r>
      <w:r w:rsidRPr="00DC66CD">
        <w:rPr>
          <w:rFonts w:ascii="Garamond" w:hAnsi="Garamond"/>
          <w:sz w:val="24"/>
          <w:szCs w:val="24"/>
        </w:rPr>
        <w:t>moshatar</w:t>
      </w:r>
      <w:r w:rsidRPr="00DC66CD">
        <w:rPr>
          <w:rFonts w:ascii="Garamond" w:hAnsi="Garamond" w:cs="Garamond"/>
          <w:sz w:val="24"/>
          <w:szCs w:val="24"/>
        </w:rPr>
        <w:t>ë</w:t>
      </w:r>
      <w:r w:rsidRPr="00DC66CD">
        <w:rPr>
          <w:rFonts w:ascii="Garamond" w:hAnsi="Garamond"/>
          <w:sz w:val="24"/>
          <w:szCs w:val="24"/>
        </w:rPr>
        <w:t>t e tyre. Jan</w:t>
      </w:r>
      <w:r w:rsidRPr="00DC66CD">
        <w:rPr>
          <w:rFonts w:ascii="Garamond" w:hAnsi="Garamond" w:cs="Garamond"/>
          <w:sz w:val="24"/>
          <w:szCs w:val="24"/>
        </w:rPr>
        <w:t>ë</w:t>
      </w:r>
      <w:r w:rsidRPr="00DC66CD">
        <w:rPr>
          <w:rFonts w:ascii="Garamond" w:hAnsi="Garamond"/>
          <w:sz w:val="24"/>
          <w:szCs w:val="24"/>
        </w:rPr>
        <w:t xml:space="preserve"> marr</w:t>
      </w:r>
      <w:r w:rsidRPr="00DC66CD">
        <w:rPr>
          <w:rFonts w:ascii="Garamond" w:hAnsi="Garamond" w:cs="Garamond"/>
          <w:sz w:val="24"/>
          <w:szCs w:val="24"/>
        </w:rPr>
        <w:t>ë</w:t>
      </w:r>
      <w:r w:rsidRPr="00DC66CD">
        <w:rPr>
          <w:rFonts w:ascii="Garamond" w:hAnsi="Garamond"/>
          <w:sz w:val="24"/>
          <w:szCs w:val="24"/>
        </w:rPr>
        <w:t xml:space="preserve"> t</w:t>
      </w:r>
      <w:r w:rsidRPr="00DC66CD">
        <w:rPr>
          <w:rFonts w:ascii="Garamond" w:hAnsi="Garamond" w:cs="Garamond"/>
          <w:sz w:val="24"/>
          <w:szCs w:val="24"/>
        </w:rPr>
        <w:t>ë</w:t>
      </w:r>
      <w:r w:rsidRPr="00DC66CD">
        <w:rPr>
          <w:rFonts w:ascii="Garamond" w:hAnsi="Garamond"/>
          <w:sz w:val="24"/>
          <w:szCs w:val="24"/>
        </w:rPr>
        <w:t xml:space="preserve"> gjitha masat p</w:t>
      </w:r>
      <w:r w:rsidRPr="00DC66CD">
        <w:rPr>
          <w:rFonts w:ascii="Garamond" w:hAnsi="Garamond" w:cs="Garamond"/>
          <w:sz w:val="24"/>
          <w:szCs w:val="24"/>
        </w:rPr>
        <w:t>ë</w:t>
      </w:r>
      <w:r w:rsidRPr="00DC66CD">
        <w:rPr>
          <w:rFonts w:ascii="Garamond" w:hAnsi="Garamond"/>
          <w:sz w:val="24"/>
          <w:szCs w:val="24"/>
        </w:rPr>
        <w:t>r t</w:t>
      </w:r>
      <w:r w:rsidRPr="00DC66CD">
        <w:rPr>
          <w:rFonts w:ascii="Garamond" w:hAnsi="Garamond" w:cs="Garamond"/>
          <w:sz w:val="24"/>
          <w:szCs w:val="24"/>
        </w:rPr>
        <w:t>ë</w:t>
      </w:r>
      <w:r w:rsidRPr="00DC66CD">
        <w:rPr>
          <w:rFonts w:ascii="Garamond" w:hAnsi="Garamond"/>
          <w:sz w:val="24"/>
          <w:szCs w:val="24"/>
        </w:rPr>
        <w:t xml:space="preserve"> siguruar transportin e nx</w:t>
      </w:r>
      <w:r w:rsidRPr="00DC66CD">
        <w:rPr>
          <w:rFonts w:ascii="Garamond" w:hAnsi="Garamond" w:cs="Garamond"/>
          <w:sz w:val="24"/>
          <w:szCs w:val="24"/>
        </w:rPr>
        <w:t>ë</w:t>
      </w:r>
      <w:r w:rsidRPr="00DC66CD">
        <w:rPr>
          <w:rFonts w:ascii="Garamond" w:hAnsi="Garamond"/>
          <w:sz w:val="24"/>
          <w:szCs w:val="24"/>
        </w:rPr>
        <w:t>n</w:t>
      </w:r>
      <w:r w:rsidRPr="00DC66CD">
        <w:rPr>
          <w:rFonts w:ascii="Garamond" w:hAnsi="Garamond" w:cs="Garamond"/>
          <w:sz w:val="24"/>
          <w:szCs w:val="24"/>
        </w:rPr>
        <w:t>ë</w:t>
      </w:r>
      <w:r w:rsidRPr="00DC66CD">
        <w:rPr>
          <w:rFonts w:ascii="Garamond" w:hAnsi="Garamond"/>
          <w:sz w:val="24"/>
          <w:szCs w:val="24"/>
        </w:rPr>
        <w:t>sve. Aktualisht</w:t>
      </w:r>
      <w:r w:rsidR="00484D9B" w:rsidRPr="00DC66CD">
        <w:rPr>
          <w:rFonts w:ascii="Garamond" w:hAnsi="Garamond"/>
          <w:sz w:val="24"/>
          <w:szCs w:val="24"/>
        </w:rPr>
        <w:t>,</w:t>
      </w:r>
      <w:r w:rsidRPr="00DC66CD">
        <w:rPr>
          <w:rFonts w:ascii="Garamond" w:hAnsi="Garamond"/>
          <w:sz w:val="24"/>
          <w:szCs w:val="24"/>
        </w:rPr>
        <w:t xml:space="preserve"> </w:t>
      </w:r>
      <w:r w:rsidRPr="00DC66CD">
        <w:rPr>
          <w:rFonts w:ascii="Garamond" w:hAnsi="Garamond" w:cs="Garamond"/>
          <w:sz w:val="24"/>
          <w:szCs w:val="24"/>
        </w:rPr>
        <w:t>ç</w:t>
      </w:r>
      <w:r w:rsidRPr="00DC66CD">
        <w:rPr>
          <w:rFonts w:ascii="Garamond" w:hAnsi="Garamond"/>
          <w:sz w:val="24"/>
          <w:szCs w:val="24"/>
        </w:rPr>
        <w:t>do f</w:t>
      </w:r>
      <w:r w:rsidRPr="00DC66CD">
        <w:rPr>
          <w:rFonts w:ascii="Garamond" w:hAnsi="Garamond" w:cs="Garamond"/>
          <w:sz w:val="24"/>
          <w:szCs w:val="24"/>
        </w:rPr>
        <w:t>ë</w:t>
      </w:r>
      <w:r w:rsidRPr="00DC66CD">
        <w:rPr>
          <w:rFonts w:ascii="Garamond" w:hAnsi="Garamond"/>
          <w:sz w:val="24"/>
          <w:szCs w:val="24"/>
        </w:rPr>
        <w:t>mij</w:t>
      </w:r>
      <w:r w:rsidRPr="00DC66CD">
        <w:rPr>
          <w:rFonts w:ascii="Garamond" w:hAnsi="Garamond" w:cs="Garamond"/>
          <w:sz w:val="24"/>
          <w:szCs w:val="24"/>
        </w:rPr>
        <w:t>ë</w:t>
      </w:r>
      <w:r w:rsidRPr="00DC66CD">
        <w:rPr>
          <w:rFonts w:ascii="Garamond" w:hAnsi="Garamond"/>
          <w:sz w:val="24"/>
          <w:szCs w:val="24"/>
        </w:rPr>
        <w:t xml:space="preserve"> q</w:t>
      </w:r>
      <w:r w:rsidRPr="00DC66CD">
        <w:rPr>
          <w:rFonts w:ascii="Garamond" w:hAnsi="Garamond" w:cs="Garamond"/>
          <w:sz w:val="24"/>
          <w:szCs w:val="24"/>
        </w:rPr>
        <w:t>ë</w:t>
      </w:r>
      <w:r w:rsidRPr="00DC66CD">
        <w:rPr>
          <w:rFonts w:ascii="Garamond" w:hAnsi="Garamond"/>
          <w:sz w:val="24"/>
          <w:szCs w:val="24"/>
        </w:rPr>
        <w:t xml:space="preserve"> jeton mbi 2 km nga shkolla, përfiton transport falas. Gjithashtu është hartuar kurrikul e dedikuar bazuar në kompetenca dhe udhëzuesi për zbatimin e saj, për nxënësit në klasat kolektive me arritje bazike në arsim.</w:t>
      </w:r>
    </w:p>
    <w:p w14:paraId="1382ECD4" w14:textId="30003F57" w:rsidR="006F605B" w:rsidRPr="00DC66CD" w:rsidRDefault="002E3F1C" w:rsidP="002E3F1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20C4437B" w14:textId="7496DC38" w:rsidR="006F605B" w:rsidRPr="00DC66CD" w:rsidRDefault="002E3F1C" w:rsidP="002E3F1C">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484D9B" w:rsidRPr="00DC66CD">
        <w:rPr>
          <w:rFonts w:ascii="Garamond" w:hAnsi="Garamond" w:cs="Times New Roman"/>
          <w:b/>
          <w:sz w:val="24"/>
          <w:szCs w:val="24"/>
        </w:rPr>
        <w:t>-shin:</w:t>
      </w:r>
    </w:p>
    <w:p w14:paraId="245D7D95" w14:textId="06A322A3" w:rsidR="006F605B" w:rsidRPr="00DC66CD" w:rsidRDefault="002E3F1C" w:rsidP="002E3F1C">
      <w:pPr>
        <w:pStyle w:val="TEKSTIIII"/>
      </w:pPr>
      <w:r w:rsidRPr="00DC66CD">
        <w:t>-</w:t>
      </w:r>
      <w:r w:rsidR="00484D9B" w:rsidRPr="00DC66CD">
        <w:t xml:space="preserve"> r</w:t>
      </w:r>
      <w:r w:rsidR="006F605B" w:rsidRPr="00DC66CD">
        <w:t>ritja e numrit të nxënësve që ndjekin shkolla me cilësi më të mirë deri në 500</w:t>
      </w:r>
      <w:r w:rsidR="006F605B" w:rsidRPr="00DC66CD">
        <w:rPr>
          <w:rStyle w:val="FootnoteReference"/>
          <w:rFonts w:cs="Times New Roman"/>
        </w:rPr>
        <w:footnoteReference w:id="28"/>
      </w:r>
      <w:r w:rsidR="006F605B" w:rsidRPr="00DC66CD">
        <w:t xml:space="preserve"> ose më shumë, duke i transferuar ata nga klasat kolektive</w:t>
      </w:r>
      <w:r w:rsidR="006F605B" w:rsidRPr="00DC66CD">
        <w:rPr>
          <w:rStyle w:val="FootnoteReference"/>
          <w:rFonts w:cs="Times New Roman"/>
        </w:rPr>
        <w:footnoteReference w:id="29"/>
      </w:r>
      <w:r w:rsidR="006F605B" w:rsidRPr="00DC66CD">
        <w:t>;</w:t>
      </w:r>
    </w:p>
    <w:p w14:paraId="31A783F0" w14:textId="132EE4AE" w:rsidR="006F605B" w:rsidRPr="00DC66CD" w:rsidRDefault="002E3F1C" w:rsidP="002E3F1C">
      <w:pPr>
        <w:pStyle w:val="TEKSTIIII"/>
      </w:pPr>
      <w:r w:rsidRPr="00DC66CD">
        <w:t>-</w:t>
      </w:r>
      <w:r w:rsidR="00484D9B" w:rsidRPr="00DC66CD">
        <w:t xml:space="preserve"> r</w:t>
      </w:r>
      <w:r w:rsidR="006F605B" w:rsidRPr="00DC66CD">
        <w:t>ritja e numrit të mësuesve ndihmës për fëmijët me aftësi të kufizuara në shkollat publike në 1,000;</w:t>
      </w:r>
    </w:p>
    <w:p w14:paraId="027D5A9E" w14:textId="1DE70B42" w:rsidR="006F605B" w:rsidRPr="00DC66CD" w:rsidRDefault="002E3F1C" w:rsidP="002E3F1C">
      <w:pPr>
        <w:pStyle w:val="TEKSTIIII"/>
      </w:pPr>
      <w:r w:rsidRPr="00DC66CD">
        <w:t>-</w:t>
      </w:r>
      <w:r w:rsidR="00484D9B" w:rsidRPr="00DC66CD">
        <w:t xml:space="preserve"> m</w:t>
      </w:r>
      <w:r w:rsidR="006F605B" w:rsidRPr="00DC66CD">
        <w:rPr>
          <w:rFonts w:eastAsia="Times New Roman"/>
        </w:rPr>
        <w:t>bështetja e zhvillimit profesional të mësuesve ndihmës nëpërmjet trajnimit të 42 ToT (drejtuesit e rrjetit</w:t>
      </w:r>
      <w:r w:rsidR="0072211B" w:rsidRPr="00DC66CD">
        <w:rPr>
          <w:rFonts w:eastAsia="Times New Roman"/>
        </w:rPr>
        <w:t xml:space="preserve"> </w:t>
      </w:r>
      <w:r w:rsidR="006F605B" w:rsidRPr="00DC66CD">
        <w:rPr>
          <w:rFonts w:eastAsia="Times New Roman"/>
        </w:rPr>
        <w:t>profesional të mësuesve ndihmës) dhe 1000 mësuesve ndihmës.</w:t>
      </w:r>
    </w:p>
    <w:p w14:paraId="1E0A1D5E" w14:textId="73FE0F1E" w:rsidR="006F605B" w:rsidRPr="00DC66CD" w:rsidRDefault="002E3F1C" w:rsidP="002E3F1C">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484D9B" w:rsidRPr="00DC66CD">
        <w:rPr>
          <w:rFonts w:ascii="Garamond" w:hAnsi="Garamond" w:cs="Times New Roman"/>
          <w:b/>
          <w:sz w:val="24"/>
          <w:szCs w:val="24"/>
        </w:rPr>
        <w:t>-shin:</w:t>
      </w:r>
    </w:p>
    <w:p w14:paraId="05155AF3" w14:textId="5E17A8A0" w:rsidR="006F605B" w:rsidRPr="00DC66CD" w:rsidRDefault="002E3F1C" w:rsidP="002E3F1C">
      <w:pPr>
        <w:pStyle w:val="TEKSTIIII"/>
      </w:pPr>
      <w:r w:rsidRPr="00DC66CD">
        <w:t>-</w:t>
      </w:r>
      <w:r w:rsidR="00484D9B" w:rsidRPr="00DC66CD">
        <w:t xml:space="preserve"> r</w:t>
      </w:r>
      <w:r w:rsidR="006F605B" w:rsidRPr="00DC66CD">
        <w:t>ritja e numrit të nxënësve që ndjekin shkolla me cilësi më të mirë deri në 500</w:t>
      </w:r>
      <w:r w:rsidR="0072211B" w:rsidRPr="00DC66CD">
        <w:t xml:space="preserve"> </w:t>
      </w:r>
      <w:r w:rsidR="006F605B" w:rsidRPr="00DC66CD">
        <w:t>ose më shumë, duke i transferuar ata nga klasat kolektive;</w:t>
      </w:r>
    </w:p>
    <w:p w14:paraId="1F4EBE72" w14:textId="0E777ADD" w:rsidR="006F605B" w:rsidRPr="00DC66CD" w:rsidRDefault="002E3F1C" w:rsidP="002E3F1C">
      <w:pPr>
        <w:pStyle w:val="TEKSTIIII"/>
      </w:pPr>
      <w:r w:rsidRPr="00DC66CD">
        <w:t>-</w:t>
      </w:r>
      <w:r w:rsidR="00484D9B" w:rsidRPr="00DC66CD">
        <w:t xml:space="preserve"> r</w:t>
      </w:r>
      <w:r w:rsidR="006F605B" w:rsidRPr="00DC66CD">
        <w:t>ritja e numrit të mësuesve ndihmës për fëmijët me aftësi të kufizuara në shkollat publike në 1,050;</w:t>
      </w:r>
    </w:p>
    <w:p w14:paraId="2AECEEA9" w14:textId="0EE20E4C" w:rsidR="006F605B" w:rsidRPr="00DC66CD" w:rsidRDefault="002E3F1C" w:rsidP="002E3F1C">
      <w:pPr>
        <w:pStyle w:val="TEKSTIIII"/>
      </w:pPr>
      <w:r w:rsidRPr="00DC66CD">
        <w:t>-</w:t>
      </w:r>
      <w:r w:rsidR="00484D9B" w:rsidRPr="00DC66CD">
        <w:t xml:space="preserve"> m</w:t>
      </w:r>
      <w:r w:rsidR="006F605B" w:rsidRPr="00DC66CD">
        <w:rPr>
          <w:rFonts w:eastAsia="Times New Roman"/>
        </w:rPr>
        <w:t>bështetja e zhvillimit profesional të mësuesve ndihmës nëpërmjet trajnimit të 1050 mësues ndihmës në të gjithë vendin;</w:t>
      </w:r>
    </w:p>
    <w:p w14:paraId="5E8C9BAA" w14:textId="4F780662" w:rsidR="006F605B" w:rsidRPr="00DC66CD" w:rsidRDefault="002E3F1C" w:rsidP="002E3F1C">
      <w:pPr>
        <w:pStyle w:val="TEKSTIIII"/>
      </w:pPr>
      <w:r w:rsidRPr="00DC66CD">
        <w:rPr>
          <w:rFonts w:eastAsia="Times New Roman"/>
        </w:rPr>
        <w:t>-</w:t>
      </w:r>
      <w:r w:rsidR="00484D9B" w:rsidRPr="00DC66CD">
        <w:rPr>
          <w:rFonts w:eastAsia="Times New Roman"/>
        </w:rPr>
        <w:t xml:space="preserve"> d</w:t>
      </w:r>
      <w:r w:rsidR="006F605B" w:rsidRPr="00DC66CD">
        <w:rPr>
          <w:rFonts w:eastAsia="Times New Roman"/>
        </w:rPr>
        <w:t>i</w:t>
      </w:r>
      <w:r w:rsidR="00FC1D63" w:rsidRPr="00DC66CD">
        <w:rPr>
          <w:rFonts w:eastAsia="Times New Roman"/>
        </w:rPr>
        <w:t>s</w:t>
      </w:r>
      <w:r w:rsidR="006F605B" w:rsidRPr="00DC66CD">
        <w:rPr>
          <w:rFonts w:eastAsia="Times New Roman"/>
        </w:rPr>
        <w:t xml:space="preserve">enjimi i materialeve burimore (manuale, module, </w:t>
      </w:r>
      <w:r w:rsidR="00FC1D63" w:rsidRPr="00DC66CD">
        <w:rPr>
          <w:rFonts w:eastAsia="Times New Roman"/>
        </w:rPr>
        <w:t>instrumente</w:t>
      </w:r>
      <w:r w:rsidR="006F605B" w:rsidRPr="00DC66CD">
        <w:rPr>
          <w:rFonts w:eastAsia="Times New Roman"/>
        </w:rPr>
        <w:t xml:space="preserve"> etj.) për mësuesit ndihmës.</w:t>
      </w:r>
    </w:p>
    <w:p w14:paraId="533CB388" w14:textId="6323EB12" w:rsidR="006F605B" w:rsidRPr="00DC66CD" w:rsidRDefault="002E3F1C" w:rsidP="002E3F1C">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484D9B" w:rsidRPr="00DC66CD">
        <w:rPr>
          <w:rFonts w:ascii="Garamond" w:hAnsi="Garamond" w:cs="Times New Roman"/>
          <w:b/>
          <w:sz w:val="24"/>
          <w:szCs w:val="24"/>
        </w:rPr>
        <w:t>-shin:</w:t>
      </w:r>
    </w:p>
    <w:p w14:paraId="5AC03C06" w14:textId="2BCFEF81" w:rsidR="006F605B" w:rsidRPr="00DC66CD" w:rsidRDefault="002E3F1C" w:rsidP="002E3F1C">
      <w:pPr>
        <w:pStyle w:val="TEKSTIIII"/>
      </w:pPr>
      <w:r w:rsidRPr="00DC66CD">
        <w:t>-</w:t>
      </w:r>
      <w:r w:rsidR="00484D9B" w:rsidRPr="00DC66CD">
        <w:t xml:space="preserve"> r</w:t>
      </w:r>
      <w:r w:rsidR="006F605B" w:rsidRPr="00DC66CD">
        <w:t>ritja e numrit të nxënësve që ndjekin shkolla me cilësi më të mirë deri në 500 ose më shumë, duke i transferuar ata nga klasat kolektive;</w:t>
      </w:r>
    </w:p>
    <w:p w14:paraId="1BCBA74C" w14:textId="0CEDCF35" w:rsidR="006F605B" w:rsidRPr="00DC66CD" w:rsidRDefault="002E3F1C" w:rsidP="002E3F1C">
      <w:pPr>
        <w:pStyle w:val="TEKSTIIII"/>
      </w:pPr>
      <w:r w:rsidRPr="00DC66CD">
        <w:t>-</w:t>
      </w:r>
      <w:r w:rsidR="00484D9B" w:rsidRPr="00DC66CD">
        <w:t xml:space="preserve"> r</w:t>
      </w:r>
      <w:r w:rsidR="006F605B" w:rsidRPr="00DC66CD">
        <w:t>ritja e numrit të mësuesve ndihmës për fëmijët me aftësi të kufizuara në shkollat publike në 1,100;</w:t>
      </w:r>
    </w:p>
    <w:p w14:paraId="6EDDBE69" w14:textId="39729874" w:rsidR="006F605B" w:rsidRPr="00DC66CD" w:rsidRDefault="002E3F1C" w:rsidP="002E3F1C">
      <w:pPr>
        <w:pStyle w:val="TEKSTIIII"/>
      </w:pPr>
      <w:r w:rsidRPr="00DC66CD">
        <w:rPr>
          <w:rFonts w:eastAsia="Times New Roman"/>
        </w:rPr>
        <w:t>-</w:t>
      </w:r>
      <w:r w:rsidR="00484D9B" w:rsidRPr="00DC66CD">
        <w:rPr>
          <w:rFonts w:eastAsia="Times New Roman"/>
        </w:rPr>
        <w:t xml:space="preserve"> m</w:t>
      </w:r>
      <w:r w:rsidR="006F605B" w:rsidRPr="00DC66CD">
        <w:rPr>
          <w:rFonts w:eastAsia="Times New Roman"/>
        </w:rPr>
        <w:t>bështetja e zhvillimit profesional të mësuesve ndihmës nëpërmjet trajnimit të 1100 mësues ndihmës në të gjithë vendin;</w:t>
      </w:r>
    </w:p>
    <w:p w14:paraId="4BDEBE00" w14:textId="19764105" w:rsidR="006F605B" w:rsidRPr="00DC66CD" w:rsidRDefault="002E3F1C" w:rsidP="002E3F1C">
      <w:pPr>
        <w:pStyle w:val="TEKSTIIII"/>
      </w:pPr>
      <w:r w:rsidRPr="00DC66CD">
        <w:rPr>
          <w:rFonts w:eastAsia="Times New Roman"/>
        </w:rPr>
        <w:t>-</w:t>
      </w:r>
      <w:r w:rsidR="00484D9B" w:rsidRPr="00DC66CD">
        <w:rPr>
          <w:rFonts w:eastAsia="Times New Roman"/>
        </w:rPr>
        <w:t xml:space="preserve"> p</w:t>
      </w:r>
      <w:r w:rsidR="006F605B" w:rsidRPr="00DC66CD">
        <w:rPr>
          <w:rFonts w:eastAsia="Times New Roman"/>
        </w:rPr>
        <w:t>ërmirësimi i materialeve burimore (manuale, module, instrumente etj.,) për mësuesit ndihmës.</w:t>
      </w:r>
    </w:p>
    <w:p w14:paraId="1EACBBF8" w14:textId="2BA4DDEB" w:rsidR="006F605B" w:rsidRPr="00DC66CD" w:rsidRDefault="002E3F1C" w:rsidP="002E3F1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2"/>
        <w:gridCol w:w="1727"/>
        <w:gridCol w:w="1757"/>
        <w:gridCol w:w="1744"/>
      </w:tblGrid>
      <w:tr w:rsidR="006F605B" w:rsidRPr="00DC66CD" w14:paraId="38372853" w14:textId="77777777" w:rsidTr="004F4E33">
        <w:trPr>
          <w:jc w:val="center"/>
        </w:trPr>
        <w:tc>
          <w:tcPr>
            <w:tcW w:w="4248" w:type="dxa"/>
            <w:vAlign w:val="center"/>
          </w:tcPr>
          <w:p w14:paraId="63B3CD77"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1791" w:type="dxa"/>
            <w:vAlign w:val="center"/>
          </w:tcPr>
          <w:p w14:paraId="03DE4D2A"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Bazë (viti)</w:t>
            </w:r>
          </w:p>
        </w:tc>
        <w:tc>
          <w:tcPr>
            <w:tcW w:w="1791" w:type="dxa"/>
            <w:vAlign w:val="center"/>
          </w:tcPr>
          <w:p w14:paraId="0242EC33" w14:textId="52680598" w:rsidR="006F605B" w:rsidRPr="00DC66CD" w:rsidRDefault="00C27435"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(viti)</w:t>
            </w:r>
          </w:p>
        </w:tc>
        <w:tc>
          <w:tcPr>
            <w:tcW w:w="1792" w:type="dxa"/>
            <w:vAlign w:val="center"/>
          </w:tcPr>
          <w:p w14:paraId="5C6C0CE2"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Objektivi (viti)</w:t>
            </w:r>
          </w:p>
        </w:tc>
      </w:tr>
      <w:tr w:rsidR="006F605B" w:rsidRPr="00DC66CD" w14:paraId="4C698F8A" w14:textId="77777777" w:rsidTr="004F4E33">
        <w:trPr>
          <w:jc w:val="center"/>
        </w:trPr>
        <w:tc>
          <w:tcPr>
            <w:tcW w:w="4248" w:type="dxa"/>
          </w:tcPr>
          <w:p w14:paraId="3712CA0D" w14:textId="091059D8" w:rsidR="006F605B" w:rsidRPr="00DC66CD" w:rsidRDefault="006F605B" w:rsidP="002E3F1C">
            <w:pPr>
              <w:snapToGrid w:val="0"/>
              <w:spacing w:after="0" w:line="240" w:lineRule="auto"/>
              <w:rPr>
                <w:rFonts w:ascii="Garamond" w:hAnsi="Garamond"/>
                <w:sz w:val="20"/>
                <w:szCs w:val="20"/>
              </w:rPr>
            </w:pPr>
            <w:r w:rsidRPr="00DC66CD">
              <w:rPr>
                <w:rFonts w:ascii="Garamond" w:hAnsi="Garamond"/>
                <w:sz w:val="20"/>
                <w:szCs w:val="20"/>
              </w:rPr>
              <w:t>Numri i nxënësve në klasa kolektive të transferuar në shkolla</w:t>
            </w:r>
            <w:r w:rsidR="00FC1D63" w:rsidRPr="00DC66CD">
              <w:rPr>
                <w:rFonts w:ascii="Garamond" w:hAnsi="Garamond"/>
                <w:sz w:val="20"/>
                <w:szCs w:val="20"/>
              </w:rPr>
              <w:t>t e afërta me cilësi më të mire</w:t>
            </w:r>
          </w:p>
        </w:tc>
        <w:tc>
          <w:tcPr>
            <w:tcW w:w="1791" w:type="dxa"/>
          </w:tcPr>
          <w:p w14:paraId="66DE1CA7" w14:textId="0EBF94C8" w:rsidR="006F605B" w:rsidRPr="00DC66CD" w:rsidRDefault="00433A3A" w:rsidP="00FC1D63">
            <w:pPr>
              <w:snapToGrid w:val="0"/>
              <w:spacing w:after="0" w:line="240" w:lineRule="auto"/>
              <w:jc w:val="center"/>
              <w:rPr>
                <w:rFonts w:ascii="Garamond" w:hAnsi="Garamond"/>
                <w:sz w:val="20"/>
                <w:szCs w:val="20"/>
              </w:rPr>
            </w:pPr>
            <w:r w:rsidRPr="00DC66CD">
              <w:rPr>
                <w:rFonts w:ascii="Garamond" w:hAnsi="Garamond"/>
                <w:sz w:val="20"/>
                <w:szCs w:val="20"/>
              </w:rPr>
              <w:t>2018–</w:t>
            </w:r>
            <w:r w:rsidR="00FC1D63" w:rsidRPr="00DC66CD">
              <w:rPr>
                <w:rFonts w:ascii="Garamond" w:hAnsi="Garamond"/>
                <w:sz w:val="20"/>
                <w:szCs w:val="20"/>
              </w:rPr>
              <w:t>2019</w:t>
            </w:r>
          </w:p>
          <w:p w14:paraId="71FE1AE4" w14:textId="77777777" w:rsidR="006F605B" w:rsidRPr="00DC66CD" w:rsidRDefault="006F605B" w:rsidP="00FC1D63">
            <w:pPr>
              <w:snapToGrid w:val="0"/>
              <w:spacing w:after="0" w:line="240" w:lineRule="auto"/>
              <w:jc w:val="center"/>
              <w:rPr>
                <w:rFonts w:ascii="Garamond" w:hAnsi="Garamond"/>
                <w:sz w:val="20"/>
                <w:szCs w:val="20"/>
              </w:rPr>
            </w:pPr>
            <w:r w:rsidRPr="00DC66CD">
              <w:rPr>
                <w:rFonts w:ascii="Garamond" w:hAnsi="Garamond"/>
                <w:sz w:val="20"/>
                <w:szCs w:val="20"/>
              </w:rPr>
              <w:t>2829 nxënës</w:t>
            </w:r>
          </w:p>
        </w:tc>
        <w:tc>
          <w:tcPr>
            <w:tcW w:w="1791" w:type="dxa"/>
          </w:tcPr>
          <w:p w14:paraId="3C5A9012" w14:textId="489BE270" w:rsidR="006F605B" w:rsidRPr="00DC66CD" w:rsidRDefault="00FC1D63" w:rsidP="00FC1D63">
            <w:pPr>
              <w:snapToGrid w:val="0"/>
              <w:spacing w:after="0" w:line="240" w:lineRule="auto"/>
              <w:jc w:val="center"/>
              <w:rPr>
                <w:rFonts w:ascii="Garamond" w:eastAsia="Times New Roman" w:hAnsi="Garamond"/>
                <w:bCs/>
                <w:sz w:val="20"/>
                <w:szCs w:val="20"/>
              </w:rPr>
            </w:pPr>
            <w:r w:rsidRPr="00DC66CD">
              <w:rPr>
                <w:rFonts w:ascii="Garamond" w:eastAsia="Times New Roman" w:hAnsi="Garamond"/>
                <w:bCs/>
                <w:sz w:val="20"/>
                <w:szCs w:val="20"/>
              </w:rPr>
              <w:t>2020</w:t>
            </w:r>
          </w:p>
          <w:p w14:paraId="7955C419" w14:textId="77777777" w:rsidR="006F605B" w:rsidRPr="00DC66CD" w:rsidRDefault="006F605B" w:rsidP="00FC1D63">
            <w:pPr>
              <w:snapToGrid w:val="0"/>
              <w:spacing w:after="0" w:line="240" w:lineRule="auto"/>
              <w:jc w:val="center"/>
              <w:rPr>
                <w:rFonts w:ascii="Garamond" w:hAnsi="Garamond"/>
                <w:sz w:val="20"/>
                <w:szCs w:val="20"/>
              </w:rPr>
            </w:pPr>
            <w:r w:rsidRPr="00DC66CD">
              <w:rPr>
                <w:rFonts w:ascii="Garamond" w:eastAsia="Times New Roman" w:hAnsi="Garamond"/>
                <w:bCs/>
                <w:sz w:val="20"/>
                <w:szCs w:val="20"/>
              </w:rPr>
              <w:t>+500 referuar nivelit bazë</w:t>
            </w:r>
          </w:p>
        </w:tc>
        <w:tc>
          <w:tcPr>
            <w:tcW w:w="1792" w:type="dxa"/>
          </w:tcPr>
          <w:p w14:paraId="6A50F0CF" w14:textId="3B9BEE6D" w:rsidR="006F605B" w:rsidRPr="00DC66CD" w:rsidRDefault="00FC1D63" w:rsidP="00FC1D63">
            <w:pPr>
              <w:snapToGrid w:val="0"/>
              <w:spacing w:after="0" w:line="240" w:lineRule="auto"/>
              <w:jc w:val="center"/>
              <w:rPr>
                <w:rFonts w:ascii="Garamond" w:eastAsia="Times New Roman" w:hAnsi="Garamond"/>
                <w:bCs/>
                <w:sz w:val="20"/>
                <w:szCs w:val="20"/>
              </w:rPr>
            </w:pPr>
            <w:r w:rsidRPr="00DC66CD">
              <w:rPr>
                <w:rFonts w:ascii="Garamond" w:eastAsia="Times New Roman" w:hAnsi="Garamond"/>
                <w:bCs/>
                <w:sz w:val="20"/>
                <w:szCs w:val="20"/>
              </w:rPr>
              <w:t>2022</w:t>
            </w:r>
          </w:p>
          <w:p w14:paraId="3E332D9C" w14:textId="77777777" w:rsidR="006F605B" w:rsidRPr="00DC66CD" w:rsidRDefault="006F605B" w:rsidP="00FC1D63">
            <w:pPr>
              <w:snapToGrid w:val="0"/>
              <w:spacing w:after="0" w:line="240" w:lineRule="auto"/>
              <w:jc w:val="center"/>
              <w:rPr>
                <w:rFonts w:ascii="Garamond" w:hAnsi="Garamond"/>
                <w:sz w:val="20"/>
                <w:szCs w:val="20"/>
              </w:rPr>
            </w:pPr>
            <w:r w:rsidRPr="00DC66CD">
              <w:rPr>
                <w:rFonts w:ascii="Garamond" w:eastAsia="Times New Roman" w:hAnsi="Garamond"/>
                <w:bCs/>
                <w:sz w:val="20"/>
                <w:szCs w:val="20"/>
              </w:rPr>
              <w:t>+1000 referuar nivelit bazë</w:t>
            </w:r>
          </w:p>
        </w:tc>
      </w:tr>
      <w:tr w:rsidR="006F605B" w:rsidRPr="00DC66CD" w14:paraId="2C4BDF3E" w14:textId="77777777" w:rsidTr="004F4E33">
        <w:trPr>
          <w:jc w:val="center"/>
        </w:trPr>
        <w:tc>
          <w:tcPr>
            <w:tcW w:w="4248" w:type="dxa"/>
          </w:tcPr>
          <w:p w14:paraId="08B4811F" w14:textId="67DDF3A0" w:rsidR="006F605B" w:rsidRPr="00DC66CD" w:rsidRDefault="006F605B" w:rsidP="002E3F1C">
            <w:pPr>
              <w:snapToGrid w:val="0"/>
              <w:spacing w:after="0" w:line="240" w:lineRule="auto"/>
              <w:rPr>
                <w:rFonts w:ascii="Garamond" w:hAnsi="Garamond"/>
                <w:sz w:val="20"/>
                <w:szCs w:val="20"/>
              </w:rPr>
            </w:pPr>
            <w:r w:rsidRPr="00DC66CD">
              <w:rPr>
                <w:rFonts w:ascii="Garamond" w:hAnsi="Garamond"/>
                <w:sz w:val="20"/>
                <w:szCs w:val="20"/>
              </w:rPr>
              <w:t xml:space="preserve">Numri i mësuesve ndihmës për fëmijët me aftësi </w:t>
            </w:r>
            <w:r w:rsidR="00FC1D63" w:rsidRPr="00DC66CD">
              <w:rPr>
                <w:rFonts w:ascii="Garamond" w:hAnsi="Garamond"/>
                <w:sz w:val="20"/>
                <w:szCs w:val="20"/>
              </w:rPr>
              <w:t>të kufizuara në shkollat publike</w:t>
            </w:r>
          </w:p>
        </w:tc>
        <w:tc>
          <w:tcPr>
            <w:tcW w:w="1791" w:type="dxa"/>
          </w:tcPr>
          <w:p w14:paraId="0FCA2987" w14:textId="77777777" w:rsidR="006F605B" w:rsidRPr="00DC66CD" w:rsidRDefault="006F605B" w:rsidP="00FC1D63">
            <w:pPr>
              <w:snapToGrid w:val="0"/>
              <w:spacing w:after="0" w:line="240" w:lineRule="auto"/>
              <w:jc w:val="center"/>
              <w:rPr>
                <w:rFonts w:ascii="Garamond" w:hAnsi="Garamond"/>
                <w:sz w:val="20"/>
                <w:szCs w:val="20"/>
              </w:rPr>
            </w:pPr>
            <w:r w:rsidRPr="00DC66CD">
              <w:rPr>
                <w:rFonts w:ascii="Garamond" w:eastAsia="Times New Roman" w:hAnsi="Garamond"/>
                <w:bCs/>
                <w:sz w:val="20"/>
                <w:szCs w:val="20"/>
              </w:rPr>
              <w:t>944</w:t>
            </w:r>
          </w:p>
        </w:tc>
        <w:tc>
          <w:tcPr>
            <w:tcW w:w="1791" w:type="dxa"/>
          </w:tcPr>
          <w:p w14:paraId="59A7DA69" w14:textId="77777777" w:rsidR="006F605B" w:rsidRPr="00DC66CD" w:rsidRDefault="006F605B" w:rsidP="00FC1D63">
            <w:pPr>
              <w:snapToGrid w:val="0"/>
              <w:spacing w:after="0" w:line="240" w:lineRule="auto"/>
              <w:jc w:val="center"/>
              <w:rPr>
                <w:rFonts w:ascii="Garamond" w:hAnsi="Garamond"/>
                <w:sz w:val="20"/>
                <w:szCs w:val="20"/>
              </w:rPr>
            </w:pPr>
            <w:r w:rsidRPr="00DC66CD">
              <w:rPr>
                <w:rFonts w:ascii="Garamond" w:eastAsia="Times New Roman" w:hAnsi="Garamond"/>
                <w:bCs/>
                <w:sz w:val="20"/>
                <w:szCs w:val="20"/>
              </w:rPr>
              <w:t>1000</w:t>
            </w:r>
          </w:p>
        </w:tc>
        <w:tc>
          <w:tcPr>
            <w:tcW w:w="1792" w:type="dxa"/>
          </w:tcPr>
          <w:p w14:paraId="1772DB18" w14:textId="77777777" w:rsidR="006F605B" w:rsidRPr="00DC66CD" w:rsidRDefault="006F605B" w:rsidP="00FC1D63">
            <w:pPr>
              <w:snapToGrid w:val="0"/>
              <w:spacing w:after="0" w:line="240" w:lineRule="auto"/>
              <w:jc w:val="center"/>
              <w:rPr>
                <w:rFonts w:ascii="Garamond" w:hAnsi="Garamond"/>
                <w:sz w:val="20"/>
                <w:szCs w:val="20"/>
              </w:rPr>
            </w:pPr>
            <w:r w:rsidRPr="00DC66CD">
              <w:rPr>
                <w:rFonts w:ascii="Garamond" w:eastAsia="Times New Roman" w:hAnsi="Garamond"/>
                <w:bCs/>
                <w:sz w:val="20"/>
                <w:szCs w:val="20"/>
              </w:rPr>
              <w:t>1100</w:t>
            </w:r>
          </w:p>
        </w:tc>
      </w:tr>
      <w:tr w:rsidR="006F605B" w:rsidRPr="00DC66CD" w14:paraId="79128ADB" w14:textId="77777777" w:rsidTr="004F4E33">
        <w:trPr>
          <w:jc w:val="center"/>
        </w:trPr>
        <w:tc>
          <w:tcPr>
            <w:tcW w:w="4248" w:type="dxa"/>
          </w:tcPr>
          <w:p w14:paraId="75C017D9" w14:textId="51C46EBB" w:rsidR="006F605B" w:rsidRPr="00DC66CD" w:rsidRDefault="006F605B" w:rsidP="002E3F1C">
            <w:pPr>
              <w:snapToGrid w:val="0"/>
              <w:spacing w:after="0" w:line="240" w:lineRule="auto"/>
              <w:rPr>
                <w:rFonts w:ascii="Garamond" w:hAnsi="Garamond"/>
                <w:sz w:val="20"/>
                <w:szCs w:val="20"/>
              </w:rPr>
            </w:pPr>
            <w:r w:rsidRPr="00DC66CD">
              <w:rPr>
                <w:rFonts w:ascii="Garamond" w:hAnsi="Garamond"/>
                <w:sz w:val="20"/>
                <w:szCs w:val="20"/>
              </w:rPr>
              <w:t xml:space="preserve">Fëmijët me aftësi të kufizuara të integruar në shkollat publike </w:t>
            </w:r>
            <w:r w:rsidR="00772573" w:rsidRPr="00DC66CD">
              <w:rPr>
                <w:rFonts w:ascii="Garamond" w:hAnsi="Garamond"/>
                <w:sz w:val="20"/>
                <w:szCs w:val="20"/>
              </w:rPr>
              <w:t>jo</w:t>
            </w:r>
            <w:r w:rsidRPr="00DC66CD">
              <w:rPr>
                <w:rFonts w:ascii="Garamond" w:hAnsi="Garamond"/>
                <w:sz w:val="20"/>
                <w:szCs w:val="20"/>
              </w:rPr>
              <w:t xml:space="preserve">speciale në raport me totalin e nxënësve me aftësi të kufizuara që ndjekin arsimim. </w:t>
            </w:r>
          </w:p>
        </w:tc>
        <w:tc>
          <w:tcPr>
            <w:tcW w:w="1791" w:type="dxa"/>
          </w:tcPr>
          <w:p w14:paraId="655FE73A" w14:textId="322D62CF" w:rsidR="006F605B" w:rsidRPr="00DC66CD" w:rsidRDefault="00FC1D63" w:rsidP="00FC1D63">
            <w:pPr>
              <w:snapToGrid w:val="0"/>
              <w:spacing w:after="0" w:line="240" w:lineRule="auto"/>
              <w:jc w:val="center"/>
              <w:rPr>
                <w:rFonts w:ascii="Garamond" w:hAnsi="Garamond"/>
                <w:sz w:val="20"/>
                <w:szCs w:val="20"/>
              </w:rPr>
            </w:pPr>
            <w:r w:rsidRPr="00DC66CD">
              <w:rPr>
                <w:rFonts w:ascii="Garamond" w:hAnsi="Garamond"/>
                <w:sz w:val="20"/>
                <w:szCs w:val="20"/>
              </w:rPr>
              <w:t>2019</w:t>
            </w:r>
          </w:p>
          <w:p w14:paraId="2B367E9A" w14:textId="32A64369" w:rsidR="006F605B" w:rsidRPr="00DC66CD" w:rsidRDefault="00FC1D63" w:rsidP="00FC1D63">
            <w:pPr>
              <w:snapToGrid w:val="0"/>
              <w:spacing w:after="0" w:line="240" w:lineRule="auto"/>
              <w:jc w:val="center"/>
              <w:rPr>
                <w:rFonts w:ascii="Garamond" w:hAnsi="Garamond"/>
                <w:sz w:val="20"/>
                <w:szCs w:val="20"/>
              </w:rPr>
            </w:pPr>
            <w:r w:rsidRPr="00DC66CD">
              <w:rPr>
                <w:rFonts w:ascii="Garamond" w:hAnsi="Garamond"/>
                <w:sz w:val="20"/>
                <w:szCs w:val="20"/>
              </w:rPr>
              <w:t>85%</w:t>
            </w:r>
          </w:p>
        </w:tc>
        <w:tc>
          <w:tcPr>
            <w:tcW w:w="1791" w:type="dxa"/>
          </w:tcPr>
          <w:p w14:paraId="64A3AE50" w14:textId="7FC420F1" w:rsidR="006F605B" w:rsidRPr="00DC66CD" w:rsidRDefault="00FC1D63" w:rsidP="00FC1D63">
            <w:pPr>
              <w:snapToGrid w:val="0"/>
              <w:spacing w:after="0" w:line="240" w:lineRule="auto"/>
              <w:jc w:val="center"/>
              <w:rPr>
                <w:rFonts w:ascii="Garamond" w:eastAsia="Times New Roman" w:hAnsi="Garamond"/>
                <w:bCs/>
                <w:sz w:val="20"/>
                <w:szCs w:val="20"/>
              </w:rPr>
            </w:pPr>
            <w:r w:rsidRPr="00DC66CD">
              <w:rPr>
                <w:rFonts w:ascii="Garamond" w:eastAsia="Times New Roman" w:hAnsi="Garamond"/>
                <w:bCs/>
                <w:sz w:val="20"/>
                <w:szCs w:val="20"/>
              </w:rPr>
              <w:t>2020</w:t>
            </w:r>
          </w:p>
          <w:p w14:paraId="76632121" w14:textId="77777777" w:rsidR="006F605B" w:rsidRPr="00DC66CD" w:rsidRDefault="006F605B" w:rsidP="00FC1D63">
            <w:pPr>
              <w:snapToGrid w:val="0"/>
              <w:spacing w:after="0" w:line="240" w:lineRule="auto"/>
              <w:jc w:val="center"/>
              <w:rPr>
                <w:rFonts w:ascii="Garamond" w:hAnsi="Garamond"/>
                <w:sz w:val="20"/>
                <w:szCs w:val="20"/>
              </w:rPr>
            </w:pPr>
            <w:r w:rsidRPr="00DC66CD">
              <w:rPr>
                <w:rFonts w:ascii="Garamond" w:eastAsia="Times New Roman" w:hAnsi="Garamond"/>
                <w:bCs/>
                <w:sz w:val="20"/>
                <w:szCs w:val="20"/>
              </w:rPr>
              <w:t>86%</w:t>
            </w:r>
          </w:p>
        </w:tc>
        <w:tc>
          <w:tcPr>
            <w:tcW w:w="1792" w:type="dxa"/>
          </w:tcPr>
          <w:p w14:paraId="53FAE8AC" w14:textId="4398DF1A" w:rsidR="006F605B" w:rsidRPr="00DC66CD" w:rsidRDefault="00FC1D63" w:rsidP="00FC1D63">
            <w:pPr>
              <w:snapToGrid w:val="0"/>
              <w:spacing w:after="0" w:line="240" w:lineRule="auto"/>
              <w:jc w:val="center"/>
              <w:rPr>
                <w:rFonts w:ascii="Garamond" w:eastAsia="Times New Roman" w:hAnsi="Garamond"/>
                <w:bCs/>
                <w:sz w:val="20"/>
                <w:szCs w:val="20"/>
              </w:rPr>
            </w:pPr>
            <w:r w:rsidRPr="00DC66CD">
              <w:rPr>
                <w:rFonts w:ascii="Garamond" w:eastAsia="Times New Roman" w:hAnsi="Garamond"/>
                <w:bCs/>
                <w:sz w:val="20"/>
                <w:szCs w:val="20"/>
              </w:rPr>
              <w:t>2021</w:t>
            </w:r>
          </w:p>
          <w:p w14:paraId="5BBCE7B9" w14:textId="77777777" w:rsidR="006F605B" w:rsidRPr="00DC66CD" w:rsidRDefault="006F605B" w:rsidP="00FC1D63">
            <w:pPr>
              <w:snapToGrid w:val="0"/>
              <w:spacing w:after="0" w:line="240" w:lineRule="auto"/>
              <w:jc w:val="center"/>
              <w:rPr>
                <w:rFonts w:ascii="Garamond" w:hAnsi="Garamond"/>
                <w:sz w:val="20"/>
                <w:szCs w:val="20"/>
              </w:rPr>
            </w:pPr>
            <w:r w:rsidRPr="00DC66CD">
              <w:rPr>
                <w:rFonts w:ascii="Garamond" w:eastAsia="Times New Roman" w:hAnsi="Garamond"/>
                <w:bCs/>
                <w:sz w:val="20"/>
                <w:szCs w:val="20"/>
              </w:rPr>
              <w:t>87%</w:t>
            </w:r>
          </w:p>
        </w:tc>
      </w:tr>
    </w:tbl>
    <w:p w14:paraId="5765EDEA" w14:textId="77777777" w:rsidR="006F605B" w:rsidRPr="00DC66CD" w:rsidRDefault="006F605B" w:rsidP="006F605B">
      <w:pPr>
        <w:snapToGrid w:val="0"/>
        <w:spacing w:after="0" w:line="240" w:lineRule="auto"/>
        <w:ind w:firstLine="284"/>
        <w:rPr>
          <w:rFonts w:ascii="Garamond" w:hAnsi="Garamond"/>
          <w:sz w:val="24"/>
          <w:szCs w:val="24"/>
        </w:rPr>
      </w:pPr>
    </w:p>
    <w:p w14:paraId="7C651BAC" w14:textId="1235E702" w:rsidR="006F605B" w:rsidRPr="00DC66CD" w:rsidRDefault="002E3F1C" w:rsidP="002E3F1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Ndikimi i pritshëm në konkurrueshmëri</w:t>
      </w:r>
    </w:p>
    <w:p w14:paraId="4DE38461" w14:textId="200D14A9"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Në terma afatgjatë, sigurimi i mundësive për arsimim më të mirë për fëmijët që janë në klasa kolektive dhe për ata me aftësi të kufizuara, u rrit mundësinë për të arritur aftësitë e nevojshme për t</w:t>
      </w:r>
      <w:r w:rsidR="002C582E" w:rsidRPr="00DC66CD">
        <w:rPr>
          <w:rFonts w:ascii="Garamond" w:hAnsi="Garamond"/>
          <w:sz w:val="24"/>
          <w:szCs w:val="24"/>
        </w:rPr>
        <w:t>’</w:t>
      </w:r>
      <w:r w:rsidRPr="00DC66CD">
        <w:rPr>
          <w:rFonts w:ascii="Garamond" w:hAnsi="Garamond"/>
          <w:sz w:val="24"/>
          <w:szCs w:val="24"/>
        </w:rPr>
        <w:t>u përfshirë në tregun e punës dhe për të jetuar një jetë të pavarur si të rritur.</w:t>
      </w:r>
    </w:p>
    <w:p w14:paraId="1FCE7752" w14:textId="40127B64" w:rsidR="006F605B" w:rsidRPr="00DC66CD" w:rsidRDefault="002E3F1C" w:rsidP="002E3F1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Kosto</w:t>
      </w:r>
      <w:r w:rsidR="00D5627A"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4EC44933"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5491"/>
        <w:gridCol w:w="1530"/>
        <w:gridCol w:w="1270"/>
      </w:tblGrid>
      <w:tr w:rsidR="006F605B" w:rsidRPr="00DC66CD" w14:paraId="4ED50CD0" w14:textId="77777777" w:rsidTr="004F4E33">
        <w:trPr>
          <w:trHeight w:val="330"/>
        </w:trPr>
        <w:tc>
          <w:tcPr>
            <w:tcW w:w="979" w:type="dxa"/>
            <w:vAlign w:val="center"/>
            <w:hideMark/>
          </w:tcPr>
          <w:p w14:paraId="5B38FD25" w14:textId="77777777" w:rsidR="006F605B" w:rsidRPr="00DC66CD" w:rsidRDefault="006F605B" w:rsidP="004F4E33">
            <w:pPr>
              <w:spacing w:after="0" w:line="240" w:lineRule="auto"/>
              <w:jc w:val="center"/>
              <w:rPr>
                <w:rFonts w:ascii="Garamond" w:hAnsi="Garamond" w:cs="Times New Roman"/>
                <w:b/>
                <w:bCs/>
                <w:sz w:val="20"/>
                <w:szCs w:val="20"/>
              </w:rPr>
            </w:pPr>
            <w:r w:rsidRPr="00DC66CD">
              <w:rPr>
                <w:rFonts w:ascii="Garamond" w:hAnsi="Garamond" w:cs="Times New Roman"/>
                <w:b/>
                <w:bCs/>
                <w:sz w:val="20"/>
                <w:szCs w:val="20"/>
              </w:rPr>
              <w:t>Viti</w:t>
            </w:r>
          </w:p>
        </w:tc>
        <w:tc>
          <w:tcPr>
            <w:tcW w:w="5491" w:type="dxa"/>
            <w:vAlign w:val="center"/>
            <w:hideMark/>
          </w:tcPr>
          <w:p w14:paraId="3454698E" w14:textId="77777777" w:rsidR="006F605B" w:rsidRPr="00DC66CD" w:rsidRDefault="006F605B" w:rsidP="004F4E33">
            <w:pPr>
              <w:spacing w:after="0" w:line="240" w:lineRule="auto"/>
              <w:jc w:val="center"/>
              <w:rPr>
                <w:rFonts w:ascii="Garamond" w:hAnsi="Garamond" w:cs="Times New Roman"/>
                <w:b/>
                <w:bCs/>
                <w:sz w:val="20"/>
                <w:szCs w:val="20"/>
              </w:rPr>
            </w:pPr>
            <w:r w:rsidRPr="00DC66CD">
              <w:rPr>
                <w:rFonts w:ascii="Garamond" w:hAnsi="Garamond" w:cs="Times New Roman"/>
                <w:b/>
                <w:bCs/>
                <w:sz w:val="20"/>
                <w:szCs w:val="20"/>
              </w:rPr>
              <w:t>Aktiviteti</w:t>
            </w:r>
          </w:p>
        </w:tc>
        <w:tc>
          <w:tcPr>
            <w:tcW w:w="1530" w:type="dxa"/>
            <w:vAlign w:val="center"/>
            <w:hideMark/>
          </w:tcPr>
          <w:p w14:paraId="256242C1" w14:textId="77777777" w:rsidR="006F605B" w:rsidRPr="00DC66CD" w:rsidRDefault="006F605B" w:rsidP="004F4E33">
            <w:pPr>
              <w:spacing w:after="0" w:line="240" w:lineRule="auto"/>
              <w:jc w:val="center"/>
              <w:rPr>
                <w:rFonts w:ascii="Garamond" w:hAnsi="Garamond" w:cs="Times New Roman"/>
                <w:b/>
                <w:bCs/>
                <w:sz w:val="20"/>
                <w:szCs w:val="20"/>
              </w:rPr>
            </w:pPr>
            <w:r w:rsidRPr="00DC66CD">
              <w:rPr>
                <w:rFonts w:ascii="Garamond" w:hAnsi="Garamond" w:cs="Times New Roman"/>
                <w:b/>
                <w:bCs/>
                <w:sz w:val="20"/>
                <w:szCs w:val="20"/>
              </w:rPr>
              <w:t>Kostoja e vlerësuar</w:t>
            </w:r>
          </w:p>
        </w:tc>
        <w:tc>
          <w:tcPr>
            <w:tcW w:w="1270" w:type="dxa"/>
            <w:vAlign w:val="center"/>
            <w:hideMark/>
          </w:tcPr>
          <w:p w14:paraId="45A7BB9B" w14:textId="77777777" w:rsidR="006F605B" w:rsidRPr="00DC66CD" w:rsidRDefault="006F605B" w:rsidP="004F4E33">
            <w:pPr>
              <w:spacing w:after="0" w:line="240" w:lineRule="auto"/>
              <w:jc w:val="center"/>
              <w:rPr>
                <w:rFonts w:ascii="Garamond" w:hAnsi="Garamond" w:cs="Times New Roman"/>
                <w:b/>
                <w:bCs/>
                <w:sz w:val="20"/>
                <w:szCs w:val="20"/>
              </w:rPr>
            </w:pPr>
            <w:r w:rsidRPr="00DC66CD">
              <w:rPr>
                <w:rFonts w:ascii="Garamond" w:hAnsi="Garamond" w:cs="Times New Roman"/>
                <w:b/>
                <w:bCs/>
                <w:sz w:val="20"/>
                <w:szCs w:val="20"/>
              </w:rPr>
              <w:t>Burimi i financimit</w:t>
            </w:r>
          </w:p>
        </w:tc>
      </w:tr>
      <w:tr w:rsidR="006F605B" w:rsidRPr="00DC66CD" w14:paraId="0F4CB153" w14:textId="77777777" w:rsidTr="002E3F1C">
        <w:trPr>
          <w:trHeight w:val="315"/>
        </w:trPr>
        <w:tc>
          <w:tcPr>
            <w:tcW w:w="6470" w:type="dxa"/>
            <w:gridSpan w:val="2"/>
            <w:hideMark/>
          </w:tcPr>
          <w:p w14:paraId="5E5969CB" w14:textId="20148937" w:rsidR="006F605B" w:rsidRPr="00DC66CD" w:rsidRDefault="006F605B" w:rsidP="00310FDE">
            <w:pPr>
              <w:spacing w:after="0" w:line="240" w:lineRule="auto"/>
              <w:jc w:val="center"/>
              <w:rPr>
                <w:rFonts w:ascii="Garamond" w:hAnsi="Garamond" w:cs="Times New Roman"/>
                <w:i/>
                <w:sz w:val="20"/>
                <w:szCs w:val="20"/>
              </w:rPr>
            </w:pPr>
            <w:r w:rsidRPr="00DC66CD">
              <w:rPr>
                <w:rFonts w:ascii="Garamond" w:hAnsi="Garamond" w:cs="Times New Roman"/>
                <w:i/>
                <w:sz w:val="20"/>
                <w:szCs w:val="20"/>
              </w:rPr>
              <w:t>Mësues ndihmës për fëmijët me aftësi të kufizuar</w:t>
            </w:r>
            <w:r w:rsidR="00D5627A" w:rsidRPr="00DC66CD">
              <w:rPr>
                <w:rFonts w:ascii="Garamond" w:hAnsi="Garamond" w:cs="Times New Roman"/>
                <w:i/>
                <w:sz w:val="20"/>
                <w:szCs w:val="20"/>
              </w:rPr>
              <w:t>a</w:t>
            </w:r>
            <w:r w:rsidRPr="00DC66CD">
              <w:rPr>
                <w:rFonts w:ascii="Garamond" w:hAnsi="Garamond" w:cs="Times New Roman"/>
                <w:i/>
                <w:sz w:val="20"/>
                <w:szCs w:val="20"/>
              </w:rPr>
              <w:t xml:space="preserve"> në shkollat kryesore është 6.8 milion</w:t>
            </w:r>
            <w:r w:rsidR="00310FDE" w:rsidRPr="00DC66CD">
              <w:rPr>
                <w:rFonts w:ascii="Garamond" w:hAnsi="Garamond" w:cs="Times New Roman"/>
                <w:i/>
                <w:sz w:val="20"/>
                <w:szCs w:val="20"/>
              </w:rPr>
              <w:t>ë</w:t>
            </w:r>
            <w:r w:rsidRPr="00DC66CD">
              <w:rPr>
                <w:rFonts w:ascii="Garamond" w:hAnsi="Garamond" w:cs="Times New Roman"/>
                <w:i/>
                <w:sz w:val="20"/>
                <w:szCs w:val="20"/>
              </w:rPr>
              <w:t xml:space="preserve"> </w:t>
            </w:r>
            <w:r w:rsidR="00310FDE" w:rsidRPr="00DC66CD">
              <w:rPr>
                <w:rFonts w:ascii="Garamond" w:hAnsi="Garamond" w:cs="Times New Roman"/>
                <w:i/>
                <w:sz w:val="20"/>
                <w:szCs w:val="20"/>
              </w:rPr>
              <w:t>e</w:t>
            </w:r>
            <w:r w:rsidRPr="00DC66CD">
              <w:rPr>
                <w:rFonts w:ascii="Garamond" w:hAnsi="Garamond" w:cs="Times New Roman"/>
                <w:i/>
                <w:sz w:val="20"/>
                <w:szCs w:val="20"/>
              </w:rPr>
              <w:t>uro</w:t>
            </w:r>
          </w:p>
        </w:tc>
        <w:tc>
          <w:tcPr>
            <w:tcW w:w="1530" w:type="dxa"/>
            <w:noWrap/>
            <w:hideMark/>
          </w:tcPr>
          <w:p w14:paraId="273C6F9B" w14:textId="04EF87B0" w:rsidR="006F605B" w:rsidRPr="00DC66CD" w:rsidRDefault="006F605B" w:rsidP="00310FDE">
            <w:pPr>
              <w:spacing w:after="0" w:line="240" w:lineRule="auto"/>
              <w:jc w:val="center"/>
              <w:rPr>
                <w:rFonts w:ascii="Garamond" w:hAnsi="Garamond" w:cs="Times New Roman"/>
                <w:i/>
                <w:sz w:val="20"/>
                <w:szCs w:val="20"/>
              </w:rPr>
            </w:pPr>
            <w:r w:rsidRPr="00DC66CD">
              <w:rPr>
                <w:rFonts w:ascii="Garamond" w:hAnsi="Garamond" w:cs="Times New Roman"/>
                <w:i/>
                <w:sz w:val="20"/>
                <w:szCs w:val="20"/>
              </w:rPr>
              <w:t>6.8 milion</w:t>
            </w:r>
            <w:r w:rsidR="00310FDE" w:rsidRPr="00DC66CD">
              <w:rPr>
                <w:rFonts w:ascii="Garamond" w:hAnsi="Garamond" w:cs="Times New Roman"/>
                <w:i/>
                <w:sz w:val="20"/>
                <w:szCs w:val="20"/>
              </w:rPr>
              <w:t>ë</w:t>
            </w:r>
            <w:r w:rsidRPr="00DC66CD">
              <w:rPr>
                <w:rFonts w:ascii="Garamond" w:hAnsi="Garamond" w:cs="Times New Roman"/>
                <w:i/>
                <w:sz w:val="20"/>
                <w:szCs w:val="20"/>
              </w:rPr>
              <w:t xml:space="preserve"> </w:t>
            </w:r>
            <w:r w:rsidR="00310FDE" w:rsidRPr="00DC66CD">
              <w:rPr>
                <w:rFonts w:ascii="Garamond" w:hAnsi="Garamond" w:cs="Times New Roman"/>
                <w:i/>
                <w:sz w:val="20"/>
                <w:szCs w:val="20"/>
              </w:rPr>
              <w:t>e</w:t>
            </w:r>
            <w:r w:rsidRPr="00DC66CD">
              <w:rPr>
                <w:rFonts w:ascii="Garamond" w:hAnsi="Garamond" w:cs="Times New Roman"/>
                <w:i/>
                <w:sz w:val="20"/>
                <w:szCs w:val="20"/>
              </w:rPr>
              <w:t>uro</w:t>
            </w:r>
          </w:p>
        </w:tc>
        <w:tc>
          <w:tcPr>
            <w:tcW w:w="1270" w:type="dxa"/>
            <w:noWrap/>
            <w:hideMark/>
          </w:tcPr>
          <w:p w14:paraId="54926580" w14:textId="77777777" w:rsidR="006F605B" w:rsidRPr="00DC66CD" w:rsidRDefault="006F605B" w:rsidP="002E3F1C">
            <w:pPr>
              <w:spacing w:after="0" w:line="240" w:lineRule="auto"/>
              <w:jc w:val="center"/>
              <w:rPr>
                <w:rFonts w:ascii="Garamond" w:hAnsi="Garamond" w:cs="Times New Roman"/>
                <w:i/>
                <w:sz w:val="20"/>
                <w:szCs w:val="20"/>
              </w:rPr>
            </w:pPr>
            <w:r w:rsidRPr="00DC66CD">
              <w:rPr>
                <w:rFonts w:ascii="Garamond" w:hAnsi="Garamond" w:cs="Times New Roman"/>
                <w:i/>
                <w:sz w:val="20"/>
                <w:szCs w:val="20"/>
              </w:rPr>
              <w:t>Buxheti i shtetit</w:t>
            </w:r>
          </w:p>
        </w:tc>
      </w:tr>
      <w:tr w:rsidR="006F605B" w:rsidRPr="00DC66CD" w14:paraId="2CE3778F" w14:textId="77777777" w:rsidTr="002E3F1C">
        <w:trPr>
          <w:trHeight w:val="556"/>
        </w:trPr>
        <w:tc>
          <w:tcPr>
            <w:tcW w:w="979" w:type="dxa"/>
            <w:vMerge w:val="restart"/>
            <w:hideMark/>
          </w:tcPr>
          <w:p w14:paraId="0C3B7E1E" w14:textId="77777777" w:rsidR="006F605B" w:rsidRPr="00DC66CD" w:rsidRDefault="006F605B" w:rsidP="002E3F1C">
            <w:pPr>
              <w:spacing w:after="0" w:line="240" w:lineRule="auto"/>
              <w:jc w:val="center"/>
              <w:rPr>
                <w:rFonts w:ascii="Garamond" w:hAnsi="Garamond" w:cs="Times New Roman"/>
                <w:bCs/>
                <w:sz w:val="20"/>
                <w:szCs w:val="20"/>
              </w:rPr>
            </w:pPr>
            <w:r w:rsidRPr="00DC66CD">
              <w:rPr>
                <w:rFonts w:ascii="Garamond" w:hAnsi="Garamond" w:cs="Times New Roman"/>
                <w:bCs/>
                <w:sz w:val="20"/>
                <w:szCs w:val="20"/>
              </w:rPr>
              <w:t>2020</w:t>
            </w:r>
          </w:p>
        </w:tc>
        <w:tc>
          <w:tcPr>
            <w:tcW w:w="5491" w:type="dxa"/>
            <w:hideMark/>
          </w:tcPr>
          <w:p w14:paraId="61620AE1" w14:textId="4EE0CD4F" w:rsidR="006F605B" w:rsidRPr="00DC66CD" w:rsidRDefault="006F605B" w:rsidP="002E3F1C">
            <w:pPr>
              <w:spacing w:after="0" w:line="240" w:lineRule="auto"/>
              <w:rPr>
                <w:rFonts w:ascii="Garamond" w:hAnsi="Garamond" w:cs="Times New Roman"/>
                <w:sz w:val="20"/>
                <w:szCs w:val="20"/>
              </w:rPr>
            </w:pPr>
            <w:r w:rsidRPr="00DC66CD">
              <w:rPr>
                <w:rFonts w:ascii="Garamond" w:hAnsi="Garamond" w:cs="Times New Roman"/>
                <w:sz w:val="20"/>
                <w:szCs w:val="20"/>
              </w:rPr>
              <w:t>1000 mësues ndihmës për fëmijët me aftësi të kufizuar</w:t>
            </w:r>
            <w:r w:rsidR="00D5627A" w:rsidRPr="00DC66CD">
              <w:rPr>
                <w:rFonts w:ascii="Garamond" w:hAnsi="Garamond" w:cs="Times New Roman"/>
                <w:sz w:val="20"/>
                <w:szCs w:val="20"/>
              </w:rPr>
              <w:t>a</w:t>
            </w:r>
            <w:r w:rsidRPr="00DC66CD">
              <w:rPr>
                <w:rFonts w:ascii="Garamond" w:hAnsi="Garamond" w:cs="Times New Roman"/>
                <w:sz w:val="20"/>
                <w:szCs w:val="20"/>
              </w:rPr>
              <w:t xml:space="preserve"> në shkollat publike</w:t>
            </w:r>
          </w:p>
        </w:tc>
        <w:tc>
          <w:tcPr>
            <w:tcW w:w="1530" w:type="dxa"/>
            <w:hideMark/>
          </w:tcPr>
          <w:p w14:paraId="09484C9B" w14:textId="77777777" w:rsidR="006F605B" w:rsidRPr="00DC66CD" w:rsidRDefault="006F605B" w:rsidP="00D5627A">
            <w:pPr>
              <w:spacing w:after="0" w:line="240" w:lineRule="auto"/>
              <w:jc w:val="right"/>
              <w:rPr>
                <w:rFonts w:ascii="Garamond" w:hAnsi="Garamond" w:cs="Times New Roman"/>
                <w:sz w:val="20"/>
                <w:szCs w:val="20"/>
              </w:rPr>
            </w:pPr>
            <w:r w:rsidRPr="00DC66CD">
              <w:rPr>
                <w:rFonts w:ascii="Garamond" w:hAnsi="Garamond" w:cs="Times New Roman"/>
                <w:sz w:val="20"/>
                <w:szCs w:val="20"/>
              </w:rPr>
              <w:t>46 800 000 ALL</w:t>
            </w:r>
          </w:p>
        </w:tc>
        <w:tc>
          <w:tcPr>
            <w:tcW w:w="1270" w:type="dxa"/>
            <w:hideMark/>
          </w:tcPr>
          <w:p w14:paraId="35AF9B3E" w14:textId="77777777" w:rsidR="006F605B" w:rsidRPr="00DC66CD" w:rsidRDefault="006F605B" w:rsidP="002E3F1C">
            <w:pPr>
              <w:spacing w:after="0" w:line="240" w:lineRule="auto"/>
              <w:jc w:val="center"/>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513AB0DD" w14:textId="77777777" w:rsidTr="002E3F1C">
        <w:trPr>
          <w:trHeight w:val="405"/>
        </w:trPr>
        <w:tc>
          <w:tcPr>
            <w:tcW w:w="979" w:type="dxa"/>
            <w:vMerge/>
            <w:hideMark/>
          </w:tcPr>
          <w:p w14:paraId="2D6E8137" w14:textId="77777777" w:rsidR="006F605B" w:rsidRPr="00DC66CD" w:rsidRDefault="006F605B" w:rsidP="002E3F1C">
            <w:pPr>
              <w:spacing w:after="0" w:line="240" w:lineRule="auto"/>
              <w:jc w:val="center"/>
              <w:rPr>
                <w:rFonts w:ascii="Garamond" w:hAnsi="Garamond" w:cs="Times New Roman"/>
                <w:bCs/>
                <w:sz w:val="20"/>
                <w:szCs w:val="20"/>
              </w:rPr>
            </w:pPr>
          </w:p>
        </w:tc>
        <w:tc>
          <w:tcPr>
            <w:tcW w:w="5491" w:type="dxa"/>
            <w:hideMark/>
          </w:tcPr>
          <w:p w14:paraId="035FF3C6" w14:textId="77777777" w:rsidR="006F605B" w:rsidRPr="00DC66CD" w:rsidRDefault="006F605B" w:rsidP="002E3F1C">
            <w:pPr>
              <w:spacing w:after="0" w:line="240" w:lineRule="auto"/>
              <w:rPr>
                <w:rFonts w:ascii="Garamond" w:hAnsi="Garamond" w:cs="Times New Roman"/>
                <w:sz w:val="20"/>
                <w:szCs w:val="20"/>
              </w:rPr>
            </w:pPr>
            <w:r w:rsidRPr="00DC66CD">
              <w:rPr>
                <w:rFonts w:ascii="Garamond" w:hAnsi="Garamond" w:cs="Times New Roman"/>
                <w:sz w:val="20"/>
                <w:szCs w:val="20"/>
              </w:rPr>
              <w:t>Trajnimi i 1000 mësuesve ndihmës në të gjithë vendin</w:t>
            </w:r>
          </w:p>
        </w:tc>
        <w:tc>
          <w:tcPr>
            <w:tcW w:w="1530" w:type="dxa"/>
            <w:hideMark/>
          </w:tcPr>
          <w:p w14:paraId="1317AFC6" w14:textId="32F9AFE8" w:rsidR="006F605B" w:rsidRPr="00DC66CD" w:rsidRDefault="006F605B" w:rsidP="00D5627A">
            <w:pPr>
              <w:spacing w:after="0" w:line="240" w:lineRule="auto"/>
              <w:jc w:val="right"/>
              <w:rPr>
                <w:rFonts w:ascii="Garamond" w:hAnsi="Garamond" w:cs="Times New Roman"/>
                <w:sz w:val="20"/>
                <w:szCs w:val="20"/>
              </w:rPr>
            </w:pPr>
            <w:r w:rsidRPr="00DC66CD">
              <w:rPr>
                <w:rFonts w:ascii="Garamond" w:hAnsi="Garamond" w:cs="Times New Roman"/>
                <w:sz w:val="20"/>
                <w:szCs w:val="20"/>
              </w:rPr>
              <w:t xml:space="preserve">27 000 </w:t>
            </w:r>
            <w:r w:rsidR="00310FDE" w:rsidRPr="00DC66CD">
              <w:rPr>
                <w:rFonts w:ascii="Garamond" w:hAnsi="Garamond" w:cs="Times New Roman"/>
                <w:sz w:val="20"/>
                <w:szCs w:val="20"/>
              </w:rPr>
              <w:t>e</w:t>
            </w:r>
            <w:r w:rsidRPr="00DC66CD">
              <w:rPr>
                <w:rFonts w:ascii="Garamond" w:hAnsi="Garamond" w:cs="Times New Roman"/>
                <w:sz w:val="20"/>
                <w:szCs w:val="20"/>
              </w:rPr>
              <w:t>uro</w:t>
            </w:r>
          </w:p>
        </w:tc>
        <w:tc>
          <w:tcPr>
            <w:tcW w:w="1270" w:type="dxa"/>
            <w:hideMark/>
          </w:tcPr>
          <w:p w14:paraId="0EBF054A" w14:textId="77777777" w:rsidR="006F605B" w:rsidRPr="00DC66CD" w:rsidRDefault="006F605B" w:rsidP="002E3F1C">
            <w:pPr>
              <w:spacing w:after="0" w:line="240" w:lineRule="auto"/>
              <w:jc w:val="center"/>
              <w:rPr>
                <w:rFonts w:ascii="Garamond" w:hAnsi="Garamond" w:cs="Times New Roman"/>
                <w:sz w:val="20"/>
                <w:szCs w:val="20"/>
              </w:rPr>
            </w:pPr>
          </w:p>
        </w:tc>
      </w:tr>
      <w:tr w:rsidR="006F605B" w:rsidRPr="00DC66CD" w14:paraId="39E25B53" w14:textId="77777777" w:rsidTr="002E3F1C">
        <w:trPr>
          <w:trHeight w:val="508"/>
        </w:trPr>
        <w:tc>
          <w:tcPr>
            <w:tcW w:w="979" w:type="dxa"/>
            <w:vMerge w:val="restart"/>
            <w:hideMark/>
          </w:tcPr>
          <w:p w14:paraId="539FE4FA" w14:textId="77777777" w:rsidR="006F605B" w:rsidRPr="00DC66CD" w:rsidRDefault="006F605B" w:rsidP="002E3F1C">
            <w:pPr>
              <w:spacing w:after="0" w:line="240" w:lineRule="auto"/>
              <w:jc w:val="center"/>
              <w:rPr>
                <w:rFonts w:ascii="Garamond" w:hAnsi="Garamond" w:cs="Times New Roman"/>
                <w:bCs/>
                <w:sz w:val="20"/>
                <w:szCs w:val="20"/>
              </w:rPr>
            </w:pPr>
            <w:r w:rsidRPr="00DC66CD">
              <w:rPr>
                <w:rFonts w:ascii="Garamond" w:hAnsi="Garamond" w:cs="Times New Roman"/>
                <w:bCs/>
                <w:sz w:val="20"/>
                <w:szCs w:val="20"/>
              </w:rPr>
              <w:t>2021</w:t>
            </w:r>
          </w:p>
        </w:tc>
        <w:tc>
          <w:tcPr>
            <w:tcW w:w="5491" w:type="dxa"/>
            <w:hideMark/>
          </w:tcPr>
          <w:p w14:paraId="38202ABB" w14:textId="213130BC" w:rsidR="006F605B" w:rsidRPr="00DC66CD" w:rsidRDefault="006F605B" w:rsidP="002E3F1C">
            <w:pPr>
              <w:spacing w:after="0" w:line="240" w:lineRule="auto"/>
              <w:rPr>
                <w:rFonts w:ascii="Garamond" w:hAnsi="Garamond" w:cs="Times New Roman"/>
                <w:sz w:val="20"/>
                <w:szCs w:val="20"/>
              </w:rPr>
            </w:pPr>
            <w:r w:rsidRPr="00DC66CD">
              <w:rPr>
                <w:rFonts w:ascii="Garamond" w:hAnsi="Garamond" w:cs="Times New Roman"/>
                <w:sz w:val="20"/>
                <w:szCs w:val="20"/>
              </w:rPr>
              <w:t>1050 mësues ndihmës për fëmijët me aftësi të kufizuar</w:t>
            </w:r>
            <w:r w:rsidR="00D5627A" w:rsidRPr="00DC66CD">
              <w:rPr>
                <w:rFonts w:ascii="Garamond" w:hAnsi="Garamond" w:cs="Times New Roman"/>
                <w:sz w:val="20"/>
                <w:szCs w:val="20"/>
              </w:rPr>
              <w:t>a</w:t>
            </w:r>
            <w:r w:rsidRPr="00DC66CD">
              <w:rPr>
                <w:rFonts w:ascii="Garamond" w:hAnsi="Garamond" w:cs="Times New Roman"/>
                <w:sz w:val="20"/>
                <w:szCs w:val="20"/>
              </w:rPr>
              <w:t xml:space="preserve"> në shkollat publike </w:t>
            </w:r>
          </w:p>
        </w:tc>
        <w:tc>
          <w:tcPr>
            <w:tcW w:w="1530" w:type="dxa"/>
            <w:hideMark/>
          </w:tcPr>
          <w:p w14:paraId="45140E97" w14:textId="77777777" w:rsidR="006F605B" w:rsidRPr="00DC66CD" w:rsidRDefault="006F605B" w:rsidP="00D5627A">
            <w:pPr>
              <w:spacing w:after="0" w:line="240" w:lineRule="auto"/>
              <w:jc w:val="right"/>
              <w:rPr>
                <w:rFonts w:ascii="Garamond" w:hAnsi="Garamond" w:cs="Times New Roman"/>
                <w:sz w:val="20"/>
                <w:szCs w:val="20"/>
              </w:rPr>
            </w:pPr>
            <w:r w:rsidRPr="00DC66CD">
              <w:rPr>
                <w:rFonts w:ascii="Garamond" w:hAnsi="Garamond" w:cs="Times New Roman"/>
                <w:sz w:val="20"/>
                <w:szCs w:val="20"/>
              </w:rPr>
              <w:t>49 140 00 ALL</w:t>
            </w:r>
          </w:p>
        </w:tc>
        <w:tc>
          <w:tcPr>
            <w:tcW w:w="1270" w:type="dxa"/>
            <w:hideMark/>
          </w:tcPr>
          <w:p w14:paraId="2D809BB6" w14:textId="77777777" w:rsidR="006F605B" w:rsidRPr="00DC66CD" w:rsidRDefault="006F605B" w:rsidP="002E3F1C">
            <w:pPr>
              <w:spacing w:after="0" w:line="240" w:lineRule="auto"/>
              <w:jc w:val="center"/>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44562069" w14:textId="77777777" w:rsidTr="002E3F1C">
        <w:trPr>
          <w:trHeight w:val="339"/>
        </w:trPr>
        <w:tc>
          <w:tcPr>
            <w:tcW w:w="979" w:type="dxa"/>
            <w:vMerge/>
            <w:hideMark/>
          </w:tcPr>
          <w:p w14:paraId="3BD6608F" w14:textId="77777777" w:rsidR="006F605B" w:rsidRPr="00DC66CD" w:rsidRDefault="006F605B" w:rsidP="002E3F1C">
            <w:pPr>
              <w:spacing w:after="0" w:line="240" w:lineRule="auto"/>
              <w:jc w:val="center"/>
              <w:rPr>
                <w:rFonts w:ascii="Garamond" w:hAnsi="Garamond" w:cs="Times New Roman"/>
                <w:bCs/>
                <w:sz w:val="20"/>
                <w:szCs w:val="20"/>
              </w:rPr>
            </w:pPr>
          </w:p>
        </w:tc>
        <w:tc>
          <w:tcPr>
            <w:tcW w:w="5491" w:type="dxa"/>
            <w:hideMark/>
          </w:tcPr>
          <w:p w14:paraId="2A432CE3" w14:textId="1E19747D" w:rsidR="006F605B" w:rsidRPr="00DC66CD" w:rsidRDefault="006F605B" w:rsidP="002E3F1C">
            <w:pPr>
              <w:spacing w:after="0" w:line="240" w:lineRule="auto"/>
              <w:rPr>
                <w:rFonts w:ascii="Garamond" w:hAnsi="Garamond" w:cs="Times New Roman"/>
                <w:sz w:val="20"/>
                <w:szCs w:val="20"/>
              </w:rPr>
            </w:pPr>
            <w:r w:rsidRPr="00DC66CD">
              <w:rPr>
                <w:rFonts w:ascii="Garamond" w:hAnsi="Garamond" w:cs="Times New Roman"/>
                <w:sz w:val="20"/>
                <w:szCs w:val="20"/>
              </w:rPr>
              <w:t>Trajnim të 1050 mësues ndihmës në të gjithë vendin</w:t>
            </w:r>
            <w:r w:rsidR="0072211B" w:rsidRPr="00DC66CD">
              <w:rPr>
                <w:rFonts w:ascii="Garamond" w:hAnsi="Garamond" w:cs="Times New Roman"/>
                <w:sz w:val="20"/>
                <w:szCs w:val="20"/>
              </w:rPr>
              <w:t xml:space="preserve"> </w:t>
            </w:r>
          </w:p>
        </w:tc>
        <w:tc>
          <w:tcPr>
            <w:tcW w:w="1530" w:type="dxa"/>
            <w:hideMark/>
          </w:tcPr>
          <w:p w14:paraId="6E1DB942" w14:textId="7A48C158" w:rsidR="006F605B" w:rsidRPr="00DC66CD" w:rsidRDefault="006F605B" w:rsidP="00D5627A">
            <w:pPr>
              <w:spacing w:after="0" w:line="240" w:lineRule="auto"/>
              <w:jc w:val="right"/>
              <w:rPr>
                <w:rFonts w:ascii="Garamond" w:hAnsi="Garamond" w:cs="Times New Roman"/>
                <w:sz w:val="20"/>
                <w:szCs w:val="20"/>
              </w:rPr>
            </w:pPr>
            <w:r w:rsidRPr="00DC66CD">
              <w:rPr>
                <w:rFonts w:ascii="Garamond" w:hAnsi="Garamond" w:cs="Times New Roman"/>
                <w:sz w:val="20"/>
                <w:szCs w:val="20"/>
              </w:rPr>
              <w:t xml:space="preserve">27 000 </w:t>
            </w:r>
            <w:r w:rsidR="00310FDE" w:rsidRPr="00DC66CD">
              <w:rPr>
                <w:rFonts w:ascii="Garamond" w:hAnsi="Garamond" w:cs="Times New Roman"/>
                <w:sz w:val="20"/>
                <w:szCs w:val="20"/>
              </w:rPr>
              <w:t>e</w:t>
            </w:r>
            <w:r w:rsidRPr="00DC66CD">
              <w:rPr>
                <w:rFonts w:ascii="Garamond" w:hAnsi="Garamond" w:cs="Times New Roman"/>
                <w:sz w:val="20"/>
                <w:szCs w:val="20"/>
              </w:rPr>
              <w:t>uro</w:t>
            </w:r>
          </w:p>
        </w:tc>
        <w:tc>
          <w:tcPr>
            <w:tcW w:w="1270" w:type="dxa"/>
            <w:hideMark/>
          </w:tcPr>
          <w:p w14:paraId="05590D0B" w14:textId="77777777" w:rsidR="006F605B" w:rsidRPr="00DC66CD" w:rsidRDefault="006F605B" w:rsidP="002E3F1C">
            <w:pPr>
              <w:spacing w:after="0" w:line="240" w:lineRule="auto"/>
              <w:jc w:val="center"/>
              <w:rPr>
                <w:rFonts w:ascii="Garamond" w:hAnsi="Garamond" w:cs="Times New Roman"/>
                <w:sz w:val="20"/>
                <w:szCs w:val="20"/>
              </w:rPr>
            </w:pPr>
          </w:p>
        </w:tc>
      </w:tr>
      <w:tr w:rsidR="006F605B" w:rsidRPr="00DC66CD" w14:paraId="3826879F" w14:textId="77777777" w:rsidTr="002E3F1C">
        <w:trPr>
          <w:trHeight w:val="499"/>
        </w:trPr>
        <w:tc>
          <w:tcPr>
            <w:tcW w:w="979" w:type="dxa"/>
            <w:vMerge/>
            <w:hideMark/>
          </w:tcPr>
          <w:p w14:paraId="37262593" w14:textId="77777777" w:rsidR="006F605B" w:rsidRPr="00DC66CD" w:rsidRDefault="006F605B" w:rsidP="002E3F1C">
            <w:pPr>
              <w:spacing w:after="0" w:line="240" w:lineRule="auto"/>
              <w:jc w:val="center"/>
              <w:rPr>
                <w:rFonts w:ascii="Garamond" w:hAnsi="Garamond" w:cs="Times New Roman"/>
                <w:bCs/>
                <w:sz w:val="20"/>
                <w:szCs w:val="20"/>
              </w:rPr>
            </w:pPr>
          </w:p>
        </w:tc>
        <w:tc>
          <w:tcPr>
            <w:tcW w:w="5491" w:type="dxa"/>
            <w:hideMark/>
          </w:tcPr>
          <w:p w14:paraId="4D7C528A" w14:textId="3B76C1BB" w:rsidR="006F605B" w:rsidRPr="00DC66CD" w:rsidRDefault="006F605B" w:rsidP="00D5627A">
            <w:pPr>
              <w:spacing w:after="0" w:line="240" w:lineRule="auto"/>
              <w:rPr>
                <w:rFonts w:ascii="Garamond" w:hAnsi="Garamond" w:cs="Times New Roman"/>
                <w:sz w:val="20"/>
                <w:szCs w:val="20"/>
              </w:rPr>
            </w:pPr>
            <w:r w:rsidRPr="00DC66CD">
              <w:rPr>
                <w:rFonts w:ascii="Garamond" w:hAnsi="Garamond" w:cs="Times New Roman"/>
                <w:sz w:val="20"/>
                <w:szCs w:val="20"/>
              </w:rPr>
              <w:t>Di</w:t>
            </w:r>
            <w:r w:rsidR="00D5627A" w:rsidRPr="00DC66CD">
              <w:rPr>
                <w:rFonts w:ascii="Garamond" w:hAnsi="Garamond" w:cs="Times New Roman"/>
                <w:sz w:val="20"/>
                <w:szCs w:val="20"/>
              </w:rPr>
              <w:t>s</w:t>
            </w:r>
            <w:r w:rsidRPr="00DC66CD">
              <w:rPr>
                <w:rFonts w:ascii="Garamond" w:hAnsi="Garamond" w:cs="Times New Roman"/>
                <w:sz w:val="20"/>
                <w:szCs w:val="20"/>
              </w:rPr>
              <w:t>enjimi i materialeve burimore (manuale, module, instrumente etj.)</w:t>
            </w:r>
          </w:p>
        </w:tc>
        <w:tc>
          <w:tcPr>
            <w:tcW w:w="1530" w:type="dxa"/>
            <w:hideMark/>
          </w:tcPr>
          <w:p w14:paraId="357765AE" w14:textId="0E67AD57" w:rsidR="006F605B" w:rsidRPr="00DC66CD" w:rsidRDefault="006F605B" w:rsidP="00D5627A">
            <w:pPr>
              <w:spacing w:after="0" w:line="240" w:lineRule="auto"/>
              <w:jc w:val="right"/>
              <w:rPr>
                <w:rFonts w:ascii="Garamond" w:hAnsi="Garamond" w:cs="Times New Roman"/>
                <w:sz w:val="20"/>
                <w:szCs w:val="20"/>
              </w:rPr>
            </w:pPr>
            <w:r w:rsidRPr="00DC66CD">
              <w:rPr>
                <w:rFonts w:ascii="Garamond" w:hAnsi="Garamond" w:cs="Times New Roman"/>
                <w:sz w:val="20"/>
                <w:szCs w:val="20"/>
              </w:rPr>
              <w:t xml:space="preserve">12 000 </w:t>
            </w:r>
            <w:r w:rsidR="00310FDE" w:rsidRPr="00DC66CD">
              <w:rPr>
                <w:rFonts w:ascii="Garamond" w:hAnsi="Garamond" w:cs="Times New Roman"/>
                <w:sz w:val="20"/>
                <w:szCs w:val="20"/>
              </w:rPr>
              <w:t>e</w:t>
            </w:r>
            <w:r w:rsidRPr="00DC66CD">
              <w:rPr>
                <w:rFonts w:ascii="Garamond" w:hAnsi="Garamond" w:cs="Times New Roman"/>
                <w:sz w:val="20"/>
                <w:szCs w:val="20"/>
              </w:rPr>
              <w:t>uro</w:t>
            </w:r>
          </w:p>
        </w:tc>
        <w:tc>
          <w:tcPr>
            <w:tcW w:w="1270" w:type="dxa"/>
            <w:hideMark/>
          </w:tcPr>
          <w:p w14:paraId="40848D1E" w14:textId="77777777" w:rsidR="006F605B" w:rsidRPr="00DC66CD" w:rsidRDefault="006F605B" w:rsidP="002E3F1C">
            <w:pPr>
              <w:spacing w:after="0" w:line="240" w:lineRule="auto"/>
              <w:jc w:val="center"/>
              <w:rPr>
                <w:rFonts w:ascii="Garamond" w:hAnsi="Garamond" w:cs="Times New Roman"/>
                <w:sz w:val="20"/>
                <w:szCs w:val="20"/>
              </w:rPr>
            </w:pPr>
          </w:p>
        </w:tc>
      </w:tr>
      <w:tr w:rsidR="006F605B" w:rsidRPr="00DC66CD" w14:paraId="09A0649D" w14:textId="77777777" w:rsidTr="002E3F1C">
        <w:trPr>
          <w:trHeight w:val="548"/>
        </w:trPr>
        <w:tc>
          <w:tcPr>
            <w:tcW w:w="979" w:type="dxa"/>
            <w:vMerge w:val="restart"/>
            <w:hideMark/>
          </w:tcPr>
          <w:p w14:paraId="392DC2CB" w14:textId="77777777" w:rsidR="006F605B" w:rsidRPr="00DC66CD" w:rsidRDefault="006F605B" w:rsidP="002E3F1C">
            <w:pPr>
              <w:spacing w:after="0" w:line="240" w:lineRule="auto"/>
              <w:jc w:val="center"/>
              <w:rPr>
                <w:rFonts w:ascii="Garamond" w:hAnsi="Garamond" w:cs="Times New Roman"/>
                <w:bCs/>
                <w:sz w:val="20"/>
                <w:szCs w:val="20"/>
              </w:rPr>
            </w:pPr>
            <w:r w:rsidRPr="00DC66CD">
              <w:rPr>
                <w:rFonts w:ascii="Garamond" w:hAnsi="Garamond" w:cs="Times New Roman"/>
                <w:bCs/>
                <w:sz w:val="20"/>
                <w:szCs w:val="20"/>
              </w:rPr>
              <w:t>2022</w:t>
            </w:r>
          </w:p>
        </w:tc>
        <w:tc>
          <w:tcPr>
            <w:tcW w:w="5491" w:type="dxa"/>
            <w:hideMark/>
          </w:tcPr>
          <w:p w14:paraId="2B96AC08" w14:textId="55F2EED6" w:rsidR="006F605B" w:rsidRPr="00DC66CD" w:rsidRDefault="006F605B" w:rsidP="002E3F1C">
            <w:pPr>
              <w:spacing w:after="0" w:line="240" w:lineRule="auto"/>
              <w:rPr>
                <w:rFonts w:ascii="Garamond" w:hAnsi="Garamond" w:cs="Times New Roman"/>
                <w:sz w:val="20"/>
                <w:szCs w:val="20"/>
              </w:rPr>
            </w:pPr>
            <w:r w:rsidRPr="00DC66CD">
              <w:rPr>
                <w:rFonts w:ascii="Garamond" w:hAnsi="Garamond" w:cs="Times New Roman"/>
                <w:sz w:val="20"/>
                <w:szCs w:val="20"/>
              </w:rPr>
              <w:t>1100 mësues ndihmës për fëmijët me aftësi të kufizuar</w:t>
            </w:r>
            <w:r w:rsidR="00D5627A" w:rsidRPr="00DC66CD">
              <w:rPr>
                <w:rFonts w:ascii="Garamond" w:hAnsi="Garamond" w:cs="Times New Roman"/>
                <w:sz w:val="20"/>
                <w:szCs w:val="20"/>
              </w:rPr>
              <w:t>a</w:t>
            </w:r>
            <w:r w:rsidRPr="00DC66CD">
              <w:rPr>
                <w:rFonts w:ascii="Garamond" w:hAnsi="Garamond" w:cs="Times New Roman"/>
                <w:sz w:val="20"/>
                <w:szCs w:val="20"/>
              </w:rPr>
              <w:t xml:space="preserve"> në shkollat</w:t>
            </w:r>
            <w:r w:rsidR="0072211B" w:rsidRPr="00DC66CD">
              <w:rPr>
                <w:rFonts w:ascii="Garamond" w:hAnsi="Garamond" w:cs="Times New Roman"/>
                <w:sz w:val="20"/>
                <w:szCs w:val="20"/>
              </w:rPr>
              <w:t xml:space="preserve"> </w:t>
            </w:r>
            <w:r w:rsidRPr="00DC66CD">
              <w:rPr>
                <w:rFonts w:ascii="Garamond" w:hAnsi="Garamond" w:cs="Times New Roman"/>
                <w:sz w:val="20"/>
                <w:szCs w:val="20"/>
              </w:rPr>
              <w:t>publike.</w:t>
            </w:r>
          </w:p>
        </w:tc>
        <w:tc>
          <w:tcPr>
            <w:tcW w:w="1530" w:type="dxa"/>
            <w:hideMark/>
          </w:tcPr>
          <w:p w14:paraId="4E5270EB" w14:textId="77777777" w:rsidR="006F605B" w:rsidRPr="00DC66CD" w:rsidRDefault="006F605B" w:rsidP="00D5627A">
            <w:pPr>
              <w:spacing w:after="0" w:line="240" w:lineRule="auto"/>
              <w:jc w:val="right"/>
              <w:rPr>
                <w:rFonts w:ascii="Garamond" w:hAnsi="Garamond" w:cs="Times New Roman"/>
                <w:sz w:val="20"/>
                <w:szCs w:val="20"/>
              </w:rPr>
            </w:pPr>
            <w:r w:rsidRPr="00DC66CD">
              <w:rPr>
                <w:rFonts w:ascii="Garamond" w:hAnsi="Garamond" w:cs="Times New Roman"/>
                <w:sz w:val="20"/>
                <w:szCs w:val="20"/>
              </w:rPr>
              <w:t>51 480 000 ALL</w:t>
            </w:r>
          </w:p>
        </w:tc>
        <w:tc>
          <w:tcPr>
            <w:tcW w:w="1270" w:type="dxa"/>
            <w:hideMark/>
          </w:tcPr>
          <w:p w14:paraId="4BC2C22F" w14:textId="77777777" w:rsidR="006F605B" w:rsidRPr="00DC66CD" w:rsidRDefault="006F605B" w:rsidP="002E3F1C">
            <w:pPr>
              <w:spacing w:after="0" w:line="240" w:lineRule="auto"/>
              <w:jc w:val="center"/>
              <w:rPr>
                <w:rFonts w:ascii="Garamond" w:hAnsi="Garamond" w:cs="Times New Roman"/>
                <w:sz w:val="20"/>
                <w:szCs w:val="20"/>
              </w:rPr>
            </w:pPr>
            <w:r w:rsidRPr="00DC66CD">
              <w:rPr>
                <w:rFonts w:ascii="Garamond" w:hAnsi="Garamond" w:cs="Times New Roman"/>
                <w:sz w:val="20"/>
                <w:szCs w:val="20"/>
              </w:rPr>
              <w:t>Buxheti i shtetit</w:t>
            </w:r>
          </w:p>
        </w:tc>
      </w:tr>
      <w:tr w:rsidR="006F605B" w:rsidRPr="00DC66CD" w14:paraId="77EF8899" w14:textId="77777777" w:rsidTr="002E3F1C">
        <w:trPr>
          <w:trHeight w:val="417"/>
        </w:trPr>
        <w:tc>
          <w:tcPr>
            <w:tcW w:w="979" w:type="dxa"/>
            <w:vMerge/>
            <w:hideMark/>
          </w:tcPr>
          <w:p w14:paraId="69407ED9" w14:textId="77777777" w:rsidR="006F605B" w:rsidRPr="00DC66CD" w:rsidRDefault="006F605B" w:rsidP="002E3F1C">
            <w:pPr>
              <w:spacing w:after="0" w:line="240" w:lineRule="auto"/>
              <w:rPr>
                <w:rFonts w:ascii="Garamond" w:hAnsi="Garamond" w:cs="Times New Roman"/>
                <w:bCs/>
                <w:sz w:val="20"/>
                <w:szCs w:val="20"/>
              </w:rPr>
            </w:pPr>
          </w:p>
        </w:tc>
        <w:tc>
          <w:tcPr>
            <w:tcW w:w="5491" w:type="dxa"/>
            <w:hideMark/>
          </w:tcPr>
          <w:p w14:paraId="6A4F444A" w14:textId="77777777" w:rsidR="006F605B" w:rsidRPr="00DC66CD" w:rsidRDefault="006F605B" w:rsidP="002E3F1C">
            <w:pPr>
              <w:spacing w:after="0" w:line="240" w:lineRule="auto"/>
              <w:rPr>
                <w:rFonts w:ascii="Garamond" w:hAnsi="Garamond" w:cs="Times New Roman"/>
                <w:sz w:val="20"/>
                <w:szCs w:val="20"/>
              </w:rPr>
            </w:pPr>
            <w:r w:rsidRPr="00DC66CD">
              <w:rPr>
                <w:rFonts w:ascii="Garamond" w:hAnsi="Garamond" w:cs="Times New Roman"/>
                <w:sz w:val="20"/>
                <w:szCs w:val="20"/>
              </w:rPr>
              <w:t>Trajnim të 1100 mësuesve ndihmës në të gjithë vendin</w:t>
            </w:r>
          </w:p>
        </w:tc>
        <w:tc>
          <w:tcPr>
            <w:tcW w:w="1530" w:type="dxa"/>
            <w:hideMark/>
          </w:tcPr>
          <w:p w14:paraId="7DFBB594" w14:textId="3277D6B9" w:rsidR="006F605B" w:rsidRPr="00DC66CD" w:rsidRDefault="006F605B" w:rsidP="00D5627A">
            <w:pPr>
              <w:spacing w:after="0" w:line="240" w:lineRule="auto"/>
              <w:jc w:val="right"/>
              <w:rPr>
                <w:rFonts w:ascii="Garamond" w:hAnsi="Garamond" w:cs="Times New Roman"/>
                <w:sz w:val="20"/>
                <w:szCs w:val="20"/>
              </w:rPr>
            </w:pPr>
            <w:r w:rsidRPr="00DC66CD">
              <w:rPr>
                <w:rFonts w:ascii="Garamond" w:hAnsi="Garamond" w:cs="Times New Roman"/>
                <w:sz w:val="20"/>
                <w:szCs w:val="20"/>
              </w:rPr>
              <w:t xml:space="preserve">29 000 </w:t>
            </w:r>
            <w:r w:rsidR="00310FDE" w:rsidRPr="00DC66CD">
              <w:rPr>
                <w:rFonts w:ascii="Garamond" w:hAnsi="Garamond" w:cs="Times New Roman"/>
                <w:sz w:val="20"/>
                <w:szCs w:val="20"/>
              </w:rPr>
              <w:t>e</w:t>
            </w:r>
            <w:r w:rsidRPr="00DC66CD">
              <w:rPr>
                <w:rFonts w:ascii="Garamond" w:hAnsi="Garamond" w:cs="Times New Roman"/>
                <w:sz w:val="20"/>
                <w:szCs w:val="20"/>
              </w:rPr>
              <w:t>uro</w:t>
            </w:r>
          </w:p>
        </w:tc>
        <w:tc>
          <w:tcPr>
            <w:tcW w:w="1270" w:type="dxa"/>
            <w:hideMark/>
          </w:tcPr>
          <w:p w14:paraId="3C71E1C8" w14:textId="77777777" w:rsidR="006F605B" w:rsidRPr="00DC66CD" w:rsidRDefault="006F605B" w:rsidP="002E3F1C">
            <w:pPr>
              <w:spacing w:after="0" w:line="240" w:lineRule="auto"/>
              <w:jc w:val="center"/>
              <w:rPr>
                <w:rFonts w:ascii="Garamond" w:hAnsi="Garamond" w:cs="Times New Roman"/>
                <w:sz w:val="20"/>
                <w:szCs w:val="20"/>
              </w:rPr>
            </w:pPr>
          </w:p>
        </w:tc>
      </w:tr>
      <w:tr w:rsidR="006F605B" w:rsidRPr="00DC66CD" w14:paraId="1CAFA698" w14:textId="77777777" w:rsidTr="002E3F1C">
        <w:trPr>
          <w:trHeight w:val="511"/>
        </w:trPr>
        <w:tc>
          <w:tcPr>
            <w:tcW w:w="979" w:type="dxa"/>
            <w:vMerge/>
            <w:hideMark/>
          </w:tcPr>
          <w:p w14:paraId="3B5858B5" w14:textId="77777777" w:rsidR="006F605B" w:rsidRPr="00DC66CD" w:rsidRDefault="006F605B" w:rsidP="002E3F1C">
            <w:pPr>
              <w:spacing w:after="0" w:line="240" w:lineRule="auto"/>
              <w:rPr>
                <w:rFonts w:ascii="Garamond" w:hAnsi="Garamond" w:cs="Times New Roman"/>
                <w:bCs/>
                <w:sz w:val="20"/>
                <w:szCs w:val="20"/>
              </w:rPr>
            </w:pPr>
          </w:p>
        </w:tc>
        <w:tc>
          <w:tcPr>
            <w:tcW w:w="5491" w:type="dxa"/>
            <w:hideMark/>
          </w:tcPr>
          <w:p w14:paraId="474FECCC" w14:textId="77777777" w:rsidR="006F605B" w:rsidRPr="00DC66CD" w:rsidRDefault="006F605B" w:rsidP="002E3F1C">
            <w:pPr>
              <w:spacing w:after="0" w:line="240" w:lineRule="auto"/>
              <w:rPr>
                <w:rFonts w:ascii="Garamond" w:hAnsi="Garamond" w:cs="Times New Roman"/>
                <w:sz w:val="20"/>
                <w:szCs w:val="20"/>
              </w:rPr>
            </w:pPr>
            <w:r w:rsidRPr="00DC66CD">
              <w:rPr>
                <w:rFonts w:ascii="Garamond" w:hAnsi="Garamond" w:cs="Times New Roman"/>
                <w:sz w:val="20"/>
                <w:szCs w:val="20"/>
              </w:rPr>
              <w:t>Përmirësim i materialeve burimore (manuale, module, instrumente etj.)</w:t>
            </w:r>
          </w:p>
        </w:tc>
        <w:tc>
          <w:tcPr>
            <w:tcW w:w="1530" w:type="dxa"/>
            <w:hideMark/>
          </w:tcPr>
          <w:p w14:paraId="603C2E2A" w14:textId="6085A614" w:rsidR="006F605B" w:rsidRPr="00DC66CD" w:rsidRDefault="00D5627A" w:rsidP="00D5627A">
            <w:pPr>
              <w:jc w:val="right"/>
              <w:rPr>
                <w:rFonts w:ascii="Garamond" w:hAnsi="Garamond"/>
                <w:sz w:val="20"/>
                <w:szCs w:val="20"/>
              </w:rPr>
            </w:pPr>
            <w:r w:rsidRPr="00DC66CD">
              <w:rPr>
                <w:rFonts w:ascii="Garamond" w:hAnsi="Garamond"/>
                <w:sz w:val="20"/>
                <w:szCs w:val="20"/>
              </w:rPr>
              <w:t>20 0</w:t>
            </w:r>
            <w:r w:rsidR="00310FDE" w:rsidRPr="00DC66CD">
              <w:rPr>
                <w:rFonts w:ascii="Garamond" w:hAnsi="Garamond"/>
                <w:sz w:val="20"/>
                <w:szCs w:val="20"/>
              </w:rPr>
              <w:t>00 e</w:t>
            </w:r>
            <w:r w:rsidR="006F605B" w:rsidRPr="00DC66CD">
              <w:rPr>
                <w:rFonts w:ascii="Garamond" w:hAnsi="Garamond"/>
                <w:sz w:val="20"/>
                <w:szCs w:val="20"/>
              </w:rPr>
              <w:t>uro</w:t>
            </w:r>
          </w:p>
        </w:tc>
        <w:tc>
          <w:tcPr>
            <w:tcW w:w="1270" w:type="dxa"/>
            <w:hideMark/>
          </w:tcPr>
          <w:p w14:paraId="7FC3FC36" w14:textId="77777777" w:rsidR="006F605B" w:rsidRPr="00DC66CD" w:rsidRDefault="006F605B" w:rsidP="002E3F1C">
            <w:pPr>
              <w:spacing w:after="0" w:line="240" w:lineRule="auto"/>
              <w:jc w:val="center"/>
              <w:rPr>
                <w:rFonts w:ascii="Garamond" w:hAnsi="Garamond" w:cs="Times New Roman"/>
                <w:sz w:val="20"/>
                <w:szCs w:val="20"/>
              </w:rPr>
            </w:pPr>
          </w:p>
        </w:tc>
      </w:tr>
    </w:tbl>
    <w:p w14:paraId="1996DC2E" w14:textId="77777777" w:rsidR="006F605B" w:rsidRPr="00DC66CD" w:rsidRDefault="006F605B" w:rsidP="006F605B">
      <w:pPr>
        <w:snapToGrid w:val="0"/>
        <w:spacing w:after="0" w:line="240" w:lineRule="auto"/>
        <w:ind w:firstLine="284"/>
        <w:rPr>
          <w:rFonts w:ascii="Garamond" w:hAnsi="Garamond"/>
          <w:sz w:val="24"/>
          <w:szCs w:val="24"/>
        </w:rPr>
      </w:pPr>
    </w:p>
    <w:p w14:paraId="4B8984B6" w14:textId="3D3A7150" w:rsidR="006F605B" w:rsidRPr="00DC66CD" w:rsidRDefault="002E3F1C" w:rsidP="002E3F1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6. </w:t>
      </w:r>
      <w:r w:rsidR="006F605B" w:rsidRPr="00DC66CD">
        <w:rPr>
          <w:rFonts w:ascii="Garamond" w:hAnsi="Garamond"/>
          <w:color w:val="auto"/>
          <w:sz w:val="24"/>
          <w:szCs w:val="24"/>
        </w:rPr>
        <w:t>Ndikimi i pritshëm në rezultatet sociale, si</w:t>
      </w:r>
      <w:r w:rsidR="00586C1C" w:rsidRPr="00DC66CD">
        <w:rPr>
          <w:rFonts w:ascii="Garamond" w:hAnsi="Garamond"/>
          <w:color w:val="auto"/>
          <w:sz w:val="24"/>
          <w:szCs w:val="24"/>
        </w:rPr>
        <w:t>:</w:t>
      </w:r>
      <w:r w:rsidR="006F605B" w:rsidRPr="00DC66CD">
        <w:rPr>
          <w:rFonts w:ascii="Garamond" w:hAnsi="Garamond"/>
          <w:color w:val="auto"/>
          <w:sz w:val="24"/>
          <w:szCs w:val="24"/>
        </w:rPr>
        <w:t xml:space="preserve"> punësimi, ulja e varfërisë, barazia dhe gjinia</w:t>
      </w:r>
    </w:p>
    <w:p w14:paraId="75B51633"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Përfshirje më e mirë, mundësi më të mira për fëmijët. Punësimi i mësuesve ndihmës. Barazia gjinore do të respektohet gjatë zbatimit të masës së reformës.</w:t>
      </w:r>
    </w:p>
    <w:p w14:paraId="09C881F6" w14:textId="26C920A6" w:rsidR="006F605B" w:rsidRPr="00DC66CD" w:rsidRDefault="002E3F1C" w:rsidP="002E3F1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7. </w:t>
      </w:r>
      <w:r w:rsidR="006F605B" w:rsidRPr="00DC66CD">
        <w:rPr>
          <w:rFonts w:ascii="Garamond" w:hAnsi="Garamond"/>
          <w:color w:val="auto"/>
          <w:sz w:val="24"/>
          <w:szCs w:val="24"/>
        </w:rPr>
        <w:t>Ndikimi i pritshëm në mjedis</w:t>
      </w:r>
    </w:p>
    <w:p w14:paraId="6C2E6D77"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eastAsia="Arial Narrow" w:hAnsi="Garamond"/>
          <w:sz w:val="24"/>
          <w:szCs w:val="24"/>
        </w:rPr>
        <w:t>Masa ka efekt neutral për sa i përket ndikimit në mjedis.</w:t>
      </w:r>
    </w:p>
    <w:p w14:paraId="51736FAD" w14:textId="15E07E9A" w:rsidR="006F605B" w:rsidRPr="00DC66CD" w:rsidRDefault="002E3F1C" w:rsidP="00310FDE">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8. </w:t>
      </w:r>
      <w:r w:rsidR="006F605B" w:rsidRPr="00DC66CD">
        <w:rPr>
          <w:rFonts w:ascii="Garamond" w:hAnsi="Garamond"/>
          <w:color w:val="auto"/>
          <w:sz w:val="24"/>
          <w:szCs w:val="24"/>
        </w:rPr>
        <w:t>Rreziqet e mundshme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1542"/>
        <w:gridCol w:w="4067"/>
      </w:tblGrid>
      <w:tr w:rsidR="006F605B" w:rsidRPr="00DC66CD" w14:paraId="62BCBA6A" w14:textId="77777777" w:rsidTr="004F4E33">
        <w:trPr>
          <w:jc w:val="center"/>
        </w:trPr>
        <w:tc>
          <w:tcPr>
            <w:tcW w:w="3823" w:type="dxa"/>
            <w:vAlign w:val="center"/>
          </w:tcPr>
          <w:p w14:paraId="54901916"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1559" w:type="dxa"/>
            <w:vAlign w:val="center"/>
          </w:tcPr>
          <w:p w14:paraId="0619EC72" w14:textId="77777777" w:rsidR="00586C1C"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p>
          <w:p w14:paraId="371F47A5" w14:textId="2B9097D9" w:rsidR="006F605B" w:rsidRPr="00DC66CD" w:rsidRDefault="00F85068" w:rsidP="004F4E33">
            <w:pPr>
              <w:snapToGrid w:val="0"/>
              <w:spacing w:after="0" w:line="240" w:lineRule="auto"/>
              <w:jc w:val="center"/>
              <w:rPr>
                <w:rFonts w:ascii="Garamond" w:hAnsi="Garamond"/>
                <w:b/>
                <w:sz w:val="20"/>
                <w:szCs w:val="20"/>
              </w:rPr>
            </w:pPr>
            <w:r w:rsidRPr="00DC66CD">
              <w:rPr>
                <w:rFonts w:ascii="Garamond" w:hAnsi="Garamond"/>
                <w:b/>
                <w:sz w:val="20"/>
                <w:szCs w:val="20"/>
              </w:rPr>
              <w:t>(i ulët, i lartë)</w:t>
            </w:r>
          </w:p>
        </w:tc>
        <w:tc>
          <w:tcPr>
            <w:tcW w:w="4240" w:type="dxa"/>
            <w:vAlign w:val="center"/>
          </w:tcPr>
          <w:p w14:paraId="460C58F0"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7137F132" w14:textId="77777777" w:rsidTr="004F4E33">
        <w:trPr>
          <w:jc w:val="center"/>
        </w:trPr>
        <w:tc>
          <w:tcPr>
            <w:tcW w:w="3823" w:type="dxa"/>
          </w:tcPr>
          <w:p w14:paraId="7D485C6E" w14:textId="1347B352" w:rsidR="006F605B" w:rsidRPr="00DC66CD" w:rsidRDefault="006F605B" w:rsidP="002E3F1C">
            <w:pPr>
              <w:snapToGrid w:val="0"/>
              <w:spacing w:after="0" w:line="240" w:lineRule="auto"/>
              <w:rPr>
                <w:rFonts w:ascii="Garamond" w:hAnsi="Garamond"/>
                <w:sz w:val="20"/>
                <w:szCs w:val="20"/>
              </w:rPr>
            </w:pPr>
            <w:r w:rsidRPr="00DC66CD">
              <w:rPr>
                <w:rFonts w:ascii="Garamond" w:hAnsi="Garamond"/>
                <w:sz w:val="20"/>
                <w:szCs w:val="20"/>
              </w:rPr>
              <w:t>Ngurrimi i familjeve për të lejuar transferimin e fëmijëve t</w:t>
            </w:r>
            <w:r w:rsidR="00586C1C" w:rsidRPr="00DC66CD">
              <w:rPr>
                <w:rFonts w:ascii="Garamond" w:hAnsi="Garamond"/>
                <w:sz w:val="20"/>
                <w:szCs w:val="20"/>
              </w:rPr>
              <w:t>ë tyre në shkollat më të afërta</w:t>
            </w:r>
            <w:r w:rsidRPr="00DC66CD">
              <w:rPr>
                <w:rFonts w:ascii="Garamond" w:hAnsi="Garamond"/>
                <w:sz w:val="20"/>
                <w:szCs w:val="20"/>
              </w:rPr>
              <w:t xml:space="preserve"> </w:t>
            </w:r>
          </w:p>
        </w:tc>
        <w:tc>
          <w:tcPr>
            <w:tcW w:w="1559" w:type="dxa"/>
          </w:tcPr>
          <w:p w14:paraId="5C0EE5B0" w14:textId="77777777" w:rsidR="006F605B" w:rsidRPr="00DC66CD" w:rsidRDefault="006F605B" w:rsidP="002E3F1C">
            <w:pPr>
              <w:snapToGrid w:val="0"/>
              <w:spacing w:after="0" w:line="240" w:lineRule="auto"/>
              <w:rPr>
                <w:rFonts w:ascii="Garamond" w:hAnsi="Garamond"/>
                <w:sz w:val="20"/>
                <w:szCs w:val="20"/>
              </w:rPr>
            </w:pPr>
            <w:r w:rsidRPr="00DC66CD">
              <w:rPr>
                <w:rFonts w:ascii="Garamond" w:hAnsi="Garamond"/>
                <w:sz w:val="20"/>
                <w:szCs w:val="20"/>
              </w:rPr>
              <w:t>I ulët</w:t>
            </w:r>
          </w:p>
        </w:tc>
        <w:tc>
          <w:tcPr>
            <w:tcW w:w="4240" w:type="dxa"/>
          </w:tcPr>
          <w:p w14:paraId="523D6132" w14:textId="77777777" w:rsidR="00586C1C" w:rsidRPr="00DC66CD" w:rsidRDefault="006F605B" w:rsidP="00586C1C">
            <w:pPr>
              <w:spacing w:after="0" w:line="240" w:lineRule="auto"/>
              <w:rPr>
                <w:rFonts w:ascii="Garamond" w:hAnsi="Garamond"/>
                <w:sz w:val="20"/>
                <w:szCs w:val="20"/>
              </w:rPr>
            </w:pPr>
            <w:r w:rsidRPr="00DC66CD">
              <w:rPr>
                <w:rFonts w:ascii="Garamond" w:hAnsi="Garamond"/>
                <w:sz w:val="20"/>
                <w:szCs w:val="20"/>
              </w:rPr>
              <w:t>Masa mbësht</w:t>
            </w:r>
            <w:r w:rsidR="00586C1C" w:rsidRPr="00DC66CD">
              <w:rPr>
                <w:rFonts w:ascii="Garamond" w:hAnsi="Garamond"/>
                <w:sz w:val="20"/>
                <w:szCs w:val="20"/>
              </w:rPr>
              <w:t>etëse për fëmijët dhe prindërit</w:t>
            </w:r>
          </w:p>
          <w:p w14:paraId="428E8959" w14:textId="1229375B" w:rsidR="006F605B" w:rsidRPr="00DC66CD" w:rsidRDefault="006F605B" w:rsidP="00586C1C">
            <w:pPr>
              <w:spacing w:after="0" w:line="240" w:lineRule="auto"/>
              <w:rPr>
                <w:rFonts w:ascii="Garamond" w:hAnsi="Garamond"/>
                <w:sz w:val="20"/>
                <w:szCs w:val="20"/>
              </w:rPr>
            </w:pPr>
            <w:r w:rsidRPr="00DC66CD">
              <w:rPr>
                <w:rFonts w:ascii="Garamond" w:hAnsi="Garamond"/>
                <w:sz w:val="20"/>
                <w:szCs w:val="20"/>
              </w:rPr>
              <w:t>Bashkëpunim me komunitetin për këtë proces</w:t>
            </w:r>
          </w:p>
        </w:tc>
      </w:tr>
      <w:tr w:rsidR="006F605B" w:rsidRPr="00DC66CD" w14:paraId="7D21FEF3" w14:textId="77777777" w:rsidTr="004F4E33">
        <w:trPr>
          <w:jc w:val="center"/>
        </w:trPr>
        <w:tc>
          <w:tcPr>
            <w:tcW w:w="3823" w:type="dxa"/>
          </w:tcPr>
          <w:p w14:paraId="0A2D1184" w14:textId="4B2AF3D8" w:rsidR="006F605B" w:rsidRPr="00DC66CD" w:rsidRDefault="006F605B" w:rsidP="002E3F1C">
            <w:pPr>
              <w:snapToGrid w:val="0"/>
              <w:spacing w:after="0" w:line="240" w:lineRule="auto"/>
              <w:rPr>
                <w:rFonts w:ascii="Garamond" w:hAnsi="Garamond"/>
                <w:sz w:val="20"/>
                <w:szCs w:val="20"/>
              </w:rPr>
            </w:pPr>
            <w:r w:rsidRPr="00DC66CD">
              <w:rPr>
                <w:rFonts w:ascii="Garamond" w:hAnsi="Garamond"/>
                <w:sz w:val="20"/>
                <w:szCs w:val="20"/>
              </w:rPr>
              <w:t xml:space="preserve">Mungesa e fondeve të mjaftueshme </w:t>
            </w:r>
            <w:r w:rsidR="00586C1C" w:rsidRPr="00DC66CD">
              <w:rPr>
                <w:rFonts w:ascii="Garamond" w:hAnsi="Garamond"/>
                <w:sz w:val="20"/>
                <w:szCs w:val="20"/>
              </w:rPr>
              <w:t>për të punësuar mësues ndihmës</w:t>
            </w:r>
          </w:p>
        </w:tc>
        <w:tc>
          <w:tcPr>
            <w:tcW w:w="1559" w:type="dxa"/>
          </w:tcPr>
          <w:p w14:paraId="7E059C49" w14:textId="77777777" w:rsidR="006F605B" w:rsidRPr="00DC66CD" w:rsidRDefault="006F605B" w:rsidP="002E3F1C">
            <w:pPr>
              <w:snapToGrid w:val="0"/>
              <w:spacing w:after="0" w:line="240" w:lineRule="auto"/>
              <w:rPr>
                <w:rFonts w:ascii="Garamond" w:hAnsi="Garamond"/>
                <w:sz w:val="20"/>
                <w:szCs w:val="20"/>
              </w:rPr>
            </w:pPr>
            <w:r w:rsidRPr="00DC66CD">
              <w:rPr>
                <w:rFonts w:ascii="Garamond" w:hAnsi="Garamond"/>
                <w:sz w:val="20"/>
                <w:szCs w:val="20"/>
              </w:rPr>
              <w:t>I ulët</w:t>
            </w:r>
          </w:p>
        </w:tc>
        <w:tc>
          <w:tcPr>
            <w:tcW w:w="4240" w:type="dxa"/>
          </w:tcPr>
          <w:p w14:paraId="36DF3F55" w14:textId="25728851" w:rsidR="00586C1C" w:rsidRPr="00DC66CD" w:rsidRDefault="006F605B" w:rsidP="002E3F1C">
            <w:pPr>
              <w:snapToGrid w:val="0"/>
              <w:spacing w:after="0" w:line="240" w:lineRule="auto"/>
              <w:rPr>
                <w:rFonts w:ascii="Garamond" w:hAnsi="Garamond"/>
                <w:sz w:val="20"/>
                <w:szCs w:val="20"/>
              </w:rPr>
            </w:pPr>
            <w:r w:rsidRPr="00DC66CD">
              <w:rPr>
                <w:rFonts w:ascii="Garamond" w:hAnsi="Garamond"/>
                <w:sz w:val="20"/>
                <w:szCs w:val="20"/>
              </w:rPr>
              <w:t>Planifikuar në Planin Buxhetor Afatmesëm</w:t>
            </w:r>
            <w:r w:rsidR="00586C1C" w:rsidRPr="00DC66CD">
              <w:rPr>
                <w:rFonts w:ascii="Garamond" w:hAnsi="Garamond"/>
                <w:sz w:val="20"/>
                <w:szCs w:val="20"/>
              </w:rPr>
              <w:t>,</w:t>
            </w:r>
            <w:r w:rsidRPr="00DC66CD">
              <w:rPr>
                <w:rFonts w:ascii="Garamond" w:hAnsi="Garamond"/>
                <w:sz w:val="20"/>
                <w:szCs w:val="20"/>
              </w:rPr>
              <w:t xml:space="preserve"> </w:t>
            </w:r>
          </w:p>
          <w:p w14:paraId="3849AA96" w14:textId="2D8D6BEF" w:rsidR="006F605B" w:rsidRPr="00DC66CD" w:rsidRDefault="006F605B" w:rsidP="002E3F1C">
            <w:pPr>
              <w:snapToGrid w:val="0"/>
              <w:spacing w:after="0" w:line="240" w:lineRule="auto"/>
              <w:rPr>
                <w:rFonts w:ascii="Garamond" w:hAnsi="Garamond"/>
                <w:sz w:val="20"/>
                <w:szCs w:val="20"/>
              </w:rPr>
            </w:pPr>
            <w:r w:rsidRPr="00DC66CD">
              <w:rPr>
                <w:rFonts w:ascii="Garamond" w:hAnsi="Garamond"/>
                <w:sz w:val="20"/>
                <w:szCs w:val="20"/>
              </w:rPr>
              <w:t xml:space="preserve">2020 </w:t>
            </w:r>
            <w:r w:rsidR="00586C1C" w:rsidRPr="00DC66CD">
              <w:rPr>
                <w:rFonts w:ascii="Garamond" w:hAnsi="Garamond"/>
                <w:sz w:val="20"/>
                <w:szCs w:val="20"/>
              </w:rPr>
              <w:t>–</w:t>
            </w:r>
            <w:r w:rsidRPr="00DC66CD">
              <w:rPr>
                <w:rFonts w:ascii="Garamond" w:hAnsi="Garamond"/>
                <w:sz w:val="20"/>
                <w:szCs w:val="20"/>
              </w:rPr>
              <w:t>2022</w:t>
            </w:r>
          </w:p>
        </w:tc>
      </w:tr>
    </w:tbl>
    <w:p w14:paraId="1C3EB4E7" w14:textId="77777777" w:rsidR="006F605B" w:rsidRPr="00DC66CD" w:rsidRDefault="006F605B" w:rsidP="006F605B">
      <w:pPr>
        <w:snapToGrid w:val="0"/>
        <w:spacing w:after="0" w:line="240" w:lineRule="auto"/>
        <w:ind w:firstLine="284"/>
        <w:rPr>
          <w:rFonts w:ascii="Garamond" w:hAnsi="Garamond"/>
          <w:sz w:val="24"/>
          <w:szCs w:val="24"/>
        </w:rPr>
      </w:pPr>
    </w:p>
    <w:p w14:paraId="485D13BD" w14:textId="77777777" w:rsidR="006F605B" w:rsidRPr="00DC66CD" w:rsidRDefault="006F605B" w:rsidP="006F605B">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16: Modernizimi i financimit të sistemit parashkollor</w:t>
      </w:r>
    </w:p>
    <w:p w14:paraId="35CB15BF" w14:textId="347CA250" w:rsidR="006F605B" w:rsidRPr="00DC66CD" w:rsidRDefault="002E3F1C" w:rsidP="002E3F1C">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 </w:t>
      </w:r>
      <w:r w:rsidR="006F605B" w:rsidRPr="00DC66CD">
        <w:rPr>
          <w:rFonts w:ascii="Garamond" w:hAnsi="Garamond"/>
          <w:color w:val="auto"/>
          <w:sz w:val="24"/>
          <w:szCs w:val="24"/>
        </w:rPr>
        <w:t>Përshkrimi</w:t>
      </w:r>
    </w:p>
    <w:p w14:paraId="4B0E234B" w14:textId="7777777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Në kuadrin e politikave efektive të decentralizimit fiskal, Ministria e Financave dhe Ekonomisë, në bashkëpunim me Ministrinë e Arsimit, Sportit dhe Rinisë kanë punuar për të siguruar që transferimi i funksioneve në nivel vendor të shoqërohet me vendosjen e një skeme financimi të përshtatshme dhe efektive që synon përmirësimin e vazhdueshëm të cilësisë së shërbimeve.</w:t>
      </w:r>
    </w:p>
    <w:p w14:paraId="786CC517" w14:textId="729DDD73"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Në këtë kuadër, në buxhetin e vitit 2020 do të konsolidohet një formul</w:t>
      </w:r>
      <w:r w:rsidR="00586C1C" w:rsidRPr="00DC66CD">
        <w:rPr>
          <w:rFonts w:ascii="Garamond" w:hAnsi="Garamond"/>
          <w:sz w:val="24"/>
          <w:szCs w:val="24"/>
        </w:rPr>
        <w:t>ë</w:t>
      </w:r>
      <w:r w:rsidRPr="00DC66CD">
        <w:rPr>
          <w:rFonts w:ascii="Garamond" w:hAnsi="Garamond"/>
          <w:sz w:val="24"/>
          <w:szCs w:val="24"/>
        </w:rPr>
        <w:t xml:space="preserve"> e re e ndarjes së fondeve për arsimin parashkollor</w:t>
      </w:r>
      <w:r w:rsidR="00586C1C" w:rsidRPr="00DC66CD">
        <w:rPr>
          <w:rFonts w:ascii="Garamond" w:hAnsi="Garamond"/>
          <w:sz w:val="24"/>
          <w:szCs w:val="24"/>
        </w:rPr>
        <w:t>,</w:t>
      </w:r>
      <w:r w:rsidRPr="00DC66CD">
        <w:rPr>
          <w:rFonts w:ascii="Garamond" w:hAnsi="Garamond"/>
          <w:sz w:val="24"/>
          <w:szCs w:val="24"/>
        </w:rPr>
        <w:t xml:space="preserve"> e cila implementon legjislacionin për arsimin parauniversitar, legjislacionin për qeverisjen dhe financat vendore dhe që bazohet në praktikat e mira ndërkombëtare.</w:t>
      </w:r>
    </w:p>
    <w:p w14:paraId="7FD2032E" w14:textId="4765F964"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Buxheti i vitit 2020 shënon vazhdimin e një reforme të rëndësishme që vendos një standard të ri në arsimin parashkollor. Kjo reformë e nisur në vitin 2019 do të vazhdojë në vitet e mëvonshme, konform kuadrit ligjor në fuqi dhe praktikave më të mira ndërkombëtare,</w:t>
      </w:r>
      <w:r w:rsidR="0072211B" w:rsidRPr="00DC66CD">
        <w:rPr>
          <w:rFonts w:ascii="Garamond" w:hAnsi="Garamond"/>
          <w:sz w:val="24"/>
          <w:szCs w:val="24"/>
        </w:rPr>
        <w:t xml:space="preserve"> </w:t>
      </w:r>
      <w:r w:rsidRPr="00DC66CD">
        <w:rPr>
          <w:rFonts w:ascii="Garamond" w:hAnsi="Garamond"/>
          <w:sz w:val="24"/>
          <w:szCs w:val="24"/>
        </w:rPr>
        <w:t>ku fondet për arsimin parashkollor të ndahen kryesisht mbi bazën e numrit të nxënësve, si treguesi më i mirë i nevojës për fonde dhe shërbime, dhe pjesërisht do të bazohet në sistemin aktual të ndarjes së fondeve</w:t>
      </w:r>
      <w:r w:rsidR="00586C1C" w:rsidRPr="00DC66CD">
        <w:rPr>
          <w:rFonts w:ascii="Garamond" w:hAnsi="Garamond"/>
          <w:sz w:val="24"/>
          <w:szCs w:val="24"/>
        </w:rPr>
        <w:t>,</w:t>
      </w:r>
      <w:r w:rsidRPr="00DC66CD">
        <w:rPr>
          <w:rFonts w:ascii="Garamond" w:hAnsi="Garamond"/>
          <w:sz w:val="24"/>
          <w:szCs w:val="24"/>
        </w:rPr>
        <w:t xml:space="preserve"> sipas numrit të edukator</w:t>
      </w:r>
      <w:r w:rsidR="00586C1C" w:rsidRPr="00DC66CD">
        <w:rPr>
          <w:rFonts w:ascii="Garamond" w:hAnsi="Garamond"/>
          <w:sz w:val="24"/>
          <w:szCs w:val="24"/>
        </w:rPr>
        <w:t>e</w:t>
      </w:r>
      <w:r w:rsidRPr="00DC66CD">
        <w:rPr>
          <w:rFonts w:ascii="Garamond" w:hAnsi="Garamond"/>
          <w:sz w:val="24"/>
          <w:szCs w:val="24"/>
        </w:rPr>
        <w:t>ve të transferuara në vitin 2016 deri në vitin 2018.</w:t>
      </w:r>
      <w:r w:rsidR="0072211B" w:rsidRPr="00DC66CD">
        <w:rPr>
          <w:rFonts w:ascii="Garamond" w:hAnsi="Garamond"/>
          <w:sz w:val="24"/>
          <w:szCs w:val="24"/>
        </w:rPr>
        <w:t xml:space="preserve"> </w:t>
      </w:r>
      <w:r w:rsidRPr="00DC66CD">
        <w:rPr>
          <w:rFonts w:ascii="Garamond" w:hAnsi="Garamond"/>
          <w:sz w:val="24"/>
          <w:szCs w:val="24"/>
        </w:rPr>
        <w:t>Për sa më sipër, në buxhetin e vitit 2020, fondet e pagave për edukator</w:t>
      </w:r>
      <w:r w:rsidR="00586C1C" w:rsidRPr="00DC66CD">
        <w:rPr>
          <w:rFonts w:ascii="Garamond" w:hAnsi="Garamond"/>
          <w:sz w:val="24"/>
          <w:szCs w:val="24"/>
        </w:rPr>
        <w:t>e</w:t>
      </w:r>
      <w:r w:rsidRPr="00DC66CD">
        <w:rPr>
          <w:rFonts w:ascii="Garamond" w:hAnsi="Garamond"/>
          <w:sz w:val="24"/>
          <w:szCs w:val="24"/>
        </w:rPr>
        <w:t>t do të ndahen kryesisht mbi bazën e numrit të fëmijëve. Më specifikisht, 60% e fondeve për pagat e edukatoreve do të ndahen mbi bazën e numrit të fëmijëve (me moshë 3</w:t>
      </w:r>
      <w:r w:rsidR="00586C1C" w:rsidRPr="00DC66CD">
        <w:rPr>
          <w:rFonts w:ascii="Garamond" w:hAnsi="Garamond"/>
          <w:sz w:val="24"/>
          <w:szCs w:val="24"/>
        </w:rPr>
        <w:t>–</w:t>
      </w:r>
      <w:r w:rsidRPr="00DC66CD">
        <w:rPr>
          <w:rFonts w:ascii="Garamond" w:hAnsi="Garamond"/>
          <w:sz w:val="24"/>
          <w:szCs w:val="24"/>
        </w:rPr>
        <w:t>6 vjeç) dhe 40% mbi bazën e numrit të edukatoreve. Kjo reformë siguron një ndarje më të përshtatshme të fondeve, duke u bazuar në numrin e fëmijëve që duhet t</w:t>
      </w:r>
      <w:r w:rsidR="002C582E" w:rsidRPr="00DC66CD">
        <w:rPr>
          <w:rFonts w:ascii="Garamond" w:hAnsi="Garamond"/>
          <w:sz w:val="24"/>
          <w:szCs w:val="24"/>
        </w:rPr>
        <w:t>’</w:t>
      </w:r>
      <w:r w:rsidRPr="00DC66CD">
        <w:rPr>
          <w:rFonts w:ascii="Garamond" w:hAnsi="Garamond"/>
          <w:sz w:val="24"/>
          <w:szCs w:val="24"/>
        </w:rPr>
        <w:t>u ofrohet edukimi parashkollor, por njëkohësisht siguron një tranzicion gradual që minimizon kostot, duke ruajtur 40% të sistemit aktual.</w:t>
      </w:r>
    </w:p>
    <w:p w14:paraId="09B09985" w14:textId="3B3C7CF0"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56FE2808" w14:textId="42DC21EE" w:rsidR="006F605B" w:rsidRPr="00DC66CD" w:rsidRDefault="001265AB" w:rsidP="001265AB">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586C1C" w:rsidRPr="00DC66CD">
        <w:rPr>
          <w:rFonts w:ascii="Garamond" w:hAnsi="Garamond" w:cs="Times New Roman"/>
          <w:b/>
          <w:sz w:val="24"/>
          <w:szCs w:val="24"/>
        </w:rPr>
        <w:t>-ën:</w:t>
      </w:r>
    </w:p>
    <w:p w14:paraId="6F5294E4" w14:textId="198E687C" w:rsidR="006F605B" w:rsidRPr="00DC66CD" w:rsidRDefault="001265AB" w:rsidP="001265AB">
      <w:pPr>
        <w:pStyle w:val="TEKSTIIII"/>
      </w:pPr>
      <w:r w:rsidRPr="00DC66CD">
        <w:t>-</w:t>
      </w:r>
      <w:r w:rsidR="00586C1C" w:rsidRPr="00DC66CD">
        <w:t xml:space="preserve"> e</w:t>
      </w:r>
      <w:r w:rsidR="006F605B" w:rsidRPr="00DC66CD">
        <w:t>videntimi i edukator</w:t>
      </w:r>
      <w:r w:rsidR="00586C1C" w:rsidRPr="00DC66CD">
        <w:t>e</w:t>
      </w:r>
      <w:r w:rsidR="006F605B" w:rsidRPr="00DC66CD">
        <w:t>ve të punësuar gjatë vitit 2019;</w:t>
      </w:r>
    </w:p>
    <w:p w14:paraId="4E26F4CD" w14:textId="563813AD" w:rsidR="006F605B" w:rsidRPr="00DC66CD" w:rsidRDefault="001265AB" w:rsidP="001265AB">
      <w:pPr>
        <w:pStyle w:val="TEKSTIIII"/>
      </w:pPr>
      <w:r w:rsidRPr="00DC66CD">
        <w:t>-</w:t>
      </w:r>
      <w:r w:rsidR="00586C1C" w:rsidRPr="00DC66CD">
        <w:t xml:space="preserve"> n</w:t>
      </w:r>
      <w:r w:rsidR="006F605B" w:rsidRPr="00DC66CD">
        <w:t>ë udhëzimin e zbatimit të buxhetit vjetor do të përcaktohen afatet dhe formatet e raportimit mbi ecurinë e kësaj reforme;</w:t>
      </w:r>
    </w:p>
    <w:p w14:paraId="478A2D9F" w14:textId="7F5E79B8" w:rsidR="006F605B" w:rsidRPr="00DC66CD" w:rsidRDefault="001265AB" w:rsidP="001265AB">
      <w:pPr>
        <w:pStyle w:val="TEKSTIIII"/>
      </w:pPr>
      <w:r w:rsidRPr="00DC66CD">
        <w:t>-</w:t>
      </w:r>
      <w:r w:rsidR="00586C1C" w:rsidRPr="00DC66CD">
        <w:t xml:space="preserve"> m</w:t>
      </w:r>
      <w:r w:rsidR="006F605B" w:rsidRPr="00DC66CD">
        <w:t>onitorimi dhe ndjekja e ecurisë së implementimit të kësaj reforme dhe efekteve në përmirësimin e cilësisë së arsimit parashkollor.</w:t>
      </w:r>
    </w:p>
    <w:p w14:paraId="1B04FBBD" w14:textId="120E80B4" w:rsidR="006F605B" w:rsidRPr="00DC66CD" w:rsidRDefault="001265AB" w:rsidP="001265AB">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586C1C" w:rsidRPr="00DC66CD">
        <w:rPr>
          <w:rFonts w:ascii="Garamond" w:hAnsi="Garamond" w:cs="Times New Roman"/>
          <w:b/>
          <w:sz w:val="24"/>
          <w:szCs w:val="24"/>
        </w:rPr>
        <w:t>-shin:</w:t>
      </w:r>
    </w:p>
    <w:p w14:paraId="293A465F" w14:textId="074538EB" w:rsidR="006F605B" w:rsidRPr="00DC66CD" w:rsidRDefault="001265AB" w:rsidP="001265AB">
      <w:pPr>
        <w:pStyle w:val="TEKSTIIII"/>
      </w:pPr>
      <w:r w:rsidRPr="00DC66CD">
        <w:t>-</w:t>
      </w:r>
      <w:r w:rsidR="00586C1C" w:rsidRPr="00DC66CD">
        <w:t xml:space="preserve"> d</w:t>
      </w:r>
      <w:r w:rsidR="006F605B" w:rsidRPr="00DC66CD">
        <w:t>iskutimi me njësitë e vetëqeverisjes vendore mbi ecurinë dhe përmirësimin e kësaj reforme për vitet në vazhdim;</w:t>
      </w:r>
    </w:p>
    <w:p w14:paraId="3BAA73A4" w14:textId="3AFA37F1" w:rsidR="006F605B" w:rsidRPr="00DC66CD" w:rsidRDefault="001265AB" w:rsidP="001265AB">
      <w:pPr>
        <w:pStyle w:val="TEKSTIIII"/>
      </w:pPr>
      <w:r w:rsidRPr="00DC66CD">
        <w:t>-</w:t>
      </w:r>
      <w:r w:rsidR="00586C1C" w:rsidRPr="00DC66CD">
        <w:t xml:space="preserve"> m</w:t>
      </w:r>
      <w:r w:rsidR="006F605B" w:rsidRPr="00DC66CD">
        <w:t>onitorimi i vazhdimësisë së implementimit të reformës në arsimin parashkollor nga njësitë e vetëqeverisjes vendore;</w:t>
      </w:r>
    </w:p>
    <w:p w14:paraId="15233F36" w14:textId="313BA269" w:rsidR="006F605B" w:rsidRPr="00DC66CD" w:rsidRDefault="001265AB" w:rsidP="001265AB">
      <w:pPr>
        <w:pStyle w:val="TEKSTIIII"/>
      </w:pPr>
      <w:r w:rsidRPr="00DC66CD">
        <w:t>-</w:t>
      </w:r>
      <w:r w:rsidR="00586C1C" w:rsidRPr="00DC66CD">
        <w:t xml:space="preserve"> v</w:t>
      </w:r>
      <w:r w:rsidR="006F605B" w:rsidRPr="00DC66CD">
        <w:t>lerësimi efektit që ka sjellë në arsimin parashkollor.</w:t>
      </w:r>
    </w:p>
    <w:p w14:paraId="043CABED" w14:textId="516C39AE" w:rsidR="006F605B" w:rsidRPr="00DC66CD" w:rsidRDefault="001265AB" w:rsidP="001265AB">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586C1C" w:rsidRPr="00DC66CD">
        <w:rPr>
          <w:rFonts w:ascii="Garamond" w:hAnsi="Garamond" w:cs="Times New Roman"/>
          <w:b/>
          <w:sz w:val="24"/>
          <w:szCs w:val="24"/>
        </w:rPr>
        <w:t>-shin:</w:t>
      </w:r>
    </w:p>
    <w:p w14:paraId="269C4425" w14:textId="507AB0B3" w:rsidR="006F605B" w:rsidRPr="00DC66CD" w:rsidRDefault="001265AB" w:rsidP="001265AB">
      <w:pPr>
        <w:pStyle w:val="TEKSTIIII"/>
      </w:pPr>
      <w:r w:rsidRPr="00DC66CD">
        <w:t>-</w:t>
      </w:r>
      <w:r w:rsidR="00586C1C" w:rsidRPr="00DC66CD">
        <w:t xml:space="preserve"> d</w:t>
      </w:r>
      <w:r w:rsidR="006F605B" w:rsidRPr="00DC66CD">
        <w:t>iskutimi me njësitë e vetëqeverisjes vendore mbi ecurinë dhe përmirësimin e kësaj reforme për vitet në vazhdim;</w:t>
      </w:r>
    </w:p>
    <w:p w14:paraId="53EEF6E3" w14:textId="734C40D2" w:rsidR="006F605B" w:rsidRPr="00DC66CD" w:rsidRDefault="001265AB" w:rsidP="001265AB">
      <w:pPr>
        <w:pStyle w:val="TEKSTIIII"/>
      </w:pPr>
      <w:r w:rsidRPr="00DC66CD">
        <w:t>-</w:t>
      </w:r>
      <w:r w:rsidR="00586C1C" w:rsidRPr="00DC66CD">
        <w:t xml:space="preserve"> m</w:t>
      </w:r>
      <w:r w:rsidR="006F605B" w:rsidRPr="00DC66CD">
        <w:t>onitorimi i vazhdimësisë së implementimit të reformës në arsimin parashkollor nga njësitë e vetëqeverisjes vendore;</w:t>
      </w:r>
    </w:p>
    <w:p w14:paraId="11824C31" w14:textId="720A2456" w:rsidR="006F605B" w:rsidRPr="00DC66CD" w:rsidRDefault="001265AB" w:rsidP="001265AB">
      <w:pPr>
        <w:pStyle w:val="TEKSTIIII"/>
        <w:rPr>
          <w:color w:val="auto"/>
        </w:rPr>
      </w:pPr>
      <w:r w:rsidRPr="00DC66CD">
        <w:t>-</w:t>
      </w:r>
      <w:r w:rsidR="00586C1C" w:rsidRPr="00DC66CD">
        <w:t xml:space="preserve"> </w:t>
      </w:r>
      <w:r w:rsidR="00586C1C" w:rsidRPr="00DC66CD">
        <w:rPr>
          <w:color w:val="auto"/>
        </w:rPr>
        <w:t xml:space="preserve">vlerësimi </w:t>
      </w:r>
      <w:r w:rsidR="006F605B" w:rsidRPr="00DC66CD">
        <w:rPr>
          <w:color w:val="auto"/>
        </w:rPr>
        <w:t>efektit që ka sjellë në arsimin parashkollor.</w:t>
      </w:r>
    </w:p>
    <w:p w14:paraId="121D2CF1" w14:textId="77270EFC"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p w14:paraId="0451C41D" w14:textId="2729E074" w:rsidR="006F605B" w:rsidRPr="00DC66CD" w:rsidRDefault="001265AB" w:rsidP="001265AB">
      <w:pPr>
        <w:pStyle w:val="TEKSTIIII"/>
        <w:rPr>
          <w:color w:val="auto"/>
        </w:rPr>
      </w:pPr>
      <w:r w:rsidRPr="00DC66CD">
        <w:rPr>
          <w:color w:val="auto"/>
        </w:rPr>
        <w:t>-</w:t>
      </w:r>
      <w:r w:rsidR="00586C1C" w:rsidRPr="00DC66CD">
        <w:rPr>
          <w:color w:val="auto"/>
        </w:rPr>
        <w:t xml:space="preserve"> u</w:t>
      </w:r>
      <w:r w:rsidR="006F605B" w:rsidRPr="00DC66CD">
        <w:rPr>
          <w:color w:val="auto"/>
        </w:rPr>
        <w:t>lja e madhësisë së grupeve/klasave të fëmijëve në kopshte nga raporti aktual mesatar 18 fëmijë për një edukatore në raportin 15 fëmijë për një edukatore.</w:t>
      </w:r>
    </w:p>
    <w:p w14:paraId="4FDD469B" w14:textId="12262502" w:rsidR="006F605B" w:rsidRPr="00DC66CD" w:rsidRDefault="001265AB" w:rsidP="001265AB">
      <w:pPr>
        <w:pStyle w:val="TEKSTIIII"/>
        <w:rPr>
          <w:color w:val="auto"/>
        </w:rPr>
      </w:pPr>
      <w:r w:rsidRPr="00DC66CD">
        <w:rPr>
          <w:color w:val="auto"/>
        </w:rPr>
        <w:t>-</w:t>
      </w:r>
      <w:r w:rsidR="00586C1C" w:rsidRPr="00DC66CD">
        <w:rPr>
          <w:color w:val="auto"/>
        </w:rPr>
        <w:t xml:space="preserve"> s</w:t>
      </w:r>
      <w:r w:rsidR="006F605B" w:rsidRPr="00DC66CD">
        <w:rPr>
          <w:color w:val="auto"/>
        </w:rPr>
        <w:t>htimi i fondeve në ato bashki</w:t>
      </w:r>
      <w:r w:rsidR="00586C1C" w:rsidRPr="00DC66CD">
        <w:rPr>
          <w:color w:val="auto"/>
        </w:rPr>
        <w:t>,</w:t>
      </w:r>
      <w:r w:rsidR="006F605B" w:rsidRPr="00DC66CD">
        <w:rPr>
          <w:color w:val="auto"/>
        </w:rPr>
        <w:t xml:space="preserve"> ku ka një nevojë reale dhe të menjëhershme për shtimin e numrit të edukatoreve</w:t>
      </w:r>
      <w:r w:rsidR="00586C1C" w:rsidRPr="00DC66CD">
        <w:rPr>
          <w:color w:val="auto"/>
        </w:rPr>
        <w:t>,</w:t>
      </w:r>
      <w:r w:rsidR="006F605B" w:rsidRPr="00DC66CD">
        <w:rPr>
          <w:color w:val="auto"/>
        </w:rPr>
        <w:t xml:space="preserve"> duke ulur madhësinë maksimale të grupeve nga 26 apo 23 fëmijë për një edukatore në 18 fëmijë për edukatore, një parakusht për përmirësimin e cilësisë së edukimit për fëmijët nga 3</w:t>
      </w:r>
      <w:r w:rsidR="00586C1C" w:rsidRPr="00DC66CD">
        <w:rPr>
          <w:color w:val="auto"/>
        </w:rPr>
        <w:t>–</w:t>
      </w:r>
      <w:r w:rsidR="006F605B" w:rsidRPr="00DC66CD">
        <w:rPr>
          <w:color w:val="auto"/>
        </w:rPr>
        <w:t>6 vjeç që ndjekin kopshtet publike.</w:t>
      </w:r>
    </w:p>
    <w:p w14:paraId="1C3F6C9C" w14:textId="62369793"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Ndikimi i pritshëm në konkurrueshmëri</w:t>
      </w:r>
    </w:p>
    <w:p w14:paraId="48366594" w14:textId="0692024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Kjo reformë nuk ndikon në nivelin e konkur</w:t>
      </w:r>
      <w:r w:rsidR="00586C1C" w:rsidRPr="00DC66CD">
        <w:rPr>
          <w:rFonts w:ascii="Garamond" w:hAnsi="Garamond"/>
          <w:sz w:val="24"/>
          <w:szCs w:val="24"/>
        </w:rPr>
        <w:t>r</w:t>
      </w:r>
      <w:r w:rsidRPr="00DC66CD">
        <w:rPr>
          <w:rFonts w:ascii="Garamond" w:hAnsi="Garamond"/>
          <w:sz w:val="24"/>
          <w:szCs w:val="24"/>
        </w:rPr>
        <w:t>ueshmërisë në treg për sa kohë lidhet me rritjen e mbështetjes buxhetore me qëllim rritjen e cilësisë së ofrimit të shërbimit parashkollor. Në këtë mënyrë, rritja shkon plotësisht në drejtim të përmirësimit të shërbimit të arsimit parashkollor që ofrohet nga njësitë e vetëqeverisjes vendore</w:t>
      </w:r>
      <w:r w:rsidR="00586C1C" w:rsidRPr="00DC66CD">
        <w:rPr>
          <w:rFonts w:ascii="Garamond" w:hAnsi="Garamond"/>
          <w:sz w:val="24"/>
          <w:szCs w:val="24"/>
        </w:rPr>
        <w:t>,</w:t>
      </w:r>
      <w:r w:rsidRPr="00DC66CD">
        <w:rPr>
          <w:rFonts w:ascii="Garamond" w:hAnsi="Garamond"/>
          <w:sz w:val="24"/>
          <w:szCs w:val="24"/>
        </w:rPr>
        <w:t xml:space="preserve"> duke mos ndikuar në konkur</w:t>
      </w:r>
      <w:r w:rsidR="00586C1C" w:rsidRPr="00DC66CD">
        <w:rPr>
          <w:rFonts w:ascii="Garamond" w:hAnsi="Garamond"/>
          <w:sz w:val="24"/>
          <w:szCs w:val="24"/>
        </w:rPr>
        <w:t>r</w:t>
      </w:r>
      <w:r w:rsidRPr="00DC66CD">
        <w:rPr>
          <w:rFonts w:ascii="Garamond" w:hAnsi="Garamond"/>
          <w:sz w:val="24"/>
          <w:szCs w:val="24"/>
        </w:rPr>
        <w:t>ueshmërinë e tregut.</w:t>
      </w:r>
    </w:p>
    <w:p w14:paraId="5EA9D570" w14:textId="2A6F04DD"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Kosto</w:t>
      </w:r>
      <w:r w:rsidR="00586C1C"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346E1656" w14:textId="28A1D1E9"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Kostoja e kësaj reforme është 327 milionë lekë, dhe mbulohet nga rritja e transfertës së pakushtëzuar për njësitë e vetëqeverisjes vendore në programin buxhetor afatmesëm për vitin 2020, 2021 dhe 2022. Burimi i financimit do të jetë rritja e tra</w:t>
      </w:r>
      <w:r w:rsidR="00586C1C" w:rsidRPr="00DC66CD">
        <w:rPr>
          <w:rFonts w:ascii="Garamond" w:hAnsi="Garamond"/>
          <w:sz w:val="24"/>
          <w:szCs w:val="24"/>
        </w:rPr>
        <w:t>n</w:t>
      </w:r>
      <w:r w:rsidRPr="00DC66CD">
        <w:rPr>
          <w:rFonts w:ascii="Garamond" w:hAnsi="Garamond"/>
          <w:sz w:val="24"/>
          <w:szCs w:val="24"/>
        </w:rPr>
        <w:t>sfertës së pakushtëzuar nga viti në vit</w:t>
      </w:r>
      <w:r w:rsidR="00586C1C" w:rsidRPr="00DC66CD">
        <w:rPr>
          <w:rFonts w:ascii="Garamond" w:hAnsi="Garamond"/>
          <w:sz w:val="24"/>
          <w:szCs w:val="24"/>
        </w:rPr>
        <w:t>,</w:t>
      </w:r>
      <w:r w:rsidRPr="00DC66CD">
        <w:rPr>
          <w:rFonts w:ascii="Garamond" w:hAnsi="Garamond"/>
          <w:sz w:val="24"/>
          <w:szCs w:val="24"/>
        </w:rPr>
        <w:t xml:space="preserve"> me qëllim mbulimin dhe </w:t>
      </w:r>
      <w:r w:rsidR="00586C1C" w:rsidRPr="00DC66CD">
        <w:rPr>
          <w:rFonts w:ascii="Garamond" w:hAnsi="Garamond"/>
          <w:sz w:val="24"/>
          <w:szCs w:val="24"/>
        </w:rPr>
        <w:t>krijimin</w:t>
      </w:r>
      <w:r w:rsidRPr="00DC66CD">
        <w:rPr>
          <w:rFonts w:ascii="Garamond" w:hAnsi="Garamond"/>
          <w:sz w:val="24"/>
          <w:szCs w:val="24"/>
        </w:rPr>
        <w:t xml:space="preserve"> e vazhdimësisë së reformës ndër vite.</w:t>
      </w:r>
    </w:p>
    <w:p w14:paraId="1C92CF6E" w14:textId="62FEB2FB"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6. </w:t>
      </w:r>
      <w:r w:rsidR="006F605B" w:rsidRPr="00DC66CD">
        <w:rPr>
          <w:rFonts w:ascii="Garamond" w:hAnsi="Garamond"/>
          <w:color w:val="auto"/>
          <w:sz w:val="24"/>
          <w:szCs w:val="24"/>
        </w:rPr>
        <w:t>Ndikimi i pritshëm në rezultatet sociale, si</w:t>
      </w:r>
      <w:r w:rsidR="00586C1C" w:rsidRPr="00DC66CD">
        <w:rPr>
          <w:rFonts w:ascii="Garamond" w:hAnsi="Garamond"/>
          <w:color w:val="auto"/>
          <w:sz w:val="24"/>
          <w:szCs w:val="24"/>
        </w:rPr>
        <w:t>:</w:t>
      </w:r>
      <w:r w:rsidR="006F605B" w:rsidRPr="00DC66CD">
        <w:rPr>
          <w:rFonts w:ascii="Garamond" w:hAnsi="Garamond"/>
          <w:color w:val="auto"/>
          <w:sz w:val="24"/>
          <w:szCs w:val="24"/>
        </w:rPr>
        <w:t xml:space="preserve"> punësimi, ulja e varfërisë, barazia dhe gjinia</w:t>
      </w:r>
    </w:p>
    <w:p w14:paraId="472C6822" w14:textId="444A3ECC"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Kjo siguron një rritje të numrit të edukatoreve nga 4410 në 4850, pra 440 edukator</w:t>
      </w:r>
      <w:r w:rsidR="00185F20" w:rsidRPr="00DC66CD">
        <w:rPr>
          <w:rFonts w:ascii="Garamond" w:hAnsi="Garamond"/>
          <w:sz w:val="24"/>
          <w:szCs w:val="24"/>
        </w:rPr>
        <w:t>e</w:t>
      </w:r>
      <w:r w:rsidRPr="00DC66CD">
        <w:rPr>
          <w:rFonts w:ascii="Garamond" w:hAnsi="Garamond"/>
          <w:sz w:val="24"/>
          <w:szCs w:val="24"/>
        </w:rPr>
        <w:t xml:space="preserve"> më shumë, të cil</w:t>
      </w:r>
      <w:r w:rsidR="00185F20" w:rsidRPr="00DC66CD">
        <w:rPr>
          <w:rFonts w:ascii="Garamond" w:hAnsi="Garamond"/>
          <w:sz w:val="24"/>
          <w:szCs w:val="24"/>
        </w:rPr>
        <w:t>a</w:t>
      </w:r>
      <w:r w:rsidRPr="00DC66CD">
        <w:rPr>
          <w:rFonts w:ascii="Garamond" w:hAnsi="Garamond"/>
          <w:sz w:val="24"/>
          <w:szCs w:val="24"/>
        </w:rPr>
        <w:t>t do të shpërndahen në 32 bashki</w:t>
      </w:r>
      <w:r w:rsidR="00185F20" w:rsidRPr="00DC66CD">
        <w:rPr>
          <w:rFonts w:ascii="Garamond" w:hAnsi="Garamond"/>
          <w:sz w:val="24"/>
          <w:szCs w:val="24"/>
        </w:rPr>
        <w:t>,</w:t>
      </w:r>
      <w:r w:rsidRPr="00DC66CD">
        <w:rPr>
          <w:rFonts w:ascii="Garamond" w:hAnsi="Garamond"/>
          <w:sz w:val="24"/>
          <w:szCs w:val="24"/>
        </w:rPr>
        <w:t xml:space="preserve"> të cil</w:t>
      </w:r>
      <w:r w:rsidR="00185F20" w:rsidRPr="00DC66CD">
        <w:rPr>
          <w:rFonts w:ascii="Garamond" w:hAnsi="Garamond"/>
          <w:sz w:val="24"/>
          <w:szCs w:val="24"/>
        </w:rPr>
        <w:t>a</w:t>
      </w:r>
      <w:r w:rsidRPr="00DC66CD">
        <w:rPr>
          <w:rFonts w:ascii="Garamond" w:hAnsi="Garamond"/>
          <w:sz w:val="24"/>
          <w:szCs w:val="24"/>
        </w:rPr>
        <w:t xml:space="preserve">t kanë nevojën më imediate për shtimin e numrit të edukatoreve. Kjo rritje e numrit të punonjësve nuk ka në thelb adresimin e </w:t>
      </w:r>
      <w:r w:rsidR="00AA7296" w:rsidRPr="00DC66CD">
        <w:rPr>
          <w:rFonts w:ascii="Garamond" w:hAnsi="Garamond"/>
          <w:sz w:val="24"/>
          <w:szCs w:val="24"/>
        </w:rPr>
        <w:t>çështjeve gjinore, pa</w:t>
      </w:r>
      <w:r w:rsidRPr="00DC66CD">
        <w:rPr>
          <w:rFonts w:ascii="Garamond" w:hAnsi="Garamond"/>
          <w:sz w:val="24"/>
          <w:szCs w:val="24"/>
        </w:rPr>
        <w:t>var</w:t>
      </w:r>
      <w:r w:rsidR="00AA7296" w:rsidRPr="00DC66CD">
        <w:rPr>
          <w:rFonts w:ascii="Garamond" w:hAnsi="Garamond"/>
          <w:sz w:val="24"/>
          <w:szCs w:val="24"/>
        </w:rPr>
        <w:t>ë</w:t>
      </w:r>
      <w:r w:rsidRPr="00DC66CD">
        <w:rPr>
          <w:rFonts w:ascii="Garamond" w:hAnsi="Garamond"/>
          <w:sz w:val="24"/>
          <w:szCs w:val="24"/>
        </w:rPr>
        <w:t>sisht se mbështetja me edukator</w:t>
      </w:r>
      <w:r w:rsidR="00AA7296" w:rsidRPr="00DC66CD">
        <w:rPr>
          <w:rFonts w:ascii="Garamond" w:hAnsi="Garamond"/>
          <w:sz w:val="24"/>
          <w:szCs w:val="24"/>
        </w:rPr>
        <w:t>e</w:t>
      </w:r>
      <w:r w:rsidRPr="00DC66CD">
        <w:rPr>
          <w:rFonts w:ascii="Garamond" w:hAnsi="Garamond"/>
          <w:sz w:val="24"/>
          <w:szCs w:val="24"/>
        </w:rPr>
        <w:t xml:space="preserve"> të shërbimit parashkollor do të rri</w:t>
      </w:r>
      <w:r w:rsidR="00AA7296" w:rsidRPr="00DC66CD">
        <w:rPr>
          <w:rFonts w:ascii="Garamond" w:hAnsi="Garamond"/>
          <w:sz w:val="24"/>
          <w:szCs w:val="24"/>
        </w:rPr>
        <w:t>t</w:t>
      </w:r>
      <w:r w:rsidRPr="00DC66CD">
        <w:rPr>
          <w:rFonts w:ascii="Garamond" w:hAnsi="Garamond"/>
          <w:sz w:val="24"/>
          <w:szCs w:val="24"/>
        </w:rPr>
        <w:t xml:space="preserve">ë numrin e femrave të punësuara në sistemin arsimor. Nga përmirësimi i këtij </w:t>
      </w:r>
      <w:r w:rsidR="00AA7296" w:rsidRPr="00DC66CD">
        <w:rPr>
          <w:rFonts w:ascii="Garamond" w:hAnsi="Garamond"/>
          <w:sz w:val="24"/>
          <w:szCs w:val="24"/>
        </w:rPr>
        <w:t>shërbimi,</w:t>
      </w:r>
      <w:r w:rsidRPr="00DC66CD">
        <w:rPr>
          <w:rFonts w:ascii="Garamond" w:hAnsi="Garamond"/>
          <w:sz w:val="24"/>
          <w:szCs w:val="24"/>
        </w:rPr>
        <w:t xml:space="preserve"> në mënyrë indirekte do të lehtësohet puna dhe shërbimi i nën</w:t>
      </w:r>
      <w:r w:rsidR="00AA7296" w:rsidRPr="00DC66CD">
        <w:rPr>
          <w:rFonts w:ascii="Garamond" w:hAnsi="Garamond"/>
          <w:sz w:val="24"/>
          <w:szCs w:val="24"/>
        </w:rPr>
        <w:t>a</w:t>
      </w:r>
      <w:r w:rsidRPr="00DC66CD">
        <w:rPr>
          <w:rFonts w:ascii="Garamond" w:hAnsi="Garamond"/>
          <w:sz w:val="24"/>
          <w:szCs w:val="24"/>
        </w:rPr>
        <w:t xml:space="preserve">ve ndaj </w:t>
      </w:r>
      <w:r w:rsidR="00AA7296" w:rsidRPr="00DC66CD">
        <w:rPr>
          <w:rFonts w:ascii="Garamond" w:hAnsi="Garamond"/>
          <w:sz w:val="24"/>
          <w:szCs w:val="24"/>
        </w:rPr>
        <w:t>fëmijëve</w:t>
      </w:r>
      <w:r w:rsidRPr="00DC66CD">
        <w:rPr>
          <w:rFonts w:ascii="Garamond" w:hAnsi="Garamond"/>
          <w:sz w:val="24"/>
          <w:szCs w:val="24"/>
        </w:rPr>
        <w:t xml:space="preserve"> përmes shërbimit cilësor në arsimin parashkollor.</w:t>
      </w:r>
    </w:p>
    <w:p w14:paraId="5AD1F680" w14:textId="55F4A4FD"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7. </w:t>
      </w:r>
      <w:r w:rsidR="006F605B" w:rsidRPr="00DC66CD">
        <w:rPr>
          <w:rFonts w:ascii="Garamond" w:hAnsi="Garamond"/>
          <w:color w:val="auto"/>
          <w:sz w:val="24"/>
          <w:szCs w:val="24"/>
        </w:rPr>
        <w:t>Ndikimi i pritshëm në mjedis</w:t>
      </w:r>
    </w:p>
    <w:p w14:paraId="43EA7733" w14:textId="038DB44F"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Reforma nuk pritet t</w:t>
      </w:r>
      <w:r w:rsidR="00AA7296" w:rsidRPr="00DC66CD">
        <w:rPr>
          <w:rFonts w:ascii="Garamond" w:hAnsi="Garamond"/>
          <w:sz w:val="24"/>
          <w:szCs w:val="24"/>
        </w:rPr>
        <w:t>ë</w:t>
      </w:r>
      <w:r w:rsidRPr="00DC66CD">
        <w:rPr>
          <w:rFonts w:ascii="Garamond" w:hAnsi="Garamond"/>
          <w:sz w:val="24"/>
          <w:szCs w:val="24"/>
        </w:rPr>
        <w:t xml:space="preserve"> </w:t>
      </w:r>
      <w:r w:rsidR="00AA7296" w:rsidRPr="00DC66CD">
        <w:rPr>
          <w:rFonts w:ascii="Garamond" w:hAnsi="Garamond"/>
          <w:sz w:val="24"/>
          <w:szCs w:val="24"/>
        </w:rPr>
        <w:t>ketë</w:t>
      </w:r>
      <w:r w:rsidRPr="00DC66CD">
        <w:rPr>
          <w:rFonts w:ascii="Garamond" w:hAnsi="Garamond"/>
          <w:sz w:val="24"/>
          <w:szCs w:val="24"/>
        </w:rPr>
        <w:t xml:space="preserve"> ndikim n</w:t>
      </w:r>
      <w:r w:rsidR="00AA7296" w:rsidRPr="00DC66CD">
        <w:rPr>
          <w:rFonts w:ascii="Garamond" w:hAnsi="Garamond"/>
          <w:sz w:val="24"/>
          <w:szCs w:val="24"/>
        </w:rPr>
        <w:t>ë</w:t>
      </w:r>
      <w:r w:rsidRPr="00DC66CD">
        <w:rPr>
          <w:rFonts w:ascii="Garamond" w:hAnsi="Garamond"/>
          <w:sz w:val="24"/>
          <w:szCs w:val="24"/>
        </w:rPr>
        <w:t xml:space="preserve"> mjedis.</w:t>
      </w:r>
    </w:p>
    <w:p w14:paraId="30393395" w14:textId="7C84291B"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8. </w:t>
      </w:r>
      <w:r w:rsidR="006F605B" w:rsidRPr="00DC66CD">
        <w:rPr>
          <w:rFonts w:ascii="Garamond" w:hAnsi="Garamond"/>
          <w:color w:val="auto"/>
          <w:sz w:val="24"/>
          <w:szCs w:val="24"/>
        </w:rPr>
        <w:t>Rreziqet e mundshme</w:t>
      </w:r>
    </w:p>
    <w:p w14:paraId="1D7CB0ED" w14:textId="76487336"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color w:val="0D0D0D" w:themeColor="text1" w:themeTint="F2"/>
          <w:sz w:val="24"/>
          <w:szCs w:val="24"/>
        </w:rPr>
        <w:t xml:space="preserve">Risk i mundshëm i zbatimit të reformës është mosplotësimi brenda një afati të shkurtër kohor të </w:t>
      </w:r>
      <w:r w:rsidR="00AA7296" w:rsidRPr="00DC66CD">
        <w:rPr>
          <w:rFonts w:ascii="Garamond" w:hAnsi="Garamond"/>
          <w:color w:val="0D0D0D" w:themeColor="text1" w:themeTint="F2"/>
          <w:sz w:val="24"/>
          <w:szCs w:val="24"/>
        </w:rPr>
        <w:t>numrit</w:t>
      </w:r>
      <w:r w:rsidRPr="00DC66CD">
        <w:rPr>
          <w:rFonts w:ascii="Garamond" w:hAnsi="Garamond"/>
          <w:color w:val="0D0D0D" w:themeColor="text1" w:themeTint="F2"/>
          <w:sz w:val="24"/>
          <w:szCs w:val="24"/>
        </w:rPr>
        <w:t xml:space="preserve"> të punonjësve nga njësitë e vetëq</w:t>
      </w:r>
      <w:r w:rsidR="00AA7296" w:rsidRPr="00DC66CD">
        <w:rPr>
          <w:rFonts w:ascii="Garamond" w:hAnsi="Garamond"/>
          <w:color w:val="0D0D0D" w:themeColor="text1" w:themeTint="F2"/>
          <w:sz w:val="24"/>
          <w:szCs w:val="24"/>
        </w:rPr>
        <w:t>e</w:t>
      </w:r>
      <w:r w:rsidRPr="00DC66CD">
        <w:rPr>
          <w:rFonts w:ascii="Garamond" w:hAnsi="Garamond"/>
          <w:color w:val="0D0D0D" w:themeColor="text1" w:themeTint="F2"/>
          <w:sz w:val="24"/>
          <w:szCs w:val="24"/>
        </w:rPr>
        <w:t>verisjes vendore. Për këtë risk të evindetuar janë marrë masat e nevojshme nga Ministria e Financave dhe Ekonomisë</w:t>
      </w:r>
      <w:r w:rsidR="00AA7296" w:rsidRPr="00DC66CD">
        <w:rPr>
          <w:rFonts w:ascii="Garamond" w:hAnsi="Garamond"/>
          <w:color w:val="0D0D0D" w:themeColor="text1" w:themeTint="F2"/>
          <w:sz w:val="24"/>
          <w:szCs w:val="24"/>
        </w:rPr>
        <w:t>,</w:t>
      </w:r>
      <w:r w:rsidRPr="00DC66CD">
        <w:rPr>
          <w:rFonts w:ascii="Garamond" w:hAnsi="Garamond"/>
          <w:color w:val="0D0D0D" w:themeColor="text1" w:themeTint="F2"/>
          <w:sz w:val="24"/>
          <w:szCs w:val="24"/>
        </w:rPr>
        <w:t xml:space="preserve"> përmes përcaktimit në kuadrin nënligjor të zbatimit të buxhetit mbi procedurat dhe rregullat që do të ndiqen në zbatimin e këtij fondi për mbështetjen e reformës në arsimin parashkollor.</w:t>
      </w:r>
    </w:p>
    <w:p w14:paraId="5506673D" w14:textId="77777777" w:rsidR="006F605B" w:rsidRPr="00DC66CD" w:rsidRDefault="006F605B" w:rsidP="006F605B">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17: Përmirësimi i cilësisë dhe mbulimit të AFP-së duke siguruar lidhjet me tregun e punës</w:t>
      </w:r>
    </w:p>
    <w:p w14:paraId="71B381B9" w14:textId="2AB3A4F6"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 </w:t>
      </w:r>
      <w:r w:rsidR="006F605B" w:rsidRPr="00DC66CD">
        <w:rPr>
          <w:rFonts w:ascii="Garamond" w:hAnsi="Garamond"/>
          <w:color w:val="auto"/>
          <w:sz w:val="24"/>
          <w:szCs w:val="24"/>
        </w:rPr>
        <w:t>Përshkrimi</w:t>
      </w:r>
    </w:p>
    <w:p w14:paraId="0E848BFF" w14:textId="32D0EC3D" w:rsidR="006F605B" w:rsidRPr="00DC66CD" w:rsidRDefault="006F605B" w:rsidP="006F605B">
      <w:pPr>
        <w:spacing w:after="0" w:line="240" w:lineRule="auto"/>
        <w:ind w:firstLine="284"/>
        <w:jc w:val="both"/>
        <w:rPr>
          <w:rFonts w:ascii="Garamond" w:eastAsia="Times New Roman" w:hAnsi="Garamond"/>
          <w:color w:val="000000"/>
          <w:sz w:val="24"/>
          <w:szCs w:val="24"/>
          <w:lang w:eastAsia="en-GB"/>
        </w:rPr>
      </w:pPr>
      <w:r w:rsidRPr="00DC66CD">
        <w:rPr>
          <w:rFonts w:ascii="Garamond" w:eastAsia="Times New Roman" w:hAnsi="Garamond"/>
          <w:color w:val="000000"/>
          <w:sz w:val="24"/>
          <w:szCs w:val="24"/>
          <w:lang w:eastAsia="en-GB"/>
        </w:rPr>
        <w:t>Strategjia Kombëtare e Punësimit dhe Aftësive</w:t>
      </w:r>
      <w:r w:rsidR="00C55B9F"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w:t>
      </w:r>
      <w:r w:rsidR="00433A3A" w:rsidRPr="00DC66CD">
        <w:rPr>
          <w:rFonts w:ascii="Garamond" w:eastAsia="Times New Roman" w:hAnsi="Garamond"/>
          <w:color w:val="000000"/>
          <w:sz w:val="24"/>
          <w:szCs w:val="24"/>
          <w:lang w:eastAsia="en-GB"/>
        </w:rPr>
        <w:t>2019–</w:t>
      </w:r>
      <w:r w:rsidRPr="00DC66CD">
        <w:rPr>
          <w:rFonts w:ascii="Garamond" w:eastAsia="Times New Roman" w:hAnsi="Garamond"/>
          <w:color w:val="000000"/>
          <w:sz w:val="24"/>
          <w:szCs w:val="24"/>
          <w:lang w:eastAsia="en-GB"/>
        </w:rPr>
        <w:t>2022</w:t>
      </w:r>
      <w:r w:rsidR="00C55B9F"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është dokumenti kryesor i politikës që udhëzon zbatimin e veprimeve që lidhen me punësimin dhe zhvillimin e aftësive në vend. Objektivat (</w:t>
      </w:r>
      <w:r w:rsidR="00C55B9F" w:rsidRPr="00DC66CD">
        <w:rPr>
          <w:rFonts w:ascii="Garamond" w:eastAsia="Times New Roman" w:hAnsi="Garamond"/>
          <w:color w:val="000000"/>
          <w:sz w:val="24"/>
          <w:szCs w:val="24"/>
          <w:lang w:eastAsia="en-GB"/>
        </w:rPr>
        <w:t xml:space="preserve">rritja </w:t>
      </w:r>
      <w:r w:rsidRPr="00DC66CD">
        <w:rPr>
          <w:rFonts w:ascii="Garamond" w:eastAsia="Times New Roman" w:hAnsi="Garamond"/>
          <w:color w:val="000000"/>
          <w:sz w:val="24"/>
          <w:szCs w:val="24"/>
          <w:lang w:eastAsia="en-GB"/>
        </w:rPr>
        <w:t>e cilësisë së rezultateve të arsimit, zhvillimi i kualifikimeve, tërheqja dhe rëndësia e sistemit të arsimit profesional dhe parashikimi i aftësive për të korrigjuar mospërputhjet dhe përmirësimi i njohjes së aftësive) do të arrihen përmes disa aktiviteteve që lidhen me modernizimin e përfshirjes në AFP</w:t>
      </w:r>
      <w:r w:rsidR="00C55B9F" w:rsidRPr="00DC66CD">
        <w:rPr>
          <w:rFonts w:ascii="Garamond" w:eastAsia="Times New Roman" w:hAnsi="Garamond"/>
          <w:color w:val="000000"/>
          <w:sz w:val="24"/>
          <w:szCs w:val="24"/>
          <w:lang w:eastAsia="en-GB"/>
        </w:rPr>
        <w:t>,</w:t>
      </w:r>
      <w:r w:rsidRPr="00DC66CD">
        <w:rPr>
          <w:rFonts w:ascii="Garamond" w:eastAsia="Times New Roman" w:hAnsi="Garamond"/>
          <w:color w:val="000000"/>
          <w:sz w:val="24"/>
          <w:szCs w:val="24"/>
          <w:lang w:eastAsia="en-GB"/>
        </w:rPr>
        <w:t xml:space="preserve"> duke synuar zhvillimin e tregut të punës.</w:t>
      </w:r>
    </w:p>
    <w:p w14:paraId="0DFB7DCC"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color w:val="000000"/>
          <w:sz w:val="24"/>
          <w:szCs w:val="24"/>
          <w:lang w:eastAsia="en-GB"/>
        </w:rPr>
        <w:t>Sigurimi i arsimit dhe aftësimit profesional cilësor për të rinjtë dhe të rriturit janë prioritetet e përgjithshme strategjike të AFP-së.</w:t>
      </w:r>
    </w:p>
    <w:p w14:paraId="4E61A777" w14:textId="7B62EB57"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13626922" w14:textId="39D4FB7B" w:rsidR="006F605B" w:rsidRPr="00DC66CD" w:rsidRDefault="001265AB" w:rsidP="001265AB">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C55B9F" w:rsidRPr="00DC66CD">
        <w:rPr>
          <w:rFonts w:ascii="Garamond" w:hAnsi="Garamond" w:cs="Times New Roman"/>
          <w:b/>
          <w:sz w:val="24"/>
          <w:szCs w:val="24"/>
        </w:rPr>
        <w:t>-ën:</w:t>
      </w:r>
    </w:p>
    <w:p w14:paraId="4167FC37" w14:textId="01EF5C81"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p</w:t>
      </w:r>
      <w:r w:rsidR="006F605B" w:rsidRPr="00DC66CD">
        <w:rPr>
          <w:rFonts w:eastAsia="Times New Roman"/>
          <w:lang w:eastAsia="en-GB"/>
        </w:rPr>
        <w:t>lani i optimizimit të ofertës së VET</w:t>
      </w:r>
      <w:r w:rsidR="00C55B9F" w:rsidRPr="00DC66CD">
        <w:rPr>
          <w:rFonts w:eastAsia="Times New Roman"/>
          <w:lang w:eastAsia="en-GB"/>
        </w:rPr>
        <w:t>-së,</w:t>
      </w:r>
      <w:r w:rsidR="006F605B" w:rsidRPr="00DC66CD">
        <w:rPr>
          <w:rFonts w:eastAsia="Times New Roman"/>
          <w:lang w:eastAsia="en-GB"/>
        </w:rPr>
        <w:t xml:space="preserve"> në përputhje me nevojat rajonale për zhvillim të aftësive hartuar dhe miratuar nga Ministria e Financave dhe Ekonomisë dhe të fillojë procesi riorganizimit të ofruesve të AFP</w:t>
      </w:r>
      <w:r w:rsidR="00C55B9F" w:rsidRPr="00DC66CD">
        <w:rPr>
          <w:rFonts w:eastAsia="Times New Roman"/>
          <w:lang w:eastAsia="en-GB"/>
        </w:rPr>
        <w:t>-së</w:t>
      </w:r>
      <w:r w:rsidR="006F605B" w:rsidRPr="00DC66CD">
        <w:rPr>
          <w:rFonts w:eastAsia="Times New Roman"/>
          <w:lang w:eastAsia="en-GB"/>
        </w:rPr>
        <w:t>;</w:t>
      </w:r>
    </w:p>
    <w:p w14:paraId="4D43B308" w14:textId="702EBF4A"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r</w:t>
      </w:r>
      <w:r w:rsidR="006F605B" w:rsidRPr="00DC66CD">
        <w:rPr>
          <w:rFonts w:eastAsia="Times New Roman"/>
          <w:lang w:eastAsia="en-GB"/>
        </w:rPr>
        <w:t>ishikimi i mekanizmave të financimit dhe buxhetimit të ofruesit të AFP-së dhe përfundimi i akteve nënligjore të autonomisë financiare;</w:t>
      </w:r>
    </w:p>
    <w:p w14:paraId="393806B5" w14:textId="4F849F69"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z</w:t>
      </w:r>
      <w:r w:rsidR="006F605B" w:rsidRPr="00DC66CD">
        <w:rPr>
          <w:rFonts w:eastAsia="Times New Roman"/>
          <w:lang w:eastAsia="en-GB"/>
        </w:rPr>
        <w:t>hvillimi i kompetencat për 200 mësues të AFP-së, si dhe të trajnuesve të mësuesve (fillimi i një trajnimi profesional të vazhdueshëm)</w:t>
      </w:r>
      <w:r w:rsidR="00C55B9F" w:rsidRPr="00DC66CD">
        <w:rPr>
          <w:rFonts w:eastAsia="Times New Roman"/>
          <w:lang w:eastAsia="en-GB"/>
        </w:rPr>
        <w:t>,</w:t>
      </w:r>
      <w:r w:rsidR="006F605B" w:rsidRPr="00DC66CD">
        <w:rPr>
          <w:rFonts w:eastAsia="Times New Roman"/>
          <w:lang w:eastAsia="en-GB"/>
        </w:rPr>
        <w:t xml:space="preserve"> (MFE</w:t>
      </w:r>
      <w:r w:rsidR="00C55B9F" w:rsidRPr="00DC66CD">
        <w:rPr>
          <w:rFonts w:eastAsia="Times New Roman"/>
          <w:lang w:eastAsia="en-GB"/>
        </w:rPr>
        <w:t>,</w:t>
      </w:r>
      <w:r w:rsidR="006F605B" w:rsidRPr="00DC66CD">
        <w:rPr>
          <w:rFonts w:eastAsia="Times New Roman"/>
          <w:lang w:eastAsia="en-GB"/>
        </w:rPr>
        <w:t xml:space="preserve"> NAVETQ</w:t>
      </w:r>
      <w:r w:rsidR="00C55B9F" w:rsidRPr="00DC66CD">
        <w:rPr>
          <w:rFonts w:eastAsia="Times New Roman"/>
          <w:lang w:eastAsia="en-GB"/>
        </w:rPr>
        <w:t>,</w:t>
      </w:r>
      <w:r w:rsidR="006F605B" w:rsidRPr="00DC66CD">
        <w:rPr>
          <w:rFonts w:eastAsia="Times New Roman"/>
          <w:lang w:eastAsia="en-GB"/>
        </w:rPr>
        <w:t xml:space="preserve"> ofrues të AFP</w:t>
      </w:r>
      <w:r w:rsidR="00C55B9F" w:rsidRPr="00DC66CD">
        <w:rPr>
          <w:rFonts w:eastAsia="Times New Roman"/>
          <w:lang w:eastAsia="en-GB"/>
        </w:rPr>
        <w:t>-së</w:t>
      </w:r>
      <w:r w:rsidR="006F605B" w:rsidRPr="00DC66CD">
        <w:rPr>
          <w:rFonts w:eastAsia="Times New Roman"/>
          <w:lang w:eastAsia="en-GB"/>
        </w:rPr>
        <w:t>);</w:t>
      </w:r>
    </w:p>
    <w:p w14:paraId="35662E90" w14:textId="51758738"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a</w:t>
      </w:r>
      <w:r w:rsidR="006F605B" w:rsidRPr="00DC66CD">
        <w:rPr>
          <w:rFonts w:eastAsia="Times New Roman"/>
          <w:lang w:eastAsia="en-GB"/>
        </w:rPr>
        <w:t>naliza e sistemeve ekzistuese të informacionit për AFP;</w:t>
      </w:r>
    </w:p>
    <w:p w14:paraId="2C1517DD" w14:textId="4FD176EC"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f</w:t>
      </w:r>
      <w:r w:rsidR="006F605B" w:rsidRPr="00DC66CD">
        <w:rPr>
          <w:rFonts w:eastAsia="Times New Roman"/>
          <w:lang w:eastAsia="en-GB"/>
        </w:rPr>
        <w:t>orcimi dhe zhvillimi i kapaciteteve të AKPA</w:t>
      </w:r>
      <w:r w:rsidR="00C55B9F" w:rsidRPr="00DC66CD">
        <w:rPr>
          <w:rFonts w:eastAsia="Times New Roman"/>
          <w:lang w:eastAsia="en-GB"/>
        </w:rPr>
        <w:t>-së</w:t>
      </w:r>
      <w:r w:rsidR="006F605B" w:rsidRPr="00DC66CD">
        <w:rPr>
          <w:rFonts w:eastAsia="Times New Roman"/>
          <w:lang w:eastAsia="en-GB"/>
        </w:rPr>
        <w:t xml:space="preserve"> dhe AKAFPK</w:t>
      </w:r>
      <w:r w:rsidR="00C55B9F" w:rsidRPr="00DC66CD">
        <w:rPr>
          <w:rFonts w:eastAsia="Times New Roman"/>
          <w:lang w:eastAsia="en-GB"/>
        </w:rPr>
        <w:t>-së</w:t>
      </w:r>
      <w:r w:rsidR="006F605B" w:rsidRPr="00DC66CD">
        <w:rPr>
          <w:rFonts w:eastAsia="Times New Roman"/>
          <w:lang w:eastAsia="en-GB"/>
        </w:rPr>
        <w:t>;</w:t>
      </w:r>
    </w:p>
    <w:p w14:paraId="4041530D" w14:textId="414DE3F8"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n</w:t>
      </w:r>
      <w:r w:rsidR="006F605B" w:rsidRPr="00DC66CD">
        <w:rPr>
          <w:rFonts w:eastAsia="Times New Roman"/>
          <w:lang w:eastAsia="en-GB"/>
        </w:rPr>
        <w:t>gritja e Këshillit Kombëtar të AFP-së;</w:t>
      </w:r>
    </w:p>
    <w:p w14:paraId="251BE46E" w14:textId="52E03501"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r</w:t>
      </w:r>
      <w:r w:rsidR="006F605B" w:rsidRPr="00DC66CD">
        <w:rPr>
          <w:rFonts w:eastAsia="Times New Roman"/>
          <w:lang w:eastAsia="en-GB"/>
        </w:rPr>
        <w:t>ishikimi i kualifikimeve profesionale</w:t>
      </w:r>
      <w:r w:rsidR="00C55B9F" w:rsidRPr="00DC66CD">
        <w:rPr>
          <w:rFonts w:eastAsia="Times New Roman"/>
          <w:lang w:eastAsia="en-GB"/>
        </w:rPr>
        <w:t>,</w:t>
      </w:r>
      <w:r w:rsidR="006F605B" w:rsidRPr="00DC66CD">
        <w:rPr>
          <w:rFonts w:eastAsia="Times New Roman"/>
          <w:lang w:eastAsia="en-GB"/>
        </w:rPr>
        <w:t xml:space="preserve"> në përputhje me KSHK</w:t>
      </w:r>
      <w:r w:rsidR="00C55B9F" w:rsidRPr="00DC66CD">
        <w:rPr>
          <w:rFonts w:eastAsia="Times New Roman"/>
          <w:lang w:eastAsia="en-GB"/>
        </w:rPr>
        <w:t>-në</w:t>
      </w:r>
      <w:r w:rsidR="006F605B" w:rsidRPr="00DC66CD">
        <w:rPr>
          <w:rFonts w:eastAsia="Times New Roman"/>
          <w:lang w:eastAsia="en-GB"/>
        </w:rPr>
        <w:t xml:space="preserve"> dhe nevojave të tregut të punës.</w:t>
      </w:r>
    </w:p>
    <w:p w14:paraId="3A17071C" w14:textId="62FE9DE4" w:rsidR="006F605B" w:rsidRPr="00DC66CD" w:rsidRDefault="001265AB" w:rsidP="001265AB">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C55B9F" w:rsidRPr="00DC66CD">
        <w:rPr>
          <w:rFonts w:ascii="Garamond" w:hAnsi="Garamond" w:cs="Times New Roman"/>
          <w:b/>
          <w:sz w:val="24"/>
          <w:szCs w:val="24"/>
        </w:rPr>
        <w:t>-shin:</w:t>
      </w:r>
    </w:p>
    <w:p w14:paraId="20788B06" w14:textId="332C9359"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p</w:t>
      </w:r>
      <w:r w:rsidR="006F605B" w:rsidRPr="00DC66CD">
        <w:rPr>
          <w:rFonts w:eastAsia="Times New Roman"/>
          <w:lang w:eastAsia="en-GB"/>
        </w:rPr>
        <w:t>ërmirësimi i cilësisë së AFP</w:t>
      </w:r>
      <w:r w:rsidR="00C55B9F" w:rsidRPr="00DC66CD">
        <w:rPr>
          <w:rFonts w:eastAsia="Times New Roman"/>
          <w:lang w:eastAsia="en-GB"/>
        </w:rPr>
        <w:t>-së</w:t>
      </w:r>
      <w:r w:rsidR="006F605B" w:rsidRPr="00DC66CD">
        <w:rPr>
          <w:rFonts w:eastAsia="Times New Roman"/>
          <w:lang w:eastAsia="en-GB"/>
        </w:rPr>
        <w:t>, përmes investimeve në infrastrukturë (MFE</w:t>
      </w:r>
      <w:r w:rsidR="00C55B9F" w:rsidRPr="00DC66CD">
        <w:rPr>
          <w:rFonts w:eastAsia="Times New Roman"/>
          <w:lang w:eastAsia="en-GB"/>
        </w:rPr>
        <w:t>,</w:t>
      </w:r>
      <w:r w:rsidR="006F605B" w:rsidRPr="00DC66CD">
        <w:rPr>
          <w:rFonts w:eastAsia="Times New Roman"/>
          <w:lang w:eastAsia="en-GB"/>
        </w:rPr>
        <w:t xml:space="preserve"> NAES</w:t>
      </w:r>
      <w:r w:rsidR="00C55B9F" w:rsidRPr="00DC66CD">
        <w:rPr>
          <w:rFonts w:eastAsia="Times New Roman"/>
          <w:lang w:eastAsia="en-GB"/>
        </w:rPr>
        <w:t>,</w:t>
      </w:r>
      <w:r w:rsidR="006F605B" w:rsidRPr="00DC66CD">
        <w:rPr>
          <w:rFonts w:eastAsia="Times New Roman"/>
          <w:lang w:eastAsia="en-GB"/>
        </w:rPr>
        <w:t xml:space="preserve"> NAVETQ);</w:t>
      </w:r>
    </w:p>
    <w:p w14:paraId="4B7A3474" w14:textId="728FEACB"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z</w:t>
      </w:r>
      <w:r w:rsidR="006F605B" w:rsidRPr="00DC66CD">
        <w:rPr>
          <w:rFonts w:eastAsia="Times New Roman"/>
          <w:lang w:eastAsia="en-GB"/>
        </w:rPr>
        <w:t>hvillimi i kompetencave të 250 mësuesve të AFP-së, si dhe të trajnuesve të mësuesve;</w:t>
      </w:r>
    </w:p>
    <w:p w14:paraId="2A3B26BA" w14:textId="72B27DEB"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k</w:t>
      </w:r>
      <w:r w:rsidR="006F605B" w:rsidRPr="00DC66CD">
        <w:rPr>
          <w:rFonts w:eastAsia="Times New Roman"/>
          <w:lang w:eastAsia="en-GB"/>
        </w:rPr>
        <w:t>rijimi i sistemit të informacionit për AFP</w:t>
      </w:r>
      <w:r w:rsidR="00C55B9F" w:rsidRPr="00DC66CD">
        <w:rPr>
          <w:rFonts w:eastAsia="Times New Roman"/>
          <w:lang w:eastAsia="en-GB"/>
        </w:rPr>
        <w:t>-në</w:t>
      </w:r>
      <w:r w:rsidR="006F605B" w:rsidRPr="00DC66CD">
        <w:rPr>
          <w:rFonts w:eastAsia="Times New Roman"/>
          <w:lang w:eastAsia="en-GB"/>
        </w:rPr>
        <w:t>;</w:t>
      </w:r>
    </w:p>
    <w:p w14:paraId="3A496637" w14:textId="22E4DBBC"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z</w:t>
      </w:r>
      <w:r w:rsidR="006F605B" w:rsidRPr="00DC66CD">
        <w:rPr>
          <w:rFonts w:eastAsia="Times New Roman"/>
          <w:lang w:eastAsia="en-GB"/>
        </w:rPr>
        <w:t>hvillimi</w:t>
      </w:r>
      <w:r w:rsidR="0072211B" w:rsidRPr="00DC66CD">
        <w:rPr>
          <w:rFonts w:eastAsia="Times New Roman"/>
          <w:lang w:eastAsia="en-GB"/>
        </w:rPr>
        <w:t xml:space="preserve"> </w:t>
      </w:r>
      <w:r w:rsidR="006F605B" w:rsidRPr="00DC66CD">
        <w:rPr>
          <w:rFonts w:eastAsia="Times New Roman"/>
          <w:lang w:eastAsia="en-GB"/>
        </w:rPr>
        <w:t>dhe zbatimi i KSHK</w:t>
      </w:r>
      <w:r w:rsidR="00C55B9F" w:rsidRPr="00DC66CD">
        <w:rPr>
          <w:rFonts w:eastAsia="Times New Roman"/>
          <w:lang w:eastAsia="en-GB"/>
        </w:rPr>
        <w:t>-së</w:t>
      </w:r>
      <w:r w:rsidR="006F605B" w:rsidRPr="00DC66CD">
        <w:rPr>
          <w:rFonts w:eastAsia="Times New Roman"/>
          <w:lang w:eastAsia="en-GB"/>
        </w:rPr>
        <w:t>.</w:t>
      </w:r>
    </w:p>
    <w:p w14:paraId="2CE3321C" w14:textId="5CFC1D7A" w:rsidR="006F605B" w:rsidRPr="00DC66CD" w:rsidRDefault="001265AB" w:rsidP="001265AB">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C55B9F" w:rsidRPr="00DC66CD">
        <w:rPr>
          <w:rFonts w:ascii="Garamond" w:hAnsi="Garamond" w:cs="Times New Roman"/>
          <w:b/>
          <w:sz w:val="24"/>
          <w:szCs w:val="24"/>
        </w:rPr>
        <w:t>-shin:</w:t>
      </w:r>
    </w:p>
    <w:p w14:paraId="230625C1" w14:textId="1EE33D91"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r</w:t>
      </w:r>
      <w:r w:rsidR="006F605B" w:rsidRPr="00DC66CD">
        <w:rPr>
          <w:rFonts w:eastAsia="Times New Roman"/>
          <w:lang w:eastAsia="en-GB"/>
        </w:rPr>
        <w:t>ritja e cilësisë së AAP</w:t>
      </w:r>
      <w:r w:rsidR="00C55B9F" w:rsidRPr="00DC66CD">
        <w:rPr>
          <w:rFonts w:eastAsia="Times New Roman"/>
          <w:lang w:eastAsia="en-GB"/>
        </w:rPr>
        <w:t>-së</w:t>
      </w:r>
      <w:r w:rsidR="006F605B" w:rsidRPr="00DC66CD">
        <w:rPr>
          <w:rFonts w:eastAsia="Times New Roman"/>
          <w:lang w:eastAsia="en-GB"/>
        </w:rPr>
        <w:t xml:space="preserve"> përmes investimeve në infrastrukturë;</w:t>
      </w:r>
    </w:p>
    <w:p w14:paraId="3DE31ED3" w14:textId="1D93D29B"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z</w:t>
      </w:r>
      <w:r w:rsidR="006F605B" w:rsidRPr="00DC66CD">
        <w:rPr>
          <w:rFonts w:eastAsia="Times New Roman"/>
          <w:lang w:eastAsia="en-GB"/>
        </w:rPr>
        <w:t>hvillimi i kompetencave të 300 mësimdhënësve të AAP-së dhe mbështetjen e stafit as dhe trajnuesit e mësuesve (MEF</w:t>
      </w:r>
      <w:r w:rsidR="00C55B9F" w:rsidRPr="00DC66CD">
        <w:rPr>
          <w:rFonts w:eastAsia="Times New Roman"/>
          <w:lang w:eastAsia="en-GB"/>
        </w:rPr>
        <w:t>,</w:t>
      </w:r>
      <w:r w:rsidR="006F605B" w:rsidRPr="00DC66CD">
        <w:rPr>
          <w:rFonts w:eastAsia="Times New Roman"/>
          <w:lang w:eastAsia="en-GB"/>
        </w:rPr>
        <w:t xml:space="preserve"> NAES, AKAFPK);</w:t>
      </w:r>
    </w:p>
    <w:p w14:paraId="4D2269F4" w14:textId="5E45AC63" w:rsidR="006F605B" w:rsidRPr="00DC66CD" w:rsidRDefault="001265AB" w:rsidP="001265AB">
      <w:pPr>
        <w:pStyle w:val="TEKSTIIII"/>
      </w:pPr>
      <w:r w:rsidRPr="00DC66CD">
        <w:rPr>
          <w:rFonts w:eastAsia="Times New Roman"/>
          <w:lang w:eastAsia="en-GB"/>
        </w:rPr>
        <w:t>-</w:t>
      </w:r>
      <w:r w:rsidR="00C55B9F" w:rsidRPr="00DC66CD">
        <w:rPr>
          <w:rFonts w:eastAsia="Times New Roman"/>
          <w:lang w:eastAsia="en-GB"/>
        </w:rPr>
        <w:t xml:space="preserve"> t</w:t>
      </w:r>
      <w:r w:rsidR="006F605B" w:rsidRPr="00DC66CD">
        <w:rPr>
          <w:rFonts w:eastAsia="Times New Roman"/>
          <w:lang w:eastAsia="en-GB"/>
        </w:rPr>
        <w:t>hemelimi i Komitetit të Dytë sektorial (</w:t>
      </w:r>
      <w:r w:rsidR="00C55B9F" w:rsidRPr="00DC66CD">
        <w:rPr>
          <w:rFonts w:eastAsia="Times New Roman"/>
          <w:lang w:eastAsia="en-GB"/>
        </w:rPr>
        <w:t xml:space="preserve">teknologjia </w:t>
      </w:r>
      <w:r w:rsidR="006F605B" w:rsidRPr="00DC66CD">
        <w:rPr>
          <w:rFonts w:eastAsia="Times New Roman"/>
          <w:lang w:eastAsia="en-GB"/>
        </w:rPr>
        <w:t>e informacionit dhe komunikimi).</w:t>
      </w:r>
    </w:p>
    <w:p w14:paraId="23AB0D14" w14:textId="3EDEB669"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1"/>
        <w:gridCol w:w="1108"/>
        <w:gridCol w:w="1405"/>
        <w:gridCol w:w="1116"/>
      </w:tblGrid>
      <w:tr w:rsidR="006F605B" w:rsidRPr="00DC66CD" w14:paraId="124928FB" w14:textId="77777777" w:rsidTr="004F4E33">
        <w:trPr>
          <w:jc w:val="center"/>
        </w:trPr>
        <w:tc>
          <w:tcPr>
            <w:tcW w:w="5949" w:type="dxa"/>
            <w:vAlign w:val="center"/>
          </w:tcPr>
          <w:p w14:paraId="74217315"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1134" w:type="dxa"/>
            <w:vAlign w:val="center"/>
          </w:tcPr>
          <w:p w14:paraId="4248DD06"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Bazë (2014)</w:t>
            </w:r>
          </w:p>
        </w:tc>
        <w:tc>
          <w:tcPr>
            <w:tcW w:w="1416" w:type="dxa"/>
            <w:vAlign w:val="center"/>
          </w:tcPr>
          <w:p w14:paraId="0053F458" w14:textId="7EA4B431" w:rsidR="006F605B" w:rsidRPr="00DC66CD" w:rsidRDefault="00C27435"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(2018)</w:t>
            </w:r>
          </w:p>
        </w:tc>
        <w:tc>
          <w:tcPr>
            <w:tcW w:w="1123" w:type="dxa"/>
            <w:vAlign w:val="center"/>
          </w:tcPr>
          <w:p w14:paraId="2FD17A2F"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Objektivi (2022)</w:t>
            </w:r>
          </w:p>
        </w:tc>
      </w:tr>
      <w:tr w:rsidR="006F605B" w:rsidRPr="00DC66CD" w14:paraId="2AD88DF7" w14:textId="77777777" w:rsidTr="004F4E33">
        <w:trPr>
          <w:jc w:val="center"/>
        </w:trPr>
        <w:tc>
          <w:tcPr>
            <w:tcW w:w="5949" w:type="dxa"/>
          </w:tcPr>
          <w:p w14:paraId="1BB5E71F" w14:textId="77777777" w:rsidR="006F605B" w:rsidRPr="00DC66CD" w:rsidRDefault="006F605B" w:rsidP="001265AB">
            <w:pPr>
              <w:snapToGrid w:val="0"/>
              <w:spacing w:after="0" w:line="240" w:lineRule="auto"/>
              <w:rPr>
                <w:rFonts w:ascii="Garamond" w:hAnsi="Garamond"/>
                <w:sz w:val="20"/>
                <w:szCs w:val="20"/>
              </w:rPr>
            </w:pPr>
            <w:r w:rsidRPr="00DC66CD">
              <w:rPr>
                <w:rFonts w:ascii="Garamond" w:eastAsia="Times New Roman" w:hAnsi="Garamond"/>
                <w:sz w:val="20"/>
                <w:szCs w:val="20"/>
                <w:lang w:eastAsia="en-GB"/>
              </w:rPr>
              <w:t>% e të diplomuarve tani në punë</w:t>
            </w:r>
          </w:p>
        </w:tc>
        <w:tc>
          <w:tcPr>
            <w:tcW w:w="1134" w:type="dxa"/>
          </w:tcPr>
          <w:p w14:paraId="2C70641C" w14:textId="77777777" w:rsidR="006F605B" w:rsidRPr="00DC66CD" w:rsidRDefault="006F605B" w:rsidP="001265AB">
            <w:pPr>
              <w:snapToGrid w:val="0"/>
              <w:spacing w:after="0" w:line="240" w:lineRule="auto"/>
              <w:rPr>
                <w:rFonts w:ascii="Garamond" w:hAnsi="Garamond"/>
                <w:sz w:val="20"/>
                <w:szCs w:val="20"/>
              </w:rPr>
            </w:pPr>
          </w:p>
        </w:tc>
        <w:tc>
          <w:tcPr>
            <w:tcW w:w="1416" w:type="dxa"/>
          </w:tcPr>
          <w:p w14:paraId="6EBD4376" w14:textId="77777777" w:rsidR="006F605B" w:rsidRPr="00DC66CD" w:rsidRDefault="006F605B" w:rsidP="001265AB">
            <w:pPr>
              <w:snapToGrid w:val="0"/>
              <w:spacing w:after="0" w:line="240" w:lineRule="auto"/>
              <w:rPr>
                <w:rFonts w:ascii="Garamond" w:hAnsi="Garamond"/>
                <w:sz w:val="20"/>
                <w:szCs w:val="20"/>
              </w:rPr>
            </w:pPr>
          </w:p>
        </w:tc>
        <w:tc>
          <w:tcPr>
            <w:tcW w:w="1123" w:type="dxa"/>
          </w:tcPr>
          <w:p w14:paraId="6DD1F608" w14:textId="77777777" w:rsidR="006F605B" w:rsidRPr="00DC66CD" w:rsidRDefault="006F605B" w:rsidP="001265AB">
            <w:pPr>
              <w:snapToGrid w:val="0"/>
              <w:spacing w:after="0" w:line="240" w:lineRule="auto"/>
              <w:rPr>
                <w:rFonts w:ascii="Garamond" w:hAnsi="Garamond"/>
                <w:sz w:val="20"/>
                <w:szCs w:val="20"/>
              </w:rPr>
            </w:pPr>
          </w:p>
        </w:tc>
      </w:tr>
      <w:tr w:rsidR="006F605B" w:rsidRPr="00DC66CD" w14:paraId="754CB939" w14:textId="77777777" w:rsidTr="004F4E33">
        <w:trPr>
          <w:jc w:val="center"/>
        </w:trPr>
        <w:tc>
          <w:tcPr>
            <w:tcW w:w="5949" w:type="dxa"/>
          </w:tcPr>
          <w:p w14:paraId="50CAF65A" w14:textId="77777777" w:rsidR="006F605B" w:rsidRPr="00DC66CD" w:rsidRDefault="006F605B" w:rsidP="001265AB">
            <w:pPr>
              <w:snapToGrid w:val="0"/>
              <w:spacing w:after="0" w:line="240" w:lineRule="auto"/>
              <w:rPr>
                <w:rFonts w:ascii="Garamond" w:hAnsi="Garamond"/>
                <w:sz w:val="20"/>
                <w:szCs w:val="20"/>
              </w:rPr>
            </w:pPr>
            <w:r w:rsidRPr="00DC66CD">
              <w:rPr>
                <w:rFonts w:ascii="Garamond" w:eastAsia="Times New Roman" w:hAnsi="Garamond"/>
                <w:sz w:val="20"/>
                <w:szCs w:val="20"/>
                <w:lang w:eastAsia="en-GB"/>
              </w:rPr>
              <w:t>% e mësuesve të trajnuar në trajnim gjatë gjithë jetës</w:t>
            </w:r>
          </w:p>
        </w:tc>
        <w:tc>
          <w:tcPr>
            <w:tcW w:w="1134" w:type="dxa"/>
          </w:tcPr>
          <w:p w14:paraId="1559A853" w14:textId="77777777" w:rsidR="006F605B" w:rsidRPr="00DC66CD" w:rsidRDefault="006F605B" w:rsidP="00C55B9F">
            <w:pPr>
              <w:snapToGrid w:val="0"/>
              <w:spacing w:after="0" w:line="240" w:lineRule="auto"/>
              <w:jc w:val="right"/>
              <w:rPr>
                <w:rFonts w:ascii="Garamond" w:hAnsi="Garamond"/>
                <w:sz w:val="20"/>
                <w:szCs w:val="20"/>
              </w:rPr>
            </w:pPr>
            <w:r w:rsidRPr="00DC66CD">
              <w:rPr>
                <w:rFonts w:ascii="Garamond" w:eastAsia="Times New Roman" w:hAnsi="Garamond"/>
                <w:sz w:val="20"/>
                <w:szCs w:val="20"/>
                <w:lang w:eastAsia="en-GB"/>
              </w:rPr>
              <w:t>0</w:t>
            </w:r>
          </w:p>
        </w:tc>
        <w:tc>
          <w:tcPr>
            <w:tcW w:w="1416" w:type="dxa"/>
          </w:tcPr>
          <w:p w14:paraId="2B9B3286" w14:textId="77777777" w:rsidR="006F605B" w:rsidRPr="00DC66CD" w:rsidRDefault="006F605B" w:rsidP="00C55B9F">
            <w:pPr>
              <w:snapToGrid w:val="0"/>
              <w:spacing w:after="0" w:line="240" w:lineRule="auto"/>
              <w:jc w:val="right"/>
              <w:rPr>
                <w:rFonts w:ascii="Garamond" w:hAnsi="Garamond"/>
                <w:sz w:val="20"/>
                <w:szCs w:val="20"/>
              </w:rPr>
            </w:pPr>
            <w:r w:rsidRPr="00DC66CD">
              <w:rPr>
                <w:rFonts w:ascii="Garamond" w:eastAsia="Times New Roman" w:hAnsi="Garamond"/>
                <w:sz w:val="20"/>
                <w:szCs w:val="20"/>
                <w:lang w:eastAsia="en-GB"/>
              </w:rPr>
              <w:t>70%</w:t>
            </w:r>
          </w:p>
        </w:tc>
        <w:tc>
          <w:tcPr>
            <w:tcW w:w="1123" w:type="dxa"/>
          </w:tcPr>
          <w:p w14:paraId="7BEE0542" w14:textId="77777777" w:rsidR="006F605B" w:rsidRPr="00DC66CD" w:rsidRDefault="006F605B" w:rsidP="00C55B9F">
            <w:pPr>
              <w:snapToGrid w:val="0"/>
              <w:spacing w:after="0" w:line="240" w:lineRule="auto"/>
              <w:jc w:val="right"/>
              <w:rPr>
                <w:rFonts w:ascii="Garamond" w:hAnsi="Garamond"/>
                <w:sz w:val="20"/>
                <w:szCs w:val="20"/>
              </w:rPr>
            </w:pPr>
            <w:r w:rsidRPr="00DC66CD">
              <w:rPr>
                <w:rFonts w:ascii="Garamond" w:eastAsia="Times New Roman" w:hAnsi="Garamond"/>
                <w:sz w:val="20"/>
                <w:szCs w:val="20"/>
                <w:lang w:eastAsia="en-GB"/>
              </w:rPr>
              <w:t>100%</w:t>
            </w:r>
          </w:p>
        </w:tc>
      </w:tr>
      <w:tr w:rsidR="006F605B" w:rsidRPr="00DC66CD" w14:paraId="6D30BD1C" w14:textId="77777777" w:rsidTr="004F4E33">
        <w:trPr>
          <w:jc w:val="center"/>
        </w:trPr>
        <w:tc>
          <w:tcPr>
            <w:tcW w:w="5949" w:type="dxa"/>
          </w:tcPr>
          <w:p w14:paraId="1B6AB07A" w14:textId="77777777" w:rsidR="006F605B" w:rsidRPr="00DC66CD" w:rsidRDefault="006F605B" w:rsidP="001265AB">
            <w:pPr>
              <w:snapToGrid w:val="0"/>
              <w:spacing w:after="0" w:line="240" w:lineRule="auto"/>
              <w:rPr>
                <w:rFonts w:ascii="Garamond" w:hAnsi="Garamond"/>
                <w:sz w:val="20"/>
                <w:szCs w:val="20"/>
              </w:rPr>
            </w:pPr>
            <w:r w:rsidRPr="00DC66CD">
              <w:rPr>
                <w:rFonts w:ascii="Garamond" w:eastAsia="Times New Roman" w:hAnsi="Garamond"/>
                <w:sz w:val="20"/>
                <w:szCs w:val="20"/>
                <w:lang w:eastAsia="en-GB"/>
              </w:rPr>
              <w:t>Numri i regjistrimeve në AP dhe % e studentëve që ndjekin arsimin e mesëm të përgjithshëm</w:t>
            </w:r>
          </w:p>
        </w:tc>
        <w:tc>
          <w:tcPr>
            <w:tcW w:w="1134" w:type="dxa"/>
          </w:tcPr>
          <w:p w14:paraId="6700FA08" w14:textId="77777777" w:rsidR="006F605B" w:rsidRPr="00DC66CD" w:rsidRDefault="006F605B" w:rsidP="00C55B9F">
            <w:pPr>
              <w:snapToGrid w:val="0"/>
              <w:spacing w:after="0" w:line="240" w:lineRule="auto"/>
              <w:jc w:val="right"/>
              <w:rPr>
                <w:rFonts w:ascii="Garamond" w:hAnsi="Garamond"/>
                <w:sz w:val="20"/>
                <w:szCs w:val="20"/>
              </w:rPr>
            </w:pPr>
            <w:r w:rsidRPr="00DC66CD">
              <w:rPr>
                <w:rFonts w:ascii="Garamond" w:eastAsia="Times New Roman" w:hAnsi="Garamond"/>
                <w:sz w:val="20"/>
                <w:szCs w:val="20"/>
                <w:lang w:eastAsia="en-GB"/>
              </w:rPr>
              <w:t>14%</w:t>
            </w:r>
          </w:p>
        </w:tc>
        <w:tc>
          <w:tcPr>
            <w:tcW w:w="1416" w:type="dxa"/>
          </w:tcPr>
          <w:p w14:paraId="2B84EA36" w14:textId="77777777" w:rsidR="006F605B" w:rsidRPr="00DC66CD" w:rsidRDefault="006F605B" w:rsidP="00C55B9F">
            <w:pPr>
              <w:snapToGrid w:val="0"/>
              <w:spacing w:after="0" w:line="240" w:lineRule="auto"/>
              <w:jc w:val="right"/>
              <w:rPr>
                <w:rFonts w:ascii="Garamond" w:hAnsi="Garamond"/>
                <w:sz w:val="20"/>
                <w:szCs w:val="20"/>
              </w:rPr>
            </w:pPr>
            <w:r w:rsidRPr="00DC66CD">
              <w:rPr>
                <w:rFonts w:ascii="Garamond" w:eastAsia="Times New Roman" w:hAnsi="Garamond"/>
                <w:sz w:val="20"/>
                <w:szCs w:val="20"/>
                <w:lang w:eastAsia="en-GB"/>
              </w:rPr>
              <w:t>19.8%</w:t>
            </w:r>
          </w:p>
        </w:tc>
        <w:tc>
          <w:tcPr>
            <w:tcW w:w="1123" w:type="dxa"/>
          </w:tcPr>
          <w:p w14:paraId="2519E346" w14:textId="77777777" w:rsidR="006F605B" w:rsidRPr="00DC66CD" w:rsidRDefault="006F605B" w:rsidP="00C55B9F">
            <w:pPr>
              <w:snapToGrid w:val="0"/>
              <w:spacing w:after="0" w:line="240" w:lineRule="auto"/>
              <w:jc w:val="right"/>
              <w:rPr>
                <w:rFonts w:ascii="Garamond" w:hAnsi="Garamond"/>
                <w:sz w:val="20"/>
                <w:szCs w:val="20"/>
              </w:rPr>
            </w:pPr>
            <w:r w:rsidRPr="00DC66CD">
              <w:rPr>
                <w:rFonts w:ascii="Garamond" w:eastAsia="Times New Roman" w:hAnsi="Garamond"/>
                <w:sz w:val="20"/>
                <w:szCs w:val="20"/>
                <w:lang w:eastAsia="en-GB"/>
              </w:rPr>
              <w:t>21%</w:t>
            </w:r>
          </w:p>
        </w:tc>
      </w:tr>
      <w:tr w:rsidR="006F605B" w:rsidRPr="00DC66CD" w14:paraId="463085CF" w14:textId="77777777" w:rsidTr="004F4E33">
        <w:trPr>
          <w:jc w:val="center"/>
        </w:trPr>
        <w:tc>
          <w:tcPr>
            <w:tcW w:w="5949" w:type="dxa"/>
          </w:tcPr>
          <w:p w14:paraId="01D3BC5C" w14:textId="0FC00762" w:rsidR="006F605B" w:rsidRPr="00DC66CD" w:rsidRDefault="006F605B" w:rsidP="001265AB">
            <w:pPr>
              <w:snapToGrid w:val="0"/>
              <w:spacing w:after="0" w:line="240" w:lineRule="auto"/>
              <w:rPr>
                <w:rFonts w:ascii="Garamond" w:hAnsi="Garamond"/>
                <w:sz w:val="20"/>
                <w:szCs w:val="20"/>
              </w:rPr>
            </w:pPr>
            <w:r w:rsidRPr="00DC66CD">
              <w:rPr>
                <w:rFonts w:ascii="Garamond" w:eastAsia="Times New Roman" w:hAnsi="Garamond"/>
                <w:sz w:val="20"/>
                <w:szCs w:val="20"/>
                <w:lang w:eastAsia="en-GB"/>
              </w:rPr>
              <w:t>% e studentëve femra që ndjekin shkollat e AP</w:t>
            </w:r>
            <w:r w:rsidR="00C55B9F" w:rsidRPr="00DC66CD">
              <w:rPr>
                <w:rFonts w:ascii="Garamond" w:eastAsia="Times New Roman" w:hAnsi="Garamond"/>
                <w:sz w:val="20"/>
                <w:szCs w:val="20"/>
                <w:lang w:eastAsia="en-GB"/>
              </w:rPr>
              <w:t>-së</w:t>
            </w:r>
          </w:p>
        </w:tc>
        <w:tc>
          <w:tcPr>
            <w:tcW w:w="1134" w:type="dxa"/>
          </w:tcPr>
          <w:p w14:paraId="32EDB92A" w14:textId="77777777" w:rsidR="006F605B" w:rsidRPr="00DC66CD" w:rsidRDefault="006F605B" w:rsidP="00C55B9F">
            <w:pPr>
              <w:snapToGrid w:val="0"/>
              <w:spacing w:after="0" w:line="240" w:lineRule="auto"/>
              <w:jc w:val="right"/>
              <w:rPr>
                <w:rFonts w:ascii="Garamond" w:hAnsi="Garamond"/>
                <w:sz w:val="20"/>
                <w:szCs w:val="20"/>
              </w:rPr>
            </w:pPr>
            <w:r w:rsidRPr="00DC66CD">
              <w:rPr>
                <w:rFonts w:ascii="Garamond" w:eastAsia="Times New Roman" w:hAnsi="Garamond"/>
                <w:sz w:val="20"/>
                <w:szCs w:val="20"/>
                <w:lang w:eastAsia="en-GB"/>
              </w:rPr>
              <w:t>10</w:t>
            </w:r>
          </w:p>
        </w:tc>
        <w:tc>
          <w:tcPr>
            <w:tcW w:w="1416" w:type="dxa"/>
          </w:tcPr>
          <w:p w14:paraId="64E54C63" w14:textId="77777777" w:rsidR="006F605B" w:rsidRPr="00DC66CD" w:rsidRDefault="006F605B" w:rsidP="00C55B9F">
            <w:pPr>
              <w:snapToGrid w:val="0"/>
              <w:spacing w:after="0" w:line="240" w:lineRule="auto"/>
              <w:jc w:val="right"/>
              <w:rPr>
                <w:rFonts w:ascii="Garamond" w:hAnsi="Garamond"/>
                <w:sz w:val="20"/>
                <w:szCs w:val="20"/>
              </w:rPr>
            </w:pPr>
            <w:r w:rsidRPr="00DC66CD">
              <w:rPr>
                <w:rFonts w:ascii="Garamond" w:eastAsia="Times New Roman" w:hAnsi="Garamond"/>
                <w:sz w:val="20"/>
                <w:szCs w:val="20"/>
                <w:lang w:eastAsia="en-GB"/>
              </w:rPr>
              <w:t>16</w:t>
            </w:r>
          </w:p>
        </w:tc>
        <w:tc>
          <w:tcPr>
            <w:tcW w:w="1123" w:type="dxa"/>
          </w:tcPr>
          <w:p w14:paraId="4BB0516C" w14:textId="77777777" w:rsidR="006F605B" w:rsidRPr="00DC66CD" w:rsidRDefault="006F605B" w:rsidP="00C55B9F">
            <w:pPr>
              <w:snapToGrid w:val="0"/>
              <w:spacing w:after="0" w:line="240" w:lineRule="auto"/>
              <w:jc w:val="right"/>
              <w:rPr>
                <w:rFonts w:ascii="Garamond" w:hAnsi="Garamond"/>
                <w:sz w:val="20"/>
                <w:szCs w:val="20"/>
              </w:rPr>
            </w:pPr>
            <w:r w:rsidRPr="00DC66CD">
              <w:rPr>
                <w:rFonts w:ascii="Garamond" w:eastAsia="Times New Roman" w:hAnsi="Garamond"/>
                <w:sz w:val="20"/>
                <w:szCs w:val="20"/>
                <w:lang w:eastAsia="en-GB"/>
              </w:rPr>
              <w:t>20</w:t>
            </w:r>
          </w:p>
        </w:tc>
      </w:tr>
    </w:tbl>
    <w:p w14:paraId="4E8A2D6A" w14:textId="77777777" w:rsidR="006F605B" w:rsidRPr="00DC66CD" w:rsidRDefault="006F605B" w:rsidP="006F605B">
      <w:pPr>
        <w:snapToGrid w:val="0"/>
        <w:spacing w:after="0" w:line="240" w:lineRule="auto"/>
        <w:ind w:firstLine="284"/>
        <w:rPr>
          <w:rFonts w:ascii="Garamond" w:hAnsi="Garamond"/>
          <w:sz w:val="24"/>
          <w:szCs w:val="24"/>
        </w:rPr>
      </w:pPr>
    </w:p>
    <w:p w14:paraId="25FD25D5" w14:textId="770261C2"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Ndikimi i pritshëm në konkurrueshmëri</w:t>
      </w:r>
    </w:p>
    <w:p w14:paraId="7BA12C8D" w14:textId="62A6B3EF"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Reforma synon të aftësojë të rinjtë me trajnimin, aftësitë dhe kualifikimet e nevojshme për të konkurruar në tregun e punës dhe për të rritur mundësitë e tyre të punësimit. Një forcë pune e kualifikuar është një parakusht për tërheqjen e investimeve të bazuara në teknologji, zhvillim të mëtutjeshëm të sektorëve shqiptarë me avantazhe krahasuese dhe/ose mundësi dhe forca (si turizmi) dhe një faktor i rëndësishëm që nxit hyrjet e IHD-ve.</w:t>
      </w:r>
    </w:p>
    <w:p w14:paraId="66BC1B05" w14:textId="64FC31DE"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Kosto</w:t>
      </w:r>
      <w:r w:rsidR="00DA5F51"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5965807B" w14:textId="00F2029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sz w:val="24"/>
          <w:szCs w:val="24"/>
          <w:lang w:eastAsia="en-GB"/>
        </w:rPr>
        <w:t>Shpenzimet për zbatimin e masave të AFP-së përfshihen në Programin Buxhetor Afatmesëm. Buxheti afatmesëm</w:t>
      </w:r>
      <w:r w:rsidR="00BB193E" w:rsidRPr="00DC66CD">
        <w:rPr>
          <w:rFonts w:ascii="Garamond" w:eastAsia="Times New Roman" w:hAnsi="Garamond"/>
          <w:sz w:val="24"/>
          <w:szCs w:val="24"/>
          <w:lang w:eastAsia="en-GB"/>
        </w:rPr>
        <w:t>,</w:t>
      </w:r>
      <w:r w:rsidRPr="00DC66CD">
        <w:rPr>
          <w:rFonts w:ascii="Garamond" w:eastAsia="Times New Roman" w:hAnsi="Garamond"/>
          <w:sz w:val="24"/>
          <w:szCs w:val="24"/>
          <w:lang w:eastAsia="en-GB"/>
        </w:rPr>
        <w:t xml:space="preserve"> 2020</w:t>
      </w:r>
      <w:r w:rsidR="00BB193E" w:rsidRPr="00DC66CD">
        <w:rPr>
          <w:rFonts w:ascii="Garamond" w:eastAsia="Times New Roman" w:hAnsi="Garamond"/>
          <w:sz w:val="24"/>
          <w:szCs w:val="24"/>
          <w:lang w:eastAsia="en-GB"/>
        </w:rPr>
        <w:t>–</w:t>
      </w:r>
      <w:r w:rsidRPr="00DC66CD">
        <w:rPr>
          <w:rFonts w:ascii="Garamond" w:eastAsia="Times New Roman" w:hAnsi="Garamond"/>
          <w:sz w:val="24"/>
          <w:szCs w:val="24"/>
          <w:lang w:eastAsia="en-GB"/>
        </w:rPr>
        <w:t>2023, është në procesin e planifikimit.</w:t>
      </w:r>
    </w:p>
    <w:p w14:paraId="3D874A03" w14:textId="5F5AE54D"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6. </w:t>
      </w:r>
      <w:r w:rsidR="006F605B" w:rsidRPr="00DC66CD">
        <w:rPr>
          <w:rFonts w:ascii="Garamond" w:hAnsi="Garamond"/>
          <w:color w:val="auto"/>
          <w:sz w:val="24"/>
          <w:szCs w:val="24"/>
        </w:rPr>
        <w:t>Ndikimi i pritshëm në rezultatet sociale, si</w:t>
      </w:r>
      <w:r w:rsidR="00BB193E" w:rsidRPr="00DC66CD">
        <w:rPr>
          <w:rFonts w:ascii="Garamond" w:hAnsi="Garamond"/>
          <w:color w:val="auto"/>
          <w:sz w:val="24"/>
          <w:szCs w:val="24"/>
        </w:rPr>
        <w:t>:</w:t>
      </w:r>
      <w:r w:rsidR="006F605B" w:rsidRPr="00DC66CD">
        <w:rPr>
          <w:rFonts w:ascii="Garamond" w:hAnsi="Garamond"/>
          <w:color w:val="auto"/>
          <w:sz w:val="24"/>
          <w:szCs w:val="24"/>
        </w:rPr>
        <w:t xml:space="preserve"> punësimi, ulja e varfërisë, barazia dhe gjinia</w:t>
      </w:r>
    </w:p>
    <w:p w14:paraId="0A2F275D" w14:textId="65AA5263"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sz w:val="24"/>
          <w:szCs w:val="24"/>
          <w:lang w:eastAsia="en-GB"/>
        </w:rPr>
        <w:t>Reforma synon të sigurojë arsim gjithëpërfshirës dhe me cilësi të barabartë dhe të promovojë mundësi të të nxënit gjatë gjithë jetës. Gjithashtu, përqendrimi synon zhvillimin e aftësive, veçanërisht në lidhje me qasjen në aftësi profesionale për punësim, punë të mirë dhe ndërmarrësi</w:t>
      </w:r>
      <w:r w:rsidR="00BB193E" w:rsidRPr="00DC66CD">
        <w:rPr>
          <w:rFonts w:ascii="Garamond" w:eastAsia="Times New Roman" w:hAnsi="Garamond"/>
          <w:sz w:val="24"/>
          <w:szCs w:val="24"/>
          <w:lang w:eastAsia="en-GB"/>
        </w:rPr>
        <w:t>,</w:t>
      </w:r>
      <w:r w:rsidRPr="00DC66CD">
        <w:rPr>
          <w:rFonts w:ascii="Garamond" w:eastAsia="Times New Roman" w:hAnsi="Garamond"/>
          <w:sz w:val="24"/>
          <w:szCs w:val="24"/>
          <w:lang w:eastAsia="en-GB"/>
        </w:rPr>
        <w:t xml:space="preserve"> eliminimi i pabarazisë gjinore dhe sigurimi i aksesit për të prekurit.</w:t>
      </w:r>
    </w:p>
    <w:p w14:paraId="525054C9" w14:textId="4912D398"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7. </w:t>
      </w:r>
      <w:r w:rsidR="006F605B" w:rsidRPr="00DC66CD">
        <w:rPr>
          <w:rFonts w:ascii="Garamond" w:hAnsi="Garamond"/>
          <w:color w:val="auto"/>
          <w:sz w:val="24"/>
          <w:szCs w:val="24"/>
        </w:rPr>
        <w:t>Ndikimi i pritshëm në mjedis</w:t>
      </w:r>
    </w:p>
    <w:p w14:paraId="6ED171C4" w14:textId="77777777" w:rsidR="006F605B" w:rsidRPr="00DC66CD" w:rsidRDefault="006F605B" w:rsidP="006F605B">
      <w:pPr>
        <w:snapToGrid w:val="0"/>
        <w:spacing w:after="0" w:line="240" w:lineRule="auto"/>
        <w:ind w:firstLine="284"/>
        <w:rPr>
          <w:rFonts w:ascii="Garamond" w:hAnsi="Garamond"/>
          <w:sz w:val="24"/>
          <w:szCs w:val="24"/>
        </w:rPr>
      </w:pPr>
      <w:r w:rsidRPr="00DC66CD">
        <w:rPr>
          <w:rFonts w:ascii="Garamond" w:eastAsia="Times New Roman" w:hAnsi="Garamond"/>
          <w:sz w:val="24"/>
          <w:szCs w:val="24"/>
          <w:lang w:eastAsia="en-GB"/>
        </w:rPr>
        <w:t>Masa e reformës nuk pritet të ketë ndikim në mjedis.</w:t>
      </w:r>
    </w:p>
    <w:p w14:paraId="740668BB" w14:textId="34A6D586" w:rsidR="006F605B" w:rsidRPr="00DC66CD" w:rsidRDefault="001265AB" w:rsidP="001265AB">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8. </w:t>
      </w:r>
      <w:r w:rsidR="006F605B" w:rsidRPr="00DC66CD">
        <w:rPr>
          <w:rFonts w:ascii="Garamond" w:hAnsi="Garamond"/>
          <w:color w:val="auto"/>
          <w:sz w:val="24"/>
          <w:szCs w:val="24"/>
        </w:rPr>
        <w:t>Rreziqet e mundshme</w:t>
      </w:r>
    </w:p>
    <w:p w14:paraId="34ECC9F1"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1541"/>
        <w:gridCol w:w="4052"/>
      </w:tblGrid>
      <w:tr w:rsidR="006F605B" w:rsidRPr="00DC66CD" w14:paraId="4A9BA18D" w14:textId="77777777" w:rsidTr="004F4E33">
        <w:tc>
          <w:tcPr>
            <w:tcW w:w="3823" w:type="dxa"/>
            <w:vAlign w:val="center"/>
          </w:tcPr>
          <w:p w14:paraId="7B0BEDB3"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1559" w:type="dxa"/>
            <w:vAlign w:val="center"/>
          </w:tcPr>
          <w:p w14:paraId="3FD7404D" w14:textId="77777777" w:rsidR="00BB193E"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p>
          <w:p w14:paraId="13AAF35A" w14:textId="3FCA9713" w:rsidR="006F605B" w:rsidRPr="00DC66CD" w:rsidRDefault="00F85068" w:rsidP="004F4E33">
            <w:pPr>
              <w:snapToGrid w:val="0"/>
              <w:spacing w:after="0" w:line="240" w:lineRule="auto"/>
              <w:jc w:val="center"/>
              <w:rPr>
                <w:rFonts w:ascii="Garamond" w:hAnsi="Garamond"/>
                <w:b/>
                <w:sz w:val="20"/>
                <w:szCs w:val="20"/>
              </w:rPr>
            </w:pPr>
            <w:r w:rsidRPr="00DC66CD">
              <w:rPr>
                <w:rFonts w:ascii="Garamond" w:hAnsi="Garamond"/>
                <w:b/>
                <w:sz w:val="20"/>
                <w:szCs w:val="20"/>
              </w:rPr>
              <w:t>(i ulët, i lartë)</w:t>
            </w:r>
          </w:p>
        </w:tc>
        <w:tc>
          <w:tcPr>
            <w:tcW w:w="4240" w:type="dxa"/>
            <w:vAlign w:val="center"/>
          </w:tcPr>
          <w:p w14:paraId="204678F9"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17566F41" w14:textId="77777777" w:rsidTr="001265AB">
        <w:tc>
          <w:tcPr>
            <w:tcW w:w="3823" w:type="dxa"/>
          </w:tcPr>
          <w:p w14:paraId="4F9187CC" w14:textId="3A0A8686" w:rsidR="006F605B" w:rsidRPr="00DC66CD" w:rsidRDefault="006F605B" w:rsidP="001265AB">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Disponueshmë</w:t>
            </w:r>
            <w:r w:rsidR="00BB193E" w:rsidRPr="00DC66CD">
              <w:rPr>
                <w:rFonts w:ascii="Garamond" w:eastAsia="Times New Roman" w:hAnsi="Garamond"/>
                <w:sz w:val="20"/>
                <w:szCs w:val="20"/>
                <w:lang w:eastAsia="en-GB"/>
              </w:rPr>
              <w:t>ri e pamjaftueshme për trajnime/</w:t>
            </w:r>
            <w:r w:rsidRPr="00DC66CD">
              <w:rPr>
                <w:rFonts w:ascii="Garamond" w:eastAsia="Times New Roman" w:hAnsi="Garamond"/>
                <w:sz w:val="20"/>
                <w:szCs w:val="20"/>
                <w:lang w:eastAsia="en-GB"/>
              </w:rPr>
              <w:t>praktikë në vend të punës në treg</w:t>
            </w:r>
          </w:p>
          <w:p w14:paraId="1D137454" w14:textId="77777777" w:rsidR="006F605B" w:rsidRPr="00DC66CD" w:rsidRDefault="006F605B" w:rsidP="001265AB">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 xml:space="preserve">Mosgatishmëria e mësuesve për të marrë pjesë në trajnime të vazhdueshme </w:t>
            </w:r>
          </w:p>
        </w:tc>
        <w:tc>
          <w:tcPr>
            <w:tcW w:w="1559" w:type="dxa"/>
          </w:tcPr>
          <w:p w14:paraId="0E627E7B" w14:textId="5A39EF59" w:rsidR="006F605B" w:rsidRPr="00DC66CD" w:rsidRDefault="004F4E33" w:rsidP="001265AB">
            <w:pPr>
              <w:snapToGrid w:val="0"/>
              <w:spacing w:after="0" w:line="240" w:lineRule="auto"/>
              <w:rPr>
                <w:rFonts w:ascii="Garamond" w:hAnsi="Garamond"/>
                <w:sz w:val="20"/>
                <w:szCs w:val="20"/>
              </w:rPr>
            </w:pPr>
            <w:r w:rsidRPr="00DC66CD">
              <w:rPr>
                <w:rFonts w:ascii="Garamond" w:hAnsi="Garamond"/>
                <w:sz w:val="20"/>
                <w:szCs w:val="20"/>
              </w:rPr>
              <w:t>I ulët</w:t>
            </w:r>
          </w:p>
        </w:tc>
        <w:tc>
          <w:tcPr>
            <w:tcW w:w="4240" w:type="dxa"/>
          </w:tcPr>
          <w:p w14:paraId="739ADE7E" w14:textId="77777777" w:rsidR="006F605B" w:rsidRPr="00DC66CD" w:rsidRDefault="006F605B" w:rsidP="001265AB">
            <w:pPr>
              <w:snapToGrid w:val="0"/>
              <w:spacing w:after="0" w:line="240" w:lineRule="auto"/>
              <w:rPr>
                <w:rFonts w:ascii="Garamond" w:hAnsi="Garamond"/>
                <w:sz w:val="20"/>
                <w:szCs w:val="20"/>
              </w:rPr>
            </w:pPr>
          </w:p>
        </w:tc>
      </w:tr>
      <w:tr w:rsidR="006F605B" w:rsidRPr="00DC66CD" w14:paraId="62E5983B" w14:textId="77777777" w:rsidTr="001265AB">
        <w:tc>
          <w:tcPr>
            <w:tcW w:w="3823" w:type="dxa"/>
          </w:tcPr>
          <w:p w14:paraId="69F6BE3E" w14:textId="28F01F42" w:rsidR="006F605B" w:rsidRPr="00DC66CD" w:rsidRDefault="006F605B" w:rsidP="001265AB">
            <w:pPr>
              <w:snapToGrid w:val="0"/>
              <w:spacing w:after="0" w:line="240" w:lineRule="auto"/>
              <w:rPr>
                <w:rFonts w:ascii="Garamond" w:hAnsi="Garamond"/>
                <w:sz w:val="20"/>
                <w:szCs w:val="20"/>
              </w:rPr>
            </w:pPr>
            <w:r w:rsidRPr="00DC66CD">
              <w:rPr>
                <w:rFonts w:ascii="Garamond" w:eastAsia="Times New Roman" w:hAnsi="Garamond"/>
                <w:sz w:val="20"/>
                <w:szCs w:val="20"/>
                <w:lang w:eastAsia="en-GB"/>
              </w:rPr>
              <w:t>Niveli i pamjaftueshëm i koordinimit me bizneset për mbështetje më të mirë të AFP</w:t>
            </w:r>
            <w:r w:rsidR="00BB193E" w:rsidRPr="00DC66CD">
              <w:rPr>
                <w:rFonts w:ascii="Garamond" w:eastAsia="Times New Roman" w:hAnsi="Garamond"/>
                <w:sz w:val="20"/>
                <w:szCs w:val="20"/>
                <w:lang w:eastAsia="en-GB"/>
              </w:rPr>
              <w:t>-së</w:t>
            </w:r>
          </w:p>
        </w:tc>
        <w:tc>
          <w:tcPr>
            <w:tcW w:w="1559" w:type="dxa"/>
          </w:tcPr>
          <w:p w14:paraId="39ED421E" w14:textId="61CEB256" w:rsidR="006F605B" w:rsidRPr="00DC66CD" w:rsidRDefault="004F4E33" w:rsidP="001265AB">
            <w:pPr>
              <w:snapToGrid w:val="0"/>
              <w:spacing w:after="0" w:line="240" w:lineRule="auto"/>
              <w:rPr>
                <w:rFonts w:ascii="Garamond" w:hAnsi="Garamond"/>
                <w:sz w:val="20"/>
                <w:szCs w:val="20"/>
              </w:rPr>
            </w:pPr>
            <w:r w:rsidRPr="00DC66CD">
              <w:rPr>
                <w:rFonts w:ascii="Garamond" w:hAnsi="Garamond"/>
                <w:sz w:val="20"/>
                <w:szCs w:val="20"/>
              </w:rPr>
              <w:t>I mesëm</w:t>
            </w:r>
          </w:p>
        </w:tc>
        <w:tc>
          <w:tcPr>
            <w:tcW w:w="4240" w:type="dxa"/>
          </w:tcPr>
          <w:p w14:paraId="5E0E3A76" w14:textId="77777777" w:rsidR="006F605B" w:rsidRPr="00DC66CD" w:rsidRDefault="006F605B" w:rsidP="001265AB">
            <w:pPr>
              <w:snapToGrid w:val="0"/>
              <w:spacing w:after="0" w:line="240" w:lineRule="auto"/>
              <w:rPr>
                <w:rFonts w:ascii="Garamond" w:hAnsi="Garamond"/>
                <w:sz w:val="20"/>
                <w:szCs w:val="20"/>
              </w:rPr>
            </w:pPr>
          </w:p>
        </w:tc>
      </w:tr>
      <w:tr w:rsidR="006F605B" w:rsidRPr="00DC66CD" w14:paraId="0D6AAC4B" w14:textId="77777777" w:rsidTr="001265AB">
        <w:tc>
          <w:tcPr>
            <w:tcW w:w="3823" w:type="dxa"/>
          </w:tcPr>
          <w:p w14:paraId="1D0E07B2" w14:textId="5EDF83FC" w:rsidR="006F605B" w:rsidRPr="00DC66CD" w:rsidRDefault="006F605B" w:rsidP="001265AB">
            <w:pPr>
              <w:snapToGrid w:val="0"/>
              <w:spacing w:after="0" w:line="240" w:lineRule="auto"/>
              <w:rPr>
                <w:rFonts w:ascii="Garamond" w:hAnsi="Garamond"/>
                <w:sz w:val="20"/>
                <w:szCs w:val="20"/>
              </w:rPr>
            </w:pPr>
            <w:r w:rsidRPr="00DC66CD">
              <w:rPr>
                <w:rFonts w:ascii="Garamond" w:eastAsia="Times New Roman" w:hAnsi="Garamond"/>
                <w:sz w:val="20"/>
                <w:szCs w:val="20"/>
                <w:lang w:eastAsia="en-GB"/>
              </w:rPr>
              <w:t>Mungesa e vlerësimit specifik rajonal për aftësit</w:t>
            </w:r>
            <w:r w:rsidR="00BB193E" w:rsidRPr="00DC66CD">
              <w:rPr>
                <w:rFonts w:ascii="Garamond" w:eastAsia="Times New Roman" w:hAnsi="Garamond"/>
                <w:sz w:val="20"/>
                <w:szCs w:val="20"/>
                <w:lang w:eastAsia="en-GB"/>
              </w:rPr>
              <w:t>ë që mungojnë në tregun e punës</w:t>
            </w:r>
          </w:p>
        </w:tc>
        <w:tc>
          <w:tcPr>
            <w:tcW w:w="1559" w:type="dxa"/>
          </w:tcPr>
          <w:p w14:paraId="3E49FF98" w14:textId="519C6608" w:rsidR="006F605B" w:rsidRPr="00DC66CD" w:rsidRDefault="004F4E33" w:rsidP="001265AB">
            <w:pPr>
              <w:snapToGrid w:val="0"/>
              <w:spacing w:after="0" w:line="240" w:lineRule="auto"/>
              <w:rPr>
                <w:rFonts w:ascii="Garamond" w:hAnsi="Garamond"/>
                <w:sz w:val="20"/>
                <w:szCs w:val="20"/>
              </w:rPr>
            </w:pPr>
            <w:r w:rsidRPr="00DC66CD">
              <w:rPr>
                <w:rFonts w:ascii="Garamond" w:hAnsi="Garamond"/>
                <w:sz w:val="20"/>
                <w:szCs w:val="20"/>
              </w:rPr>
              <w:t>I mesëm</w:t>
            </w:r>
          </w:p>
        </w:tc>
        <w:tc>
          <w:tcPr>
            <w:tcW w:w="4240" w:type="dxa"/>
          </w:tcPr>
          <w:p w14:paraId="37DF5272" w14:textId="77777777" w:rsidR="006F605B" w:rsidRPr="00DC66CD" w:rsidRDefault="006F605B" w:rsidP="001265AB">
            <w:pPr>
              <w:snapToGrid w:val="0"/>
              <w:spacing w:after="0" w:line="240" w:lineRule="auto"/>
              <w:rPr>
                <w:rFonts w:ascii="Garamond" w:hAnsi="Garamond"/>
                <w:sz w:val="20"/>
                <w:szCs w:val="20"/>
              </w:rPr>
            </w:pPr>
          </w:p>
        </w:tc>
      </w:tr>
    </w:tbl>
    <w:p w14:paraId="50607AA8" w14:textId="77777777" w:rsidR="006F605B" w:rsidRPr="00DC66CD" w:rsidRDefault="006F605B" w:rsidP="006F605B">
      <w:pPr>
        <w:snapToGrid w:val="0"/>
        <w:spacing w:after="0" w:line="240" w:lineRule="auto"/>
        <w:ind w:firstLine="284"/>
        <w:rPr>
          <w:rFonts w:ascii="Garamond" w:hAnsi="Garamond"/>
          <w:sz w:val="24"/>
          <w:szCs w:val="24"/>
        </w:rPr>
      </w:pPr>
    </w:p>
    <w:p w14:paraId="7BFE6ECA" w14:textId="6F2A985D" w:rsidR="006F605B" w:rsidRPr="00DC66CD" w:rsidRDefault="005E1A80" w:rsidP="005E1A80">
      <w:pPr>
        <w:pStyle w:val="TEKSTIIII"/>
        <w:rPr>
          <w:b/>
        </w:rPr>
      </w:pPr>
      <w:bookmarkStart w:id="48" w:name="_Toc484076192"/>
      <w:bookmarkStart w:id="49" w:name="_Toc30661236"/>
      <w:r w:rsidRPr="00DC66CD">
        <w:rPr>
          <w:b/>
        </w:rPr>
        <w:t xml:space="preserve">5.3.7 </w:t>
      </w:r>
      <w:r w:rsidR="006F605B" w:rsidRPr="00DC66CD">
        <w:rPr>
          <w:b/>
        </w:rPr>
        <w:t>Punësimi dhe tregu i punës</w:t>
      </w:r>
      <w:bookmarkEnd w:id="48"/>
      <w:bookmarkEnd w:id="49"/>
    </w:p>
    <w:p w14:paraId="6AED28ED" w14:textId="2809BFAD" w:rsidR="006F605B" w:rsidRPr="00DC66CD" w:rsidRDefault="00854533" w:rsidP="00854533">
      <w:pPr>
        <w:pStyle w:val="Heading4"/>
        <w:keepNext w:val="0"/>
        <w:keepLines w:val="0"/>
        <w:widowControl w:val="0"/>
        <w:snapToGrid w:val="0"/>
        <w:spacing w:before="0" w:line="240" w:lineRule="auto"/>
        <w:ind w:left="284"/>
        <w:rPr>
          <w:rFonts w:ascii="Garamond" w:hAnsi="Garamond"/>
          <w:b w:val="0"/>
          <w:color w:val="auto"/>
          <w:sz w:val="24"/>
          <w:szCs w:val="24"/>
        </w:rPr>
      </w:pPr>
      <w:r w:rsidRPr="00DC66CD">
        <w:rPr>
          <w:rFonts w:ascii="Garamond" w:hAnsi="Garamond"/>
          <w:b w:val="0"/>
          <w:color w:val="auto"/>
          <w:sz w:val="24"/>
          <w:szCs w:val="24"/>
        </w:rPr>
        <w:t xml:space="preserve">b) </w:t>
      </w:r>
      <w:r w:rsidR="006F605B" w:rsidRPr="00DC66CD">
        <w:rPr>
          <w:rFonts w:ascii="Garamond" w:hAnsi="Garamond"/>
          <w:b w:val="0"/>
          <w:color w:val="auto"/>
          <w:sz w:val="24"/>
          <w:szCs w:val="24"/>
        </w:rPr>
        <w:t>Analiza e pengesave kryesore</w:t>
      </w:r>
    </w:p>
    <w:p w14:paraId="2747FB85" w14:textId="154A3B79"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Të dhënat e tregut të punës sugjerojnë se rritja ekonomike në Shqipëri gjatë katër v</w:t>
      </w:r>
      <w:r w:rsidR="00BB193E" w:rsidRPr="00DC66CD">
        <w:rPr>
          <w:rFonts w:ascii="Garamond" w:hAnsi="Garamond"/>
          <w:sz w:val="24"/>
          <w:szCs w:val="24"/>
        </w:rPr>
        <w:t>jetëve</w:t>
      </w:r>
      <w:r w:rsidRPr="00DC66CD">
        <w:rPr>
          <w:rFonts w:ascii="Garamond" w:hAnsi="Garamond"/>
          <w:sz w:val="24"/>
          <w:szCs w:val="24"/>
        </w:rPr>
        <w:t xml:space="preserve"> të fundit është përkthyer në përmirësime të konsiderueshme në tregun e punës. Krijimi i vendeve të punës u shoqërua nga një rënie e thellë në 2013 dhe rritja ekonomike dhe punësimi filluan të lëvizin paralelisht. Edhe pse shkalla e punësimit për personat e moshës 15</w:t>
      </w:r>
      <w:r w:rsidR="00BB193E" w:rsidRPr="00DC66CD">
        <w:rPr>
          <w:rFonts w:ascii="Garamond" w:hAnsi="Garamond"/>
          <w:sz w:val="24"/>
          <w:szCs w:val="24"/>
        </w:rPr>
        <w:t>–</w:t>
      </w:r>
      <w:r w:rsidRPr="00DC66CD">
        <w:rPr>
          <w:rFonts w:ascii="Garamond" w:hAnsi="Garamond"/>
          <w:sz w:val="24"/>
          <w:szCs w:val="24"/>
        </w:rPr>
        <w:t>64 vjeç në Shqipëri u rrit nga rreth 50 për</w:t>
      </w:r>
      <w:r w:rsidR="004F4E33" w:rsidRPr="00DC66CD">
        <w:rPr>
          <w:rFonts w:ascii="Garamond" w:hAnsi="Garamond"/>
          <w:sz w:val="24"/>
          <w:szCs w:val="24"/>
        </w:rPr>
        <w:t xml:space="preserve"> </w:t>
      </w:r>
      <w:r w:rsidRPr="00DC66CD">
        <w:rPr>
          <w:rFonts w:ascii="Garamond" w:hAnsi="Garamond"/>
          <w:sz w:val="24"/>
          <w:szCs w:val="24"/>
        </w:rPr>
        <w:t>qind në fund të vitit 2013 në 61.4 për</w:t>
      </w:r>
      <w:r w:rsidR="004F4E33" w:rsidRPr="00DC66CD">
        <w:rPr>
          <w:rFonts w:ascii="Garamond" w:hAnsi="Garamond"/>
          <w:sz w:val="24"/>
          <w:szCs w:val="24"/>
        </w:rPr>
        <w:t xml:space="preserve"> </w:t>
      </w:r>
      <w:r w:rsidRPr="00DC66CD">
        <w:rPr>
          <w:rFonts w:ascii="Garamond" w:hAnsi="Garamond"/>
          <w:sz w:val="24"/>
          <w:szCs w:val="24"/>
        </w:rPr>
        <w:t>qind në Q2-2019, duke shënuar kështu raportin më të lartë në mesin e vendeve të Ballkanit Perëndimor, ai mbetet nën mesataren e vendeve të Bashkimit Evropian. Shkalla e punësimit është përmirësuar ndjeshëm, veçanërisht</w:t>
      </w:r>
      <w:r w:rsidR="003002DB" w:rsidRPr="00DC66CD">
        <w:rPr>
          <w:rFonts w:ascii="Garamond" w:hAnsi="Garamond"/>
          <w:sz w:val="24"/>
          <w:szCs w:val="24"/>
        </w:rPr>
        <w:t>,</w:t>
      </w:r>
      <w:r w:rsidRPr="00DC66CD">
        <w:rPr>
          <w:rFonts w:ascii="Garamond" w:hAnsi="Garamond"/>
          <w:sz w:val="24"/>
          <w:szCs w:val="24"/>
        </w:rPr>
        <w:t xml:space="preserve"> në mesin e grave (nga 40 për</w:t>
      </w:r>
      <w:r w:rsidR="004F4E33" w:rsidRPr="00DC66CD">
        <w:rPr>
          <w:rFonts w:ascii="Garamond" w:hAnsi="Garamond"/>
          <w:sz w:val="24"/>
          <w:szCs w:val="24"/>
        </w:rPr>
        <w:t xml:space="preserve"> </w:t>
      </w:r>
      <w:r w:rsidRPr="00DC66CD">
        <w:rPr>
          <w:rFonts w:ascii="Garamond" w:hAnsi="Garamond"/>
          <w:sz w:val="24"/>
          <w:szCs w:val="24"/>
        </w:rPr>
        <w:t>qind në 2013 në 54.6 për</w:t>
      </w:r>
      <w:r w:rsidR="004F4E33" w:rsidRPr="00DC66CD">
        <w:rPr>
          <w:rFonts w:ascii="Garamond" w:hAnsi="Garamond"/>
          <w:sz w:val="24"/>
          <w:szCs w:val="24"/>
        </w:rPr>
        <w:t xml:space="preserve"> </w:t>
      </w:r>
      <w:r w:rsidRPr="00DC66CD">
        <w:rPr>
          <w:rFonts w:ascii="Garamond" w:hAnsi="Garamond"/>
          <w:sz w:val="24"/>
          <w:szCs w:val="24"/>
        </w:rPr>
        <w:t>qind në TM2-2019). Sidoqoftë, pabarazia gjinore mbetet problematike, duke qene se, niveli i punësimit të burrave është rreth 14 për</w:t>
      </w:r>
      <w:r w:rsidR="004F4E33" w:rsidRPr="00DC66CD">
        <w:rPr>
          <w:rFonts w:ascii="Garamond" w:hAnsi="Garamond"/>
          <w:sz w:val="24"/>
          <w:szCs w:val="24"/>
        </w:rPr>
        <w:t xml:space="preserve"> </w:t>
      </w:r>
      <w:r w:rsidRPr="00DC66CD">
        <w:rPr>
          <w:rFonts w:ascii="Garamond" w:hAnsi="Garamond"/>
          <w:sz w:val="24"/>
          <w:szCs w:val="24"/>
        </w:rPr>
        <w:t>qind më i lartë se ai i grave, potencialisht një pasqyrim i normave kulturore</w:t>
      </w:r>
      <w:r w:rsidR="003002DB" w:rsidRPr="00DC66CD">
        <w:rPr>
          <w:rFonts w:ascii="Garamond" w:hAnsi="Garamond"/>
          <w:sz w:val="24"/>
          <w:szCs w:val="24"/>
        </w:rPr>
        <w:t>,</w:t>
      </w:r>
      <w:r w:rsidRPr="00DC66CD">
        <w:rPr>
          <w:rFonts w:ascii="Garamond" w:hAnsi="Garamond"/>
          <w:sz w:val="24"/>
          <w:szCs w:val="24"/>
        </w:rPr>
        <w:t xml:space="preserve"> në lidhje me strukturën familjare dhe alternativa të kufizuara për kujdesin për fëmijë dhe të moshuar.</w:t>
      </w:r>
    </w:p>
    <w:p w14:paraId="0F88D4B1" w14:textId="55235A98"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Rritja e punësimit është shoqëruar me një rritje të pjesëmarrjes së fuqisë punëtore, e cila arriti 69.8 për</w:t>
      </w:r>
      <w:r w:rsidR="004F4E33" w:rsidRPr="00DC66CD">
        <w:rPr>
          <w:rFonts w:ascii="Garamond" w:hAnsi="Garamond"/>
          <w:sz w:val="24"/>
          <w:szCs w:val="24"/>
        </w:rPr>
        <w:t xml:space="preserve"> </w:t>
      </w:r>
      <w:r w:rsidRPr="00DC66CD">
        <w:rPr>
          <w:rFonts w:ascii="Garamond" w:hAnsi="Garamond"/>
          <w:sz w:val="24"/>
          <w:szCs w:val="24"/>
        </w:rPr>
        <w:t>qind në TM2-2019. Pjesëmarrja e grave u rrit me pothuajse 12 për</w:t>
      </w:r>
      <w:r w:rsidR="004F4E33" w:rsidRPr="00DC66CD">
        <w:rPr>
          <w:rFonts w:ascii="Garamond" w:hAnsi="Garamond"/>
          <w:sz w:val="24"/>
          <w:szCs w:val="24"/>
        </w:rPr>
        <w:t xml:space="preserve"> </w:t>
      </w:r>
      <w:r w:rsidRPr="00DC66CD">
        <w:rPr>
          <w:rFonts w:ascii="Garamond" w:hAnsi="Garamond"/>
          <w:sz w:val="24"/>
          <w:szCs w:val="24"/>
        </w:rPr>
        <w:t>qind gjatë katër viteve, nga 50 për</w:t>
      </w:r>
      <w:r w:rsidR="004F4E33" w:rsidRPr="00DC66CD">
        <w:rPr>
          <w:rFonts w:ascii="Garamond" w:hAnsi="Garamond"/>
          <w:sz w:val="24"/>
          <w:szCs w:val="24"/>
        </w:rPr>
        <w:t xml:space="preserve"> </w:t>
      </w:r>
      <w:r w:rsidRPr="00DC66CD">
        <w:rPr>
          <w:rFonts w:ascii="Garamond" w:hAnsi="Garamond"/>
          <w:sz w:val="24"/>
          <w:szCs w:val="24"/>
        </w:rPr>
        <w:t>qind në 2013 në 61.9 për</w:t>
      </w:r>
      <w:r w:rsidR="004F4E33" w:rsidRPr="00DC66CD">
        <w:rPr>
          <w:rFonts w:ascii="Garamond" w:hAnsi="Garamond"/>
          <w:sz w:val="24"/>
          <w:szCs w:val="24"/>
        </w:rPr>
        <w:t xml:space="preserve"> </w:t>
      </w:r>
      <w:r w:rsidRPr="00DC66CD">
        <w:rPr>
          <w:rFonts w:ascii="Garamond" w:hAnsi="Garamond"/>
          <w:sz w:val="24"/>
          <w:szCs w:val="24"/>
        </w:rPr>
        <w:t>qind në TM2-2019. Sidoqoftë, nivelet e pjesëmarrjes së fuqisë punëtore mbeten</w:t>
      </w:r>
      <w:r w:rsidR="003002DB" w:rsidRPr="00DC66CD">
        <w:rPr>
          <w:rFonts w:ascii="Garamond" w:hAnsi="Garamond"/>
          <w:sz w:val="24"/>
          <w:szCs w:val="24"/>
        </w:rPr>
        <w:t>,</w:t>
      </w:r>
      <w:r w:rsidRPr="00DC66CD">
        <w:rPr>
          <w:rFonts w:ascii="Garamond" w:hAnsi="Garamond"/>
          <w:sz w:val="24"/>
          <w:szCs w:val="24"/>
        </w:rPr>
        <w:t xml:space="preserve"> gjithashtu</w:t>
      </w:r>
      <w:r w:rsidR="003002DB" w:rsidRPr="00DC66CD">
        <w:rPr>
          <w:rFonts w:ascii="Garamond" w:hAnsi="Garamond"/>
          <w:sz w:val="24"/>
          <w:szCs w:val="24"/>
        </w:rPr>
        <w:t>,</w:t>
      </w:r>
      <w:r w:rsidRPr="00DC66CD">
        <w:rPr>
          <w:rFonts w:ascii="Garamond" w:hAnsi="Garamond"/>
          <w:sz w:val="24"/>
          <w:szCs w:val="24"/>
        </w:rPr>
        <w:t xml:space="preserve"> nën mesataren evropiane, me një ndryshim të rëndësishëm midis meshkujve dhe femrave prej 15 për</w:t>
      </w:r>
      <w:r w:rsidR="004F4E33" w:rsidRPr="00DC66CD">
        <w:rPr>
          <w:rFonts w:ascii="Garamond" w:hAnsi="Garamond"/>
          <w:sz w:val="24"/>
          <w:szCs w:val="24"/>
        </w:rPr>
        <w:t xml:space="preserve"> </w:t>
      </w:r>
      <w:r w:rsidRPr="00DC66CD">
        <w:rPr>
          <w:rFonts w:ascii="Garamond" w:hAnsi="Garamond"/>
          <w:sz w:val="24"/>
          <w:szCs w:val="24"/>
        </w:rPr>
        <w:t>qind. Shkalla e pjesëmarrjes së të rinjve (15</w:t>
      </w:r>
      <w:r w:rsidR="003002DB" w:rsidRPr="00DC66CD">
        <w:rPr>
          <w:rFonts w:ascii="Garamond" w:hAnsi="Garamond"/>
          <w:sz w:val="24"/>
          <w:szCs w:val="24"/>
        </w:rPr>
        <w:t>–</w:t>
      </w:r>
      <w:r w:rsidRPr="00DC66CD">
        <w:rPr>
          <w:rFonts w:ascii="Garamond" w:hAnsi="Garamond"/>
          <w:sz w:val="24"/>
          <w:szCs w:val="24"/>
        </w:rPr>
        <w:t>29) është më e ulët se për pjesën tjetër të popullsisë (53.0% me një hendek gjinor prej 14%).</w:t>
      </w:r>
    </w:p>
    <w:p w14:paraId="0F5446B2" w14:textId="1017AF18"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Përtej përmirësimeve të qëndrueshme, Shqipëria ende përballet me sfida të rëndësishme në sigurimin e punësimit të sigurt dhe produktiv për të gjithë personat në moshë pune, nxitjen e produktivitetit më të lartë dhe sigurimin e integrimit në tregun e punës, të grupeve të </w:t>
      </w:r>
      <w:r w:rsidR="004F4E33" w:rsidRPr="00DC66CD">
        <w:rPr>
          <w:rFonts w:ascii="Garamond" w:hAnsi="Garamond"/>
          <w:sz w:val="24"/>
          <w:szCs w:val="24"/>
        </w:rPr>
        <w:t>cenueshme</w:t>
      </w:r>
      <w:r w:rsidRPr="00DC66CD">
        <w:rPr>
          <w:rFonts w:ascii="Garamond" w:hAnsi="Garamond"/>
          <w:sz w:val="24"/>
          <w:szCs w:val="24"/>
        </w:rPr>
        <w:t>, veçanërisht të varfërve, grave, të rinjve dhe grupeve të tjera të pafavorizuara. Një sfidë e madhe për vendin është përmirësimi i cilësisë së mundësive të punësimit.</w:t>
      </w:r>
    </w:p>
    <w:p w14:paraId="2F28DD94" w14:textId="6B54ED79"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Ndërsa papunësia ka rënë ndjeshëm, në 11.5 për</w:t>
      </w:r>
      <w:r w:rsidR="004F4E33" w:rsidRPr="00DC66CD">
        <w:rPr>
          <w:rFonts w:ascii="Garamond" w:hAnsi="Garamond"/>
          <w:sz w:val="24"/>
          <w:szCs w:val="24"/>
        </w:rPr>
        <w:t xml:space="preserve"> </w:t>
      </w:r>
      <w:r w:rsidRPr="00DC66CD">
        <w:rPr>
          <w:rFonts w:ascii="Garamond" w:hAnsi="Garamond"/>
          <w:sz w:val="24"/>
          <w:szCs w:val="24"/>
        </w:rPr>
        <w:t>qind në TM2-2019, ajo mbetet e lartë, veçanërisht në krahasim me vendet e BE</w:t>
      </w:r>
      <w:r w:rsidR="00D04BC3" w:rsidRPr="00DC66CD">
        <w:rPr>
          <w:rFonts w:ascii="Garamond" w:hAnsi="Garamond"/>
          <w:sz w:val="24"/>
          <w:szCs w:val="24"/>
        </w:rPr>
        <w:t>-së</w:t>
      </w:r>
      <w:r w:rsidRPr="00DC66CD">
        <w:rPr>
          <w:rFonts w:ascii="Garamond" w:hAnsi="Garamond"/>
          <w:sz w:val="24"/>
          <w:szCs w:val="24"/>
        </w:rPr>
        <w:t>. Vetëm më pak se gjysma e të papunëve kërkojnë punësim përmes shërbimeve publike të punësimit, duke dëshmuar se skema e ndihmës ekonomike, zyrat e punësimit dhe politikat aktive të tregut të punës duhet të strukturohen më mirë për të mbështetur të papunët. Shkalla e papunësisë së të rinjve në 2018 ka rënë në 20.9%, niveli më i ulët që nga viti 2012, por ende mbetet i lartë. Të rinjtë përballen me një sfidë të shtuar në tranzicionin e tyre në tregun e punës, me 24.8% të tyre që nuk ishin në punësim, arsim ose trajnim (NEET) në Q2-2019. Rinia e rrezikuar është në shënjestër të pamjaftueshme të PNP-së. Ndërsa numri i studentëve të regjistruar në arsimin e mesëm profesional (AP) është rritur gjatë viteve të fundit, ai është akoma i ulët. Kalimi nga AP</w:t>
      </w:r>
      <w:r w:rsidR="00D04BC3" w:rsidRPr="00DC66CD">
        <w:rPr>
          <w:rFonts w:ascii="Garamond" w:hAnsi="Garamond"/>
          <w:sz w:val="24"/>
          <w:szCs w:val="24"/>
        </w:rPr>
        <w:t>-ja</w:t>
      </w:r>
      <w:r w:rsidRPr="00DC66CD">
        <w:rPr>
          <w:rFonts w:ascii="Garamond" w:hAnsi="Garamond"/>
          <w:sz w:val="24"/>
          <w:szCs w:val="24"/>
        </w:rPr>
        <w:t xml:space="preserve"> në tregun e punës është mjaft i ulët (46.9% e punësuar një vit pas diplomimit).</w:t>
      </w:r>
    </w:p>
    <w:p w14:paraId="4DC9321C" w14:textId="2CEE6B1C"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Përmirësime të mëtejshme, veçanërisht</w:t>
      </w:r>
      <w:r w:rsidR="00CF47F7" w:rsidRPr="00DC66CD">
        <w:rPr>
          <w:rFonts w:ascii="Garamond" w:hAnsi="Garamond"/>
          <w:sz w:val="24"/>
          <w:szCs w:val="24"/>
        </w:rPr>
        <w:t>,</w:t>
      </w:r>
      <w:r w:rsidRPr="00DC66CD">
        <w:rPr>
          <w:rFonts w:ascii="Garamond" w:hAnsi="Garamond"/>
          <w:sz w:val="24"/>
          <w:szCs w:val="24"/>
        </w:rPr>
        <w:t xml:space="preserve"> për ato që janë në kufijtë e tregut të punës, varen nga përmirësimi i politikave aktive të punësimit dhe ofrimit të shërbimeve sociale cilësore. Riintegrimi në tregun e punës të grupeve të </w:t>
      </w:r>
      <w:r w:rsidR="004F4E33" w:rsidRPr="00DC66CD">
        <w:rPr>
          <w:rFonts w:ascii="Garamond" w:hAnsi="Garamond"/>
          <w:sz w:val="24"/>
          <w:szCs w:val="24"/>
        </w:rPr>
        <w:t>cenueshme</w:t>
      </w:r>
      <w:r w:rsidRPr="00DC66CD">
        <w:rPr>
          <w:rFonts w:ascii="Garamond" w:hAnsi="Garamond"/>
          <w:sz w:val="24"/>
          <w:szCs w:val="24"/>
        </w:rPr>
        <w:t xml:space="preserve"> nuk mund të arrihet plotësisht, ndërsa shërbimet e kujdesit shoqëror mbeten të pamjaftueshëm dhe të pazhvilluar. Kjo e fundit lidhet kryesisht me përparimin e procesit të decentralizimit, kapacitetet e dobëta të qeverisjes vendore dhe aftësinë e tyre për të planifikuar dhe shpërndarë burime për ofrimin e shërbimeve të kujdesit shoqëror. Ka filluar koordinimi midis Shërbimit Kombëtar të Punësimit (SHKP) dhe Shërbimeve Sociale Shtetërore (SHSSH), megjithatë angazhimi i pushtetit lokal duhet të ndiqet.</w:t>
      </w:r>
    </w:p>
    <w:p w14:paraId="3A94309E" w14:textId="7777777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 xml:space="preserve">Kursi i aftësive të buta/bazike </w:t>
      </w:r>
      <w:r w:rsidRPr="00DC66CD">
        <w:rPr>
          <w:rFonts w:ascii="Garamond" w:hAnsi="Garamond"/>
          <w:i/>
          <w:sz w:val="24"/>
          <w:szCs w:val="24"/>
        </w:rPr>
        <w:t>(Start Smart)</w:t>
      </w:r>
      <w:r w:rsidRPr="00DC66CD">
        <w:rPr>
          <w:rFonts w:ascii="Garamond" w:hAnsi="Garamond"/>
          <w:sz w:val="24"/>
          <w:szCs w:val="24"/>
        </w:rPr>
        <w:t xml:space="preserve"> u zbatua në mbarë vendin gjatë vitit 2019.</w:t>
      </w:r>
    </w:p>
    <w:p w14:paraId="6219EC12" w14:textId="01C81D4F"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Me</w:t>
      </w:r>
      <w:r w:rsidR="004F4E33" w:rsidRPr="00DC66CD">
        <w:rPr>
          <w:rFonts w:ascii="Garamond" w:hAnsi="Garamond"/>
          <w:sz w:val="24"/>
          <w:szCs w:val="24"/>
        </w:rPr>
        <w:t xml:space="preserve"> </w:t>
      </w:r>
      <w:r w:rsidRPr="00DC66CD">
        <w:rPr>
          <w:rFonts w:ascii="Garamond" w:hAnsi="Garamond"/>
          <w:sz w:val="24"/>
          <w:szCs w:val="24"/>
        </w:rPr>
        <w:t xml:space="preserve">gjithë disa përmirësime gjatë vitit 2018, në efikasitetin e ndërmjetësimit të vendeve të punës, fondet për politikat aktive të tregut të punës kanë mbetur të pandryshuara në vitet e kaluara (pas një rritje të konsiderueshme </w:t>
      </w:r>
      <w:r w:rsidR="00CF47F7" w:rsidRPr="00DC66CD">
        <w:rPr>
          <w:rFonts w:ascii="Garamond" w:hAnsi="Garamond"/>
          <w:sz w:val="24"/>
          <w:szCs w:val="24"/>
        </w:rPr>
        <w:t>m</w:t>
      </w:r>
      <w:r w:rsidRPr="00DC66CD">
        <w:rPr>
          <w:rFonts w:ascii="Garamond" w:hAnsi="Garamond"/>
          <w:sz w:val="24"/>
          <w:szCs w:val="24"/>
        </w:rPr>
        <w:t xml:space="preserve">ë </w:t>
      </w:r>
      <w:r w:rsidR="00433A3A" w:rsidRPr="00DC66CD">
        <w:rPr>
          <w:rFonts w:ascii="Garamond" w:hAnsi="Garamond"/>
          <w:sz w:val="24"/>
          <w:szCs w:val="24"/>
        </w:rPr>
        <w:t>2014–</w:t>
      </w:r>
      <w:r w:rsidRPr="00DC66CD">
        <w:rPr>
          <w:rFonts w:ascii="Garamond" w:hAnsi="Garamond"/>
          <w:sz w:val="24"/>
          <w:szCs w:val="24"/>
        </w:rPr>
        <w:t xml:space="preserve">2015). Programet e nxitjes së punësimit (PNP), të zbatuara </w:t>
      </w:r>
      <w:r w:rsidR="00CF47F7" w:rsidRPr="00DC66CD">
        <w:rPr>
          <w:rFonts w:ascii="Garamond" w:hAnsi="Garamond"/>
          <w:sz w:val="24"/>
          <w:szCs w:val="24"/>
        </w:rPr>
        <w:t>m</w:t>
      </w:r>
      <w:r w:rsidRPr="00DC66CD">
        <w:rPr>
          <w:rFonts w:ascii="Garamond" w:hAnsi="Garamond"/>
          <w:sz w:val="24"/>
          <w:szCs w:val="24"/>
        </w:rPr>
        <w:t xml:space="preserve">ë </w:t>
      </w:r>
      <w:r w:rsidR="00433A3A" w:rsidRPr="00DC66CD">
        <w:rPr>
          <w:rFonts w:ascii="Garamond" w:hAnsi="Garamond"/>
          <w:sz w:val="24"/>
          <w:szCs w:val="24"/>
        </w:rPr>
        <w:t>2015–</w:t>
      </w:r>
      <w:r w:rsidRPr="00DC66CD">
        <w:rPr>
          <w:rFonts w:ascii="Garamond" w:hAnsi="Garamond"/>
          <w:sz w:val="24"/>
          <w:szCs w:val="24"/>
        </w:rPr>
        <w:t>2016 u vlerësuan në vitin 2018, duke theksuar më tej nevojën për rishikimin e PNP-ve dhe ndryshimin e modaliteteve të zbatimit. Pas aprovimit të ligjit për nxitjen e punësimit, procesi i ridi</w:t>
      </w:r>
      <w:r w:rsidR="00CF47F7" w:rsidRPr="00DC66CD">
        <w:rPr>
          <w:rFonts w:ascii="Garamond" w:hAnsi="Garamond"/>
          <w:sz w:val="24"/>
          <w:szCs w:val="24"/>
        </w:rPr>
        <w:t>senj</w:t>
      </w:r>
      <w:r w:rsidRPr="00DC66CD">
        <w:rPr>
          <w:rFonts w:ascii="Garamond" w:hAnsi="Garamond"/>
          <w:sz w:val="24"/>
          <w:szCs w:val="24"/>
        </w:rPr>
        <w:t>imit të PNP</w:t>
      </w:r>
      <w:r w:rsidR="00CF47F7" w:rsidRPr="00DC66CD">
        <w:rPr>
          <w:rFonts w:ascii="Garamond" w:hAnsi="Garamond"/>
          <w:sz w:val="24"/>
          <w:szCs w:val="24"/>
        </w:rPr>
        <w:t>-së</w:t>
      </w:r>
      <w:r w:rsidRPr="00DC66CD">
        <w:rPr>
          <w:rFonts w:ascii="Garamond" w:hAnsi="Garamond"/>
          <w:sz w:val="24"/>
          <w:szCs w:val="24"/>
        </w:rPr>
        <w:t xml:space="preserve"> ka filluar, me qëllim përfundimtar të përmirësimit të relevancës me tregun e punës, cilësisë dhe targetimin.</w:t>
      </w:r>
    </w:p>
    <w:p w14:paraId="00471310" w14:textId="7D331CA5" w:rsidR="006F605B" w:rsidRPr="00DC66CD" w:rsidRDefault="005E1A80" w:rsidP="005E1A80">
      <w:pPr>
        <w:pStyle w:val="Heading4"/>
        <w:keepNext w:val="0"/>
        <w:keepLines w:val="0"/>
        <w:widowControl w:val="0"/>
        <w:snapToGrid w:val="0"/>
        <w:spacing w:before="0" w:line="240" w:lineRule="auto"/>
        <w:ind w:left="284"/>
        <w:rPr>
          <w:rFonts w:ascii="Garamond" w:hAnsi="Garamond"/>
          <w:b w:val="0"/>
          <w:color w:val="auto"/>
          <w:sz w:val="24"/>
          <w:szCs w:val="24"/>
        </w:rPr>
      </w:pPr>
      <w:r w:rsidRPr="00DC66CD">
        <w:rPr>
          <w:rFonts w:ascii="Garamond" w:hAnsi="Garamond"/>
          <w:b w:val="0"/>
          <w:color w:val="auto"/>
          <w:sz w:val="24"/>
          <w:szCs w:val="24"/>
        </w:rPr>
        <w:t xml:space="preserve">c) </w:t>
      </w:r>
      <w:r w:rsidR="006F605B" w:rsidRPr="00DC66CD">
        <w:rPr>
          <w:rFonts w:ascii="Garamond" w:hAnsi="Garamond"/>
          <w:b w:val="0"/>
          <w:color w:val="auto"/>
          <w:sz w:val="24"/>
          <w:szCs w:val="24"/>
        </w:rPr>
        <w:t>Masat e reformave</w:t>
      </w:r>
    </w:p>
    <w:p w14:paraId="41B30994" w14:textId="77777777" w:rsidR="006F605B" w:rsidRPr="00DC66CD" w:rsidRDefault="006F605B" w:rsidP="006F605B">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18: Përmirësimi i punësueshmërisë të punëkërkuesve të papunë më vulnerabël përmes adresimit më të mirë të PNP-ve dhe shërbimeve të punësimit</w:t>
      </w:r>
    </w:p>
    <w:p w14:paraId="0C835886" w14:textId="53474EFF" w:rsidR="006F605B" w:rsidRPr="00DC66CD" w:rsidRDefault="005E1A80" w:rsidP="005E1A80">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 </w:t>
      </w:r>
      <w:r w:rsidR="006F605B" w:rsidRPr="00DC66CD">
        <w:rPr>
          <w:rFonts w:ascii="Garamond" w:hAnsi="Garamond"/>
          <w:color w:val="auto"/>
          <w:sz w:val="24"/>
          <w:szCs w:val="24"/>
        </w:rPr>
        <w:t>Përshkrimi</w:t>
      </w:r>
    </w:p>
    <w:p w14:paraId="25E7C1CE" w14:textId="556D5CA6" w:rsidR="006F605B" w:rsidRPr="00DC66CD" w:rsidRDefault="006F605B" w:rsidP="006F605B">
      <w:pPr>
        <w:spacing w:after="0" w:line="240" w:lineRule="auto"/>
        <w:ind w:firstLine="284"/>
        <w:jc w:val="both"/>
        <w:rPr>
          <w:rFonts w:ascii="Garamond" w:eastAsia="Arial Narrow" w:hAnsi="Garamond"/>
          <w:bCs/>
          <w:sz w:val="24"/>
          <w:szCs w:val="24"/>
        </w:rPr>
      </w:pPr>
      <w:r w:rsidRPr="00DC66CD">
        <w:rPr>
          <w:rFonts w:ascii="Garamond" w:eastAsia="Arial Narrow" w:hAnsi="Garamond"/>
          <w:bCs/>
          <w:sz w:val="24"/>
          <w:szCs w:val="24"/>
        </w:rPr>
        <w:t>Strategjia Kombëtare për Punësim dhe Aftësi (SKPA)</w:t>
      </w:r>
      <w:r w:rsidR="00CF47F7" w:rsidRPr="00DC66CD">
        <w:rPr>
          <w:rFonts w:ascii="Garamond" w:eastAsia="Arial Narrow" w:hAnsi="Garamond"/>
          <w:bCs/>
          <w:sz w:val="24"/>
          <w:szCs w:val="24"/>
        </w:rPr>
        <w:t>,</w:t>
      </w:r>
      <w:r w:rsidRPr="00DC66CD">
        <w:rPr>
          <w:rFonts w:ascii="Garamond" w:eastAsia="Arial Narrow" w:hAnsi="Garamond"/>
          <w:bCs/>
          <w:sz w:val="24"/>
          <w:szCs w:val="24"/>
        </w:rPr>
        <w:t xml:space="preserve"> </w:t>
      </w:r>
      <w:r w:rsidR="00433A3A" w:rsidRPr="00DC66CD">
        <w:rPr>
          <w:rFonts w:ascii="Garamond" w:eastAsia="Arial Narrow" w:hAnsi="Garamond"/>
          <w:bCs/>
          <w:sz w:val="24"/>
          <w:szCs w:val="24"/>
        </w:rPr>
        <w:t>2014–</w:t>
      </w:r>
      <w:r w:rsidRPr="00DC66CD">
        <w:rPr>
          <w:rFonts w:ascii="Garamond" w:eastAsia="Arial Narrow" w:hAnsi="Garamond"/>
          <w:bCs/>
          <w:sz w:val="24"/>
          <w:szCs w:val="24"/>
        </w:rPr>
        <w:t>2020</w:t>
      </w:r>
      <w:r w:rsidR="00CF47F7" w:rsidRPr="00DC66CD">
        <w:rPr>
          <w:rFonts w:ascii="Garamond" w:eastAsia="Arial Narrow" w:hAnsi="Garamond"/>
          <w:bCs/>
          <w:sz w:val="24"/>
          <w:szCs w:val="24"/>
        </w:rPr>
        <w:t>,</w:t>
      </w:r>
      <w:r w:rsidRPr="00DC66CD">
        <w:rPr>
          <w:rFonts w:ascii="Garamond" w:eastAsia="Arial Narrow" w:hAnsi="Garamond"/>
          <w:bCs/>
          <w:sz w:val="24"/>
          <w:szCs w:val="24"/>
        </w:rPr>
        <w:t xml:space="preserve"> dhe plani i saj i veprimit në lidhje janë rishikuar dhe zgjatur deri në vitin 2022 miratuar me </w:t>
      </w:r>
      <w:r w:rsidR="00CF47F7" w:rsidRPr="00DC66CD">
        <w:rPr>
          <w:rFonts w:ascii="Garamond" w:eastAsia="Arial Narrow" w:hAnsi="Garamond"/>
          <w:bCs/>
          <w:sz w:val="24"/>
          <w:szCs w:val="24"/>
        </w:rPr>
        <w:t xml:space="preserve">vendim </w:t>
      </w:r>
      <w:r w:rsidRPr="00DC66CD">
        <w:rPr>
          <w:rFonts w:ascii="Garamond" w:eastAsia="Arial Narrow" w:hAnsi="Garamond"/>
          <w:bCs/>
          <w:sz w:val="24"/>
          <w:szCs w:val="24"/>
        </w:rPr>
        <w:t xml:space="preserve">të Këshillit të Ministrave </w:t>
      </w:r>
      <w:r w:rsidRPr="00DC66CD">
        <w:rPr>
          <w:rFonts w:ascii="Garamond" w:hAnsi="Garamond"/>
          <w:sz w:val="24"/>
          <w:szCs w:val="24"/>
        </w:rPr>
        <w:t>nr.</w:t>
      </w:r>
      <w:r w:rsidR="00CF47F7" w:rsidRPr="00DC66CD">
        <w:rPr>
          <w:rFonts w:ascii="Garamond" w:hAnsi="Garamond"/>
          <w:sz w:val="24"/>
          <w:szCs w:val="24"/>
        </w:rPr>
        <w:t xml:space="preserve"> </w:t>
      </w:r>
      <w:r w:rsidRPr="00DC66CD">
        <w:rPr>
          <w:rFonts w:ascii="Garamond" w:hAnsi="Garamond"/>
          <w:sz w:val="24"/>
          <w:szCs w:val="24"/>
        </w:rPr>
        <w:t>659, datë 10.10.2019</w:t>
      </w:r>
      <w:r w:rsidRPr="00DC66CD">
        <w:rPr>
          <w:rFonts w:ascii="Garamond" w:eastAsia="Arial Narrow" w:hAnsi="Garamond"/>
          <w:bCs/>
          <w:sz w:val="24"/>
          <w:szCs w:val="24"/>
        </w:rPr>
        <w:t xml:space="preserve">. Çdo masë do të zbatohet nga mbështetja e parashikuar në </w:t>
      </w:r>
      <w:r w:rsidRPr="00DC66CD">
        <w:rPr>
          <w:rFonts w:ascii="Garamond" w:hAnsi="Garamond"/>
          <w:sz w:val="24"/>
          <w:szCs w:val="24"/>
        </w:rPr>
        <w:t>Kontratën e Reformës Sektoriale (KRS) të mbështetjes buxhetore të BE-së</w:t>
      </w:r>
      <w:r w:rsidRPr="00DC66CD">
        <w:rPr>
          <w:rFonts w:ascii="Garamond" w:eastAsia="Arial Narrow" w:hAnsi="Garamond"/>
          <w:bCs/>
          <w:sz w:val="24"/>
          <w:szCs w:val="24"/>
        </w:rPr>
        <w:t>, si dhe nga projektet e donatorëve. Qëllimi kryesor i Strategjisë Kombëtare për Punësim dhe Aftësi</w:t>
      </w:r>
      <w:r w:rsidR="00CF47F7" w:rsidRPr="00DC66CD">
        <w:rPr>
          <w:rFonts w:ascii="Garamond" w:eastAsia="Arial Narrow" w:hAnsi="Garamond"/>
          <w:bCs/>
          <w:sz w:val="24"/>
          <w:szCs w:val="24"/>
        </w:rPr>
        <w:t>,</w:t>
      </w:r>
      <w:r w:rsidRPr="00DC66CD">
        <w:rPr>
          <w:rFonts w:ascii="Garamond" w:eastAsia="Arial Narrow" w:hAnsi="Garamond"/>
          <w:bCs/>
          <w:sz w:val="24"/>
          <w:szCs w:val="24"/>
        </w:rPr>
        <w:t xml:space="preserve"> 2019</w:t>
      </w:r>
      <w:r w:rsidR="00CF47F7" w:rsidRPr="00DC66CD">
        <w:rPr>
          <w:rFonts w:ascii="Garamond" w:eastAsia="Arial Narrow" w:hAnsi="Garamond"/>
          <w:bCs/>
          <w:sz w:val="24"/>
          <w:szCs w:val="24"/>
        </w:rPr>
        <w:t>–</w:t>
      </w:r>
      <w:r w:rsidRPr="00DC66CD">
        <w:rPr>
          <w:rFonts w:ascii="Garamond" w:eastAsia="Arial Narrow" w:hAnsi="Garamond"/>
          <w:bCs/>
          <w:sz w:val="24"/>
          <w:szCs w:val="24"/>
        </w:rPr>
        <w:t>2022 dhe planit të saj të veprimit është të identifikojë dhe hartojë politikat e duhura të stimulimit në vend për punësimin dhe aftësimin profesional të fuqisë punëtore, në mënyrë që të krijojë vende pune cilësore dhe mundësi për punësim dhe aftësi në të gjithë ciklin e jetës. Plani i veprimit përqendrohet në rritjen e mundësive për punë të denjë, përmes politikave efikase të tregut të punës, sigurimit të arsimit dhe aftësimit cilësor të të rinjve dhe të rriturve, nxitjen e përfshirjes dhe kohezionit social dhe forcimin tregut të punës dhe sistemit të kualifikimeve. Në përputhje me vizionin e qeverisë, kjo strategji e shikon aftësimin profesional dhe punësimin të lidhura së bashku, me qëllimin e ofrimit të shërbimeve të arsimit dhe formimit profesional të lidhura ngushtë me punësimin.</w:t>
      </w:r>
    </w:p>
    <w:p w14:paraId="4702CD5C" w14:textId="50E8B4EF" w:rsidR="006F605B" w:rsidRPr="00DC66CD" w:rsidRDefault="006F605B" w:rsidP="006F605B">
      <w:pPr>
        <w:spacing w:after="0" w:line="240" w:lineRule="auto"/>
        <w:ind w:firstLine="284"/>
        <w:jc w:val="both"/>
        <w:rPr>
          <w:rFonts w:ascii="Garamond" w:eastAsia="Arial Narrow" w:hAnsi="Garamond"/>
          <w:bCs/>
          <w:sz w:val="24"/>
          <w:szCs w:val="24"/>
        </w:rPr>
      </w:pPr>
      <w:r w:rsidRPr="00DC66CD">
        <w:rPr>
          <w:rFonts w:ascii="Garamond" w:eastAsia="Arial Narrow" w:hAnsi="Garamond"/>
          <w:bCs/>
          <w:sz w:val="24"/>
          <w:szCs w:val="24"/>
        </w:rPr>
        <w:t>Në këndvështrimin e planit të veprimit të SKPA</w:t>
      </w:r>
      <w:r w:rsidR="00CF47F7" w:rsidRPr="00DC66CD">
        <w:rPr>
          <w:rFonts w:ascii="Garamond" w:eastAsia="Arial Narrow" w:hAnsi="Garamond"/>
          <w:bCs/>
          <w:sz w:val="24"/>
          <w:szCs w:val="24"/>
        </w:rPr>
        <w:t>-së</w:t>
      </w:r>
      <w:r w:rsidRPr="00DC66CD">
        <w:rPr>
          <w:rFonts w:ascii="Garamond" w:eastAsia="Arial Narrow" w:hAnsi="Garamond"/>
          <w:bCs/>
          <w:sz w:val="24"/>
          <w:szCs w:val="24"/>
        </w:rPr>
        <w:t>, reformat synojnë:</w:t>
      </w:r>
    </w:p>
    <w:p w14:paraId="518D0DE0" w14:textId="5DEEDD0D"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Arial Narrow" w:hAnsi="Garamond"/>
          <w:bCs/>
          <w:sz w:val="24"/>
          <w:szCs w:val="24"/>
        </w:rPr>
        <w:t xml:space="preserve">Të mundësojnë një profilizim më të mirë të punëkërkuesve përmes sistemit të rinovuar të informacionit të </w:t>
      </w:r>
      <w:r w:rsidRPr="00DC66CD">
        <w:rPr>
          <w:rFonts w:ascii="Garamond" w:hAnsi="Garamond"/>
          <w:sz w:val="24"/>
          <w:szCs w:val="24"/>
        </w:rPr>
        <w:t>SHKP</w:t>
      </w:r>
      <w:r w:rsidRPr="00DC66CD">
        <w:rPr>
          <w:rFonts w:ascii="Garamond" w:eastAsia="Arial Narrow" w:hAnsi="Garamond"/>
          <w:bCs/>
          <w:sz w:val="24"/>
          <w:szCs w:val="24"/>
        </w:rPr>
        <w:t xml:space="preserve"> dhe hartimit të planeve individuale të punësimit. Rishikimi i programeve të nxitjes se punësimit për t</w:t>
      </w:r>
      <w:r w:rsidR="002C582E" w:rsidRPr="00DC66CD">
        <w:rPr>
          <w:rFonts w:ascii="Garamond" w:eastAsia="Arial Narrow" w:hAnsi="Garamond"/>
          <w:bCs/>
          <w:sz w:val="24"/>
          <w:szCs w:val="24"/>
        </w:rPr>
        <w:t>’</w:t>
      </w:r>
      <w:r w:rsidRPr="00DC66CD">
        <w:rPr>
          <w:rFonts w:ascii="Garamond" w:eastAsia="Arial Narrow" w:hAnsi="Garamond"/>
          <w:bCs/>
          <w:sz w:val="24"/>
          <w:szCs w:val="24"/>
        </w:rPr>
        <w:t xml:space="preserve">ju përgjigjur më mirë nevojave të punëkërkuesve të papunë, veçanërisht grupeve më të cenueshme dhe harmonizimin e bashkëveprimeve dhe ndërhyrjeve të </w:t>
      </w:r>
      <w:r w:rsidRPr="00DC66CD">
        <w:rPr>
          <w:rFonts w:ascii="Garamond" w:hAnsi="Garamond"/>
          <w:sz w:val="24"/>
          <w:szCs w:val="24"/>
        </w:rPr>
        <w:t>SHKP</w:t>
      </w:r>
      <w:r w:rsidRPr="00DC66CD">
        <w:rPr>
          <w:rFonts w:ascii="Garamond" w:eastAsia="Arial Narrow" w:hAnsi="Garamond"/>
          <w:bCs/>
          <w:sz w:val="24"/>
          <w:szCs w:val="24"/>
        </w:rPr>
        <w:t>, Shërbimit Social Shtetëror dhe autoriteteve lokale.</w:t>
      </w:r>
    </w:p>
    <w:p w14:paraId="3BAAC979" w14:textId="4791EF64" w:rsidR="006F605B" w:rsidRPr="00DC66CD" w:rsidRDefault="0066118F" w:rsidP="0066118F">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10. </w:t>
      </w:r>
      <w:r w:rsidR="006F605B" w:rsidRPr="00DC66CD">
        <w:rPr>
          <w:rFonts w:ascii="Garamond" w:hAnsi="Garamond"/>
          <w:color w:val="auto"/>
          <w:sz w:val="24"/>
          <w:szCs w:val="24"/>
        </w:rPr>
        <w:t>Aktivitetet e planifikuara</w:t>
      </w:r>
    </w:p>
    <w:p w14:paraId="21FFF9FB" w14:textId="3A580B23" w:rsidR="006F605B" w:rsidRPr="00DC66CD" w:rsidRDefault="0066118F" w:rsidP="0066118F">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d)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C36FE0" w:rsidRPr="00DC66CD">
        <w:rPr>
          <w:rFonts w:ascii="Garamond" w:hAnsi="Garamond" w:cs="Times New Roman"/>
          <w:b/>
          <w:sz w:val="24"/>
          <w:szCs w:val="24"/>
        </w:rPr>
        <w:t>-ën:</w:t>
      </w:r>
    </w:p>
    <w:p w14:paraId="7425CF8C" w14:textId="12AA518C" w:rsidR="006F605B" w:rsidRPr="00DC66CD" w:rsidRDefault="0066118F" w:rsidP="0066118F">
      <w:pPr>
        <w:pStyle w:val="TEKSTIIII"/>
      </w:pPr>
      <w:r w:rsidRPr="00DC66CD">
        <w:t>-</w:t>
      </w:r>
      <w:r w:rsidR="00C36FE0" w:rsidRPr="00DC66CD">
        <w:t xml:space="preserve"> plani </w:t>
      </w:r>
      <w:r w:rsidR="006F605B" w:rsidRPr="00DC66CD">
        <w:t xml:space="preserve">i </w:t>
      </w:r>
      <w:r w:rsidR="00C36FE0" w:rsidRPr="00DC66CD">
        <w:t xml:space="preserve">punës </w:t>
      </w:r>
      <w:r w:rsidR="006F605B" w:rsidRPr="00DC66CD">
        <w:t>3-vjeçare i SHKP</w:t>
      </w:r>
      <w:r w:rsidR="00C36FE0" w:rsidRPr="00DC66CD">
        <w:t>,</w:t>
      </w:r>
      <w:r w:rsidR="006F605B" w:rsidRPr="00DC66CD">
        <w:t xml:space="preserve"> 2020-2022, i zhvilluar në përputhje me SKPA</w:t>
      </w:r>
      <w:r w:rsidR="00C36FE0" w:rsidRPr="00DC66CD">
        <w:t>-në</w:t>
      </w:r>
      <w:r w:rsidR="006F605B" w:rsidRPr="00DC66CD">
        <w:t xml:space="preserve"> të rishikuar </w:t>
      </w:r>
      <w:r w:rsidR="00433A3A" w:rsidRPr="00DC66CD">
        <w:t>2019–</w:t>
      </w:r>
      <w:r w:rsidR="006F605B" w:rsidRPr="00DC66CD">
        <w:t>2022 dhe funksionet e reja të agjencisë;</w:t>
      </w:r>
    </w:p>
    <w:p w14:paraId="699824FE" w14:textId="471D348F" w:rsidR="006F605B" w:rsidRPr="00DC66CD" w:rsidRDefault="0066118F" w:rsidP="0066118F">
      <w:pPr>
        <w:pStyle w:val="TEKSTIIII"/>
      </w:pPr>
      <w:r w:rsidRPr="00DC66CD">
        <w:t>-</w:t>
      </w:r>
      <w:r w:rsidR="00C36FE0" w:rsidRPr="00DC66CD">
        <w:t xml:space="preserve"> p</w:t>
      </w:r>
      <w:r w:rsidR="006F605B" w:rsidRPr="00DC66CD">
        <w:t>rotokollet dhe mjetet e shërbimit, bazuar në modelin e shërbimit me tr</w:t>
      </w:r>
      <w:r w:rsidR="00276B1A" w:rsidRPr="00DC66CD">
        <w:t>i</w:t>
      </w:r>
      <w:r w:rsidR="006F605B" w:rsidRPr="00DC66CD">
        <w:t xml:space="preserve"> nivele, të projektuar dhe sistemin e IT</w:t>
      </w:r>
      <w:r w:rsidR="00C36FE0" w:rsidRPr="00DC66CD">
        <w:t>-së</w:t>
      </w:r>
      <w:r w:rsidR="006F605B" w:rsidRPr="00DC66CD">
        <w:t>, që profilizojnë në mënyrë adekuate punëkërkuesit e regjistruar është i vendosur;</w:t>
      </w:r>
    </w:p>
    <w:p w14:paraId="0CD01D49" w14:textId="6BE42B6E" w:rsidR="006F605B" w:rsidRPr="00DC66CD" w:rsidRDefault="0066118F" w:rsidP="0066118F">
      <w:pPr>
        <w:pStyle w:val="TEKSTIIII"/>
      </w:pPr>
      <w:r w:rsidRPr="00DC66CD">
        <w:t>-</w:t>
      </w:r>
      <w:r w:rsidR="00C36FE0" w:rsidRPr="00DC66CD">
        <w:t xml:space="preserve"> m</w:t>
      </w:r>
      <w:r w:rsidR="006F605B" w:rsidRPr="00DC66CD">
        <w:t>oduli i ri i profilizimit në sistemin e informacionit është funksional dhe objektivat vjetor</w:t>
      </w:r>
      <w:r w:rsidR="00C36FE0" w:rsidRPr="00DC66CD">
        <w:t>ë</w:t>
      </w:r>
      <w:r w:rsidR="006F605B" w:rsidRPr="00DC66CD">
        <w:t xml:space="preserve"> janë të derivuara, sistemi i adresimit të synimeve është krijuar dhe ka filluar të ndërtohet metodologjia e planit të punësimit;</w:t>
      </w:r>
    </w:p>
    <w:p w14:paraId="27003A69" w14:textId="7F642FAF" w:rsidR="006F605B" w:rsidRPr="00DC66CD" w:rsidRDefault="0066118F" w:rsidP="0066118F">
      <w:pPr>
        <w:pStyle w:val="TEKSTIIII"/>
      </w:pPr>
      <w:r w:rsidRPr="00DC66CD">
        <w:t>-</w:t>
      </w:r>
      <w:r w:rsidR="00C36FE0" w:rsidRPr="00DC66CD">
        <w:t xml:space="preserve"> p</w:t>
      </w:r>
      <w:r w:rsidR="006F605B" w:rsidRPr="00DC66CD">
        <w:t>rograme të reja dhe të rishikuara të nxitjes së punësimit, në përputhje me ligjin e ri të nxitjes së punësimit 15/2019, synojnë të mbështesin grupet më të cenueshme dhe punëkërkuesit e papunë të regjistruar, që përfitojnë nga këto programe;</w:t>
      </w:r>
    </w:p>
    <w:p w14:paraId="4ECD8D29" w14:textId="553422F5" w:rsidR="006F605B" w:rsidRPr="00DC66CD" w:rsidRDefault="0066118F" w:rsidP="0066118F">
      <w:pPr>
        <w:pStyle w:val="TEKSTIIII"/>
      </w:pPr>
      <w:r w:rsidRPr="00DC66CD">
        <w:t>-</w:t>
      </w:r>
      <w:r w:rsidR="00C36FE0" w:rsidRPr="00DC66CD">
        <w:t xml:space="preserve"> m</w:t>
      </w:r>
      <w:r w:rsidR="006F605B" w:rsidRPr="00DC66CD">
        <w:t>arrëveshje bashkëpunimi të nënshkruara me të paktën 3 bashki në zonat e pambuluara;</w:t>
      </w:r>
    </w:p>
    <w:p w14:paraId="3EAD2E85" w14:textId="1D7715E6" w:rsidR="006F605B" w:rsidRPr="00DC66CD" w:rsidRDefault="0066118F" w:rsidP="0066118F">
      <w:pPr>
        <w:pStyle w:val="TEKSTIIII"/>
      </w:pPr>
      <w:r w:rsidRPr="00DC66CD">
        <w:t>-</w:t>
      </w:r>
      <w:r w:rsidR="00C36FE0" w:rsidRPr="00DC66CD">
        <w:t xml:space="preserve"> s</w:t>
      </w:r>
      <w:r w:rsidR="006F605B" w:rsidRPr="00DC66CD">
        <w:t>istemi i referimit të punëkërkuesve në QFP është i vendosur</w:t>
      </w:r>
      <w:r w:rsidR="00C36FE0" w:rsidRPr="00DC66CD">
        <w:t>.</w:t>
      </w:r>
    </w:p>
    <w:p w14:paraId="14DE68E1" w14:textId="7C8FE9C6" w:rsidR="006F605B" w:rsidRPr="00DC66CD" w:rsidRDefault="0066118F" w:rsidP="0066118F">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e)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C36FE0" w:rsidRPr="00DC66CD">
        <w:rPr>
          <w:rFonts w:ascii="Garamond" w:hAnsi="Garamond" w:cs="Times New Roman"/>
          <w:b/>
          <w:sz w:val="24"/>
          <w:szCs w:val="24"/>
        </w:rPr>
        <w:t>-shin:</w:t>
      </w:r>
    </w:p>
    <w:p w14:paraId="336A3AEF" w14:textId="2B62FB9F" w:rsidR="006F605B" w:rsidRPr="00DC66CD" w:rsidRDefault="0066118F" w:rsidP="0066118F">
      <w:pPr>
        <w:pStyle w:val="TEKSTIIII"/>
      </w:pPr>
      <w:r w:rsidRPr="00DC66CD">
        <w:t>-</w:t>
      </w:r>
      <w:r w:rsidR="00C36FE0" w:rsidRPr="00DC66CD">
        <w:t xml:space="preserve"> z</w:t>
      </w:r>
      <w:r w:rsidR="006F605B" w:rsidRPr="00DC66CD">
        <w:t>batimi i programeve të nxitjes së punësimit</w:t>
      </w:r>
      <w:r w:rsidR="00C36FE0" w:rsidRPr="00DC66CD">
        <w:t>,</w:t>
      </w:r>
      <w:r w:rsidR="006F605B" w:rsidRPr="00DC66CD">
        <w:t xml:space="preserve"> me synimin që të mbështesin grupet më të cenueshme dhe aktivizimin, si dhe numri i punëkërkuesve të regjistruar të papunë që përfitojnë nga programet e promovimit të punësimit synohet të arrijë në 6,7%;</w:t>
      </w:r>
    </w:p>
    <w:p w14:paraId="0D63A956" w14:textId="3EB241A6" w:rsidR="006F605B" w:rsidRPr="00DC66CD" w:rsidRDefault="0066118F" w:rsidP="0066118F">
      <w:pPr>
        <w:pStyle w:val="TEKSTIIII"/>
      </w:pPr>
      <w:r w:rsidRPr="00DC66CD">
        <w:t>-</w:t>
      </w:r>
      <w:r w:rsidR="00C36FE0" w:rsidRPr="00DC66CD">
        <w:t xml:space="preserve"> z</w:t>
      </w:r>
      <w:r w:rsidR="006F605B" w:rsidRPr="00DC66CD">
        <w:t>batimi i marrëveshjeve të nënshkruara me bashkitë në zonat e pambuluara;</w:t>
      </w:r>
    </w:p>
    <w:p w14:paraId="4363F8CC" w14:textId="61A03747" w:rsidR="006F605B" w:rsidRPr="00DC66CD" w:rsidRDefault="0066118F" w:rsidP="0066118F">
      <w:pPr>
        <w:pStyle w:val="TEKSTIIII"/>
      </w:pPr>
      <w:r w:rsidRPr="00DC66CD">
        <w:t>-</w:t>
      </w:r>
      <w:r w:rsidR="00C36FE0" w:rsidRPr="00DC66CD">
        <w:t xml:space="preserve"> m</w:t>
      </w:r>
      <w:r w:rsidR="006F605B" w:rsidRPr="00DC66CD">
        <w:t>aksimizimi i bashkëveprimit dhe përmirësimi i shënjestrimit të politikave aktive të tregut të punës dhe zbatimi i paketës së përgatitur të arsimit dhe formimit profesional.</w:t>
      </w:r>
    </w:p>
    <w:p w14:paraId="6D4C788F" w14:textId="38084D3D" w:rsidR="006F605B" w:rsidRPr="00DC66CD" w:rsidRDefault="00B07DF5" w:rsidP="0066118F">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f</w:t>
      </w:r>
      <w:r w:rsidR="0066118F" w:rsidRPr="00DC66CD">
        <w:rPr>
          <w:rFonts w:ascii="Garamond" w:hAnsi="Garamond" w:cs="Times New Roman"/>
          <w:b/>
          <w:sz w:val="24"/>
          <w:szCs w:val="24"/>
        </w:rPr>
        <w:t xml:space="preserve">)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C36FE0" w:rsidRPr="00DC66CD">
        <w:rPr>
          <w:rFonts w:ascii="Garamond" w:hAnsi="Garamond" w:cs="Times New Roman"/>
          <w:b/>
          <w:sz w:val="24"/>
          <w:szCs w:val="24"/>
        </w:rPr>
        <w:t>-shin:</w:t>
      </w:r>
    </w:p>
    <w:p w14:paraId="29B9E69C" w14:textId="0F5BC287" w:rsidR="006F605B" w:rsidRPr="00DC66CD" w:rsidRDefault="0066118F" w:rsidP="0066118F">
      <w:pPr>
        <w:pStyle w:val="TEKSTIIII"/>
      </w:pPr>
      <w:r w:rsidRPr="00DC66CD">
        <w:t>-</w:t>
      </w:r>
      <w:r w:rsidR="00C36FE0" w:rsidRPr="00DC66CD">
        <w:t xml:space="preserve"> p</w:t>
      </w:r>
      <w:r w:rsidR="006F605B" w:rsidRPr="00DC66CD">
        <w:t xml:space="preserve">ërmirësimi i cilësisë dhe </w:t>
      </w:r>
      <w:r w:rsidR="00C36FE0" w:rsidRPr="00DC66CD">
        <w:t xml:space="preserve">i </w:t>
      </w:r>
      <w:r w:rsidR="006F605B" w:rsidRPr="00DC66CD">
        <w:t>efektivitetit të institucioneve dhe shërbimeve të tregut të punës, përmes rritjes së performancës së stafit;</w:t>
      </w:r>
    </w:p>
    <w:p w14:paraId="5BD0AE6F" w14:textId="2F15D1F5" w:rsidR="006F605B" w:rsidRPr="00DC66CD" w:rsidRDefault="0066118F" w:rsidP="0066118F">
      <w:pPr>
        <w:pStyle w:val="TEKSTIIII"/>
      </w:pPr>
      <w:r w:rsidRPr="00DC66CD">
        <w:t>-</w:t>
      </w:r>
      <w:r w:rsidR="00C36FE0" w:rsidRPr="00DC66CD">
        <w:t xml:space="preserve"> z</w:t>
      </w:r>
      <w:r w:rsidR="006F605B" w:rsidRPr="00DC66CD">
        <w:t>hvillimi dhe publikimi i informacionit dhe analiza e cilësisë së tregut të punës dhe përmirësimi i marrëdhënieve me publikun;</w:t>
      </w:r>
    </w:p>
    <w:p w14:paraId="6FC0C844" w14:textId="58B7C7C1" w:rsidR="006F605B" w:rsidRPr="00DC66CD" w:rsidRDefault="0066118F" w:rsidP="0066118F">
      <w:pPr>
        <w:pStyle w:val="TEKSTIIII"/>
      </w:pPr>
      <w:r w:rsidRPr="00DC66CD">
        <w:t>-</w:t>
      </w:r>
      <w:r w:rsidR="00C36FE0" w:rsidRPr="00DC66CD">
        <w:t xml:space="preserve"> z</w:t>
      </w:r>
      <w:r w:rsidR="006F605B" w:rsidRPr="00DC66CD">
        <w:t>batimi i programeve të nxitjes së punësimit që synojnë mbështetjen e grupeve më të prekshme dhe aktivizimin dhe numri i punëkërkuesve të regjistruar të papunë që përfitojnë nga programet e nxitjes së punësimit është targetuar të arrijë në 7%.</w:t>
      </w:r>
    </w:p>
    <w:p w14:paraId="51CFC0C7" w14:textId="77777777" w:rsidR="006F605B" w:rsidRPr="00DC66CD" w:rsidRDefault="006F605B" w:rsidP="006F605B">
      <w:pPr>
        <w:snapToGrid w:val="0"/>
        <w:spacing w:after="0" w:line="240" w:lineRule="auto"/>
        <w:ind w:firstLine="284"/>
        <w:rPr>
          <w:rFonts w:ascii="Garamond" w:hAnsi="Garamond"/>
          <w:sz w:val="24"/>
          <w:szCs w:val="24"/>
        </w:rPr>
      </w:pPr>
    </w:p>
    <w:p w14:paraId="2A2377AC" w14:textId="375E824C" w:rsidR="006F605B" w:rsidRPr="00DC66CD" w:rsidRDefault="00B07DF5" w:rsidP="00B07DF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11. </w:t>
      </w:r>
      <w:r w:rsidR="006F605B" w:rsidRPr="00DC66CD">
        <w:rPr>
          <w:rFonts w:ascii="Garamond" w:hAnsi="Garamond"/>
          <w:color w:val="auto"/>
          <w:sz w:val="24"/>
          <w:szCs w:val="24"/>
        </w:rPr>
        <w:t>Indikatorët e rezultateve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1717"/>
        <w:gridCol w:w="1756"/>
        <w:gridCol w:w="1742"/>
      </w:tblGrid>
      <w:tr w:rsidR="006F605B" w:rsidRPr="00DC66CD" w14:paraId="12304814" w14:textId="77777777" w:rsidTr="004F4E33">
        <w:trPr>
          <w:jc w:val="center"/>
        </w:trPr>
        <w:tc>
          <w:tcPr>
            <w:tcW w:w="4248" w:type="dxa"/>
            <w:vAlign w:val="center"/>
          </w:tcPr>
          <w:p w14:paraId="2DB2D21C"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1791" w:type="dxa"/>
            <w:vAlign w:val="center"/>
          </w:tcPr>
          <w:p w14:paraId="403340BB"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Bazë (viti)</w:t>
            </w:r>
          </w:p>
        </w:tc>
        <w:tc>
          <w:tcPr>
            <w:tcW w:w="1791" w:type="dxa"/>
            <w:vAlign w:val="center"/>
          </w:tcPr>
          <w:p w14:paraId="0947277E" w14:textId="48BC5ADF" w:rsidR="006F605B" w:rsidRPr="00DC66CD" w:rsidRDefault="00C27435"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(viti)</w:t>
            </w:r>
          </w:p>
        </w:tc>
        <w:tc>
          <w:tcPr>
            <w:tcW w:w="1792" w:type="dxa"/>
            <w:vAlign w:val="center"/>
          </w:tcPr>
          <w:p w14:paraId="09C2D349"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Objektivi (viti)</w:t>
            </w:r>
          </w:p>
        </w:tc>
      </w:tr>
      <w:tr w:rsidR="006F605B" w:rsidRPr="00DC66CD" w14:paraId="5BE275BA" w14:textId="77777777" w:rsidTr="004F4E33">
        <w:trPr>
          <w:jc w:val="center"/>
        </w:trPr>
        <w:tc>
          <w:tcPr>
            <w:tcW w:w="4248" w:type="dxa"/>
          </w:tcPr>
          <w:p w14:paraId="6149CF5A" w14:textId="77777777" w:rsidR="006F605B" w:rsidRPr="00DC66CD" w:rsidRDefault="006F605B" w:rsidP="00B07DF5">
            <w:pPr>
              <w:snapToGrid w:val="0"/>
              <w:spacing w:after="0" w:line="240" w:lineRule="auto"/>
              <w:rPr>
                <w:rFonts w:ascii="Garamond" w:hAnsi="Garamond"/>
                <w:sz w:val="20"/>
                <w:szCs w:val="20"/>
              </w:rPr>
            </w:pPr>
            <w:r w:rsidRPr="00DC66CD">
              <w:rPr>
                <w:rFonts w:ascii="Garamond" w:eastAsia="Arial Narrow" w:hAnsi="Garamond"/>
                <w:sz w:val="20"/>
                <w:szCs w:val="20"/>
              </w:rPr>
              <w:t>Rritja e kualifikimit të punëkërkuesve të papunë</w:t>
            </w:r>
          </w:p>
        </w:tc>
        <w:tc>
          <w:tcPr>
            <w:tcW w:w="1791" w:type="dxa"/>
            <w:vAlign w:val="center"/>
          </w:tcPr>
          <w:p w14:paraId="67A4905A"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50%</w:t>
            </w:r>
          </w:p>
        </w:tc>
        <w:tc>
          <w:tcPr>
            <w:tcW w:w="1791" w:type="dxa"/>
            <w:vAlign w:val="center"/>
          </w:tcPr>
          <w:p w14:paraId="2F42B2AD"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60%</w:t>
            </w:r>
          </w:p>
        </w:tc>
        <w:tc>
          <w:tcPr>
            <w:tcW w:w="1792" w:type="dxa"/>
            <w:vAlign w:val="center"/>
          </w:tcPr>
          <w:p w14:paraId="2CCD527E"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65%</w:t>
            </w:r>
          </w:p>
        </w:tc>
      </w:tr>
      <w:tr w:rsidR="006F605B" w:rsidRPr="00DC66CD" w14:paraId="01378B31" w14:textId="77777777" w:rsidTr="004F4E33">
        <w:trPr>
          <w:jc w:val="center"/>
        </w:trPr>
        <w:tc>
          <w:tcPr>
            <w:tcW w:w="4248" w:type="dxa"/>
          </w:tcPr>
          <w:p w14:paraId="19CB4520" w14:textId="77777777" w:rsidR="006F605B" w:rsidRPr="00DC66CD" w:rsidRDefault="006F605B" w:rsidP="00B07DF5">
            <w:pPr>
              <w:snapToGrid w:val="0"/>
              <w:spacing w:after="0" w:line="240" w:lineRule="auto"/>
              <w:rPr>
                <w:rFonts w:ascii="Garamond" w:hAnsi="Garamond"/>
                <w:sz w:val="20"/>
                <w:szCs w:val="20"/>
              </w:rPr>
            </w:pPr>
            <w:r w:rsidRPr="00DC66CD">
              <w:rPr>
                <w:rFonts w:ascii="Garamond" w:eastAsia="Arial Narrow" w:hAnsi="Garamond"/>
                <w:sz w:val="20"/>
                <w:szCs w:val="20"/>
              </w:rPr>
              <w:t>Rritja e punësimit të të papunëve nëpërmjet shërbimeve të ndërmjetësimit për punësim</w:t>
            </w:r>
          </w:p>
        </w:tc>
        <w:tc>
          <w:tcPr>
            <w:tcW w:w="1791" w:type="dxa"/>
            <w:vAlign w:val="center"/>
          </w:tcPr>
          <w:p w14:paraId="2627AD53"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28%</w:t>
            </w:r>
          </w:p>
        </w:tc>
        <w:tc>
          <w:tcPr>
            <w:tcW w:w="1791" w:type="dxa"/>
            <w:vAlign w:val="center"/>
          </w:tcPr>
          <w:p w14:paraId="5B3114AE"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38%</w:t>
            </w:r>
          </w:p>
        </w:tc>
        <w:tc>
          <w:tcPr>
            <w:tcW w:w="1792" w:type="dxa"/>
            <w:vAlign w:val="center"/>
          </w:tcPr>
          <w:p w14:paraId="04F334A7"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43%</w:t>
            </w:r>
          </w:p>
        </w:tc>
      </w:tr>
      <w:tr w:rsidR="006F605B" w:rsidRPr="00DC66CD" w14:paraId="1327B334" w14:textId="77777777" w:rsidTr="00C36FE0">
        <w:trPr>
          <w:jc w:val="center"/>
        </w:trPr>
        <w:tc>
          <w:tcPr>
            <w:tcW w:w="4248" w:type="dxa"/>
          </w:tcPr>
          <w:p w14:paraId="4AE383D5" w14:textId="77777777" w:rsidR="006F605B" w:rsidRPr="00DC66CD" w:rsidRDefault="006F605B" w:rsidP="00B07DF5">
            <w:pPr>
              <w:snapToGrid w:val="0"/>
              <w:spacing w:after="0" w:line="240" w:lineRule="auto"/>
              <w:rPr>
                <w:rFonts w:ascii="Garamond" w:hAnsi="Garamond"/>
                <w:sz w:val="20"/>
                <w:szCs w:val="20"/>
              </w:rPr>
            </w:pPr>
            <w:r w:rsidRPr="00DC66CD">
              <w:rPr>
                <w:rFonts w:ascii="Garamond" w:eastAsia="Arial Narrow" w:hAnsi="Garamond"/>
                <w:sz w:val="20"/>
                <w:szCs w:val="20"/>
              </w:rPr>
              <w:t>Rritja e pjesëmarrjes së</w:t>
            </w:r>
            <w:r w:rsidRPr="00DC66CD">
              <w:rPr>
                <w:rFonts w:ascii="Garamond" w:hAnsi="Garamond"/>
                <w:sz w:val="20"/>
                <w:szCs w:val="20"/>
              </w:rPr>
              <w:t xml:space="preserve"> </w:t>
            </w:r>
            <w:r w:rsidRPr="00DC66CD">
              <w:rPr>
                <w:rFonts w:ascii="Garamond" w:eastAsia="Arial Narrow" w:hAnsi="Garamond"/>
                <w:sz w:val="20"/>
                <w:szCs w:val="20"/>
              </w:rPr>
              <w:t>punëkërkuesve të papunë në programet e nxitjes së punësimit</w:t>
            </w:r>
          </w:p>
        </w:tc>
        <w:tc>
          <w:tcPr>
            <w:tcW w:w="1791" w:type="dxa"/>
            <w:vAlign w:val="center"/>
          </w:tcPr>
          <w:p w14:paraId="15456297"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eastAsia="Arial Narrow" w:hAnsi="Garamond"/>
                <w:sz w:val="20"/>
                <w:szCs w:val="20"/>
              </w:rPr>
              <w:t>6,4%</w:t>
            </w:r>
          </w:p>
        </w:tc>
        <w:tc>
          <w:tcPr>
            <w:tcW w:w="1791" w:type="dxa"/>
            <w:vAlign w:val="center"/>
          </w:tcPr>
          <w:p w14:paraId="21E4027D"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6,7%</w:t>
            </w:r>
          </w:p>
        </w:tc>
        <w:tc>
          <w:tcPr>
            <w:tcW w:w="1792" w:type="dxa"/>
            <w:shd w:val="clear" w:color="auto" w:fill="auto"/>
            <w:vAlign w:val="center"/>
          </w:tcPr>
          <w:p w14:paraId="434041C3" w14:textId="680081D6" w:rsidR="006F605B" w:rsidRPr="00DC66CD" w:rsidRDefault="00C36FE0" w:rsidP="004F4E33">
            <w:pPr>
              <w:snapToGrid w:val="0"/>
              <w:spacing w:after="0" w:line="240" w:lineRule="auto"/>
              <w:jc w:val="right"/>
              <w:rPr>
                <w:rFonts w:ascii="Garamond" w:hAnsi="Garamond"/>
                <w:sz w:val="20"/>
                <w:szCs w:val="20"/>
                <w:highlight w:val="yellow"/>
              </w:rPr>
            </w:pPr>
            <w:r w:rsidRPr="00DC66CD">
              <w:rPr>
                <w:rFonts w:ascii="Garamond" w:hAnsi="Garamond"/>
                <w:sz w:val="20"/>
                <w:szCs w:val="20"/>
              </w:rPr>
              <w:t>7</w:t>
            </w:r>
            <w:r w:rsidR="006F605B" w:rsidRPr="00DC66CD">
              <w:rPr>
                <w:rFonts w:ascii="Garamond" w:hAnsi="Garamond"/>
                <w:sz w:val="20"/>
                <w:szCs w:val="20"/>
              </w:rPr>
              <w:t>,0%</w:t>
            </w:r>
          </w:p>
        </w:tc>
      </w:tr>
    </w:tbl>
    <w:p w14:paraId="751291CD" w14:textId="77777777" w:rsidR="006F605B" w:rsidRPr="00DC66CD" w:rsidRDefault="006F605B" w:rsidP="006F605B">
      <w:pPr>
        <w:snapToGrid w:val="0"/>
        <w:spacing w:after="0" w:line="240" w:lineRule="auto"/>
        <w:ind w:firstLine="284"/>
        <w:rPr>
          <w:rFonts w:ascii="Garamond" w:hAnsi="Garamond"/>
          <w:sz w:val="24"/>
          <w:szCs w:val="24"/>
        </w:rPr>
      </w:pPr>
    </w:p>
    <w:p w14:paraId="6470635A" w14:textId="4FAA928A" w:rsidR="006F605B" w:rsidRPr="00DC66CD" w:rsidRDefault="00B07DF5" w:rsidP="00B07DF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12. </w:t>
      </w:r>
      <w:r w:rsidR="006F605B" w:rsidRPr="00DC66CD">
        <w:rPr>
          <w:rFonts w:ascii="Garamond" w:hAnsi="Garamond"/>
          <w:color w:val="auto"/>
          <w:sz w:val="24"/>
          <w:szCs w:val="24"/>
        </w:rPr>
        <w:t>Ndikimi i pritshëm në konkurrueshmëri</w:t>
      </w:r>
    </w:p>
    <w:p w14:paraId="7BD74D3F" w14:textId="00EA83A5" w:rsidR="00B07DF5" w:rsidRPr="00DC66CD" w:rsidRDefault="006F605B" w:rsidP="00B07DF5">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Masa e reformës synon të përmirësojë aftësitë dhe kualifikimet e të papunëve; si pasojë rritet cilësia e forcës së punës. Në planin afatmesëm dhe afatgjatë, masa pritet të ndihmojë në tërheqjen e investimeve të huaja direkte, pasi një fuqi punëtore e aftë </w:t>
      </w:r>
      <w:r w:rsidR="00B0058C" w:rsidRPr="00DC66CD">
        <w:rPr>
          <w:rFonts w:ascii="Garamond" w:hAnsi="Garamond"/>
          <w:sz w:val="24"/>
          <w:szCs w:val="24"/>
        </w:rPr>
        <w:t>u</w:t>
      </w:r>
      <w:r w:rsidRPr="00DC66CD">
        <w:rPr>
          <w:rFonts w:ascii="Garamond" w:hAnsi="Garamond"/>
          <w:sz w:val="24"/>
          <w:szCs w:val="24"/>
        </w:rPr>
        <w:t xml:space="preserve"> përket faktorëve më </w:t>
      </w:r>
      <w:r w:rsidR="00B07DF5" w:rsidRPr="00DC66CD">
        <w:rPr>
          <w:rFonts w:ascii="Garamond" w:hAnsi="Garamond"/>
          <w:sz w:val="24"/>
          <w:szCs w:val="24"/>
        </w:rPr>
        <w:t>të rëndësishëm të vendndodhjes.</w:t>
      </w:r>
    </w:p>
    <w:p w14:paraId="1F27A9B2" w14:textId="34583F11" w:rsidR="006F605B" w:rsidRPr="00DC66CD" w:rsidRDefault="00B07DF5" w:rsidP="00B07DF5">
      <w:pPr>
        <w:snapToGrid w:val="0"/>
        <w:spacing w:after="0" w:line="240" w:lineRule="auto"/>
        <w:ind w:firstLine="284"/>
        <w:jc w:val="both"/>
        <w:rPr>
          <w:rFonts w:ascii="Garamond" w:hAnsi="Garamond"/>
          <w:i/>
          <w:sz w:val="24"/>
          <w:szCs w:val="24"/>
        </w:rPr>
      </w:pPr>
      <w:r w:rsidRPr="00DC66CD">
        <w:rPr>
          <w:rFonts w:ascii="Garamond" w:hAnsi="Garamond"/>
          <w:i/>
          <w:sz w:val="24"/>
          <w:szCs w:val="24"/>
        </w:rPr>
        <w:t xml:space="preserve">13. </w:t>
      </w:r>
      <w:r w:rsidR="006F605B" w:rsidRPr="00DC66CD">
        <w:rPr>
          <w:rFonts w:ascii="Garamond" w:hAnsi="Garamond"/>
          <w:i/>
          <w:sz w:val="24"/>
          <w:szCs w:val="24"/>
        </w:rPr>
        <w:t>Kosto</w:t>
      </w:r>
      <w:r w:rsidR="004F4E33" w:rsidRPr="00DC66CD">
        <w:rPr>
          <w:rFonts w:ascii="Garamond" w:hAnsi="Garamond"/>
          <w:i/>
          <w:sz w:val="24"/>
          <w:szCs w:val="24"/>
        </w:rPr>
        <w:t>ja</w:t>
      </w:r>
      <w:r w:rsidR="006F605B" w:rsidRPr="00DC66CD">
        <w:rPr>
          <w:rFonts w:ascii="Garamond" w:hAnsi="Garamond"/>
          <w:i/>
          <w:sz w:val="24"/>
          <w:szCs w:val="24"/>
        </w:rPr>
        <w:t xml:space="preserve"> e parashikuar e aktiviteteve dhe burimi i financimit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1869"/>
        <w:gridCol w:w="1869"/>
        <w:gridCol w:w="1716"/>
      </w:tblGrid>
      <w:tr w:rsidR="006F605B" w:rsidRPr="00DC66CD" w14:paraId="42EFEF69" w14:textId="77777777" w:rsidTr="004F4E33">
        <w:trPr>
          <w:trHeight w:val="465"/>
          <w:jc w:val="center"/>
        </w:trPr>
        <w:tc>
          <w:tcPr>
            <w:tcW w:w="3903" w:type="dxa"/>
            <w:vMerge w:val="restart"/>
            <w:vAlign w:val="center"/>
            <w:hideMark/>
          </w:tcPr>
          <w:p w14:paraId="4FA5D77F" w14:textId="77777777" w:rsidR="006F605B" w:rsidRPr="00DC66CD" w:rsidRDefault="006F605B" w:rsidP="004F4E33">
            <w:pPr>
              <w:snapToGrid w:val="0"/>
              <w:spacing w:after="0" w:line="240" w:lineRule="auto"/>
              <w:jc w:val="center"/>
              <w:rPr>
                <w:rFonts w:ascii="Garamond" w:eastAsia="Times New Roman" w:hAnsi="Garamond"/>
                <w:b/>
                <w:sz w:val="20"/>
                <w:szCs w:val="20"/>
              </w:rPr>
            </w:pPr>
          </w:p>
          <w:p w14:paraId="28490811" w14:textId="77777777" w:rsidR="006F605B" w:rsidRPr="00DC66CD" w:rsidRDefault="006F605B" w:rsidP="004F4E33">
            <w:pPr>
              <w:snapToGrid w:val="0"/>
              <w:spacing w:after="0" w:line="240" w:lineRule="auto"/>
              <w:jc w:val="center"/>
              <w:rPr>
                <w:rFonts w:ascii="Garamond" w:eastAsia="Times New Roman" w:hAnsi="Garamond"/>
                <w:b/>
                <w:sz w:val="20"/>
                <w:szCs w:val="20"/>
              </w:rPr>
            </w:pPr>
          </w:p>
        </w:tc>
        <w:tc>
          <w:tcPr>
            <w:tcW w:w="1890" w:type="dxa"/>
            <w:vAlign w:val="center"/>
            <w:hideMark/>
          </w:tcPr>
          <w:p w14:paraId="14C7415B"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2020</w:t>
            </w:r>
          </w:p>
        </w:tc>
        <w:tc>
          <w:tcPr>
            <w:tcW w:w="1890" w:type="dxa"/>
            <w:vAlign w:val="center"/>
            <w:hideMark/>
          </w:tcPr>
          <w:p w14:paraId="3B22F6FB"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2021</w:t>
            </w:r>
          </w:p>
        </w:tc>
        <w:tc>
          <w:tcPr>
            <w:tcW w:w="1732" w:type="dxa"/>
            <w:vAlign w:val="center"/>
            <w:hideMark/>
          </w:tcPr>
          <w:p w14:paraId="4769DA7E"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2F46811C" w14:textId="77777777" w:rsidTr="004F4E33">
        <w:trPr>
          <w:trHeight w:val="315"/>
          <w:jc w:val="center"/>
        </w:trPr>
        <w:tc>
          <w:tcPr>
            <w:tcW w:w="3903" w:type="dxa"/>
            <w:vMerge/>
            <w:vAlign w:val="center"/>
            <w:hideMark/>
          </w:tcPr>
          <w:p w14:paraId="09C06E9B" w14:textId="77777777" w:rsidR="006F605B" w:rsidRPr="00DC66CD" w:rsidRDefault="006F605B" w:rsidP="004F4E33">
            <w:pPr>
              <w:snapToGrid w:val="0"/>
              <w:spacing w:after="0" w:line="240" w:lineRule="auto"/>
              <w:jc w:val="center"/>
              <w:rPr>
                <w:rFonts w:ascii="Garamond" w:hAnsi="Garamond"/>
                <w:b/>
                <w:sz w:val="20"/>
                <w:szCs w:val="20"/>
              </w:rPr>
            </w:pPr>
          </w:p>
        </w:tc>
        <w:tc>
          <w:tcPr>
            <w:tcW w:w="1890" w:type="dxa"/>
            <w:vAlign w:val="center"/>
            <w:hideMark/>
          </w:tcPr>
          <w:p w14:paraId="365FF385" w14:textId="77777777" w:rsidR="006F605B" w:rsidRPr="00DC66CD" w:rsidRDefault="006F605B" w:rsidP="004F4E33">
            <w:pPr>
              <w:snapToGrid w:val="0"/>
              <w:spacing w:after="0" w:line="240" w:lineRule="auto"/>
              <w:jc w:val="center"/>
              <w:rPr>
                <w:rFonts w:ascii="Garamond" w:eastAsia="Times New Roman" w:hAnsi="Garamond"/>
                <w:b/>
                <w:sz w:val="20"/>
                <w:szCs w:val="20"/>
              </w:rPr>
            </w:pPr>
            <w:r w:rsidRPr="00DC66CD">
              <w:rPr>
                <w:rFonts w:ascii="Garamond" w:eastAsia="Times New Roman" w:hAnsi="Garamond"/>
                <w:b/>
                <w:sz w:val="20"/>
                <w:szCs w:val="20"/>
              </w:rPr>
              <w:t>Parashikimi në EUR</w:t>
            </w:r>
          </w:p>
        </w:tc>
        <w:tc>
          <w:tcPr>
            <w:tcW w:w="1890" w:type="dxa"/>
            <w:vAlign w:val="center"/>
            <w:hideMark/>
          </w:tcPr>
          <w:p w14:paraId="1A0E0C89" w14:textId="77777777" w:rsidR="006F605B" w:rsidRPr="00DC66CD" w:rsidRDefault="006F605B" w:rsidP="004F4E33">
            <w:pPr>
              <w:snapToGrid w:val="0"/>
              <w:spacing w:after="0" w:line="240" w:lineRule="auto"/>
              <w:jc w:val="center"/>
              <w:rPr>
                <w:rFonts w:ascii="Garamond" w:eastAsia="Times New Roman" w:hAnsi="Garamond"/>
                <w:b/>
                <w:sz w:val="20"/>
                <w:szCs w:val="20"/>
              </w:rPr>
            </w:pPr>
            <w:r w:rsidRPr="00DC66CD">
              <w:rPr>
                <w:rFonts w:ascii="Garamond" w:eastAsia="Times New Roman" w:hAnsi="Garamond"/>
                <w:b/>
                <w:sz w:val="20"/>
                <w:szCs w:val="20"/>
              </w:rPr>
              <w:t>Parashikimi në EUR</w:t>
            </w:r>
          </w:p>
        </w:tc>
        <w:tc>
          <w:tcPr>
            <w:tcW w:w="1732" w:type="dxa"/>
            <w:vAlign w:val="center"/>
            <w:hideMark/>
          </w:tcPr>
          <w:p w14:paraId="2803A7BB" w14:textId="77777777" w:rsidR="006F605B" w:rsidRPr="00DC66CD" w:rsidRDefault="006F605B" w:rsidP="004F4E33">
            <w:pPr>
              <w:snapToGrid w:val="0"/>
              <w:spacing w:after="0" w:line="240" w:lineRule="auto"/>
              <w:jc w:val="center"/>
              <w:rPr>
                <w:rFonts w:ascii="Garamond" w:eastAsia="Times New Roman" w:hAnsi="Garamond"/>
                <w:b/>
                <w:sz w:val="20"/>
                <w:szCs w:val="20"/>
              </w:rPr>
            </w:pPr>
            <w:r w:rsidRPr="00DC66CD">
              <w:rPr>
                <w:rFonts w:ascii="Garamond" w:eastAsia="Times New Roman" w:hAnsi="Garamond"/>
                <w:b/>
                <w:sz w:val="20"/>
                <w:szCs w:val="20"/>
              </w:rPr>
              <w:t>Parashikimi në EUR</w:t>
            </w:r>
          </w:p>
        </w:tc>
      </w:tr>
      <w:tr w:rsidR="006F605B" w:rsidRPr="00DC66CD" w14:paraId="0CA01F62" w14:textId="77777777" w:rsidTr="004F4E33">
        <w:trPr>
          <w:trHeight w:val="315"/>
          <w:jc w:val="center"/>
        </w:trPr>
        <w:tc>
          <w:tcPr>
            <w:tcW w:w="3903" w:type="dxa"/>
            <w:hideMark/>
          </w:tcPr>
          <w:p w14:paraId="3ED3D049" w14:textId="1ECA1DA9" w:rsidR="006F605B" w:rsidRPr="00DC66CD" w:rsidRDefault="006F605B" w:rsidP="00B07DF5">
            <w:pPr>
              <w:snapToGrid w:val="0"/>
              <w:spacing w:after="0" w:line="240" w:lineRule="auto"/>
              <w:rPr>
                <w:rFonts w:ascii="Garamond" w:eastAsia="Times New Roman" w:hAnsi="Garamond"/>
                <w:sz w:val="20"/>
                <w:szCs w:val="20"/>
              </w:rPr>
            </w:pPr>
            <w:r w:rsidRPr="00DC66CD">
              <w:rPr>
                <w:rFonts w:ascii="Garamond" w:hAnsi="Garamond"/>
                <w:sz w:val="20"/>
                <w:szCs w:val="20"/>
              </w:rPr>
              <w:t>Punësimet e realizuara</w:t>
            </w:r>
            <w:r w:rsidR="0072211B" w:rsidRPr="00DC66CD">
              <w:rPr>
                <w:rFonts w:ascii="Garamond" w:hAnsi="Garamond"/>
                <w:sz w:val="20"/>
                <w:szCs w:val="20"/>
              </w:rPr>
              <w:t xml:space="preserve"> </w:t>
            </w:r>
            <w:r w:rsidRPr="00DC66CD">
              <w:rPr>
                <w:rFonts w:ascii="Garamond" w:hAnsi="Garamond"/>
                <w:sz w:val="20"/>
                <w:szCs w:val="20"/>
              </w:rPr>
              <w:t>nga zyrat e punësimit nëpërmjet ndërmjetësimeve</w:t>
            </w:r>
          </w:p>
        </w:tc>
        <w:tc>
          <w:tcPr>
            <w:tcW w:w="1890" w:type="dxa"/>
            <w:hideMark/>
          </w:tcPr>
          <w:p w14:paraId="5EEA5470"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2,565,671</w:t>
            </w:r>
          </w:p>
        </w:tc>
        <w:tc>
          <w:tcPr>
            <w:tcW w:w="1890" w:type="dxa"/>
            <w:hideMark/>
          </w:tcPr>
          <w:p w14:paraId="5EB6374F"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2,627,975</w:t>
            </w:r>
          </w:p>
        </w:tc>
        <w:tc>
          <w:tcPr>
            <w:tcW w:w="1732" w:type="dxa"/>
            <w:hideMark/>
          </w:tcPr>
          <w:p w14:paraId="0F74BDC0"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2,606,932</w:t>
            </w:r>
          </w:p>
        </w:tc>
      </w:tr>
      <w:tr w:rsidR="006F605B" w:rsidRPr="00DC66CD" w14:paraId="5342B825" w14:textId="77777777" w:rsidTr="004F4E33">
        <w:trPr>
          <w:trHeight w:val="465"/>
          <w:jc w:val="center"/>
        </w:trPr>
        <w:tc>
          <w:tcPr>
            <w:tcW w:w="3903" w:type="dxa"/>
            <w:hideMark/>
          </w:tcPr>
          <w:p w14:paraId="75E0A1A7" w14:textId="77777777" w:rsidR="006F605B" w:rsidRPr="00DC66CD" w:rsidRDefault="006F605B" w:rsidP="00B07DF5">
            <w:pPr>
              <w:snapToGrid w:val="0"/>
              <w:spacing w:after="0" w:line="240" w:lineRule="auto"/>
              <w:rPr>
                <w:rFonts w:ascii="Garamond" w:eastAsia="Times New Roman" w:hAnsi="Garamond"/>
                <w:sz w:val="20"/>
                <w:szCs w:val="20"/>
              </w:rPr>
            </w:pPr>
            <w:r w:rsidRPr="00DC66CD">
              <w:rPr>
                <w:rFonts w:ascii="Garamond" w:hAnsi="Garamond"/>
                <w:sz w:val="20"/>
                <w:szCs w:val="20"/>
              </w:rPr>
              <w:t>Zbatimi i programeve të nxitjes së punësimit</w:t>
            </w:r>
          </w:p>
        </w:tc>
        <w:tc>
          <w:tcPr>
            <w:tcW w:w="1890" w:type="dxa"/>
            <w:hideMark/>
          </w:tcPr>
          <w:p w14:paraId="45A68691"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4,538,703</w:t>
            </w:r>
          </w:p>
        </w:tc>
        <w:tc>
          <w:tcPr>
            <w:tcW w:w="1890" w:type="dxa"/>
            <w:hideMark/>
          </w:tcPr>
          <w:p w14:paraId="20854F1B"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4,951,312</w:t>
            </w:r>
          </w:p>
        </w:tc>
        <w:tc>
          <w:tcPr>
            <w:tcW w:w="1732" w:type="dxa"/>
            <w:hideMark/>
          </w:tcPr>
          <w:p w14:paraId="35387DE6"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4,951,312</w:t>
            </w:r>
          </w:p>
        </w:tc>
      </w:tr>
      <w:tr w:rsidR="006F605B" w:rsidRPr="00DC66CD" w14:paraId="4CAED951" w14:textId="77777777" w:rsidTr="004F4E33">
        <w:trPr>
          <w:trHeight w:val="315"/>
          <w:jc w:val="center"/>
        </w:trPr>
        <w:tc>
          <w:tcPr>
            <w:tcW w:w="3903" w:type="dxa"/>
            <w:hideMark/>
          </w:tcPr>
          <w:p w14:paraId="419F4A3E" w14:textId="7600F960" w:rsidR="006F605B" w:rsidRPr="00DC66CD" w:rsidRDefault="004F4E33" w:rsidP="00B07DF5">
            <w:pPr>
              <w:snapToGrid w:val="0"/>
              <w:spacing w:after="0" w:line="240" w:lineRule="auto"/>
              <w:rPr>
                <w:rFonts w:ascii="Garamond" w:eastAsia="Times New Roman" w:hAnsi="Garamond"/>
                <w:sz w:val="20"/>
                <w:szCs w:val="20"/>
              </w:rPr>
            </w:pPr>
            <w:r w:rsidRPr="00DC66CD">
              <w:rPr>
                <w:rFonts w:ascii="Garamond" w:eastAsia="Times New Roman" w:hAnsi="Garamond"/>
                <w:sz w:val="20"/>
                <w:szCs w:val="20"/>
              </w:rPr>
              <w:t>Trajnimi</w:t>
            </w:r>
            <w:r w:rsidR="006F605B" w:rsidRPr="00DC66CD">
              <w:rPr>
                <w:rFonts w:ascii="Garamond" w:eastAsia="Times New Roman" w:hAnsi="Garamond"/>
                <w:sz w:val="20"/>
                <w:szCs w:val="20"/>
              </w:rPr>
              <w:t xml:space="preserve"> në QFP</w:t>
            </w:r>
          </w:p>
        </w:tc>
        <w:tc>
          <w:tcPr>
            <w:tcW w:w="1890" w:type="dxa"/>
            <w:hideMark/>
          </w:tcPr>
          <w:p w14:paraId="16F00E75"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2,414,523</w:t>
            </w:r>
          </w:p>
        </w:tc>
        <w:tc>
          <w:tcPr>
            <w:tcW w:w="1890" w:type="dxa"/>
            <w:hideMark/>
          </w:tcPr>
          <w:p w14:paraId="1267617E"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2,430,615</w:t>
            </w:r>
          </w:p>
        </w:tc>
        <w:tc>
          <w:tcPr>
            <w:tcW w:w="1732" w:type="dxa"/>
            <w:hideMark/>
          </w:tcPr>
          <w:p w14:paraId="2313E116"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2,438785</w:t>
            </w:r>
          </w:p>
        </w:tc>
      </w:tr>
      <w:tr w:rsidR="006F605B" w:rsidRPr="00DC66CD" w14:paraId="7D7002DB" w14:textId="77777777" w:rsidTr="004F4E33">
        <w:trPr>
          <w:trHeight w:val="315"/>
          <w:jc w:val="center"/>
        </w:trPr>
        <w:tc>
          <w:tcPr>
            <w:tcW w:w="3903" w:type="dxa"/>
          </w:tcPr>
          <w:p w14:paraId="6AD3C779" w14:textId="77777777" w:rsidR="006F605B" w:rsidRPr="00DC66CD" w:rsidRDefault="006F605B" w:rsidP="00B07DF5">
            <w:pPr>
              <w:snapToGrid w:val="0"/>
              <w:spacing w:after="0" w:line="240" w:lineRule="auto"/>
              <w:rPr>
                <w:rFonts w:ascii="Garamond" w:eastAsia="Times New Roman" w:hAnsi="Garamond"/>
                <w:sz w:val="20"/>
                <w:szCs w:val="20"/>
              </w:rPr>
            </w:pPr>
            <w:r w:rsidRPr="00DC66CD">
              <w:rPr>
                <w:rFonts w:ascii="Garamond" w:hAnsi="Garamond"/>
                <w:sz w:val="20"/>
                <w:szCs w:val="20"/>
              </w:rPr>
              <w:t>Pagesa e papunësisë</w:t>
            </w:r>
          </w:p>
        </w:tc>
        <w:tc>
          <w:tcPr>
            <w:tcW w:w="1890" w:type="dxa"/>
            <w:vAlign w:val="center"/>
          </w:tcPr>
          <w:p w14:paraId="59985EFF" w14:textId="77777777" w:rsidR="006F605B" w:rsidRPr="00DC66CD" w:rsidRDefault="006F605B" w:rsidP="00B07DF5">
            <w:pPr>
              <w:snapToGrid w:val="0"/>
              <w:spacing w:after="0" w:line="240" w:lineRule="auto"/>
              <w:jc w:val="right"/>
              <w:rPr>
                <w:rFonts w:ascii="Garamond" w:eastAsia="Times New Roman" w:hAnsi="Garamond"/>
                <w:sz w:val="20"/>
                <w:szCs w:val="20"/>
              </w:rPr>
            </w:pPr>
            <w:r w:rsidRPr="00DC66CD">
              <w:rPr>
                <w:rFonts w:ascii="Garamond" w:eastAsia="Times New Roman" w:hAnsi="Garamond"/>
                <w:sz w:val="20"/>
                <w:szCs w:val="20"/>
              </w:rPr>
              <w:t>4,621,225</w:t>
            </w:r>
          </w:p>
        </w:tc>
        <w:tc>
          <w:tcPr>
            <w:tcW w:w="1890" w:type="dxa"/>
            <w:vAlign w:val="center"/>
          </w:tcPr>
          <w:p w14:paraId="45814829" w14:textId="77777777" w:rsidR="006F605B" w:rsidRPr="00DC66CD" w:rsidRDefault="006F605B" w:rsidP="00B07DF5">
            <w:pPr>
              <w:snapToGrid w:val="0"/>
              <w:spacing w:after="0" w:line="240" w:lineRule="auto"/>
              <w:jc w:val="right"/>
              <w:rPr>
                <w:rFonts w:ascii="Garamond" w:eastAsia="Times New Roman" w:hAnsi="Garamond"/>
                <w:sz w:val="20"/>
                <w:szCs w:val="20"/>
              </w:rPr>
            </w:pPr>
            <w:r w:rsidRPr="00DC66CD">
              <w:rPr>
                <w:rFonts w:ascii="Garamond" w:eastAsia="Times New Roman" w:hAnsi="Garamond"/>
                <w:sz w:val="20"/>
                <w:szCs w:val="20"/>
              </w:rPr>
              <w:t>4,951,312</w:t>
            </w:r>
          </w:p>
        </w:tc>
        <w:tc>
          <w:tcPr>
            <w:tcW w:w="1732" w:type="dxa"/>
            <w:vAlign w:val="center"/>
          </w:tcPr>
          <w:p w14:paraId="0BBA197A" w14:textId="77777777" w:rsidR="006F605B" w:rsidRPr="00DC66CD" w:rsidRDefault="006F605B" w:rsidP="00B07DF5">
            <w:pPr>
              <w:snapToGrid w:val="0"/>
              <w:spacing w:after="0" w:line="240" w:lineRule="auto"/>
              <w:jc w:val="right"/>
              <w:rPr>
                <w:rFonts w:ascii="Garamond" w:eastAsia="Times New Roman" w:hAnsi="Garamond"/>
                <w:sz w:val="20"/>
                <w:szCs w:val="20"/>
              </w:rPr>
            </w:pPr>
            <w:r w:rsidRPr="00DC66CD">
              <w:rPr>
                <w:rFonts w:ascii="Garamond" w:eastAsia="Times New Roman" w:hAnsi="Garamond"/>
                <w:sz w:val="20"/>
                <w:szCs w:val="20"/>
              </w:rPr>
              <w:t>4,951,312</w:t>
            </w:r>
          </w:p>
        </w:tc>
      </w:tr>
      <w:tr w:rsidR="006F605B" w:rsidRPr="00DC66CD" w14:paraId="66D27501" w14:textId="77777777" w:rsidTr="004F4E33">
        <w:trPr>
          <w:trHeight w:val="315"/>
          <w:jc w:val="center"/>
        </w:trPr>
        <w:tc>
          <w:tcPr>
            <w:tcW w:w="3903" w:type="dxa"/>
          </w:tcPr>
          <w:p w14:paraId="4D2A8BD6" w14:textId="77777777" w:rsidR="006F605B" w:rsidRPr="00DC66CD" w:rsidRDefault="006F605B" w:rsidP="00B07DF5">
            <w:pPr>
              <w:snapToGrid w:val="0"/>
              <w:spacing w:after="0" w:line="240" w:lineRule="auto"/>
              <w:rPr>
                <w:rFonts w:ascii="Garamond" w:hAnsi="Garamond"/>
                <w:sz w:val="20"/>
                <w:szCs w:val="20"/>
              </w:rPr>
            </w:pPr>
            <w:r w:rsidRPr="00DC66CD">
              <w:rPr>
                <w:rFonts w:ascii="Garamond" w:hAnsi="Garamond"/>
                <w:sz w:val="20"/>
                <w:szCs w:val="20"/>
              </w:rPr>
              <w:t>Investimet</w:t>
            </w:r>
          </w:p>
        </w:tc>
        <w:tc>
          <w:tcPr>
            <w:tcW w:w="1890" w:type="dxa"/>
            <w:vAlign w:val="bottom"/>
          </w:tcPr>
          <w:p w14:paraId="74436961" w14:textId="77777777" w:rsidR="006F605B" w:rsidRPr="00DC66CD" w:rsidRDefault="006F605B" w:rsidP="00B07DF5">
            <w:pPr>
              <w:snapToGrid w:val="0"/>
              <w:spacing w:after="0" w:line="240" w:lineRule="auto"/>
              <w:jc w:val="right"/>
              <w:rPr>
                <w:rFonts w:ascii="Garamond" w:hAnsi="Garamond"/>
                <w:bCs/>
                <w:sz w:val="20"/>
                <w:szCs w:val="20"/>
              </w:rPr>
            </w:pPr>
            <w:r w:rsidRPr="00DC66CD">
              <w:rPr>
                <w:rFonts w:ascii="Garamond" w:hAnsi="Garamond"/>
                <w:bCs/>
                <w:sz w:val="20"/>
                <w:szCs w:val="20"/>
              </w:rPr>
              <w:t>1,246,080</w:t>
            </w:r>
          </w:p>
        </w:tc>
        <w:tc>
          <w:tcPr>
            <w:tcW w:w="1890" w:type="dxa"/>
            <w:vAlign w:val="bottom"/>
          </w:tcPr>
          <w:p w14:paraId="592EA9DE" w14:textId="77777777" w:rsidR="006F605B" w:rsidRPr="00DC66CD" w:rsidRDefault="006F605B" w:rsidP="00B07DF5">
            <w:pPr>
              <w:snapToGrid w:val="0"/>
              <w:spacing w:after="0" w:line="240" w:lineRule="auto"/>
              <w:jc w:val="right"/>
              <w:rPr>
                <w:rFonts w:ascii="Garamond" w:hAnsi="Garamond"/>
                <w:bCs/>
                <w:sz w:val="20"/>
                <w:szCs w:val="20"/>
              </w:rPr>
            </w:pPr>
            <w:r w:rsidRPr="00DC66CD">
              <w:rPr>
                <w:rFonts w:ascii="Garamond" w:hAnsi="Garamond"/>
                <w:bCs/>
                <w:sz w:val="20"/>
                <w:szCs w:val="20"/>
              </w:rPr>
              <w:t>1,246,080</w:t>
            </w:r>
          </w:p>
        </w:tc>
        <w:tc>
          <w:tcPr>
            <w:tcW w:w="1732" w:type="dxa"/>
            <w:vAlign w:val="bottom"/>
          </w:tcPr>
          <w:p w14:paraId="6E379EC2"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1,246,080</w:t>
            </w:r>
          </w:p>
        </w:tc>
      </w:tr>
      <w:tr w:rsidR="006F605B" w:rsidRPr="00DC66CD" w14:paraId="04C8566B" w14:textId="77777777" w:rsidTr="004F4E33">
        <w:trPr>
          <w:trHeight w:val="315"/>
          <w:jc w:val="center"/>
        </w:trPr>
        <w:tc>
          <w:tcPr>
            <w:tcW w:w="3903" w:type="dxa"/>
          </w:tcPr>
          <w:p w14:paraId="32DFA35F" w14:textId="77777777" w:rsidR="006F605B" w:rsidRPr="00DC66CD" w:rsidRDefault="006F605B" w:rsidP="00B07DF5">
            <w:pPr>
              <w:snapToGrid w:val="0"/>
              <w:spacing w:after="0" w:line="240" w:lineRule="auto"/>
              <w:rPr>
                <w:rFonts w:ascii="Garamond" w:hAnsi="Garamond"/>
                <w:sz w:val="20"/>
                <w:szCs w:val="20"/>
              </w:rPr>
            </w:pPr>
            <w:r w:rsidRPr="00DC66CD">
              <w:rPr>
                <w:rFonts w:ascii="Garamond" w:hAnsi="Garamond"/>
                <w:sz w:val="20"/>
                <w:szCs w:val="20"/>
              </w:rPr>
              <w:t>Shpenzime të tjera administrative</w:t>
            </w:r>
          </w:p>
        </w:tc>
        <w:tc>
          <w:tcPr>
            <w:tcW w:w="1890" w:type="dxa"/>
            <w:vAlign w:val="bottom"/>
          </w:tcPr>
          <w:p w14:paraId="488B3E97" w14:textId="77777777" w:rsidR="006F605B" w:rsidRPr="00DC66CD" w:rsidRDefault="006F605B" w:rsidP="00B07DF5">
            <w:pPr>
              <w:snapToGrid w:val="0"/>
              <w:spacing w:after="0" w:line="240" w:lineRule="auto"/>
              <w:jc w:val="right"/>
              <w:rPr>
                <w:rFonts w:ascii="Garamond" w:hAnsi="Garamond"/>
                <w:bCs/>
                <w:sz w:val="20"/>
                <w:szCs w:val="20"/>
              </w:rPr>
            </w:pPr>
            <w:r w:rsidRPr="00DC66CD">
              <w:rPr>
                <w:rFonts w:ascii="Garamond" w:hAnsi="Garamond"/>
                <w:bCs/>
                <w:sz w:val="20"/>
                <w:szCs w:val="20"/>
              </w:rPr>
              <w:t>713,814</w:t>
            </w:r>
          </w:p>
        </w:tc>
        <w:tc>
          <w:tcPr>
            <w:tcW w:w="1890" w:type="dxa"/>
            <w:vAlign w:val="bottom"/>
          </w:tcPr>
          <w:p w14:paraId="20ED00D9" w14:textId="77777777" w:rsidR="006F605B" w:rsidRPr="00DC66CD" w:rsidRDefault="006F605B" w:rsidP="00B07DF5">
            <w:pPr>
              <w:snapToGrid w:val="0"/>
              <w:spacing w:after="0" w:line="240" w:lineRule="auto"/>
              <w:jc w:val="right"/>
              <w:rPr>
                <w:rFonts w:ascii="Garamond" w:hAnsi="Garamond"/>
                <w:bCs/>
                <w:sz w:val="20"/>
                <w:szCs w:val="20"/>
              </w:rPr>
            </w:pPr>
            <w:r w:rsidRPr="00DC66CD">
              <w:rPr>
                <w:rFonts w:ascii="Garamond" w:hAnsi="Garamond"/>
                <w:bCs/>
                <w:sz w:val="20"/>
                <w:szCs w:val="20"/>
              </w:rPr>
              <w:t>717,940</w:t>
            </w:r>
          </w:p>
        </w:tc>
        <w:tc>
          <w:tcPr>
            <w:tcW w:w="1732" w:type="dxa"/>
            <w:vAlign w:val="bottom"/>
          </w:tcPr>
          <w:p w14:paraId="3F463E14" w14:textId="77777777" w:rsidR="006F605B" w:rsidRPr="00DC66CD" w:rsidRDefault="006F605B" w:rsidP="00B07DF5">
            <w:pPr>
              <w:snapToGrid w:val="0"/>
              <w:spacing w:after="0" w:line="240" w:lineRule="auto"/>
              <w:jc w:val="right"/>
              <w:rPr>
                <w:rFonts w:ascii="Garamond" w:hAnsi="Garamond"/>
                <w:sz w:val="20"/>
                <w:szCs w:val="20"/>
              </w:rPr>
            </w:pPr>
            <w:r w:rsidRPr="00DC66CD">
              <w:rPr>
                <w:rFonts w:ascii="Garamond" w:hAnsi="Garamond"/>
                <w:sz w:val="20"/>
                <w:szCs w:val="20"/>
              </w:rPr>
              <w:t>730,814</w:t>
            </w:r>
          </w:p>
        </w:tc>
      </w:tr>
      <w:tr w:rsidR="006F605B" w:rsidRPr="00DC66CD" w14:paraId="21B783DB" w14:textId="77777777" w:rsidTr="004F4E33">
        <w:trPr>
          <w:trHeight w:val="315"/>
          <w:jc w:val="center"/>
        </w:trPr>
        <w:tc>
          <w:tcPr>
            <w:tcW w:w="3903" w:type="dxa"/>
          </w:tcPr>
          <w:p w14:paraId="14A7EF7C" w14:textId="77777777" w:rsidR="006F605B" w:rsidRPr="00DC66CD" w:rsidRDefault="006F605B" w:rsidP="00B07DF5">
            <w:pPr>
              <w:snapToGrid w:val="0"/>
              <w:spacing w:after="0" w:line="240" w:lineRule="auto"/>
              <w:rPr>
                <w:rFonts w:ascii="Garamond" w:eastAsia="Times New Roman" w:hAnsi="Garamond"/>
                <w:b/>
                <w:sz w:val="20"/>
                <w:szCs w:val="20"/>
              </w:rPr>
            </w:pPr>
            <w:r w:rsidRPr="00DC66CD">
              <w:rPr>
                <w:rFonts w:ascii="Garamond" w:eastAsia="Times New Roman" w:hAnsi="Garamond"/>
                <w:b/>
                <w:sz w:val="20"/>
                <w:szCs w:val="20"/>
              </w:rPr>
              <w:t>Totali</w:t>
            </w:r>
          </w:p>
        </w:tc>
        <w:tc>
          <w:tcPr>
            <w:tcW w:w="1890" w:type="dxa"/>
            <w:vAlign w:val="center"/>
          </w:tcPr>
          <w:p w14:paraId="099B2CC3" w14:textId="77777777" w:rsidR="006F605B" w:rsidRPr="00DC66CD" w:rsidRDefault="006F605B" w:rsidP="00B07DF5">
            <w:pPr>
              <w:snapToGrid w:val="0"/>
              <w:spacing w:after="0" w:line="240" w:lineRule="auto"/>
              <w:jc w:val="right"/>
              <w:rPr>
                <w:rFonts w:ascii="Garamond" w:hAnsi="Garamond"/>
                <w:b/>
                <w:bCs/>
                <w:sz w:val="20"/>
                <w:szCs w:val="20"/>
              </w:rPr>
            </w:pPr>
            <w:r w:rsidRPr="00DC66CD">
              <w:rPr>
                <w:rFonts w:ascii="Garamond" w:hAnsi="Garamond"/>
                <w:b/>
                <w:bCs/>
                <w:sz w:val="20"/>
                <w:szCs w:val="20"/>
              </w:rPr>
              <w:t>16,100,016</w:t>
            </w:r>
          </w:p>
        </w:tc>
        <w:tc>
          <w:tcPr>
            <w:tcW w:w="1890" w:type="dxa"/>
            <w:vAlign w:val="center"/>
          </w:tcPr>
          <w:p w14:paraId="2110D79C" w14:textId="77777777" w:rsidR="006F605B" w:rsidRPr="00DC66CD" w:rsidRDefault="006F605B" w:rsidP="00B07DF5">
            <w:pPr>
              <w:snapToGrid w:val="0"/>
              <w:spacing w:after="0" w:line="240" w:lineRule="auto"/>
              <w:jc w:val="right"/>
              <w:rPr>
                <w:rFonts w:ascii="Garamond" w:hAnsi="Garamond"/>
                <w:b/>
                <w:bCs/>
                <w:sz w:val="20"/>
                <w:szCs w:val="20"/>
              </w:rPr>
            </w:pPr>
            <w:r w:rsidRPr="00DC66CD">
              <w:rPr>
                <w:rFonts w:ascii="Garamond" w:hAnsi="Garamond"/>
                <w:b/>
                <w:bCs/>
                <w:sz w:val="20"/>
                <w:szCs w:val="20"/>
              </w:rPr>
              <w:t>16,925,235</w:t>
            </w:r>
          </w:p>
        </w:tc>
        <w:tc>
          <w:tcPr>
            <w:tcW w:w="1732" w:type="dxa"/>
            <w:vAlign w:val="center"/>
          </w:tcPr>
          <w:p w14:paraId="1E2C39F1" w14:textId="77777777" w:rsidR="006F605B" w:rsidRPr="00DC66CD" w:rsidRDefault="006F605B" w:rsidP="00B07DF5">
            <w:pPr>
              <w:snapToGrid w:val="0"/>
              <w:spacing w:after="0" w:line="240" w:lineRule="auto"/>
              <w:jc w:val="right"/>
              <w:rPr>
                <w:rFonts w:ascii="Garamond" w:hAnsi="Garamond"/>
                <w:b/>
                <w:bCs/>
                <w:sz w:val="20"/>
                <w:szCs w:val="20"/>
              </w:rPr>
            </w:pPr>
            <w:r w:rsidRPr="00DC66CD">
              <w:rPr>
                <w:rFonts w:ascii="Garamond" w:hAnsi="Garamond"/>
                <w:b/>
                <w:bCs/>
                <w:sz w:val="20"/>
                <w:szCs w:val="20"/>
              </w:rPr>
              <w:t>16,925,235</w:t>
            </w:r>
          </w:p>
        </w:tc>
      </w:tr>
    </w:tbl>
    <w:p w14:paraId="711EF48A" w14:textId="3FC91401" w:rsidR="006F605B" w:rsidRPr="00DC66CD" w:rsidRDefault="00B07DF5" w:rsidP="00B07DF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14. </w:t>
      </w:r>
      <w:r w:rsidR="006F605B" w:rsidRPr="00DC66CD">
        <w:rPr>
          <w:rFonts w:ascii="Garamond" w:hAnsi="Garamond"/>
          <w:color w:val="auto"/>
          <w:sz w:val="24"/>
          <w:szCs w:val="24"/>
        </w:rPr>
        <w:t>Ndikimi i pritshëm në rezultatet sociale, si</w:t>
      </w:r>
      <w:r w:rsidR="00B0058C" w:rsidRPr="00DC66CD">
        <w:rPr>
          <w:rFonts w:ascii="Garamond" w:hAnsi="Garamond"/>
          <w:color w:val="auto"/>
          <w:sz w:val="24"/>
          <w:szCs w:val="24"/>
        </w:rPr>
        <w:t>:</w:t>
      </w:r>
      <w:r w:rsidR="006F605B" w:rsidRPr="00DC66CD">
        <w:rPr>
          <w:rFonts w:ascii="Garamond" w:hAnsi="Garamond"/>
          <w:color w:val="auto"/>
          <w:sz w:val="24"/>
          <w:szCs w:val="24"/>
        </w:rPr>
        <w:t xml:space="preserve"> punësimi, ulja e varfërisë, barazia dhe gjinia</w:t>
      </w:r>
    </w:p>
    <w:p w14:paraId="4B983BDB" w14:textId="77777777"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Ulja e papunësisë dhe pasivitetit të lartë, veçanërisht në grupin e të rinjve dhe grave. Rritja e kënaqësisë së grave dhe vajzave të përfshira në programe aktive të tregut të punës.</w:t>
      </w:r>
    </w:p>
    <w:p w14:paraId="06DF7913" w14:textId="412AACED" w:rsidR="006F605B" w:rsidRPr="00DC66CD" w:rsidRDefault="00B07DF5" w:rsidP="00B07DF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15. </w:t>
      </w:r>
      <w:r w:rsidR="006F605B" w:rsidRPr="00DC66CD">
        <w:rPr>
          <w:rFonts w:ascii="Garamond" w:hAnsi="Garamond"/>
          <w:color w:val="auto"/>
          <w:sz w:val="24"/>
          <w:szCs w:val="24"/>
        </w:rPr>
        <w:t>Ndikimi i pritshëm në mjedis</w:t>
      </w:r>
    </w:p>
    <w:p w14:paraId="46347457"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eastAsia="Times New Roman" w:hAnsi="Garamond"/>
          <w:sz w:val="24"/>
          <w:szCs w:val="24"/>
          <w:lang w:eastAsia="x-none"/>
        </w:rPr>
        <w:t>Masa është neutrale për sa i përket ndikimit në mjedis.</w:t>
      </w:r>
    </w:p>
    <w:p w14:paraId="3115C60F" w14:textId="3175A362" w:rsidR="006F605B" w:rsidRPr="00DC66CD" w:rsidRDefault="00B07DF5" w:rsidP="00B07DF5">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16. </w:t>
      </w:r>
      <w:r w:rsidR="006F605B" w:rsidRPr="00DC66CD">
        <w:rPr>
          <w:rFonts w:ascii="Garamond" w:hAnsi="Garamond"/>
          <w:color w:val="auto"/>
          <w:sz w:val="24"/>
          <w:szCs w:val="24"/>
        </w:rPr>
        <w:t>Rreziqet e mundshme</w:t>
      </w:r>
    </w:p>
    <w:p w14:paraId="2B5C0737"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7"/>
        <w:gridCol w:w="1542"/>
        <w:gridCol w:w="4061"/>
      </w:tblGrid>
      <w:tr w:rsidR="006F605B" w:rsidRPr="00DC66CD" w14:paraId="050430BF" w14:textId="77777777" w:rsidTr="004F4E33">
        <w:tc>
          <w:tcPr>
            <w:tcW w:w="3823" w:type="dxa"/>
            <w:vAlign w:val="center"/>
          </w:tcPr>
          <w:p w14:paraId="048D93B0"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1559" w:type="dxa"/>
            <w:vAlign w:val="center"/>
          </w:tcPr>
          <w:p w14:paraId="201133A6" w14:textId="77777777" w:rsidR="00B0058C"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p>
          <w:p w14:paraId="46677E16" w14:textId="4EF7189B" w:rsidR="006F605B" w:rsidRPr="00DC66CD" w:rsidRDefault="00F85068" w:rsidP="004F4E33">
            <w:pPr>
              <w:snapToGrid w:val="0"/>
              <w:spacing w:after="0" w:line="240" w:lineRule="auto"/>
              <w:jc w:val="center"/>
              <w:rPr>
                <w:rFonts w:ascii="Garamond" w:hAnsi="Garamond"/>
                <w:b/>
                <w:sz w:val="20"/>
                <w:szCs w:val="20"/>
              </w:rPr>
            </w:pPr>
            <w:r w:rsidRPr="00DC66CD">
              <w:rPr>
                <w:rFonts w:ascii="Garamond" w:hAnsi="Garamond"/>
                <w:b/>
                <w:sz w:val="20"/>
                <w:szCs w:val="20"/>
              </w:rPr>
              <w:t>(i ulët, i lartë)</w:t>
            </w:r>
          </w:p>
        </w:tc>
        <w:tc>
          <w:tcPr>
            <w:tcW w:w="4240" w:type="dxa"/>
            <w:vAlign w:val="center"/>
          </w:tcPr>
          <w:p w14:paraId="0B5CDFD9"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3F6EE43E" w14:textId="77777777" w:rsidTr="00B07DF5">
        <w:tc>
          <w:tcPr>
            <w:tcW w:w="3823" w:type="dxa"/>
          </w:tcPr>
          <w:p w14:paraId="0CCEC99C" w14:textId="77777777" w:rsidR="006F605B" w:rsidRPr="00DC66CD" w:rsidRDefault="006F605B" w:rsidP="00B07DF5">
            <w:pPr>
              <w:snapToGrid w:val="0"/>
              <w:spacing w:after="0" w:line="240" w:lineRule="auto"/>
              <w:rPr>
                <w:rFonts w:ascii="Garamond" w:hAnsi="Garamond"/>
                <w:sz w:val="20"/>
                <w:szCs w:val="20"/>
              </w:rPr>
            </w:pPr>
            <w:r w:rsidRPr="00DC66CD">
              <w:rPr>
                <w:rFonts w:ascii="Garamond" w:eastAsia="Arial Narrow" w:hAnsi="Garamond"/>
                <w:sz w:val="20"/>
                <w:szCs w:val="20"/>
              </w:rPr>
              <w:t>Mungesa e bashkëpunimit midis aktorëve të ndryshëm të përfshirë në këtë proces është një nga vështirësitë e identifikuara në sektor</w:t>
            </w:r>
          </w:p>
        </w:tc>
        <w:tc>
          <w:tcPr>
            <w:tcW w:w="1559" w:type="dxa"/>
          </w:tcPr>
          <w:p w14:paraId="74191E51" w14:textId="77777777" w:rsidR="006F605B" w:rsidRPr="00DC66CD" w:rsidRDefault="006F605B" w:rsidP="00B07DF5">
            <w:pPr>
              <w:snapToGrid w:val="0"/>
              <w:spacing w:after="0" w:line="240" w:lineRule="auto"/>
              <w:rPr>
                <w:rFonts w:ascii="Garamond" w:hAnsi="Garamond"/>
                <w:sz w:val="20"/>
                <w:szCs w:val="20"/>
              </w:rPr>
            </w:pPr>
            <w:r w:rsidRPr="00DC66CD">
              <w:rPr>
                <w:rFonts w:ascii="Garamond" w:hAnsi="Garamond"/>
                <w:sz w:val="20"/>
                <w:szCs w:val="20"/>
              </w:rPr>
              <w:t>I ulët</w:t>
            </w:r>
          </w:p>
        </w:tc>
        <w:tc>
          <w:tcPr>
            <w:tcW w:w="4240" w:type="dxa"/>
          </w:tcPr>
          <w:p w14:paraId="02ACEF8F" w14:textId="77777777" w:rsidR="006F605B" w:rsidRPr="00DC66CD" w:rsidRDefault="006F605B" w:rsidP="00B07DF5">
            <w:pPr>
              <w:snapToGrid w:val="0"/>
              <w:spacing w:after="0" w:line="240" w:lineRule="auto"/>
              <w:rPr>
                <w:rFonts w:ascii="Garamond" w:hAnsi="Garamond"/>
                <w:sz w:val="20"/>
                <w:szCs w:val="20"/>
              </w:rPr>
            </w:pPr>
            <w:r w:rsidRPr="00DC66CD">
              <w:rPr>
                <w:rFonts w:ascii="Garamond" w:hAnsi="Garamond"/>
                <w:sz w:val="20"/>
                <w:szCs w:val="20"/>
              </w:rPr>
              <w:t>Duke pasur monitorim, raportim dhe bashkëpunim të ngushtë ndërmjet palëve të interesuara përkatëse</w:t>
            </w:r>
          </w:p>
        </w:tc>
      </w:tr>
      <w:tr w:rsidR="006F605B" w:rsidRPr="00DC66CD" w14:paraId="311CFB6B" w14:textId="77777777" w:rsidTr="00B07DF5">
        <w:tc>
          <w:tcPr>
            <w:tcW w:w="3823" w:type="dxa"/>
          </w:tcPr>
          <w:p w14:paraId="1C36E735" w14:textId="0129A245" w:rsidR="006F605B" w:rsidRPr="00DC66CD" w:rsidRDefault="006F605B" w:rsidP="00B07DF5">
            <w:pPr>
              <w:snapToGrid w:val="0"/>
              <w:spacing w:after="0" w:line="240" w:lineRule="auto"/>
              <w:rPr>
                <w:rFonts w:ascii="Garamond" w:hAnsi="Garamond"/>
                <w:sz w:val="20"/>
                <w:szCs w:val="20"/>
              </w:rPr>
            </w:pPr>
            <w:r w:rsidRPr="00DC66CD">
              <w:rPr>
                <w:rFonts w:ascii="Garamond" w:hAnsi="Garamond"/>
                <w:sz w:val="20"/>
                <w:szCs w:val="20"/>
              </w:rPr>
              <w:t>Rritja e besimit të qytetarëve në shërbimet e ofrua</w:t>
            </w:r>
            <w:r w:rsidR="00B0058C" w:rsidRPr="00DC66CD">
              <w:rPr>
                <w:rFonts w:ascii="Garamond" w:hAnsi="Garamond"/>
                <w:sz w:val="20"/>
                <w:szCs w:val="20"/>
              </w:rPr>
              <w:t>ra nga zyrat e punës qendrat VT</w:t>
            </w:r>
          </w:p>
        </w:tc>
        <w:tc>
          <w:tcPr>
            <w:tcW w:w="1559" w:type="dxa"/>
          </w:tcPr>
          <w:p w14:paraId="0150AE14" w14:textId="77777777" w:rsidR="006F605B" w:rsidRPr="00DC66CD" w:rsidRDefault="006F605B" w:rsidP="00B07DF5">
            <w:pPr>
              <w:snapToGrid w:val="0"/>
              <w:spacing w:after="0" w:line="240" w:lineRule="auto"/>
              <w:rPr>
                <w:rFonts w:ascii="Garamond" w:hAnsi="Garamond"/>
                <w:sz w:val="20"/>
                <w:szCs w:val="20"/>
              </w:rPr>
            </w:pPr>
            <w:r w:rsidRPr="00DC66CD">
              <w:rPr>
                <w:rFonts w:ascii="Garamond" w:hAnsi="Garamond"/>
                <w:sz w:val="20"/>
                <w:szCs w:val="20"/>
              </w:rPr>
              <w:t>I ulët</w:t>
            </w:r>
          </w:p>
        </w:tc>
        <w:tc>
          <w:tcPr>
            <w:tcW w:w="4240" w:type="dxa"/>
          </w:tcPr>
          <w:p w14:paraId="0F32F63B" w14:textId="29DC3D14" w:rsidR="006F605B" w:rsidRPr="00DC66CD" w:rsidRDefault="006F605B" w:rsidP="00B0058C">
            <w:pPr>
              <w:snapToGrid w:val="0"/>
              <w:spacing w:after="0" w:line="240" w:lineRule="auto"/>
              <w:rPr>
                <w:rFonts w:ascii="Garamond" w:hAnsi="Garamond"/>
                <w:sz w:val="20"/>
                <w:szCs w:val="20"/>
              </w:rPr>
            </w:pPr>
            <w:r w:rsidRPr="00DC66CD">
              <w:rPr>
                <w:rFonts w:ascii="Garamond" w:hAnsi="Garamond"/>
                <w:sz w:val="20"/>
                <w:szCs w:val="20"/>
              </w:rPr>
              <w:t>Publikime të programeve aktive, si dhe raste të suksesshme me të gjitha mjetet e mundshme elektronike dhe përmes medi</w:t>
            </w:r>
            <w:r w:rsidR="00B0058C" w:rsidRPr="00DC66CD">
              <w:rPr>
                <w:rFonts w:ascii="Garamond" w:hAnsi="Garamond"/>
                <w:sz w:val="20"/>
                <w:szCs w:val="20"/>
              </w:rPr>
              <w:t>e</w:t>
            </w:r>
            <w:r w:rsidRPr="00DC66CD">
              <w:rPr>
                <w:rFonts w:ascii="Garamond" w:hAnsi="Garamond"/>
                <w:sz w:val="20"/>
                <w:szCs w:val="20"/>
              </w:rPr>
              <w:t>ve</w:t>
            </w:r>
          </w:p>
        </w:tc>
      </w:tr>
      <w:tr w:rsidR="006F605B" w:rsidRPr="00DC66CD" w14:paraId="63B4A740" w14:textId="77777777" w:rsidTr="00B07DF5">
        <w:tc>
          <w:tcPr>
            <w:tcW w:w="3823" w:type="dxa"/>
          </w:tcPr>
          <w:p w14:paraId="3FE60FE0" w14:textId="77777777" w:rsidR="006F605B" w:rsidRPr="00DC66CD" w:rsidRDefault="006F605B" w:rsidP="00B07DF5">
            <w:pPr>
              <w:snapToGrid w:val="0"/>
              <w:spacing w:after="0" w:line="240" w:lineRule="auto"/>
              <w:rPr>
                <w:rFonts w:ascii="Garamond" w:hAnsi="Garamond"/>
                <w:sz w:val="20"/>
                <w:szCs w:val="20"/>
              </w:rPr>
            </w:pPr>
            <w:r w:rsidRPr="00DC66CD">
              <w:rPr>
                <w:rFonts w:ascii="Garamond" w:hAnsi="Garamond"/>
                <w:sz w:val="20"/>
                <w:szCs w:val="20"/>
              </w:rPr>
              <w:t>Mungesa e përmirësimit të cilësisë së shërbimeve në nivel rajonal dhe lokal, për shkak të trajnimeve të pamjaftueshme</w:t>
            </w:r>
          </w:p>
        </w:tc>
        <w:tc>
          <w:tcPr>
            <w:tcW w:w="1559" w:type="dxa"/>
          </w:tcPr>
          <w:p w14:paraId="77FBD7F4" w14:textId="77777777" w:rsidR="006F605B" w:rsidRPr="00DC66CD" w:rsidRDefault="006F605B" w:rsidP="00B07DF5">
            <w:pPr>
              <w:snapToGrid w:val="0"/>
              <w:spacing w:after="0" w:line="240" w:lineRule="auto"/>
              <w:rPr>
                <w:rFonts w:ascii="Garamond" w:hAnsi="Garamond"/>
                <w:sz w:val="20"/>
                <w:szCs w:val="20"/>
              </w:rPr>
            </w:pPr>
            <w:r w:rsidRPr="00DC66CD">
              <w:rPr>
                <w:rFonts w:ascii="Garamond" w:hAnsi="Garamond"/>
                <w:sz w:val="20"/>
                <w:szCs w:val="20"/>
              </w:rPr>
              <w:t>I ulët</w:t>
            </w:r>
          </w:p>
        </w:tc>
        <w:tc>
          <w:tcPr>
            <w:tcW w:w="4240" w:type="dxa"/>
          </w:tcPr>
          <w:p w14:paraId="1398B06B" w14:textId="011FEBA1" w:rsidR="006F605B" w:rsidRPr="00DC66CD" w:rsidRDefault="006F605B" w:rsidP="00B0058C">
            <w:pPr>
              <w:snapToGrid w:val="0"/>
              <w:spacing w:after="0" w:line="240" w:lineRule="auto"/>
              <w:rPr>
                <w:rFonts w:ascii="Garamond" w:hAnsi="Garamond"/>
                <w:sz w:val="20"/>
                <w:szCs w:val="20"/>
              </w:rPr>
            </w:pPr>
            <w:r w:rsidRPr="00DC66CD">
              <w:rPr>
                <w:rFonts w:ascii="Garamond" w:hAnsi="Garamond"/>
                <w:sz w:val="20"/>
                <w:szCs w:val="20"/>
              </w:rPr>
              <w:t>Monitorim i ngushtë i aktiviteteve të trajnimit dhe rritja e numrit të trajnerëve në dispozicion</w:t>
            </w:r>
          </w:p>
        </w:tc>
      </w:tr>
    </w:tbl>
    <w:p w14:paraId="24812CCD" w14:textId="77777777" w:rsidR="006F605B" w:rsidRPr="00DC66CD" w:rsidRDefault="006F605B" w:rsidP="006F605B">
      <w:pPr>
        <w:snapToGrid w:val="0"/>
        <w:spacing w:after="0" w:line="240" w:lineRule="auto"/>
        <w:ind w:firstLine="284"/>
        <w:rPr>
          <w:rFonts w:ascii="Garamond" w:hAnsi="Garamond"/>
          <w:sz w:val="24"/>
          <w:szCs w:val="24"/>
        </w:rPr>
      </w:pPr>
    </w:p>
    <w:p w14:paraId="486FD38D" w14:textId="5F5A10F5" w:rsidR="006F605B" w:rsidRPr="00DC66CD" w:rsidRDefault="00B07DF5" w:rsidP="00B07DF5">
      <w:pPr>
        <w:pStyle w:val="TEKSTIIII"/>
        <w:rPr>
          <w:b/>
        </w:rPr>
      </w:pPr>
      <w:bookmarkStart w:id="50" w:name="_Toc484076193"/>
      <w:bookmarkStart w:id="51" w:name="_Toc30661237"/>
      <w:r w:rsidRPr="00DC66CD">
        <w:rPr>
          <w:b/>
        </w:rPr>
        <w:t xml:space="preserve">5.3.8 </w:t>
      </w:r>
      <w:r w:rsidR="006F605B" w:rsidRPr="00DC66CD">
        <w:rPr>
          <w:b/>
        </w:rPr>
        <w:t>Përfshirja sociale</w:t>
      </w:r>
      <w:bookmarkEnd w:id="50"/>
      <w:r w:rsidR="006F605B" w:rsidRPr="00DC66CD">
        <w:rPr>
          <w:b/>
        </w:rPr>
        <w:t>, ulja e varfërisë dhe shanset e barabarta</w:t>
      </w:r>
      <w:bookmarkEnd w:id="51"/>
    </w:p>
    <w:p w14:paraId="05139D45" w14:textId="77777777" w:rsidR="006F605B" w:rsidRPr="00DC66CD" w:rsidRDefault="006F605B" w:rsidP="00B07DF5">
      <w:pPr>
        <w:pStyle w:val="TEKSTIIII"/>
        <w:rPr>
          <w:i/>
        </w:rPr>
      </w:pPr>
      <w:r w:rsidRPr="00DC66CD">
        <w:rPr>
          <w:i/>
        </w:rPr>
        <w:t>Analiza e pengesave kryesore</w:t>
      </w:r>
    </w:p>
    <w:p w14:paraId="5C8519C3" w14:textId="3FD428EE"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Shqipëria ka bërë hapa të konsiderueshëm për të përmirësuar situatën e</w:t>
      </w:r>
      <w:r w:rsidR="0072211B" w:rsidRPr="00DC66CD">
        <w:rPr>
          <w:rFonts w:ascii="Garamond" w:hAnsi="Garamond"/>
          <w:sz w:val="24"/>
          <w:szCs w:val="24"/>
        </w:rPr>
        <w:t xml:space="preserve"> </w:t>
      </w:r>
      <w:r w:rsidRPr="00DC66CD">
        <w:rPr>
          <w:rFonts w:ascii="Garamond" w:hAnsi="Garamond"/>
          <w:sz w:val="24"/>
          <w:szCs w:val="24"/>
        </w:rPr>
        <w:t>mbrojtjes dhe përfshirjes sociale dhe treguesit për të drejtat e njeriut. Rritja e treguesve në punësim ka pa</w:t>
      </w:r>
      <w:r w:rsidR="00B0058C" w:rsidRPr="00DC66CD">
        <w:rPr>
          <w:rFonts w:ascii="Garamond" w:hAnsi="Garamond"/>
          <w:sz w:val="24"/>
          <w:szCs w:val="24"/>
        </w:rPr>
        <w:t>s</w:t>
      </w:r>
      <w:r w:rsidRPr="00DC66CD">
        <w:rPr>
          <w:rFonts w:ascii="Garamond" w:hAnsi="Garamond"/>
          <w:sz w:val="24"/>
          <w:szCs w:val="24"/>
        </w:rPr>
        <w:t xml:space="preserve">ur dhe ndikim në treguesit e varfërisë. Sidoqoftë, mbështetja me programe të mbrojtjes sociale dhe pagesat </w:t>
      </w:r>
      <w:r w:rsidR="00B0058C" w:rsidRPr="00DC66CD">
        <w:rPr>
          <w:rFonts w:ascii="Garamond" w:hAnsi="Garamond"/>
          <w:i/>
          <w:sz w:val="24"/>
          <w:szCs w:val="24"/>
        </w:rPr>
        <w:t>cash</w:t>
      </w:r>
      <w:r w:rsidR="00B0058C" w:rsidRPr="00DC66CD">
        <w:rPr>
          <w:rFonts w:ascii="Garamond" w:hAnsi="Garamond"/>
          <w:sz w:val="24"/>
          <w:szCs w:val="24"/>
        </w:rPr>
        <w:t xml:space="preserve"> </w:t>
      </w:r>
      <w:r w:rsidRPr="00DC66CD">
        <w:rPr>
          <w:rFonts w:ascii="Garamond" w:hAnsi="Garamond"/>
          <w:sz w:val="24"/>
          <w:szCs w:val="24"/>
        </w:rPr>
        <w:t>mbetet</w:t>
      </w:r>
      <w:r w:rsidR="0072211B" w:rsidRPr="00DC66CD">
        <w:rPr>
          <w:rFonts w:ascii="Garamond" w:hAnsi="Garamond"/>
          <w:sz w:val="24"/>
          <w:szCs w:val="24"/>
        </w:rPr>
        <w:t xml:space="preserve"> </w:t>
      </w:r>
      <w:r w:rsidRPr="00DC66CD">
        <w:rPr>
          <w:rFonts w:ascii="Garamond" w:hAnsi="Garamond"/>
          <w:sz w:val="24"/>
          <w:szCs w:val="24"/>
        </w:rPr>
        <w:t xml:space="preserve">e rëndësishme për standardin e jetesës së njerëzve në nevojë. </w:t>
      </w:r>
    </w:p>
    <w:p w14:paraId="793A226E" w14:textId="04134CCF"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Një zhvillim i rëndësishëm është botimi nga INSTAT</w:t>
      </w:r>
      <w:r w:rsidR="00B0058C" w:rsidRPr="00DC66CD">
        <w:rPr>
          <w:rFonts w:ascii="Garamond" w:hAnsi="Garamond"/>
          <w:sz w:val="24"/>
          <w:szCs w:val="24"/>
        </w:rPr>
        <w:t>-i</w:t>
      </w:r>
      <w:r w:rsidRPr="00DC66CD">
        <w:rPr>
          <w:rFonts w:ascii="Garamond" w:hAnsi="Garamond"/>
          <w:sz w:val="24"/>
          <w:szCs w:val="24"/>
        </w:rPr>
        <w:t xml:space="preserve"> për herë të parë i rezultateve e Anketës për të Ardhurat dhe Kushtet e Jetesës (SILC)</w:t>
      </w:r>
      <w:r w:rsidRPr="00DC66CD">
        <w:rPr>
          <w:rFonts w:ascii="Garamond" w:hAnsi="Garamond"/>
          <w:sz w:val="24"/>
          <w:szCs w:val="24"/>
          <w:vertAlign w:val="superscript"/>
        </w:rPr>
        <w:footnoteReference w:id="30"/>
      </w:r>
      <w:r w:rsidR="00B0058C" w:rsidRPr="00DC66CD">
        <w:rPr>
          <w:rFonts w:ascii="Garamond" w:hAnsi="Garamond"/>
          <w:sz w:val="24"/>
          <w:szCs w:val="24"/>
        </w:rPr>
        <w:t>,</w:t>
      </w:r>
      <w:r w:rsidRPr="00DC66CD">
        <w:rPr>
          <w:rFonts w:ascii="Garamond" w:hAnsi="Garamond"/>
          <w:sz w:val="24"/>
          <w:szCs w:val="24"/>
        </w:rPr>
        <w:t>e cila mat standardet e jetesës, varfërinë relative dhe mungesat m</w:t>
      </w:r>
      <w:r w:rsidR="00B0058C" w:rsidRPr="00DC66CD">
        <w:rPr>
          <w:rFonts w:ascii="Garamond" w:hAnsi="Garamond"/>
          <w:sz w:val="24"/>
          <w:szCs w:val="24"/>
        </w:rPr>
        <w:t>ateriale në familjet shqiptare.</w:t>
      </w:r>
      <w:r w:rsidRPr="00DC66CD">
        <w:rPr>
          <w:rFonts w:ascii="Garamond" w:hAnsi="Garamond"/>
          <w:sz w:val="24"/>
          <w:szCs w:val="24"/>
          <w:vertAlign w:val="superscript"/>
        </w:rPr>
        <w:footnoteReference w:id="31"/>
      </w:r>
      <w:r w:rsidRPr="00DC66CD">
        <w:rPr>
          <w:rFonts w:ascii="Garamond" w:hAnsi="Garamond"/>
          <w:sz w:val="24"/>
          <w:szCs w:val="24"/>
        </w:rPr>
        <w:t xml:space="preserve"> Treguesi i riskut të varfërisë është 23.4% për vitin 2018. Në vitin 2017, ky tregues ishte 23.7%, duke shfaqur rënie me</w:t>
      </w:r>
      <w:r w:rsidR="0072211B" w:rsidRPr="00DC66CD">
        <w:rPr>
          <w:rFonts w:ascii="Garamond" w:hAnsi="Garamond"/>
          <w:sz w:val="24"/>
          <w:szCs w:val="24"/>
        </w:rPr>
        <w:t xml:space="preserve"> </w:t>
      </w:r>
      <w:r w:rsidRPr="00DC66CD">
        <w:rPr>
          <w:rFonts w:ascii="Garamond" w:hAnsi="Garamond"/>
          <w:sz w:val="24"/>
          <w:szCs w:val="24"/>
        </w:rPr>
        <w:t>0.3%.</w:t>
      </w:r>
      <w:r w:rsidR="0072211B" w:rsidRPr="00DC66CD">
        <w:rPr>
          <w:rFonts w:ascii="Garamond" w:hAnsi="Garamond"/>
          <w:sz w:val="24"/>
          <w:szCs w:val="24"/>
        </w:rPr>
        <w:t xml:space="preserve"> </w:t>
      </w:r>
      <w:r w:rsidRPr="00DC66CD">
        <w:rPr>
          <w:rFonts w:ascii="Garamond" w:hAnsi="Garamond"/>
          <w:sz w:val="24"/>
          <w:szCs w:val="24"/>
        </w:rPr>
        <w:t xml:space="preserve">Shkalla e riskut të varfërisë është 23.4%. për vitin 2018. Varfëria relative (përqindja e individëve me të ardhura nën 60% të mesatares së të ardhurave ekuivalente), që tregon mundësinë e riskut për varfëri për </w:t>
      </w:r>
      <w:r w:rsidR="00B0058C" w:rsidRPr="00DC66CD">
        <w:rPr>
          <w:rFonts w:ascii="Garamond" w:hAnsi="Garamond"/>
          <w:sz w:val="24"/>
          <w:szCs w:val="24"/>
        </w:rPr>
        <w:t>çdo</w:t>
      </w:r>
      <w:r w:rsidRPr="00DC66CD">
        <w:rPr>
          <w:rFonts w:ascii="Garamond" w:hAnsi="Garamond"/>
          <w:sz w:val="24"/>
          <w:szCs w:val="24"/>
        </w:rPr>
        <w:t xml:space="preserve"> individ, në vitin 2018 u vlerësua në 160,742 </w:t>
      </w:r>
      <w:r w:rsidR="00891170" w:rsidRPr="00DC66CD">
        <w:rPr>
          <w:rFonts w:ascii="Garamond" w:hAnsi="Garamond"/>
          <w:sz w:val="24"/>
          <w:szCs w:val="24"/>
        </w:rPr>
        <w:t>lekë</w:t>
      </w:r>
      <w:r w:rsidRPr="00DC66CD">
        <w:rPr>
          <w:rFonts w:ascii="Garamond" w:hAnsi="Garamond"/>
          <w:sz w:val="24"/>
          <w:szCs w:val="24"/>
          <w:vertAlign w:val="superscript"/>
        </w:rPr>
        <w:footnoteReference w:id="32"/>
      </w:r>
      <w:r w:rsidRPr="00DC66CD">
        <w:rPr>
          <w:rFonts w:ascii="Garamond" w:hAnsi="Garamond"/>
          <w:sz w:val="24"/>
          <w:szCs w:val="24"/>
        </w:rPr>
        <w:t xml:space="preserve"> në krahasim me</w:t>
      </w:r>
      <w:r w:rsidR="0072211B" w:rsidRPr="00DC66CD">
        <w:rPr>
          <w:rFonts w:ascii="Garamond" w:hAnsi="Garamond"/>
          <w:sz w:val="24"/>
          <w:szCs w:val="24"/>
        </w:rPr>
        <w:t xml:space="preserve"> </w:t>
      </w:r>
      <w:r w:rsidRPr="00DC66CD">
        <w:rPr>
          <w:rFonts w:ascii="Garamond" w:hAnsi="Garamond"/>
          <w:sz w:val="24"/>
          <w:szCs w:val="24"/>
        </w:rPr>
        <w:t xml:space="preserve">145.017 </w:t>
      </w:r>
      <w:r w:rsidR="00891170" w:rsidRPr="00DC66CD">
        <w:rPr>
          <w:rFonts w:ascii="Garamond" w:hAnsi="Garamond"/>
          <w:sz w:val="24"/>
          <w:szCs w:val="24"/>
        </w:rPr>
        <w:t>lekë m</w:t>
      </w:r>
      <w:r w:rsidRPr="00DC66CD">
        <w:rPr>
          <w:rFonts w:ascii="Garamond" w:hAnsi="Garamond"/>
          <w:sz w:val="24"/>
          <w:szCs w:val="24"/>
        </w:rPr>
        <w:t>ë 2017</w:t>
      </w:r>
      <w:r w:rsidR="00DB6CB1" w:rsidRPr="00DC66CD">
        <w:rPr>
          <w:rFonts w:ascii="Garamond" w:hAnsi="Garamond"/>
          <w:sz w:val="24"/>
          <w:szCs w:val="24"/>
        </w:rPr>
        <w:t>-ën</w:t>
      </w:r>
      <w:r w:rsidRPr="00DC66CD">
        <w:rPr>
          <w:rFonts w:ascii="Garamond" w:hAnsi="Garamond"/>
          <w:sz w:val="24"/>
          <w:szCs w:val="24"/>
        </w:rPr>
        <w:t>. Në vitin 2018,</w:t>
      </w:r>
      <w:r w:rsidR="0072211B" w:rsidRPr="00DC66CD">
        <w:rPr>
          <w:rFonts w:ascii="Garamond" w:hAnsi="Garamond"/>
          <w:sz w:val="24"/>
          <w:szCs w:val="24"/>
        </w:rPr>
        <w:t xml:space="preserve"> </w:t>
      </w:r>
      <w:r w:rsidRPr="00DC66CD">
        <w:rPr>
          <w:rFonts w:ascii="Garamond" w:hAnsi="Garamond"/>
          <w:sz w:val="24"/>
          <w:szCs w:val="24"/>
        </w:rPr>
        <w:t>671,000 individë ishin të rrezikuar nga varfëria në krahasim me 681,000 individë për vitin 2017, indikator tregues se të ardhurat familjare të disponueshme janë rritur dhe përqindja e individëve në rrezik të varfërisë është ulur me rreth 1.5%.</w:t>
      </w:r>
      <w:r w:rsidRPr="00DC66CD">
        <w:rPr>
          <w:rFonts w:ascii="Garamond" w:hAnsi="Garamond"/>
          <w:sz w:val="24"/>
          <w:szCs w:val="24"/>
          <w:vertAlign w:val="superscript"/>
        </w:rPr>
        <w:footnoteReference w:id="33"/>
      </w:r>
      <w:r w:rsidR="0072211B" w:rsidRPr="00DC66CD">
        <w:rPr>
          <w:rFonts w:ascii="Garamond" w:hAnsi="Garamond"/>
          <w:sz w:val="24"/>
          <w:szCs w:val="24"/>
        </w:rPr>
        <w:t xml:space="preserve"> </w:t>
      </w:r>
      <w:r w:rsidRPr="00DC66CD">
        <w:rPr>
          <w:rFonts w:ascii="Garamond" w:hAnsi="Garamond"/>
          <w:sz w:val="24"/>
          <w:szCs w:val="24"/>
        </w:rPr>
        <w:t xml:space="preserve">Koeficienti GINI është 35.4 </w:t>
      </w:r>
      <w:r w:rsidR="00891170" w:rsidRPr="00DC66CD">
        <w:rPr>
          <w:rFonts w:ascii="Garamond" w:hAnsi="Garamond"/>
          <w:sz w:val="24"/>
          <w:szCs w:val="24"/>
        </w:rPr>
        <w:t>m</w:t>
      </w:r>
      <w:r w:rsidRPr="00DC66CD">
        <w:rPr>
          <w:rFonts w:ascii="Garamond" w:hAnsi="Garamond"/>
          <w:sz w:val="24"/>
          <w:szCs w:val="24"/>
        </w:rPr>
        <w:t>ë 2018</w:t>
      </w:r>
      <w:r w:rsidR="00891170" w:rsidRPr="00DC66CD">
        <w:rPr>
          <w:rFonts w:ascii="Garamond" w:hAnsi="Garamond"/>
          <w:sz w:val="24"/>
          <w:szCs w:val="24"/>
        </w:rPr>
        <w:t>-ën</w:t>
      </w:r>
      <w:r w:rsidRPr="00DC66CD">
        <w:rPr>
          <w:rFonts w:ascii="Garamond" w:hAnsi="Garamond"/>
          <w:sz w:val="24"/>
          <w:szCs w:val="24"/>
        </w:rPr>
        <w:t xml:space="preserve"> (më pak se 36.8 në 2017) sipas të dhënave të SILC</w:t>
      </w:r>
      <w:r w:rsidR="00891170" w:rsidRPr="00DC66CD">
        <w:rPr>
          <w:rFonts w:ascii="Garamond" w:hAnsi="Garamond"/>
          <w:sz w:val="24"/>
          <w:szCs w:val="24"/>
        </w:rPr>
        <w:t>-së</w:t>
      </w:r>
      <w:r w:rsidRPr="00DC66CD">
        <w:rPr>
          <w:rFonts w:ascii="Garamond" w:hAnsi="Garamond"/>
          <w:sz w:val="24"/>
          <w:szCs w:val="24"/>
        </w:rPr>
        <w:t>.</w:t>
      </w:r>
    </w:p>
    <w:p w14:paraId="4647D8EF" w14:textId="0F512C2B"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Në 2018, shpenzimi mesatar i konsumit mujor për një familje, e përbërë nga 3.7 persona, mesatarisht, ishte 75.935 lekë. Vlerësimi i shpenzimeve mesatare mujore</w:t>
      </w:r>
      <w:r w:rsidR="00F42844" w:rsidRPr="00DC66CD">
        <w:rPr>
          <w:rFonts w:ascii="Garamond" w:hAnsi="Garamond"/>
          <w:sz w:val="24"/>
          <w:szCs w:val="24"/>
        </w:rPr>
        <w:t>,</w:t>
      </w:r>
      <w:r w:rsidRPr="00DC66CD">
        <w:rPr>
          <w:rFonts w:ascii="Garamond" w:hAnsi="Garamond"/>
          <w:sz w:val="24"/>
          <w:szCs w:val="24"/>
        </w:rPr>
        <w:t xml:space="preserve"> sipas Anketës së Buxhetit së Konsumit të Familjes</w:t>
      </w:r>
      <w:r w:rsidR="00F42844" w:rsidRPr="00DC66CD">
        <w:rPr>
          <w:rFonts w:ascii="Garamond" w:hAnsi="Garamond"/>
          <w:sz w:val="24"/>
          <w:szCs w:val="24"/>
        </w:rPr>
        <w:t>,</w:t>
      </w:r>
      <w:r w:rsidRPr="00DC66CD">
        <w:rPr>
          <w:rFonts w:ascii="Garamond" w:hAnsi="Garamond"/>
          <w:sz w:val="24"/>
          <w:szCs w:val="24"/>
        </w:rPr>
        <w:t xml:space="preserve"> për vitin 2018 është 3.5% më i lartë se në vitin 2017</w:t>
      </w:r>
      <w:r w:rsidRPr="00DC66CD">
        <w:rPr>
          <w:rFonts w:ascii="Garamond" w:hAnsi="Garamond"/>
          <w:sz w:val="24"/>
          <w:szCs w:val="24"/>
          <w:vertAlign w:val="superscript"/>
        </w:rPr>
        <w:footnoteReference w:id="34"/>
      </w:r>
      <w:r w:rsidRPr="00DC66CD">
        <w:rPr>
          <w:rFonts w:ascii="Garamond" w:hAnsi="Garamond"/>
          <w:sz w:val="24"/>
          <w:szCs w:val="24"/>
        </w:rPr>
        <w:t>. Gjithashtu</w:t>
      </w:r>
      <w:r w:rsidR="00F42844" w:rsidRPr="00DC66CD">
        <w:rPr>
          <w:rFonts w:ascii="Garamond" w:hAnsi="Garamond"/>
          <w:sz w:val="24"/>
          <w:szCs w:val="24"/>
        </w:rPr>
        <w:t>,</w:t>
      </w:r>
      <w:r w:rsidRPr="00DC66CD">
        <w:rPr>
          <w:rFonts w:ascii="Garamond" w:hAnsi="Garamond"/>
          <w:sz w:val="24"/>
          <w:szCs w:val="24"/>
        </w:rPr>
        <w:t xml:space="preserve"> të dhënat e Bankës Botërore për Shqipërinë vlerësojnë se rritja me 9% e pagës minimale me për</w:t>
      </w:r>
      <w:r w:rsidR="00891170" w:rsidRPr="00DC66CD">
        <w:rPr>
          <w:rFonts w:ascii="Garamond" w:hAnsi="Garamond"/>
          <w:sz w:val="24"/>
          <w:szCs w:val="24"/>
        </w:rPr>
        <w:t xml:space="preserve"> </w:t>
      </w:r>
      <w:r w:rsidRPr="00DC66CD">
        <w:rPr>
          <w:rFonts w:ascii="Garamond" w:hAnsi="Garamond"/>
          <w:sz w:val="24"/>
          <w:szCs w:val="24"/>
        </w:rPr>
        <w:t>qind në 2017, mund të ketë ndikuar në reduktimin e varfërisë. Referuar këtyre shifrave, paga reale për gratë është rritur relativisht më shpejt se</w:t>
      </w:r>
      <w:r w:rsidR="00F42844" w:rsidRPr="00DC66CD">
        <w:rPr>
          <w:rFonts w:ascii="Garamond" w:hAnsi="Garamond"/>
          <w:sz w:val="24"/>
          <w:szCs w:val="24"/>
        </w:rPr>
        <w:t xml:space="preserve"> </w:t>
      </w:r>
      <w:r w:rsidRPr="00DC66CD">
        <w:rPr>
          <w:rFonts w:ascii="Garamond" w:hAnsi="Garamond"/>
          <w:sz w:val="24"/>
          <w:szCs w:val="24"/>
        </w:rPr>
        <w:t>sa për burrat në bujqësi dhe ndërtim, duke zvogëluar hendekun gjinor të pagave në këta sektorë, edhe pse në përgjithësi hendeku ka mbetur rreth</w:t>
      </w:r>
      <w:r w:rsidR="0072211B" w:rsidRPr="00DC66CD">
        <w:rPr>
          <w:rFonts w:ascii="Garamond" w:hAnsi="Garamond"/>
          <w:sz w:val="24"/>
          <w:szCs w:val="24"/>
        </w:rPr>
        <w:t xml:space="preserve"> </w:t>
      </w:r>
      <w:r w:rsidRPr="00DC66CD">
        <w:rPr>
          <w:rFonts w:ascii="Garamond" w:hAnsi="Garamond"/>
          <w:sz w:val="24"/>
          <w:szCs w:val="24"/>
        </w:rPr>
        <w:t xml:space="preserve">nivelit 11% nga viti 2014. </w:t>
      </w:r>
    </w:p>
    <w:p w14:paraId="4D5A3625" w14:textId="13C2AAD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Sipas INSTAT</w:t>
      </w:r>
      <w:r w:rsidR="00F42844" w:rsidRPr="00DC66CD">
        <w:rPr>
          <w:rFonts w:ascii="Garamond" w:hAnsi="Garamond"/>
          <w:sz w:val="24"/>
          <w:szCs w:val="24"/>
        </w:rPr>
        <w:t>-it</w:t>
      </w:r>
      <w:r w:rsidRPr="00DC66CD">
        <w:rPr>
          <w:rFonts w:ascii="Garamond" w:hAnsi="Garamond"/>
          <w:sz w:val="24"/>
          <w:szCs w:val="24"/>
        </w:rPr>
        <w:t>, treguesi i hendekut të pagave në Shqipëri gjatë vitit 2018 është 10,7%</w:t>
      </w:r>
      <w:r w:rsidRPr="00DC66CD">
        <w:rPr>
          <w:rFonts w:ascii="Garamond" w:hAnsi="Garamond"/>
          <w:sz w:val="24"/>
          <w:szCs w:val="24"/>
          <w:vertAlign w:val="superscript"/>
        </w:rPr>
        <w:footnoteReference w:id="35"/>
      </w:r>
      <w:r w:rsidRPr="00DC66CD">
        <w:rPr>
          <w:rFonts w:ascii="Garamond" w:hAnsi="Garamond"/>
          <w:sz w:val="24"/>
          <w:szCs w:val="24"/>
        </w:rPr>
        <w:t>.</w:t>
      </w:r>
      <w:r w:rsidR="0072211B" w:rsidRPr="00DC66CD">
        <w:rPr>
          <w:rFonts w:ascii="Garamond" w:hAnsi="Garamond"/>
          <w:sz w:val="24"/>
          <w:szCs w:val="24"/>
        </w:rPr>
        <w:t xml:space="preserve"> </w:t>
      </w:r>
      <w:r w:rsidRPr="00DC66CD">
        <w:rPr>
          <w:rFonts w:ascii="Garamond" w:hAnsi="Garamond"/>
          <w:sz w:val="24"/>
          <w:szCs w:val="24"/>
        </w:rPr>
        <w:t>Gjatë vitit 2018, hendeku i pagave në Shqipëri ishte 10,7%.</w:t>
      </w:r>
    </w:p>
    <w:p w14:paraId="18DC03CF" w14:textId="1E29FCB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Pagesat </w:t>
      </w:r>
      <w:r w:rsidRPr="00DC66CD">
        <w:rPr>
          <w:rFonts w:ascii="Garamond" w:hAnsi="Garamond"/>
          <w:i/>
          <w:sz w:val="24"/>
          <w:szCs w:val="24"/>
        </w:rPr>
        <w:t>cash</w:t>
      </w:r>
      <w:r w:rsidRPr="00DC66CD">
        <w:rPr>
          <w:rFonts w:ascii="Garamond" w:hAnsi="Garamond"/>
          <w:sz w:val="24"/>
          <w:szCs w:val="24"/>
        </w:rPr>
        <w:t xml:space="preserve"> dhe të aftësisë së kufizuar</w:t>
      </w:r>
      <w:r w:rsidR="00F42844" w:rsidRPr="00DC66CD">
        <w:rPr>
          <w:rFonts w:ascii="Garamond" w:hAnsi="Garamond"/>
          <w:sz w:val="24"/>
          <w:szCs w:val="24"/>
        </w:rPr>
        <w:t>a</w:t>
      </w:r>
      <w:r w:rsidRPr="00DC66CD">
        <w:rPr>
          <w:rFonts w:ascii="Garamond" w:hAnsi="Garamond"/>
          <w:sz w:val="24"/>
          <w:szCs w:val="24"/>
        </w:rPr>
        <w:t xml:space="preserve"> të kombinuara me shërbimet sociale duhet të targetojnë varfërinë dhe vulnerabilitetin sipas riskut. Pilotimi i procedurave të vlerësimit të aftësisë së kufizuar përmes regjistrit elektronik synon të sigurojë një proces të drejtë dhe transparent dhe të përmirësojë kapacitetet e institucioneve për të menaxhuar vlerësimin dhe përcaktimin e aftësisë së kufizuar. Sfida lidhur me procedurave të vlerësimit të pilotimit të ndihmës </w:t>
      </w:r>
      <w:r w:rsidR="00F42844" w:rsidRPr="00DC66CD">
        <w:rPr>
          <w:rFonts w:ascii="Garamond" w:hAnsi="Garamond"/>
          <w:sz w:val="24"/>
          <w:szCs w:val="24"/>
        </w:rPr>
        <w:t xml:space="preserve">ekonomike </w:t>
      </w:r>
      <w:r w:rsidRPr="00DC66CD">
        <w:rPr>
          <w:rFonts w:ascii="Garamond" w:hAnsi="Garamond"/>
          <w:sz w:val="24"/>
          <w:szCs w:val="24"/>
        </w:rPr>
        <w:t>dhe aftësisë së kufizuar</w:t>
      </w:r>
      <w:r w:rsidR="00F42844" w:rsidRPr="00DC66CD">
        <w:rPr>
          <w:rFonts w:ascii="Garamond" w:hAnsi="Garamond"/>
          <w:sz w:val="24"/>
          <w:szCs w:val="24"/>
        </w:rPr>
        <w:t>,</w:t>
      </w:r>
      <w:r w:rsidRPr="00DC66CD">
        <w:rPr>
          <w:rFonts w:ascii="Garamond" w:hAnsi="Garamond"/>
          <w:sz w:val="24"/>
          <w:szCs w:val="24"/>
        </w:rPr>
        <w:t xml:space="preserve"> përmes regjistrit elektronik duhet të garantojë një proces të drejtë dhe transparent. Ajo duhet të përmirësojë kapacitetet institucionale për të zbatuar vlerësimin dhe përcaktimin e aftësisë së kufizuar.</w:t>
      </w:r>
    </w:p>
    <w:p w14:paraId="4B8AD1EC" w14:textId="2AF74A3A"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Reforma e shërbimeve të kujdesit shoqëror, bazuar në </w:t>
      </w:r>
      <w:r w:rsidR="00F42844" w:rsidRPr="00DC66CD">
        <w:rPr>
          <w:rFonts w:ascii="Garamond" w:hAnsi="Garamond"/>
          <w:sz w:val="24"/>
          <w:szCs w:val="24"/>
        </w:rPr>
        <w:t xml:space="preserve">ligjin </w:t>
      </w:r>
      <w:r w:rsidRPr="00DC66CD">
        <w:rPr>
          <w:rFonts w:ascii="Garamond" w:hAnsi="Garamond"/>
          <w:sz w:val="24"/>
          <w:szCs w:val="24"/>
        </w:rPr>
        <w:t xml:space="preserve">për </w:t>
      </w:r>
      <w:r w:rsidR="00F42844" w:rsidRPr="00DC66CD">
        <w:rPr>
          <w:rFonts w:ascii="Garamond" w:hAnsi="Garamond"/>
          <w:sz w:val="24"/>
          <w:szCs w:val="24"/>
        </w:rPr>
        <w:t>shërbimet sociale</w:t>
      </w:r>
      <w:r w:rsidRPr="00DC66CD">
        <w:rPr>
          <w:rFonts w:ascii="Garamond" w:hAnsi="Garamond"/>
          <w:sz w:val="24"/>
          <w:szCs w:val="24"/>
        </w:rPr>
        <w:t>, për herë të parë ka zhvilluar shërbime të përkujdesjes shoqërore të integruar</w:t>
      </w:r>
      <w:r w:rsidR="00F42844" w:rsidRPr="00DC66CD">
        <w:rPr>
          <w:rFonts w:ascii="Garamond" w:hAnsi="Garamond"/>
          <w:sz w:val="24"/>
          <w:szCs w:val="24"/>
        </w:rPr>
        <w:t>,</w:t>
      </w:r>
      <w:r w:rsidRPr="00DC66CD">
        <w:rPr>
          <w:rFonts w:ascii="Garamond" w:hAnsi="Garamond"/>
          <w:sz w:val="24"/>
          <w:szCs w:val="24"/>
        </w:rPr>
        <w:t xml:space="preserve"> si një shportë minimale e shërbimeve sociale të ofruara në komunitet, qendra të kujdesit shoqëror dhe ndihmesë shtëpiake për të gjitha kategoritë e identifikuara të përfituesve. Qasjet me bazë komunitare janë prezantuar dhe kanë sjellë diversifikimin e shërbimeve, duke përfshirë fusha</w:t>
      </w:r>
      <w:r w:rsidR="00F42844" w:rsidRPr="00DC66CD">
        <w:rPr>
          <w:rFonts w:ascii="Garamond" w:hAnsi="Garamond"/>
          <w:sz w:val="24"/>
          <w:szCs w:val="24"/>
        </w:rPr>
        <w:t>,</w:t>
      </w:r>
      <w:r w:rsidRPr="00DC66CD">
        <w:rPr>
          <w:rFonts w:ascii="Garamond" w:hAnsi="Garamond"/>
          <w:sz w:val="24"/>
          <w:szCs w:val="24"/>
        </w:rPr>
        <w:t xml:space="preserve"> të tilla si</w:t>
      </w:r>
      <w:r w:rsidR="003A2FEF">
        <w:rPr>
          <w:rFonts w:ascii="Garamond" w:hAnsi="Garamond"/>
          <w:sz w:val="24"/>
          <w:szCs w:val="24"/>
        </w:rPr>
        <w:t>:</w:t>
      </w:r>
      <w:r w:rsidRPr="00DC66CD">
        <w:rPr>
          <w:rFonts w:ascii="Garamond" w:hAnsi="Garamond"/>
          <w:sz w:val="24"/>
          <w:szCs w:val="24"/>
        </w:rPr>
        <w:t xml:space="preserve"> mbështetje psikologjike, ndërgjegjësimi dhe advokimi. Në kontekstin e </w:t>
      </w:r>
      <w:r w:rsidR="00F42844" w:rsidRPr="00DC66CD">
        <w:rPr>
          <w:rFonts w:ascii="Garamond" w:hAnsi="Garamond"/>
          <w:sz w:val="24"/>
          <w:szCs w:val="24"/>
        </w:rPr>
        <w:t xml:space="preserve">ligjit nr. </w:t>
      </w:r>
      <w:r w:rsidRPr="00DC66CD">
        <w:rPr>
          <w:rFonts w:ascii="Garamond" w:hAnsi="Garamond"/>
          <w:sz w:val="24"/>
          <w:szCs w:val="24"/>
        </w:rPr>
        <w:t>121/2016</w:t>
      </w:r>
      <w:r w:rsidR="009A24EE" w:rsidRPr="00DC66CD">
        <w:rPr>
          <w:rFonts w:ascii="Garamond" w:hAnsi="Garamond"/>
          <w:sz w:val="24"/>
          <w:szCs w:val="24"/>
        </w:rPr>
        <w:t>,</w:t>
      </w:r>
      <w:r w:rsidRPr="00DC66CD">
        <w:rPr>
          <w:rFonts w:ascii="Garamond" w:hAnsi="Garamond"/>
          <w:sz w:val="24"/>
          <w:szCs w:val="24"/>
        </w:rPr>
        <w:t xml:space="preserve"> për Shërbimet Sociale, decentralizimi fiskal dhe administrativ në Shqipëri, shërbimet thelbësore publike u janë deleguar njësive vendore dhe nevojiten fonde të reja dhe mekanizma efektivë menaxhimi për të ofruar shërbime të koordinuara në nivele të ndryshme të qeverisjes.</w:t>
      </w:r>
    </w:p>
    <w:p w14:paraId="27A42DA4" w14:textId="2FF7BABB"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Është rritur numri i rajoneve të mbuluara nga shërbimet e kujdesit shoqëror. Këto shërbimet me bazë në komunitet drejtohen nga OJF</w:t>
      </w:r>
      <w:r w:rsidR="00195E0C" w:rsidRPr="00DC66CD">
        <w:rPr>
          <w:rFonts w:ascii="Garamond" w:hAnsi="Garamond"/>
          <w:sz w:val="24"/>
          <w:szCs w:val="24"/>
        </w:rPr>
        <w:t>-të</w:t>
      </w:r>
      <w:r w:rsidRPr="00DC66CD">
        <w:rPr>
          <w:rFonts w:ascii="Garamond" w:hAnsi="Garamond"/>
          <w:sz w:val="24"/>
          <w:szCs w:val="24"/>
        </w:rPr>
        <w:t>, të cilat financohen nga donatorë të huaj që ofrojnë shërbime për një bazë të larmishme përfituesish, përfshirë fëmijë, fëmijë pa kujdes prindëror dhe ata me probleme sociale, persona me aftësi të kufizuara dhe të moshuar, persona të trafikuar si dhe këshillim për gra dhe vajza. Sfidë mbetet mungesa e shërbimeve në 27 nga 61 bashki, të cilat nuk ofrojnë shërbime të përkujdesjes shoqërore, ndërsa bashkitë e tjera përballen me sfida në lidhje me shërbimet, shpërndarjen e burimeve njerëzore dhe financiare, cilësinë dhe qëndrueshmërinë.</w:t>
      </w:r>
    </w:p>
    <w:p w14:paraId="6077BD6D"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Duke marrë parasysh që njësitë vendore kanë përgjegjësinë për hartimin e planeve të kujdesit shoqëror, të cilat do të përcaktojnë ofrimin e shërbimeve sociale, nevojitet zhvillimi i kapaciteteve të nivelit lokal. </w:t>
      </w:r>
    </w:p>
    <w:p w14:paraId="6CAAD80F" w14:textId="35D16E00"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Fondi Social pritet të përmirësojë financimin e shërbimeve të kujdesit shoqëror, por do të duhet të bazohet në një mekanizëm transparent financimi</w:t>
      </w:r>
      <w:r w:rsidR="0072211B" w:rsidRPr="00DC66CD">
        <w:rPr>
          <w:rFonts w:ascii="Garamond" w:hAnsi="Garamond"/>
          <w:sz w:val="24"/>
          <w:szCs w:val="24"/>
        </w:rPr>
        <w:t xml:space="preserve"> </w:t>
      </w:r>
      <w:r w:rsidRPr="00DC66CD">
        <w:rPr>
          <w:rFonts w:ascii="Garamond" w:hAnsi="Garamond"/>
          <w:sz w:val="24"/>
          <w:szCs w:val="24"/>
        </w:rPr>
        <w:t>që ofron mundësi në mënyrë të barabartë,</w:t>
      </w:r>
      <w:r w:rsidR="0072211B" w:rsidRPr="00DC66CD">
        <w:rPr>
          <w:rFonts w:ascii="Garamond" w:hAnsi="Garamond"/>
          <w:sz w:val="24"/>
          <w:szCs w:val="24"/>
        </w:rPr>
        <w:t xml:space="preserve"> </w:t>
      </w:r>
      <w:r w:rsidRPr="00DC66CD">
        <w:rPr>
          <w:rFonts w:ascii="Garamond" w:hAnsi="Garamond"/>
          <w:sz w:val="24"/>
          <w:szCs w:val="24"/>
        </w:rPr>
        <w:t xml:space="preserve">për të </w:t>
      </w:r>
      <w:r w:rsidR="00037571" w:rsidRPr="00DC66CD">
        <w:rPr>
          <w:rFonts w:ascii="Garamond" w:hAnsi="Garamond"/>
          <w:sz w:val="24"/>
          <w:szCs w:val="24"/>
        </w:rPr>
        <w:t>garantuar</w:t>
      </w:r>
      <w:r w:rsidRPr="00DC66CD">
        <w:rPr>
          <w:rFonts w:ascii="Garamond" w:hAnsi="Garamond"/>
          <w:sz w:val="24"/>
          <w:szCs w:val="24"/>
        </w:rPr>
        <w:t xml:space="preserve"> besueshmëri publike</w:t>
      </w:r>
      <w:r w:rsidR="00037571" w:rsidRPr="00DC66CD">
        <w:rPr>
          <w:rFonts w:ascii="Garamond" w:hAnsi="Garamond"/>
          <w:sz w:val="24"/>
          <w:szCs w:val="24"/>
        </w:rPr>
        <w:t>,</w:t>
      </w:r>
      <w:r w:rsidRPr="00DC66CD">
        <w:rPr>
          <w:rFonts w:ascii="Garamond" w:hAnsi="Garamond"/>
          <w:sz w:val="24"/>
          <w:szCs w:val="24"/>
        </w:rPr>
        <w:t xml:space="preserve"> në mënyrën e shpërndarjes së fondeve në Bashki. Aktualisht, 24 komuna kanë hartuar plane sociale lokale të aprovuara dhe të buxhetuara dhe 14 prej tyre tashmë kanë përfituar nga Fondi Social, në kuadër të Thirrjes së Parë të Ministrisë së Shëndetësisë dhe Mbrojtjes Sociale.</w:t>
      </w:r>
    </w:p>
    <w:p w14:paraId="712FB301" w14:textId="3E75CFC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Kapacitetet e pushtetit lokal për të përfituar nga Fondi Social dhe për të zgjeruar gamën e shërbimeve të integruara të kujdesit shoqëror, masat e punësimit dhe arsimin gjithëpërfshirës në nivelin lokal</w:t>
      </w:r>
      <w:r w:rsidR="00037571" w:rsidRPr="00DC66CD">
        <w:rPr>
          <w:rFonts w:ascii="Garamond" w:hAnsi="Garamond"/>
          <w:sz w:val="24"/>
          <w:szCs w:val="24"/>
        </w:rPr>
        <w:t>,</w:t>
      </w:r>
      <w:r w:rsidRPr="00DC66CD">
        <w:rPr>
          <w:rFonts w:ascii="Garamond" w:hAnsi="Garamond"/>
          <w:sz w:val="24"/>
          <w:szCs w:val="24"/>
        </w:rPr>
        <w:t xml:space="preserve"> në përputhje me planet sociale të bashkive, nuk janë të mjaftueshme. Garantimi i qëndrueshmërisë është i rëndësishëm, duke marrë parasysh metodologjinë e financimit të miratuar nga Këshilli i Ministrave, bazuar mbi të cilën, njësitë vendore krijojnë shërbime sociale në</w:t>
      </w:r>
      <w:r w:rsidR="0072211B" w:rsidRPr="00DC66CD">
        <w:rPr>
          <w:rFonts w:ascii="Garamond" w:hAnsi="Garamond"/>
          <w:sz w:val="24"/>
          <w:szCs w:val="24"/>
        </w:rPr>
        <w:t xml:space="preserve"> </w:t>
      </w:r>
      <w:r w:rsidRPr="00DC66CD">
        <w:rPr>
          <w:rFonts w:ascii="Garamond" w:hAnsi="Garamond"/>
          <w:sz w:val="24"/>
          <w:szCs w:val="24"/>
        </w:rPr>
        <w:t>territor, duke filluar me një mbështetje në vitin e parë me 90% të financimit, vitin e dytë 60% të financimit, dhe vitin e tretë 30% të financimit, duke synuar që të rritet angazhimi i strukturave lokale për të financuar këto shërbime.</w:t>
      </w:r>
    </w:p>
    <w:p w14:paraId="4DF31B6F" w14:textId="40BAB9E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Matja e varfërisë me fokus grupet vulnerabël mbetet një sfidë. Të dhënat mbi standardin e jetesës duhet të adresohen në politikë bërje. Matja dhe monitorimi i përfshirjes sociale përmes të dhënave, IPMG dhe INSTAT</w:t>
      </w:r>
      <w:r w:rsidR="00037571" w:rsidRPr="00DC66CD">
        <w:rPr>
          <w:rFonts w:ascii="Garamond" w:hAnsi="Garamond"/>
          <w:sz w:val="24"/>
          <w:szCs w:val="24"/>
        </w:rPr>
        <w:t>,</w:t>
      </w:r>
      <w:r w:rsidRPr="00DC66CD">
        <w:rPr>
          <w:rFonts w:ascii="Garamond" w:hAnsi="Garamond"/>
          <w:sz w:val="24"/>
          <w:szCs w:val="24"/>
        </w:rPr>
        <w:t xml:space="preserve"> janë të rëndësishme për të adresuar objektivat e qeverisë për përfshirjen sociale të grupeve vulnerabël në nivel ndër sektorial. Kjo është e rëndësishme n</w:t>
      </w:r>
      <w:r w:rsidR="00037571" w:rsidRPr="00DC66CD">
        <w:rPr>
          <w:rFonts w:ascii="Garamond" w:hAnsi="Garamond"/>
          <w:sz w:val="24"/>
          <w:szCs w:val="24"/>
        </w:rPr>
        <w:t>ë rishikimin e strategjive ndër</w:t>
      </w:r>
      <w:r w:rsidRPr="00DC66CD">
        <w:rPr>
          <w:rFonts w:ascii="Garamond" w:hAnsi="Garamond"/>
          <w:sz w:val="24"/>
          <w:szCs w:val="24"/>
        </w:rPr>
        <w:t>sektoriale dhe planeve të veprimit për barazinë gjinore, kategoritë LGBTI, komunitetin rom dhe egjiptian, për të përmirësuar mbledhjen e të dhënave dhe bashkëpunimin e qeverisë qendrore dhe lokale. Analiza e shërbimeve dhe zhvillimi i planeve të shërbimeve sociale në njësitë e qeverisjes vendore, në një mënyrë gjithëpërfshirëse është e nevojshme për të targetuar vulnerabël. Të dhënat e AANJ</w:t>
      </w:r>
      <w:r w:rsidR="00037571" w:rsidRPr="00DC66CD">
        <w:rPr>
          <w:rFonts w:ascii="Garamond" w:hAnsi="Garamond"/>
          <w:sz w:val="24"/>
          <w:szCs w:val="24"/>
        </w:rPr>
        <w:t>-së</w:t>
      </w:r>
      <w:r w:rsidRPr="00DC66CD">
        <w:rPr>
          <w:rFonts w:ascii="Garamond" w:hAnsi="Garamond"/>
          <w:sz w:val="24"/>
          <w:szCs w:val="24"/>
        </w:rPr>
        <w:t xml:space="preserve"> janë të dobishme për të adresuar në nivel kombëtar shkaqet dhe efektet e varfërisë dhe reflektohen në kontekstin strategjik për Planin e Veprimit për Personat me Aftësi të Kufizuara</w:t>
      </w:r>
      <w:r w:rsidR="00037571" w:rsidRPr="00DC66CD">
        <w:rPr>
          <w:rFonts w:ascii="Garamond" w:hAnsi="Garamond"/>
          <w:sz w:val="24"/>
          <w:szCs w:val="24"/>
        </w:rPr>
        <w:t>,</w:t>
      </w:r>
      <w:r w:rsidRPr="00DC66CD">
        <w:rPr>
          <w:rFonts w:ascii="Garamond" w:hAnsi="Garamond"/>
          <w:sz w:val="24"/>
          <w:szCs w:val="24"/>
        </w:rPr>
        <w:t xml:space="preserve"> si dhe politikën e mbrojtjes së fëmijëve ose individëve që janë të rrezikuar nga varfëria.</w:t>
      </w:r>
    </w:p>
    <w:p w14:paraId="2809270E" w14:textId="484F2E77" w:rsidR="006F605B" w:rsidRPr="00DC66CD" w:rsidRDefault="00131DA1" w:rsidP="00131DA1">
      <w:pPr>
        <w:pStyle w:val="Heading4"/>
        <w:keepNext w:val="0"/>
        <w:keepLines w:val="0"/>
        <w:widowControl w:val="0"/>
        <w:snapToGrid w:val="0"/>
        <w:spacing w:before="0" w:line="240" w:lineRule="auto"/>
        <w:ind w:left="284"/>
        <w:rPr>
          <w:rFonts w:ascii="Garamond" w:hAnsi="Garamond"/>
          <w:b w:val="0"/>
          <w:color w:val="auto"/>
          <w:sz w:val="24"/>
          <w:szCs w:val="24"/>
        </w:rPr>
      </w:pPr>
      <w:r w:rsidRPr="00DC66CD">
        <w:rPr>
          <w:rFonts w:ascii="Garamond" w:hAnsi="Garamond"/>
          <w:b w:val="0"/>
          <w:color w:val="auto"/>
          <w:sz w:val="24"/>
          <w:szCs w:val="24"/>
        </w:rPr>
        <w:t xml:space="preserve">b) </w:t>
      </w:r>
      <w:r w:rsidR="006F605B" w:rsidRPr="00DC66CD">
        <w:rPr>
          <w:rFonts w:ascii="Garamond" w:hAnsi="Garamond"/>
          <w:b w:val="0"/>
          <w:color w:val="auto"/>
          <w:sz w:val="24"/>
          <w:szCs w:val="24"/>
        </w:rPr>
        <w:t>Masat e reformave</w:t>
      </w:r>
    </w:p>
    <w:p w14:paraId="022C0043" w14:textId="77777777" w:rsidR="006F605B" w:rsidRPr="00DC66CD" w:rsidRDefault="006F605B" w:rsidP="006F605B">
      <w:pPr>
        <w:pStyle w:val="Heading5"/>
        <w:snapToGrid w:val="0"/>
        <w:spacing w:before="0" w:line="240" w:lineRule="auto"/>
        <w:ind w:firstLine="284"/>
        <w:rPr>
          <w:rFonts w:ascii="Garamond" w:hAnsi="Garamond"/>
          <w:i/>
          <w:color w:val="auto"/>
          <w:sz w:val="24"/>
          <w:szCs w:val="24"/>
        </w:rPr>
      </w:pPr>
      <w:r w:rsidRPr="00DC66CD">
        <w:rPr>
          <w:rFonts w:ascii="Garamond" w:hAnsi="Garamond"/>
          <w:i/>
          <w:color w:val="auto"/>
          <w:sz w:val="24"/>
          <w:szCs w:val="24"/>
        </w:rPr>
        <w:t>Reforma 19: Fuqizimi i mbrojtjes sociale, dhe masat e përfshirjes sociale</w:t>
      </w:r>
    </w:p>
    <w:p w14:paraId="6D12A8FC" w14:textId="0EFD423B" w:rsidR="006F605B" w:rsidRPr="00DC66CD" w:rsidRDefault="00131DA1" w:rsidP="00131DA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1. </w:t>
      </w:r>
      <w:r w:rsidR="006F605B" w:rsidRPr="00DC66CD">
        <w:rPr>
          <w:rFonts w:ascii="Garamond" w:hAnsi="Garamond"/>
          <w:color w:val="auto"/>
          <w:sz w:val="24"/>
          <w:szCs w:val="24"/>
        </w:rPr>
        <w:t>Përshkrimi</w:t>
      </w:r>
    </w:p>
    <w:p w14:paraId="7FE9B08D" w14:textId="26F842FA"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Qëllimi i përgjithshëm i kësaj mase është të targetojë individët më të varfër përmes pagesave dhe shërbimeve të integruara sociale dhe me ndërhyrje sociale nëpërmjet mekanizmave financiarë. Përmirësimi i monitorimit, vlerësimit dhe ngritjes së kapaciteteve në strukturat lokale, rajonale dhe qendrore është parakushti për të fuqizuar grupet/personat në nevojë. Në fushën e përfshirjes dhe mbrojtjes sociale.</w:t>
      </w:r>
    </w:p>
    <w:p w14:paraId="4326FC72" w14:textId="2E7D596F"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Buxheti për</w:t>
      </w:r>
      <w:r w:rsidR="0072211B" w:rsidRPr="00DC66CD">
        <w:rPr>
          <w:rFonts w:ascii="Garamond" w:hAnsi="Garamond"/>
          <w:sz w:val="24"/>
          <w:szCs w:val="24"/>
        </w:rPr>
        <w:t xml:space="preserve"> </w:t>
      </w:r>
      <w:r w:rsidRPr="00DC66CD">
        <w:rPr>
          <w:rFonts w:ascii="Garamond" w:hAnsi="Garamond"/>
          <w:sz w:val="24"/>
          <w:szCs w:val="24"/>
        </w:rPr>
        <w:t>mbrojtjen sociale përbënte 9.1 për</w:t>
      </w:r>
      <w:r w:rsidR="004F4E33" w:rsidRPr="00DC66CD">
        <w:rPr>
          <w:rFonts w:ascii="Garamond" w:hAnsi="Garamond"/>
          <w:sz w:val="24"/>
          <w:szCs w:val="24"/>
        </w:rPr>
        <w:t xml:space="preserve"> </w:t>
      </w:r>
      <w:r w:rsidRPr="00DC66CD">
        <w:rPr>
          <w:rFonts w:ascii="Garamond" w:hAnsi="Garamond"/>
          <w:sz w:val="24"/>
          <w:szCs w:val="24"/>
        </w:rPr>
        <w:t>qind nga buxheti i vitit 2017,</w:t>
      </w:r>
      <w:r w:rsidR="004F4E33" w:rsidRPr="00DC66CD">
        <w:rPr>
          <w:rFonts w:ascii="Garamond" w:hAnsi="Garamond"/>
          <w:sz w:val="24"/>
          <w:szCs w:val="24"/>
        </w:rPr>
        <w:t xml:space="preserve"> </w:t>
      </w:r>
      <w:r w:rsidRPr="00DC66CD">
        <w:rPr>
          <w:rFonts w:ascii="Garamond" w:hAnsi="Garamond"/>
          <w:sz w:val="24"/>
          <w:szCs w:val="24"/>
        </w:rPr>
        <w:t>krahasuar me 8.9 për</w:t>
      </w:r>
      <w:r w:rsidR="004F4E33" w:rsidRPr="00DC66CD">
        <w:rPr>
          <w:rFonts w:ascii="Garamond" w:hAnsi="Garamond"/>
          <w:sz w:val="24"/>
          <w:szCs w:val="24"/>
        </w:rPr>
        <w:t xml:space="preserve"> </w:t>
      </w:r>
      <w:r w:rsidRPr="00DC66CD">
        <w:rPr>
          <w:rFonts w:ascii="Garamond" w:hAnsi="Garamond"/>
          <w:sz w:val="24"/>
          <w:szCs w:val="24"/>
        </w:rPr>
        <w:t>qind në vitin e mëparshëm. Profilet e individëve në nevojë janë të ndrys</w:t>
      </w:r>
      <w:r w:rsidR="00037571" w:rsidRPr="00DC66CD">
        <w:rPr>
          <w:rFonts w:ascii="Garamond" w:hAnsi="Garamond"/>
          <w:sz w:val="24"/>
          <w:szCs w:val="24"/>
        </w:rPr>
        <w:t>hëm në zonat urbane dhe rurale</w:t>
      </w:r>
      <w:r w:rsidRPr="00DC66CD">
        <w:rPr>
          <w:rFonts w:ascii="Garamond" w:hAnsi="Garamond"/>
          <w:sz w:val="24"/>
          <w:szCs w:val="24"/>
        </w:rPr>
        <w:t xml:space="preserve"> dhe sipas kategorive</w:t>
      </w:r>
      <w:r w:rsidR="00037571" w:rsidRPr="00DC66CD">
        <w:rPr>
          <w:rFonts w:ascii="Garamond" w:hAnsi="Garamond"/>
          <w:sz w:val="24"/>
          <w:szCs w:val="24"/>
        </w:rPr>
        <w:t>,</w:t>
      </w:r>
      <w:r w:rsidRPr="00DC66CD">
        <w:rPr>
          <w:rFonts w:ascii="Garamond" w:hAnsi="Garamond"/>
          <w:sz w:val="24"/>
          <w:szCs w:val="24"/>
        </w:rPr>
        <w:t xml:space="preserve"> si gratë dhe të rinjtë në nevojë, personat me aftësi të kufizuara dhe romët dhe </w:t>
      </w:r>
      <w:r w:rsidR="00037571" w:rsidRPr="00DC66CD">
        <w:rPr>
          <w:rFonts w:ascii="Garamond" w:hAnsi="Garamond"/>
          <w:sz w:val="24"/>
          <w:szCs w:val="24"/>
        </w:rPr>
        <w:t xml:space="preserve">komuniteti </w:t>
      </w:r>
      <w:r w:rsidRPr="00DC66CD">
        <w:rPr>
          <w:rFonts w:ascii="Garamond" w:hAnsi="Garamond"/>
          <w:sz w:val="24"/>
          <w:szCs w:val="24"/>
        </w:rPr>
        <w:t xml:space="preserve">egjiptian. Ligji </w:t>
      </w:r>
      <w:r w:rsidR="004F4E33" w:rsidRPr="00DC66CD">
        <w:rPr>
          <w:rFonts w:ascii="Garamond" w:hAnsi="Garamond"/>
          <w:sz w:val="24"/>
          <w:szCs w:val="24"/>
        </w:rPr>
        <w:t>nr</w:t>
      </w:r>
      <w:r w:rsidRPr="00DC66CD">
        <w:rPr>
          <w:rFonts w:ascii="Garamond" w:hAnsi="Garamond"/>
          <w:sz w:val="24"/>
          <w:szCs w:val="24"/>
        </w:rPr>
        <w:t>.</w:t>
      </w:r>
      <w:r w:rsidR="004F4E33" w:rsidRPr="00DC66CD">
        <w:rPr>
          <w:rFonts w:ascii="Garamond" w:hAnsi="Garamond"/>
          <w:sz w:val="24"/>
          <w:szCs w:val="24"/>
        </w:rPr>
        <w:t xml:space="preserve"> </w:t>
      </w:r>
      <w:r w:rsidRPr="00DC66CD">
        <w:rPr>
          <w:rFonts w:ascii="Garamond" w:hAnsi="Garamond"/>
          <w:sz w:val="24"/>
          <w:szCs w:val="24"/>
        </w:rPr>
        <w:t>57.2019</w:t>
      </w:r>
      <w:r w:rsidR="004F4E33" w:rsidRPr="00DC66CD">
        <w:rPr>
          <w:rFonts w:ascii="Garamond" w:hAnsi="Garamond"/>
          <w:sz w:val="24"/>
          <w:szCs w:val="24"/>
        </w:rPr>
        <w:t>,</w:t>
      </w:r>
      <w:r w:rsidRPr="00DC66CD">
        <w:rPr>
          <w:rFonts w:ascii="Garamond" w:hAnsi="Garamond"/>
          <w:sz w:val="24"/>
          <w:szCs w:val="24"/>
        </w:rPr>
        <w:t xml:space="preserve"> </w:t>
      </w:r>
      <w:r w:rsidR="002A29AD" w:rsidRPr="00DC66CD">
        <w:rPr>
          <w:rFonts w:ascii="Garamond" w:hAnsi="Garamond"/>
          <w:sz w:val="24"/>
          <w:szCs w:val="24"/>
        </w:rPr>
        <w:t>“</w:t>
      </w:r>
      <w:r w:rsidRPr="00DC66CD">
        <w:rPr>
          <w:rFonts w:ascii="Garamond" w:hAnsi="Garamond"/>
          <w:sz w:val="24"/>
          <w:szCs w:val="24"/>
        </w:rPr>
        <w:t>Për asistencën sociale</w:t>
      </w:r>
      <w:r w:rsidR="002A29AD" w:rsidRPr="00DC66CD">
        <w:rPr>
          <w:rFonts w:ascii="Garamond" w:hAnsi="Garamond"/>
          <w:sz w:val="24"/>
          <w:szCs w:val="24"/>
        </w:rPr>
        <w:t>”</w:t>
      </w:r>
      <w:r w:rsidRPr="00DC66CD">
        <w:rPr>
          <w:rFonts w:ascii="Garamond" w:hAnsi="Garamond"/>
          <w:sz w:val="24"/>
          <w:szCs w:val="24"/>
        </w:rPr>
        <w:t xml:space="preserve"> miratuar së fundmi përcakton përfitimet për aftësinë e kufizuar; për individët dhe familjet në nevojë të cilët nuk mund të sigurojnë minimumin e jetesës; uljen e varfërisë dhe mbrojtjen sociale përmes ndërhyrjeve sistemike dhe shërbimeve për përmirësimin e jetesës dhe ndihmës sociale të menjëhershme financiare për foshnjat e porsalindura.</w:t>
      </w:r>
    </w:p>
    <w:p w14:paraId="49AF788E" w14:textId="0BC36710"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Ndërhyrjet konkrete synojnë të përmirësojnë standardet e ofrimit të shërbimeve ekzistuese të kujdesit shoqëror; </w:t>
      </w:r>
      <w:r w:rsidR="004F4E33" w:rsidRPr="00DC66CD">
        <w:rPr>
          <w:rFonts w:ascii="Garamond" w:hAnsi="Garamond"/>
          <w:sz w:val="24"/>
          <w:szCs w:val="24"/>
        </w:rPr>
        <w:t>planifikimin</w:t>
      </w:r>
      <w:r w:rsidRPr="00DC66CD">
        <w:rPr>
          <w:rFonts w:ascii="Garamond" w:hAnsi="Garamond"/>
          <w:sz w:val="24"/>
          <w:szCs w:val="24"/>
        </w:rPr>
        <w:t xml:space="preserve"> dhe krijimin e shërbimeve të reja që mungojnë dhe zhvillimin e politikave sociale në nivel qendror dhe lokal. Ndërhyrje e tillë është fondi social, një mekanizëm financiar që ofron mbështetje financiare për njësitë e vetëqeverisjes vendore. Bazuar në Planin Social të Bashkisë dhe metodologjinë e financimit, shërbimet sociale në territor duhet të jenë në përputhje me nevojat e kategorive të veçanta, por edhe</w:t>
      </w:r>
      <w:r w:rsidR="0072211B" w:rsidRPr="00DC66CD">
        <w:rPr>
          <w:rFonts w:ascii="Garamond" w:hAnsi="Garamond"/>
          <w:sz w:val="24"/>
          <w:szCs w:val="24"/>
        </w:rPr>
        <w:t xml:space="preserve"> </w:t>
      </w:r>
      <w:r w:rsidRPr="00DC66CD">
        <w:rPr>
          <w:rFonts w:ascii="Garamond" w:hAnsi="Garamond"/>
          <w:sz w:val="24"/>
          <w:szCs w:val="24"/>
        </w:rPr>
        <w:t xml:space="preserve">me qasjen e integruar me masa aktivizuese. Përfituesit e ndihmës ekonomike ose personat me aftësi të kufizuara janë dy kategori të rëndësishme në </w:t>
      </w:r>
      <w:r w:rsidR="00037571" w:rsidRPr="00DC66CD">
        <w:rPr>
          <w:rFonts w:ascii="Garamond" w:hAnsi="Garamond"/>
          <w:sz w:val="24"/>
          <w:szCs w:val="24"/>
        </w:rPr>
        <w:t xml:space="preserve">planin social </w:t>
      </w:r>
      <w:r w:rsidRPr="00DC66CD">
        <w:rPr>
          <w:rFonts w:ascii="Garamond" w:hAnsi="Garamond"/>
          <w:sz w:val="24"/>
          <w:szCs w:val="24"/>
        </w:rPr>
        <w:t>të njësisë vendore.</w:t>
      </w:r>
    </w:p>
    <w:p w14:paraId="6BB0C2F0" w14:textId="77777777"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Qeveria vendore pritet të mbështesë me bashkëpunim dhe partneritet qëndrueshmërinë e këtyre shërbimeve të qëndrueshme. Raundi i parë i procesit të vlerësimit të kërkesave dhe nevojave rezultoi në 14 shërbime të reja komunat që përfitojnë nga Fondi Social.</w:t>
      </w:r>
    </w:p>
    <w:p w14:paraId="77336BD8" w14:textId="62559A04" w:rsidR="006F605B" w:rsidRPr="00DC66CD" w:rsidRDefault="006F605B" w:rsidP="006F605B">
      <w:pPr>
        <w:spacing w:after="0" w:line="240" w:lineRule="auto"/>
        <w:ind w:firstLine="284"/>
        <w:jc w:val="both"/>
        <w:rPr>
          <w:rFonts w:ascii="Garamond" w:hAnsi="Garamond"/>
          <w:sz w:val="24"/>
          <w:szCs w:val="24"/>
        </w:rPr>
      </w:pPr>
      <w:r w:rsidRPr="00DC66CD">
        <w:rPr>
          <w:rFonts w:ascii="Garamond" w:hAnsi="Garamond"/>
          <w:sz w:val="24"/>
          <w:szCs w:val="24"/>
        </w:rPr>
        <w:t>Një lloj tjetër i mbështetjes për njerëzit nga grupet e pafavorizuara përmes punësimit në ndërmarrjet shoqërore është zbatimi i legjislacionit për ndërmarrjet shoqërore dhe akteve nënligjore, si një mjet për riintegrimin e personave nga grupet e cenueshme.</w:t>
      </w:r>
      <w:r w:rsidRPr="00DC66CD">
        <w:rPr>
          <w:rFonts w:ascii="Garamond" w:hAnsi="Garamond"/>
          <w:sz w:val="24"/>
          <w:szCs w:val="24"/>
          <w:vertAlign w:val="superscript"/>
        </w:rPr>
        <w:footnoteReference w:id="36"/>
      </w:r>
    </w:p>
    <w:p w14:paraId="0ABD24A6" w14:textId="4EA37BD9"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Ndikimi i varfërisë dhe shkaqeve të identifikuara në nivel vendor pasqyrohet nga sistemi elektronik (MIS) për ndihmë ekonomike dhe verifikimi i përfituesve të ndihmës ekonomike. Nga ana tjetër, problemet sociale duhet të adresohen bazuar në nevoja specifike në zonat urbane dhe rurale dhe bazuar në profilin e varfërisë sipas AANJ</w:t>
      </w:r>
      <w:r w:rsidR="00037571" w:rsidRPr="00DC66CD">
        <w:rPr>
          <w:rFonts w:ascii="Garamond" w:hAnsi="Garamond"/>
          <w:sz w:val="24"/>
          <w:szCs w:val="24"/>
        </w:rPr>
        <w:t>-së</w:t>
      </w:r>
      <w:r w:rsidRPr="00DC66CD">
        <w:rPr>
          <w:rFonts w:ascii="Garamond" w:hAnsi="Garamond"/>
          <w:sz w:val="24"/>
          <w:szCs w:val="24"/>
        </w:rPr>
        <w:t>. Harta e varfërisë përcakton kërkesat për instrumentet e reja financiare, administrative dhe legjislative që do të krijojnë një sistem gjithëpërfshirës të mekanizmave të monitorim.</w:t>
      </w:r>
    </w:p>
    <w:p w14:paraId="7A6AAD4F" w14:textId="50774404" w:rsidR="006F605B" w:rsidRPr="00DC66CD" w:rsidRDefault="00131DA1" w:rsidP="00131DA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2. </w:t>
      </w:r>
      <w:r w:rsidR="006F605B" w:rsidRPr="00DC66CD">
        <w:rPr>
          <w:rFonts w:ascii="Garamond" w:hAnsi="Garamond"/>
          <w:color w:val="auto"/>
          <w:sz w:val="24"/>
          <w:szCs w:val="24"/>
        </w:rPr>
        <w:t>Aktivitetet e planifikuara</w:t>
      </w:r>
    </w:p>
    <w:p w14:paraId="69879620" w14:textId="2E541D9E" w:rsidR="006F605B" w:rsidRPr="00DC66CD" w:rsidRDefault="00131DA1" w:rsidP="00131DA1">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a) </w:t>
      </w:r>
      <w:r w:rsidR="006F605B" w:rsidRPr="00DC66CD">
        <w:rPr>
          <w:rFonts w:ascii="Garamond" w:hAnsi="Garamond" w:cs="Times New Roman"/>
          <w:b/>
          <w:sz w:val="24"/>
          <w:szCs w:val="24"/>
        </w:rPr>
        <w:t>Aktivitetet e planifikuara</w:t>
      </w:r>
      <w:r w:rsidR="00564551" w:rsidRPr="00DC66CD">
        <w:rPr>
          <w:rFonts w:ascii="Garamond" w:hAnsi="Garamond" w:cs="Times New Roman"/>
          <w:b/>
          <w:sz w:val="24"/>
          <w:szCs w:val="24"/>
        </w:rPr>
        <w:t xml:space="preserve"> më 2020</w:t>
      </w:r>
      <w:r w:rsidR="00381428" w:rsidRPr="00DC66CD">
        <w:rPr>
          <w:rFonts w:ascii="Garamond" w:hAnsi="Garamond" w:cs="Times New Roman"/>
          <w:b/>
          <w:sz w:val="24"/>
          <w:szCs w:val="24"/>
        </w:rPr>
        <w:t>-ën:</w:t>
      </w:r>
    </w:p>
    <w:p w14:paraId="11972F28" w14:textId="28A2E8F9" w:rsidR="006F605B" w:rsidRPr="00DC66CD" w:rsidRDefault="00131DA1" w:rsidP="00131DA1">
      <w:pPr>
        <w:pStyle w:val="TEKSTIIII"/>
      </w:pPr>
      <w:r w:rsidRPr="00DC66CD">
        <w:t>-</w:t>
      </w:r>
      <w:r w:rsidR="004F4E33" w:rsidRPr="00DC66CD">
        <w:t xml:space="preserve"> t</w:t>
      </w:r>
      <w:r w:rsidR="006F605B" w:rsidRPr="00DC66CD">
        <w:t xml:space="preserve">argetim i përmirësuar në skemën e ndihmës ekonomike dhe pagesa </w:t>
      </w:r>
      <w:r w:rsidR="006F605B" w:rsidRPr="00DC66CD">
        <w:rPr>
          <w:i/>
        </w:rPr>
        <w:t>cash</w:t>
      </w:r>
      <w:r w:rsidR="006F605B" w:rsidRPr="00DC66CD">
        <w:t xml:space="preserve"> për AK</w:t>
      </w:r>
      <w:r w:rsidR="00381428" w:rsidRPr="00DC66CD">
        <w:t>-në</w:t>
      </w:r>
      <w:r w:rsidR="006F605B" w:rsidRPr="00DC66CD">
        <w:t xml:space="preserve"> të kombinuara me shërbime;</w:t>
      </w:r>
    </w:p>
    <w:p w14:paraId="6FF8C9BA" w14:textId="29C138AB" w:rsidR="006F605B" w:rsidRPr="00DC66CD" w:rsidRDefault="00131DA1" w:rsidP="00131DA1">
      <w:pPr>
        <w:pStyle w:val="TEKSTIIII"/>
      </w:pPr>
      <w:r w:rsidRPr="00DC66CD">
        <w:t>-</w:t>
      </w:r>
      <w:r w:rsidR="004F4E33" w:rsidRPr="00DC66CD">
        <w:t xml:space="preserve"> m</w:t>
      </w:r>
      <w:r w:rsidR="006F605B" w:rsidRPr="00DC66CD">
        <w:t>bështetja e individëve të disavantazhuar, veçanërisht përfituesit e ndihmës ekonomike dhe personat me aftësi të kufizuara drejt punësimit në ndërmarrjet sociale;</w:t>
      </w:r>
    </w:p>
    <w:p w14:paraId="365FC740" w14:textId="6E75CAD9" w:rsidR="006F605B" w:rsidRPr="00DC66CD" w:rsidRDefault="00131DA1" w:rsidP="00131DA1">
      <w:pPr>
        <w:pStyle w:val="TEKSTIIII"/>
      </w:pPr>
      <w:r w:rsidRPr="00DC66CD">
        <w:t>-</w:t>
      </w:r>
      <w:r w:rsidR="004F4E33" w:rsidRPr="00DC66CD">
        <w:t xml:space="preserve"> n</w:t>
      </w:r>
      <w:r w:rsidR="006F605B" w:rsidRPr="00DC66CD">
        <w:t>dërtimi i kapaciteteve të bashkive për të përfituar nga fondi social. Monitorimi i treguesve të përfshirjes sociale përmes të dhënave të përmirësuara në Planet Kombëtare të Veprimit;</w:t>
      </w:r>
    </w:p>
    <w:p w14:paraId="136BC4A2" w14:textId="1F27FD7B" w:rsidR="006F605B" w:rsidRPr="00DC66CD" w:rsidRDefault="00131DA1" w:rsidP="00131DA1">
      <w:pPr>
        <w:pStyle w:val="TEKSTIIII"/>
      </w:pPr>
      <w:r w:rsidRPr="00DC66CD">
        <w:t>-</w:t>
      </w:r>
      <w:r w:rsidR="004F4E33" w:rsidRPr="00DC66CD">
        <w:t xml:space="preserve"> p</w:t>
      </w:r>
      <w:r w:rsidR="006F605B" w:rsidRPr="00DC66CD">
        <w:t>ërmirësimi i treguesve për matjen e përfshirjes sociale dhe varfërisë.</w:t>
      </w:r>
    </w:p>
    <w:p w14:paraId="28634149" w14:textId="0CD04E2F" w:rsidR="006F605B" w:rsidRPr="00DC66CD" w:rsidRDefault="00131DA1" w:rsidP="00131DA1">
      <w:pPr>
        <w:pStyle w:val="ListParagraph"/>
        <w:widowControl w:val="0"/>
        <w:snapToGrid w:val="0"/>
        <w:spacing w:after="0" w:line="240" w:lineRule="auto"/>
        <w:ind w:left="284"/>
        <w:contextualSpacing w:val="0"/>
        <w:jc w:val="both"/>
        <w:rPr>
          <w:rFonts w:ascii="Garamond" w:hAnsi="Garamond" w:cs="Times New Roman"/>
          <w:b/>
          <w:sz w:val="24"/>
          <w:szCs w:val="24"/>
        </w:rPr>
      </w:pPr>
      <w:r w:rsidRPr="00DC66CD">
        <w:rPr>
          <w:rFonts w:ascii="Garamond" w:hAnsi="Garamond" w:cs="Times New Roman"/>
          <w:b/>
          <w:sz w:val="24"/>
          <w:szCs w:val="24"/>
        </w:rPr>
        <w:t xml:space="preserve">b) </w:t>
      </w:r>
      <w:r w:rsidR="006F605B" w:rsidRPr="00DC66CD">
        <w:rPr>
          <w:rFonts w:ascii="Garamond" w:hAnsi="Garamond" w:cs="Times New Roman"/>
          <w:b/>
          <w:sz w:val="24"/>
          <w:szCs w:val="24"/>
        </w:rPr>
        <w:t>Aktivitetet e planifikuara</w:t>
      </w:r>
      <w:r w:rsidR="00F85068" w:rsidRPr="00DC66CD">
        <w:rPr>
          <w:rFonts w:ascii="Garamond" w:hAnsi="Garamond" w:cs="Times New Roman"/>
          <w:b/>
          <w:sz w:val="24"/>
          <w:szCs w:val="24"/>
        </w:rPr>
        <w:t xml:space="preserve"> më 2021</w:t>
      </w:r>
      <w:r w:rsidR="00381428" w:rsidRPr="00DC66CD">
        <w:rPr>
          <w:rFonts w:ascii="Garamond" w:hAnsi="Garamond" w:cs="Times New Roman"/>
          <w:b/>
          <w:sz w:val="24"/>
          <w:szCs w:val="24"/>
        </w:rPr>
        <w:t>-shin:</w:t>
      </w:r>
    </w:p>
    <w:p w14:paraId="02CC5D79" w14:textId="6C01073E" w:rsidR="006F605B" w:rsidRPr="00DC66CD" w:rsidRDefault="00131DA1" w:rsidP="00131DA1">
      <w:pPr>
        <w:pStyle w:val="TEKSTIIII"/>
      </w:pPr>
      <w:r w:rsidRPr="00DC66CD">
        <w:t>-</w:t>
      </w:r>
      <w:r w:rsidR="004F4E33" w:rsidRPr="00DC66CD">
        <w:t xml:space="preserve"> i</w:t>
      </w:r>
      <w:r w:rsidR="006F605B" w:rsidRPr="00DC66CD">
        <w:t>mplementimi i skemës së re të vlerësimit dhe programeve të riintegrimit shoqëror për të reduktuar numrin e familjeve dhe individëve në nevojë që përfitojnë nga skema e ndihmës ekonomike nga 70,000 familje aktualisht në 68.800</w:t>
      </w:r>
      <w:r w:rsidR="00F85068" w:rsidRPr="00DC66CD">
        <w:t xml:space="preserve"> më 2021</w:t>
      </w:r>
      <w:r w:rsidR="00381428" w:rsidRPr="00DC66CD">
        <w:t>-shin</w:t>
      </w:r>
      <w:r w:rsidR="006F605B" w:rsidRPr="00DC66CD">
        <w:t>;</w:t>
      </w:r>
    </w:p>
    <w:p w14:paraId="752A9729" w14:textId="5A05DADF" w:rsidR="006F605B" w:rsidRPr="00DC66CD" w:rsidRDefault="00131DA1" w:rsidP="00131DA1">
      <w:pPr>
        <w:pStyle w:val="TEKSTIIII"/>
      </w:pPr>
      <w:r w:rsidRPr="00DC66CD">
        <w:t>-</w:t>
      </w:r>
      <w:r w:rsidR="004F4E33" w:rsidRPr="00DC66CD">
        <w:t xml:space="preserve"> i</w:t>
      </w:r>
      <w:r w:rsidR="006F605B" w:rsidRPr="00DC66CD">
        <w:t>mplementimi i skemës së vlerësimit biopsikosocial për të mbështetur personat me aftës</w:t>
      </w:r>
      <w:r w:rsidR="00381428" w:rsidRPr="00DC66CD">
        <w:t xml:space="preserve">i të kufizuara me mbështetje </w:t>
      </w:r>
      <w:r w:rsidR="006F605B" w:rsidRPr="00DC66CD">
        <w:t>financiare dhe përkujdes shoqëror;</w:t>
      </w:r>
    </w:p>
    <w:p w14:paraId="7DF6068A" w14:textId="29B754C7" w:rsidR="006F605B" w:rsidRPr="00DC66CD" w:rsidRDefault="00131DA1" w:rsidP="00131DA1">
      <w:pPr>
        <w:pStyle w:val="TEKSTIIII"/>
      </w:pPr>
      <w:r w:rsidRPr="00DC66CD">
        <w:t>-</w:t>
      </w:r>
      <w:r w:rsidR="004F4E33" w:rsidRPr="00DC66CD">
        <w:t xml:space="preserve"> m</w:t>
      </w:r>
      <w:r w:rsidR="006F605B" w:rsidRPr="00DC66CD">
        <w:t>bështetja e individëve të disavantazhuar, veçanërisht përfituesve e ndihmës ekonomike dhe personat me aftësi të kufizuara drejt punësimit në ndërmarrjet sociale;</w:t>
      </w:r>
    </w:p>
    <w:p w14:paraId="6265DCA2" w14:textId="793C0FD6" w:rsidR="006F605B" w:rsidRPr="00DC66CD" w:rsidRDefault="00131DA1" w:rsidP="00131DA1">
      <w:pPr>
        <w:pStyle w:val="TEKSTIIII"/>
      </w:pPr>
      <w:r w:rsidRPr="00DC66CD">
        <w:t>-</w:t>
      </w:r>
      <w:r w:rsidR="004F4E33" w:rsidRPr="00DC66CD">
        <w:t xml:space="preserve"> m</w:t>
      </w:r>
      <w:r w:rsidR="006F605B" w:rsidRPr="00DC66CD">
        <w:t>bështetja e qeverisjes vendore për të hartuar plane sociale;</w:t>
      </w:r>
    </w:p>
    <w:p w14:paraId="78CE2078" w14:textId="2DAA7727" w:rsidR="006F605B" w:rsidRPr="00DC66CD" w:rsidRDefault="00131DA1" w:rsidP="00131DA1">
      <w:pPr>
        <w:pStyle w:val="TEKSTIIII"/>
      </w:pPr>
      <w:r w:rsidRPr="00DC66CD">
        <w:t>-</w:t>
      </w:r>
      <w:r w:rsidR="004F4E33" w:rsidRPr="00DC66CD">
        <w:t xml:space="preserve"> p</w:t>
      </w:r>
      <w:r w:rsidR="006F605B" w:rsidRPr="00DC66CD">
        <w:t>ërmirësimi i treguesve për matjen e përfshirjes sociale dhe varfërisë</w:t>
      </w:r>
      <w:r w:rsidR="00381428" w:rsidRPr="00DC66CD">
        <w:t>,</w:t>
      </w:r>
      <w:r w:rsidR="006F605B" w:rsidRPr="00DC66CD">
        <w:t xml:space="preserve"> në përputhje me standardet e mbledhjes së të dhënave për përfshirjen sociale dhe varfërisë të BE-së.</w:t>
      </w:r>
    </w:p>
    <w:p w14:paraId="16C091D5" w14:textId="057F8A58" w:rsidR="006F605B" w:rsidRPr="00DC66CD" w:rsidRDefault="00131DA1" w:rsidP="00131DA1">
      <w:pPr>
        <w:pStyle w:val="ListParagraph"/>
        <w:widowControl w:val="0"/>
        <w:snapToGrid w:val="0"/>
        <w:spacing w:after="0" w:line="240" w:lineRule="auto"/>
        <w:ind w:left="284"/>
        <w:contextualSpacing w:val="0"/>
        <w:rPr>
          <w:rFonts w:ascii="Garamond" w:hAnsi="Garamond" w:cs="Times New Roman"/>
          <w:b/>
          <w:sz w:val="24"/>
          <w:szCs w:val="24"/>
        </w:rPr>
      </w:pPr>
      <w:r w:rsidRPr="00DC66CD">
        <w:rPr>
          <w:rFonts w:ascii="Garamond" w:hAnsi="Garamond" w:cs="Times New Roman"/>
          <w:b/>
          <w:sz w:val="24"/>
          <w:szCs w:val="24"/>
        </w:rPr>
        <w:t xml:space="preserve">c) </w:t>
      </w:r>
      <w:r w:rsidR="006F605B" w:rsidRPr="00DC66CD">
        <w:rPr>
          <w:rFonts w:ascii="Garamond" w:hAnsi="Garamond" w:cs="Times New Roman"/>
          <w:b/>
          <w:sz w:val="24"/>
          <w:szCs w:val="24"/>
        </w:rPr>
        <w:t>Aktivitetet e planifikuara</w:t>
      </w:r>
      <w:r w:rsidR="00433A3A" w:rsidRPr="00DC66CD">
        <w:rPr>
          <w:rFonts w:ascii="Garamond" w:hAnsi="Garamond" w:cs="Times New Roman"/>
          <w:b/>
          <w:sz w:val="24"/>
          <w:szCs w:val="24"/>
        </w:rPr>
        <w:t xml:space="preserve"> më 2022</w:t>
      </w:r>
      <w:r w:rsidR="00381428" w:rsidRPr="00DC66CD">
        <w:rPr>
          <w:rFonts w:ascii="Garamond" w:hAnsi="Garamond" w:cs="Times New Roman"/>
          <w:b/>
          <w:sz w:val="24"/>
          <w:szCs w:val="24"/>
        </w:rPr>
        <w:t>-shin:</w:t>
      </w:r>
    </w:p>
    <w:p w14:paraId="74A76421" w14:textId="08EB145C" w:rsidR="006F605B" w:rsidRPr="00DC66CD" w:rsidRDefault="00131DA1" w:rsidP="00131DA1">
      <w:pPr>
        <w:pStyle w:val="TEKSTIIII"/>
      </w:pPr>
      <w:r w:rsidRPr="00DC66CD">
        <w:t>-</w:t>
      </w:r>
      <w:r w:rsidR="004F4E33" w:rsidRPr="00DC66CD">
        <w:t xml:space="preserve"> k</w:t>
      </w:r>
      <w:r w:rsidR="00381428" w:rsidRPr="00DC66CD">
        <w:t xml:space="preserve">rijimi i strukturave/i </w:t>
      </w:r>
      <w:r w:rsidR="006F605B" w:rsidRPr="00DC66CD">
        <w:t>njësive të vlerësimit të nevojave dhe kërkesave dhe rritja e aftësisë së stafit vendor për të vlerësuar, planifikuar, shpërndarë dhe monitoruar shërbimet e kujdesit shoqëror;</w:t>
      </w:r>
    </w:p>
    <w:p w14:paraId="54B93854" w14:textId="759182F6" w:rsidR="006F605B" w:rsidRPr="00DC66CD" w:rsidRDefault="00131DA1" w:rsidP="00131DA1">
      <w:pPr>
        <w:pStyle w:val="TEKSTIIII"/>
      </w:pPr>
      <w:r w:rsidRPr="00DC66CD">
        <w:t>-</w:t>
      </w:r>
      <w:r w:rsidR="004F4E33" w:rsidRPr="00DC66CD">
        <w:t xml:space="preserve"> p</w:t>
      </w:r>
      <w:r w:rsidR="006F605B" w:rsidRPr="00DC66CD">
        <w:t>ërmirësimi i ofrimit të shërbimeve sociale me bazë komunitare nga njësitë e qeverisjes vendore për të gjitha kategoritë në nevojë brenda kornizës së Fondit Social;</w:t>
      </w:r>
    </w:p>
    <w:p w14:paraId="60B2CF8C" w14:textId="65F14FDB" w:rsidR="006F605B" w:rsidRPr="00DC66CD" w:rsidRDefault="00131DA1" w:rsidP="00131DA1">
      <w:pPr>
        <w:pStyle w:val="TEKSTIIII"/>
      </w:pPr>
      <w:r w:rsidRPr="00DC66CD">
        <w:t>-</w:t>
      </w:r>
      <w:r w:rsidR="004F4E33" w:rsidRPr="00DC66CD">
        <w:t xml:space="preserve"> p</w:t>
      </w:r>
      <w:r w:rsidR="006F605B" w:rsidRPr="00DC66CD">
        <w:t>unësimi i personave nga kategoritë vulnerabël nga ndërmarrjet shoqërore;</w:t>
      </w:r>
    </w:p>
    <w:p w14:paraId="46D11051" w14:textId="6CD94322" w:rsidR="006F605B" w:rsidRPr="00DC66CD" w:rsidRDefault="00131DA1" w:rsidP="00131DA1">
      <w:pPr>
        <w:pStyle w:val="TEKSTIIII"/>
      </w:pPr>
      <w:r w:rsidRPr="00DC66CD">
        <w:t>-</w:t>
      </w:r>
      <w:r w:rsidR="004F4E33" w:rsidRPr="00DC66CD">
        <w:t xml:space="preserve"> m</w:t>
      </w:r>
      <w:r w:rsidR="006F605B" w:rsidRPr="00DC66CD">
        <w:t>bështetja e individëve të disavantazhuar, veçanërisht përfituesve e ndihmës ekonomike dhe personat me aftësi të kufizuara drejt punësimit në ndërmarrjet sociale;</w:t>
      </w:r>
    </w:p>
    <w:p w14:paraId="5D6BC0D3" w14:textId="3D78BE5A" w:rsidR="006F605B" w:rsidRPr="00DC66CD" w:rsidRDefault="00131DA1" w:rsidP="00131DA1">
      <w:pPr>
        <w:pStyle w:val="TEKSTIIII"/>
      </w:pPr>
      <w:r w:rsidRPr="00DC66CD">
        <w:t>-</w:t>
      </w:r>
      <w:r w:rsidR="004F4E33" w:rsidRPr="00DC66CD">
        <w:t xml:space="preserve"> përmirësimi i treguesve për matjen e përfshirjes sociale dhe varfërisë</w:t>
      </w:r>
      <w:r w:rsidR="00381428" w:rsidRPr="00DC66CD">
        <w:t>,</w:t>
      </w:r>
      <w:r w:rsidR="004F4E33" w:rsidRPr="00DC66CD">
        <w:t xml:space="preserve"> në përputhje me stand</w:t>
      </w:r>
      <w:r w:rsidR="006F605B" w:rsidRPr="00DC66CD">
        <w:t>ardet e mbledhjes së të dhënave për përfshirjen sociale dhe varfërisë të BE-së;</w:t>
      </w:r>
    </w:p>
    <w:p w14:paraId="09D150D9" w14:textId="5C2B4D9F" w:rsidR="006F605B" w:rsidRPr="00DC66CD" w:rsidRDefault="00131DA1" w:rsidP="00131DA1">
      <w:pPr>
        <w:pStyle w:val="TEKSTIIII"/>
      </w:pPr>
      <w:r w:rsidRPr="00DC66CD">
        <w:t>-</w:t>
      </w:r>
      <w:r w:rsidR="004F4E33" w:rsidRPr="00DC66CD">
        <w:t xml:space="preserve"> p</w:t>
      </w:r>
      <w:r w:rsidR="006F605B" w:rsidRPr="00DC66CD">
        <w:t>ërmirësimi i treguesve për matjen e përfshirjes sociale dhe varfërisë</w:t>
      </w:r>
      <w:r w:rsidR="00381428" w:rsidRPr="00DC66CD">
        <w:t>,</w:t>
      </w:r>
      <w:r w:rsidR="006F605B" w:rsidRPr="00DC66CD">
        <w:t xml:space="preserve"> në përputhje me standardet e mbledhjes së të dhënave për përfshirjen sociale dhe varfërisë të BE-së.</w:t>
      </w:r>
    </w:p>
    <w:p w14:paraId="1D355C46" w14:textId="352071BB" w:rsidR="006F605B" w:rsidRPr="00DC66CD" w:rsidRDefault="00131DA1" w:rsidP="00131DA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3. </w:t>
      </w:r>
      <w:r w:rsidR="006F605B" w:rsidRPr="00DC66CD">
        <w:rPr>
          <w:rFonts w:ascii="Garamond" w:hAnsi="Garamond"/>
          <w:color w:val="auto"/>
          <w:sz w:val="24"/>
          <w:szCs w:val="24"/>
        </w:rPr>
        <w:t>Indikatorët e rezultateve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967"/>
        <w:gridCol w:w="1386"/>
        <w:gridCol w:w="1688"/>
      </w:tblGrid>
      <w:tr w:rsidR="006F605B" w:rsidRPr="00DC66CD" w14:paraId="706F39BF" w14:textId="77777777" w:rsidTr="004F4E33">
        <w:tc>
          <w:tcPr>
            <w:tcW w:w="5524" w:type="dxa"/>
            <w:vAlign w:val="center"/>
          </w:tcPr>
          <w:p w14:paraId="232197F6"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Indikatori</w:t>
            </w:r>
          </w:p>
        </w:tc>
        <w:tc>
          <w:tcPr>
            <w:tcW w:w="992" w:type="dxa"/>
            <w:vAlign w:val="center"/>
          </w:tcPr>
          <w:p w14:paraId="5ACF8A7D"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Bazë (viti)</w:t>
            </w:r>
          </w:p>
        </w:tc>
        <w:tc>
          <w:tcPr>
            <w:tcW w:w="1397" w:type="dxa"/>
            <w:vAlign w:val="center"/>
          </w:tcPr>
          <w:p w14:paraId="6700BA3F" w14:textId="29D8F5D3" w:rsidR="006F605B" w:rsidRPr="00DC66CD" w:rsidRDefault="00C27435"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Objektivi i ndërmjetëm </w:t>
            </w:r>
            <w:r w:rsidR="006F605B" w:rsidRPr="00DC66CD">
              <w:rPr>
                <w:rFonts w:ascii="Garamond" w:hAnsi="Garamond"/>
                <w:b/>
                <w:sz w:val="20"/>
                <w:szCs w:val="20"/>
              </w:rPr>
              <w:t>(viti)</w:t>
            </w:r>
          </w:p>
        </w:tc>
        <w:tc>
          <w:tcPr>
            <w:tcW w:w="1709" w:type="dxa"/>
            <w:vAlign w:val="center"/>
          </w:tcPr>
          <w:p w14:paraId="21F5DEC0"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Objektivi (viti)</w:t>
            </w:r>
          </w:p>
        </w:tc>
      </w:tr>
      <w:tr w:rsidR="006F605B" w:rsidRPr="00DC66CD" w14:paraId="0E456479" w14:textId="77777777" w:rsidTr="00131DA1">
        <w:tc>
          <w:tcPr>
            <w:tcW w:w="5524" w:type="dxa"/>
          </w:tcPr>
          <w:p w14:paraId="760757F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 e përfituesve të ndihmës ekonomike mbi numrin e aplikantëve</w:t>
            </w:r>
          </w:p>
        </w:tc>
        <w:tc>
          <w:tcPr>
            <w:tcW w:w="992" w:type="dxa"/>
          </w:tcPr>
          <w:p w14:paraId="12C650B6"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75%</w:t>
            </w:r>
          </w:p>
        </w:tc>
        <w:tc>
          <w:tcPr>
            <w:tcW w:w="1397" w:type="dxa"/>
          </w:tcPr>
          <w:p w14:paraId="5D130F96"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80%</w:t>
            </w:r>
          </w:p>
        </w:tc>
        <w:tc>
          <w:tcPr>
            <w:tcW w:w="1709" w:type="dxa"/>
          </w:tcPr>
          <w:p w14:paraId="3F49D38B"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95%</w:t>
            </w:r>
          </w:p>
        </w:tc>
      </w:tr>
      <w:tr w:rsidR="006F605B" w:rsidRPr="00DC66CD" w14:paraId="755BE8B8" w14:textId="77777777" w:rsidTr="00131DA1">
        <w:tc>
          <w:tcPr>
            <w:tcW w:w="5524" w:type="dxa"/>
          </w:tcPr>
          <w:p w14:paraId="172C3BC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Numri i personave vulnerabël të punësuar nga ndërmarrjet shoqërore</w:t>
            </w:r>
          </w:p>
        </w:tc>
        <w:tc>
          <w:tcPr>
            <w:tcW w:w="992" w:type="dxa"/>
          </w:tcPr>
          <w:p w14:paraId="16FE9950"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N/A</w:t>
            </w:r>
          </w:p>
        </w:tc>
        <w:tc>
          <w:tcPr>
            <w:tcW w:w="1397" w:type="dxa"/>
          </w:tcPr>
          <w:p w14:paraId="404C5F3D"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50</w:t>
            </w:r>
          </w:p>
        </w:tc>
        <w:tc>
          <w:tcPr>
            <w:tcW w:w="1709" w:type="dxa"/>
          </w:tcPr>
          <w:p w14:paraId="4CEE8472"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 xml:space="preserve">100 (përmbledhëse) </w:t>
            </w:r>
          </w:p>
        </w:tc>
      </w:tr>
      <w:tr w:rsidR="006F605B" w:rsidRPr="00DC66CD" w14:paraId="1DF4788E" w14:textId="77777777" w:rsidTr="00131DA1">
        <w:tc>
          <w:tcPr>
            <w:tcW w:w="5524" w:type="dxa"/>
          </w:tcPr>
          <w:p w14:paraId="61FBDCD8"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 e personave me aftësi të kufizuara të cilët janë komisionuar përmes sistemit të menaxhimit të informacionit</w:t>
            </w:r>
          </w:p>
        </w:tc>
        <w:tc>
          <w:tcPr>
            <w:tcW w:w="992" w:type="dxa"/>
          </w:tcPr>
          <w:p w14:paraId="16542A01"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57%</w:t>
            </w:r>
          </w:p>
        </w:tc>
        <w:tc>
          <w:tcPr>
            <w:tcW w:w="1397" w:type="dxa"/>
          </w:tcPr>
          <w:p w14:paraId="35DC328B"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70%</w:t>
            </w:r>
          </w:p>
        </w:tc>
        <w:tc>
          <w:tcPr>
            <w:tcW w:w="1709" w:type="dxa"/>
          </w:tcPr>
          <w:p w14:paraId="5B8BD197"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90%</w:t>
            </w:r>
            <w:r w:rsidRPr="00DC66CD">
              <w:rPr>
                <w:rFonts w:ascii="Garamond" w:eastAsiaTheme="minorHAnsi" w:hAnsi="Garamond"/>
                <w:sz w:val="20"/>
                <w:szCs w:val="20"/>
                <w:vertAlign w:val="superscript"/>
              </w:rPr>
              <w:footnoteReference w:id="37"/>
            </w:r>
          </w:p>
        </w:tc>
      </w:tr>
      <w:tr w:rsidR="006F605B" w:rsidRPr="00DC66CD" w14:paraId="63A37ABE" w14:textId="77777777" w:rsidTr="00131DA1">
        <w:tc>
          <w:tcPr>
            <w:tcW w:w="5524" w:type="dxa"/>
          </w:tcPr>
          <w:p w14:paraId="46C1AC3D" w14:textId="588E8F1D"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Shërbime të reja sociale për grupet e disavantazhuara të siguruara nga</w:t>
            </w:r>
            <w:r w:rsidR="0072211B" w:rsidRPr="00DC66CD">
              <w:rPr>
                <w:rFonts w:ascii="Garamond" w:hAnsi="Garamond"/>
                <w:sz w:val="20"/>
                <w:szCs w:val="20"/>
              </w:rPr>
              <w:t xml:space="preserve"> </w:t>
            </w:r>
            <w:r w:rsidRPr="00DC66CD">
              <w:rPr>
                <w:rFonts w:ascii="Garamond" w:hAnsi="Garamond"/>
                <w:sz w:val="20"/>
                <w:szCs w:val="20"/>
              </w:rPr>
              <w:t>njësitë e</w:t>
            </w:r>
            <w:r w:rsidR="00381428" w:rsidRPr="00DC66CD">
              <w:rPr>
                <w:rFonts w:ascii="Garamond" w:hAnsi="Garamond"/>
                <w:sz w:val="20"/>
                <w:szCs w:val="20"/>
              </w:rPr>
              <w:t xml:space="preserve"> </w:t>
            </w:r>
            <w:r w:rsidRPr="00DC66CD">
              <w:rPr>
                <w:rFonts w:ascii="Garamond" w:hAnsi="Garamond"/>
                <w:sz w:val="20"/>
                <w:szCs w:val="20"/>
              </w:rPr>
              <w:t>qeverisjes vendore</w:t>
            </w:r>
            <w:r w:rsidR="00381428" w:rsidRPr="00DC66CD">
              <w:rPr>
                <w:rFonts w:ascii="Garamond" w:hAnsi="Garamond"/>
                <w:sz w:val="20"/>
                <w:szCs w:val="20"/>
              </w:rPr>
              <w:t>,</w:t>
            </w:r>
            <w:r w:rsidRPr="00DC66CD">
              <w:rPr>
                <w:rFonts w:ascii="Garamond" w:hAnsi="Garamond"/>
                <w:sz w:val="20"/>
                <w:szCs w:val="20"/>
              </w:rPr>
              <w:t xml:space="preserve"> përmes financimit të fondeve sociale</w:t>
            </w:r>
          </w:p>
        </w:tc>
        <w:tc>
          <w:tcPr>
            <w:tcW w:w="992" w:type="dxa"/>
          </w:tcPr>
          <w:p w14:paraId="0EF97309"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14</w:t>
            </w:r>
            <w:r w:rsidRPr="00DC66CD">
              <w:rPr>
                <w:rFonts w:ascii="Garamond" w:eastAsiaTheme="minorHAnsi" w:hAnsi="Garamond"/>
                <w:sz w:val="20"/>
                <w:szCs w:val="20"/>
                <w:vertAlign w:val="superscript"/>
              </w:rPr>
              <w:footnoteReference w:id="38"/>
            </w:r>
          </w:p>
        </w:tc>
        <w:tc>
          <w:tcPr>
            <w:tcW w:w="1397" w:type="dxa"/>
          </w:tcPr>
          <w:p w14:paraId="12BECFB4"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25</w:t>
            </w:r>
          </w:p>
        </w:tc>
        <w:tc>
          <w:tcPr>
            <w:tcW w:w="1709" w:type="dxa"/>
          </w:tcPr>
          <w:p w14:paraId="3D32DF0B" w14:textId="77777777" w:rsidR="006F605B" w:rsidRPr="00DC66CD" w:rsidRDefault="006F605B" w:rsidP="004F4E33">
            <w:pPr>
              <w:snapToGrid w:val="0"/>
              <w:spacing w:after="0" w:line="240" w:lineRule="auto"/>
              <w:jc w:val="right"/>
              <w:rPr>
                <w:rFonts w:ascii="Garamond" w:hAnsi="Garamond"/>
                <w:sz w:val="20"/>
                <w:szCs w:val="20"/>
              </w:rPr>
            </w:pPr>
            <w:r w:rsidRPr="00DC66CD">
              <w:rPr>
                <w:rFonts w:ascii="Garamond" w:hAnsi="Garamond"/>
                <w:sz w:val="20"/>
                <w:szCs w:val="20"/>
              </w:rPr>
              <w:t>35</w:t>
            </w:r>
            <w:r w:rsidRPr="00DC66CD">
              <w:rPr>
                <w:rFonts w:ascii="Garamond" w:eastAsiaTheme="minorHAnsi" w:hAnsi="Garamond"/>
                <w:sz w:val="20"/>
                <w:szCs w:val="20"/>
                <w:vertAlign w:val="superscript"/>
              </w:rPr>
              <w:footnoteReference w:id="39"/>
            </w:r>
          </w:p>
        </w:tc>
      </w:tr>
    </w:tbl>
    <w:p w14:paraId="11A8AB62" w14:textId="77777777" w:rsidR="006F605B" w:rsidRPr="00DC66CD" w:rsidRDefault="006F605B" w:rsidP="006F605B">
      <w:pPr>
        <w:snapToGrid w:val="0"/>
        <w:spacing w:after="0" w:line="240" w:lineRule="auto"/>
        <w:ind w:firstLine="284"/>
        <w:rPr>
          <w:rFonts w:ascii="Garamond" w:hAnsi="Garamond"/>
          <w:sz w:val="24"/>
          <w:szCs w:val="24"/>
        </w:rPr>
      </w:pPr>
    </w:p>
    <w:p w14:paraId="0EC398B5" w14:textId="6A5A019D" w:rsidR="006F605B" w:rsidRPr="00DC66CD" w:rsidRDefault="00131DA1" w:rsidP="00131DA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4. </w:t>
      </w:r>
      <w:r w:rsidR="006F605B" w:rsidRPr="00DC66CD">
        <w:rPr>
          <w:rFonts w:ascii="Garamond" w:hAnsi="Garamond"/>
          <w:color w:val="auto"/>
          <w:sz w:val="24"/>
          <w:szCs w:val="24"/>
        </w:rPr>
        <w:t>Kosto</w:t>
      </w:r>
      <w:r w:rsidR="004F4E33" w:rsidRPr="00DC66CD">
        <w:rPr>
          <w:rFonts w:ascii="Garamond" w:hAnsi="Garamond"/>
          <w:color w:val="auto"/>
          <w:sz w:val="24"/>
          <w:szCs w:val="24"/>
        </w:rPr>
        <w:t>ja</w:t>
      </w:r>
      <w:r w:rsidR="006F605B" w:rsidRPr="00DC66CD">
        <w:rPr>
          <w:rFonts w:ascii="Garamond" w:hAnsi="Garamond"/>
          <w:color w:val="auto"/>
          <w:sz w:val="24"/>
          <w:szCs w:val="24"/>
        </w:rPr>
        <w:t xml:space="preserve"> e parashikuar e aktiviteteve dhe burimi i financimit</w:t>
      </w:r>
    </w:p>
    <w:p w14:paraId="00C623E3" w14:textId="4E0B42DB" w:rsidR="006F605B" w:rsidRPr="00DC66CD" w:rsidRDefault="006F605B" w:rsidP="006F605B">
      <w:pPr>
        <w:snapToGrid w:val="0"/>
        <w:spacing w:after="0" w:line="240" w:lineRule="auto"/>
        <w:ind w:firstLine="284"/>
        <w:rPr>
          <w:rFonts w:ascii="Garamond" w:hAnsi="Garamond"/>
          <w:sz w:val="24"/>
          <w:szCs w:val="24"/>
        </w:rPr>
      </w:pPr>
      <w:r w:rsidRPr="00DC66CD">
        <w:rPr>
          <w:rFonts w:ascii="Garamond" w:hAnsi="Garamond"/>
          <w:sz w:val="24"/>
          <w:szCs w:val="24"/>
        </w:rPr>
        <w:t>2,800,000 EUR për ndërmarrjet shoqërore dhe fondin social për harkun kohor 2020</w:t>
      </w:r>
      <w:r w:rsidR="00381428" w:rsidRPr="00DC66CD">
        <w:rPr>
          <w:rFonts w:ascii="Garamond" w:hAnsi="Garamond"/>
          <w:sz w:val="24"/>
          <w:szCs w:val="24"/>
        </w:rPr>
        <w:t>–</w:t>
      </w:r>
      <w:r w:rsidRPr="00DC66CD">
        <w:rPr>
          <w:rFonts w:ascii="Garamond" w:hAnsi="Garamond"/>
          <w:sz w:val="24"/>
          <w:szCs w:val="24"/>
        </w:rPr>
        <w:t>2022.</w:t>
      </w:r>
    </w:p>
    <w:p w14:paraId="6821033A" w14:textId="21109AD6" w:rsidR="006F605B" w:rsidRPr="00DC66CD" w:rsidRDefault="00131DA1" w:rsidP="00131DA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5. </w:t>
      </w:r>
      <w:r w:rsidR="006F605B" w:rsidRPr="00DC66CD">
        <w:rPr>
          <w:rFonts w:ascii="Garamond" w:hAnsi="Garamond"/>
          <w:color w:val="auto"/>
          <w:sz w:val="24"/>
          <w:szCs w:val="24"/>
        </w:rPr>
        <w:t>Ndikimi i pritshëm në rezultatet sociale, si</w:t>
      </w:r>
      <w:r w:rsidR="00381428" w:rsidRPr="00DC66CD">
        <w:rPr>
          <w:rFonts w:ascii="Garamond" w:hAnsi="Garamond"/>
          <w:color w:val="auto"/>
          <w:sz w:val="24"/>
          <w:szCs w:val="24"/>
        </w:rPr>
        <w:t>:</w:t>
      </w:r>
      <w:r w:rsidR="006F605B" w:rsidRPr="00DC66CD">
        <w:rPr>
          <w:rFonts w:ascii="Garamond" w:hAnsi="Garamond"/>
          <w:color w:val="auto"/>
          <w:sz w:val="24"/>
          <w:szCs w:val="24"/>
        </w:rPr>
        <w:t xml:space="preserve"> punësimi, ulja e varfërisë, barazia dhe gjinia</w:t>
      </w:r>
    </w:p>
    <w:p w14:paraId="5585A9ED" w14:textId="151CD9F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Nga </w:t>
      </w:r>
      <w:r w:rsidR="00381428" w:rsidRPr="00DC66CD">
        <w:rPr>
          <w:rFonts w:ascii="Garamond" w:hAnsi="Garamond"/>
          <w:sz w:val="24"/>
          <w:szCs w:val="24"/>
        </w:rPr>
        <w:t xml:space="preserve">fondi social </w:t>
      </w:r>
      <w:r w:rsidRPr="00DC66CD">
        <w:rPr>
          <w:rFonts w:ascii="Garamond" w:hAnsi="Garamond"/>
          <w:sz w:val="24"/>
          <w:szCs w:val="24"/>
        </w:rPr>
        <w:t>do të përfitojnë</w:t>
      </w:r>
      <w:r w:rsidR="004F4E33" w:rsidRPr="00DC66CD">
        <w:rPr>
          <w:rFonts w:ascii="Garamond" w:hAnsi="Garamond"/>
          <w:sz w:val="24"/>
          <w:szCs w:val="24"/>
        </w:rPr>
        <w:t xml:space="preserve"> </w:t>
      </w:r>
      <w:r w:rsidRPr="00DC66CD">
        <w:rPr>
          <w:rFonts w:ascii="Garamond" w:hAnsi="Garamond"/>
          <w:sz w:val="24"/>
          <w:szCs w:val="24"/>
        </w:rPr>
        <w:t>të gjitha bashkitë përmes planeve sociale që identifikojnë nevojat për shërbime sociale</w:t>
      </w:r>
      <w:r w:rsidR="0072211B" w:rsidRPr="00DC66CD">
        <w:rPr>
          <w:rFonts w:ascii="Garamond" w:hAnsi="Garamond"/>
          <w:sz w:val="24"/>
          <w:szCs w:val="24"/>
        </w:rPr>
        <w:t xml:space="preserve"> </w:t>
      </w:r>
      <w:r w:rsidRPr="00DC66CD">
        <w:rPr>
          <w:rFonts w:ascii="Garamond" w:hAnsi="Garamond"/>
          <w:sz w:val="24"/>
          <w:szCs w:val="24"/>
        </w:rPr>
        <w:t xml:space="preserve">të munguara Një sistem i integruar i kujdesit shoqëror i bazuar në parimin e decentralizimit dhe deinstitucionalizimit për përfshirjen e grupeve të disavantazhuara në programet e mbrojtjes sociale do të mbështesë </w:t>
      </w:r>
      <w:r w:rsidR="00381428" w:rsidRPr="00DC66CD">
        <w:rPr>
          <w:rFonts w:ascii="Garamond" w:hAnsi="Garamond"/>
          <w:sz w:val="24"/>
          <w:szCs w:val="24"/>
        </w:rPr>
        <w:t>gratë</w:t>
      </w:r>
      <w:r w:rsidRPr="00DC66CD">
        <w:rPr>
          <w:rFonts w:ascii="Garamond" w:hAnsi="Garamond"/>
          <w:sz w:val="24"/>
          <w:szCs w:val="24"/>
        </w:rPr>
        <w:t xml:space="preserve">, </w:t>
      </w:r>
      <w:r w:rsidR="00381428" w:rsidRPr="00DC66CD">
        <w:rPr>
          <w:rFonts w:ascii="Garamond" w:hAnsi="Garamond"/>
          <w:sz w:val="24"/>
          <w:szCs w:val="24"/>
        </w:rPr>
        <w:t xml:space="preserve">rininë </w:t>
      </w:r>
      <w:r w:rsidRPr="00DC66CD">
        <w:rPr>
          <w:rFonts w:ascii="Garamond" w:hAnsi="Garamond"/>
          <w:sz w:val="24"/>
          <w:szCs w:val="24"/>
        </w:rPr>
        <w:t>dhe grupet e tjera</w:t>
      </w:r>
      <w:r w:rsidR="00381428" w:rsidRPr="00DC66CD">
        <w:rPr>
          <w:rFonts w:ascii="Garamond" w:hAnsi="Garamond"/>
          <w:sz w:val="24"/>
          <w:szCs w:val="24"/>
        </w:rPr>
        <w:t>,</w:t>
      </w:r>
      <w:r w:rsidRPr="00DC66CD">
        <w:rPr>
          <w:rFonts w:ascii="Garamond" w:hAnsi="Garamond"/>
          <w:sz w:val="24"/>
          <w:szCs w:val="24"/>
        </w:rPr>
        <w:t xml:space="preserve"> si</w:t>
      </w:r>
      <w:r w:rsidR="00381428" w:rsidRPr="00DC66CD">
        <w:rPr>
          <w:rFonts w:ascii="Garamond" w:hAnsi="Garamond"/>
          <w:sz w:val="24"/>
          <w:szCs w:val="24"/>
        </w:rPr>
        <w:t>:</w:t>
      </w:r>
      <w:r w:rsidRPr="00DC66CD">
        <w:rPr>
          <w:rFonts w:ascii="Garamond" w:hAnsi="Garamond"/>
          <w:sz w:val="24"/>
          <w:szCs w:val="24"/>
        </w:rPr>
        <w:t xml:space="preserve"> </w:t>
      </w:r>
      <w:r w:rsidR="00381428" w:rsidRPr="00DC66CD">
        <w:rPr>
          <w:rFonts w:ascii="Garamond" w:hAnsi="Garamond"/>
          <w:sz w:val="24"/>
          <w:szCs w:val="24"/>
        </w:rPr>
        <w:t xml:space="preserve">romë </w:t>
      </w:r>
      <w:r w:rsidRPr="00DC66CD">
        <w:rPr>
          <w:rFonts w:ascii="Garamond" w:hAnsi="Garamond"/>
          <w:sz w:val="24"/>
          <w:szCs w:val="24"/>
        </w:rPr>
        <w:t xml:space="preserve">dhe </w:t>
      </w:r>
      <w:r w:rsidR="00381428" w:rsidRPr="00DC66CD">
        <w:rPr>
          <w:rFonts w:ascii="Garamond" w:hAnsi="Garamond"/>
          <w:sz w:val="24"/>
          <w:szCs w:val="24"/>
        </w:rPr>
        <w:t xml:space="preserve">egjiptianë </w:t>
      </w:r>
      <w:r w:rsidRPr="00DC66CD">
        <w:rPr>
          <w:rFonts w:ascii="Garamond" w:hAnsi="Garamond"/>
          <w:sz w:val="24"/>
          <w:szCs w:val="24"/>
        </w:rPr>
        <w:t xml:space="preserve">apo persona me </w:t>
      </w:r>
      <w:r w:rsidR="00381428" w:rsidRPr="00DC66CD">
        <w:rPr>
          <w:rFonts w:ascii="Garamond" w:hAnsi="Garamond"/>
          <w:sz w:val="24"/>
          <w:szCs w:val="24"/>
        </w:rPr>
        <w:t xml:space="preserve">aftësi </w:t>
      </w:r>
      <w:r w:rsidRPr="00DC66CD">
        <w:rPr>
          <w:rFonts w:ascii="Garamond" w:hAnsi="Garamond"/>
          <w:sz w:val="24"/>
          <w:szCs w:val="24"/>
        </w:rPr>
        <w:t xml:space="preserve">të </w:t>
      </w:r>
      <w:r w:rsidR="00381428" w:rsidRPr="00DC66CD">
        <w:rPr>
          <w:rFonts w:ascii="Garamond" w:hAnsi="Garamond"/>
          <w:sz w:val="24"/>
          <w:szCs w:val="24"/>
        </w:rPr>
        <w:t xml:space="preserve">kufizuara, </w:t>
      </w:r>
      <w:r w:rsidRPr="00DC66CD">
        <w:rPr>
          <w:rFonts w:ascii="Garamond" w:hAnsi="Garamond"/>
          <w:sz w:val="24"/>
          <w:szCs w:val="24"/>
        </w:rPr>
        <w:t>përmes shërbimeve alternative të përkujdes</w:t>
      </w:r>
      <w:r w:rsidR="00381428" w:rsidRPr="00DC66CD">
        <w:rPr>
          <w:rFonts w:ascii="Garamond" w:hAnsi="Garamond"/>
          <w:sz w:val="24"/>
          <w:szCs w:val="24"/>
        </w:rPr>
        <w:t>jes</w:t>
      </w:r>
      <w:r w:rsidRPr="00DC66CD">
        <w:rPr>
          <w:rFonts w:ascii="Garamond" w:hAnsi="Garamond"/>
          <w:sz w:val="24"/>
          <w:szCs w:val="24"/>
        </w:rPr>
        <w:t>, sigurimin</w:t>
      </w:r>
      <w:r w:rsidR="00381428" w:rsidRPr="00DC66CD">
        <w:rPr>
          <w:rFonts w:ascii="Garamond" w:hAnsi="Garamond"/>
          <w:sz w:val="24"/>
          <w:szCs w:val="24"/>
        </w:rPr>
        <w:t xml:space="preserve"> </w:t>
      </w:r>
      <w:r w:rsidRPr="00DC66CD">
        <w:rPr>
          <w:rFonts w:ascii="Garamond" w:hAnsi="Garamond"/>
          <w:sz w:val="24"/>
          <w:szCs w:val="24"/>
        </w:rPr>
        <w:t>e</w:t>
      </w:r>
      <w:r w:rsidR="0072211B" w:rsidRPr="00DC66CD">
        <w:rPr>
          <w:rFonts w:ascii="Garamond" w:hAnsi="Garamond"/>
          <w:sz w:val="24"/>
          <w:szCs w:val="24"/>
        </w:rPr>
        <w:t xml:space="preserve"> </w:t>
      </w:r>
      <w:r w:rsidRPr="00DC66CD">
        <w:rPr>
          <w:rFonts w:ascii="Garamond" w:hAnsi="Garamond"/>
          <w:sz w:val="24"/>
          <w:szCs w:val="24"/>
        </w:rPr>
        <w:t xml:space="preserve">kujdestarisë së përkohshme në nivelin lokal. Në përgjithësi, përmirësimi i situatës sociale të grupeve të </w:t>
      </w:r>
      <w:r w:rsidR="00381428" w:rsidRPr="00DC66CD">
        <w:rPr>
          <w:rFonts w:ascii="Garamond" w:hAnsi="Garamond"/>
          <w:sz w:val="24"/>
          <w:szCs w:val="24"/>
        </w:rPr>
        <w:t>veçanta</w:t>
      </w:r>
      <w:r w:rsidRPr="00DC66CD">
        <w:rPr>
          <w:rFonts w:ascii="Garamond" w:hAnsi="Garamond"/>
          <w:sz w:val="24"/>
          <w:szCs w:val="24"/>
        </w:rPr>
        <w:t xml:space="preserve"> ka</w:t>
      </w:r>
      <w:r w:rsidR="0072211B" w:rsidRPr="00DC66CD">
        <w:rPr>
          <w:rFonts w:ascii="Garamond" w:hAnsi="Garamond"/>
          <w:sz w:val="24"/>
          <w:szCs w:val="24"/>
        </w:rPr>
        <w:t xml:space="preserve"> </w:t>
      </w:r>
      <w:r w:rsidRPr="00DC66CD">
        <w:rPr>
          <w:rFonts w:ascii="Garamond" w:hAnsi="Garamond"/>
          <w:sz w:val="24"/>
          <w:szCs w:val="24"/>
        </w:rPr>
        <w:t>një ndikim të drejtpërdrejtë në uljen e varfërisë dhe anasjelltas.</w:t>
      </w:r>
    </w:p>
    <w:p w14:paraId="158EF41E" w14:textId="0CF62157" w:rsidR="006F605B" w:rsidRPr="00DC66CD" w:rsidRDefault="00131DA1" w:rsidP="00131DA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6. </w:t>
      </w:r>
      <w:r w:rsidR="006F605B" w:rsidRPr="00DC66CD">
        <w:rPr>
          <w:rFonts w:ascii="Garamond" w:hAnsi="Garamond"/>
          <w:color w:val="auto"/>
          <w:sz w:val="24"/>
          <w:szCs w:val="24"/>
        </w:rPr>
        <w:t>Ndikimi i pritshëm në mjedis</w:t>
      </w:r>
    </w:p>
    <w:p w14:paraId="056C4168" w14:textId="47EDBDD6" w:rsidR="006F605B" w:rsidRPr="00DC66CD" w:rsidRDefault="006F605B" w:rsidP="00131DA1">
      <w:pPr>
        <w:snapToGrid w:val="0"/>
        <w:spacing w:after="0" w:line="240" w:lineRule="auto"/>
        <w:ind w:firstLine="284"/>
        <w:rPr>
          <w:rFonts w:ascii="Garamond" w:hAnsi="Garamond"/>
          <w:sz w:val="24"/>
          <w:szCs w:val="24"/>
        </w:rPr>
      </w:pPr>
      <w:r w:rsidRPr="00DC66CD">
        <w:rPr>
          <w:rFonts w:ascii="Garamond" w:hAnsi="Garamond"/>
          <w:sz w:val="24"/>
          <w:szCs w:val="24"/>
        </w:rPr>
        <w:t>Masa nuk ka</w:t>
      </w:r>
      <w:r w:rsidR="0072211B" w:rsidRPr="00DC66CD">
        <w:rPr>
          <w:rFonts w:ascii="Garamond" w:hAnsi="Garamond"/>
          <w:sz w:val="24"/>
          <w:szCs w:val="24"/>
        </w:rPr>
        <w:t xml:space="preserve"> </w:t>
      </w:r>
      <w:r w:rsidRPr="00DC66CD">
        <w:rPr>
          <w:rFonts w:ascii="Garamond" w:hAnsi="Garamond"/>
          <w:sz w:val="24"/>
          <w:szCs w:val="24"/>
        </w:rPr>
        <w:t>ndiki</w:t>
      </w:r>
      <w:r w:rsidR="00131DA1" w:rsidRPr="00DC66CD">
        <w:rPr>
          <w:rFonts w:ascii="Garamond" w:hAnsi="Garamond"/>
          <w:sz w:val="24"/>
          <w:szCs w:val="24"/>
        </w:rPr>
        <w:t>m në mjedis.</w:t>
      </w:r>
    </w:p>
    <w:p w14:paraId="2515ECB4" w14:textId="6955863A" w:rsidR="006F605B" w:rsidRPr="00DC66CD" w:rsidRDefault="00131DA1" w:rsidP="00131DA1">
      <w:pPr>
        <w:pStyle w:val="Heading6"/>
        <w:keepNext w:val="0"/>
        <w:keepLines w:val="0"/>
        <w:snapToGrid w:val="0"/>
        <w:spacing w:before="0" w:line="240" w:lineRule="auto"/>
        <w:ind w:left="284"/>
        <w:jc w:val="both"/>
        <w:rPr>
          <w:rFonts w:ascii="Garamond" w:hAnsi="Garamond"/>
          <w:color w:val="auto"/>
          <w:sz w:val="24"/>
          <w:szCs w:val="24"/>
        </w:rPr>
      </w:pPr>
      <w:r w:rsidRPr="00DC66CD">
        <w:rPr>
          <w:rFonts w:ascii="Garamond" w:hAnsi="Garamond"/>
          <w:color w:val="auto"/>
          <w:sz w:val="24"/>
          <w:szCs w:val="24"/>
        </w:rPr>
        <w:t xml:space="preserve">7. </w:t>
      </w:r>
      <w:r w:rsidR="006F605B" w:rsidRPr="00DC66CD">
        <w:rPr>
          <w:rFonts w:ascii="Garamond" w:hAnsi="Garamond"/>
          <w:color w:val="auto"/>
          <w:sz w:val="24"/>
          <w:szCs w:val="24"/>
        </w:rPr>
        <w:t>Rreziqet e mundshme</w:t>
      </w:r>
    </w:p>
    <w:p w14:paraId="55267887"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1543"/>
        <w:gridCol w:w="4078"/>
      </w:tblGrid>
      <w:tr w:rsidR="006F605B" w:rsidRPr="00DC66CD" w14:paraId="5CF1120F" w14:textId="77777777" w:rsidTr="004F4E33">
        <w:tc>
          <w:tcPr>
            <w:tcW w:w="3823" w:type="dxa"/>
            <w:vAlign w:val="center"/>
          </w:tcPr>
          <w:p w14:paraId="3FEAA34B"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Rreziku</w:t>
            </w:r>
          </w:p>
        </w:tc>
        <w:tc>
          <w:tcPr>
            <w:tcW w:w="1559" w:type="dxa"/>
            <w:vAlign w:val="center"/>
          </w:tcPr>
          <w:p w14:paraId="13546649" w14:textId="77777777" w:rsidR="004F4E33"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 xml:space="preserve">Probabiliteti </w:t>
            </w:r>
          </w:p>
          <w:p w14:paraId="27873C54" w14:textId="27E4C9D3" w:rsidR="006F605B" w:rsidRPr="00DC66CD" w:rsidRDefault="00F85068" w:rsidP="004F4E33">
            <w:pPr>
              <w:snapToGrid w:val="0"/>
              <w:spacing w:after="0" w:line="240" w:lineRule="auto"/>
              <w:jc w:val="center"/>
              <w:rPr>
                <w:rFonts w:ascii="Garamond" w:hAnsi="Garamond"/>
                <w:b/>
                <w:sz w:val="20"/>
                <w:szCs w:val="20"/>
              </w:rPr>
            </w:pPr>
            <w:r w:rsidRPr="00DC66CD">
              <w:rPr>
                <w:rFonts w:ascii="Garamond" w:hAnsi="Garamond"/>
                <w:b/>
                <w:sz w:val="20"/>
                <w:szCs w:val="20"/>
              </w:rPr>
              <w:t>(i ulët, i lartë)</w:t>
            </w:r>
          </w:p>
        </w:tc>
        <w:tc>
          <w:tcPr>
            <w:tcW w:w="4240" w:type="dxa"/>
            <w:vAlign w:val="center"/>
          </w:tcPr>
          <w:p w14:paraId="0A223251" w14:textId="77777777" w:rsidR="006F605B" w:rsidRPr="00DC66CD" w:rsidRDefault="006F605B" w:rsidP="004F4E33">
            <w:pPr>
              <w:snapToGrid w:val="0"/>
              <w:spacing w:after="0" w:line="240" w:lineRule="auto"/>
              <w:jc w:val="center"/>
              <w:rPr>
                <w:rFonts w:ascii="Garamond" w:hAnsi="Garamond"/>
                <w:b/>
                <w:sz w:val="20"/>
                <w:szCs w:val="20"/>
              </w:rPr>
            </w:pPr>
            <w:r w:rsidRPr="00DC66CD">
              <w:rPr>
                <w:rFonts w:ascii="Garamond" w:hAnsi="Garamond"/>
                <w:b/>
                <w:sz w:val="20"/>
                <w:szCs w:val="20"/>
              </w:rPr>
              <w:t>Veprimi i planifikuar për uljen e rrezikut</w:t>
            </w:r>
          </w:p>
        </w:tc>
      </w:tr>
      <w:tr w:rsidR="006F605B" w:rsidRPr="00DC66CD" w14:paraId="1EB3A3CA" w14:textId="77777777" w:rsidTr="00131DA1">
        <w:tc>
          <w:tcPr>
            <w:tcW w:w="3823" w:type="dxa"/>
          </w:tcPr>
          <w:p w14:paraId="274EB1FA" w14:textId="38821DAD"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Hartimi i planeve s</w:t>
            </w:r>
            <w:r w:rsidR="00381428" w:rsidRPr="00DC66CD">
              <w:rPr>
                <w:rFonts w:ascii="Garamond" w:hAnsi="Garamond"/>
                <w:sz w:val="20"/>
                <w:szCs w:val="20"/>
              </w:rPr>
              <w:t>ociale të kostuara nga bashkitë</w:t>
            </w:r>
          </w:p>
        </w:tc>
        <w:tc>
          <w:tcPr>
            <w:tcW w:w="1559" w:type="dxa"/>
          </w:tcPr>
          <w:p w14:paraId="110E863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I ulët</w:t>
            </w:r>
          </w:p>
        </w:tc>
        <w:tc>
          <w:tcPr>
            <w:tcW w:w="4240" w:type="dxa"/>
          </w:tcPr>
          <w:p w14:paraId="753F768B" w14:textId="3C854F48" w:rsidR="006F605B" w:rsidRPr="00DC66CD" w:rsidRDefault="006F605B" w:rsidP="00381428">
            <w:pPr>
              <w:snapToGrid w:val="0"/>
              <w:spacing w:after="0" w:line="240" w:lineRule="auto"/>
              <w:rPr>
                <w:rFonts w:ascii="Garamond" w:hAnsi="Garamond"/>
                <w:sz w:val="20"/>
                <w:szCs w:val="20"/>
              </w:rPr>
            </w:pPr>
            <w:r w:rsidRPr="00DC66CD">
              <w:rPr>
                <w:rFonts w:ascii="Garamond" w:hAnsi="Garamond"/>
                <w:sz w:val="20"/>
                <w:szCs w:val="20"/>
              </w:rPr>
              <w:t>Bashkëpunimi me aktorët lokalë për të zhvilluar kapacitete pë</w:t>
            </w:r>
            <w:r w:rsidR="00DB021E" w:rsidRPr="00DC66CD">
              <w:rPr>
                <w:rFonts w:ascii="Garamond" w:hAnsi="Garamond"/>
                <w:sz w:val="20"/>
                <w:szCs w:val="20"/>
              </w:rPr>
              <w:t>r këto plane</w:t>
            </w:r>
          </w:p>
        </w:tc>
      </w:tr>
    </w:tbl>
    <w:p w14:paraId="6C9F486F" w14:textId="77777777" w:rsidR="006F605B" w:rsidRPr="00DC66CD" w:rsidRDefault="006F605B" w:rsidP="006F605B">
      <w:pPr>
        <w:snapToGrid w:val="0"/>
        <w:spacing w:after="0" w:line="240" w:lineRule="auto"/>
        <w:ind w:firstLine="284"/>
        <w:rPr>
          <w:rFonts w:ascii="Garamond" w:hAnsi="Garamond"/>
          <w:sz w:val="24"/>
          <w:szCs w:val="24"/>
        </w:rPr>
      </w:pPr>
    </w:p>
    <w:p w14:paraId="4ECD8D25" w14:textId="613F636F" w:rsidR="006F605B" w:rsidRPr="00DC66CD" w:rsidRDefault="00131DA1" w:rsidP="00131DA1">
      <w:pPr>
        <w:snapToGrid w:val="0"/>
        <w:spacing w:after="0" w:line="240" w:lineRule="auto"/>
        <w:ind w:firstLine="284"/>
        <w:rPr>
          <w:rFonts w:ascii="Garamond" w:hAnsi="Garamond"/>
          <w:b/>
        </w:rPr>
      </w:pPr>
      <w:bookmarkStart w:id="52" w:name="_Toc484076194"/>
      <w:bookmarkStart w:id="53" w:name="_Toc30661238"/>
      <w:r w:rsidRPr="00DC66CD">
        <w:rPr>
          <w:rFonts w:ascii="Garamond" w:hAnsi="Garamond"/>
          <w:b/>
        </w:rPr>
        <w:t xml:space="preserve">6. </w:t>
      </w:r>
      <w:r w:rsidR="006F605B" w:rsidRPr="00DC66CD">
        <w:rPr>
          <w:rFonts w:ascii="Garamond" w:hAnsi="Garamond"/>
          <w:b/>
        </w:rPr>
        <w:t>KOSTO</w:t>
      </w:r>
      <w:r w:rsidR="00DB021E" w:rsidRPr="00DC66CD">
        <w:rPr>
          <w:rFonts w:ascii="Garamond" w:hAnsi="Garamond"/>
          <w:b/>
        </w:rPr>
        <w:t>JA</w:t>
      </w:r>
      <w:r w:rsidR="006F605B" w:rsidRPr="00DC66CD">
        <w:rPr>
          <w:rFonts w:ascii="Garamond" w:hAnsi="Garamond"/>
          <w:b/>
        </w:rPr>
        <w:t xml:space="preserve"> DHE FINANCIMI I REFORMAVE STRUKTURORE</w:t>
      </w:r>
      <w:bookmarkEnd w:id="52"/>
      <w:bookmarkEnd w:id="53"/>
    </w:p>
    <w:p w14:paraId="593100BA" w14:textId="061943C7" w:rsidR="00131DA1" w:rsidRPr="00DC66CD" w:rsidRDefault="006F605B" w:rsidP="00131DA1">
      <w:pPr>
        <w:snapToGrid w:val="0"/>
        <w:spacing w:after="0" w:line="240" w:lineRule="auto"/>
        <w:ind w:firstLine="284"/>
        <w:jc w:val="both"/>
        <w:rPr>
          <w:rFonts w:ascii="Garamond" w:hAnsi="Garamond"/>
          <w:sz w:val="24"/>
          <w:szCs w:val="24"/>
        </w:rPr>
      </w:pPr>
      <w:r w:rsidRPr="00DC66CD">
        <w:rPr>
          <w:rFonts w:ascii="Garamond" w:hAnsi="Garamond"/>
          <w:sz w:val="24"/>
          <w:szCs w:val="24"/>
        </w:rPr>
        <w:t>Shpenzimet e pritura në buxhetin e shtetit përfshijnë fonde për reformat strukturore kryesore për periudhën e ardhshme afatmesme. Shpenzimet buxhetore janë shpërndarë në të gjitha reformat strukturore të përfshira në Programin e Reformës Ekonomike</w:t>
      </w:r>
      <w:r w:rsidR="00DB021E" w:rsidRPr="00DC66CD">
        <w:rPr>
          <w:rFonts w:ascii="Garamond" w:hAnsi="Garamond"/>
          <w:sz w:val="24"/>
          <w:szCs w:val="24"/>
        </w:rPr>
        <w:t>,</w:t>
      </w:r>
      <w:r w:rsidRPr="00DC66CD">
        <w:rPr>
          <w:rFonts w:ascii="Garamond" w:hAnsi="Garamond"/>
          <w:sz w:val="24"/>
          <w:szCs w:val="24"/>
        </w:rPr>
        <w:t xml:space="preserve"> 2020</w:t>
      </w:r>
      <w:r w:rsidR="00DB021E" w:rsidRPr="00DC66CD">
        <w:rPr>
          <w:rFonts w:ascii="Garamond" w:hAnsi="Garamond"/>
          <w:sz w:val="24"/>
          <w:szCs w:val="24"/>
        </w:rPr>
        <w:t>–</w:t>
      </w:r>
      <w:r w:rsidRPr="00DC66CD">
        <w:rPr>
          <w:rFonts w:ascii="Garamond" w:hAnsi="Garamond"/>
          <w:sz w:val="24"/>
          <w:szCs w:val="24"/>
        </w:rPr>
        <w:t xml:space="preserve">2022. Detajet e implikimeve buxhetore të reformave gjenden në tabelën 10a dhe tabelën 10b të </w:t>
      </w:r>
      <w:r w:rsidR="00DB021E" w:rsidRPr="00DC66CD">
        <w:rPr>
          <w:rFonts w:ascii="Garamond" w:hAnsi="Garamond"/>
          <w:sz w:val="24"/>
          <w:szCs w:val="24"/>
        </w:rPr>
        <w:t xml:space="preserve">shtojcës </w:t>
      </w:r>
      <w:r w:rsidRPr="00DC66CD">
        <w:rPr>
          <w:rFonts w:ascii="Garamond" w:hAnsi="Garamond"/>
          <w:sz w:val="24"/>
          <w:szCs w:val="24"/>
        </w:rPr>
        <w:t xml:space="preserve">1. </w:t>
      </w:r>
      <w:bookmarkStart w:id="54" w:name="_GoBack"/>
      <w:bookmarkEnd w:id="54"/>
      <w:r w:rsidRPr="00DC66CD">
        <w:rPr>
          <w:rFonts w:ascii="Garamond" w:hAnsi="Garamond"/>
          <w:sz w:val="24"/>
          <w:szCs w:val="24"/>
        </w:rPr>
        <w:t>Shpenzimet e parashikuara të Buxhetit të Republikës së Shqipërisë përfshijnë</w:t>
      </w:r>
      <w:r w:rsidR="00DB021E" w:rsidRPr="00DC66CD">
        <w:rPr>
          <w:rFonts w:ascii="Garamond" w:hAnsi="Garamond"/>
          <w:sz w:val="24"/>
          <w:szCs w:val="24"/>
        </w:rPr>
        <w:t>,</w:t>
      </w:r>
      <w:r w:rsidRPr="00DC66CD">
        <w:rPr>
          <w:rFonts w:ascii="Garamond" w:hAnsi="Garamond"/>
          <w:sz w:val="24"/>
          <w:szCs w:val="24"/>
        </w:rPr>
        <w:t xml:space="preserve"> gjithashtu</w:t>
      </w:r>
      <w:r w:rsidR="00DB021E" w:rsidRPr="00DC66CD">
        <w:rPr>
          <w:rFonts w:ascii="Garamond" w:hAnsi="Garamond"/>
          <w:sz w:val="24"/>
          <w:szCs w:val="24"/>
        </w:rPr>
        <w:t>,</w:t>
      </w:r>
      <w:r w:rsidRPr="00DC66CD">
        <w:rPr>
          <w:rFonts w:ascii="Garamond" w:hAnsi="Garamond"/>
          <w:sz w:val="24"/>
          <w:szCs w:val="24"/>
        </w:rPr>
        <w:t xml:space="preserve"> shpenzimet për reformat kryesore st</w:t>
      </w:r>
      <w:bookmarkStart w:id="55" w:name="_Toc484076195"/>
      <w:bookmarkStart w:id="56" w:name="_Toc30661239"/>
      <w:r w:rsidR="00131DA1" w:rsidRPr="00DC66CD">
        <w:rPr>
          <w:rFonts w:ascii="Garamond" w:hAnsi="Garamond"/>
          <w:sz w:val="24"/>
          <w:szCs w:val="24"/>
        </w:rPr>
        <w:t>rukturore në periudhën vijuese.</w:t>
      </w:r>
    </w:p>
    <w:p w14:paraId="503EB373" w14:textId="7C7627E1" w:rsidR="006F605B" w:rsidRPr="00DC66CD" w:rsidRDefault="00131DA1" w:rsidP="00131DA1">
      <w:pPr>
        <w:snapToGrid w:val="0"/>
        <w:spacing w:after="0" w:line="240" w:lineRule="auto"/>
        <w:ind w:firstLine="284"/>
        <w:jc w:val="both"/>
        <w:rPr>
          <w:rFonts w:ascii="Garamond" w:hAnsi="Garamond"/>
          <w:b/>
          <w:sz w:val="24"/>
          <w:szCs w:val="24"/>
        </w:rPr>
      </w:pPr>
      <w:r w:rsidRPr="00DC66CD">
        <w:rPr>
          <w:rFonts w:ascii="Garamond" w:hAnsi="Garamond"/>
          <w:b/>
          <w:sz w:val="24"/>
          <w:szCs w:val="24"/>
        </w:rPr>
        <w:t xml:space="preserve">7. </w:t>
      </w:r>
      <w:r w:rsidR="006F605B" w:rsidRPr="00DC66CD">
        <w:rPr>
          <w:rFonts w:ascii="Garamond" w:hAnsi="Garamond"/>
          <w:b/>
        </w:rPr>
        <w:t xml:space="preserve">ÇËSHTJET INSTITUCIONALE DHE PËRFSHIRJA E GRUPEVE </w:t>
      </w:r>
      <w:r w:rsidR="006F605B" w:rsidRPr="00A52504">
        <w:rPr>
          <w:rFonts w:ascii="Garamond" w:hAnsi="Garamond"/>
          <w:b/>
        </w:rPr>
        <w:t>TË</w:t>
      </w:r>
      <w:bookmarkEnd w:id="55"/>
      <w:bookmarkEnd w:id="56"/>
    </w:p>
    <w:p w14:paraId="45F8FAE8" w14:textId="08A1235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Programi i Reformës Ekonomike (ERP)</w:t>
      </w:r>
      <w:r w:rsidR="00DB021E" w:rsidRPr="00DC66CD">
        <w:rPr>
          <w:rFonts w:ascii="Garamond" w:hAnsi="Garamond"/>
          <w:sz w:val="24"/>
          <w:szCs w:val="24"/>
        </w:rPr>
        <w:t>,</w:t>
      </w:r>
      <w:r w:rsidRPr="00DC66CD">
        <w:rPr>
          <w:rFonts w:ascii="Garamond" w:hAnsi="Garamond"/>
          <w:sz w:val="24"/>
          <w:szCs w:val="24"/>
        </w:rPr>
        <w:t xml:space="preserve"> 2020</w:t>
      </w:r>
      <w:r w:rsidR="00DB021E" w:rsidRPr="00DC66CD">
        <w:rPr>
          <w:rFonts w:ascii="Garamond" w:hAnsi="Garamond"/>
          <w:sz w:val="24"/>
          <w:szCs w:val="24"/>
        </w:rPr>
        <w:t>–</w:t>
      </w:r>
      <w:r w:rsidRPr="00DC66CD">
        <w:rPr>
          <w:rFonts w:ascii="Garamond" w:hAnsi="Garamond"/>
          <w:sz w:val="24"/>
          <w:szCs w:val="24"/>
        </w:rPr>
        <w:t>2022</w:t>
      </w:r>
      <w:r w:rsidR="00DB021E" w:rsidRPr="00DC66CD">
        <w:rPr>
          <w:rFonts w:ascii="Garamond" w:hAnsi="Garamond"/>
          <w:sz w:val="24"/>
          <w:szCs w:val="24"/>
        </w:rPr>
        <w:t>,</w:t>
      </w:r>
      <w:r w:rsidRPr="00DC66CD">
        <w:rPr>
          <w:rFonts w:ascii="Garamond" w:hAnsi="Garamond"/>
          <w:sz w:val="24"/>
          <w:szCs w:val="24"/>
        </w:rPr>
        <w:t xml:space="preserve"> u përgatit dhe u hartua përmes një bashkëpunimi të ngushtë midis Ministrisë së Financave dhe Ekonomisë dhe ministrive të ndryshme të linjës dhe Bankës së Shqipërisë. Në mënyrë të veçantë, ministritë kontribuese janë: Ministria e Financave dhe Ekonomisë</w:t>
      </w:r>
      <w:r w:rsidR="00DB021E" w:rsidRPr="00DC66CD">
        <w:rPr>
          <w:rFonts w:ascii="Garamond" w:hAnsi="Garamond"/>
          <w:sz w:val="24"/>
          <w:szCs w:val="24"/>
        </w:rPr>
        <w:t>,</w:t>
      </w:r>
      <w:r w:rsidRPr="00DC66CD">
        <w:rPr>
          <w:rFonts w:ascii="Garamond" w:hAnsi="Garamond"/>
          <w:sz w:val="24"/>
          <w:szCs w:val="24"/>
        </w:rPr>
        <w:t xml:space="preserve"> Ministria e Infrastrukturës dhe Energjisë</w:t>
      </w:r>
      <w:r w:rsidR="00DB021E" w:rsidRPr="00DC66CD">
        <w:rPr>
          <w:rFonts w:ascii="Garamond" w:hAnsi="Garamond"/>
          <w:sz w:val="24"/>
          <w:szCs w:val="24"/>
        </w:rPr>
        <w:t>,</w:t>
      </w:r>
      <w:r w:rsidRPr="00DC66CD">
        <w:rPr>
          <w:rFonts w:ascii="Garamond" w:hAnsi="Garamond"/>
          <w:sz w:val="24"/>
          <w:szCs w:val="24"/>
        </w:rPr>
        <w:t xml:space="preserve"> Ministria e Bujqësisë dhe Zhvillimit Rural</w:t>
      </w:r>
      <w:r w:rsidR="00DB021E" w:rsidRPr="00DC66CD">
        <w:rPr>
          <w:rFonts w:ascii="Garamond" w:hAnsi="Garamond"/>
          <w:sz w:val="24"/>
          <w:szCs w:val="24"/>
        </w:rPr>
        <w:t>,</w:t>
      </w:r>
      <w:r w:rsidRPr="00DC66CD">
        <w:rPr>
          <w:rFonts w:ascii="Garamond" w:hAnsi="Garamond"/>
          <w:sz w:val="24"/>
          <w:szCs w:val="24"/>
        </w:rPr>
        <w:t xml:space="preserve"> Ministria e Shëndetësisë dhe Mbrojtjes Sociale, Ministria e Arsimit, Sportit dhe Rinisë, Ministria e Turizmit dhe Mjedisit, dhe Banka e Shqipërisë.</w:t>
      </w:r>
    </w:p>
    <w:p w14:paraId="51596408" w14:textId="5CF7BD94"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Më 6 gusht 2019 u miratua </w:t>
      </w:r>
      <w:r w:rsidR="00DB021E" w:rsidRPr="00DC66CD">
        <w:rPr>
          <w:rFonts w:ascii="Garamond" w:hAnsi="Garamond"/>
          <w:sz w:val="24"/>
          <w:szCs w:val="24"/>
        </w:rPr>
        <w:t xml:space="preserve">urdhri </w:t>
      </w:r>
      <w:r w:rsidRPr="00DC66CD">
        <w:rPr>
          <w:rFonts w:ascii="Garamond" w:hAnsi="Garamond"/>
          <w:sz w:val="24"/>
          <w:szCs w:val="24"/>
        </w:rPr>
        <w:t>i Kryeministrit, i cili përcakton kornizën për koordinimin e procesit ERP në nivelin qendror. Urdhri fuqizon Ministrinë e Financave dhe Ekonomisë si Koordinator Kombëtar të ERP</w:t>
      </w:r>
      <w:r w:rsidR="00DB021E" w:rsidRPr="00DC66CD">
        <w:rPr>
          <w:rFonts w:ascii="Garamond" w:hAnsi="Garamond"/>
          <w:sz w:val="24"/>
          <w:szCs w:val="24"/>
        </w:rPr>
        <w:t>-së</w:t>
      </w:r>
      <w:r w:rsidRPr="00DC66CD">
        <w:rPr>
          <w:rFonts w:ascii="Garamond" w:hAnsi="Garamond"/>
          <w:sz w:val="24"/>
          <w:szCs w:val="24"/>
        </w:rPr>
        <w:t xml:space="preserve"> për Shqipërinë, si dhe parashikon krijimin e grupeve punuese ndërinstitucionale mbështetëse dhe sekretariatit teknik fqinj për të koordinuar procesin gjatë gjithë fazave të tij nga fillimi deri në miratim.</w:t>
      </w:r>
    </w:p>
    <w:p w14:paraId="7FFB0673" w14:textId="7A8AAAB8"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Koordinimi institucional është përmirësuar në disa mënyra. Një shkallë më e madhe e pronësisë dhe përgjegjësisë është më e qartë, kryesisht si rezultat i rendit të ri të Kryeministrit dhe </w:t>
      </w:r>
      <w:r w:rsidR="00DB021E" w:rsidRPr="00DC66CD">
        <w:rPr>
          <w:rFonts w:ascii="Garamond" w:hAnsi="Garamond"/>
          <w:sz w:val="24"/>
          <w:szCs w:val="24"/>
        </w:rPr>
        <w:t xml:space="preserve">të </w:t>
      </w:r>
      <w:r w:rsidRPr="00DC66CD">
        <w:rPr>
          <w:rFonts w:ascii="Garamond" w:hAnsi="Garamond"/>
          <w:sz w:val="24"/>
          <w:szCs w:val="24"/>
        </w:rPr>
        <w:t>dispozitave të tij. Sidoqoftë, kjo qasje e re ka sjellë</w:t>
      </w:r>
      <w:r w:rsidR="004832DE" w:rsidRPr="00DC66CD">
        <w:rPr>
          <w:rFonts w:ascii="Garamond" w:hAnsi="Garamond"/>
          <w:sz w:val="24"/>
          <w:szCs w:val="24"/>
        </w:rPr>
        <w:t>,</w:t>
      </w:r>
      <w:r w:rsidRPr="00DC66CD">
        <w:rPr>
          <w:rFonts w:ascii="Garamond" w:hAnsi="Garamond"/>
          <w:sz w:val="24"/>
          <w:szCs w:val="24"/>
        </w:rPr>
        <w:t xml:space="preserve"> gjithashtu</w:t>
      </w:r>
      <w:r w:rsidR="004832DE" w:rsidRPr="00DC66CD">
        <w:rPr>
          <w:rFonts w:ascii="Garamond" w:hAnsi="Garamond"/>
          <w:sz w:val="24"/>
          <w:szCs w:val="24"/>
        </w:rPr>
        <w:t>,</w:t>
      </w:r>
      <w:r w:rsidRPr="00DC66CD">
        <w:rPr>
          <w:rFonts w:ascii="Garamond" w:hAnsi="Garamond"/>
          <w:sz w:val="24"/>
          <w:szCs w:val="24"/>
        </w:rPr>
        <w:t xml:space="preserve"> disa vonesa dhe kasetë institucionale kur bëhet fjalë për vërtetimin dhe aprovimin e kontributeve të destinuara për ERP</w:t>
      </w:r>
      <w:r w:rsidR="004832DE" w:rsidRPr="00DC66CD">
        <w:rPr>
          <w:rFonts w:ascii="Garamond" w:hAnsi="Garamond"/>
          <w:sz w:val="24"/>
          <w:szCs w:val="24"/>
        </w:rPr>
        <w:t>-në</w:t>
      </w:r>
      <w:r w:rsidRPr="00DC66CD">
        <w:rPr>
          <w:rFonts w:ascii="Garamond" w:hAnsi="Garamond"/>
          <w:sz w:val="24"/>
          <w:szCs w:val="24"/>
        </w:rPr>
        <w:t>.</w:t>
      </w:r>
    </w:p>
    <w:p w14:paraId="3C7E0808" w14:textId="4952BE86"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Cikli ERP</w:t>
      </w:r>
      <w:r w:rsidR="004832DE" w:rsidRPr="00DC66CD">
        <w:rPr>
          <w:rFonts w:ascii="Garamond" w:hAnsi="Garamond"/>
          <w:sz w:val="24"/>
          <w:szCs w:val="24"/>
        </w:rPr>
        <w:t>,</w:t>
      </w:r>
      <w:r w:rsidRPr="00DC66CD">
        <w:rPr>
          <w:rFonts w:ascii="Garamond" w:hAnsi="Garamond"/>
          <w:sz w:val="24"/>
          <w:szCs w:val="24"/>
        </w:rPr>
        <w:t xml:space="preserve"> 2020</w:t>
      </w:r>
      <w:r w:rsidR="004832DE" w:rsidRPr="00DC66CD">
        <w:rPr>
          <w:rFonts w:ascii="Garamond" w:hAnsi="Garamond"/>
          <w:sz w:val="24"/>
          <w:szCs w:val="24"/>
        </w:rPr>
        <w:t>–</w:t>
      </w:r>
      <w:r w:rsidRPr="00DC66CD">
        <w:rPr>
          <w:rFonts w:ascii="Garamond" w:hAnsi="Garamond"/>
          <w:sz w:val="24"/>
          <w:szCs w:val="24"/>
        </w:rPr>
        <w:t>2022</w:t>
      </w:r>
      <w:r w:rsidR="004832DE" w:rsidRPr="00DC66CD">
        <w:rPr>
          <w:rFonts w:ascii="Garamond" w:hAnsi="Garamond"/>
          <w:sz w:val="24"/>
          <w:szCs w:val="24"/>
        </w:rPr>
        <w:t>,</w:t>
      </w:r>
      <w:r w:rsidRPr="00DC66CD">
        <w:rPr>
          <w:rFonts w:ascii="Garamond" w:hAnsi="Garamond"/>
          <w:sz w:val="24"/>
          <w:szCs w:val="24"/>
        </w:rPr>
        <w:t xml:space="preserve"> filloi më 18 qershor 2019 gjatë Takimit Vjetor Rajonal të Koordinatorëve të ERP</w:t>
      </w:r>
      <w:r w:rsidR="004832DE" w:rsidRPr="00DC66CD">
        <w:rPr>
          <w:rFonts w:ascii="Garamond" w:hAnsi="Garamond"/>
          <w:sz w:val="24"/>
          <w:szCs w:val="24"/>
        </w:rPr>
        <w:t>-së</w:t>
      </w:r>
      <w:r w:rsidRPr="00DC66CD">
        <w:rPr>
          <w:rFonts w:ascii="Garamond" w:hAnsi="Garamond"/>
          <w:sz w:val="24"/>
          <w:szCs w:val="24"/>
        </w:rPr>
        <w:t xml:space="preserve"> në Bruksel. Tr</w:t>
      </w:r>
      <w:r w:rsidR="00276B1A" w:rsidRPr="00DC66CD">
        <w:rPr>
          <w:rFonts w:ascii="Garamond" w:hAnsi="Garamond"/>
          <w:sz w:val="24"/>
          <w:szCs w:val="24"/>
        </w:rPr>
        <w:t>i</w:t>
      </w:r>
      <w:r w:rsidRPr="00DC66CD">
        <w:rPr>
          <w:rFonts w:ascii="Garamond" w:hAnsi="Garamond"/>
          <w:sz w:val="24"/>
          <w:szCs w:val="24"/>
        </w:rPr>
        <w:t xml:space="preserve"> ngjarje për ndërtimin e kapaciteteve u organizuan në vitin 2019</w:t>
      </w:r>
      <w:r w:rsidR="004832DE" w:rsidRPr="00DC66CD">
        <w:rPr>
          <w:rFonts w:ascii="Garamond" w:hAnsi="Garamond"/>
          <w:sz w:val="24"/>
          <w:szCs w:val="24"/>
        </w:rPr>
        <w:t>,</w:t>
      </w:r>
      <w:r w:rsidRPr="00DC66CD">
        <w:rPr>
          <w:rFonts w:ascii="Garamond" w:hAnsi="Garamond"/>
          <w:sz w:val="24"/>
          <w:szCs w:val="24"/>
        </w:rPr>
        <w:t xml:space="preserve"> në lidhje me ciklin ERP</w:t>
      </w:r>
      <w:r w:rsidR="004832DE" w:rsidRPr="00DC66CD">
        <w:rPr>
          <w:rFonts w:ascii="Garamond" w:hAnsi="Garamond"/>
          <w:sz w:val="24"/>
          <w:szCs w:val="24"/>
        </w:rPr>
        <w:t>-së,</w:t>
      </w:r>
      <w:r w:rsidRPr="00DC66CD">
        <w:rPr>
          <w:rFonts w:ascii="Garamond" w:hAnsi="Garamond"/>
          <w:sz w:val="24"/>
          <w:szCs w:val="24"/>
        </w:rPr>
        <w:t xml:space="preserve"> 2020</w:t>
      </w:r>
      <w:r w:rsidR="004832DE" w:rsidRPr="00DC66CD">
        <w:rPr>
          <w:rFonts w:ascii="Garamond" w:hAnsi="Garamond"/>
          <w:sz w:val="24"/>
          <w:szCs w:val="24"/>
        </w:rPr>
        <w:t>–</w:t>
      </w:r>
      <w:r w:rsidRPr="00DC66CD">
        <w:rPr>
          <w:rFonts w:ascii="Garamond" w:hAnsi="Garamond"/>
          <w:sz w:val="24"/>
          <w:szCs w:val="24"/>
        </w:rPr>
        <w:t>2022. Dy u organizuan nga CEF</w:t>
      </w:r>
      <w:r w:rsidR="004832DE" w:rsidRPr="00DC66CD">
        <w:rPr>
          <w:rFonts w:ascii="Garamond" w:hAnsi="Garamond"/>
          <w:sz w:val="24"/>
          <w:szCs w:val="24"/>
        </w:rPr>
        <w:t>-ja</w:t>
      </w:r>
      <w:r w:rsidRPr="00DC66CD">
        <w:rPr>
          <w:rFonts w:ascii="Garamond" w:hAnsi="Garamond"/>
          <w:sz w:val="24"/>
          <w:szCs w:val="24"/>
        </w:rPr>
        <w:t xml:space="preserve"> si pjesë e projektit të saj FISR me Komisionin Evropian, përkatësisht në maj dhe tetor. Ngjarja tjetër për ndërtimin e kapaciteteve u organizua me mbështetjen e instrumentit TAIEX</w:t>
      </w:r>
      <w:r w:rsidR="004832DE" w:rsidRPr="00DC66CD">
        <w:rPr>
          <w:rFonts w:ascii="Garamond" w:hAnsi="Garamond"/>
          <w:sz w:val="24"/>
          <w:szCs w:val="24"/>
        </w:rPr>
        <w:t>,</w:t>
      </w:r>
      <w:r w:rsidRPr="00DC66CD">
        <w:rPr>
          <w:rFonts w:ascii="Garamond" w:hAnsi="Garamond"/>
          <w:sz w:val="24"/>
          <w:szCs w:val="24"/>
        </w:rPr>
        <w:t xml:space="preserve"> gjithashtu</w:t>
      </w:r>
      <w:r w:rsidR="004832DE" w:rsidRPr="00DC66CD">
        <w:rPr>
          <w:rFonts w:ascii="Garamond" w:hAnsi="Garamond"/>
          <w:sz w:val="24"/>
          <w:szCs w:val="24"/>
        </w:rPr>
        <w:t>,</w:t>
      </w:r>
      <w:r w:rsidRPr="00DC66CD">
        <w:rPr>
          <w:rFonts w:ascii="Garamond" w:hAnsi="Garamond"/>
          <w:sz w:val="24"/>
          <w:szCs w:val="24"/>
        </w:rPr>
        <w:t xml:space="preserve"> në tetor. Ishte një mision ekspertësh pesëditor, ku përfaqësues nga ministritë e linjës të përfshira në procesin ERP morën pjesë dhe shkëmbyen përvoja dhe kontribute për ERP-në u rishikuan nën drejtimin e ekspertëve TAIEX.</w:t>
      </w:r>
    </w:p>
    <w:p w14:paraId="098EA20D" w14:textId="5EC29555"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 xml:space="preserve">Procesi i përgjithshëm u ndikua ndjeshëm nga tërmeti i 26 nëntorit që goditi rajone specifike të Shqipërisë. Si rezultat i të gjitha përpjekjeve të qeverisë që janë përqendruar për të siguruar lehtësim pas katastrofës, një vonesë e konsiderueshme iu atribua në mënyrë të pashmangshme hartimit dhe përgatitjes së ERP. Si pasojë, kjo u reflektua si një efekt domino në hapat e ardhshëm të mbetur, përfshirë ndër të tjera edhe procesin e konsultimit publik, rishikimin e draftit përfundimtar dhe fillimin e procedurave ligjore të brendshme për miratimin e </w:t>
      </w:r>
      <w:r w:rsidR="004832DE" w:rsidRPr="00DC66CD">
        <w:rPr>
          <w:rFonts w:ascii="Garamond" w:hAnsi="Garamond"/>
          <w:sz w:val="24"/>
          <w:szCs w:val="24"/>
        </w:rPr>
        <w:t xml:space="preserve">vendimit </w:t>
      </w:r>
      <w:r w:rsidRPr="00DC66CD">
        <w:rPr>
          <w:rFonts w:ascii="Garamond" w:hAnsi="Garamond"/>
          <w:sz w:val="24"/>
          <w:szCs w:val="24"/>
        </w:rPr>
        <w:t>të Këshillit të Ministrave për ERP</w:t>
      </w:r>
      <w:r w:rsidR="004832DE" w:rsidRPr="00DC66CD">
        <w:rPr>
          <w:rFonts w:ascii="Garamond" w:hAnsi="Garamond"/>
          <w:sz w:val="24"/>
          <w:szCs w:val="24"/>
        </w:rPr>
        <w:t>,</w:t>
      </w:r>
      <w:r w:rsidRPr="00DC66CD">
        <w:rPr>
          <w:rFonts w:ascii="Garamond" w:hAnsi="Garamond"/>
          <w:sz w:val="24"/>
          <w:szCs w:val="24"/>
        </w:rPr>
        <w:t xml:space="preserve"> 2020</w:t>
      </w:r>
      <w:r w:rsidR="004832DE" w:rsidRPr="00DC66CD">
        <w:rPr>
          <w:rFonts w:ascii="Garamond" w:hAnsi="Garamond"/>
          <w:sz w:val="24"/>
          <w:szCs w:val="24"/>
        </w:rPr>
        <w:t>–</w:t>
      </w:r>
      <w:r w:rsidRPr="00DC66CD">
        <w:rPr>
          <w:rFonts w:ascii="Garamond" w:hAnsi="Garamond"/>
          <w:sz w:val="24"/>
          <w:szCs w:val="24"/>
        </w:rPr>
        <w:t>2022.</w:t>
      </w:r>
    </w:p>
    <w:p w14:paraId="49C44923" w14:textId="278313B2" w:rsidR="006F605B" w:rsidRPr="00DC66CD" w:rsidRDefault="006F605B" w:rsidP="006F605B">
      <w:pPr>
        <w:snapToGrid w:val="0"/>
        <w:spacing w:after="0" w:line="240" w:lineRule="auto"/>
        <w:ind w:firstLine="284"/>
        <w:jc w:val="both"/>
        <w:rPr>
          <w:rFonts w:ascii="Garamond" w:hAnsi="Garamond"/>
          <w:sz w:val="24"/>
          <w:szCs w:val="24"/>
        </w:rPr>
      </w:pPr>
      <w:r w:rsidRPr="00DC66CD">
        <w:rPr>
          <w:rFonts w:ascii="Garamond" w:hAnsi="Garamond"/>
          <w:sz w:val="24"/>
          <w:szCs w:val="24"/>
        </w:rPr>
        <w:t>Dokumenti i ERP-së u nda për konsultime publike me partnerët zhvillimorë dhe integrues dhe shoqërinë civile. Reagimet e marra u ndanë me ministritë e linjës që kontribuan në ERP</w:t>
      </w:r>
      <w:r w:rsidR="0042617D" w:rsidRPr="00DC66CD">
        <w:rPr>
          <w:rFonts w:ascii="Garamond" w:hAnsi="Garamond"/>
          <w:sz w:val="24"/>
          <w:szCs w:val="24"/>
        </w:rPr>
        <w:t>-në</w:t>
      </w:r>
      <w:r w:rsidRPr="00DC66CD">
        <w:rPr>
          <w:rFonts w:ascii="Garamond" w:hAnsi="Garamond"/>
          <w:sz w:val="24"/>
          <w:szCs w:val="24"/>
        </w:rPr>
        <w:t>, dhe janë përfshirë si aneks i këtij dokumenti (</w:t>
      </w:r>
      <w:r w:rsidR="0042617D" w:rsidRPr="00DC66CD">
        <w:rPr>
          <w:rFonts w:ascii="Garamond" w:hAnsi="Garamond"/>
          <w:sz w:val="24"/>
          <w:szCs w:val="24"/>
        </w:rPr>
        <w:t xml:space="preserve">shtojca </w:t>
      </w:r>
      <w:r w:rsidRPr="00DC66CD">
        <w:rPr>
          <w:rFonts w:ascii="Garamond" w:hAnsi="Garamond"/>
          <w:sz w:val="24"/>
          <w:szCs w:val="24"/>
        </w:rPr>
        <w:t>II).</w:t>
      </w:r>
    </w:p>
    <w:p w14:paraId="0A36A2E1" w14:textId="77777777" w:rsidR="006F605B" w:rsidRPr="00DC66CD" w:rsidRDefault="006F605B" w:rsidP="006F605B">
      <w:pPr>
        <w:snapToGrid w:val="0"/>
        <w:spacing w:after="0" w:line="240" w:lineRule="auto"/>
        <w:ind w:firstLine="284"/>
        <w:jc w:val="both"/>
        <w:rPr>
          <w:rFonts w:ascii="Garamond" w:hAnsi="Garamond"/>
          <w:sz w:val="24"/>
          <w:szCs w:val="24"/>
        </w:rPr>
      </w:pPr>
    </w:p>
    <w:p w14:paraId="22897DC6" w14:textId="77777777" w:rsidR="006F605B" w:rsidRPr="00DC66CD" w:rsidRDefault="006F605B" w:rsidP="004F4E33">
      <w:pPr>
        <w:pStyle w:val="Heading1"/>
        <w:snapToGrid w:val="0"/>
        <w:ind w:left="0" w:firstLine="284"/>
        <w:jc w:val="center"/>
        <w:rPr>
          <w:rFonts w:ascii="Garamond" w:hAnsi="Garamond"/>
          <w:b w:val="0"/>
          <w:lang w:val="sq-AL"/>
        </w:rPr>
      </w:pPr>
      <w:bookmarkStart w:id="57" w:name="_Toc484076196"/>
      <w:bookmarkStart w:id="58" w:name="_Toc30661240"/>
      <w:r w:rsidRPr="00DC66CD">
        <w:rPr>
          <w:rFonts w:ascii="Garamond" w:hAnsi="Garamond"/>
          <w:b w:val="0"/>
          <w:lang w:val="sq-AL"/>
        </w:rPr>
        <w:t>SHTOJCA I</w:t>
      </w:r>
      <w:bookmarkEnd w:id="57"/>
      <w:bookmarkEnd w:id="58"/>
    </w:p>
    <w:p w14:paraId="0FAACCD4" w14:textId="77777777" w:rsidR="006F605B" w:rsidRPr="00DC66CD" w:rsidRDefault="006F605B" w:rsidP="006F605B">
      <w:pPr>
        <w:snapToGrid w:val="0"/>
        <w:spacing w:after="0" w:line="240" w:lineRule="auto"/>
        <w:ind w:firstLine="284"/>
        <w:rPr>
          <w:rFonts w:ascii="Garamond" w:hAnsi="Garamond"/>
          <w:sz w:val="24"/>
          <w:szCs w:val="24"/>
        </w:rPr>
      </w:pPr>
    </w:p>
    <w:p w14:paraId="2680A7D3"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59" w:name="_Toc536784306"/>
      <w:bookmarkStart w:id="60" w:name="_Toc30661241"/>
      <w:r w:rsidRPr="00DC66CD">
        <w:rPr>
          <w:rFonts w:ascii="Garamond" w:hAnsi="Garamond"/>
          <w:color w:val="auto"/>
          <w:sz w:val="24"/>
          <w:szCs w:val="24"/>
        </w:rPr>
        <w:t xml:space="preserve">Tabela 1a: </w:t>
      </w:r>
      <w:bookmarkEnd w:id="59"/>
      <w:r w:rsidRPr="00DC66CD">
        <w:rPr>
          <w:rFonts w:ascii="Garamond" w:hAnsi="Garamond"/>
          <w:color w:val="auto"/>
          <w:sz w:val="24"/>
          <w:szCs w:val="24"/>
        </w:rPr>
        <w:t>Perspektivat makroekonomike</w:t>
      </w:r>
      <w:bookmarkEnd w:id="60"/>
    </w:p>
    <w:tbl>
      <w:tblPr>
        <w:tblW w:w="5000" w:type="pct"/>
        <w:jc w:val="center"/>
        <w:tblLook w:val="04A0" w:firstRow="1" w:lastRow="0" w:firstColumn="1" w:lastColumn="0" w:noHBand="0" w:noVBand="1"/>
      </w:tblPr>
      <w:tblGrid>
        <w:gridCol w:w="3840"/>
        <w:gridCol w:w="950"/>
        <w:gridCol w:w="1139"/>
        <w:gridCol w:w="653"/>
        <w:gridCol w:w="707"/>
        <w:gridCol w:w="707"/>
        <w:gridCol w:w="621"/>
        <w:gridCol w:w="663"/>
      </w:tblGrid>
      <w:tr w:rsidR="006F605B" w:rsidRPr="00DC66CD" w14:paraId="44857899" w14:textId="77777777" w:rsidTr="004F4E33">
        <w:trPr>
          <w:trHeight w:val="235"/>
          <w:jc w:val="center"/>
        </w:trPr>
        <w:tc>
          <w:tcPr>
            <w:tcW w:w="2071" w:type="pct"/>
            <w:vMerge w:val="restart"/>
            <w:tcBorders>
              <w:top w:val="double" w:sz="6" w:space="0" w:color="auto"/>
              <w:left w:val="double" w:sz="6" w:space="0" w:color="auto"/>
              <w:bottom w:val="dotted" w:sz="4" w:space="0" w:color="000000"/>
              <w:right w:val="dotted" w:sz="4" w:space="0" w:color="auto"/>
            </w:tcBorders>
            <w:shd w:val="clear" w:color="000000" w:fill="FFFFFF"/>
            <w:vAlign w:val="center"/>
            <w:hideMark/>
          </w:tcPr>
          <w:p w14:paraId="30B31615"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Percentages unless otherwise indicated</w:t>
            </w:r>
          </w:p>
        </w:tc>
        <w:tc>
          <w:tcPr>
            <w:tcW w:w="498" w:type="pct"/>
            <w:vMerge w:val="restart"/>
            <w:tcBorders>
              <w:top w:val="double" w:sz="6" w:space="0" w:color="auto"/>
              <w:left w:val="dotted" w:sz="4" w:space="0" w:color="auto"/>
              <w:bottom w:val="dotted" w:sz="4" w:space="0" w:color="000000"/>
              <w:right w:val="single" w:sz="8" w:space="0" w:color="auto"/>
            </w:tcBorders>
            <w:shd w:val="clear" w:color="000000" w:fill="FFFFFF"/>
            <w:vAlign w:val="center"/>
            <w:hideMark/>
          </w:tcPr>
          <w:p w14:paraId="6162E198"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ESA Code</w:t>
            </w:r>
          </w:p>
        </w:tc>
        <w:tc>
          <w:tcPr>
            <w:tcW w:w="616" w:type="pct"/>
            <w:tcBorders>
              <w:top w:val="double" w:sz="6" w:space="0" w:color="auto"/>
              <w:left w:val="nil"/>
              <w:bottom w:val="nil"/>
              <w:right w:val="single" w:sz="8" w:space="0" w:color="auto"/>
            </w:tcBorders>
            <w:shd w:val="clear" w:color="000000" w:fill="FFFFFF"/>
            <w:vAlign w:val="center"/>
            <w:hideMark/>
          </w:tcPr>
          <w:p w14:paraId="29756660"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Year</w:t>
            </w:r>
          </w:p>
        </w:tc>
        <w:tc>
          <w:tcPr>
            <w:tcW w:w="354" w:type="pct"/>
            <w:tcBorders>
              <w:top w:val="double" w:sz="6" w:space="0" w:color="auto"/>
              <w:left w:val="nil"/>
              <w:bottom w:val="nil"/>
              <w:right w:val="dotted" w:sz="4" w:space="0" w:color="auto"/>
            </w:tcBorders>
            <w:shd w:val="clear" w:color="000000" w:fill="FFFFFF"/>
            <w:vAlign w:val="center"/>
            <w:hideMark/>
          </w:tcPr>
          <w:p w14:paraId="17E548C5"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383" w:type="pct"/>
            <w:tcBorders>
              <w:top w:val="double" w:sz="6" w:space="0" w:color="auto"/>
              <w:left w:val="nil"/>
              <w:bottom w:val="nil"/>
              <w:right w:val="dotted" w:sz="4" w:space="0" w:color="auto"/>
            </w:tcBorders>
            <w:shd w:val="clear" w:color="000000" w:fill="FFFFFF"/>
            <w:vAlign w:val="center"/>
            <w:hideMark/>
          </w:tcPr>
          <w:p w14:paraId="52256384"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383" w:type="pct"/>
            <w:tcBorders>
              <w:top w:val="double" w:sz="6" w:space="0" w:color="auto"/>
              <w:left w:val="nil"/>
              <w:bottom w:val="nil"/>
              <w:right w:val="dotted" w:sz="4" w:space="0" w:color="auto"/>
            </w:tcBorders>
            <w:shd w:val="clear" w:color="000000" w:fill="FFFFFF"/>
            <w:vAlign w:val="center"/>
            <w:hideMark/>
          </w:tcPr>
          <w:p w14:paraId="7F679066"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336" w:type="pct"/>
            <w:tcBorders>
              <w:top w:val="double" w:sz="6" w:space="0" w:color="auto"/>
              <w:left w:val="nil"/>
              <w:bottom w:val="nil"/>
              <w:right w:val="dotted" w:sz="4" w:space="0" w:color="auto"/>
            </w:tcBorders>
            <w:shd w:val="clear" w:color="000000" w:fill="FFFFFF"/>
            <w:vAlign w:val="center"/>
            <w:hideMark/>
          </w:tcPr>
          <w:p w14:paraId="431B83E7"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359" w:type="pct"/>
            <w:tcBorders>
              <w:top w:val="double" w:sz="6" w:space="0" w:color="auto"/>
              <w:left w:val="nil"/>
              <w:bottom w:val="nil"/>
              <w:right w:val="double" w:sz="6" w:space="0" w:color="auto"/>
            </w:tcBorders>
            <w:shd w:val="clear" w:color="000000" w:fill="FFFFFF"/>
            <w:vAlign w:val="center"/>
            <w:hideMark/>
          </w:tcPr>
          <w:p w14:paraId="11A00FA9"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4CE3AA7B" w14:textId="77777777" w:rsidTr="004F4E33">
        <w:trPr>
          <w:trHeight w:val="235"/>
          <w:jc w:val="center"/>
        </w:trPr>
        <w:tc>
          <w:tcPr>
            <w:tcW w:w="2071" w:type="pct"/>
            <w:vMerge/>
            <w:tcBorders>
              <w:top w:val="double" w:sz="6" w:space="0" w:color="auto"/>
              <w:left w:val="double" w:sz="6" w:space="0" w:color="auto"/>
              <w:bottom w:val="dotted" w:sz="4" w:space="0" w:color="000000"/>
              <w:right w:val="dotted" w:sz="4" w:space="0" w:color="auto"/>
            </w:tcBorders>
            <w:vAlign w:val="center"/>
            <w:hideMark/>
          </w:tcPr>
          <w:p w14:paraId="4F7053E2"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498" w:type="pct"/>
            <w:vMerge/>
            <w:tcBorders>
              <w:top w:val="double" w:sz="6" w:space="0" w:color="auto"/>
              <w:left w:val="dotted" w:sz="4" w:space="0" w:color="auto"/>
              <w:bottom w:val="dotted" w:sz="4" w:space="0" w:color="000000"/>
              <w:right w:val="single" w:sz="8" w:space="0" w:color="auto"/>
            </w:tcBorders>
            <w:vAlign w:val="center"/>
            <w:hideMark/>
          </w:tcPr>
          <w:p w14:paraId="234ED7D3"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616" w:type="pct"/>
            <w:tcBorders>
              <w:top w:val="nil"/>
              <w:left w:val="nil"/>
              <w:bottom w:val="double" w:sz="6" w:space="0" w:color="auto"/>
              <w:right w:val="single" w:sz="8" w:space="0" w:color="auto"/>
            </w:tcBorders>
            <w:shd w:val="clear" w:color="000000" w:fill="FFFFFF"/>
            <w:vAlign w:val="center"/>
            <w:hideMark/>
          </w:tcPr>
          <w:p w14:paraId="22BA8183"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2018</w:t>
            </w:r>
          </w:p>
        </w:tc>
        <w:tc>
          <w:tcPr>
            <w:tcW w:w="354" w:type="pct"/>
            <w:tcBorders>
              <w:top w:val="nil"/>
              <w:left w:val="nil"/>
              <w:bottom w:val="double" w:sz="6" w:space="0" w:color="auto"/>
              <w:right w:val="dotted" w:sz="4" w:space="0" w:color="auto"/>
            </w:tcBorders>
            <w:shd w:val="clear" w:color="000000" w:fill="FFFFFF"/>
            <w:vAlign w:val="center"/>
            <w:hideMark/>
          </w:tcPr>
          <w:p w14:paraId="6807397B"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383" w:type="pct"/>
            <w:tcBorders>
              <w:top w:val="nil"/>
              <w:left w:val="nil"/>
              <w:bottom w:val="double" w:sz="6" w:space="0" w:color="auto"/>
              <w:right w:val="dotted" w:sz="4" w:space="0" w:color="auto"/>
            </w:tcBorders>
            <w:shd w:val="clear" w:color="000000" w:fill="FFFFFF"/>
            <w:vAlign w:val="center"/>
            <w:hideMark/>
          </w:tcPr>
          <w:p w14:paraId="78351B0B"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383" w:type="pct"/>
            <w:tcBorders>
              <w:top w:val="nil"/>
              <w:left w:val="nil"/>
              <w:bottom w:val="double" w:sz="6" w:space="0" w:color="auto"/>
              <w:right w:val="dotted" w:sz="4" w:space="0" w:color="auto"/>
            </w:tcBorders>
            <w:shd w:val="clear" w:color="000000" w:fill="FFFFFF"/>
            <w:vAlign w:val="center"/>
            <w:hideMark/>
          </w:tcPr>
          <w:p w14:paraId="285B5C66"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336" w:type="pct"/>
            <w:tcBorders>
              <w:top w:val="nil"/>
              <w:left w:val="nil"/>
              <w:bottom w:val="double" w:sz="6" w:space="0" w:color="auto"/>
              <w:right w:val="dotted" w:sz="4" w:space="0" w:color="auto"/>
            </w:tcBorders>
            <w:shd w:val="clear" w:color="000000" w:fill="FFFFFF"/>
            <w:vAlign w:val="center"/>
            <w:hideMark/>
          </w:tcPr>
          <w:p w14:paraId="53F4820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359" w:type="pct"/>
            <w:tcBorders>
              <w:top w:val="nil"/>
              <w:left w:val="nil"/>
              <w:bottom w:val="double" w:sz="6" w:space="0" w:color="auto"/>
              <w:right w:val="double" w:sz="6" w:space="0" w:color="auto"/>
            </w:tcBorders>
            <w:shd w:val="clear" w:color="000000" w:fill="FFFFFF"/>
            <w:vAlign w:val="center"/>
            <w:hideMark/>
          </w:tcPr>
          <w:p w14:paraId="662C4F1B"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1D9C7538" w14:textId="77777777" w:rsidTr="004F4E33">
        <w:trPr>
          <w:trHeight w:val="354"/>
          <w:jc w:val="center"/>
        </w:trPr>
        <w:tc>
          <w:tcPr>
            <w:tcW w:w="2071" w:type="pct"/>
            <w:tcBorders>
              <w:top w:val="nil"/>
              <w:left w:val="double" w:sz="6" w:space="0" w:color="auto"/>
              <w:bottom w:val="single" w:sz="8" w:space="0" w:color="auto"/>
              <w:right w:val="dotted" w:sz="4" w:space="0" w:color="auto"/>
            </w:tcBorders>
            <w:shd w:val="clear" w:color="000000" w:fill="FFFFFF"/>
            <w:vAlign w:val="center"/>
            <w:hideMark/>
          </w:tcPr>
          <w:p w14:paraId="55100B32" w14:textId="43861A52"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498" w:type="pct"/>
            <w:tcBorders>
              <w:top w:val="nil"/>
              <w:left w:val="nil"/>
              <w:bottom w:val="single" w:sz="8" w:space="0" w:color="auto"/>
              <w:right w:val="single" w:sz="8" w:space="0" w:color="auto"/>
            </w:tcBorders>
            <w:shd w:val="clear" w:color="000000" w:fill="FFFFFF"/>
            <w:vAlign w:val="center"/>
            <w:hideMark/>
          </w:tcPr>
          <w:p w14:paraId="638A6730" w14:textId="0AAC8E10"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616" w:type="pct"/>
            <w:tcBorders>
              <w:top w:val="nil"/>
              <w:left w:val="nil"/>
              <w:bottom w:val="single" w:sz="8" w:space="0" w:color="auto"/>
              <w:right w:val="single" w:sz="8" w:space="0" w:color="auto"/>
            </w:tcBorders>
            <w:shd w:val="clear" w:color="000000" w:fill="FFFFFF"/>
            <w:vAlign w:val="center"/>
            <w:hideMark/>
          </w:tcPr>
          <w:p w14:paraId="4FA5771A" w14:textId="77777777" w:rsidR="006F605B" w:rsidRPr="00DC66CD" w:rsidRDefault="006F605B" w:rsidP="004F4E33">
            <w:pPr>
              <w:spacing w:after="0" w:line="240" w:lineRule="auto"/>
              <w:jc w:val="center"/>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Level</w:t>
            </w:r>
          </w:p>
          <w:p w14:paraId="19D6F20B" w14:textId="77777777" w:rsidR="006F605B" w:rsidRPr="00DC66CD" w:rsidRDefault="006F605B" w:rsidP="004F4E33">
            <w:pPr>
              <w:spacing w:after="0" w:line="240" w:lineRule="auto"/>
              <w:jc w:val="center"/>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(bn EUR)</w:t>
            </w:r>
          </w:p>
        </w:tc>
        <w:tc>
          <w:tcPr>
            <w:tcW w:w="1816" w:type="pct"/>
            <w:gridSpan w:val="5"/>
            <w:tcBorders>
              <w:top w:val="double" w:sz="6" w:space="0" w:color="auto"/>
              <w:left w:val="nil"/>
              <w:bottom w:val="single" w:sz="8" w:space="0" w:color="auto"/>
              <w:right w:val="double" w:sz="6" w:space="0" w:color="000000"/>
            </w:tcBorders>
            <w:shd w:val="clear" w:color="000000" w:fill="FFFFFF"/>
            <w:vAlign w:val="center"/>
            <w:hideMark/>
          </w:tcPr>
          <w:p w14:paraId="6610626A" w14:textId="18D2C03A" w:rsidR="006F605B" w:rsidRPr="00DC66CD" w:rsidRDefault="006F605B" w:rsidP="004F4E33">
            <w:pPr>
              <w:spacing w:after="0" w:line="240" w:lineRule="auto"/>
              <w:jc w:val="center"/>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Rate of change</w:t>
            </w:r>
          </w:p>
        </w:tc>
      </w:tr>
      <w:tr w:rsidR="006F605B" w:rsidRPr="00DC66CD" w14:paraId="76096A00" w14:textId="77777777" w:rsidTr="004F4E33">
        <w:trPr>
          <w:trHeight w:val="235"/>
          <w:jc w:val="center"/>
        </w:trPr>
        <w:tc>
          <w:tcPr>
            <w:tcW w:w="2071" w:type="pct"/>
            <w:tcBorders>
              <w:top w:val="nil"/>
              <w:left w:val="double" w:sz="6" w:space="0" w:color="auto"/>
              <w:bottom w:val="dotted" w:sz="4" w:space="0" w:color="auto"/>
              <w:right w:val="dotted" w:sz="4" w:space="0" w:color="auto"/>
            </w:tcBorders>
            <w:shd w:val="clear" w:color="000000" w:fill="FFFFFF"/>
            <w:vAlign w:val="bottom"/>
            <w:hideMark/>
          </w:tcPr>
          <w:p w14:paraId="1649B0B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 Real GDP at market prices</w:t>
            </w:r>
            <w:r w:rsidRPr="00DC66CD">
              <w:rPr>
                <w:rFonts w:ascii="Garamond" w:hAnsi="Garamond"/>
                <w:b/>
                <w:bCs/>
                <w:color w:val="0D0D0D" w:themeColor="text1" w:themeTint="F2"/>
                <w:sz w:val="20"/>
                <w:szCs w:val="20"/>
              </w:rPr>
              <w:t xml:space="preserve"> </w:t>
            </w:r>
          </w:p>
        </w:tc>
        <w:tc>
          <w:tcPr>
            <w:tcW w:w="498" w:type="pct"/>
            <w:tcBorders>
              <w:top w:val="nil"/>
              <w:left w:val="nil"/>
              <w:bottom w:val="dotted" w:sz="4" w:space="0" w:color="auto"/>
              <w:right w:val="single" w:sz="8" w:space="0" w:color="auto"/>
            </w:tcBorders>
            <w:shd w:val="clear" w:color="000000" w:fill="FFFFFF"/>
            <w:vAlign w:val="bottom"/>
            <w:hideMark/>
          </w:tcPr>
          <w:p w14:paraId="240D78B5"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B1*g</w:t>
            </w:r>
          </w:p>
        </w:tc>
        <w:tc>
          <w:tcPr>
            <w:tcW w:w="616" w:type="pct"/>
            <w:tcBorders>
              <w:top w:val="nil"/>
              <w:left w:val="single" w:sz="8" w:space="0" w:color="auto"/>
              <w:bottom w:val="dotted" w:sz="4" w:space="0" w:color="auto"/>
              <w:right w:val="single" w:sz="8" w:space="0" w:color="auto"/>
            </w:tcBorders>
            <w:shd w:val="clear" w:color="000000" w:fill="FFFFFF"/>
            <w:vAlign w:val="bottom"/>
          </w:tcPr>
          <w:p w14:paraId="33DC86E1"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12.663</w:t>
            </w:r>
          </w:p>
        </w:tc>
        <w:tc>
          <w:tcPr>
            <w:tcW w:w="354" w:type="pct"/>
            <w:tcBorders>
              <w:top w:val="nil"/>
              <w:left w:val="nil"/>
              <w:bottom w:val="dotted" w:sz="4" w:space="0" w:color="auto"/>
              <w:right w:val="dotted" w:sz="4" w:space="0" w:color="auto"/>
            </w:tcBorders>
            <w:shd w:val="clear" w:color="000000" w:fill="FFFFFF"/>
            <w:vAlign w:val="bottom"/>
          </w:tcPr>
          <w:p w14:paraId="2E2F386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4.1</w:t>
            </w:r>
          </w:p>
        </w:tc>
        <w:tc>
          <w:tcPr>
            <w:tcW w:w="383" w:type="pct"/>
            <w:tcBorders>
              <w:top w:val="nil"/>
              <w:left w:val="nil"/>
              <w:bottom w:val="dotted" w:sz="4" w:space="0" w:color="auto"/>
              <w:right w:val="dotted" w:sz="4" w:space="0" w:color="auto"/>
            </w:tcBorders>
            <w:shd w:val="clear" w:color="000000" w:fill="FFFFFF"/>
            <w:vAlign w:val="bottom"/>
          </w:tcPr>
          <w:p w14:paraId="6492EED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w:t>
            </w:r>
          </w:p>
        </w:tc>
        <w:tc>
          <w:tcPr>
            <w:tcW w:w="383" w:type="pct"/>
            <w:tcBorders>
              <w:top w:val="nil"/>
              <w:left w:val="nil"/>
              <w:bottom w:val="dotted" w:sz="4" w:space="0" w:color="auto"/>
              <w:right w:val="dotted" w:sz="4" w:space="0" w:color="auto"/>
            </w:tcBorders>
            <w:shd w:val="clear" w:color="000000" w:fill="FFFFFF"/>
            <w:vAlign w:val="bottom"/>
          </w:tcPr>
          <w:p w14:paraId="73E2069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4.1</w:t>
            </w:r>
          </w:p>
        </w:tc>
        <w:tc>
          <w:tcPr>
            <w:tcW w:w="336" w:type="pct"/>
            <w:tcBorders>
              <w:top w:val="nil"/>
              <w:left w:val="nil"/>
              <w:bottom w:val="dotted" w:sz="4" w:space="0" w:color="auto"/>
              <w:right w:val="dotted" w:sz="4" w:space="0" w:color="auto"/>
            </w:tcBorders>
            <w:shd w:val="clear" w:color="000000" w:fill="FFFFFF"/>
            <w:vAlign w:val="bottom"/>
          </w:tcPr>
          <w:p w14:paraId="4123060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4.0</w:t>
            </w:r>
          </w:p>
        </w:tc>
        <w:tc>
          <w:tcPr>
            <w:tcW w:w="359" w:type="pct"/>
            <w:tcBorders>
              <w:top w:val="nil"/>
              <w:left w:val="nil"/>
              <w:bottom w:val="dotted" w:sz="4" w:space="0" w:color="auto"/>
              <w:right w:val="double" w:sz="6" w:space="0" w:color="auto"/>
            </w:tcBorders>
            <w:shd w:val="clear" w:color="000000" w:fill="FFFFFF"/>
            <w:vAlign w:val="bottom"/>
          </w:tcPr>
          <w:p w14:paraId="77AAFF1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4.0</w:t>
            </w:r>
          </w:p>
        </w:tc>
      </w:tr>
      <w:tr w:rsidR="006F605B" w:rsidRPr="00DC66CD" w14:paraId="7D2A67CE" w14:textId="77777777" w:rsidTr="004F4E33">
        <w:trPr>
          <w:trHeight w:val="235"/>
          <w:jc w:val="center"/>
        </w:trPr>
        <w:tc>
          <w:tcPr>
            <w:tcW w:w="2071" w:type="pct"/>
            <w:tcBorders>
              <w:top w:val="nil"/>
              <w:left w:val="double" w:sz="6" w:space="0" w:color="auto"/>
              <w:bottom w:val="single" w:sz="8" w:space="0" w:color="auto"/>
              <w:right w:val="dotted" w:sz="4" w:space="0" w:color="auto"/>
            </w:tcBorders>
            <w:shd w:val="clear" w:color="000000" w:fill="FFFFFF"/>
            <w:vAlign w:val="bottom"/>
            <w:hideMark/>
          </w:tcPr>
          <w:p w14:paraId="62346F05"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 Current GDP at</w:t>
            </w:r>
            <w:r w:rsidRPr="00DC66CD">
              <w:rPr>
                <w:rFonts w:ascii="Garamond" w:hAnsi="Garamond"/>
                <w:i/>
                <w:iCs/>
                <w:color w:val="0D0D0D" w:themeColor="text1" w:themeTint="F2"/>
                <w:sz w:val="20"/>
                <w:szCs w:val="20"/>
              </w:rPr>
              <w:t xml:space="preserve"> </w:t>
            </w:r>
            <w:r w:rsidRPr="00DC66CD">
              <w:rPr>
                <w:rFonts w:ascii="Garamond" w:hAnsi="Garamond"/>
                <w:color w:val="0D0D0D" w:themeColor="text1" w:themeTint="F2"/>
                <w:sz w:val="20"/>
                <w:szCs w:val="20"/>
              </w:rPr>
              <w:t>market prices</w:t>
            </w:r>
          </w:p>
        </w:tc>
        <w:tc>
          <w:tcPr>
            <w:tcW w:w="498" w:type="pct"/>
            <w:tcBorders>
              <w:top w:val="nil"/>
              <w:left w:val="nil"/>
              <w:bottom w:val="single" w:sz="8" w:space="0" w:color="auto"/>
              <w:right w:val="single" w:sz="8" w:space="0" w:color="auto"/>
            </w:tcBorders>
            <w:shd w:val="clear" w:color="000000" w:fill="FFFFFF"/>
            <w:vAlign w:val="bottom"/>
            <w:hideMark/>
          </w:tcPr>
          <w:p w14:paraId="1093F7B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B1*g</w:t>
            </w:r>
          </w:p>
        </w:tc>
        <w:tc>
          <w:tcPr>
            <w:tcW w:w="616" w:type="pct"/>
            <w:tcBorders>
              <w:top w:val="nil"/>
              <w:left w:val="single" w:sz="8" w:space="0" w:color="auto"/>
              <w:bottom w:val="single" w:sz="8" w:space="0" w:color="auto"/>
              <w:right w:val="single" w:sz="8" w:space="0" w:color="auto"/>
            </w:tcBorders>
            <w:shd w:val="clear" w:color="000000" w:fill="FFFFFF"/>
            <w:vAlign w:val="bottom"/>
          </w:tcPr>
          <w:p w14:paraId="1794279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12.783</w:t>
            </w:r>
          </w:p>
        </w:tc>
        <w:tc>
          <w:tcPr>
            <w:tcW w:w="354" w:type="pct"/>
            <w:tcBorders>
              <w:top w:val="nil"/>
              <w:left w:val="nil"/>
              <w:bottom w:val="single" w:sz="8" w:space="0" w:color="auto"/>
              <w:right w:val="dotted" w:sz="4" w:space="0" w:color="auto"/>
            </w:tcBorders>
            <w:shd w:val="clear" w:color="000000" w:fill="FFFFFF"/>
            <w:vAlign w:val="bottom"/>
          </w:tcPr>
          <w:p w14:paraId="29BE9C9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5.1</w:t>
            </w:r>
          </w:p>
        </w:tc>
        <w:tc>
          <w:tcPr>
            <w:tcW w:w="383" w:type="pct"/>
            <w:tcBorders>
              <w:top w:val="nil"/>
              <w:left w:val="nil"/>
              <w:bottom w:val="single" w:sz="8" w:space="0" w:color="auto"/>
              <w:right w:val="dotted" w:sz="4" w:space="0" w:color="auto"/>
            </w:tcBorders>
            <w:shd w:val="clear" w:color="000000" w:fill="FFFFFF"/>
            <w:vAlign w:val="bottom"/>
          </w:tcPr>
          <w:p w14:paraId="108A78E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3.6</w:t>
            </w:r>
          </w:p>
        </w:tc>
        <w:tc>
          <w:tcPr>
            <w:tcW w:w="383" w:type="pct"/>
            <w:tcBorders>
              <w:top w:val="nil"/>
              <w:left w:val="nil"/>
              <w:bottom w:val="single" w:sz="8" w:space="0" w:color="auto"/>
              <w:right w:val="dotted" w:sz="4" w:space="0" w:color="auto"/>
            </w:tcBorders>
            <w:shd w:val="clear" w:color="000000" w:fill="FFFFFF"/>
            <w:vAlign w:val="bottom"/>
          </w:tcPr>
          <w:p w14:paraId="2B4C9E7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5.2</w:t>
            </w:r>
          </w:p>
        </w:tc>
        <w:tc>
          <w:tcPr>
            <w:tcW w:w="336" w:type="pct"/>
            <w:tcBorders>
              <w:top w:val="nil"/>
              <w:left w:val="nil"/>
              <w:bottom w:val="single" w:sz="8" w:space="0" w:color="auto"/>
              <w:right w:val="dotted" w:sz="4" w:space="0" w:color="auto"/>
            </w:tcBorders>
            <w:shd w:val="clear" w:color="000000" w:fill="FFFFFF"/>
            <w:vAlign w:val="bottom"/>
          </w:tcPr>
          <w:p w14:paraId="35681AB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5.8</w:t>
            </w:r>
          </w:p>
        </w:tc>
        <w:tc>
          <w:tcPr>
            <w:tcW w:w="359" w:type="pct"/>
            <w:tcBorders>
              <w:top w:val="nil"/>
              <w:left w:val="nil"/>
              <w:bottom w:val="single" w:sz="8" w:space="0" w:color="auto"/>
              <w:right w:val="double" w:sz="6" w:space="0" w:color="auto"/>
            </w:tcBorders>
            <w:shd w:val="clear" w:color="000000" w:fill="FFFFFF"/>
            <w:vAlign w:val="bottom"/>
          </w:tcPr>
          <w:p w14:paraId="75D4BB8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5.9</w:t>
            </w:r>
          </w:p>
        </w:tc>
      </w:tr>
      <w:tr w:rsidR="006F605B" w:rsidRPr="00DC66CD" w14:paraId="6726D924" w14:textId="77777777" w:rsidTr="004F4E33">
        <w:trPr>
          <w:trHeight w:val="235"/>
          <w:jc w:val="center"/>
        </w:trPr>
        <w:tc>
          <w:tcPr>
            <w:tcW w:w="5000" w:type="pct"/>
            <w:gridSpan w:val="8"/>
            <w:tcBorders>
              <w:top w:val="single" w:sz="8" w:space="0" w:color="auto"/>
              <w:left w:val="double" w:sz="6" w:space="0" w:color="auto"/>
              <w:bottom w:val="single" w:sz="8" w:space="0" w:color="auto"/>
              <w:right w:val="double" w:sz="6" w:space="0" w:color="000000"/>
            </w:tcBorders>
            <w:shd w:val="clear" w:color="000000" w:fill="FFFFFF"/>
            <w:vAlign w:val="bottom"/>
            <w:hideMark/>
          </w:tcPr>
          <w:p w14:paraId="5EDD3428" w14:textId="77777777" w:rsidR="006F605B" w:rsidRPr="00DC66CD" w:rsidRDefault="006F605B" w:rsidP="00131DA1">
            <w:pPr>
              <w:spacing w:after="0" w:line="240" w:lineRule="auto"/>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Components of real GDP</w:t>
            </w:r>
          </w:p>
        </w:tc>
      </w:tr>
      <w:tr w:rsidR="006F605B" w:rsidRPr="00DC66CD" w14:paraId="7B1F7BE6" w14:textId="77777777" w:rsidTr="004F4E33">
        <w:trPr>
          <w:trHeight w:val="235"/>
          <w:jc w:val="center"/>
        </w:trPr>
        <w:tc>
          <w:tcPr>
            <w:tcW w:w="2071" w:type="pct"/>
            <w:tcBorders>
              <w:top w:val="nil"/>
              <w:left w:val="double" w:sz="6" w:space="0" w:color="auto"/>
              <w:bottom w:val="dotted" w:sz="4" w:space="0" w:color="auto"/>
              <w:right w:val="dotted" w:sz="4" w:space="0" w:color="auto"/>
            </w:tcBorders>
            <w:shd w:val="clear" w:color="000000" w:fill="FFFFFF"/>
            <w:vAlign w:val="bottom"/>
            <w:hideMark/>
          </w:tcPr>
          <w:p w14:paraId="58652885"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3. Private consumption expenditure</w:t>
            </w:r>
          </w:p>
        </w:tc>
        <w:tc>
          <w:tcPr>
            <w:tcW w:w="498" w:type="pct"/>
            <w:tcBorders>
              <w:top w:val="nil"/>
              <w:left w:val="nil"/>
              <w:bottom w:val="dotted" w:sz="4" w:space="0" w:color="auto"/>
              <w:right w:val="single" w:sz="8" w:space="0" w:color="auto"/>
            </w:tcBorders>
            <w:shd w:val="clear" w:color="000000" w:fill="FFFFFF"/>
            <w:vAlign w:val="bottom"/>
            <w:hideMark/>
          </w:tcPr>
          <w:p w14:paraId="3BD06C7B"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P3</w:t>
            </w:r>
          </w:p>
        </w:tc>
        <w:tc>
          <w:tcPr>
            <w:tcW w:w="616" w:type="pct"/>
            <w:tcBorders>
              <w:top w:val="nil"/>
              <w:left w:val="single" w:sz="8" w:space="0" w:color="auto"/>
              <w:bottom w:val="dotted" w:sz="4" w:space="0" w:color="auto"/>
              <w:right w:val="single" w:sz="8" w:space="0" w:color="auto"/>
            </w:tcBorders>
            <w:shd w:val="clear" w:color="000000" w:fill="FFFFFF"/>
            <w:vAlign w:val="bottom"/>
          </w:tcPr>
          <w:p w14:paraId="45DE6F51"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10.007</w:t>
            </w:r>
          </w:p>
        </w:tc>
        <w:tc>
          <w:tcPr>
            <w:tcW w:w="354" w:type="pct"/>
            <w:tcBorders>
              <w:top w:val="nil"/>
              <w:left w:val="nil"/>
              <w:bottom w:val="dotted" w:sz="4" w:space="0" w:color="auto"/>
              <w:right w:val="dotted" w:sz="4" w:space="0" w:color="auto"/>
            </w:tcBorders>
            <w:shd w:val="clear" w:color="000000" w:fill="FFFFFF"/>
            <w:vAlign w:val="bottom"/>
          </w:tcPr>
          <w:p w14:paraId="01615EF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3.2</w:t>
            </w:r>
          </w:p>
        </w:tc>
        <w:tc>
          <w:tcPr>
            <w:tcW w:w="383" w:type="pct"/>
            <w:tcBorders>
              <w:top w:val="nil"/>
              <w:left w:val="nil"/>
              <w:bottom w:val="dotted" w:sz="4" w:space="0" w:color="auto"/>
              <w:right w:val="dotted" w:sz="4" w:space="0" w:color="auto"/>
            </w:tcBorders>
            <w:shd w:val="clear" w:color="000000" w:fill="FFFFFF"/>
            <w:vAlign w:val="bottom"/>
          </w:tcPr>
          <w:p w14:paraId="0F84790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w:t>
            </w:r>
          </w:p>
        </w:tc>
        <w:tc>
          <w:tcPr>
            <w:tcW w:w="383" w:type="pct"/>
            <w:tcBorders>
              <w:top w:val="nil"/>
              <w:left w:val="nil"/>
              <w:bottom w:val="dotted" w:sz="4" w:space="0" w:color="auto"/>
              <w:right w:val="dotted" w:sz="4" w:space="0" w:color="auto"/>
            </w:tcBorders>
            <w:shd w:val="clear" w:color="000000" w:fill="FFFFFF"/>
            <w:vAlign w:val="bottom"/>
          </w:tcPr>
          <w:p w14:paraId="6823D8D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w:t>
            </w:r>
          </w:p>
        </w:tc>
        <w:tc>
          <w:tcPr>
            <w:tcW w:w="336" w:type="pct"/>
            <w:tcBorders>
              <w:top w:val="nil"/>
              <w:left w:val="nil"/>
              <w:bottom w:val="dotted" w:sz="4" w:space="0" w:color="auto"/>
              <w:right w:val="dotted" w:sz="4" w:space="0" w:color="auto"/>
            </w:tcBorders>
            <w:shd w:val="clear" w:color="000000" w:fill="FFFFFF"/>
            <w:vAlign w:val="bottom"/>
          </w:tcPr>
          <w:p w14:paraId="4242602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3.5</w:t>
            </w:r>
          </w:p>
        </w:tc>
        <w:tc>
          <w:tcPr>
            <w:tcW w:w="359" w:type="pct"/>
            <w:tcBorders>
              <w:top w:val="nil"/>
              <w:left w:val="nil"/>
              <w:bottom w:val="dotted" w:sz="4" w:space="0" w:color="auto"/>
              <w:right w:val="double" w:sz="6" w:space="0" w:color="auto"/>
            </w:tcBorders>
            <w:shd w:val="clear" w:color="000000" w:fill="FFFFFF"/>
            <w:vAlign w:val="bottom"/>
          </w:tcPr>
          <w:p w14:paraId="077052A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w:t>
            </w:r>
          </w:p>
        </w:tc>
      </w:tr>
      <w:tr w:rsidR="006F605B" w:rsidRPr="00DC66CD" w14:paraId="737F32B9" w14:textId="77777777" w:rsidTr="004F4E33">
        <w:trPr>
          <w:trHeight w:val="235"/>
          <w:jc w:val="center"/>
        </w:trPr>
        <w:tc>
          <w:tcPr>
            <w:tcW w:w="2071" w:type="pct"/>
            <w:tcBorders>
              <w:top w:val="nil"/>
              <w:left w:val="double" w:sz="6" w:space="0" w:color="auto"/>
              <w:bottom w:val="dotted" w:sz="4" w:space="0" w:color="auto"/>
              <w:right w:val="dotted" w:sz="4" w:space="0" w:color="auto"/>
            </w:tcBorders>
            <w:shd w:val="clear" w:color="000000" w:fill="FFFFFF"/>
            <w:vAlign w:val="bottom"/>
            <w:hideMark/>
          </w:tcPr>
          <w:p w14:paraId="01E11F58"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4. Government consumption expenditure</w:t>
            </w:r>
          </w:p>
        </w:tc>
        <w:tc>
          <w:tcPr>
            <w:tcW w:w="498" w:type="pct"/>
            <w:tcBorders>
              <w:top w:val="nil"/>
              <w:left w:val="nil"/>
              <w:bottom w:val="dotted" w:sz="4" w:space="0" w:color="auto"/>
              <w:right w:val="single" w:sz="8" w:space="0" w:color="auto"/>
            </w:tcBorders>
            <w:shd w:val="clear" w:color="000000" w:fill="FFFFFF"/>
            <w:vAlign w:val="bottom"/>
            <w:hideMark/>
          </w:tcPr>
          <w:p w14:paraId="347C1EF4"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P3</w:t>
            </w:r>
          </w:p>
        </w:tc>
        <w:tc>
          <w:tcPr>
            <w:tcW w:w="616" w:type="pct"/>
            <w:tcBorders>
              <w:top w:val="nil"/>
              <w:left w:val="single" w:sz="8" w:space="0" w:color="auto"/>
              <w:bottom w:val="dotted" w:sz="4" w:space="0" w:color="auto"/>
              <w:right w:val="single" w:sz="8" w:space="0" w:color="auto"/>
            </w:tcBorders>
            <w:shd w:val="clear" w:color="000000" w:fill="FFFFFF"/>
            <w:vAlign w:val="bottom"/>
          </w:tcPr>
          <w:p w14:paraId="18BC420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1.377</w:t>
            </w:r>
          </w:p>
        </w:tc>
        <w:tc>
          <w:tcPr>
            <w:tcW w:w="354" w:type="pct"/>
            <w:tcBorders>
              <w:top w:val="nil"/>
              <w:left w:val="nil"/>
              <w:bottom w:val="dotted" w:sz="4" w:space="0" w:color="auto"/>
              <w:right w:val="dotted" w:sz="4" w:space="0" w:color="auto"/>
            </w:tcBorders>
            <w:shd w:val="clear" w:color="000000" w:fill="FFFFFF"/>
            <w:vAlign w:val="bottom"/>
          </w:tcPr>
          <w:p w14:paraId="093DA05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w:t>
            </w:r>
          </w:p>
        </w:tc>
        <w:tc>
          <w:tcPr>
            <w:tcW w:w="383" w:type="pct"/>
            <w:tcBorders>
              <w:top w:val="nil"/>
              <w:left w:val="nil"/>
              <w:bottom w:val="dotted" w:sz="4" w:space="0" w:color="auto"/>
              <w:right w:val="dotted" w:sz="4" w:space="0" w:color="auto"/>
            </w:tcBorders>
            <w:shd w:val="clear" w:color="000000" w:fill="FFFFFF"/>
            <w:vAlign w:val="bottom"/>
          </w:tcPr>
          <w:p w14:paraId="1C3C2FD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5.4</w:t>
            </w:r>
          </w:p>
        </w:tc>
        <w:tc>
          <w:tcPr>
            <w:tcW w:w="383" w:type="pct"/>
            <w:tcBorders>
              <w:top w:val="nil"/>
              <w:left w:val="nil"/>
              <w:bottom w:val="dotted" w:sz="4" w:space="0" w:color="auto"/>
              <w:right w:val="dotted" w:sz="4" w:space="0" w:color="auto"/>
            </w:tcBorders>
            <w:shd w:val="clear" w:color="000000" w:fill="FFFFFF"/>
            <w:vAlign w:val="bottom"/>
          </w:tcPr>
          <w:p w14:paraId="4C046B4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4.4</w:t>
            </w:r>
          </w:p>
        </w:tc>
        <w:tc>
          <w:tcPr>
            <w:tcW w:w="336" w:type="pct"/>
            <w:tcBorders>
              <w:top w:val="nil"/>
              <w:left w:val="nil"/>
              <w:bottom w:val="dotted" w:sz="4" w:space="0" w:color="auto"/>
              <w:right w:val="dotted" w:sz="4" w:space="0" w:color="auto"/>
            </w:tcBorders>
            <w:shd w:val="clear" w:color="000000" w:fill="FFFFFF"/>
            <w:vAlign w:val="bottom"/>
          </w:tcPr>
          <w:p w14:paraId="6095502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359" w:type="pct"/>
            <w:tcBorders>
              <w:top w:val="nil"/>
              <w:left w:val="nil"/>
              <w:bottom w:val="dotted" w:sz="4" w:space="0" w:color="auto"/>
              <w:right w:val="double" w:sz="6" w:space="0" w:color="auto"/>
            </w:tcBorders>
            <w:shd w:val="clear" w:color="000000" w:fill="FFFFFF"/>
            <w:vAlign w:val="bottom"/>
          </w:tcPr>
          <w:p w14:paraId="5B30A03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r>
      <w:tr w:rsidR="006F605B" w:rsidRPr="00DC66CD" w14:paraId="39FABEA0" w14:textId="77777777" w:rsidTr="004F4E33">
        <w:trPr>
          <w:trHeight w:val="235"/>
          <w:jc w:val="center"/>
        </w:trPr>
        <w:tc>
          <w:tcPr>
            <w:tcW w:w="2071" w:type="pct"/>
            <w:tcBorders>
              <w:top w:val="nil"/>
              <w:left w:val="double" w:sz="6" w:space="0" w:color="auto"/>
              <w:bottom w:val="dotted" w:sz="4" w:space="0" w:color="auto"/>
              <w:right w:val="dotted" w:sz="4" w:space="0" w:color="auto"/>
            </w:tcBorders>
            <w:shd w:val="clear" w:color="000000" w:fill="FFFFFF"/>
            <w:vAlign w:val="bottom"/>
            <w:hideMark/>
          </w:tcPr>
          <w:p w14:paraId="71C9CDC1"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5. Gross fixed capital formation</w:t>
            </w:r>
          </w:p>
        </w:tc>
        <w:tc>
          <w:tcPr>
            <w:tcW w:w="498" w:type="pct"/>
            <w:tcBorders>
              <w:top w:val="nil"/>
              <w:left w:val="nil"/>
              <w:bottom w:val="dotted" w:sz="4" w:space="0" w:color="auto"/>
              <w:right w:val="single" w:sz="8" w:space="0" w:color="auto"/>
            </w:tcBorders>
            <w:shd w:val="clear" w:color="000000" w:fill="FFFFFF"/>
            <w:vAlign w:val="bottom"/>
            <w:hideMark/>
          </w:tcPr>
          <w:p w14:paraId="65E74A5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P51</w:t>
            </w:r>
          </w:p>
        </w:tc>
        <w:tc>
          <w:tcPr>
            <w:tcW w:w="616" w:type="pct"/>
            <w:tcBorders>
              <w:top w:val="nil"/>
              <w:left w:val="single" w:sz="8" w:space="0" w:color="auto"/>
              <w:bottom w:val="dotted" w:sz="4" w:space="0" w:color="auto"/>
              <w:right w:val="single" w:sz="8" w:space="0" w:color="auto"/>
            </w:tcBorders>
            <w:shd w:val="clear" w:color="000000" w:fill="FFFFFF"/>
            <w:vAlign w:val="bottom"/>
          </w:tcPr>
          <w:p w14:paraId="751BD4B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3.069</w:t>
            </w:r>
          </w:p>
        </w:tc>
        <w:tc>
          <w:tcPr>
            <w:tcW w:w="354" w:type="pct"/>
            <w:tcBorders>
              <w:top w:val="nil"/>
              <w:left w:val="nil"/>
              <w:bottom w:val="dotted" w:sz="4" w:space="0" w:color="auto"/>
              <w:right w:val="dotted" w:sz="4" w:space="0" w:color="auto"/>
            </w:tcBorders>
            <w:shd w:val="clear" w:color="000000" w:fill="FFFFFF"/>
            <w:vAlign w:val="bottom"/>
          </w:tcPr>
          <w:p w14:paraId="47BCDDB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w:t>
            </w:r>
          </w:p>
        </w:tc>
        <w:tc>
          <w:tcPr>
            <w:tcW w:w="383" w:type="pct"/>
            <w:tcBorders>
              <w:top w:val="nil"/>
              <w:left w:val="nil"/>
              <w:bottom w:val="dotted" w:sz="4" w:space="0" w:color="auto"/>
              <w:right w:val="dotted" w:sz="4" w:space="0" w:color="auto"/>
            </w:tcBorders>
            <w:shd w:val="clear" w:color="000000" w:fill="FFFFFF"/>
            <w:vAlign w:val="bottom"/>
          </w:tcPr>
          <w:p w14:paraId="33921F3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0.5</w:t>
            </w:r>
          </w:p>
        </w:tc>
        <w:tc>
          <w:tcPr>
            <w:tcW w:w="383" w:type="pct"/>
            <w:tcBorders>
              <w:top w:val="nil"/>
              <w:left w:val="nil"/>
              <w:bottom w:val="dotted" w:sz="4" w:space="0" w:color="auto"/>
              <w:right w:val="dotted" w:sz="4" w:space="0" w:color="auto"/>
            </w:tcBorders>
            <w:shd w:val="clear" w:color="000000" w:fill="FFFFFF"/>
            <w:vAlign w:val="bottom"/>
          </w:tcPr>
          <w:p w14:paraId="07C4CFF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8.4</w:t>
            </w:r>
          </w:p>
        </w:tc>
        <w:tc>
          <w:tcPr>
            <w:tcW w:w="336" w:type="pct"/>
            <w:tcBorders>
              <w:top w:val="nil"/>
              <w:left w:val="nil"/>
              <w:bottom w:val="dotted" w:sz="4" w:space="0" w:color="auto"/>
              <w:right w:val="dotted" w:sz="4" w:space="0" w:color="auto"/>
            </w:tcBorders>
            <w:shd w:val="clear" w:color="000000" w:fill="FFFFFF"/>
            <w:vAlign w:val="bottom"/>
          </w:tcPr>
          <w:p w14:paraId="2469D1D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c>
          <w:tcPr>
            <w:tcW w:w="359" w:type="pct"/>
            <w:tcBorders>
              <w:top w:val="nil"/>
              <w:left w:val="nil"/>
              <w:bottom w:val="dotted" w:sz="4" w:space="0" w:color="auto"/>
              <w:right w:val="double" w:sz="6" w:space="0" w:color="auto"/>
            </w:tcBorders>
            <w:shd w:val="clear" w:color="000000" w:fill="FFFFFF"/>
            <w:vAlign w:val="bottom"/>
          </w:tcPr>
          <w:p w14:paraId="0AA368D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5.2</w:t>
            </w:r>
          </w:p>
        </w:tc>
      </w:tr>
      <w:tr w:rsidR="006F605B" w:rsidRPr="00DC66CD" w14:paraId="1276022A" w14:textId="77777777" w:rsidTr="004F4E33">
        <w:trPr>
          <w:trHeight w:val="354"/>
          <w:jc w:val="center"/>
        </w:trPr>
        <w:tc>
          <w:tcPr>
            <w:tcW w:w="2071" w:type="pct"/>
            <w:tcBorders>
              <w:top w:val="nil"/>
              <w:left w:val="double" w:sz="6" w:space="0" w:color="auto"/>
              <w:bottom w:val="dotted" w:sz="4" w:space="0" w:color="auto"/>
              <w:right w:val="dotted" w:sz="4" w:space="0" w:color="auto"/>
            </w:tcBorders>
            <w:shd w:val="clear" w:color="000000" w:fill="FFFFFF"/>
            <w:vAlign w:val="bottom"/>
            <w:hideMark/>
          </w:tcPr>
          <w:p w14:paraId="636FDFE2"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6. Changes in inventories and net acquisition of valuables (% of GDP)</w:t>
            </w:r>
          </w:p>
        </w:tc>
        <w:tc>
          <w:tcPr>
            <w:tcW w:w="498" w:type="pct"/>
            <w:tcBorders>
              <w:top w:val="nil"/>
              <w:left w:val="nil"/>
              <w:bottom w:val="dotted" w:sz="4" w:space="0" w:color="auto"/>
              <w:right w:val="single" w:sz="8" w:space="0" w:color="auto"/>
            </w:tcBorders>
            <w:shd w:val="clear" w:color="000000" w:fill="FFFFFF"/>
            <w:vAlign w:val="bottom"/>
            <w:hideMark/>
          </w:tcPr>
          <w:p w14:paraId="55ECC02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P52+P53</w:t>
            </w:r>
          </w:p>
        </w:tc>
        <w:tc>
          <w:tcPr>
            <w:tcW w:w="616" w:type="pct"/>
            <w:tcBorders>
              <w:top w:val="nil"/>
              <w:left w:val="single" w:sz="8" w:space="0" w:color="auto"/>
              <w:bottom w:val="dotted" w:sz="4" w:space="0" w:color="auto"/>
              <w:right w:val="single" w:sz="8" w:space="0" w:color="auto"/>
            </w:tcBorders>
            <w:shd w:val="clear" w:color="000000" w:fill="FFFFFF"/>
            <w:vAlign w:val="bottom"/>
          </w:tcPr>
          <w:p w14:paraId="7695B82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0.142</w:t>
            </w:r>
          </w:p>
        </w:tc>
        <w:tc>
          <w:tcPr>
            <w:tcW w:w="354" w:type="pct"/>
            <w:tcBorders>
              <w:top w:val="nil"/>
              <w:left w:val="nil"/>
              <w:bottom w:val="dotted" w:sz="4" w:space="0" w:color="auto"/>
              <w:right w:val="dotted" w:sz="4" w:space="0" w:color="auto"/>
            </w:tcBorders>
            <w:shd w:val="clear" w:color="000000" w:fill="FFFFFF"/>
            <w:vAlign w:val="bottom"/>
          </w:tcPr>
          <w:p w14:paraId="68C7357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w:t>
            </w:r>
          </w:p>
        </w:tc>
        <w:tc>
          <w:tcPr>
            <w:tcW w:w="383" w:type="pct"/>
            <w:tcBorders>
              <w:top w:val="nil"/>
              <w:left w:val="nil"/>
              <w:bottom w:val="dotted" w:sz="4" w:space="0" w:color="auto"/>
              <w:right w:val="dotted" w:sz="4" w:space="0" w:color="auto"/>
            </w:tcBorders>
            <w:shd w:val="clear" w:color="auto" w:fill="auto"/>
            <w:vAlign w:val="bottom"/>
          </w:tcPr>
          <w:p w14:paraId="3D5A189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w:t>
            </w:r>
          </w:p>
        </w:tc>
        <w:tc>
          <w:tcPr>
            <w:tcW w:w="383" w:type="pct"/>
            <w:tcBorders>
              <w:top w:val="nil"/>
              <w:left w:val="nil"/>
              <w:bottom w:val="dotted" w:sz="4" w:space="0" w:color="auto"/>
              <w:right w:val="dotted" w:sz="4" w:space="0" w:color="auto"/>
            </w:tcBorders>
            <w:shd w:val="clear" w:color="auto" w:fill="auto"/>
            <w:vAlign w:val="bottom"/>
          </w:tcPr>
          <w:p w14:paraId="446DA82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w:t>
            </w:r>
          </w:p>
        </w:tc>
        <w:tc>
          <w:tcPr>
            <w:tcW w:w="336" w:type="pct"/>
            <w:tcBorders>
              <w:top w:val="nil"/>
              <w:left w:val="nil"/>
              <w:bottom w:val="dotted" w:sz="4" w:space="0" w:color="auto"/>
              <w:right w:val="dotted" w:sz="4" w:space="0" w:color="auto"/>
            </w:tcBorders>
            <w:shd w:val="clear" w:color="000000" w:fill="FFFFFF"/>
            <w:vAlign w:val="bottom"/>
          </w:tcPr>
          <w:p w14:paraId="3DD8B77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w:t>
            </w:r>
          </w:p>
        </w:tc>
        <w:tc>
          <w:tcPr>
            <w:tcW w:w="359" w:type="pct"/>
            <w:tcBorders>
              <w:top w:val="nil"/>
              <w:left w:val="nil"/>
              <w:bottom w:val="dotted" w:sz="4" w:space="0" w:color="auto"/>
              <w:right w:val="double" w:sz="6" w:space="0" w:color="auto"/>
            </w:tcBorders>
            <w:shd w:val="clear" w:color="000000" w:fill="FFFFFF"/>
            <w:vAlign w:val="bottom"/>
          </w:tcPr>
          <w:p w14:paraId="3E02F4C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r>
      <w:tr w:rsidR="006F605B" w:rsidRPr="00DC66CD" w14:paraId="45F26EDA" w14:textId="77777777" w:rsidTr="004F4E33">
        <w:trPr>
          <w:trHeight w:val="235"/>
          <w:jc w:val="center"/>
        </w:trPr>
        <w:tc>
          <w:tcPr>
            <w:tcW w:w="2071" w:type="pct"/>
            <w:tcBorders>
              <w:top w:val="nil"/>
              <w:left w:val="double" w:sz="6" w:space="0" w:color="auto"/>
              <w:bottom w:val="dotted" w:sz="4" w:space="0" w:color="auto"/>
              <w:right w:val="dotted" w:sz="4" w:space="0" w:color="auto"/>
            </w:tcBorders>
            <w:shd w:val="clear" w:color="000000" w:fill="FFFFFF"/>
            <w:vAlign w:val="bottom"/>
            <w:hideMark/>
          </w:tcPr>
          <w:p w14:paraId="543DC6BF"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7. Exports of goods and services</w:t>
            </w:r>
          </w:p>
        </w:tc>
        <w:tc>
          <w:tcPr>
            <w:tcW w:w="498" w:type="pct"/>
            <w:tcBorders>
              <w:top w:val="nil"/>
              <w:left w:val="nil"/>
              <w:bottom w:val="dotted" w:sz="4" w:space="0" w:color="auto"/>
              <w:right w:val="single" w:sz="8" w:space="0" w:color="auto"/>
            </w:tcBorders>
            <w:shd w:val="clear" w:color="000000" w:fill="FFFFFF"/>
            <w:vAlign w:val="bottom"/>
            <w:hideMark/>
          </w:tcPr>
          <w:p w14:paraId="60FE5DC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P6</w:t>
            </w:r>
          </w:p>
        </w:tc>
        <w:tc>
          <w:tcPr>
            <w:tcW w:w="616" w:type="pct"/>
            <w:tcBorders>
              <w:top w:val="nil"/>
              <w:left w:val="single" w:sz="8" w:space="0" w:color="auto"/>
              <w:bottom w:val="dotted" w:sz="4" w:space="0" w:color="auto"/>
              <w:right w:val="single" w:sz="8" w:space="0" w:color="auto"/>
            </w:tcBorders>
            <w:shd w:val="clear" w:color="000000" w:fill="FFFFFF"/>
            <w:vAlign w:val="bottom"/>
          </w:tcPr>
          <w:p w14:paraId="1960BE0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3.953</w:t>
            </w:r>
          </w:p>
        </w:tc>
        <w:tc>
          <w:tcPr>
            <w:tcW w:w="354" w:type="pct"/>
            <w:tcBorders>
              <w:top w:val="nil"/>
              <w:left w:val="nil"/>
              <w:bottom w:val="dotted" w:sz="4" w:space="0" w:color="auto"/>
              <w:right w:val="dotted" w:sz="4" w:space="0" w:color="auto"/>
            </w:tcBorders>
            <w:shd w:val="clear" w:color="000000" w:fill="FFFFFF"/>
            <w:vAlign w:val="bottom"/>
          </w:tcPr>
          <w:p w14:paraId="2F674D3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3.0</w:t>
            </w:r>
          </w:p>
        </w:tc>
        <w:tc>
          <w:tcPr>
            <w:tcW w:w="383" w:type="pct"/>
            <w:tcBorders>
              <w:top w:val="nil"/>
              <w:left w:val="nil"/>
              <w:bottom w:val="dotted" w:sz="4" w:space="0" w:color="auto"/>
              <w:right w:val="dotted" w:sz="4" w:space="0" w:color="auto"/>
            </w:tcBorders>
            <w:shd w:val="clear" w:color="000000" w:fill="FFFFFF"/>
            <w:vAlign w:val="bottom"/>
          </w:tcPr>
          <w:p w14:paraId="2909163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3.9</w:t>
            </w:r>
          </w:p>
        </w:tc>
        <w:tc>
          <w:tcPr>
            <w:tcW w:w="383" w:type="pct"/>
            <w:tcBorders>
              <w:top w:val="nil"/>
              <w:left w:val="nil"/>
              <w:bottom w:val="dotted" w:sz="4" w:space="0" w:color="auto"/>
              <w:right w:val="dotted" w:sz="4" w:space="0" w:color="auto"/>
            </w:tcBorders>
            <w:shd w:val="clear" w:color="000000" w:fill="FFFFFF"/>
            <w:vAlign w:val="bottom"/>
          </w:tcPr>
          <w:p w14:paraId="5CA4EA8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6.7</w:t>
            </w:r>
          </w:p>
        </w:tc>
        <w:tc>
          <w:tcPr>
            <w:tcW w:w="336" w:type="pct"/>
            <w:tcBorders>
              <w:top w:val="nil"/>
              <w:left w:val="nil"/>
              <w:bottom w:val="dotted" w:sz="4" w:space="0" w:color="auto"/>
              <w:right w:val="dotted" w:sz="4" w:space="0" w:color="auto"/>
            </w:tcBorders>
            <w:shd w:val="clear" w:color="000000" w:fill="FFFFFF"/>
            <w:vAlign w:val="bottom"/>
          </w:tcPr>
          <w:p w14:paraId="3DC72F7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7.4</w:t>
            </w:r>
          </w:p>
        </w:tc>
        <w:tc>
          <w:tcPr>
            <w:tcW w:w="359" w:type="pct"/>
            <w:tcBorders>
              <w:top w:val="nil"/>
              <w:left w:val="nil"/>
              <w:bottom w:val="dotted" w:sz="4" w:space="0" w:color="auto"/>
              <w:right w:val="double" w:sz="6" w:space="0" w:color="auto"/>
            </w:tcBorders>
            <w:shd w:val="clear" w:color="000000" w:fill="FFFFFF"/>
            <w:vAlign w:val="bottom"/>
          </w:tcPr>
          <w:p w14:paraId="1D75A97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7.6</w:t>
            </w:r>
          </w:p>
        </w:tc>
      </w:tr>
      <w:tr w:rsidR="006F605B" w:rsidRPr="00DC66CD" w14:paraId="7EED99F1" w14:textId="77777777" w:rsidTr="004F4E33">
        <w:trPr>
          <w:trHeight w:val="235"/>
          <w:jc w:val="center"/>
        </w:trPr>
        <w:tc>
          <w:tcPr>
            <w:tcW w:w="2071" w:type="pct"/>
            <w:tcBorders>
              <w:top w:val="nil"/>
              <w:left w:val="double" w:sz="6" w:space="0" w:color="auto"/>
              <w:bottom w:val="single" w:sz="8" w:space="0" w:color="auto"/>
              <w:right w:val="dotted" w:sz="4" w:space="0" w:color="auto"/>
            </w:tcBorders>
            <w:shd w:val="clear" w:color="000000" w:fill="FFFFFF"/>
            <w:vAlign w:val="bottom"/>
            <w:hideMark/>
          </w:tcPr>
          <w:p w14:paraId="00938561"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8. Imports of goods and services</w:t>
            </w:r>
          </w:p>
        </w:tc>
        <w:tc>
          <w:tcPr>
            <w:tcW w:w="498" w:type="pct"/>
            <w:tcBorders>
              <w:top w:val="nil"/>
              <w:left w:val="nil"/>
              <w:bottom w:val="single" w:sz="8" w:space="0" w:color="auto"/>
              <w:right w:val="single" w:sz="8" w:space="0" w:color="auto"/>
            </w:tcBorders>
            <w:shd w:val="clear" w:color="000000" w:fill="FFFFFF"/>
            <w:vAlign w:val="bottom"/>
            <w:hideMark/>
          </w:tcPr>
          <w:p w14:paraId="3670881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P7</w:t>
            </w:r>
          </w:p>
        </w:tc>
        <w:tc>
          <w:tcPr>
            <w:tcW w:w="616" w:type="pct"/>
            <w:tcBorders>
              <w:top w:val="nil"/>
              <w:left w:val="single" w:sz="8" w:space="0" w:color="auto"/>
              <w:bottom w:val="single" w:sz="8" w:space="0" w:color="auto"/>
              <w:right w:val="single" w:sz="8" w:space="0" w:color="auto"/>
            </w:tcBorders>
            <w:shd w:val="clear" w:color="000000" w:fill="FFFFFF"/>
            <w:vAlign w:val="bottom"/>
          </w:tcPr>
          <w:p w14:paraId="1621E0D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5.886</w:t>
            </w:r>
          </w:p>
        </w:tc>
        <w:tc>
          <w:tcPr>
            <w:tcW w:w="354" w:type="pct"/>
            <w:tcBorders>
              <w:top w:val="nil"/>
              <w:left w:val="nil"/>
              <w:bottom w:val="single" w:sz="8" w:space="0" w:color="auto"/>
              <w:right w:val="dotted" w:sz="4" w:space="0" w:color="auto"/>
            </w:tcBorders>
            <w:shd w:val="clear" w:color="000000" w:fill="FFFFFF"/>
            <w:vAlign w:val="bottom"/>
          </w:tcPr>
          <w:p w14:paraId="2CBBF23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3.9</w:t>
            </w:r>
          </w:p>
        </w:tc>
        <w:tc>
          <w:tcPr>
            <w:tcW w:w="383" w:type="pct"/>
            <w:tcBorders>
              <w:top w:val="nil"/>
              <w:left w:val="nil"/>
              <w:bottom w:val="single" w:sz="8" w:space="0" w:color="auto"/>
              <w:right w:val="dotted" w:sz="4" w:space="0" w:color="auto"/>
            </w:tcBorders>
            <w:shd w:val="clear" w:color="000000" w:fill="FFFFFF"/>
            <w:vAlign w:val="bottom"/>
          </w:tcPr>
          <w:p w14:paraId="4148452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3.1</w:t>
            </w:r>
          </w:p>
        </w:tc>
        <w:tc>
          <w:tcPr>
            <w:tcW w:w="383" w:type="pct"/>
            <w:tcBorders>
              <w:top w:val="nil"/>
              <w:left w:val="nil"/>
              <w:bottom w:val="single" w:sz="8" w:space="0" w:color="auto"/>
              <w:right w:val="dotted" w:sz="4" w:space="0" w:color="auto"/>
            </w:tcBorders>
            <w:shd w:val="clear" w:color="000000" w:fill="FFFFFF"/>
            <w:vAlign w:val="bottom"/>
          </w:tcPr>
          <w:p w14:paraId="0C92D2B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4.4</w:t>
            </w:r>
          </w:p>
        </w:tc>
        <w:tc>
          <w:tcPr>
            <w:tcW w:w="336" w:type="pct"/>
            <w:tcBorders>
              <w:top w:val="nil"/>
              <w:left w:val="nil"/>
              <w:bottom w:val="single" w:sz="8" w:space="0" w:color="auto"/>
              <w:right w:val="dotted" w:sz="4" w:space="0" w:color="auto"/>
            </w:tcBorders>
            <w:shd w:val="clear" w:color="000000" w:fill="FFFFFF"/>
            <w:vAlign w:val="bottom"/>
          </w:tcPr>
          <w:p w14:paraId="77A9E07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3.8</w:t>
            </w:r>
          </w:p>
        </w:tc>
        <w:tc>
          <w:tcPr>
            <w:tcW w:w="359" w:type="pct"/>
            <w:tcBorders>
              <w:top w:val="nil"/>
              <w:left w:val="nil"/>
              <w:bottom w:val="single" w:sz="8" w:space="0" w:color="auto"/>
              <w:right w:val="double" w:sz="6" w:space="0" w:color="auto"/>
            </w:tcBorders>
            <w:shd w:val="clear" w:color="000000" w:fill="FFFFFF"/>
            <w:vAlign w:val="bottom"/>
          </w:tcPr>
          <w:p w14:paraId="4B14FAF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4.5</w:t>
            </w:r>
          </w:p>
        </w:tc>
      </w:tr>
      <w:tr w:rsidR="006F605B" w:rsidRPr="00DC66CD" w14:paraId="7F950AA6" w14:textId="77777777" w:rsidTr="004F4E33">
        <w:trPr>
          <w:trHeight w:val="235"/>
          <w:jc w:val="center"/>
        </w:trPr>
        <w:tc>
          <w:tcPr>
            <w:tcW w:w="5000" w:type="pct"/>
            <w:gridSpan w:val="8"/>
            <w:tcBorders>
              <w:top w:val="single" w:sz="8" w:space="0" w:color="auto"/>
              <w:left w:val="double" w:sz="6" w:space="0" w:color="auto"/>
              <w:bottom w:val="single" w:sz="8" w:space="0" w:color="auto"/>
              <w:right w:val="double" w:sz="6" w:space="0" w:color="000000"/>
            </w:tcBorders>
            <w:shd w:val="clear" w:color="000000" w:fill="FFFFFF"/>
            <w:vAlign w:val="bottom"/>
            <w:hideMark/>
          </w:tcPr>
          <w:p w14:paraId="7C37B12D" w14:textId="77777777" w:rsidR="006F605B" w:rsidRPr="00DC66CD" w:rsidRDefault="006F605B" w:rsidP="00131DA1">
            <w:pPr>
              <w:spacing w:after="0" w:line="240" w:lineRule="auto"/>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Contribution to real GDP growth</w:t>
            </w:r>
          </w:p>
        </w:tc>
      </w:tr>
      <w:tr w:rsidR="006F605B" w:rsidRPr="00DC66CD" w14:paraId="3BAEAD8A" w14:textId="77777777" w:rsidTr="004F4E33">
        <w:trPr>
          <w:trHeight w:val="235"/>
          <w:jc w:val="center"/>
        </w:trPr>
        <w:tc>
          <w:tcPr>
            <w:tcW w:w="2071" w:type="pct"/>
            <w:tcBorders>
              <w:top w:val="nil"/>
              <w:left w:val="double" w:sz="6" w:space="0" w:color="auto"/>
              <w:bottom w:val="dotted" w:sz="4" w:space="0" w:color="auto"/>
              <w:right w:val="dotted" w:sz="4" w:space="0" w:color="auto"/>
            </w:tcBorders>
            <w:shd w:val="clear" w:color="000000" w:fill="FFFFFF"/>
            <w:vAlign w:val="bottom"/>
            <w:hideMark/>
          </w:tcPr>
          <w:p w14:paraId="13C67386"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9. Final domestic demand</w:t>
            </w:r>
          </w:p>
        </w:tc>
        <w:tc>
          <w:tcPr>
            <w:tcW w:w="498" w:type="pct"/>
            <w:tcBorders>
              <w:top w:val="nil"/>
              <w:left w:val="nil"/>
              <w:bottom w:val="dotted" w:sz="4" w:space="0" w:color="auto"/>
              <w:right w:val="single" w:sz="8" w:space="0" w:color="auto"/>
            </w:tcBorders>
            <w:shd w:val="clear" w:color="000000" w:fill="FFFFFF"/>
            <w:vAlign w:val="bottom"/>
            <w:hideMark/>
          </w:tcPr>
          <w:p w14:paraId="3F4AA0D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616" w:type="pct"/>
            <w:tcBorders>
              <w:top w:val="nil"/>
              <w:left w:val="single" w:sz="8" w:space="0" w:color="auto"/>
              <w:bottom w:val="dotted" w:sz="4" w:space="0" w:color="auto"/>
              <w:right w:val="single" w:sz="8" w:space="0" w:color="auto"/>
            </w:tcBorders>
            <w:shd w:val="clear" w:color="000000" w:fill="FFFFFF"/>
            <w:vAlign w:val="bottom"/>
          </w:tcPr>
          <w:p w14:paraId="2D0924AF"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14.5</w:t>
            </w:r>
          </w:p>
        </w:tc>
        <w:tc>
          <w:tcPr>
            <w:tcW w:w="354" w:type="pct"/>
            <w:tcBorders>
              <w:top w:val="nil"/>
              <w:left w:val="nil"/>
              <w:bottom w:val="dotted" w:sz="4" w:space="0" w:color="auto"/>
              <w:right w:val="dotted" w:sz="4" w:space="0" w:color="auto"/>
            </w:tcBorders>
            <w:shd w:val="clear" w:color="000000" w:fill="FFFFFF"/>
            <w:vAlign w:val="bottom"/>
          </w:tcPr>
          <w:p w14:paraId="52D1197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3.1</w:t>
            </w:r>
          </w:p>
        </w:tc>
        <w:tc>
          <w:tcPr>
            <w:tcW w:w="383" w:type="pct"/>
            <w:tcBorders>
              <w:top w:val="nil"/>
              <w:left w:val="nil"/>
              <w:bottom w:val="dotted" w:sz="4" w:space="0" w:color="auto"/>
              <w:right w:val="dotted" w:sz="4" w:space="0" w:color="auto"/>
            </w:tcBorders>
            <w:shd w:val="clear" w:color="000000" w:fill="FFFFFF"/>
            <w:vAlign w:val="bottom"/>
          </w:tcPr>
          <w:p w14:paraId="3ACB373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w:t>
            </w:r>
          </w:p>
        </w:tc>
        <w:tc>
          <w:tcPr>
            <w:tcW w:w="383" w:type="pct"/>
            <w:tcBorders>
              <w:top w:val="nil"/>
              <w:left w:val="nil"/>
              <w:bottom w:val="dotted" w:sz="4" w:space="0" w:color="auto"/>
              <w:right w:val="dotted" w:sz="4" w:space="0" w:color="auto"/>
            </w:tcBorders>
            <w:shd w:val="clear" w:color="000000" w:fill="FFFFFF"/>
            <w:vAlign w:val="bottom"/>
          </w:tcPr>
          <w:p w14:paraId="2112D17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4.0</w:t>
            </w:r>
          </w:p>
        </w:tc>
        <w:tc>
          <w:tcPr>
            <w:tcW w:w="336" w:type="pct"/>
            <w:tcBorders>
              <w:top w:val="nil"/>
              <w:left w:val="nil"/>
              <w:bottom w:val="dotted" w:sz="4" w:space="0" w:color="auto"/>
              <w:right w:val="dotted" w:sz="4" w:space="0" w:color="auto"/>
            </w:tcBorders>
            <w:shd w:val="clear" w:color="000000" w:fill="FFFFFF"/>
            <w:vAlign w:val="bottom"/>
          </w:tcPr>
          <w:p w14:paraId="69F98AF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3.4</w:t>
            </w:r>
          </w:p>
        </w:tc>
        <w:tc>
          <w:tcPr>
            <w:tcW w:w="359" w:type="pct"/>
            <w:tcBorders>
              <w:top w:val="nil"/>
              <w:left w:val="nil"/>
              <w:bottom w:val="dotted" w:sz="4" w:space="0" w:color="auto"/>
              <w:right w:val="double" w:sz="6" w:space="0" w:color="auto"/>
            </w:tcBorders>
            <w:shd w:val="clear" w:color="000000" w:fill="FFFFFF"/>
            <w:vAlign w:val="bottom"/>
          </w:tcPr>
          <w:p w14:paraId="2554A79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3.6</w:t>
            </w:r>
          </w:p>
        </w:tc>
      </w:tr>
      <w:tr w:rsidR="006F605B" w:rsidRPr="00DC66CD" w14:paraId="324D8683" w14:textId="77777777" w:rsidTr="004F4E33">
        <w:trPr>
          <w:trHeight w:val="454"/>
          <w:jc w:val="center"/>
        </w:trPr>
        <w:tc>
          <w:tcPr>
            <w:tcW w:w="2071" w:type="pct"/>
            <w:tcBorders>
              <w:top w:val="nil"/>
              <w:left w:val="double" w:sz="6" w:space="0" w:color="auto"/>
              <w:bottom w:val="dotted" w:sz="4" w:space="0" w:color="auto"/>
              <w:right w:val="dotted" w:sz="4" w:space="0" w:color="auto"/>
            </w:tcBorders>
            <w:shd w:val="clear" w:color="000000" w:fill="FFFFFF"/>
            <w:vAlign w:val="bottom"/>
            <w:hideMark/>
          </w:tcPr>
          <w:p w14:paraId="374464DE"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10. Change in inventories and net acquisition of valuables </w:t>
            </w:r>
          </w:p>
        </w:tc>
        <w:tc>
          <w:tcPr>
            <w:tcW w:w="498" w:type="pct"/>
            <w:tcBorders>
              <w:top w:val="nil"/>
              <w:left w:val="nil"/>
              <w:bottom w:val="dotted" w:sz="4" w:space="0" w:color="auto"/>
              <w:right w:val="single" w:sz="8" w:space="0" w:color="auto"/>
            </w:tcBorders>
            <w:shd w:val="clear" w:color="000000" w:fill="FFFFFF"/>
            <w:vAlign w:val="bottom"/>
            <w:hideMark/>
          </w:tcPr>
          <w:p w14:paraId="55DE7B6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P52+P53</w:t>
            </w:r>
          </w:p>
        </w:tc>
        <w:tc>
          <w:tcPr>
            <w:tcW w:w="616" w:type="pct"/>
            <w:tcBorders>
              <w:top w:val="nil"/>
              <w:left w:val="single" w:sz="8" w:space="0" w:color="auto"/>
              <w:bottom w:val="dotted" w:sz="4" w:space="0" w:color="auto"/>
              <w:right w:val="single" w:sz="8" w:space="0" w:color="auto"/>
            </w:tcBorders>
            <w:shd w:val="clear" w:color="000000" w:fill="FFFFFF"/>
            <w:vAlign w:val="bottom"/>
          </w:tcPr>
          <w:p w14:paraId="533107B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c>
          <w:tcPr>
            <w:tcW w:w="354" w:type="pct"/>
            <w:tcBorders>
              <w:top w:val="nil"/>
              <w:left w:val="nil"/>
              <w:bottom w:val="dotted" w:sz="4" w:space="0" w:color="auto"/>
              <w:right w:val="dotted" w:sz="4" w:space="0" w:color="auto"/>
            </w:tcBorders>
            <w:shd w:val="clear" w:color="000000" w:fill="FFFFFF"/>
            <w:vAlign w:val="bottom"/>
          </w:tcPr>
          <w:p w14:paraId="1B00F30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w:t>
            </w:r>
          </w:p>
        </w:tc>
        <w:tc>
          <w:tcPr>
            <w:tcW w:w="383" w:type="pct"/>
            <w:tcBorders>
              <w:top w:val="nil"/>
              <w:left w:val="nil"/>
              <w:bottom w:val="dotted" w:sz="4" w:space="0" w:color="auto"/>
              <w:right w:val="dotted" w:sz="4" w:space="0" w:color="auto"/>
            </w:tcBorders>
            <w:shd w:val="clear" w:color="000000" w:fill="FFFFFF"/>
            <w:vAlign w:val="bottom"/>
          </w:tcPr>
          <w:p w14:paraId="0E77682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383" w:type="pct"/>
            <w:tcBorders>
              <w:top w:val="nil"/>
              <w:left w:val="nil"/>
              <w:bottom w:val="dotted" w:sz="4" w:space="0" w:color="auto"/>
              <w:right w:val="dotted" w:sz="4" w:space="0" w:color="auto"/>
            </w:tcBorders>
            <w:shd w:val="clear" w:color="000000" w:fill="FFFFFF"/>
            <w:vAlign w:val="bottom"/>
          </w:tcPr>
          <w:p w14:paraId="15E42EA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336" w:type="pct"/>
            <w:tcBorders>
              <w:top w:val="nil"/>
              <w:left w:val="nil"/>
              <w:bottom w:val="dotted" w:sz="4" w:space="0" w:color="auto"/>
              <w:right w:val="dotted" w:sz="4" w:space="0" w:color="auto"/>
            </w:tcBorders>
            <w:shd w:val="clear" w:color="000000" w:fill="FFFFFF"/>
            <w:vAlign w:val="bottom"/>
          </w:tcPr>
          <w:p w14:paraId="6DDED89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359" w:type="pct"/>
            <w:tcBorders>
              <w:top w:val="nil"/>
              <w:left w:val="nil"/>
              <w:bottom w:val="dotted" w:sz="4" w:space="0" w:color="auto"/>
              <w:right w:val="double" w:sz="6" w:space="0" w:color="auto"/>
            </w:tcBorders>
            <w:shd w:val="clear" w:color="000000" w:fill="FFFFFF"/>
            <w:vAlign w:val="bottom"/>
          </w:tcPr>
          <w:p w14:paraId="192818D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r>
      <w:tr w:rsidR="006F605B" w:rsidRPr="00DC66CD" w14:paraId="622CC3F8" w14:textId="77777777" w:rsidTr="004F4E33">
        <w:trPr>
          <w:trHeight w:val="235"/>
          <w:jc w:val="center"/>
        </w:trPr>
        <w:tc>
          <w:tcPr>
            <w:tcW w:w="2071" w:type="pct"/>
            <w:tcBorders>
              <w:top w:val="nil"/>
              <w:left w:val="double" w:sz="6" w:space="0" w:color="auto"/>
              <w:bottom w:val="double" w:sz="6" w:space="0" w:color="auto"/>
              <w:right w:val="dotted" w:sz="4" w:space="0" w:color="auto"/>
            </w:tcBorders>
            <w:shd w:val="clear" w:color="000000" w:fill="FFFFFF"/>
            <w:vAlign w:val="bottom"/>
            <w:hideMark/>
          </w:tcPr>
          <w:p w14:paraId="632E0EFA"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11. External balance of goods/services </w:t>
            </w:r>
          </w:p>
        </w:tc>
        <w:tc>
          <w:tcPr>
            <w:tcW w:w="498" w:type="pct"/>
            <w:tcBorders>
              <w:top w:val="nil"/>
              <w:left w:val="nil"/>
              <w:bottom w:val="double" w:sz="6" w:space="0" w:color="auto"/>
              <w:right w:val="single" w:sz="8" w:space="0" w:color="auto"/>
            </w:tcBorders>
            <w:shd w:val="clear" w:color="000000" w:fill="FFFFFF"/>
            <w:vAlign w:val="bottom"/>
            <w:hideMark/>
          </w:tcPr>
          <w:p w14:paraId="7901804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B11</w:t>
            </w:r>
          </w:p>
        </w:tc>
        <w:tc>
          <w:tcPr>
            <w:tcW w:w="616" w:type="pct"/>
            <w:tcBorders>
              <w:top w:val="nil"/>
              <w:left w:val="single" w:sz="8" w:space="0" w:color="auto"/>
              <w:bottom w:val="double" w:sz="6" w:space="0" w:color="auto"/>
              <w:right w:val="single" w:sz="8" w:space="0" w:color="auto"/>
            </w:tcBorders>
            <w:shd w:val="clear" w:color="000000" w:fill="FFFFFF"/>
            <w:vAlign w:val="bottom"/>
          </w:tcPr>
          <w:p w14:paraId="49A346D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w:t>
            </w:r>
          </w:p>
        </w:tc>
        <w:tc>
          <w:tcPr>
            <w:tcW w:w="354" w:type="pct"/>
            <w:tcBorders>
              <w:top w:val="nil"/>
              <w:left w:val="nil"/>
              <w:bottom w:val="double" w:sz="6" w:space="0" w:color="auto"/>
              <w:right w:val="dotted" w:sz="4" w:space="0" w:color="auto"/>
            </w:tcBorders>
            <w:shd w:val="clear" w:color="000000" w:fill="FFFFFF"/>
            <w:vAlign w:val="bottom"/>
          </w:tcPr>
          <w:p w14:paraId="17E1632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-0.9</w:t>
            </w:r>
          </w:p>
        </w:tc>
        <w:tc>
          <w:tcPr>
            <w:tcW w:w="383" w:type="pct"/>
            <w:tcBorders>
              <w:top w:val="nil"/>
              <w:left w:val="nil"/>
              <w:bottom w:val="double" w:sz="6" w:space="0" w:color="auto"/>
              <w:right w:val="dotted" w:sz="4" w:space="0" w:color="auto"/>
            </w:tcBorders>
            <w:shd w:val="clear" w:color="000000" w:fill="FFFFFF"/>
            <w:vAlign w:val="bottom"/>
          </w:tcPr>
          <w:p w14:paraId="3CA66A3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-0.2</w:t>
            </w:r>
          </w:p>
        </w:tc>
        <w:tc>
          <w:tcPr>
            <w:tcW w:w="383" w:type="pct"/>
            <w:tcBorders>
              <w:top w:val="nil"/>
              <w:left w:val="nil"/>
              <w:bottom w:val="double" w:sz="6" w:space="0" w:color="auto"/>
              <w:right w:val="dotted" w:sz="4" w:space="0" w:color="auto"/>
            </w:tcBorders>
            <w:shd w:val="clear" w:color="000000" w:fill="FFFFFF"/>
            <w:vAlign w:val="bottom"/>
          </w:tcPr>
          <w:p w14:paraId="5746D5D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c>
          <w:tcPr>
            <w:tcW w:w="336" w:type="pct"/>
            <w:tcBorders>
              <w:top w:val="nil"/>
              <w:left w:val="nil"/>
              <w:bottom w:val="double" w:sz="6" w:space="0" w:color="auto"/>
              <w:right w:val="dotted" w:sz="4" w:space="0" w:color="auto"/>
            </w:tcBorders>
            <w:shd w:val="clear" w:color="000000" w:fill="FFFFFF"/>
            <w:vAlign w:val="bottom"/>
          </w:tcPr>
          <w:p w14:paraId="53877D7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0.6</w:t>
            </w:r>
          </w:p>
        </w:tc>
        <w:tc>
          <w:tcPr>
            <w:tcW w:w="359" w:type="pct"/>
            <w:tcBorders>
              <w:top w:val="nil"/>
              <w:left w:val="nil"/>
              <w:bottom w:val="double" w:sz="6" w:space="0" w:color="auto"/>
              <w:right w:val="double" w:sz="6" w:space="0" w:color="auto"/>
            </w:tcBorders>
            <w:shd w:val="clear" w:color="000000" w:fill="FFFFFF"/>
            <w:vAlign w:val="bottom"/>
          </w:tcPr>
          <w:p w14:paraId="0FE5139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0.4</w:t>
            </w:r>
          </w:p>
        </w:tc>
      </w:tr>
    </w:tbl>
    <w:p w14:paraId="6A66EB91" w14:textId="77777777" w:rsidR="006F605B" w:rsidRPr="00DC66CD" w:rsidRDefault="006F605B" w:rsidP="006F605B">
      <w:pPr>
        <w:spacing w:after="0" w:line="240" w:lineRule="auto"/>
        <w:ind w:firstLine="284"/>
        <w:rPr>
          <w:rFonts w:ascii="Garamond" w:hAnsi="Garamond"/>
          <w:sz w:val="24"/>
          <w:szCs w:val="24"/>
        </w:rPr>
      </w:pPr>
    </w:p>
    <w:p w14:paraId="0967F7CA"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61" w:name="_Toc536784307"/>
      <w:bookmarkStart w:id="62" w:name="_Toc30661242"/>
      <w:r w:rsidRPr="00DC66CD">
        <w:rPr>
          <w:rFonts w:ascii="Garamond" w:hAnsi="Garamond"/>
          <w:color w:val="auto"/>
          <w:sz w:val="24"/>
          <w:szCs w:val="24"/>
        </w:rPr>
        <w:t xml:space="preserve">Tabela 1b: </w:t>
      </w:r>
      <w:bookmarkEnd w:id="61"/>
      <w:r w:rsidRPr="00DC66CD">
        <w:rPr>
          <w:rFonts w:ascii="Garamond" w:hAnsi="Garamond"/>
          <w:color w:val="auto"/>
          <w:sz w:val="24"/>
          <w:szCs w:val="24"/>
        </w:rPr>
        <w:t>Zhvillime të çmimeve</w:t>
      </w:r>
      <w:bookmarkEnd w:id="62"/>
    </w:p>
    <w:tbl>
      <w:tblPr>
        <w:tblW w:w="9498" w:type="dxa"/>
        <w:tblInd w:w="85" w:type="dxa"/>
        <w:tblLook w:val="04A0" w:firstRow="1" w:lastRow="0" w:firstColumn="1" w:lastColumn="0" w:noHBand="0" w:noVBand="1"/>
      </w:tblPr>
      <w:tblGrid>
        <w:gridCol w:w="3642"/>
        <w:gridCol w:w="976"/>
        <w:gridCol w:w="976"/>
        <w:gridCol w:w="976"/>
        <w:gridCol w:w="976"/>
        <w:gridCol w:w="976"/>
        <w:gridCol w:w="976"/>
      </w:tblGrid>
      <w:tr w:rsidR="006F605B" w:rsidRPr="00DC66CD" w14:paraId="3041FABB" w14:textId="77777777" w:rsidTr="004F4E33">
        <w:trPr>
          <w:trHeight w:val="323"/>
        </w:trPr>
        <w:tc>
          <w:tcPr>
            <w:tcW w:w="3642" w:type="dxa"/>
            <w:vMerge w:val="restart"/>
            <w:tcBorders>
              <w:top w:val="double" w:sz="6" w:space="0" w:color="auto"/>
              <w:left w:val="double" w:sz="6" w:space="0" w:color="auto"/>
              <w:bottom w:val="single" w:sz="8" w:space="0" w:color="000000"/>
              <w:right w:val="dotted" w:sz="4" w:space="0" w:color="auto"/>
            </w:tcBorders>
            <w:shd w:val="clear" w:color="000000" w:fill="FFFFFF"/>
            <w:vAlign w:val="center"/>
            <w:hideMark/>
          </w:tcPr>
          <w:p w14:paraId="7499B940" w14:textId="68251E53"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Percentage changes, annual averages</w:t>
            </w:r>
          </w:p>
        </w:tc>
        <w:tc>
          <w:tcPr>
            <w:tcW w:w="976" w:type="dxa"/>
            <w:tcBorders>
              <w:top w:val="double" w:sz="6" w:space="0" w:color="auto"/>
              <w:left w:val="nil"/>
              <w:bottom w:val="nil"/>
              <w:right w:val="single" w:sz="8" w:space="0" w:color="auto"/>
            </w:tcBorders>
            <w:shd w:val="clear" w:color="000000" w:fill="FFFFFF"/>
            <w:vAlign w:val="center"/>
          </w:tcPr>
          <w:p w14:paraId="4864C748"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976" w:type="dxa"/>
            <w:tcBorders>
              <w:top w:val="double" w:sz="6" w:space="0" w:color="auto"/>
              <w:left w:val="nil"/>
              <w:bottom w:val="nil"/>
              <w:right w:val="dotted" w:sz="4" w:space="0" w:color="auto"/>
            </w:tcBorders>
            <w:shd w:val="clear" w:color="000000" w:fill="FFFFFF"/>
            <w:vAlign w:val="center"/>
            <w:hideMark/>
          </w:tcPr>
          <w:p w14:paraId="5D3DF8E2"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976" w:type="dxa"/>
            <w:tcBorders>
              <w:top w:val="double" w:sz="6" w:space="0" w:color="auto"/>
              <w:left w:val="nil"/>
              <w:bottom w:val="nil"/>
              <w:right w:val="dotted" w:sz="4" w:space="0" w:color="auto"/>
            </w:tcBorders>
            <w:shd w:val="clear" w:color="000000" w:fill="FFFFFF"/>
            <w:vAlign w:val="center"/>
            <w:hideMark/>
          </w:tcPr>
          <w:p w14:paraId="2D81ED3D"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976" w:type="dxa"/>
            <w:tcBorders>
              <w:top w:val="double" w:sz="6" w:space="0" w:color="auto"/>
              <w:left w:val="nil"/>
              <w:bottom w:val="nil"/>
              <w:right w:val="dotted" w:sz="4" w:space="0" w:color="auto"/>
            </w:tcBorders>
            <w:shd w:val="clear" w:color="000000" w:fill="FFFFFF"/>
            <w:vAlign w:val="center"/>
            <w:hideMark/>
          </w:tcPr>
          <w:p w14:paraId="6C770FA7"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976" w:type="dxa"/>
            <w:tcBorders>
              <w:top w:val="double" w:sz="6" w:space="0" w:color="auto"/>
              <w:left w:val="nil"/>
              <w:bottom w:val="nil"/>
              <w:right w:val="dotted" w:sz="4" w:space="0" w:color="auto"/>
            </w:tcBorders>
            <w:shd w:val="clear" w:color="000000" w:fill="FFFFFF"/>
            <w:vAlign w:val="center"/>
            <w:hideMark/>
          </w:tcPr>
          <w:p w14:paraId="2EA07959"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976" w:type="dxa"/>
            <w:tcBorders>
              <w:top w:val="double" w:sz="6" w:space="0" w:color="auto"/>
              <w:left w:val="nil"/>
              <w:bottom w:val="nil"/>
              <w:right w:val="double" w:sz="6" w:space="0" w:color="auto"/>
            </w:tcBorders>
            <w:shd w:val="clear" w:color="000000" w:fill="FFFFFF"/>
            <w:vAlign w:val="center"/>
            <w:hideMark/>
          </w:tcPr>
          <w:p w14:paraId="5D5C1296"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03248543" w14:textId="77777777" w:rsidTr="004F4E33">
        <w:trPr>
          <w:trHeight w:val="323"/>
        </w:trPr>
        <w:tc>
          <w:tcPr>
            <w:tcW w:w="3642" w:type="dxa"/>
            <w:vMerge/>
            <w:tcBorders>
              <w:top w:val="double" w:sz="6" w:space="0" w:color="auto"/>
              <w:left w:val="double" w:sz="6" w:space="0" w:color="auto"/>
              <w:bottom w:val="single" w:sz="8" w:space="0" w:color="000000"/>
              <w:right w:val="dotted" w:sz="4" w:space="0" w:color="auto"/>
            </w:tcBorders>
            <w:vAlign w:val="center"/>
            <w:hideMark/>
          </w:tcPr>
          <w:p w14:paraId="6E3CA389"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976" w:type="dxa"/>
            <w:tcBorders>
              <w:top w:val="nil"/>
              <w:left w:val="nil"/>
              <w:bottom w:val="single" w:sz="8" w:space="0" w:color="auto"/>
              <w:right w:val="single" w:sz="8" w:space="0" w:color="auto"/>
            </w:tcBorders>
            <w:shd w:val="clear" w:color="000000" w:fill="FFFFFF"/>
            <w:vAlign w:val="center"/>
            <w:hideMark/>
          </w:tcPr>
          <w:p w14:paraId="275AA32D"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976" w:type="dxa"/>
            <w:tcBorders>
              <w:top w:val="nil"/>
              <w:left w:val="nil"/>
              <w:bottom w:val="single" w:sz="8" w:space="0" w:color="auto"/>
              <w:right w:val="dotted" w:sz="4" w:space="0" w:color="auto"/>
            </w:tcBorders>
            <w:shd w:val="clear" w:color="000000" w:fill="FFFFFF"/>
            <w:vAlign w:val="center"/>
            <w:hideMark/>
          </w:tcPr>
          <w:p w14:paraId="5B32B81C"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976" w:type="dxa"/>
            <w:tcBorders>
              <w:top w:val="nil"/>
              <w:left w:val="nil"/>
              <w:bottom w:val="single" w:sz="8" w:space="0" w:color="auto"/>
              <w:right w:val="dotted" w:sz="4" w:space="0" w:color="auto"/>
            </w:tcBorders>
            <w:shd w:val="clear" w:color="000000" w:fill="FFFFFF"/>
            <w:vAlign w:val="center"/>
            <w:hideMark/>
          </w:tcPr>
          <w:p w14:paraId="43CDDDF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976" w:type="dxa"/>
            <w:tcBorders>
              <w:top w:val="nil"/>
              <w:left w:val="nil"/>
              <w:bottom w:val="single" w:sz="8" w:space="0" w:color="auto"/>
              <w:right w:val="dotted" w:sz="4" w:space="0" w:color="auto"/>
            </w:tcBorders>
            <w:shd w:val="clear" w:color="000000" w:fill="FFFFFF"/>
            <w:vAlign w:val="center"/>
            <w:hideMark/>
          </w:tcPr>
          <w:p w14:paraId="4BC8433D"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976" w:type="dxa"/>
            <w:tcBorders>
              <w:top w:val="nil"/>
              <w:left w:val="nil"/>
              <w:bottom w:val="single" w:sz="8" w:space="0" w:color="auto"/>
              <w:right w:val="dotted" w:sz="4" w:space="0" w:color="auto"/>
            </w:tcBorders>
            <w:shd w:val="clear" w:color="000000" w:fill="FFFFFF"/>
            <w:vAlign w:val="center"/>
            <w:hideMark/>
          </w:tcPr>
          <w:p w14:paraId="5CC84916"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976" w:type="dxa"/>
            <w:tcBorders>
              <w:top w:val="nil"/>
              <w:left w:val="nil"/>
              <w:bottom w:val="single" w:sz="8" w:space="0" w:color="auto"/>
              <w:right w:val="double" w:sz="6" w:space="0" w:color="auto"/>
            </w:tcBorders>
            <w:shd w:val="clear" w:color="000000" w:fill="FFFFFF"/>
            <w:vAlign w:val="center"/>
            <w:hideMark/>
          </w:tcPr>
          <w:p w14:paraId="0AA8A73D"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587FD023" w14:textId="77777777" w:rsidTr="00E372C0">
        <w:trPr>
          <w:trHeight w:val="323"/>
        </w:trPr>
        <w:tc>
          <w:tcPr>
            <w:tcW w:w="3642" w:type="dxa"/>
            <w:tcBorders>
              <w:top w:val="nil"/>
              <w:left w:val="double" w:sz="6" w:space="0" w:color="auto"/>
              <w:bottom w:val="dotted" w:sz="4" w:space="0" w:color="auto"/>
              <w:right w:val="dotted" w:sz="4" w:space="0" w:color="auto"/>
            </w:tcBorders>
            <w:shd w:val="clear" w:color="000000" w:fill="FFFFFF"/>
            <w:vAlign w:val="center"/>
            <w:hideMark/>
          </w:tcPr>
          <w:p w14:paraId="2B19145D"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 GDP deflator</w:t>
            </w:r>
          </w:p>
        </w:tc>
        <w:tc>
          <w:tcPr>
            <w:tcW w:w="976" w:type="dxa"/>
            <w:tcBorders>
              <w:top w:val="nil"/>
              <w:left w:val="nil"/>
              <w:bottom w:val="dotted" w:sz="4" w:space="0" w:color="auto"/>
              <w:right w:val="single" w:sz="8" w:space="0" w:color="auto"/>
            </w:tcBorders>
            <w:shd w:val="clear" w:color="000000" w:fill="FFFFFF"/>
            <w:vAlign w:val="center"/>
            <w:hideMark/>
          </w:tcPr>
          <w:p w14:paraId="7C2EF007"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w:t>
            </w:r>
          </w:p>
          <w:p w14:paraId="2FBB2EE3"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yoy</w:t>
            </w:r>
          </w:p>
        </w:tc>
        <w:tc>
          <w:tcPr>
            <w:tcW w:w="976" w:type="dxa"/>
            <w:tcBorders>
              <w:top w:val="nil"/>
              <w:left w:val="nil"/>
              <w:bottom w:val="dotted" w:sz="4" w:space="0" w:color="auto"/>
              <w:right w:val="dotted" w:sz="4" w:space="0" w:color="auto"/>
            </w:tcBorders>
            <w:shd w:val="clear" w:color="000000" w:fill="FFFFFF"/>
            <w:vAlign w:val="center"/>
          </w:tcPr>
          <w:p w14:paraId="3B027522"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0.9</w:t>
            </w:r>
          </w:p>
        </w:tc>
        <w:tc>
          <w:tcPr>
            <w:tcW w:w="976" w:type="dxa"/>
            <w:tcBorders>
              <w:top w:val="nil"/>
              <w:left w:val="nil"/>
              <w:bottom w:val="dotted" w:sz="4" w:space="0" w:color="auto"/>
              <w:right w:val="dotted" w:sz="4" w:space="0" w:color="auto"/>
            </w:tcBorders>
            <w:shd w:val="clear" w:color="000000" w:fill="FFFFFF"/>
            <w:vAlign w:val="center"/>
          </w:tcPr>
          <w:p w14:paraId="68547BC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0.8</w:t>
            </w:r>
          </w:p>
        </w:tc>
        <w:tc>
          <w:tcPr>
            <w:tcW w:w="976" w:type="dxa"/>
            <w:tcBorders>
              <w:top w:val="nil"/>
              <w:left w:val="nil"/>
              <w:bottom w:val="dotted" w:sz="4" w:space="0" w:color="auto"/>
              <w:right w:val="dotted" w:sz="4" w:space="0" w:color="auto"/>
            </w:tcBorders>
            <w:shd w:val="clear" w:color="000000" w:fill="FFFFFF"/>
            <w:vAlign w:val="center"/>
          </w:tcPr>
          <w:p w14:paraId="0C1E819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w:t>
            </w:r>
          </w:p>
        </w:tc>
        <w:tc>
          <w:tcPr>
            <w:tcW w:w="976" w:type="dxa"/>
            <w:tcBorders>
              <w:top w:val="nil"/>
              <w:left w:val="nil"/>
              <w:bottom w:val="dotted" w:sz="4" w:space="0" w:color="auto"/>
              <w:right w:val="dotted" w:sz="4" w:space="0" w:color="auto"/>
            </w:tcBorders>
            <w:shd w:val="clear" w:color="000000" w:fill="FFFFFF"/>
            <w:vAlign w:val="center"/>
          </w:tcPr>
          <w:p w14:paraId="095EBCC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w:t>
            </w:r>
          </w:p>
        </w:tc>
        <w:tc>
          <w:tcPr>
            <w:tcW w:w="976" w:type="dxa"/>
            <w:tcBorders>
              <w:top w:val="nil"/>
              <w:left w:val="nil"/>
              <w:bottom w:val="dotted" w:sz="4" w:space="0" w:color="auto"/>
              <w:right w:val="double" w:sz="6" w:space="0" w:color="auto"/>
            </w:tcBorders>
            <w:shd w:val="clear" w:color="000000" w:fill="FFFFFF"/>
            <w:vAlign w:val="center"/>
          </w:tcPr>
          <w:p w14:paraId="127CCAE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1.8</w:t>
            </w:r>
          </w:p>
        </w:tc>
      </w:tr>
      <w:tr w:rsidR="006F605B" w:rsidRPr="00DC66CD" w14:paraId="36775713" w14:textId="77777777" w:rsidTr="00E372C0">
        <w:trPr>
          <w:trHeight w:val="323"/>
        </w:trPr>
        <w:tc>
          <w:tcPr>
            <w:tcW w:w="3642" w:type="dxa"/>
            <w:tcBorders>
              <w:top w:val="nil"/>
              <w:left w:val="double" w:sz="6" w:space="0" w:color="auto"/>
              <w:bottom w:val="dotted" w:sz="4" w:space="0" w:color="auto"/>
              <w:right w:val="dotted" w:sz="4" w:space="0" w:color="auto"/>
            </w:tcBorders>
            <w:shd w:val="clear" w:color="000000" w:fill="FFFFFF"/>
            <w:vAlign w:val="center"/>
            <w:hideMark/>
          </w:tcPr>
          <w:p w14:paraId="3A60A39C"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 Private consumption deflator</w:t>
            </w:r>
          </w:p>
        </w:tc>
        <w:tc>
          <w:tcPr>
            <w:tcW w:w="976" w:type="dxa"/>
            <w:tcBorders>
              <w:top w:val="nil"/>
              <w:left w:val="nil"/>
              <w:bottom w:val="dotted" w:sz="4" w:space="0" w:color="auto"/>
              <w:right w:val="single" w:sz="8" w:space="0" w:color="auto"/>
            </w:tcBorders>
            <w:shd w:val="clear" w:color="000000" w:fill="FFFFFF"/>
            <w:vAlign w:val="center"/>
            <w:hideMark/>
          </w:tcPr>
          <w:p w14:paraId="287169CC"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w:t>
            </w:r>
          </w:p>
          <w:p w14:paraId="21F46D96"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yoy</w:t>
            </w:r>
          </w:p>
        </w:tc>
        <w:tc>
          <w:tcPr>
            <w:tcW w:w="976" w:type="dxa"/>
            <w:tcBorders>
              <w:top w:val="nil"/>
              <w:left w:val="nil"/>
              <w:bottom w:val="dotted" w:sz="4" w:space="0" w:color="auto"/>
              <w:right w:val="dotted" w:sz="4" w:space="0" w:color="auto"/>
            </w:tcBorders>
            <w:shd w:val="clear" w:color="000000" w:fill="FFFFFF"/>
            <w:vAlign w:val="center"/>
          </w:tcPr>
          <w:p w14:paraId="391CC8F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1.8</w:t>
            </w:r>
          </w:p>
        </w:tc>
        <w:tc>
          <w:tcPr>
            <w:tcW w:w="976" w:type="dxa"/>
            <w:tcBorders>
              <w:top w:val="nil"/>
              <w:left w:val="nil"/>
              <w:bottom w:val="dotted" w:sz="4" w:space="0" w:color="auto"/>
              <w:right w:val="dotted" w:sz="4" w:space="0" w:color="auto"/>
            </w:tcBorders>
            <w:shd w:val="clear" w:color="000000" w:fill="FFFFFF"/>
            <w:vAlign w:val="center"/>
          </w:tcPr>
          <w:p w14:paraId="2057864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w:t>
            </w:r>
          </w:p>
        </w:tc>
        <w:tc>
          <w:tcPr>
            <w:tcW w:w="976" w:type="dxa"/>
            <w:tcBorders>
              <w:top w:val="nil"/>
              <w:left w:val="nil"/>
              <w:bottom w:val="dotted" w:sz="4" w:space="0" w:color="auto"/>
              <w:right w:val="dotted" w:sz="4" w:space="0" w:color="auto"/>
            </w:tcBorders>
            <w:shd w:val="clear" w:color="000000" w:fill="FFFFFF"/>
            <w:vAlign w:val="center"/>
          </w:tcPr>
          <w:p w14:paraId="58C708A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c>
          <w:tcPr>
            <w:tcW w:w="976" w:type="dxa"/>
            <w:tcBorders>
              <w:top w:val="nil"/>
              <w:left w:val="nil"/>
              <w:bottom w:val="dotted" w:sz="4" w:space="0" w:color="auto"/>
              <w:right w:val="dotted" w:sz="4" w:space="0" w:color="auto"/>
            </w:tcBorders>
            <w:shd w:val="clear" w:color="000000" w:fill="FFFFFF"/>
            <w:vAlign w:val="center"/>
          </w:tcPr>
          <w:p w14:paraId="66A353E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2.6</w:t>
            </w:r>
          </w:p>
        </w:tc>
        <w:tc>
          <w:tcPr>
            <w:tcW w:w="976" w:type="dxa"/>
            <w:tcBorders>
              <w:top w:val="nil"/>
              <w:left w:val="nil"/>
              <w:bottom w:val="dotted" w:sz="4" w:space="0" w:color="auto"/>
              <w:right w:val="double" w:sz="6" w:space="0" w:color="auto"/>
            </w:tcBorders>
            <w:shd w:val="clear" w:color="000000" w:fill="FFFFFF"/>
            <w:vAlign w:val="center"/>
          </w:tcPr>
          <w:p w14:paraId="22D73E2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2.4</w:t>
            </w:r>
          </w:p>
        </w:tc>
      </w:tr>
      <w:tr w:rsidR="006F605B" w:rsidRPr="00DC66CD" w14:paraId="042D1279" w14:textId="77777777" w:rsidTr="00E372C0">
        <w:trPr>
          <w:trHeight w:val="323"/>
        </w:trPr>
        <w:tc>
          <w:tcPr>
            <w:tcW w:w="3642" w:type="dxa"/>
            <w:tcBorders>
              <w:top w:val="nil"/>
              <w:left w:val="double" w:sz="6" w:space="0" w:color="auto"/>
              <w:bottom w:val="dotted" w:sz="4" w:space="0" w:color="auto"/>
              <w:right w:val="dotted" w:sz="4" w:space="0" w:color="auto"/>
            </w:tcBorders>
            <w:shd w:val="clear" w:color="000000" w:fill="FFFFFF"/>
            <w:vAlign w:val="center"/>
            <w:hideMark/>
          </w:tcPr>
          <w:p w14:paraId="1B543AA3"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3. HICP</w:t>
            </w:r>
          </w:p>
        </w:tc>
        <w:tc>
          <w:tcPr>
            <w:tcW w:w="976" w:type="dxa"/>
            <w:tcBorders>
              <w:top w:val="nil"/>
              <w:left w:val="nil"/>
              <w:bottom w:val="dotted" w:sz="4" w:space="0" w:color="auto"/>
              <w:right w:val="single" w:sz="8" w:space="0" w:color="auto"/>
            </w:tcBorders>
            <w:shd w:val="clear" w:color="000000" w:fill="FFFFFF"/>
            <w:vAlign w:val="center"/>
            <w:hideMark/>
          </w:tcPr>
          <w:p w14:paraId="095A44AD"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w:t>
            </w:r>
          </w:p>
          <w:p w14:paraId="670962EF"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yoy</w:t>
            </w:r>
          </w:p>
        </w:tc>
        <w:tc>
          <w:tcPr>
            <w:tcW w:w="976" w:type="dxa"/>
            <w:tcBorders>
              <w:top w:val="nil"/>
              <w:left w:val="nil"/>
              <w:bottom w:val="dotted" w:sz="4" w:space="0" w:color="auto"/>
              <w:right w:val="dotted" w:sz="4" w:space="0" w:color="auto"/>
            </w:tcBorders>
            <w:shd w:val="clear" w:color="000000" w:fill="FFFFFF"/>
            <w:vAlign w:val="center"/>
          </w:tcPr>
          <w:p w14:paraId="6E254C9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1.8</w:t>
            </w:r>
          </w:p>
        </w:tc>
        <w:tc>
          <w:tcPr>
            <w:tcW w:w="976" w:type="dxa"/>
            <w:tcBorders>
              <w:top w:val="nil"/>
              <w:left w:val="nil"/>
              <w:bottom w:val="dotted" w:sz="4" w:space="0" w:color="auto"/>
              <w:right w:val="dotted" w:sz="4" w:space="0" w:color="auto"/>
            </w:tcBorders>
            <w:shd w:val="clear" w:color="000000" w:fill="FFFFFF"/>
            <w:vAlign w:val="center"/>
          </w:tcPr>
          <w:p w14:paraId="27F8B1B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w:t>
            </w:r>
          </w:p>
        </w:tc>
        <w:tc>
          <w:tcPr>
            <w:tcW w:w="976" w:type="dxa"/>
            <w:tcBorders>
              <w:top w:val="nil"/>
              <w:left w:val="nil"/>
              <w:bottom w:val="dotted" w:sz="4" w:space="0" w:color="auto"/>
              <w:right w:val="dotted" w:sz="4" w:space="0" w:color="auto"/>
            </w:tcBorders>
            <w:shd w:val="clear" w:color="000000" w:fill="FFFFFF"/>
            <w:vAlign w:val="center"/>
          </w:tcPr>
          <w:p w14:paraId="0AC6D0C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976" w:type="dxa"/>
            <w:tcBorders>
              <w:top w:val="nil"/>
              <w:left w:val="nil"/>
              <w:bottom w:val="dotted" w:sz="4" w:space="0" w:color="auto"/>
              <w:right w:val="dotted" w:sz="4" w:space="0" w:color="auto"/>
            </w:tcBorders>
            <w:shd w:val="clear" w:color="000000" w:fill="FFFFFF"/>
            <w:vAlign w:val="center"/>
          </w:tcPr>
          <w:p w14:paraId="0843986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976" w:type="dxa"/>
            <w:tcBorders>
              <w:top w:val="nil"/>
              <w:left w:val="nil"/>
              <w:bottom w:val="dotted" w:sz="4" w:space="0" w:color="auto"/>
              <w:right w:val="double" w:sz="6" w:space="0" w:color="auto"/>
            </w:tcBorders>
            <w:shd w:val="clear" w:color="000000" w:fill="FFFFFF"/>
            <w:vAlign w:val="center"/>
          </w:tcPr>
          <w:p w14:paraId="243AF09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171F6FF8" w14:textId="77777777" w:rsidTr="00E372C0">
        <w:trPr>
          <w:trHeight w:val="323"/>
        </w:trPr>
        <w:tc>
          <w:tcPr>
            <w:tcW w:w="3642" w:type="dxa"/>
            <w:tcBorders>
              <w:top w:val="nil"/>
              <w:left w:val="double" w:sz="6" w:space="0" w:color="auto"/>
              <w:bottom w:val="dotted" w:sz="4" w:space="0" w:color="auto"/>
              <w:right w:val="dotted" w:sz="4" w:space="0" w:color="auto"/>
            </w:tcBorders>
            <w:shd w:val="clear" w:color="000000" w:fill="FFFFFF"/>
            <w:vAlign w:val="center"/>
            <w:hideMark/>
          </w:tcPr>
          <w:p w14:paraId="502A6D38"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4. National CPI change</w:t>
            </w:r>
          </w:p>
        </w:tc>
        <w:tc>
          <w:tcPr>
            <w:tcW w:w="976" w:type="dxa"/>
            <w:tcBorders>
              <w:top w:val="nil"/>
              <w:left w:val="nil"/>
              <w:bottom w:val="dotted" w:sz="4" w:space="0" w:color="auto"/>
              <w:right w:val="single" w:sz="8" w:space="0" w:color="auto"/>
            </w:tcBorders>
            <w:shd w:val="clear" w:color="000000" w:fill="FFFFFF"/>
            <w:vAlign w:val="center"/>
            <w:hideMark/>
          </w:tcPr>
          <w:p w14:paraId="06ACDF34"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w:t>
            </w:r>
          </w:p>
          <w:p w14:paraId="30FB89E9"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yoy</w:t>
            </w:r>
          </w:p>
        </w:tc>
        <w:tc>
          <w:tcPr>
            <w:tcW w:w="976" w:type="dxa"/>
            <w:tcBorders>
              <w:top w:val="nil"/>
              <w:left w:val="nil"/>
              <w:bottom w:val="dotted" w:sz="4" w:space="0" w:color="auto"/>
              <w:right w:val="dotted" w:sz="4" w:space="0" w:color="auto"/>
            </w:tcBorders>
            <w:shd w:val="clear" w:color="000000" w:fill="FFFFFF"/>
            <w:vAlign w:val="center"/>
          </w:tcPr>
          <w:p w14:paraId="3CE6761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2.0</w:t>
            </w:r>
          </w:p>
        </w:tc>
        <w:tc>
          <w:tcPr>
            <w:tcW w:w="976" w:type="dxa"/>
            <w:tcBorders>
              <w:top w:val="nil"/>
              <w:left w:val="nil"/>
              <w:bottom w:val="dotted" w:sz="4" w:space="0" w:color="auto"/>
              <w:right w:val="dotted" w:sz="4" w:space="0" w:color="auto"/>
            </w:tcBorders>
            <w:shd w:val="clear" w:color="000000" w:fill="FFFFFF"/>
            <w:vAlign w:val="center"/>
          </w:tcPr>
          <w:p w14:paraId="704CAD3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1.4</w:t>
            </w:r>
          </w:p>
        </w:tc>
        <w:tc>
          <w:tcPr>
            <w:tcW w:w="976" w:type="dxa"/>
            <w:tcBorders>
              <w:top w:val="nil"/>
              <w:left w:val="nil"/>
              <w:bottom w:val="dotted" w:sz="4" w:space="0" w:color="auto"/>
              <w:right w:val="dotted" w:sz="4" w:space="0" w:color="auto"/>
            </w:tcBorders>
            <w:shd w:val="clear" w:color="000000" w:fill="FFFFFF"/>
            <w:vAlign w:val="center"/>
          </w:tcPr>
          <w:p w14:paraId="489DE98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w:t>
            </w:r>
          </w:p>
        </w:tc>
        <w:tc>
          <w:tcPr>
            <w:tcW w:w="976" w:type="dxa"/>
            <w:tcBorders>
              <w:top w:val="nil"/>
              <w:left w:val="nil"/>
              <w:bottom w:val="dotted" w:sz="4" w:space="0" w:color="auto"/>
              <w:right w:val="dotted" w:sz="4" w:space="0" w:color="auto"/>
            </w:tcBorders>
            <w:shd w:val="clear" w:color="000000" w:fill="FFFFFF"/>
            <w:vAlign w:val="center"/>
          </w:tcPr>
          <w:p w14:paraId="6D15A6A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2.4</w:t>
            </w:r>
          </w:p>
        </w:tc>
        <w:tc>
          <w:tcPr>
            <w:tcW w:w="976" w:type="dxa"/>
            <w:tcBorders>
              <w:top w:val="nil"/>
              <w:left w:val="nil"/>
              <w:bottom w:val="dotted" w:sz="4" w:space="0" w:color="auto"/>
              <w:right w:val="double" w:sz="6" w:space="0" w:color="auto"/>
            </w:tcBorders>
            <w:shd w:val="clear" w:color="000000" w:fill="FFFFFF"/>
            <w:vAlign w:val="center"/>
          </w:tcPr>
          <w:p w14:paraId="72A74C1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2.8</w:t>
            </w:r>
          </w:p>
        </w:tc>
      </w:tr>
      <w:tr w:rsidR="006F605B" w:rsidRPr="00DC66CD" w14:paraId="58694BFB" w14:textId="77777777" w:rsidTr="00E372C0">
        <w:trPr>
          <w:trHeight w:val="323"/>
        </w:trPr>
        <w:tc>
          <w:tcPr>
            <w:tcW w:w="3642" w:type="dxa"/>
            <w:tcBorders>
              <w:top w:val="nil"/>
              <w:left w:val="double" w:sz="6" w:space="0" w:color="auto"/>
              <w:bottom w:val="dotted" w:sz="4" w:space="0" w:color="auto"/>
              <w:right w:val="dotted" w:sz="4" w:space="0" w:color="auto"/>
            </w:tcBorders>
            <w:shd w:val="clear" w:color="000000" w:fill="FFFFFF"/>
            <w:vAlign w:val="center"/>
            <w:hideMark/>
          </w:tcPr>
          <w:p w14:paraId="2C172D93"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5. Public consumption deflator</w:t>
            </w:r>
          </w:p>
        </w:tc>
        <w:tc>
          <w:tcPr>
            <w:tcW w:w="976" w:type="dxa"/>
            <w:tcBorders>
              <w:top w:val="nil"/>
              <w:left w:val="nil"/>
              <w:bottom w:val="dotted" w:sz="4" w:space="0" w:color="auto"/>
              <w:right w:val="single" w:sz="8" w:space="0" w:color="auto"/>
            </w:tcBorders>
            <w:shd w:val="clear" w:color="000000" w:fill="FFFFFF"/>
            <w:vAlign w:val="center"/>
            <w:hideMark/>
          </w:tcPr>
          <w:p w14:paraId="103C27E3"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w:t>
            </w:r>
          </w:p>
          <w:p w14:paraId="6ED2EDE1"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yoy</w:t>
            </w:r>
          </w:p>
        </w:tc>
        <w:tc>
          <w:tcPr>
            <w:tcW w:w="976" w:type="dxa"/>
            <w:tcBorders>
              <w:top w:val="nil"/>
              <w:left w:val="nil"/>
              <w:bottom w:val="dotted" w:sz="4" w:space="0" w:color="auto"/>
              <w:right w:val="dotted" w:sz="4" w:space="0" w:color="auto"/>
            </w:tcBorders>
            <w:shd w:val="clear" w:color="000000" w:fill="FFFFFF"/>
            <w:vAlign w:val="center"/>
          </w:tcPr>
          <w:p w14:paraId="2CFCB65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3.3</w:t>
            </w:r>
          </w:p>
        </w:tc>
        <w:tc>
          <w:tcPr>
            <w:tcW w:w="976" w:type="dxa"/>
            <w:tcBorders>
              <w:top w:val="nil"/>
              <w:left w:val="nil"/>
              <w:bottom w:val="dotted" w:sz="4" w:space="0" w:color="auto"/>
              <w:right w:val="dotted" w:sz="4" w:space="0" w:color="auto"/>
            </w:tcBorders>
            <w:shd w:val="clear" w:color="000000" w:fill="FFFFFF"/>
            <w:vAlign w:val="center"/>
          </w:tcPr>
          <w:p w14:paraId="75EC0D2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c>
          <w:tcPr>
            <w:tcW w:w="976" w:type="dxa"/>
            <w:tcBorders>
              <w:top w:val="nil"/>
              <w:left w:val="nil"/>
              <w:bottom w:val="dotted" w:sz="4" w:space="0" w:color="auto"/>
              <w:right w:val="dotted" w:sz="4" w:space="0" w:color="auto"/>
            </w:tcBorders>
            <w:shd w:val="clear" w:color="000000" w:fill="FFFFFF"/>
            <w:vAlign w:val="center"/>
          </w:tcPr>
          <w:p w14:paraId="7BC0AFE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c>
          <w:tcPr>
            <w:tcW w:w="976" w:type="dxa"/>
            <w:tcBorders>
              <w:top w:val="nil"/>
              <w:left w:val="nil"/>
              <w:bottom w:val="dotted" w:sz="4" w:space="0" w:color="auto"/>
              <w:right w:val="dotted" w:sz="4" w:space="0" w:color="auto"/>
            </w:tcBorders>
            <w:shd w:val="clear" w:color="000000" w:fill="FFFFFF"/>
            <w:vAlign w:val="center"/>
          </w:tcPr>
          <w:p w14:paraId="2A29607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c>
          <w:tcPr>
            <w:tcW w:w="976" w:type="dxa"/>
            <w:tcBorders>
              <w:top w:val="nil"/>
              <w:left w:val="nil"/>
              <w:bottom w:val="dotted" w:sz="4" w:space="0" w:color="auto"/>
              <w:right w:val="double" w:sz="6" w:space="0" w:color="auto"/>
            </w:tcBorders>
            <w:shd w:val="clear" w:color="000000" w:fill="FFFFFF"/>
            <w:vAlign w:val="center"/>
          </w:tcPr>
          <w:p w14:paraId="1066F24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r>
      <w:tr w:rsidR="006F605B" w:rsidRPr="00DC66CD" w14:paraId="7EC54338" w14:textId="77777777" w:rsidTr="00E372C0">
        <w:trPr>
          <w:trHeight w:val="323"/>
        </w:trPr>
        <w:tc>
          <w:tcPr>
            <w:tcW w:w="3642" w:type="dxa"/>
            <w:tcBorders>
              <w:top w:val="nil"/>
              <w:left w:val="double" w:sz="6" w:space="0" w:color="auto"/>
              <w:bottom w:val="dotted" w:sz="4" w:space="0" w:color="auto"/>
              <w:right w:val="dotted" w:sz="4" w:space="0" w:color="auto"/>
            </w:tcBorders>
            <w:shd w:val="clear" w:color="000000" w:fill="FFFFFF"/>
            <w:vAlign w:val="center"/>
            <w:hideMark/>
          </w:tcPr>
          <w:p w14:paraId="5A94D33E"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6. Investment deflator</w:t>
            </w:r>
          </w:p>
        </w:tc>
        <w:tc>
          <w:tcPr>
            <w:tcW w:w="976" w:type="dxa"/>
            <w:tcBorders>
              <w:top w:val="nil"/>
              <w:left w:val="nil"/>
              <w:bottom w:val="dotted" w:sz="4" w:space="0" w:color="auto"/>
              <w:right w:val="single" w:sz="8" w:space="0" w:color="auto"/>
            </w:tcBorders>
            <w:shd w:val="clear" w:color="000000" w:fill="FFFFFF"/>
            <w:vAlign w:val="center"/>
            <w:hideMark/>
          </w:tcPr>
          <w:p w14:paraId="1A78E36B"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w:t>
            </w:r>
          </w:p>
          <w:p w14:paraId="2AB936F2"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yoy</w:t>
            </w:r>
          </w:p>
        </w:tc>
        <w:tc>
          <w:tcPr>
            <w:tcW w:w="976" w:type="dxa"/>
            <w:tcBorders>
              <w:top w:val="nil"/>
              <w:left w:val="nil"/>
              <w:bottom w:val="dotted" w:sz="4" w:space="0" w:color="auto"/>
              <w:right w:val="dotted" w:sz="4" w:space="0" w:color="auto"/>
            </w:tcBorders>
            <w:shd w:val="clear" w:color="000000" w:fill="FFFFFF"/>
            <w:vAlign w:val="center"/>
          </w:tcPr>
          <w:p w14:paraId="1E7DA8C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0.5</w:t>
            </w:r>
          </w:p>
        </w:tc>
        <w:tc>
          <w:tcPr>
            <w:tcW w:w="976" w:type="dxa"/>
            <w:tcBorders>
              <w:top w:val="nil"/>
              <w:left w:val="nil"/>
              <w:bottom w:val="dotted" w:sz="4" w:space="0" w:color="auto"/>
              <w:right w:val="dotted" w:sz="4" w:space="0" w:color="auto"/>
            </w:tcBorders>
            <w:shd w:val="clear" w:color="000000" w:fill="FFFFFF"/>
            <w:vAlign w:val="center"/>
          </w:tcPr>
          <w:p w14:paraId="55C16D8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976" w:type="dxa"/>
            <w:tcBorders>
              <w:top w:val="nil"/>
              <w:left w:val="nil"/>
              <w:bottom w:val="dotted" w:sz="4" w:space="0" w:color="auto"/>
              <w:right w:val="dotted" w:sz="4" w:space="0" w:color="auto"/>
            </w:tcBorders>
            <w:shd w:val="clear" w:color="000000" w:fill="FFFFFF"/>
            <w:vAlign w:val="center"/>
          </w:tcPr>
          <w:p w14:paraId="7892CE1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976" w:type="dxa"/>
            <w:tcBorders>
              <w:top w:val="nil"/>
              <w:left w:val="nil"/>
              <w:bottom w:val="dotted" w:sz="4" w:space="0" w:color="auto"/>
              <w:right w:val="dotted" w:sz="4" w:space="0" w:color="auto"/>
            </w:tcBorders>
            <w:shd w:val="clear" w:color="000000" w:fill="FFFFFF"/>
            <w:vAlign w:val="center"/>
          </w:tcPr>
          <w:p w14:paraId="32F86B1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976" w:type="dxa"/>
            <w:tcBorders>
              <w:top w:val="nil"/>
              <w:left w:val="nil"/>
              <w:bottom w:val="dotted" w:sz="4" w:space="0" w:color="auto"/>
              <w:right w:val="double" w:sz="6" w:space="0" w:color="auto"/>
            </w:tcBorders>
            <w:shd w:val="clear" w:color="000000" w:fill="FFFFFF"/>
            <w:vAlign w:val="center"/>
          </w:tcPr>
          <w:p w14:paraId="7F3065F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r>
      <w:tr w:rsidR="006F605B" w:rsidRPr="00DC66CD" w14:paraId="067478BA" w14:textId="77777777" w:rsidTr="00E372C0">
        <w:trPr>
          <w:trHeight w:val="323"/>
        </w:trPr>
        <w:tc>
          <w:tcPr>
            <w:tcW w:w="3642" w:type="dxa"/>
            <w:tcBorders>
              <w:top w:val="nil"/>
              <w:left w:val="double" w:sz="6" w:space="0" w:color="auto"/>
              <w:bottom w:val="dotted" w:sz="4" w:space="0" w:color="auto"/>
              <w:right w:val="dotted" w:sz="4" w:space="0" w:color="auto"/>
            </w:tcBorders>
            <w:shd w:val="clear" w:color="000000" w:fill="FFFFFF"/>
            <w:vAlign w:val="center"/>
            <w:hideMark/>
          </w:tcPr>
          <w:p w14:paraId="70B0B10E"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7. Export price deflator (goods &amp; services)</w:t>
            </w:r>
          </w:p>
        </w:tc>
        <w:tc>
          <w:tcPr>
            <w:tcW w:w="976" w:type="dxa"/>
            <w:tcBorders>
              <w:top w:val="nil"/>
              <w:left w:val="nil"/>
              <w:bottom w:val="dotted" w:sz="4" w:space="0" w:color="auto"/>
              <w:right w:val="single" w:sz="8" w:space="0" w:color="auto"/>
            </w:tcBorders>
            <w:shd w:val="clear" w:color="000000" w:fill="FFFFFF"/>
            <w:vAlign w:val="center"/>
            <w:hideMark/>
          </w:tcPr>
          <w:p w14:paraId="45854DB6"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w:t>
            </w:r>
          </w:p>
          <w:p w14:paraId="2603210D"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yoy</w:t>
            </w:r>
          </w:p>
        </w:tc>
        <w:tc>
          <w:tcPr>
            <w:tcW w:w="976" w:type="dxa"/>
            <w:tcBorders>
              <w:top w:val="nil"/>
              <w:left w:val="nil"/>
              <w:bottom w:val="dotted" w:sz="4" w:space="0" w:color="auto"/>
              <w:right w:val="dotted" w:sz="4" w:space="0" w:color="auto"/>
            </w:tcBorders>
            <w:shd w:val="clear" w:color="000000" w:fill="FFFFFF"/>
            <w:vAlign w:val="center"/>
          </w:tcPr>
          <w:p w14:paraId="6117B2B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2.4</w:t>
            </w:r>
          </w:p>
        </w:tc>
        <w:tc>
          <w:tcPr>
            <w:tcW w:w="976" w:type="dxa"/>
            <w:tcBorders>
              <w:top w:val="nil"/>
              <w:left w:val="nil"/>
              <w:bottom w:val="dotted" w:sz="4" w:space="0" w:color="auto"/>
              <w:right w:val="dotted" w:sz="4" w:space="0" w:color="auto"/>
            </w:tcBorders>
            <w:shd w:val="clear" w:color="000000" w:fill="FFFFFF"/>
            <w:vAlign w:val="center"/>
          </w:tcPr>
          <w:p w14:paraId="652FB26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w:t>
            </w:r>
          </w:p>
        </w:tc>
        <w:tc>
          <w:tcPr>
            <w:tcW w:w="976" w:type="dxa"/>
            <w:tcBorders>
              <w:top w:val="nil"/>
              <w:left w:val="nil"/>
              <w:bottom w:val="dotted" w:sz="4" w:space="0" w:color="auto"/>
              <w:right w:val="dotted" w:sz="4" w:space="0" w:color="auto"/>
            </w:tcBorders>
            <w:shd w:val="clear" w:color="000000" w:fill="FFFFFF"/>
            <w:vAlign w:val="center"/>
          </w:tcPr>
          <w:p w14:paraId="71DCF64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c>
          <w:tcPr>
            <w:tcW w:w="976" w:type="dxa"/>
            <w:tcBorders>
              <w:top w:val="nil"/>
              <w:left w:val="nil"/>
              <w:bottom w:val="dotted" w:sz="4" w:space="0" w:color="auto"/>
              <w:right w:val="dotted" w:sz="4" w:space="0" w:color="auto"/>
            </w:tcBorders>
            <w:shd w:val="clear" w:color="000000" w:fill="FFFFFF"/>
            <w:vAlign w:val="center"/>
          </w:tcPr>
          <w:p w14:paraId="44E11D9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0.5</w:t>
            </w:r>
          </w:p>
        </w:tc>
        <w:tc>
          <w:tcPr>
            <w:tcW w:w="976" w:type="dxa"/>
            <w:tcBorders>
              <w:top w:val="nil"/>
              <w:left w:val="nil"/>
              <w:bottom w:val="dotted" w:sz="4" w:space="0" w:color="auto"/>
              <w:right w:val="double" w:sz="6" w:space="0" w:color="auto"/>
            </w:tcBorders>
            <w:shd w:val="clear" w:color="000000" w:fill="FFFFFF"/>
            <w:vAlign w:val="center"/>
          </w:tcPr>
          <w:p w14:paraId="0B3835C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0.5</w:t>
            </w:r>
          </w:p>
        </w:tc>
      </w:tr>
      <w:tr w:rsidR="006F605B" w:rsidRPr="00DC66CD" w14:paraId="3A0B37D7" w14:textId="77777777" w:rsidTr="00E372C0">
        <w:trPr>
          <w:trHeight w:val="323"/>
        </w:trPr>
        <w:tc>
          <w:tcPr>
            <w:tcW w:w="3642" w:type="dxa"/>
            <w:tcBorders>
              <w:top w:val="nil"/>
              <w:left w:val="double" w:sz="6" w:space="0" w:color="auto"/>
              <w:bottom w:val="double" w:sz="6" w:space="0" w:color="auto"/>
              <w:right w:val="dotted" w:sz="4" w:space="0" w:color="auto"/>
            </w:tcBorders>
            <w:shd w:val="clear" w:color="000000" w:fill="FFFFFF"/>
            <w:vAlign w:val="center"/>
            <w:hideMark/>
          </w:tcPr>
          <w:p w14:paraId="3D483217"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8. Import price deflator (goods &amp; services)</w:t>
            </w:r>
          </w:p>
        </w:tc>
        <w:tc>
          <w:tcPr>
            <w:tcW w:w="976" w:type="dxa"/>
            <w:tcBorders>
              <w:top w:val="nil"/>
              <w:left w:val="nil"/>
              <w:bottom w:val="double" w:sz="6" w:space="0" w:color="auto"/>
              <w:right w:val="single" w:sz="8" w:space="0" w:color="auto"/>
            </w:tcBorders>
            <w:shd w:val="clear" w:color="000000" w:fill="FFFFFF"/>
            <w:vAlign w:val="center"/>
            <w:hideMark/>
          </w:tcPr>
          <w:p w14:paraId="15B670E1"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w:t>
            </w:r>
          </w:p>
          <w:p w14:paraId="13151705"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yoy</w:t>
            </w:r>
          </w:p>
        </w:tc>
        <w:tc>
          <w:tcPr>
            <w:tcW w:w="976" w:type="dxa"/>
            <w:tcBorders>
              <w:top w:val="nil"/>
              <w:left w:val="nil"/>
              <w:bottom w:val="double" w:sz="6" w:space="0" w:color="auto"/>
              <w:right w:val="dotted" w:sz="4" w:space="0" w:color="auto"/>
            </w:tcBorders>
            <w:shd w:val="clear" w:color="000000" w:fill="FFFFFF"/>
            <w:vAlign w:val="center"/>
          </w:tcPr>
          <w:p w14:paraId="2B20E5E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c>
          <w:tcPr>
            <w:tcW w:w="976" w:type="dxa"/>
            <w:tcBorders>
              <w:top w:val="nil"/>
              <w:left w:val="nil"/>
              <w:bottom w:val="double" w:sz="6" w:space="0" w:color="auto"/>
              <w:right w:val="dotted" w:sz="4" w:space="0" w:color="auto"/>
            </w:tcBorders>
            <w:shd w:val="clear" w:color="000000" w:fill="FFFFFF"/>
            <w:vAlign w:val="center"/>
          </w:tcPr>
          <w:p w14:paraId="28205C2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0.5</w:t>
            </w:r>
          </w:p>
        </w:tc>
        <w:tc>
          <w:tcPr>
            <w:tcW w:w="976" w:type="dxa"/>
            <w:tcBorders>
              <w:top w:val="nil"/>
              <w:left w:val="nil"/>
              <w:bottom w:val="double" w:sz="6" w:space="0" w:color="auto"/>
              <w:right w:val="dotted" w:sz="4" w:space="0" w:color="auto"/>
            </w:tcBorders>
            <w:shd w:val="clear" w:color="000000" w:fill="FFFFFF"/>
            <w:vAlign w:val="center"/>
          </w:tcPr>
          <w:p w14:paraId="7C7D305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0.5</w:t>
            </w:r>
          </w:p>
        </w:tc>
        <w:tc>
          <w:tcPr>
            <w:tcW w:w="976" w:type="dxa"/>
            <w:tcBorders>
              <w:top w:val="nil"/>
              <w:left w:val="nil"/>
              <w:bottom w:val="double" w:sz="6" w:space="0" w:color="auto"/>
              <w:right w:val="dotted" w:sz="4" w:space="0" w:color="auto"/>
            </w:tcBorders>
            <w:shd w:val="clear" w:color="000000" w:fill="FFFFFF"/>
            <w:vAlign w:val="center"/>
          </w:tcPr>
          <w:p w14:paraId="69B38AE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c>
          <w:tcPr>
            <w:tcW w:w="976" w:type="dxa"/>
            <w:tcBorders>
              <w:top w:val="nil"/>
              <w:left w:val="nil"/>
              <w:bottom w:val="double" w:sz="6" w:space="0" w:color="auto"/>
              <w:right w:val="double" w:sz="6" w:space="0" w:color="auto"/>
            </w:tcBorders>
            <w:shd w:val="clear" w:color="000000" w:fill="FFFFFF"/>
            <w:vAlign w:val="center"/>
          </w:tcPr>
          <w:p w14:paraId="27E5E83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r>
    </w:tbl>
    <w:p w14:paraId="5B69F81D"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0B60558B"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63" w:name="_Toc536784308"/>
      <w:bookmarkStart w:id="64" w:name="_Toc30661243"/>
      <w:r w:rsidRPr="00DC66CD">
        <w:rPr>
          <w:rFonts w:ascii="Garamond" w:hAnsi="Garamond"/>
          <w:color w:val="auto"/>
          <w:sz w:val="24"/>
          <w:szCs w:val="24"/>
        </w:rPr>
        <w:t xml:space="preserve">Tabela 1c: </w:t>
      </w:r>
      <w:bookmarkEnd w:id="63"/>
      <w:r w:rsidRPr="00DC66CD">
        <w:rPr>
          <w:rFonts w:ascii="Garamond" w:hAnsi="Garamond"/>
          <w:color w:val="auto"/>
          <w:sz w:val="24"/>
          <w:szCs w:val="24"/>
        </w:rPr>
        <w:t>Zhvillimet në tregun e punës</w:t>
      </w:r>
      <w:bookmarkEnd w:id="64"/>
    </w:p>
    <w:tbl>
      <w:tblPr>
        <w:tblW w:w="9559" w:type="dxa"/>
        <w:tblInd w:w="85" w:type="dxa"/>
        <w:tblLook w:val="04A0" w:firstRow="1" w:lastRow="0" w:firstColumn="1" w:lastColumn="0" w:noHBand="0" w:noVBand="1"/>
      </w:tblPr>
      <w:tblGrid>
        <w:gridCol w:w="3859"/>
        <w:gridCol w:w="715"/>
        <w:gridCol w:w="790"/>
        <w:gridCol w:w="839"/>
        <w:gridCol w:w="839"/>
        <w:gridCol w:w="839"/>
        <w:gridCol w:w="839"/>
        <w:gridCol w:w="839"/>
      </w:tblGrid>
      <w:tr w:rsidR="006F605B" w:rsidRPr="00DC66CD" w14:paraId="15DDD6A4" w14:textId="77777777" w:rsidTr="004F4E33">
        <w:trPr>
          <w:trHeight w:val="454"/>
        </w:trPr>
        <w:tc>
          <w:tcPr>
            <w:tcW w:w="0" w:type="auto"/>
            <w:vMerge w:val="restart"/>
            <w:tcBorders>
              <w:top w:val="double" w:sz="6" w:space="0" w:color="auto"/>
              <w:left w:val="double" w:sz="6" w:space="0" w:color="auto"/>
              <w:bottom w:val="nil"/>
              <w:right w:val="nil"/>
            </w:tcBorders>
            <w:shd w:val="clear" w:color="000000" w:fill="FFFFFF"/>
            <w:vAlign w:val="center"/>
            <w:hideMark/>
          </w:tcPr>
          <w:p w14:paraId="09BE6348" w14:textId="73094B43"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tcBorders>
              <w:top w:val="double" w:sz="6" w:space="0" w:color="auto"/>
              <w:left w:val="single" w:sz="4" w:space="0" w:color="auto"/>
              <w:bottom w:val="nil"/>
              <w:right w:val="single" w:sz="4" w:space="0" w:color="auto"/>
            </w:tcBorders>
            <w:shd w:val="clear" w:color="000000" w:fill="FFFFFF"/>
            <w:vAlign w:val="center"/>
            <w:hideMark/>
          </w:tcPr>
          <w:p w14:paraId="67F373F5"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ESA</w:t>
            </w:r>
          </w:p>
        </w:tc>
        <w:tc>
          <w:tcPr>
            <w:tcW w:w="0" w:type="auto"/>
            <w:tcBorders>
              <w:top w:val="double" w:sz="6" w:space="0" w:color="auto"/>
              <w:left w:val="single" w:sz="4" w:space="0" w:color="auto"/>
              <w:bottom w:val="nil"/>
              <w:right w:val="single" w:sz="4" w:space="0" w:color="auto"/>
            </w:tcBorders>
            <w:shd w:val="clear" w:color="000000" w:fill="FFFFFF"/>
            <w:vAlign w:val="center"/>
            <w:hideMark/>
          </w:tcPr>
          <w:p w14:paraId="01B45DB1"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7F7B010D"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2CE440F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4B9C39A3"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435C051F"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uble" w:sz="6" w:space="0" w:color="auto"/>
            </w:tcBorders>
            <w:shd w:val="clear" w:color="000000" w:fill="FFFFFF"/>
            <w:vAlign w:val="center"/>
            <w:hideMark/>
          </w:tcPr>
          <w:p w14:paraId="3C3D471C"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0DA29310" w14:textId="77777777" w:rsidTr="004F4E33">
        <w:trPr>
          <w:trHeight w:val="435"/>
        </w:trPr>
        <w:tc>
          <w:tcPr>
            <w:tcW w:w="0" w:type="auto"/>
            <w:vMerge/>
            <w:tcBorders>
              <w:top w:val="double" w:sz="6" w:space="0" w:color="auto"/>
              <w:left w:val="double" w:sz="6" w:space="0" w:color="auto"/>
              <w:bottom w:val="nil"/>
              <w:right w:val="nil"/>
            </w:tcBorders>
            <w:vAlign w:val="center"/>
            <w:hideMark/>
          </w:tcPr>
          <w:p w14:paraId="7A800068"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tcBorders>
              <w:top w:val="nil"/>
              <w:left w:val="single" w:sz="4" w:space="0" w:color="auto"/>
              <w:bottom w:val="nil"/>
              <w:right w:val="single" w:sz="4" w:space="0" w:color="auto"/>
            </w:tcBorders>
            <w:shd w:val="clear" w:color="000000" w:fill="FFFFFF"/>
            <w:vAlign w:val="center"/>
            <w:hideMark/>
          </w:tcPr>
          <w:p w14:paraId="1B9C83C7"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Code</w:t>
            </w:r>
          </w:p>
        </w:tc>
        <w:tc>
          <w:tcPr>
            <w:tcW w:w="0" w:type="auto"/>
            <w:tcBorders>
              <w:top w:val="nil"/>
              <w:left w:val="single" w:sz="4" w:space="0" w:color="auto"/>
              <w:bottom w:val="dotted" w:sz="4" w:space="0" w:color="auto"/>
              <w:right w:val="single" w:sz="4" w:space="0" w:color="auto"/>
            </w:tcBorders>
            <w:shd w:val="clear" w:color="000000" w:fill="FFFFFF"/>
            <w:vAlign w:val="center"/>
            <w:hideMark/>
          </w:tcPr>
          <w:p w14:paraId="5E7835A5"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0" w:type="auto"/>
            <w:tcBorders>
              <w:top w:val="nil"/>
              <w:left w:val="nil"/>
              <w:bottom w:val="dotted" w:sz="4" w:space="0" w:color="auto"/>
              <w:right w:val="dotted" w:sz="4" w:space="0" w:color="auto"/>
            </w:tcBorders>
            <w:shd w:val="clear" w:color="000000" w:fill="FFFFFF"/>
            <w:vAlign w:val="center"/>
            <w:hideMark/>
          </w:tcPr>
          <w:p w14:paraId="44AED84D"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0" w:type="auto"/>
            <w:tcBorders>
              <w:top w:val="nil"/>
              <w:left w:val="nil"/>
              <w:bottom w:val="dotted" w:sz="4" w:space="0" w:color="auto"/>
              <w:right w:val="dotted" w:sz="4" w:space="0" w:color="auto"/>
            </w:tcBorders>
            <w:shd w:val="clear" w:color="000000" w:fill="FFFFFF"/>
            <w:vAlign w:val="center"/>
            <w:hideMark/>
          </w:tcPr>
          <w:p w14:paraId="02ACE84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0" w:type="auto"/>
            <w:tcBorders>
              <w:top w:val="nil"/>
              <w:left w:val="nil"/>
              <w:bottom w:val="dotted" w:sz="4" w:space="0" w:color="auto"/>
              <w:right w:val="dotted" w:sz="4" w:space="0" w:color="auto"/>
            </w:tcBorders>
            <w:shd w:val="clear" w:color="000000" w:fill="FFFFFF"/>
            <w:vAlign w:val="center"/>
            <w:hideMark/>
          </w:tcPr>
          <w:p w14:paraId="3E56B6C4"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0" w:type="auto"/>
            <w:tcBorders>
              <w:top w:val="nil"/>
              <w:left w:val="nil"/>
              <w:bottom w:val="dotted" w:sz="4" w:space="0" w:color="auto"/>
              <w:right w:val="dotted" w:sz="4" w:space="0" w:color="auto"/>
            </w:tcBorders>
            <w:shd w:val="clear" w:color="000000" w:fill="FFFFFF"/>
            <w:vAlign w:val="center"/>
            <w:hideMark/>
          </w:tcPr>
          <w:p w14:paraId="1FAE5D0B"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0" w:type="auto"/>
            <w:tcBorders>
              <w:top w:val="nil"/>
              <w:left w:val="nil"/>
              <w:bottom w:val="dotted" w:sz="4" w:space="0" w:color="auto"/>
              <w:right w:val="double" w:sz="6" w:space="0" w:color="auto"/>
            </w:tcBorders>
            <w:shd w:val="clear" w:color="000000" w:fill="FFFFFF"/>
            <w:vAlign w:val="center"/>
            <w:hideMark/>
          </w:tcPr>
          <w:p w14:paraId="7F341F5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17622F94" w14:textId="77777777" w:rsidTr="004F4E33">
        <w:trPr>
          <w:trHeight w:val="538"/>
        </w:trPr>
        <w:tc>
          <w:tcPr>
            <w:tcW w:w="0" w:type="auto"/>
            <w:tcBorders>
              <w:top w:val="nil"/>
              <w:left w:val="double" w:sz="6" w:space="0" w:color="auto"/>
              <w:bottom w:val="single" w:sz="8" w:space="0" w:color="auto"/>
              <w:right w:val="nil"/>
            </w:tcBorders>
            <w:shd w:val="clear" w:color="000000" w:fill="FFFFFF"/>
            <w:vAlign w:val="center"/>
            <w:hideMark/>
          </w:tcPr>
          <w:p w14:paraId="30F09379" w14:textId="469945DF"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18564773" w14:textId="011A51A9"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tcBorders>
              <w:top w:val="nil"/>
              <w:left w:val="nil"/>
              <w:bottom w:val="single" w:sz="8" w:space="0" w:color="auto"/>
              <w:right w:val="single" w:sz="4" w:space="0" w:color="auto"/>
            </w:tcBorders>
            <w:shd w:val="clear" w:color="000000" w:fill="FFFFFF"/>
            <w:vAlign w:val="center"/>
            <w:hideMark/>
          </w:tcPr>
          <w:p w14:paraId="40FFCCFC"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Level</w:t>
            </w:r>
          </w:p>
        </w:tc>
        <w:tc>
          <w:tcPr>
            <w:tcW w:w="0" w:type="auto"/>
            <w:gridSpan w:val="5"/>
            <w:tcBorders>
              <w:top w:val="dotted" w:sz="4" w:space="0" w:color="auto"/>
              <w:left w:val="nil"/>
              <w:bottom w:val="single" w:sz="8" w:space="0" w:color="auto"/>
              <w:right w:val="double" w:sz="6" w:space="0" w:color="000000"/>
            </w:tcBorders>
            <w:shd w:val="clear" w:color="000000" w:fill="FFFFFF"/>
            <w:vAlign w:val="center"/>
            <w:hideMark/>
          </w:tcPr>
          <w:p w14:paraId="3067C0F4"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Level/Rate of change</w:t>
            </w:r>
          </w:p>
        </w:tc>
      </w:tr>
      <w:tr w:rsidR="006F605B" w:rsidRPr="00DC66CD" w14:paraId="697AB4E5" w14:textId="77777777" w:rsidTr="00E372C0">
        <w:trPr>
          <w:trHeight w:val="538"/>
        </w:trPr>
        <w:tc>
          <w:tcPr>
            <w:tcW w:w="0" w:type="auto"/>
            <w:tcBorders>
              <w:top w:val="nil"/>
              <w:left w:val="double" w:sz="6" w:space="0" w:color="auto"/>
              <w:bottom w:val="dotted" w:sz="4" w:space="0" w:color="auto"/>
              <w:right w:val="nil"/>
            </w:tcBorders>
            <w:shd w:val="clear" w:color="000000" w:fill="FFFFFF"/>
            <w:hideMark/>
          </w:tcPr>
          <w:p w14:paraId="2CC7F990"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 Population (thousands)</w:t>
            </w:r>
          </w:p>
        </w:tc>
        <w:tc>
          <w:tcPr>
            <w:tcW w:w="0" w:type="auto"/>
            <w:tcBorders>
              <w:top w:val="nil"/>
              <w:left w:val="single" w:sz="4" w:space="0" w:color="auto"/>
              <w:bottom w:val="dotted" w:sz="4" w:space="0" w:color="auto"/>
              <w:right w:val="single" w:sz="4" w:space="0" w:color="auto"/>
            </w:tcBorders>
            <w:shd w:val="clear" w:color="000000" w:fill="FFFFFF"/>
            <w:hideMark/>
          </w:tcPr>
          <w:p w14:paraId="0EBDD704"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single" w:sz="8" w:space="0" w:color="auto"/>
              <w:left w:val="single" w:sz="4" w:space="0" w:color="auto"/>
              <w:bottom w:val="dotted" w:sz="4" w:space="0" w:color="auto"/>
              <w:right w:val="single" w:sz="4" w:space="0" w:color="auto"/>
            </w:tcBorders>
            <w:shd w:val="clear" w:color="000000" w:fill="FFFFFF"/>
            <w:hideMark/>
          </w:tcPr>
          <w:p w14:paraId="23EE75CB"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 </w:t>
            </w:r>
          </w:p>
        </w:tc>
        <w:tc>
          <w:tcPr>
            <w:tcW w:w="0" w:type="auto"/>
            <w:tcBorders>
              <w:top w:val="single" w:sz="8" w:space="0" w:color="auto"/>
              <w:left w:val="nil"/>
              <w:bottom w:val="dotted" w:sz="4" w:space="0" w:color="auto"/>
              <w:right w:val="dotted" w:sz="4" w:space="0" w:color="auto"/>
            </w:tcBorders>
            <w:shd w:val="clear" w:color="auto" w:fill="auto"/>
            <w:noWrap/>
            <w:vAlign w:val="center"/>
          </w:tcPr>
          <w:p w14:paraId="0E29AF36"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2,866.4</w:t>
            </w:r>
          </w:p>
        </w:tc>
        <w:tc>
          <w:tcPr>
            <w:tcW w:w="0" w:type="auto"/>
            <w:tcBorders>
              <w:top w:val="single" w:sz="8" w:space="0" w:color="auto"/>
              <w:left w:val="nil"/>
              <w:bottom w:val="dotted" w:sz="4" w:space="0" w:color="auto"/>
              <w:right w:val="dotted" w:sz="4" w:space="0" w:color="auto"/>
            </w:tcBorders>
            <w:shd w:val="clear" w:color="auto" w:fill="auto"/>
            <w:noWrap/>
            <w:vAlign w:val="center"/>
          </w:tcPr>
          <w:p w14:paraId="70336283"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2,862.4</w:t>
            </w:r>
          </w:p>
        </w:tc>
        <w:tc>
          <w:tcPr>
            <w:tcW w:w="0" w:type="auto"/>
            <w:tcBorders>
              <w:top w:val="single" w:sz="8" w:space="0" w:color="auto"/>
              <w:left w:val="nil"/>
              <w:bottom w:val="dotted" w:sz="4" w:space="0" w:color="auto"/>
              <w:right w:val="dotted" w:sz="4" w:space="0" w:color="auto"/>
            </w:tcBorders>
            <w:shd w:val="clear" w:color="auto" w:fill="auto"/>
            <w:noWrap/>
            <w:vAlign w:val="center"/>
          </w:tcPr>
          <w:p w14:paraId="7E5728C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2,856.7</w:t>
            </w:r>
          </w:p>
        </w:tc>
        <w:tc>
          <w:tcPr>
            <w:tcW w:w="0" w:type="auto"/>
            <w:tcBorders>
              <w:top w:val="single" w:sz="8" w:space="0" w:color="auto"/>
              <w:left w:val="nil"/>
              <w:bottom w:val="dotted" w:sz="4" w:space="0" w:color="auto"/>
              <w:right w:val="dotted" w:sz="4" w:space="0" w:color="auto"/>
            </w:tcBorders>
            <w:shd w:val="clear" w:color="auto" w:fill="auto"/>
            <w:noWrap/>
            <w:vAlign w:val="center"/>
          </w:tcPr>
          <w:p w14:paraId="70C38D5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2,850.5</w:t>
            </w:r>
          </w:p>
        </w:tc>
        <w:tc>
          <w:tcPr>
            <w:tcW w:w="0" w:type="auto"/>
            <w:tcBorders>
              <w:top w:val="single" w:sz="8" w:space="0" w:color="auto"/>
              <w:left w:val="nil"/>
              <w:bottom w:val="dotted" w:sz="4" w:space="0" w:color="auto"/>
              <w:right w:val="double" w:sz="6" w:space="0" w:color="auto"/>
            </w:tcBorders>
            <w:shd w:val="clear" w:color="auto" w:fill="auto"/>
            <w:noWrap/>
            <w:vAlign w:val="center"/>
          </w:tcPr>
          <w:p w14:paraId="19122DF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2,843.5</w:t>
            </w:r>
          </w:p>
        </w:tc>
      </w:tr>
      <w:tr w:rsidR="006F605B" w:rsidRPr="00DC66CD" w14:paraId="372D2AE0" w14:textId="77777777" w:rsidTr="00E372C0">
        <w:trPr>
          <w:trHeight w:val="538"/>
        </w:trPr>
        <w:tc>
          <w:tcPr>
            <w:tcW w:w="0" w:type="auto"/>
            <w:tcBorders>
              <w:top w:val="nil"/>
              <w:left w:val="double" w:sz="6" w:space="0" w:color="auto"/>
              <w:bottom w:val="dotted" w:sz="4" w:space="0" w:color="auto"/>
              <w:right w:val="nil"/>
            </w:tcBorders>
            <w:shd w:val="clear" w:color="000000" w:fill="FFFFFF"/>
            <w:hideMark/>
          </w:tcPr>
          <w:p w14:paraId="237AB6AB"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 Population (growth rate in %)</w:t>
            </w:r>
          </w:p>
        </w:tc>
        <w:tc>
          <w:tcPr>
            <w:tcW w:w="0" w:type="auto"/>
            <w:tcBorders>
              <w:top w:val="nil"/>
              <w:left w:val="single" w:sz="4" w:space="0" w:color="auto"/>
              <w:bottom w:val="dotted" w:sz="4" w:space="0" w:color="auto"/>
              <w:right w:val="single" w:sz="4" w:space="0" w:color="auto"/>
            </w:tcBorders>
            <w:shd w:val="clear" w:color="000000" w:fill="FFFFFF"/>
            <w:hideMark/>
          </w:tcPr>
          <w:p w14:paraId="35BE932A"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hideMark/>
          </w:tcPr>
          <w:p w14:paraId="6B20925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auto" w:fill="auto"/>
            <w:noWrap/>
            <w:vAlign w:val="center"/>
          </w:tcPr>
          <w:p w14:paraId="5B9A020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-0.2</w:t>
            </w:r>
          </w:p>
        </w:tc>
        <w:tc>
          <w:tcPr>
            <w:tcW w:w="0" w:type="auto"/>
            <w:tcBorders>
              <w:top w:val="nil"/>
              <w:left w:val="nil"/>
              <w:bottom w:val="dotted" w:sz="4" w:space="0" w:color="auto"/>
              <w:right w:val="dotted" w:sz="4" w:space="0" w:color="auto"/>
            </w:tcBorders>
            <w:shd w:val="clear" w:color="auto" w:fill="auto"/>
            <w:noWrap/>
            <w:vAlign w:val="center"/>
          </w:tcPr>
          <w:p w14:paraId="3E4C568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-0.1</w:t>
            </w:r>
          </w:p>
        </w:tc>
        <w:tc>
          <w:tcPr>
            <w:tcW w:w="0" w:type="auto"/>
            <w:tcBorders>
              <w:top w:val="nil"/>
              <w:left w:val="nil"/>
              <w:bottom w:val="dotted" w:sz="4" w:space="0" w:color="auto"/>
              <w:right w:val="dotted" w:sz="4" w:space="0" w:color="auto"/>
            </w:tcBorders>
            <w:shd w:val="clear" w:color="auto" w:fill="auto"/>
            <w:noWrap/>
            <w:vAlign w:val="center"/>
          </w:tcPr>
          <w:p w14:paraId="119F60C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-0.2</w:t>
            </w:r>
          </w:p>
        </w:tc>
        <w:tc>
          <w:tcPr>
            <w:tcW w:w="0" w:type="auto"/>
            <w:tcBorders>
              <w:top w:val="nil"/>
              <w:left w:val="nil"/>
              <w:bottom w:val="dotted" w:sz="4" w:space="0" w:color="auto"/>
              <w:right w:val="dotted" w:sz="4" w:space="0" w:color="auto"/>
            </w:tcBorders>
            <w:shd w:val="clear" w:color="auto" w:fill="auto"/>
            <w:noWrap/>
            <w:vAlign w:val="center"/>
          </w:tcPr>
          <w:p w14:paraId="2A50FBA0"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-0.2</w:t>
            </w:r>
          </w:p>
        </w:tc>
        <w:tc>
          <w:tcPr>
            <w:tcW w:w="0" w:type="auto"/>
            <w:tcBorders>
              <w:top w:val="nil"/>
              <w:left w:val="nil"/>
              <w:bottom w:val="dotted" w:sz="4" w:space="0" w:color="auto"/>
              <w:right w:val="double" w:sz="6" w:space="0" w:color="auto"/>
            </w:tcBorders>
            <w:shd w:val="clear" w:color="auto" w:fill="auto"/>
            <w:noWrap/>
            <w:vAlign w:val="center"/>
          </w:tcPr>
          <w:p w14:paraId="7FD2059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-0.2</w:t>
            </w:r>
          </w:p>
        </w:tc>
      </w:tr>
      <w:tr w:rsidR="006F605B" w:rsidRPr="00DC66CD" w14:paraId="6E138074" w14:textId="77777777" w:rsidTr="00E372C0">
        <w:trPr>
          <w:trHeight w:val="538"/>
        </w:trPr>
        <w:tc>
          <w:tcPr>
            <w:tcW w:w="0" w:type="auto"/>
            <w:tcBorders>
              <w:top w:val="nil"/>
              <w:left w:val="double" w:sz="6" w:space="0" w:color="auto"/>
              <w:bottom w:val="dotted" w:sz="4" w:space="0" w:color="auto"/>
              <w:right w:val="nil"/>
            </w:tcBorders>
            <w:shd w:val="clear" w:color="000000" w:fill="FFFFFF"/>
            <w:hideMark/>
          </w:tcPr>
          <w:p w14:paraId="5AD2B60E"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3. Working-age population (persons)</w:t>
            </w:r>
            <w:r w:rsidRPr="00DC66CD">
              <w:rPr>
                <w:rStyle w:val="FootnoteReference"/>
                <w:rFonts w:ascii="Garamond" w:hAnsi="Garamond"/>
                <w:color w:val="0D0D0D" w:themeColor="text1" w:themeTint="F2"/>
                <w:sz w:val="20"/>
                <w:szCs w:val="20"/>
              </w:rPr>
              <w:footnoteReference w:id="40"/>
            </w:r>
          </w:p>
        </w:tc>
        <w:tc>
          <w:tcPr>
            <w:tcW w:w="0" w:type="auto"/>
            <w:tcBorders>
              <w:top w:val="nil"/>
              <w:left w:val="single" w:sz="4" w:space="0" w:color="auto"/>
              <w:bottom w:val="dotted" w:sz="4" w:space="0" w:color="auto"/>
              <w:right w:val="single" w:sz="4" w:space="0" w:color="auto"/>
            </w:tcBorders>
            <w:shd w:val="clear" w:color="000000" w:fill="FFFFFF"/>
            <w:hideMark/>
          </w:tcPr>
          <w:p w14:paraId="609F1964"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hideMark/>
          </w:tcPr>
          <w:p w14:paraId="529DF72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auto" w:fill="auto"/>
            <w:noWrap/>
            <w:vAlign w:val="center"/>
          </w:tcPr>
          <w:p w14:paraId="111F8D9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1,974</w:t>
            </w:r>
          </w:p>
        </w:tc>
        <w:tc>
          <w:tcPr>
            <w:tcW w:w="0" w:type="auto"/>
            <w:tcBorders>
              <w:top w:val="nil"/>
              <w:left w:val="nil"/>
              <w:bottom w:val="dotted" w:sz="4" w:space="0" w:color="auto"/>
              <w:right w:val="dotted" w:sz="4" w:space="0" w:color="auto"/>
            </w:tcBorders>
            <w:shd w:val="clear" w:color="auto" w:fill="auto"/>
            <w:noWrap/>
            <w:vAlign w:val="center"/>
          </w:tcPr>
          <w:p w14:paraId="02881F2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1,965</w:t>
            </w:r>
          </w:p>
        </w:tc>
        <w:tc>
          <w:tcPr>
            <w:tcW w:w="0" w:type="auto"/>
            <w:tcBorders>
              <w:top w:val="nil"/>
              <w:left w:val="nil"/>
              <w:bottom w:val="dotted" w:sz="4" w:space="0" w:color="auto"/>
              <w:right w:val="dotted" w:sz="4" w:space="0" w:color="auto"/>
            </w:tcBorders>
            <w:shd w:val="clear" w:color="auto" w:fill="auto"/>
            <w:noWrap/>
            <w:vAlign w:val="center"/>
          </w:tcPr>
          <w:p w14:paraId="3B1F8BE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1,961</w:t>
            </w:r>
          </w:p>
        </w:tc>
        <w:tc>
          <w:tcPr>
            <w:tcW w:w="0" w:type="auto"/>
            <w:tcBorders>
              <w:top w:val="nil"/>
              <w:left w:val="nil"/>
              <w:bottom w:val="dotted" w:sz="4" w:space="0" w:color="auto"/>
              <w:right w:val="dotted" w:sz="4" w:space="0" w:color="auto"/>
            </w:tcBorders>
            <w:shd w:val="clear" w:color="auto" w:fill="auto"/>
            <w:noWrap/>
            <w:vAlign w:val="center"/>
          </w:tcPr>
          <w:p w14:paraId="444634D8"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1,956</w:t>
            </w:r>
          </w:p>
        </w:tc>
        <w:tc>
          <w:tcPr>
            <w:tcW w:w="0" w:type="auto"/>
            <w:tcBorders>
              <w:top w:val="nil"/>
              <w:left w:val="nil"/>
              <w:bottom w:val="dotted" w:sz="4" w:space="0" w:color="auto"/>
              <w:right w:val="double" w:sz="6" w:space="0" w:color="auto"/>
            </w:tcBorders>
            <w:shd w:val="clear" w:color="auto" w:fill="auto"/>
            <w:noWrap/>
            <w:vAlign w:val="center"/>
          </w:tcPr>
          <w:p w14:paraId="546627D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1,952</w:t>
            </w:r>
          </w:p>
        </w:tc>
      </w:tr>
      <w:tr w:rsidR="006F605B" w:rsidRPr="00DC66CD" w14:paraId="0A53DC44" w14:textId="77777777" w:rsidTr="00E372C0">
        <w:trPr>
          <w:trHeight w:val="538"/>
        </w:trPr>
        <w:tc>
          <w:tcPr>
            <w:tcW w:w="0" w:type="auto"/>
            <w:tcBorders>
              <w:top w:val="nil"/>
              <w:left w:val="double" w:sz="6" w:space="0" w:color="auto"/>
              <w:bottom w:val="dotted" w:sz="4" w:space="0" w:color="auto"/>
              <w:right w:val="nil"/>
            </w:tcBorders>
            <w:shd w:val="clear" w:color="000000" w:fill="FFFFFF"/>
            <w:hideMark/>
          </w:tcPr>
          <w:p w14:paraId="7D33CD0F"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4. Participation rate </w:t>
            </w:r>
          </w:p>
        </w:tc>
        <w:tc>
          <w:tcPr>
            <w:tcW w:w="0" w:type="auto"/>
            <w:tcBorders>
              <w:top w:val="nil"/>
              <w:left w:val="single" w:sz="4" w:space="0" w:color="auto"/>
              <w:bottom w:val="dotted" w:sz="4" w:space="0" w:color="auto"/>
              <w:right w:val="single" w:sz="4" w:space="0" w:color="auto"/>
            </w:tcBorders>
            <w:shd w:val="clear" w:color="000000" w:fill="FFFFFF"/>
            <w:hideMark/>
          </w:tcPr>
          <w:p w14:paraId="474EC072"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hideMark/>
          </w:tcPr>
          <w:p w14:paraId="3339A2F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000000" w:fill="FFFFFF"/>
            <w:noWrap/>
            <w:vAlign w:val="center"/>
          </w:tcPr>
          <w:p w14:paraId="452DB77F"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68.3</w:t>
            </w:r>
          </w:p>
        </w:tc>
        <w:tc>
          <w:tcPr>
            <w:tcW w:w="0" w:type="auto"/>
            <w:tcBorders>
              <w:top w:val="nil"/>
              <w:left w:val="nil"/>
              <w:bottom w:val="dotted" w:sz="4" w:space="0" w:color="auto"/>
              <w:right w:val="dotted" w:sz="4" w:space="0" w:color="auto"/>
            </w:tcBorders>
            <w:shd w:val="clear" w:color="000000" w:fill="FFFFFF"/>
            <w:noWrap/>
            <w:vAlign w:val="center"/>
          </w:tcPr>
          <w:p w14:paraId="05E54DD8"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69.7</w:t>
            </w:r>
          </w:p>
        </w:tc>
        <w:tc>
          <w:tcPr>
            <w:tcW w:w="0" w:type="auto"/>
            <w:tcBorders>
              <w:top w:val="nil"/>
              <w:left w:val="nil"/>
              <w:bottom w:val="dotted" w:sz="4" w:space="0" w:color="auto"/>
              <w:right w:val="dotted" w:sz="4" w:space="0" w:color="auto"/>
            </w:tcBorders>
            <w:shd w:val="clear" w:color="000000" w:fill="FFFFFF"/>
            <w:noWrap/>
            <w:vAlign w:val="center"/>
          </w:tcPr>
          <w:p w14:paraId="48E80E9E"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71.0</w:t>
            </w:r>
          </w:p>
        </w:tc>
        <w:tc>
          <w:tcPr>
            <w:tcW w:w="0" w:type="auto"/>
            <w:tcBorders>
              <w:top w:val="nil"/>
              <w:left w:val="nil"/>
              <w:bottom w:val="dotted" w:sz="4" w:space="0" w:color="auto"/>
              <w:right w:val="dotted" w:sz="4" w:space="0" w:color="auto"/>
            </w:tcBorders>
            <w:shd w:val="clear" w:color="000000" w:fill="FFFFFF"/>
            <w:noWrap/>
            <w:vAlign w:val="center"/>
          </w:tcPr>
          <w:p w14:paraId="0985914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71.7</w:t>
            </w:r>
          </w:p>
        </w:tc>
        <w:tc>
          <w:tcPr>
            <w:tcW w:w="0" w:type="auto"/>
            <w:tcBorders>
              <w:top w:val="nil"/>
              <w:left w:val="nil"/>
              <w:bottom w:val="dotted" w:sz="4" w:space="0" w:color="auto"/>
              <w:right w:val="double" w:sz="6" w:space="0" w:color="auto"/>
            </w:tcBorders>
            <w:shd w:val="clear" w:color="000000" w:fill="FFFFFF"/>
            <w:noWrap/>
            <w:vAlign w:val="center"/>
          </w:tcPr>
          <w:p w14:paraId="64221386"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72.2</w:t>
            </w:r>
          </w:p>
        </w:tc>
      </w:tr>
      <w:tr w:rsidR="006F605B" w:rsidRPr="00DC66CD" w14:paraId="7B76978E" w14:textId="77777777" w:rsidTr="00E372C0">
        <w:trPr>
          <w:trHeight w:val="538"/>
        </w:trPr>
        <w:tc>
          <w:tcPr>
            <w:tcW w:w="0" w:type="auto"/>
            <w:tcBorders>
              <w:top w:val="nil"/>
              <w:left w:val="double" w:sz="6" w:space="0" w:color="auto"/>
              <w:bottom w:val="dotted" w:sz="4" w:space="0" w:color="auto"/>
              <w:right w:val="nil"/>
            </w:tcBorders>
            <w:shd w:val="clear" w:color="000000" w:fill="FFFFFF"/>
            <w:hideMark/>
          </w:tcPr>
          <w:p w14:paraId="4E35D55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5. Employment, persons</w:t>
            </w:r>
            <w:r w:rsidRPr="00DC66CD">
              <w:rPr>
                <w:rStyle w:val="FootnoteReference"/>
                <w:rFonts w:ascii="Garamond" w:hAnsi="Garamond"/>
                <w:color w:val="0D0D0D" w:themeColor="text1" w:themeTint="F2"/>
                <w:sz w:val="20"/>
                <w:szCs w:val="20"/>
              </w:rPr>
              <w:footnoteReference w:id="41"/>
            </w:r>
          </w:p>
        </w:tc>
        <w:tc>
          <w:tcPr>
            <w:tcW w:w="0" w:type="auto"/>
            <w:tcBorders>
              <w:top w:val="nil"/>
              <w:left w:val="single" w:sz="4" w:space="0" w:color="auto"/>
              <w:bottom w:val="dotted" w:sz="4" w:space="0" w:color="auto"/>
              <w:right w:val="single" w:sz="4" w:space="0" w:color="auto"/>
            </w:tcBorders>
            <w:shd w:val="clear" w:color="000000" w:fill="FFFFFF"/>
            <w:hideMark/>
          </w:tcPr>
          <w:p w14:paraId="02469D7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hideMark/>
          </w:tcPr>
          <w:p w14:paraId="6A13817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000000" w:fill="FFFFFF"/>
            <w:noWrap/>
            <w:vAlign w:val="center"/>
          </w:tcPr>
          <w:p w14:paraId="0959DA7F"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1,175</w:t>
            </w:r>
          </w:p>
        </w:tc>
        <w:tc>
          <w:tcPr>
            <w:tcW w:w="0" w:type="auto"/>
            <w:tcBorders>
              <w:top w:val="nil"/>
              <w:left w:val="nil"/>
              <w:bottom w:val="dotted" w:sz="4" w:space="0" w:color="auto"/>
              <w:right w:val="dotted" w:sz="4" w:space="0" w:color="auto"/>
            </w:tcBorders>
            <w:shd w:val="clear" w:color="000000" w:fill="FFFFFF"/>
            <w:noWrap/>
            <w:vAlign w:val="center"/>
          </w:tcPr>
          <w:p w14:paraId="571FE9B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1,202</w:t>
            </w:r>
          </w:p>
        </w:tc>
        <w:tc>
          <w:tcPr>
            <w:tcW w:w="0" w:type="auto"/>
            <w:tcBorders>
              <w:top w:val="nil"/>
              <w:left w:val="nil"/>
              <w:bottom w:val="dotted" w:sz="4" w:space="0" w:color="auto"/>
              <w:right w:val="dotted" w:sz="4" w:space="0" w:color="auto"/>
            </w:tcBorders>
            <w:shd w:val="clear" w:color="000000" w:fill="FFFFFF"/>
            <w:noWrap/>
            <w:vAlign w:val="center"/>
          </w:tcPr>
          <w:p w14:paraId="7E55F86E"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1,242</w:t>
            </w:r>
          </w:p>
        </w:tc>
        <w:tc>
          <w:tcPr>
            <w:tcW w:w="0" w:type="auto"/>
            <w:tcBorders>
              <w:top w:val="nil"/>
              <w:left w:val="nil"/>
              <w:bottom w:val="dotted" w:sz="4" w:space="0" w:color="auto"/>
              <w:right w:val="dotted" w:sz="4" w:space="0" w:color="auto"/>
            </w:tcBorders>
            <w:shd w:val="clear" w:color="000000" w:fill="FFFFFF"/>
            <w:noWrap/>
            <w:vAlign w:val="center"/>
          </w:tcPr>
          <w:p w14:paraId="432883D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1,264</w:t>
            </w:r>
          </w:p>
        </w:tc>
        <w:tc>
          <w:tcPr>
            <w:tcW w:w="0" w:type="auto"/>
            <w:tcBorders>
              <w:top w:val="nil"/>
              <w:left w:val="nil"/>
              <w:bottom w:val="dotted" w:sz="4" w:space="0" w:color="auto"/>
              <w:right w:val="double" w:sz="6" w:space="0" w:color="auto"/>
            </w:tcBorders>
            <w:shd w:val="clear" w:color="000000" w:fill="FFFFFF"/>
            <w:noWrap/>
            <w:vAlign w:val="center"/>
          </w:tcPr>
          <w:p w14:paraId="04563D3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1,277</w:t>
            </w:r>
          </w:p>
        </w:tc>
      </w:tr>
      <w:tr w:rsidR="006F605B" w:rsidRPr="00DC66CD" w14:paraId="4CDE022F" w14:textId="77777777" w:rsidTr="00E372C0">
        <w:trPr>
          <w:trHeight w:val="538"/>
        </w:trPr>
        <w:tc>
          <w:tcPr>
            <w:tcW w:w="0" w:type="auto"/>
            <w:tcBorders>
              <w:top w:val="nil"/>
              <w:left w:val="double" w:sz="6" w:space="0" w:color="auto"/>
              <w:bottom w:val="dotted" w:sz="4" w:space="0" w:color="auto"/>
              <w:right w:val="nil"/>
            </w:tcBorders>
            <w:shd w:val="clear" w:color="000000" w:fill="FFFFFF"/>
            <w:hideMark/>
          </w:tcPr>
          <w:p w14:paraId="0FA10E1C"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6. Employment, hours worked</w:t>
            </w:r>
            <w:r w:rsidRPr="00DC66CD">
              <w:rPr>
                <w:rStyle w:val="FootnoteReference"/>
                <w:rFonts w:ascii="Garamond" w:hAnsi="Garamond"/>
                <w:color w:val="0D0D0D" w:themeColor="text1" w:themeTint="F2"/>
                <w:sz w:val="20"/>
                <w:szCs w:val="20"/>
              </w:rPr>
              <w:footnoteReference w:id="42"/>
            </w:r>
          </w:p>
        </w:tc>
        <w:tc>
          <w:tcPr>
            <w:tcW w:w="0" w:type="auto"/>
            <w:tcBorders>
              <w:top w:val="nil"/>
              <w:left w:val="single" w:sz="4" w:space="0" w:color="auto"/>
              <w:bottom w:val="dotted" w:sz="4" w:space="0" w:color="auto"/>
              <w:right w:val="single" w:sz="4" w:space="0" w:color="auto"/>
            </w:tcBorders>
            <w:shd w:val="clear" w:color="000000" w:fill="FFFFFF"/>
            <w:hideMark/>
          </w:tcPr>
          <w:p w14:paraId="30A714D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hideMark/>
          </w:tcPr>
          <w:p w14:paraId="14D6B58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000000" w:fill="FFFFFF"/>
          </w:tcPr>
          <w:p w14:paraId="0BFEAB7A"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000000" w:fill="FFFFFF"/>
          </w:tcPr>
          <w:p w14:paraId="440519F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000000" w:fill="FFFFFF"/>
          </w:tcPr>
          <w:p w14:paraId="12C2373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000000" w:fill="FFFFFF"/>
          </w:tcPr>
          <w:p w14:paraId="3FCCA640"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uble" w:sz="6" w:space="0" w:color="auto"/>
            </w:tcBorders>
            <w:shd w:val="clear" w:color="000000" w:fill="FFFFFF"/>
          </w:tcPr>
          <w:p w14:paraId="2912AF5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38B54D7E" w14:textId="77777777" w:rsidTr="00E372C0">
        <w:trPr>
          <w:trHeight w:val="538"/>
        </w:trPr>
        <w:tc>
          <w:tcPr>
            <w:tcW w:w="0" w:type="auto"/>
            <w:tcBorders>
              <w:top w:val="nil"/>
              <w:left w:val="double" w:sz="6" w:space="0" w:color="auto"/>
              <w:bottom w:val="dotted" w:sz="4" w:space="0" w:color="auto"/>
              <w:right w:val="nil"/>
            </w:tcBorders>
            <w:shd w:val="clear" w:color="000000" w:fill="FFFFFF"/>
            <w:hideMark/>
          </w:tcPr>
          <w:p w14:paraId="7C06B3E4"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7. Employment (growth rate in %)</w:t>
            </w:r>
          </w:p>
        </w:tc>
        <w:tc>
          <w:tcPr>
            <w:tcW w:w="0" w:type="auto"/>
            <w:tcBorders>
              <w:top w:val="nil"/>
              <w:left w:val="single" w:sz="4" w:space="0" w:color="auto"/>
              <w:bottom w:val="dotted" w:sz="4" w:space="0" w:color="auto"/>
              <w:right w:val="single" w:sz="4" w:space="0" w:color="auto"/>
            </w:tcBorders>
            <w:shd w:val="clear" w:color="000000" w:fill="FFFFFF"/>
            <w:hideMark/>
          </w:tcPr>
          <w:p w14:paraId="2830247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hideMark/>
          </w:tcPr>
          <w:p w14:paraId="59F3E62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000000" w:fill="FFFFFF"/>
            <w:noWrap/>
            <w:vAlign w:val="center"/>
          </w:tcPr>
          <w:p w14:paraId="7CD09EAF"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2.1</w:t>
            </w:r>
          </w:p>
        </w:tc>
        <w:tc>
          <w:tcPr>
            <w:tcW w:w="0" w:type="auto"/>
            <w:tcBorders>
              <w:top w:val="nil"/>
              <w:left w:val="nil"/>
              <w:bottom w:val="dotted" w:sz="4" w:space="0" w:color="auto"/>
              <w:right w:val="dotted" w:sz="4" w:space="0" w:color="auto"/>
            </w:tcBorders>
            <w:shd w:val="clear" w:color="000000" w:fill="FFFFFF"/>
            <w:noWrap/>
            <w:vAlign w:val="center"/>
          </w:tcPr>
          <w:p w14:paraId="6A6494D6"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2.3</w:t>
            </w:r>
          </w:p>
        </w:tc>
        <w:tc>
          <w:tcPr>
            <w:tcW w:w="0" w:type="auto"/>
            <w:tcBorders>
              <w:top w:val="nil"/>
              <w:left w:val="nil"/>
              <w:bottom w:val="dotted" w:sz="4" w:space="0" w:color="auto"/>
              <w:right w:val="dotted" w:sz="4" w:space="0" w:color="auto"/>
            </w:tcBorders>
            <w:shd w:val="clear" w:color="000000" w:fill="FFFFFF"/>
            <w:noWrap/>
            <w:vAlign w:val="center"/>
          </w:tcPr>
          <w:p w14:paraId="2FAEB9EC"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3.3</w:t>
            </w:r>
          </w:p>
        </w:tc>
        <w:tc>
          <w:tcPr>
            <w:tcW w:w="0" w:type="auto"/>
            <w:tcBorders>
              <w:top w:val="nil"/>
              <w:left w:val="nil"/>
              <w:bottom w:val="dotted" w:sz="4" w:space="0" w:color="auto"/>
              <w:right w:val="dotted" w:sz="4" w:space="0" w:color="auto"/>
            </w:tcBorders>
            <w:shd w:val="clear" w:color="000000" w:fill="FFFFFF"/>
            <w:noWrap/>
            <w:vAlign w:val="center"/>
          </w:tcPr>
          <w:p w14:paraId="5D1F66F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1.8</w:t>
            </w:r>
          </w:p>
        </w:tc>
        <w:tc>
          <w:tcPr>
            <w:tcW w:w="0" w:type="auto"/>
            <w:tcBorders>
              <w:top w:val="nil"/>
              <w:left w:val="nil"/>
              <w:bottom w:val="dotted" w:sz="4" w:space="0" w:color="auto"/>
              <w:right w:val="double" w:sz="6" w:space="0" w:color="auto"/>
            </w:tcBorders>
            <w:shd w:val="clear" w:color="000000" w:fill="FFFFFF"/>
            <w:noWrap/>
            <w:vAlign w:val="center"/>
          </w:tcPr>
          <w:p w14:paraId="18BD7EC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1.0</w:t>
            </w:r>
          </w:p>
        </w:tc>
      </w:tr>
      <w:tr w:rsidR="006F605B" w:rsidRPr="00DC66CD" w14:paraId="76FDEDB5" w14:textId="77777777" w:rsidTr="00E372C0">
        <w:trPr>
          <w:trHeight w:val="351"/>
        </w:trPr>
        <w:tc>
          <w:tcPr>
            <w:tcW w:w="0" w:type="auto"/>
            <w:tcBorders>
              <w:top w:val="nil"/>
              <w:left w:val="double" w:sz="6" w:space="0" w:color="auto"/>
              <w:bottom w:val="dotted" w:sz="4" w:space="0" w:color="auto"/>
              <w:right w:val="nil"/>
            </w:tcBorders>
            <w:shd w:val="clear" w:color="000000" w:fill="FFFFFF"/>
            <w:hideMark/>
          </w:tcPr>
          <w:p w14:paraId="1E6AB344"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8. Public sector employment (persons)</w:t>
            </w:r>
          </w:p>
        </w:tc>
        <w:tc>
          <w:tcPr>
            <w:tcW w:w="0" w:type="auto"/>
            <w:tcBorders>
              <w:top w:val="nil"/>
              <w:left w:val="single" w:sz="4" w:space="0" w:color="auto"/>
              <w:bottom w:val="dotted" w:sz="4" w:space="0" w:color="auto"/>
              <w:right w:val="single" w:sz="4" w:space="0" w:color="auto"/>
            </w:tcBorders>
            <w:shd w:val="clear" w:color="000000" w:fill="FFFFFF"/>
            <w:hideMark/>
          </w:tcPr>
          <w:p w14:paraId="7E6BFF0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hideMark/>
          </w:tcPr>
          <w:p w14:paraId="1023D31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000000" w:fill="FFFFFF"/>
          </w:tcPr>
          <w:p w14:paraId="4966C71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169.9</w:t>
            </w:r>
          </w:p>
        </w:tc>
        <w:tc>
          <w:tcPr>
            <w:tcW w:w="0" w:type="auto"/>
            <w:tcBorders>
              <w:top w:val="nil"/>
              <w:left w:val="nil"/>
              <w:bottom w:val="dotted" w:sz="4" w:space="0" w:color="auto"/>
              <w:right w:val="dotted" w:sz="4" w:space="0" w:color="auto"/>
            </w:tcBorders>
            <w:shd w:val="clear" w:color="000000" w:fill="FFFFFF"/>
          </w:tcPr>
          <w:p w14:paraId="06F0A91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169.9</w:t>
            </w:r>
          </w:p>
        </w:tc>
        <w:tc>
          <w:tcPr>
            <w:tcW w:w="0" w:type="auto"/>
            <w:tcBorders>
              <w:top w:val="nil"/>
              <w:left w:val="nil"/>
              <w:bottom w:val="dotted" w:sz="4" w:space="0" w:color="auto"/>
              <w:right w:val="dotted" w:sz="4" w:space="0" w:color="auto"/>
            </w:tcBorders>
            <w:shd w:val="clear" w:color="000000" w:fill="FFFFFF"/>
          </w:tcPr>
          <w:p w14:paraId="59942BED"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169.9</w:t>
            </w:r>
          </w:p>
        </w:tc>
        <w:tc>
          <w:tcPr>
            <w:tcW w:w="0" w:type="auto"/>
            <w:tcBorders>
              <w:top w:val="nil"/>
              <w:left w:val="nil"/>
              <w:bottom w:val="dotted" w:sz="4" w:space="0" w:color="auto"/>
              <w:right w:val="dotted" w:sz="4" w:space="0" w:color="auto"/>
            </w:tcBorders>
            <w:shd w:val="clear" w:color="000000" w:fill="FFFFFF"/>
          </w:tcPr>
          <w:p w14:paraId="2466090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169.9</w:t>
            </w:r>
          </w:p>
        </w:tc>
        <w:tc>
          <w:tcPr>
            <w:tcW w:w="0" w:type="auto"/>
            <w:tcBorders>
              <w:top w:val="nil"/>
              <w:left w:val="nil"/>
              <w:bottom w:val="dotted" w:sz="4" w:space="0" w:color="auto"/>
              <w:right w:val="double" w:sz="6" w:space="0" w:color="auto"/>
            </w:tcBorders>
            <w:shd w:val="clear" w:color="000000" w:fill="FFFFFF"/>
          </w:tcPr>
          <w:p w14:paraId="7974200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169.9</w:t>
            </w:r>
          </w:p>
        </w:tc>
      </w:tr>
      <w:tr w:rsidR="006F605B" w:rsidRPr="00DC66CD" w14:paraId="44777887" w14:textId="77777777" w:rsidTr="00E372C0">
        <w:trPr>
          <w:trHeight w:val="351"/>
        </w:trPr>
        <w:tc>
          <w:tcPr>
            <w:tcW w:w="0" w:type="auto"/>
            <w:tcBorders>
              <w:top w:val="nil"/>
              <w:left w:val="double" w:sz="6" w:space="0" w:color="auto"/>
              <w:bottom w:val="dotted" w:sz="4" w:space="0" w:color="auto"/>
              <w:right w:val="nil"/>
            </w:tcBorders>
            <w:shd w:val="clear" w:color="000000" w:fill="FFFFFF"/>
            <w:hideMark/>
          </w:tcPr>
          <w:p w14:paraId="06951D16"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9. Public sector employment (growth in %)</w:t>
            </w:r>
          </w:p>
        </w:tc>
        <w:tc>
          <w:tcPr>
            <w:tcW w:w="0" w:type="auto"/>
            <w:tcBorders>
              <w:top w:val="nil"/>
              <w:left w:val="single" w:sz="4" w:space="0" w:color="auto"/>
              <w:bottom w:val="dotted" w:sz="4" w:space="0" w:color="auto"/>
              <w:right w:val="single" w:sz="4" w:space="0" w:color="auto"/>
            </w:tcBorders>
            <w:shd w:val="clear" w:color="000000" w:fill="FFFFFF"/>
            <w:hideMark/>
          </w:tcPr>
          <w:p w14:paraId="218990DD"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hideMark/>
          </w:tcPr>
          <w:p w14:paraId="358726C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000000" w:fill="FFFFFF"/>
            <w:noWrap/>
            <w:vAlign w:val="center"/>
          </w:tcPr>
          <w:p w14:paraId="1CE79ED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3.4</w:t>
            </w:r>
          </w:p>
        </w:tc>
        <w:tc>
          <w:tcPr>
            <w:tcW w:w="0" w:type="auto"/>
            <w:tcBorders>
              <w:top w:val="nil"/>
              <w:left w:val="nil"/>
              <w:bottom w:val="dotted" w:sz="4" w:space="0" w:color="auto"/>
              <w:right w:val="dotted" w:sz="4" w:space="0" w:color="auto"/>
            </w:tcBorders>
            <w:shd w:val="clear" w:color="000000" w:fill="FFFFFF"/>
            <w:noWrap/>
            <w:vAlign w:val="center"/>
          </w:tcPr>
          <w:p w14:paraId="7CC5BCA6"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0.0</w:t>
            </w:r>
          </w:p>
        </w:tc>
        <w:tc>
          <w:tcPr>
            <w:tcW w:w="0" w:type="auto"/>
            <w:tcBorders>
              <w:top w:val="nil"/>
              <w:left w:val="nil"/>
              <w:bottom w:val="dotted" w:sz="4" w:space="0" w:color="auto"/>
              <w:right w:val="dotted" w:sz="4" w:space="0" w:color="auto"/>
            </w:tcBorders>
            <w:shd w:val="clear" w:color="000000" w:fill="FFFFFF"/>
          </w:tcPr>
          <w:p w14:paraId="48E339FE"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0.0</w:t>
            </w:r>
          </w:p>
        </w:tc>
        <w:tc>
          <w:tcPr>
            <w:tcW w:w="0" w:type="auto"/>
            <w:tcBorders>
              <w:top w:val="nil"/>
              <w:left w:val="nil"/>
              <w:bottom w:val="dotted" w:sz="4" w:space="0" w:color="auto"/>
              <w:right w:val="dotted" w:sz="4" w:space="0" w:color="auto"/>
            </w:tcBorders>
            <w:shd w:val="clear" w:color="000000" w:fill="FFFFFF"/>
          </w:tcPr>
          <w:p w14:paraId="5034B1B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0.0</w:t>
            </w:r>
          </w:p>
        </w:tc>
        <w:tc>
          <w:tcPr>
            <w:tcW w:w="0" w:type="auto"/>
            <w:tcBorders>
              <w:top w:val="nil"/>
              <w:left w:val="nil"/>
              <w:bottom w:val="dotted" w:sz="4" w:space="0" w:color="auto"/>
              <w:right w:val="double" w:sz="6" w:space="0" w:color="auto"/>
            </w:tcBorders>
            <w:shd w:val="clear" w:color="000000" w:fill="FFFFFF"/>
          </w:tcPr>
          <w:p w14:paraId="1091CD23"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0.0</w:t>
            </w:r>
          </w:p>
        </w:tc>
      </w:tr>
      <w:tr w:rsidR="006F605B" w:rsidRPr="00DC66CD" w14:paraId="5BC1F04C" w14:textId="77777777" w:rsidTr="00E372C0">
        <w:trPr>
          <w:trHeight w:val="351"/>
        </w:trPr>
        <w:tc>
          <w:tcPr>
            <w:tcW w:w="0" w:type="auto"/>
            <w:tcBorders>
              <w:top w:val="nil"/>
              <w:left w:val="double" w:sz="6" w:space="0" w:color="auto"/>
              <w:bottom w:val="dotted" w:sz="4" w:space="0" w:color="auto"/>
              <w:right w:val="nil"/>
            </w:tcBorders>
            <w:shd w:val="clear" w:color="000000" w:fill="FFFFFF"/>
            <w:hideMark/>
          </w:tcPr>
          <w:p w14:paraId="3657B174"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10. Unemployment rate</w:t>
            </w:r>
            <w:r w:rsidRPr="00DC66CD">
              <w:rPr>
                <w:rStyle w:val="FootnoteReference"/>
                <w:rFonts w:ascii="Garamond" w:hAnsi="Garamond"/>
                <w:color w:val="0D0D0D" w:themeColor="text1" w:themeTint="F2"/>
                <w:sz w:val="20"/>
                <w:szCs w:val="20"/>
              </w:rPr>
              <w:footnoteReference w:id="43"/>
            </w:r>
          </w:p>
        </w:tc>
        <w:tc>
          <w:tcPr>
            <w:tcW w:w="0" w:type="auto"/>
            <w:tcBorders>
              <w:top w:val="nil"/>
              <w:left w:val="single" w:sz="4" w:space="0" w:color="auto"/>
              <w:bottom w:val="dotted" w:sz="4" w:space="0" w:color="auto"/>
              <w:right w:val="single" w:sz="4" w:space="0" w:color="auto"/>
            </w:tcBorders>
            <w:shd w:val="clear" w:color="000000" w:fill="FFFFFF"/>
            <w:hideMark/>
          </w:tcPr>
          <w:p w14:paraId="5D3F83E2"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hideMark/>
          </w:tcPr>
          <w:p w14:paraId="68B35FA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000000" w:fill="FFFFFF"/>
            <w:noWrap/>
            <w:vAlign w:val="center"/>
          </w:tcPr>
          <w:p w14:paraId="4469486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12.8</w:t>
            </w:r>
          </w:p>
        </w:tc>
        <w:tc>
          <w:tcPr>
            <w:tcW w:w="0" w:type="auto"/>
            <w:tcBorders>
              <w:top w:val="nil"/>
              <w:left w:val="nil"/>
              <w:bottom w:val="dotted" w:sz="4" w:space="0" w:color="auto"/>
              <w:right w:val="dotted" w:sz="4" w:space="0" w:color="auto"/>
            </w:tcBorders>
            <w:shd w:val="clear" w:color="000000" w:fill="FFFFFF"/>
            <w:noWrap/>
            <w:vAlign w:val="center"/>
          </w:tcPr>
          <w:p w14:paraId="160AB2B8"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12.2</w:t>
            </w:r>
          </w:p>
        </w:tc>
        <w:tc>
          <w:tcPr>
            <w:tcW w:w="0" w:type="auto"/>
            <w:tcBorders>
              <w:top w:val="nil"/>
              <w:left w:val="nil"/>
              <w:bottom w:val="dotted" w:sz="4" w:space="0" w:color="auto"/>
              <w:right w:val="dotted" w:sz="4" w:space="0" w:color="auto"/>
            </w:tcBorders>
            <w:shd w:val="clear" w:color="000000" w:fill="FFFFFF"/>
            <w:noWrap/>
            <w:vAlign w:val="center"/>
          </w:tcPr>
          <w:p w14:paraId="3376EB86"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10.8</w:t>
            </w:r>
          </w:p>
        </w:tc>
        <w:tc>
          <w:tcPr>
            <w:tcW w:w="0" w:type="auto"/>
            <w:tcBorders>
              <w:top w:val="nil"/>
              <w:left w:val="nil"/>
              <w:bottom w:val="dotted" w:sz="4" w:space="0" w:color="auto"/>
              <w:right w:val="dotted" w:sz="4" w:space="0" w:color="auto"/>
            </w:tcBorders>
            <w:shd w:val="clear" w:color="000000" w:fill="FFFFFF"/>
            <w:noWrap/>
            <w:vAlign w:val="center"/>
          </w:tcPr>
          <w:p w14:paraId="743653BC"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9.9</w:t>
            </w:r>
          </w:p>
        </w:tc>
        <w:tc>
          <w:tcPr>
            <w:tcW w:w="0" w:type="auto"/>
            <w:tcBorders>
              <w:top w:val="nil"/>
              <w:left w:val="nil"/>
              <w:bottom w:val="dotted" w:sz="4" w:space="0" w:color="auto"/>
              <w:right w:val="double" w:sz="6" w:space="0" w:color="auto"/>
            </w:tcBorders>
            <w:shd w:val="clear" w:color="000000" w:fill="FFFFFF"/>
            <w:noWrap/>
            <w:vAlign w:val="center"/>
          </w:tcPr>
          <w:p w14:paraId="63374E4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9.4</w:t>
            </w:r>
          </w:p>
        </w:tc>
      </w:tr>
      <w:tr w:rsidR="006F605B" w:rsidRPr="00DC66CD" w14:paraId="12688063" w14:textId="77777777" w:rsidTr="00E372C0">
        <w:trPr>
          <w:trHeight w:val="351"/>
        </w:trPr>
        <w:tc>
          <w:tcPr>
            <w:tcW w:w="0" w:type="auto"/>
            <w:tcBorders>
              <w:top w:val="nil"/>
              <w:left w:val="double" w:sz="6" w:space="0" w:color="auto"/>
              <w:bottom w:val="dotted" w:sz="4" w:space="0" w:color="auto"/>
              <w:right w:val="nil"/>
            </w:tcBorders>
            <w:shd w:val="clear" w:color="000000" w:fill="FFFFFF"/>
            <w:hideMark/>
          </w:tcPr>
          <w:p w14:paraId="3A2C87E6"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11. Labor productivity, persons</w:t>
            </w:r>
            <w:r w:rsidRPr="00DC66CD">
              <w:rPr>
                <w:rStyle w:val="FootnoteReference"/>
                <w:rFonts w:ascii="Garamond" w:hAnsi="Garamond"/>
                <w:color w:val="0D0D0D" w:themeColor="text1" w:themeTint="F2"/>
                <w:sz w:val="20"/>
                <w:szCs w:val="20"/>
              </w:rPr>
              <w:footnoteReference w:id="44"/>
            </w:r>
          </w:p>
        </w:tc>
        <w:tc>
          <w:tcPr>
            <w:tcW w:w="0" w:type="auto"/>
            <w:tcBorders>
              <w:top w:val="nil"/>
              <w:left w:val="single" w:sz="4" w:space="0" w:color="auto"/>
              <w:bottom w:val="dotted" w:sz="4" w:space="0" w:color="auto"/>
              <w:right w:val="single" w:sz="4" w:space="0" w:color="auto"/>
            </w:tcBorders>
            <w:shd w:val="clear" w:color="000000" w:fill="FFFFFF"/>
            <w:hideMark/>
          </w:tcPr>
          <w:p w14:paraId="596658C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noWrap/>
            <w:vAlign w:val="center"/>
          </w:tcPr>
          <w:p w14:paraId="4669669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1375.2</w:t>
            </w:r>
          </w:p>
        </w:tc>
        <w:tc>
          <w:tcPr>
            <w:tcW w:w="0" w:type="auto"/>
            <w:tcBorders>
              <w:top w:val="nil"/>
              <w:left w:val="nil"/>
              <w:bottom w:val="dotted" w:sz="4" w:space="0" w:color="auto"/>
              <w:right w:val="dotted" w:sz="4" w:space="0" w:color="auto"/>
            </w:tcBorders>
            <w:shd w:val="clear" w:color="000000" w:fill="FFFFFF"/>
            <w:noWrap/>
            <w:vAlign w:val="center"/>
          </w:tcPr>
          <w:p w14:paraId="5490CE6C"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2.0</w:t>
            </w:r>
          </w:p>
        </w:tc>
        <w:tc>
          <w:tcPr>
            <w:tcW w:w="0" w:type="auto"/>
            <w:tcBorders>
              <w:top w:val="nil"/>
              <w:left w:val="nil"/>
              <w:bottom w:val="dotted" w:sz="4" w:space="0" w:color="auto"/>
              <w:right w:val="dotted" w:sz="4" w:space="0" w:color="auto"/>
            </w:tcBorders>
            <w:shd w:val="clear" w:color="000000" w:fill="FFFFFF"/>
            <w:noWrap/>
            <w:vAlign w:val="center"/>
          </w:tcPr>
          <w:p w14:paraId="524BE7D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0.4</w:t>
            </w:r>
          </w:p>
        </w:tc>
        <w:tc>
          <w:tcPr>
            <w:tcW w:w="0" w:type="auto"/>
            <w:tcBorders>
              <w:top w:val="nil"/>
              <w:left w:val="nil"/>
              <w:bottom w:val="dotted" w:sz="4" w:space="0" w:color="auto"/>
              <w:right w:val="dotted" w:sz="4" w:space="0" w:color="auto"/>
            </w:tcBorders>
            <w:shd w:val="clear" w:color="000000" w:fill="FFFFFF"/>
            <w:noWrap/>
            <w:vAlign w:val="center"/>
          </w:tcPr>
          <w:p w14:paraId="4509FE7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0.8</w:t>
            </w:r>
          </w:p>
        </w:tc>
        <w:tc>
          <w:tcPr>
            <w:tcW w:w="0" w:type="auto"/>
            <w:tcBorders>
              <w:top w:val="nil"/>
              <w:left w:val="nil"/>
              <w:bottom w:val="dotted" w:sz="4" w:space="0" w:color="auto"/>
              <w:right w:val="dotted" w:sz="4" w:space="0" w:color="auto"/>
            </w:tcBorders>
            <w:shd w:val="clear" w:color="000000" w:fill="FFFFFF"/>
            <w:noWrap/>
            <w:vAlign w:val="center"/>
          </w:tcPr>
          <w:p w14:paraId="2B731F00"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2.2</w:t>
            </w:r>
          </w:p>
        </w:tc>
        <w:tc>
          <w:tcPr>
            <w:tcW w:w="0" w:type="auto"/>
            <w:tcBorders>
              <w:top w:val="nil"/>
              <w:left w:val="nil"/>
              <w:bottom w:val="dotted" w:sz="4" w:space="0" w:color="auto"/>
              <w:right w:val="double" w:sz="6" w:space="0" w:color="auto"/>
            </w:tcBorders>
            <w:shd w:val="clear" w:color="000000" w:fill="FFFFFF"/>
            <w:noWrap/>
            <w:vAlign w:val="center"/>
          </w:tcPr>
          <w:p w14:paraId="7A7916B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3.0</w:t>
            </w:r>
          </w:p>
        </w:tc>
      </w:tr>
      <w:tr w:rsidR="006F605B" w:rsidRPr="00DC66CD" w14:paraId="2D72854D" w14:textId="77777777" w:rsidTr="00E372C0">
        <w:trPr>
          <w:trHeight w:val="351"/>
        </w:trPr>
        <w:tc>
          <w:tcPr>
            <w:tcW w:w="0" w:type="auto"/>
            <w:tcBorders>
              <w:top w:val="nil"/>
              <w:left w:val="double" w:sz="6" w:space="0" w:color="auto"/>
              <w:bottom w:val="dotted" w:sz="4" w:space="0" w:color="auto"/>
              <w:right w:val="nil"/>
            </w:tcBorders>
            <w:shd w:val="clear" w:color="000000" w:fill="FFFFFF"/>
            <w:hideMark/>
          </w:tcPr>
          <w:p w14:paraId="4E1201A6"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12. Labor productivity, hours worked</w:t>
            </w:r>
            <w:r w:rsidRPr="00DC66CD">
              <w:rPr>
                <w:rStyle w:val="FootnoteReference"/>
                <w:rFonts w:ascii="Garamond" w:hAnsi="Garamond"/>
                <w:color w:val="0D0D0D" w:themeColor="text1" w:themeTint="F2"/>
                <w:sz w:val="20"/>
                <w:szCs w:val="20"/>
              </w:rPr>
              <w:footnoteReference w:id="45"/>
            </w:r>
          </w:p>
        </w:tc>
        <w:tc>
          <w:tcPr>
            <w:tcW w:w="0" w:type="auto"/>
            <w:tcBorders>
              <w:top w:val="nil"/>
              <w:left w:val="single" w:sz="4" w:space="0" w:color="auto"/>
              <w:bottom w:val="dotted" w:sz="4" w:space="0" w:color="auto"/>
              <w:right w:val="single" w:sz="4" w:space="0" w:color="auto"/>
            </w:tcBorders>
            <w:shd w:val="clear" w:color="000000" w:fill="FFFFFF"/>
            <w:hideMark/>
          </w:tcPr>
          <w:p w14:paraId="23D6132D"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4" w:space="0" w:color="auto"/>
              <w:bottom w:val="dotted" w:sz="4" w:space="0" w:color="auto"/>
              <w:right w:val="single" w:sz="4" w:space="0" w:color="auto"/>
            </w:tcBorders>
            <w:shd w:val="clear" w:color="000000" w:fill="FFFFFF"/>
          </w:tcPr>
          <w:p w14:paraId="66AA5EF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0" w:type="auto"/>
            <w:tcBorders>
              <w:top w:val="nil"/>
              <w:left w:val="nil"/>
              <w:bottom w:val="dotted" w:sz="4" w:space="0" w:color="auto"/>
              <w:right w:val="dotted" w:sz="4" w:space="0" w:color="auto"/>
            </w:tcBorders>
            <w:shd w:val="clear" w:color="000000" w:fill="FFFFFF"/>
          </w:tcPr>
          <w:p w14:paraId="310A1DB8"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000000" w:fill="FFFFFF"/>
          </w:tcPr>
          <w:p w14:paraId="6C22FC93"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000000" w:fill="FFFFFF"/>
          </w:tcPr>
          <w:p w14:paraId="1540805A"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000000" w:fill="FFFFFF"/>
          </w:tcPr>
          <w:p w14:paraId="6688B45D"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uble" w:sz="6" w:space="0" w:color="auto"/>
            </w:tcBorders>
            <w:shd w:val="clear" w:color="000000" w:fill="FFFFFF"/>
          </w:tcPr>
          <w:p w14:paraId="257C526A"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48FD6ED9" w14:textId="77777777" w:rsidTr="00E372C0">
        <w:trPr>
          <w:trHeight w:val="372"/>
        </w:trPr>
        <w:tc>
          <w:tcPr>
            <w:tcW w:w="0" w:type="auto"/>
            <w:tcBorders>
              <w:top w:val="nil"/>
              <w:left w:val="double" w:sz="6" w:space="0" w:color="auto"/>
              <w:bottom w:val="double" w:sz="6" w:space="0" w:color="auto"/>
              <w:right w:val="nil"/>
            </w:tcBorders>
            <w:shd w:val="clear" w:color="000000" w:fill="FFFFFF"/>
            <w:hideMark/>
          </w:tcPr>
          <w:p w14:paraId="1D7097D1"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13. Compensation of employees</w:t>
            </w:r>
          </w:p>
        </w:tc>
        <w:tc>
          <w:tcPr>
            <w:tcW w:w="0" w:type="auto"/>
            <w:tcBorders>
              <w:top w:val="nil"/>
              <w:left w:val="single" w:sz="4" w:space="0" w:color="auto"/>
              <w:bottom w:val="double" w:sz="6" w:space="0" w:color="auto"/>
              <w:right w:val="single" w:sz="4" w:space="0" w:color="auto"/>
            </w:tcBorders>
            <w:shd w:val="clear" w:color="000000" w:fill="FFFFFF"/>
          </w:tcPr>
          <w:p w14:paraId="037CF34A"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D1</w:t>
            </w:r>
          </w:p>
        </w:tc>
        <w:tc>
          <w:tcPr>
            <w:tcW w:w="0" w:type="auto"/>
            <w:tcBorders>
              <w:top w:val="nil"/>
              <w:left w:val="single" w:sz="4" w:space="0" w:color="auto"/>
              <w:bottom w:val="double" w:sz="6" w:space="0" w:color="auto"/>
              <w:right w:val="single" w:sz="4" w:space="0" w:color="auto"/>
            </w:tcBorders>
            <w:shd w:val="clear" w:color="000000" w:fill="FFFFFF"/>
            <w:noWrap/>
            <w:vAlign w:val="center"/>
          </w:tcPr>
          <w:p w14:paraId="6B8E007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uble" w:sz="6" w:space="0" w:color="auto"/>
              <w:right w:val="dotted" w:sz="4" w:space="0" w:color="auto"/>
            </w:tcBorders>
            <w:shd w:val="clear" w:color="000000" w:fill="FFFFFF"/>
            <w:noWrap/>
            <w:vAlign w:val="center"/>
          </w:tcPr>
          <w:p w14:paraId="41B6053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uble" w:sz="6" w:space="0" w:color="auto"/>
              <w:right w:val="dotted" w:sz="4" w:space="0" w:color="auto"/>
            </w:tcBorders>
            <w:shd w:val="clear" w:color="000000" w:fill="FFFFFF"/>
            <w:noWrap/>
            <w:vAlign w:val="center"/>
          </w:tcPr>
          <w:p w14:paraId="7EF208C8"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uble" w:sz="6" w:space="0" w:color="auto"/>
              <w:right w:val="dotted" w:sz="4" w:space="0" w:color="auto"/>
            </w:tcBorders>
            <w:shd w:val="clear" w:color="000000" w:fill="FFFFFF"/>
            <w:noWrap/>
            <w:vAlign w:val="center"/>
          </w:tcPr>
          <w:p w14:paraId="2647D4A6"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uble" w:sz="6" w:space="0" w:color="auto"/>
              <w:right w:val="dotted" w:sz="4" w:space="0" w:color="auto"/>
            </w:tcBorders>
            <w:shd w:val="clear" w:color="000000" w:fill="FFFFFF"/>
            <w:noWrap/>
            <w:vAlign w:val="center"/>
          </w:tcPr>
          <w:p w14:paraId="2CB59EAD"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double" w:sz="6" w:space="0" w:color="auto"/>
              <w:right w:val="double" w:sz="6" w:space="0" w:color="auto"/>
            </w:tcBorders>
            <w:shd w:val="clear" w:color="000000" w:fill="FFFFFF"/>
            <w:noWrap/>
            <w:vAlign w:val="center"/>
          </w:tcPr>
          <w:p w14:paraId="4E95196E"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bl>
    <w:p w14:paraId="3D924529" w14:textId="77777777" w:rsidR="006F605B" w:rsidRPr="00DC66CD" w:rsidRDefault="006F605B" w:rsidP="006F605B">
      <w:pPr>
        <w:spacing w:after="0" w:line="240" w:lineRule="auto"/>
        <w:ind w:firstLine="284"/>
        <w:rPr>
          <w:rFonts w:ascii="Garamond" w:hAnsi="Garamond"/>
          <w:b/>
          <w:color w:val="0D0D0D" w:themeColor="text1" w:themeTint="F2"/>
          <w:sz w:val="24"/>
          <w:szCs w:val="24"/>
        </w:rPr>
      </w:pPr>
    </w:p>
    <w:p w14:paraId="2F7416EE"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65" w:name="_Toc536784309"/>
      <w:bookmarkStart w:id="66" w:name="_Toc30661244"/>
      <w:r w:rsidRPr="00DC66CD">
        <w:rPr>
          <w:rFonts w:ascii="Garamond" w:hAnsi="Garamond"/>
          <w:color w:val="auto"/>
          <w:sz w:val="24"/>
          <w:szCs w:val="24"/>
        </w:rPr>
        <w:t>Tabela 1d: Bilancet sektoriale</w:t>
      </w:r>
      <w:bookmarkEnd w:id="65"/>
      <w:bookmarkEnd w:id="66"/>
    </w:p>
    <w:tbl>
      <w:tblPr>
        <w:tblW w:w="9619" w:type="dxa"/>
        <w:tblInd w:w="85" w:type="dxa"/>
        <w:tblLook w:val="04A0" w:firstRow="1" w:lastRow="0" w:firstColumn="1" w:lastColumn="0" w:noHBand="0" w:noVBand="1"/>
      </w:tblPr>
      <w:tblGrid>
        <w:gridCol w:w="4839"/>
        <w:gridCol w:w="1440"/>
        <w:gridCol w:w="668"/>
        <w:gridCol w:w="668"/>
        <w:gridCol w:w="668"/>
        <w:gridCol w:w="668"/>
        <w:gridCol w:w="668"/>
      </w:tblGrid>
      <w:tr w:rsidR="006F605B" w:rsidRPr="00DC66CD" w14:paraId="19403EC1" w14:textId="77777777" w:rsidTr="004F4E33">
        <w:trPr>
          <w:trHeight w:val="137"/>
        </w:trPr>
        <w:tc>
          <w:tcPr>
            <w:tcW w:w="0" w:type="auto"/>
            <w:vMerge w:val="restart"/>
            <w:tcBorders>
              <w:top w:val="double" w:sz="6" w:space="0" w:color="auto"/>
              <w:left w:val="double" w:sz="6" w:space="0" w:color="auto"/>
              <w:bottom w:val="single" w:sz="8" w:space="0" w:color="000000"/>
              <w:right w:val="dotted" w:sz="4" w:space="0" w:color="auto"/>
            </w:tcBorders>
            <w:shd w:val="clear" w:color="000000" w:fill="FFFFFF"/>
            <w:vAlign w:val="center"/>
            <w:hideMark/>
          </w:tcPr>
          <w:p w14:paraId="13A0648E" w14:textId="77777777" w:rsidR="006F605B" w:rsidRPr="00DC66CD" w:rsidRDefault="006F605B" w:rsidP="004F4E33">
            <w:pPr>
              <w:spacing w:after="0" w:line="240" w:lineRule="auto"/>
              <w:jc w:val="center"/>
              <w:rPr>
                <w:rFonts w:ascii="Garamond" w:hAnsi="Garamond"/>
                <w:b/>
                <w:color w:val="0D0D0D" w:themeColor="text1" w:themeTint="F2"/>
                <w:sz w:val="18"/>
                <w:szCs w:val="18"/>
              </w:rPr>
            </w:pPr>
            <w:r w:rsidRPr="00DC66CD">
              <w:rPr>
                <w:rFonts w:ascii="Garamond" w:hAnsi="Garamond"/>
                <w:b/>
                <w:color w:val="0D0D0D" w:themeColor="text1" w:themeTint="F2"/>
                <w:sz w:val="18"/>
                <w:szCs w:val="18"/>
              </w:rPr>
              <w:t>Percentages of GDP</w:t>
            </w:r>
          </w:p>
        </w:tc>
        <w:tc>
          <w:tcPr>
            <w:tcW w:w="0" w:type="auto"/>
            <w:vMerge w:val="restart"/>
            <w:tcBorders>
              <w:top w:val="double" w:sz="6" w:space="0" w:color="auto"/>
              <w:left w:val="dotted" w:sz="4" w:space="0" w:color="auto"/>
              <w:bottom w:val="single" w:sz="8" w:space="0" w:color="000000"/>
              <w:right w:val="single" w:sz="8" w:space="0" w:color="auto"/>
            </w:tcBorders>
            <w:shd w:val="clear" w:color="000000" w:fill="FFFFFF"/>
            <w:vAlign w:val="center"/>
            <w:hideMark/>
          </w:tcPr>
          <w:p w14:paraId="0B3E68FE" w14:textId="77777777" w:rsidR="006F605B" w:rsidRPr="00DC66CD" w:rsidRDefault="006F605B" w:rsidP="004F4E33">
            <w:pPr>
              <w:spacing w:after="0" w:line="240" w:lineRule="auto"/>
              <w:jc w:val="center"/>
              <w:rPr>
                <w:rFonts w:ascii="Garamond" w:hAnsi="Garamond"/>
                <w:b/>
                <w:color w:val="0D0D0D" w:themeColor="text1" w:themeTint="F2"/>
                <w:sz w:val="18"/>
                <w:szCs w:val="18"/>
              </w:rPr>
            </w:pPr>
            <w:r w:rsidRPr="00DC66CD">
              <w:rPr>
                <w:rFonts w:ascii="Garamond" w:hAnsi="Garamond"/>
                <w:b/>
                <w:color w:val="0D0D0D" w:themeColor="text1" w:themeTint="F2"/>
                <w:sz w:val="18"/>
                <w:szCs w:val="18"/>
              </w:rPr>
              <w:t>ESA code</w:t>
            </w:r>
          </w:p>
        </w:tc>
        <w:tc>
          <w:tcPr>
            <w:tcW w:w="0" w:type="auto"/>
            <w:tcBorders>
              <w:top w:val="double" w:sz="6" w:space="0" w:color="auto"/>
              <w:left w:val="nil"/>
              <w:bottom w:val="nil"/>
              <w:right w:val="dotted" w:sz="4" w:space="0" w:color="auto"/>
            </w:tcBorders>
            <w:shd w:val="clear" w:color="000000" w:fill="FFFFFF"/>
            <w:vAlign w:val="center"/>
            <w:hideMark/>
          </w:tcPr>
          <w:p w14:paraId="744E7DBC" w14:textId="77777777" w:rsidR="006F605B" w:rsidRPr="00DC66CD" w:rsidRDefault="006F605B" w:rsidP="004F4E33">
            <w:pPr>
              <w:spacing w:after="0" w:line="240" w:lineRule="auto"/>
              <w:jc w:val="center"/>
              <w:rPr>
                <w:rFonts w:ascii="Garamond" w:eastAsia="Times New Roman" w:hAnsi="Garamond"/>
                <w:b/>
                <w:sz w:val="18"/>
                <w:szCs w:val="18"/>
              </w:rPr>
            </w:pPr>
            <w:r w:rsidRPr="00DC66CD">
              <w:rPr>
                <w:rFonts w:ascii="Garamond" w:hAnsi="Garamond"/>
                <w:b/>
                <w:sz w:val="18"/>
                <w:szCs w:val="18"/>
              </w:rPr>
              <w:t>Year</w:t>
            </w:r>
          </w:p>
        </w:tc>
        <w:tc>
          <w:tcPr>
            <w:tcW w:w="0" w:type="auto"/>
            <w:tcBorders>
              <w:top w:val="double" w:sz="6" w:space="0" w:color="auto"/>
              <w:left w:val="nil"/>
              <w:bottom w:val="nil"/>
              <w:right w:val="dotted" w:sz="4" w:space="0" w:color="auto"/>
            </w:tcBorders>
            <w:shd w:val="clear" w:color="000000" w:fill="FFFFFF"/>
            <w:vAlign w:val="center"/>
            <w:hideMark/>
          </w:tcPr>
          <w:p w14:paraId="023A8E9C"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Year</w:t>
            </w:r>
          </w:p>
        </w:tc>
        <w:tc>
          <w:tcPr>
            <w:tcW w:w="0" w:type="auto"/>
            <w:tcBorders>
              <w:top w:val="double" w:sz="6" w:space="0" w:color="auto"/>
              <w:left w:val="nil"/>
              <w:bottom w:val="nil"/>
              <w:right w:val="dotted" w:sz="4" w:space="0" w:color="auto"/>
            </w:tcBorders>
            <w:shd w:val="clear" w:color="000000" w:fill="FFFFFF"/>
            <w:vAlign w:val="center"/>
            <w:hideMark/>
          </w:tcPr>
          <w:p w14:paraId="1B7DAD26"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Year</w:t>
            </w:r>
          </w:p>
        </w:tc>
        <w:tc>
          <w:tcPr>
            <w:tcW w:w="0" w:type="auto"/>
            <w:tcBorders>
              <w:top w:val="double" w:sz="6" w:space="0" w:color="auto"/>
              <w:left w:val="nil"/>
              <w:bottom w:val="nil"/>
              <w:right w:val="dotted" w:sz="4" w:space="0" w:color="auto"/>
            </w:tcBorders>
            <w:shd w:val="clear" w:color="000000" w:fill="FFFFFF"/>
            <w:vAlign w:val="center"/>
            <w:hideMark/>
          </w:tcPr>
          <w:p w14:paraId="3F68404E"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Year</w:t>
            </w:r>
          </w:p>
        </w:tc>
        <w:tc>
          <w:tcPr>
            <w:tcW w:w="0" w:type="auto"/>
            <w:tcBorders>
              <w:top w:val="double" w:sz="6" w:space="0" w:color="auto"/>
              <w:left w:val="nil"/>
              <w:bottom w:val="nil"/>
              <w:right w:val="double" w:sz="6" w:space="0" w:color="auto"/>
            </w:tcBorders>
            <w:shd w:val="clear" w:color="000000" w:fill="FFFFFF"/>
            <w:vAlign w:val="center"/>
            <w:hideMark/>
          </w:tcPr>
          <w:p w14:paraId="1D77D557"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Year</w:t>
            </w:r>
          </w:p>
        </w:tc>
      </w:tr>
      <w:tr w:rsidR="006F605B" w:rsidRPr="00DC66CD" w14:paraId="6743C77C" w14:textId="77777777" w:rsidTr="004F4E33">
        <w:trPr>
          <w:trHeight w:val="137"/>
        </w:trPr>
        <w:tc>
          <w:tcPr>
            <w:tcW w:w="0" w:type="auto"/>
            <w:vMerge/>
            <w:tcBorders>
              <w:top w:val="double" w:sz="6" w:space="0" w:color="auto"/>
              <w:left w:val="double" w:sz="6" w:space="0" w:color="auto"/>
              <w:bottom w:val="single" w:sz="8" w:space="0" w:color="000000"/>
              <w:right w:val="dotted" w:sz="4" w:space="0" w:color="auto"/>
            </w:tcBorders>
            <w:vAlign w:val="center"/>
            <w:hideMark/>
          </w:tcPr>
          <w:p w14:paraId="50B424EA" w14:textId="77777777"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0" w:type="auto"/>
            <w:vMerge/>
            <w:tcBorders>
              <w:top w:val="double" w:sz="6" w:space="0" w:color="auto"/>
              <w:left w:val="dotted" w:sz="4" w:space="0" w:color="auto"/>
              <w:bottom w:val="single" w:sz="8" w:space="0" w:color="000000"/>
              <w:right w:val="single" w:sz="8" w:space="0" w:color="auto"/>
            </w:tcBorders>
            <w:vAlign w:val="center"/>
            <w:hideMark/>
          </w:tcPr>
          <w:p w14:paraId="29F904B1" w14:textId="77777777"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0" w:type="auto"/>
            <w:tcBorders>
              <w:top w:val="nil"/>
              <w:left w:val="nil"/>
              <w:bottom w:val="single" w:sz="8" w:space="0" w:color="auto"/>
              <w:right w:val="dotted" w:sz="4" w:space="0" w:color="auto"/>
            </w:tcBorders>
            <w:shd w:val="clear" w:color="000000" w:fill="FFFFFF"/>
            <w:vAlign w:val="center"/>
            <w:hideMark/>
          </w:tcPr>
          <w:p w14:paraId="5135D26A"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2018</w:t>
            </w:r>
          </w:p>
        </w:tc>
        <w:tc>
          <w:tcPr>
            <w:tcW w:w="0" w:type="auto"/>
            <w:tcBorders>
              <w:top w:val="nil"/>
              <w:left w:val="nil"/>
              <w:bottom w:val="single" w:sz="8" w:space="0" w:color="auto"/>
              <w:right w:val="dotted" w:sz="4" w:space="0" w:color="auto"/>
            </w:tcBorders>
            <w:shd w:val="clear" w:color="000000" w:fill="FFFFFF"/>
            <w:vAlign w:val="center"/>
            <w:hideMark/>
          </w:tcPr>
          <w:p w14:paraId="18D61DBA"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2019</w:t>
            </w:r>
          </w:p>
        </w:tc>
        <w:tc>
          <w:tcPr>
            <w:tcW w:w="0" w:type="auto"/>
            <w:tcBorders>
              <w:top w:val="nil"/>
              <w:left w:val="nil"/>
              <w:bottom w:val="single" w:sz="8" w:space="0" w:color="auto"/>
              <w:right w:val="dotted" w:sz="4" w:space="0" w:color="auto"/>
            </w:tcBorders>
            <w:shd w:val="clear" w:color="000000" w:fill="FFFFFF"/>
            <w:vAlign w:val="center"/>
            <w:hideMark/>
          </w:tcPr>
          <w:p w14:paraId="693F2DA7"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2020</w:t>
            </w:r>
          </w:p>
        </w:tc>
        <w:tc>
          <w:tcPr>
            <w:tcW w:w="0" w:type="auto"/>
            <w:tcBorders>
              <w:top w:val="nil"/>
              <w:left w:val="nil"/>
              <w:bottom w:val="single" w:sz="8" w:space="0" w:color="auto"/>
              <w:right w:val="dotted" w:sz="4" w:space="0" w:color="auto"/>
            </w:tcBorders>
            <w:shd w:val="clear" w:color="000000" w:fill="FFFFFF"/>
            <w:vAlign w:val="center"/>
            <w:hideMark/>
          </w:tcPr>
          <w:p w14:paraId="37C74BA4"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2021</w:t>
            </w:r>
          </w:p>
        </w:tc>
        <w:tc>
          <w:tcPr>
            <w:tcW w:w="0" w:type="auto"/>
            <w:tcBorders>
              <w:top w:val="nil"/>
              <w:left w:val="nil"/>
              <w:bottom w:val="single" w:sz="8" w:space="0" w:color="auto"/>
              <w:right w:val="double" w:sz="6" w:space="0" w:color="auto"/>
            </w:tcBorders>
            <w:shd w:val="clear" w:color="000000" w:fill="FFFFFF"/>
            <w:vAlign w:val="center"/>
            <w:hideMark/>
          </w:tcPr>
          <w:p w14:paraId="73ADA299"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2022</w:t>
            </w:r>
          </w:p>
        </w:tc>
      </w:tr>
      <w:tr w:rsidR="006F605B" w:rsidRPr="00DC66CD" w14:paraId="45BFD74F" w14:textId="77777777" w:rsidTr="00E372C0">
        <w:trPr>
          <w:trHeight w:val="225"/>
        </w:trPr>
        <w:tc>
          <w:tcPr>
            <w:tcW w:w="0" w:type="auto"/>
            <w:tcBorders>
              <w:top w:val="nil"/>
              <w:left w:val="double" w:sz="6" w:space="0" w:color="auto"/>
              <w:bottom w:val="nil"/>
              <w:right w:val="dotted" w:sz="4" w:space="0" w:color="auto"/>
            </w:tcBorders>
            <w:shd w:val="clear" w:color="000000" w:fill="FFFFFF"/>
            <w:vAlign w:val="center"/>
            <w:hideMark/>
          </w:tcPr>
          <w:p w14:paraId="2E48BC49" w14:textId="77777777" w:rsidR="006F605B" w:rsidRPr="00DC66CD" w:rsidRDefault="006F605B" w:rsidP="00131DA1">
            <w:pPr>
              <w:spacing w:after="0" w:line="240" w:lineRule="auto"/>
              <w:rPr>
                <w:rFonts w:ascii="Garamond" w:hAnsi="Garamond"/>
                <w:color w:val="0D0D0D" w:themeColor="text1" w:themeTint="F2"/>
                <w:sz w:val="18"/>
                <w:szCs w:val="18"/>
              </w:rPr>
            </w:pPr>
            <w:r w:rsidRPr="00DC66CD">
              <w:rPr>
                <w:rFonts w:ascii="Garamond" w:hAnsi="Garamond"/>
                <w:color w:val="0D0D0D" w:themeColor="text1" w:themeTint="F2"/>
                <w:sz w:val="18"/>
                <w:szCs w:val="18"/>
              </w:rPr>
              <w:t>1. Net lending/borrowing vis-à-vis the rest of the world</w:t>
            </w:r>
          </w:p>
        </w:tc>
        <w:tc>
          <w:tcPr>
            <w:tcW w:w="0" w:type="auto"/>
            <w:tcBorders>
              <w:top w:val="nil"/>
              <w:left w:val="nil"/>
              <w:bottom w:val="nil"/>
              <w:right w:val="single" w:sz="8" w:space="0" w:color="auto"/>
            </w:tcBorders>
            <w:shd w:val="clear" w:color="000000" w:fill="FFFFFF"/>
            <w:vAlign w:val="center"/>
            <w:hideMark/>
          </w:tcPr>
          <w:p w14:paraId="376C0700"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B.9</w:t>
            </w:r>
          </w:p>
        </w:tc>
        <w:tc>
          <w:tcPr>
            <w:tcW w:w="0" w:type="auto"/>
            <w:tcBorders>
              <w:top w:val="nil"/>
              <w:left w:val="nil"/>
              <w:bottom w:val="nil"/>
              <w:right w:val="dotted" w:sz="4" w:space="0" w:color="auto"/>
            </w:tcBorders>
            <w:shd w:val="clear" w:color="000000" w:fill="FFFFFF"/>
            <w:vAlign w:val="center"/>
          </w:tcPr>
          <w:p w14:paraId="4655539B" w14:textId="77777777" w:rsidR="006F605B" w:rsidRPr="00DC66CD" w:rsidRDefault="006F605B" w:rsidP="00131DA1">
            <w:pPr>
              <w:spacing w:after="0" w:line="240" w:lineRule="auto"/>
              <w:jc w:val="right"/>
              <w:rPr>
                <w:rFonts w:ascii="Garamond" w:eastAsia="Times New Roman" w:hAnsi="Garamond"/>
                <w:sz w:val="18"/>
                <w:szCs w:val="18"/>
              </w:rPr>
            </w:pPr>
            <w:r w:rsidRPr="00DC66CD">
              <w:rPr>
                <w:rFonts w:ascii="Garamond" w:hAnsi="Garamond"/>
                <w:sz w:val="18"/>
                <w:szCs w:val="18"/>
              </w:rPr>
              <w:t>-6.8</w:t>
            </w:r>
          </w:p>
        </w:tc>
        <w:tc>
          <w:tcPr>
            <w:tcW w:w="0" w:type="auto"/>
            <w:tcBorders>
              <w:top w:val="single" w:sz="8" w:space="0" w:color="auto"/>
              <w:left w:val="nil"/>
              <w:bottom w:val="single" w:sz="4" w:space="0" w:color="auto"/>
              <w:right w:val="dotted" w:sz="4" w:space="0" w:color="auto"/>
            </w:tcBorders>
            <w:shd w:val="clear" w:color="000000" w:fill="FFFFFF"/>
            <w:vAlign w:val="center"/>
          </w:tcPr>
          <w:p w14:paraId="52753B85"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-8.0</w:t>
            </w:r>
          </w:p>
        </w:tc>
        <w:tc>
          <w:tcPr>
            <w:tcW w:w="0" w:type="auto"/>
            <w:tcBorders>
              <w:top w:val="single" w:sz="8" w:space="0" w:color="auto"/>
              <w:left w:val="nil"/>
              <w:bottom w:val="single" w:sz="4" w:space="0" w:color="auto"/>
              <w:right w:val="dotted" w:sz="4" w:space="0" w:color="auto"/>
            </w:tcBorders>
            <w:shd w:val="clear" w:color="000000" w:fill="FFFFFF"/>
            <w:vAlign w:val="center"/>
          </w:tcPr>
          <w:p w14:paraId="767951D4"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-7.2</w:t>
            </w:r>
          </w:p>
        </w:tc>
        <w:tc>
          <w:tcPr>
            <w:tcW w:w="0" w:type="auto"/>
            <w:tcBorders>
              <w:top w:val="single" w:sz="8" w:space="0" w:color="auto"/>
              <w:left w:val="nil"/>
              <w:bottom w:val="single" w:sz="4" w:space="0" w:color="auto"/>
              <w:right w:val="dotted" w:sz="4" w:space="0" w:color="auto"/>
            </w:tcBorders>
            <w:shd w:val="clear" w:color="000000" w:fill="FFFFFF"/>
            <w:vAlign w:val="center"/>
          </w:tcPr>
          <w:p w14:paraId="27451D2A"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-6.7</w:t>
            </w:r>
          </w:p>
        </w:tc>
        <w:tc>
          <w:tcPr>
            <w:tcW w:w="0" w:type="auto"/>
            <w:tcBorders>
              <w:top w:val="single" w:sz="8" w:space="0" w:color="auto"/>
              <w:left w:val="nil"/>
              <w:bottom w:val="single" w:sz="4" w:space="0" w:color="auto"/>
              <w:right w:val="double" w:sz="6" w:space="0" w:color="auto"/>
            </w:tcBorders>
            <w:shd w:val="clear" w:color="000000" w:fill="FFFFFF"/>
            <w:vAlign w:val="center"/>
          </w:tcPr>
          <w:p w14:paraId="217CA482"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-6.3</w:t>
            </w:r>
          </w:p>
        </w:tc>
      </w:tr>
      <w:tr w:rsidR="006F605B" w:rsidRPr="00DC66CD" w14:paraId="46E39270" w14:textId="77777777" w:rsidTr="00E372C0">
        <w:trPr>
          <w:trHeight w:val="137"/>
        </w:trPr>
        <w:tc>
          <w:tcPr>
            <w:tcW w:w="0" w:type="auto"/>
            <w:tcBorders>
              <w:top w:val="single" w:sz="4" w:space="0" w:color="auto"/>
              <w:left w:val="double" w:sz="6" w:space="0" w:color="auto"/>
              <w:bottom w:val="dotted" w:sz="4" w:space="0" w:color="auto"/>
              <w:right w:val="dotted" w:sz="4" w:space="0" w:color="auto"/>
            </w:tcBorders>
            <w:shd w:val="clear" w:color="000000" w:fill="FFFFFF"/>
            <w:vAlign w:val="center"/>
            <w:hideMark/>
          </w:tcPr>
          <w:p w14:paraId="6BB3C17F" w14:textId="77777777" w:rsidR="006F605B" w:rsidRPr="00DC66CD" w:rsidRDefault="006F605B" w:rsidP="00131DA1">
            <w:pPr>
              <w:spacing w:after="0" w:line="240" w:lineRule="auto"/>
              <w:rPr>
                <w:rFonts w:ascii="Garamond" w:hAnsi="Garamond"/>
                <w:i/>
                <w:iCs/>
                <w:color w:val="0D0D0D" w:themeColor="text1" w:themeTint="F2"/>
                <w:sz w:val="18"/>
                <w:szCs w:val="18"/>
              </w:rPr>
            </w:pPr>
            <w:bookmarkStart w:id="67" w:name="RANGE!C7"/>
            <w:r w:rsidRPr="00DC66CD">
              <w:rPr>
                <w:rFonts w:ascii="Garamond" w:hAnsi="Garamond"/>
                <w:i/>
                <w:iCs/>
                <w:color w:val="0D0D0D" w:themeColor="text1" w:themeTint="F2"/>
                <w:sz w:val="18"/>
                <w:szCs w:val="18"/>
              </w:rPr>
              <w:t xml:space="preserve">of which: </w:t>
            </w:r>
            <w:bookmarkEnd w:id="67"/>
          </w:p>
        </w:tc>
        <w:tc>
          <w:tcPr>
            <w:tcW w:w="0" w:type="auto"/>
            <w:tcBorders>
              <w:top w:val="single" w:sz="4" w:space="0" w:color="auto"/>
              <w:left w:val="nil"/>
              <w:bottom w:val="dotted" w:sz="4" w:space="0" w:color="auto"/>
              <w:right w:val="single" w:sz="8" w:space="0" w:color="auto"/>
            </w:tcBorders>
            <w:shd w:val="clear" w:color="000000" w:fill="FFFFFF"/>
            <w:vAlign w:val="center"/>
            <w:hideMark/>
          </w:tcPr>
          <w:p w14:paraId="6A131022" w14:textId="77777777" w:rsidR="006F605B" w:rsidRPr="00DC66CD" w:rsidRDefault="006F605B" w:rsidP="00131DA1">
            <w:pPr>
              <w:spacing w:after="0" w:line="240" w:lineRule="auto"/>
              <w:jc w:val="both"/>
              <w:rPr>
                <w:rFonts w:ascii="Garamond" w:hAnsi="Garamond"/>
                <w:color w:val="0D0D0D" w:themeColor="text1" w:themeTint="F2"/>
                <w:sz w:val="18"/>
                <w:szCs w:val="18"/>
              </w:rPr>
            </w:pPr>
          </w:p>
        </w:tc>
        <w:tc>
          <w:tcPr>
            <w:tcW w:w="0" w:type="auto"/>
            <w:tcBorders>
              <w:top w:val="single" w:sz="4" w:space="0" w:color="auto"/>
              <w:left w:val="nil"/>
              <w:bottom w:val="dotted" w:sz="4" w:space="0" w:color="auto"/>
              <w:right w:val="dotted" w:sz="4" w:space="0" w:color="auto"/>
            </w:tcBorders>
            <w:shd w:val="clear" w:color="000000" w:fill="FFFFFF"/>
            <w:vAlign w:val="center"/>
          </w:tcPr>
          <w:p w14:paraId="785ED0E0"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 </w:t>
            </w:r>
          </w:p>
        </w:tc>
        <w:tc>
          <w:tcPr>
            <w:tcW w:w="0" w:type="auto"/>
            <w:tcBorders>
              <w:top w:val="nil"/>
              <w:left w:val="nil"/>
              <w:bottom w:val="dotted" w:sz="4" w:space="0" w:color="auto"/>
              <w:right w:val="dotted" w:sz="4" w:space="0" w:color="auto"/>
            </w:tcBorders>
            <w:shd w:val="clear" w:color="auto" w:fill="auto"/>
            <w:vAlign w:val="center"/>
          </w:tcPr>
          <w:p w14:paraId="68800A1F" w14:textId="77777777" w:rsidR="006F605B" w:rsidRPr="00DC66CD" w:rsidRDefault="006F605B" w:rsidP="00131DA1">
            <w:pPr>
              <w:spacing w:after="0" w:line="240" w:lineRule="auto"/>
              <w:rPr>
                <w:rFonts w:ascii="Garamond" w:hAnsi="Garamond"/>
                <w:sz w:val="18"/>
                <w:szCs w:val="18"/>
              </w:rPr>
            </w:pPr>
            <w:r w:rsidRPr="00DC66CD">
              <w:rPr>
                <w:rFonts w:ascii="Garamond" w:hAnsi="Garamond"/>
                <w:sz w:val="18"/>
                <w:szCs w:val="18"/>
              </w:rPr>
              <w:t> </w:t>
            </w:r>
          </w:p>
        </w:tc>
        <w:tc>
          <w:tcPr>
            <w:tcW w:w="0" w:type="auto"/>
            <w:tcBorders>
              <w:top w:val="nil"/>
              <w:left w:val="nil"/>
              <w:bottom w:val="dotted" w:sz="4" w:space="0" w:color="auto"/>
              <w:right w:val="dotted" w:sz="4" w:space="0" w:color="auto"/>
            </w:tcBorders>
            <w:shd w:val="clear" w:color="auto" w:fill="auto"/>
            <w:vAlign w:val="center"/>
          </w:tcPr>
          <w:p w14:paraId="13114512" w14:textId="77777777" w:rsidR="006F605B" w:rsidRPr="00DC66CD" w:rsidRDefault="006F605B" w:rsidP="00131DA1">
            <w:pPr>
              <w:spacing w:after="0" w:line="240" w:lineRule="auto"/>
              <w:rPr>
                <w:rFonts w:ascii="Garamond" w:hAnsi="Garamond"/>
                <w:sz w:val="18"/>
                <w:szCs w:val="18"/>
              </w:rPr>
            </w:pPr>
            <w:r w:rsidRPr="00DC66CD">
              <w:rPr>
                <w:rFonts w:ascii="Garamond" w:hAnsi="Garamond"/>
                <w:sz w:val="18"/>
                <w:szCs w:val="18"/>
              </w:rPr>
              <w:t> </w:t>
            </w:r>
          </w:p>
        </w:tc>
        <w:tc>
          <w:tcPr>
            <w:tcW w:w="0" w:type="auto"/>
            <w:tcBorders>
              <w:top w:val="nil"/>
              <w:left w:val="nil"/>
              <w:bottom w:val="dotted" w:sz="4" w:space="0" w:color="auto"/>
              <w:right w:val="dotted" w:sz="4" w:space="0" w:color="auto"/>
            </w:tcBorders>
            <w:shd w:val="clear" w:color="auto" w:fill="auto"/>
            <w:vAlign w:val="center"/>
          </w:tcPr>
          <w:p w14:paraId="1893760B" w14:textId="77777777" w:rsidR="006F605B" w:rsidRPr="00DC66CD" w:rsidRDefault="006F605B" w:rsidP="00131DA1">
            <w:pPr>
              <w:spacing w:after="0" w:line="240" w:lineRule="auto"/>
              <w:rPr>
                <w:rFonts w:ascii="Garamond" w:hAnsi="Garamond"/>
                <w:sz w:val="18"/>
                <w:szCs w:val="18"/>
              </w:rPr>
            </w:pPr>
            <w:r w:rsidRPr="00DC66CD">
              <w:rPr>
                <w:rFonts w:ascii="Garamond" w:hAnsi="Garamond"/>
                <w:sz w:val="18"/>
                <w:szCs w:val="18"/>
              </w:rPr>
              <w:t> </w:t>
            </w:r>
          </w:p>
        </w:tc>
        <w:tc>
          <w:tcPr>
            <w:tcW w:w="0" w:type="auto"/>
            <w:tcBorders>
              <w:top w:val="nil"/>
              <w:left w:val="nil"/>
              <w:bottom w:val="dotted" w:sz="4" w:space="0" w:color="auto"/>
              <w:right w:val="double" w:sz="6" w:space="0" w:color="auto"/>
            </w:tcBorders>
            <w:shd w:val="clear" w:color="000000" w:fill="FFFFFF"/>
            <w:vAlign w:val="center"/>
          </w:tcPr>
          <w:p w14:paraId="6C2447CE"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 </w:t>
            </w:r>
          </w:p>
        </w:tc>
      </w:tr>
      <w:tr w:rsidR="006F605B" w:rsidRPr="00DC66CD" w14:paraId="7A7D39C3" w14:textId="77777777" w:rsidTr="00E372C0">
        <w:trPr>
          <w:trHeight w:val="225"/>
        </w:trPr>
        <w:tc>
          <w:tcPr>
            <w:tcW w:w="0" w:type="auto"/>
            <w:tcBorders>
              <w:top w:val="nil"/>
              <w:left w:val="double" w:sz="6" w:space="0" w:color="auto"/>
              <w:bottom w:val="dotted" w:sz="4" w:space="0" w:color="auto"/>
              <w:right w:val="dotted" w:sz="4" w:space="0" w:color="auto"/>
            </w:tcBorders>
            <w:shd w:val="clear" w:color="000000" w:fill="FFFFFF"/>
            <w:vAlign w:val="center"/>
            <w:hideMark/>
          </w:tcPr>
          <w:p w14:paraId="23759C0B" w14:textId="77777777" w:rsidR="006F605B" w:rsidRPr="00DC66CD" w:rsidRDefault="006F605B" w:rsidP="00131DA1">
            <w:pPr>
              <w:spacing w:after="0" w:line="240" w:lineRule="auto"/>
              <w:rPr>
                <w:rFonts w:ascii="Garamond" w:hAnsi="Garamond"/>
                <w:i/>
                <w:iCs/>
                <w:color w:val="0D0D0D" w:themeColor="text1" w:themeTint="F2"/>
                <w:sz w:val="18"/>
                <w:szCs w:val="18"/>
              </w:rPr>
            </w:pPr>
            <w:bookmarkStart w:id="68" w:name="RANGE!C8"/>
            <w:r w:rsidRPr="00DC66CD">
              <w:rPr>
                <w:rFonts w:ascii="Garamond" w:hAnsi="Garamond"/>
                <w:i/>
                <w:iCs/>
                <w:color w:val="0D0D0D" w:themeColor="text1" w:themeTint="F2"/>
                <w:sz w:val="18"/>
                <w:szCs w:val="18"/>
              </w:rPr>
              <w:t>- Balance of goods and services</w:t>
            </w:r>
            <w:bookmarkEnd w:id="68"/>
          </w:p>
        </w:tc>
        <w:tc>
          <w:tcPr>
            <w:tcW w:w="0" w:type="auto"/>
            <w:tcBorders>
              <w:top w:val="nil"/>
              <w:left w:val="nil"/>
              <w:bottom w:val="dotted" w:sz="4" w:space="0" w:color="auto"/>
              <w:right w:val="single" w:sz="8" w:space="0" w:color="auto"/>
            </w:tcBorders>
            <w:shd w:val="clear" w:color="000000" w:fill="FFFFFF"/>
            <w:vAlign w:val="center"/>
            <w:hideMark/>
          </w:tcPr>
          <w:p w14:paraId="71F0252A" w14:textId="77777777" w:rsidR="006F605B" w:rsidRPr="00DC66CD" w:rsidRDefault="006F605B" w:rsidP="00131DA1">
            <w:pPr>
              <w:spacing w:after="0" w:line="240" w:lineRule="auto"/>
              <w:jc w:val="both"/>
              <w:rPr>
                <w:rFonts w:ascii="Garamond" w:hAnsi="Garamond"/>
                <w:i/>
                <w:iCs/>
                <w:color w:val="0D0D0D" w:themeColor="text1" w:themeTint="F2"/>
                <w:sz w:val="18"/>
                <w:szCs w:val="18"/>
              </w:rPr>
            </w:pPr>
          </w:p>
        </w:tc>
        <w:tc>
          <w:tcPr>
            <w:tcW w:w="0" w:type="auto"/>
            <w:tcBorders>
              <w:top w:val="nil"/>
              <w:left w:val="single" w:sz="8" w:space="0" w:color="auto"/>
              <w:bottom w:val="dotted" w:sz="4" w:space="0" w:color="auto"/>
              <w:right w:val="dotted" w:sz="4" w:space="0" w:color="auto"/>
            </w:tcBorders>
            <w:shd w:val="clear" w:color="000000" w:fill="FFFFFF"/>
            <w:vAlign w:val="center"/>
          </w:tcPr>
          <w:p w14:paraId="24CEADED"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-13.8</w:t>
            </w:r>
          </w:p>
        </w:tc>
        <w:tc>
          <w:tcPr>
            <w:tcW w:w="0" w:type="auto"/>
            <w:tcBorders>
              <w:top w:val="nil"/>
              <w:left w:val="nil"/>
              <w:bottom w:val="dotted" w:sz="4" w:space="0" w:color="auto"/>
              <w:right w:val="dotted" w:sz="4" w:space="0" w:color="auto"/>
            </w:tcBorders>
            <w:shd w:val="clear" w:color="000000" w:fill="FFFFFF"/>
            <w:vAlign w:val="center"/>
          </w:tcPr>
          <w:p w14:paraId="27F325B4"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-14.4</w:t>
            </w:r>
          </w:p>
        </w:tc>
        <w:tc>
          <w:tcPr>
            <w:tcW w:w="0" w:type="auto"/>
            <w:tcBorders>
              <w:top w:val="nil"/>
              <w:left w:val="nil"/>
              <w:bottom w:val="dotted" w:sz="4" w:space="0" w:color="auto"/>
              <w:right w:val="dotted" w:sz="4" w:space="0" w:color="auto"/>
            </w:tcBorders>
            <w:shd w:val="clear" w:color="000000" w:fill="FFFFFF"/>
            <w:vAlign w:val="center"/>
          </w:tcPr>
          <w:p w14:paraId="35FA449B"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-13.5</w:t>
            </w:r>
          </w:p>
        </w:tc>
        <w:tc>
          <w:tcPr>
            <w:tcW w:w="0" w:type="auto"/>
            <w:tcBorders>
              <w:top w:val="nil"/>
              <w:left w:val="nil"/>
              <w:bottom w:val="dotted" w:sz="4" w:space="0" w:color="auto"/>
              <w:right w:val="dotted" w:sz="4" w:space="0" w:color="auto"/>
            </w:tcBorders>
            <w:shd w:val="clear" w:color="000000" w:fill="FFFFFF"/>
            <w:vAlign w:val="center"/>
          </w:tcPr>
          <w:p w14:paraId="5D26BC75"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-12.7</w:t>
            </w:r>
          </w:p>
        </w:tc>
        <w:tc>
          <w:tcPr>
            <w:tcW w:w="0" w:type="auto"/>
            <w:tcBorders>
              <w:top w:val="nil"/>
              <w:left w:val="nil"/>
              <w:bottom w:val="dotted" w:sz="4" w:space="0" w:color="auto"/>
              <w:right w:val="double" w:sz="6" w:space="0" w:color="auto"/>
            </w:tcBorders>
            <w:shd w:val="clear" w:color="000000" w:fill="FFFFFF"/>
            <w:vAlign w:val="center"/>
          </w:tcPr>
          <w:p w14:paraId="3218BFA7"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-11.9</w:t>
            </w:r>
          </w:p>
        </w:tc>
      </w:tr>
      <w:tr w:rsidR="006F605B" w:rsidRPr="00DC66CD" w14:paraId="7ECD3776" w14:textId="77777777" w:rsidTr="00E372C0">
        <w:trPr>
          <w:trHeight w:val="225"/>
        </w:trPr>
        <w:tc>
          <w:tcPr>
            <w:tcW w:w="0" w:type="auto"/>
            <w:tcBorders>
              <w:top w:val="nil"/>
              <w:left w:val="double" w:sz="6" w:space="0" w:color="auto"/>
              <w:bottom w:val="dotted" w:sz="4" w:space="0" w:color="auto"/>
              <w:right w:val="dotted" w:sz="4" w:space="0" w:color="auto"/>
            </w:tcBorders>
            <w:shd w:val="clear" w:color="000000" w:fill="FFFFFF"/>
            <w:vAlign w:val="center"/>
            <w:hideMark/>
          </w:tcPr>
          <w:p w14:paraId="311DF4B6" w14:textId="77777777" w:rsidR="006F605B" w:rsidRPr="00DC66CD" w:rsidRDefault="006F605B" w:rsidP="00131DA1">
            <w:pPr>
              <w:spacing w:after="0" w:line="240" w:lineRule="auto"/>
              <w:rPr>
                <w:rFonts w:ascii="Garamond" w:hAnsi="Garamond"/>
                <w:i/>
                <w:iCs/>
                <w:color w:val="0D0D0D" w:themeColor="text1" w:themeTint="F2"/>
                <w:sz w:val="18"/>
                <w:szCs w:val="18"/>
              </w:rPr>
            </w:pPr>
            <w:bookmarkStart w:id="69" w:name="RANGE!C9"/>
            <w:r w:rsidRPr="00DC66CD">
              <w:rPr>
                <w:rFonts w:ascii="Garamond" w:hAnsi="Garamond"/>
                <w:i/>
                <w:iCs/>
                <w:color w:val="0D0D0D" w:themeColor="text1" w:themeTint="F2"/>
                <w:sz w:val="18"/>
                <w:szCs w:val="18"/>
              </w:rPr>
              <w:t xml:space="preserve">- Balance of primary incomes and transfers </w:t>
            </w:r>
            <w:bookmarkEnd w:id="69"/>
          </w:p>
        </w:tc>
        <w:tc>
          <w:tcPr>
            <w:tcW w:w="0" w:type="auto"/>
            <w:tcBorders>
              <w:top w:val="nil"/>
              <w:left w:val="nil"/>
              <w:bottom w:val="dotted" w:sz="4" w:space="0" w:color="auto"/>
              <w:right w:val="single" w:sz="8" w:space="0" w:color="auto"/>
            </w:tcBorders>
            <w:shd w:val="clear" w:color="000000" w:fill="FFFFFF"/>
            <w:vAlign w:val="center"/>
            <w:hideMark/>
          </w:tcPr>
          <w:p w14:paraId="6541C228" w14:textId="77777777" w:rsidR="006F605B" w:rsidRPr="00DC66CD" w:rsidRDefault="006F605B" w:rsidP="00131DA1">
            <w:pPr>
              <w:spacing w:after="0" w:line="240" w:lineRule="auto"/>
              <w:jc w:val="both"/>
              <w:rPr>
                <w:rFonts w:ascii="Garamond" w:hAnsi="Garamond"/>
                <w:i/>
                <w:iCs/>
                <w:color w:val="0D0D0D" w:themeColor="text1" w:themeTint="F2"/>
                <w:sz w:val="18"/>
                <w:szCs w:val="18"/>
              </w:rPr>
            </w:pPr>
          </w:p>
        </w:tc>
        <w:tc>
          <w:tcPr>
            <w:tcW w:w="0" w:type="auto"/>
            <w:tcBorders>
              <w:top w:val="nil"/>
              <w:left w:val="nil"/>
              <w:bottom w:val="dotted" w:sz="4" w:space="0" w:color="auto"/>
              <w:right w:val="dotted" w:sz="4" w:space="0" w:color="auto"/>
            </w:tcBorders>
            <w:shd w:val="clear" w:color="000000" w:fill="FFFFFF"/>
            <w:vAlign w:val="center"/>
          </w:tcPr>
          <w:p w14:paraId="26C262C8"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6.2</w:t>
            </w:r>
          </w:p>
        </w:tc>
        <w:tc>
          <w:tcPr>
            <w:tcW w:w="0" w:type="auto"/>
            <w:tcBorders>
              <w:top w:val="nil"/>
              <w:left w:val="nil"/>
              <w:bottom w:val="dotted" w:sz="4" w:space="0" w:color="auto"/>
              <w:right w:val="dotted" w:sz="4" w:space="0" w:color="auto"/>
            </w:tcBorders>
            <w:shd w:val="clear" w:color="000000" w:fill="FFFFFF"/>
            <w:vAlign w:val="center"/>
          </w:tcPr>
          <w:p w14:paraId="0A545BDD"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5.7</w:t>
            </w:r>
          </w:p>
        </w:tc>
        <w:tc>
          <w:tcPr>
            <w:tcW w:w="0" w:type="auto"/>
            <w:tcBorders>
              <w:top w:val="nil"/>
              <w:left w:val="nil"/>
              <w:bottom w:val="dotted" w:sz="4" w:space="0" w:color="auto"/>
              <w:right w:val="dotted" w:sz="4" w:space="0" w:color="auto"/>
            </w:tcBorders>
            <w:shd w:val="clear" w:color="000000" w:fill="FFFFFF"/>
            <w:vAlign w:val="center"/>
          </w:tcPr>
          <w:p w14:paraId="6154F284"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5.6</w:t>
            </w:r>
          </w:p>
        </w:tc>
        <w:tc>
          <w:tcPr>
            <w:tcW w:w="0" w:type="auto"/>
            <w:tcBorders>
              <w:top w:val="nil"/>
              <w:left w:val="nil"/>
              <w:bottom w:val="dotted" w:sz="4" w:space="0" w:color="auto"/>
              <w:right w:val="dotted" w:sz="4" w:space="0" w:color="auto"/>
            </w:tcBorders>
            <w:shd w:val="clear" w:color="000000" w:fill="FFFFFF"/>
            <w:vAlign w:val="center"/>
          </w:tcPr>
          <w:p w14:paraId="12E8ABDD"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5.2</w:t>
            </w:r>
          </w:p>
        </w:tc>
        <w:tc>
          <w:tcPr>
            <w:tcW w:w="0" w:type="auto"/>
            <w:tcBorders>
              <w:top w:val="nil"/>
              <w:left w:val="nil"/>
              <w:bottom w:val="dotted" w:sz="4" w:space="0" w:color="auto"/>
              <w:right w:val="double" w:sz="6" w:space="0" w:color="auto"/>
            </w:tcBorders>
            <w:shd w:val="clear" w:color="000000" w:fill="FFFFFF"/>
            <w:vAlign w:val="center"/>
          </w:tcPr>
          <w:p w14:paraId="03160512"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4.9</w:t>
            </w:r>
          </w:p>
        </w:tc>
      </w:tr>
      <w:tr w:rsidR="006F605B" w:rsidRPr="00DC66CD" w14:paraId="170E5074" w14:textId="77777777" w:rsidTr="00E372C0">
        <w:trPr>
          <w:trHeight w:val="225"/>
        </w:trPr>
        <w:tc>
          <w:tcPr>
            <w:tcW w:w="0" w:type="auto"/>
            <w:tcBorders>
              <w:top w:val="nil"/>
              <w:left w:val="double" w:sz="6" w:space="0" w:color="auto"/>
              <w:bottom w:val="nil"/>
              <w:right w:val="dotted" w:sz="4" w:space="0" w:color="auto"/>
            </w:tcBorders>
            <w:shd w:val="clear" w:color="000000" w:fill="FFFFFF"/>
            <w:vAlign w:val="center"/>
            <w:hideMark/>
          </w:tcPr>
          <w:p w14:paraId="21D5A55B" w14:textId="77777777" w:rsidR="006F605B" w:rsidRPr="00DC66CD" w:rsidRDefault="006F605B" w:rsidP="00131DA1">
            <w:pPr>
              <w:spacing w:after="0" w:line="240" w:lineRule="auto"/>
              <w:rPr>
                <w:rFonts w:ascii="Garamond" w:hAnsi="Garamond"/>
                <w:i/>
                <w:iCs/>
                <w:color w:val="0D0D0D" w:themeColor="text1" w:themeTint="F2"/>
                <w:sz w:val="18"/>
                <w:szCs w:val="18"/>
              </w:rPr>
            </w:pPr>
            <w:bookmarkStart w:id="70" w:name="RANGE!C10"/>
            <w:r w:rsidRPr="00DC66CD">
              <w:rPr>
                <w:rFonts w:ascii="Garamond" w:hAnsi="Garamond"/>
                <w:i/>
                <w:iCs/>
                <w:color w:val="0D0D0D" w:themeColor="text1" w:themeTint="F2"/>
                <w:sz w:val="18"/>
                <w:szCs w:val="18"/>
              </w:rPr>
              <w:t>- Capital account</w:t>
            </w:r>
            <w:bookmarkEnd w:id="70"/>
          </w:p>
        </w:tc>
        <w:tc>
          <w:tcPr>
            <w:tcW w:w="0" w:type="auto"/>
            <w:tcBorders>
              <w:top w:val="nil"/>
              <w:left w:val="nil"/>
              <w:bottom w:val="nil"/>
              <w:right w:val="single" w:sz="8" w:space="0" w:color="auto"/>
            </w:tcBorders>
            <w:shd w:val="clear" w:color="000000" w:fill="FFFFFF"/>
            <w:vAlign w:val="center"/>
            <w:hideMark/>
          </w:tcPr>
          <w:p w14:paraId="1C354570" w14:textId="77777777" w:rsidR="006F605B" w:rsidRPr="00DC66CD" w:rsidRDefault="006F605B" w:rsidP="00131DA1">
            <w:pPr>
              <w:spacing w:after="0" w:line="240" w:lineRule="auto"/>
              <w:jc w:val="both"/>
              <w:rPr>
                <w:rFonts w:ascii="Garamond" w:hAnsi="Garamond"/>
                <w:i/>
                <w:iCs/>
                <w:color w:val="0D0D0D" w:themeColor="text1" w:themeTint="F2"/>
                <w:sz w:val="18"/>
                <w:szCs w:val="18"/>
              </w:rPr>
            </w:pPr>
          </w:p>
        </w:tc>
        <w:tc>
          <w:tcPr>
            <w:tcW w:w="0" w:type="auto"/>
            <w:tcBorders>
              <w:top w:val="nil"/>
              <w:left w:val="single" w:sz="8" w:space="0" w:color="auto"/>
              <w:bottom w:val="single" w:sz="4" w:space="0" w:color="auto"/>
              <w:right w:val="dotted" w:sz="4" w:space="0" w:color="auto"/>
            </w:tcBorders>
            <w:shd w:val="clear" w:color="000000" w:fill="FFFFFF"/>
            <w:vAlign w:val="center"/>
          </w:tcPr>
          <w:p w14:paraId="42B5A810"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0.8</w:t>
            </w:r>
          </w:p>
        </w:tc>
        <w:tc>
          <w:tcPr>
            <w:tcW w:w="0" w:type="auto"/>
            <w:tcBorders>
              <w:top w:val="nil"/>
              <w:left w:val="nil"/>
              <w:bottom w:val="single" w:sz="4" w:space="0" w:color="auto"/>
              <w:right w:val="dotted" w:sz="4" w:space="0" w:color="auto"/>
            </w:tcBorders>
            <w:shd w:val="clear" w:color="000000" w:fill="FFFFFF"/>
            <w:vAlign w:val="center"/>
          </w:tcPr>
          <w:p w14:paraId="4DFD4780"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0.8</w:t>
            </w:r>
          </w:p>
        </w:tc>
        <w:tc>
          <w:tcPr>
            <w:tcW w:w="0" w:type="auto"/>
            <w:tcBorders>
              <w:top w:val="nil"/>
              <w:left w:val="nil"/>
              <w:bottom w:val="single" w:sz="4" w:space="0" w:color="auto"/>
              <w:right w:val="dotted" w:sz="4" w:space="0" w:color="auto"/>
            </w:tcBorders>
            <w:shd w:val="clear" w:color="000000" w:fill="FFFFFF"/>
            <w:vAlign w:val="center"/>
          </w:tcPr>
          <w:p w14:paraId="08ACE39A"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0.8</w:t>
            </w:r>
          </w:p>
        </w:tc>
        <w:tc>
          <w:tcPr>
            <w:tcW w:w="0" w:type="auto"/>
            <w:tcBorders>
              <w:top w:val="nil"/>
              <w:left w:val="nil"/>
              <w:bottom w:val="single" w:sz="4" w:space="0" w:color="auto"/>
              <w:right w:val="dotted" w:sz="4" w:space="0" w:color="auto"/>
            </w:tcBorders>
            <w:shd w:val="clear" w:color="000000" w:fill="FFFFFF"/>
            <w:vAlign w:val="center"/>
          </w:tcPr>
          <w:p w14:paraId="6BA44636"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0.7</w:t>
            </w:r>
          </w:p>
        </w:tc>
        <w:tc>
          <w:tcPr>
            <w:tcW w:w="0" w:type="auto"/>
            <w:tcBorders>
              <w:top w:val="nil"/>
              <w:left w:val="nil"/>
              <w:bottom w:val="single" w:sz="4" w:space="0" w:color="auto"/>
              <w:right w:val="double" w:sz="6" w:space="0" w:color="auto"/>
            </w:tcBorders>
            <w:shd w:val="clear" w:color="000000" w:fill="FFFFFF"/>
            <w:vAlign w:val="center"/>
          </w:tcPr>
          <w:p w14:paraId="18267976"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0.7</w:t>
            </w:r>
          </w:p>
        </w:tc>
      </w:tr>
      <w:tr w:rsidR="006F605B" w:rsidRPr="00DC66CD" w14:paraId="4F496D50" w14:textId="77777777" w:rsidTr="00E372C0">
        <w:trPr>
          <w:trHeight w:val="225"/>
        </w:trPr>
        <w:tc>
          <w:tcPr>
            <w:tcW w:w="0" w:type="auto"/>
            <w:tcBorders>
              <w:top w:val="single" w:sz="4" w:space="0" w:color="auto"/>
              <w:left w:val="double" w:sz="6" w:space="0" w:color="auto"/>
              <w:bottom w:val="dotted" w:sz="4" w:space="0" w:color="auto"/>
              <w:right w:val="dotted" w:sz="4" w:space="0" w:color="auto"/>
            </w:tcBorders>
            <w:shd w:val="clear" w:color="000000" w:fill="FFFFFF"/>
            <w:vAlign w:val="center"/>
            <w:hideMark/>
          </w:tcPr>
          <w:p w14:paraId="1B31288B" w14:textId="77777777" w:rsidR="006F605B" w:rsidRPr="00DC66CD" w:rsidRDefault="006F605B" w:rsidP="00131DA1">
            <w:pPr>
              <w:spacing w:after="0" w:line="240" w:lineRule="auto"/>
              <w:rPr>
                <w:rFonts w:ascii="Garamond" w:hAnsi="Garamond"/>
                <w:color w:val="0D0D0D" w:themeColor="text1" w:themeTint="F2"/>
                <w:sz w:val="18"/>
                <w:szCs w:val="18"/>
              </w:rPr>
            </w:pPr>
            <w:bookmarkStart w:id="71" w:name="RANGE!C11"/>
            <w:r w:rsidRPr="00DC66CD">
              <w:rPr>
                <w:rFonts w:ascii="Garamond" w:hAnsi="Garamond"/>
                <w:color w:val="0D0D0D" w:themeColor="text1" w:themeTint="F2"/>
                <w:sz w:val="18"/>
                <w:szCs w:val="18"/>
              </w:rPr>
              <w:t xml:space="preserve">2. Net lending/borrowing of the private sector </w:t>
            </w:r>
            <w:bookmarkEnd w:id="71"/>
          </w:p>
        </w:tc>
        <w:tc>
          <w:tcPr>
            <w:tcW w:w="0" w:type="auto"/>
            <w:tcBorders>
              <w:top w:val="single" w:sz="4" w:space="0" w:color="auto"/>
              <w:left w:val="nil"/>
              <w:bottom w:val="dotted" w:sz="4" w:space="0" w:color="auto"/>
              <w:right w:val="single" w:sz="8" w:space="0" w:color="auto"/>
            </w:tcBorders>
            <w:shd w:val="clear" w:color="000000" w:fill="FFFFFF"/>
            <w:vAlign w:val="center"/>
            <w:hideMark/>
          </w:tcPr>
          <w:p w14:paraId="47ED0B07"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B.9/ EDP B.9</w:t>
            </w:r>
          </w:p>
        </w:tc>
        <w:tc>
          <w:tcPr>
            <w:tcW w:w="0" w:type="auto"/>
            <w:tcBorders>
              <w:top w:val="nil"/>
              <w:left w:val="single" w:sz="8" w:space="0" w:color="auto"/>
              <w:bottom w:val="dotted" w:sz="4" w:space="0" w:color="auto"/>
              <w:right w:val="dotted" w:sz="4" w:space="0" w:color="auto"/>
            </w:tcBorders>
            <w:shd w:val="clear" w:color="000000" w:fill="FFFFFF"/>
            <w:vAlign w:val="center"/>
          </w:tcPr>
          <w:p w14:paraId="6BCCDDA9"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-6.0</w:t>
            </w:r>
          </w:p>
        </w:tc>
        <w:tc>
          <w:tcPr>
            <w:tcW w:w="0" w:type="auto"/>
            <w:tcBorders>
              <w:top w:val="nil"/>
              <w:left w:val="nil"/>
              <w:bottom w:val="dotted" w:sz="4" w:space="0" w:color="auto"/>
              <w:right w:val="dotted" w:sz="4" w:space="0" w:color="auto"/>
            </w:tcBorders>
            <w:shd w:val="clear" w:color="000000" w:fill="FFFFFF"/>
            <w:vAlign w:val="center"/>
          </w:tcPr>
          <w:p w14:paraId="2D609F98"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-6.8</w:t>
            </w:r>
          </w:p>
        </w:tc>
        <w:tc>
          <w:tcPr>
            <w:tcW w:w="0" w:type="auto"/>
            <w:tcBorders>
              <w:top w:val="nil"/>
              <w:left w:val="nil"/>
              <w:bottom w:val="dotted" w:sz="4" w:space="0" w:color="auto"/>
              <w:right w:val="dotted" w:sz="4" w:space="0" w:color="auto"/>
            </w:tcBorders>
            <w:shd w:val="clear" w:color="000000" w:fill="FFFFFF"/>
            <w:vAlign w:val="center"/>
          </w:tcPr>
          <w:p w14:paraId="6ED76627"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-5.7</w:t>
            </w:r>
          </w:p>
        </w:tc>
        <w:tc>
          <w:tcPr>
            <w:tcW w:w="0" w:type="auto"/>
            <w:tcBorders>
              <w:top w:val="nil"/>
              <w:left w:val="nil"/>
              <w:bottom w:val="dotted" w:sz="4" w:space="0" w:color="auto"/>
              <w:right w:val="dotted" w:sz="4" w:space="0" w:color="auto"/>
            </w:tcBorders>
            <w:shd w:val="clear" w:color="000000" w:fill="FFFFFF"/>
            <w:vAlign w:val="center"/>
          </w:tcPr>
          <w:p w14:paraId="5876E180"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-5.5</w:t>
            </w:r>
          </w:p>
        </w:tc>
        <w:tc>
          <w:tcPr>
            <w:tcW w:w="0" w:type="auto"/>
            <w:tcBorders>
              <w:top w:val="nil"/>
              <w:left w:val="nil"/>
              <w:bottom w:val="dotted" w:sz="4" w:space="0" w:color="auto"/>
              <w:right w:val="double" w:sz="6" w:space="0" w:color="auto"/>
            </w:tcBorders>
            <w:shd w:val="clear" w:color="000000" w:fill="FFFFFF"/>
            <w:vAlign w:val="center"/>
          </w:tcPr>
          <w:p w14:paraId="63B5C4BD"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-5.3</w:t>
            </w:r>
          </w:p>
        </w:tc>
      </w:tr>
      <w:tr w:rsidR="006F605B" w:rsidRPr="00DC66CD" w14:paraId="11171BEE" w14:textId="77777777" w:rsidTr="00E372C0">
        <w:trPr>
          <w:trHeight w:val="225"/>
        </w:trPr>
        <w:tc>
          <w:tcPr>
            <w:tcW w:w="0" w:type="auto"/>
            <w:tcBorders>
              <w:top w:val="nil"/>
              <w:left w:val="double" w:sz="6" w:space="0" w:color="auto"/>
              <w:bottom w:val="nil"/>
              <w:right w:val="dotted" w:sz="4" w:space="0" w:color="auto"/>
            </w:tcBorders>
            <w:shd w:val="clear" w:color="000000" w:fill="FFFFFF"/>
            <w:vAlign w:val="center"/>
            <w:hideMark/>
          </w:tcPr>
          <w:p w14:paraId="4EF36A0E" w14:textId="77777777" w:rsidR="006F605B" w:rsidRPr="00DC66CD" w:rsidRDefault="006F605B" w:rsidP="00131DA1">
            <w:pPr>
              <w:spacing w:after="0" w:line="240" w:lineRule="auto"/>
              <w:rPr>
                <w:rFonts w:ascii="Garamond" w:hAnsi="Garamond"/>
                <w:color w:val="0D0D0D" w:themeColor="text1" w:themeTint="F2"/>
                <w:sz w:val="18"/>
                <w:szCs w:val="18"/>
              </w:rPr>
            </w:pPr>
            <w:r w:rsidRPr="00DC66CD">
              <w:rPr>
                <w:rFonts w:ascii="Garamond" w:hAnsi="Garamond"/>
                <w:color w:val="0D0D0D" w:themeColor="text1" w:themeTint="F2"/>
                <w:sz w:val="18"/>
                <w:szCs w:val="18"/>
              </w:rPr>
              <w:t xml:space="preserve">3. Net lending/borrowing of general government </w:t>
            </w:r>
          </w:p>
        </w:tc>
        <w:tc>
          <w:tcPr>
            <w:tcW w:w="0" w:type="auto"/>
            <w:tcBorders>
              <w:top w:val="nil"/>
              <w:left w:val="nil"/>
              <w:bottom w:val="nil"/>
              <w:right w:val="single" w:sz="8" w:space="0" w:color="auto"/>
            </w:tcBorders>
            <w:shd w:val="clear" w:color="000000" w:fill="FFFFFF"/>
            <w:vAlign w:val="center"/>
            <w:hideMark/>
          </w:tcPr>
          <w:p w14:paraId="6B388CAD"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0" w:type="auto"/>
            <w:tcBorders>
              <w:top w:val="nil"/>
              <w:left w:val="single" w:sz="8" w:space="0" w:color="auto"/>
              <w:bottom w:val="single" w:sz="4" w:space="0" w:color="auto"/>
              <w:right w:val="dotted" w:sz="4" w:space="0" w:color="auto"/>
            </w:tcBorders>
            <w:shd w:val="clear" w:color="000000" w:fill="FFFFFF"/>
            <w:vAlign w:val="center"/>
          </w:tcPr>
          <w:p w14:paraId="7379B0C5"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-1.6</w:t>
            </w:r>
          </w:p>
        </w:tc>
        <w:tc>
          <w:tcPr>
            <w:tcW w:w="0" w:type="auto"/>
            <w:tcBorders>
              <w:top w:val="nil"/>
              <w:left w:val="nil"/>
              <w:bottom w:val="single" w:sz="4" w:space="0" w:color="auto"/>
              <w:right w:val="dotted" w:sz="4" w:space="0" w:color="auto"/>
            </w:tcBorders>
            <w:shd w:val="clear" w:color="000000" w:fill="FFFFFF"/>
            <w:vAlign w:val="center"/>
          </w:tcPr>
          <w:p w14:paraId="1E7F7360"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-1.9</w:t>
            </w:r>
          </w:p>
        </w:tc>
        <w:tc>
          <w:tcPr>
            <w:tcW w:w="0" w:type="auto"/>
            <w:tcBorders>
              <w:top w:val="nil"/>
              <w:left w:val="nil"/>
              <w:bottom w:val="single" w:sz="4" w:space="0" w:color="auto"/>
              <w:right w:val="dotted" w:sz="4" w:space="0" w:color="auto"/>
            </w:tcBorders>
            <w:shd w:val="clear" w:color="000000" w:fill="FFFFFF"/>
            <w:vAlign w:val="center"/>
          </w:tcPr>
          <w:p w14:paraId="1A79DC74"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-2.2</w:t>
            </w:r>
          </w:p>
        </w:tc>
        <w:tc>
          <w:tcPr>
            <w:tcW w:w="0" w:type="auto"/>
            <w:tcBorders>
              <w:top w:val="nil"/>
              <w:left w:val="nil"/>
              <w:bottom w:val="single" w:sz="4" w:space="0" w:color="auto"/>
              <w:right w:val="dotted" w:sz="4" w:space="0" w:color="auto"/>
            </w:tcBorders>
            <w:shd w:val="clear" w:color="000000" w:fill="FFFFFF"/>
            <w:vAlign w:val="center"/>
          </w:tcPr>
          <w:p w14:paraId="500B18EB"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-2.0</w:t>
            </w:r>
          </w:p>
        </w:tc>
        <w:tc>
          <w:tcPr>
            <w:tcW w:w="0" w:type="auto"/>
            <w:tcBorders>
              <w:top w:val="nil"/>
              <w:left w:val="nil"/>
              <w:bottom w:val="single" w:sz="4" w:space="0" w:color="auto"/>
              <w:right w:val="double" w:sz="6" w:space="0" w:color="auto"/>
            </w:tcBorders>
            <w:shd w:val="clear" w:color="000000" w:fill="FFFFFF"/>
            <w:vAlign w:val="center"/>
          </w:tcPr>
          <w:p w14:paraId="54C7D3D9"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-1.7</w:t>
            </w:r>
          </w:p>
        </w:tc>
      </w:tr>
      <w:tr w:rsidR="006F605B" w:rsidRPr="00DC66CD" w14:paraId="2AE10F8E" w14:textId="77777777" w:rsidTr="00E372C0">
        <w:trPr>
          <w:trHeight w:val="50"/>
        </w:trPr>
        <w:tc>
          <w:tcPr>
            <w:tcW w:w="0" w:type="auto"/>
            <w:tcBorders>
              <w:top w:val="single" w:sz="4" w:space="0" w:color="auto"/>
              <w:left w:val="double" w:sz="6" w:space="0" w:color="auto"/>
              <w:bottom w:val="double" w:sz="6" w:space="0" w:color="auto"/>
              <w:right w:val="dotted" w:sz="4" w:space="0" w:color="auto"/>
            </w:tcBorders>
            <w:shd w:val="clear" w:color="000000" w:fill="FFFFFF"/>
            <w:vAlign w:val="center"/>
            <w:hideMark/>
          </w:tcPr>
          <w:p w14:paraId="3E9722BF" w14:textId="77777777" w:rsidR="006F605B" w:rsidRPr="00DC66CD" w:rsidRDefault="006F605B" w:rsidP="00131DA1">
            <w:pPr>
              <w:spacing w:after="0" w:line="240" w:lineRule="auto"/>
              <w:rPr>
                <w:rFonts w:ascii="Garamond" w:hAnsi="Garamond"/>
                <w:color w:val="0D0D0D" w:themeColor="text1" w:themeTint="F2"/>
                <w:sz w:val="18"/>
                <w:szCs w:val="18"/>
              </w:rPr>
            </w:pPr>
            <w:r w:rsidRPr="00DC66CD">
              <w:rPr>
                <w:rFonts w:ascii="Garamond" w:hAnsi="Garamond"/>
                <w:color w:val="0D0D0D" w:themeColor="text1" w:themeTint="F2"/>
                <w:sz w:val="18"/>
                <w:szCs w:val="18"/>
              </w:rPr>
              <w:t xml:space="preserve">4. Statistical discrepancy </w:t>
            </w:r>
          </w:p>
        </w:tc>
        <w:tc>
          <w:tcPr>
            <w:tcW w:w="0" w:type="auto"/>
            <w:tcBorders>
              <w:top w:val="single" w:sz="4" w:space="0" w:color="auto"/>
              <w:left w:val="nil"/>
              <w:bottom w:val="double" w:sz="6" w:space="0" w:color="auto"/>
              <w:right w:val="single" w:sz="8" w:space="0" w:color="auto"/>
            </w:tcBorders>
            <w:shd w:val="clear" w:color="000000" w:fill="FFFFFF"/>
            <w:vAlign w:val="center"/>
            <w:hideMark/>
          </w:tcPr>
          <w:p w14:paraId="471CD673"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0" w:type="auto"/>
            <w:tcBorders>
              <w:top w:val="nil"/>
              <w:left w:val="nil"/>
              <w:bottom w:val="double" w:sz="6" w:space="0" w:color="auto"/>
              <w:right w:val="dotted" w:sz="4" w:space="0" w:color="auto"/>
            </w:tcBorders>
            <w:shd w:val="clear" w:color="000000" w:fill="FFFFFF"/>
            <w:vAlign w:val="center"/>
          </w:tcPr>
          <w:p w14:paraId="385BC42F"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0.0</w:t>
            </w:r>
          </w:p>
        </w:tc>
        <w:tc>
          <w:tcPr>
            <w:tcW w:w="0" w:type="auto"/>
            <w:tcBorders>
              <w:top w:val="nil"/>
              <w:left w:val="nil"/>
              <w:bottom w:val="double" w:sz="6" w:space="0" w:color="auto"/>
              <w:right w:val="dotted" w:sz="4" w:space="0" w:color="auto"/>
            </w:tcBorders>
            <w:shd w:val="clear" w:color="000000" w:fill="FFFFFF"/>
            <w:vAlign w:val="center"/>
          </w:tcPr>
          <w:p w14:paraId="338200B6"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0.0</w:t>
            </w:r>
          </w:p>
        </w:tc>
        <w:tc>
          <w:tcPr>
            <w:tcW w:w="0" w:type="auto"/>
            <w:tcBorders>
              <w:top w:val="nil"/>
              <w:left w:val="nil"/>
              <w:bottom w:val="double" w:sz="6" w:space="0" w:color="auto"/>
              <w:right w:val="dotted" w:sz="4" w:space="0" w:color="auto"/>
            </w:tcBorders>
            <w:shd w:val="clear" w:color="000000" w:fill="FFFFFF"/>
            <w:vAlign w:val="center"/>
          </w:tcPr>
          <w:p w14:paraId="1D622474"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0.0</w:t>
            </w:r>
          </w:p>
        </w:tc>
        <w:tc>
          <w:tcPr>
            <w:tcW w:w="0" w:type="auto"/>
            <w:tcBorders>
              <w:top w:val="nil"/>
              <w:left w:val="nil"/>
              <w:bottom w:val="double" w:sz="6" w:space="0" w:color="auto"/>
              <w:right w:val="dotted" w:sz="4" w:space="0" w:color="auto"/>
            </w:tcBorders>
            <w:shd w:val="clear" w:color="000000" w:fill="FFFFFF"/>
            <w:vAlign w:val="center"/>
          </w:tcPr>
          <w:p w14:paraId="591D43EA"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0.0</w:t>
            </w:r>
          </w:p>
        </w:tc>
        <w:tc>
          <w:tcPr>
            <w:tcW w:w="0" w:type="auto"/>
            <w:tcBorders>
              <w:top w:val="nil"/>
              <w:left w:val="nil"/>
              <w:bottom w:val="double" w:sz="6" w:space="0" w:color="auto"/>
              <w:right w:val="double" w:sz="6" w:space="0" w:color="auto"/>
            </w:tcBorders>
            <w:shd w:val="clear" w:color="000000" w:fill="FFFFFF"/>
            <w:vAlign w:val="center"/>
          </w:tcPr>
          <w:p w14:paraId="52C356AD" w14:textId="77777777" w:rsidR="006F605B" w:rsidRPr="00DC66CD" w:rsidRDefault="006F605B" w:rsidP="00131DA1">
            <w:pPr>
              <w:spacing w:after="0" w:line="240" w:lineRule="auto"/>
              <w:jc w:val="right"/>
              <w:rPr>
                <w:rFonts w:ascii="Garamond" w:hAnsi="Garamond"/>
                <w:sz w:val="18"/>
                <w:szCs w:val="18"/>
              </w:rPr>
            </w:pPr>
            <w:r w:rsidRPr="00DC66CD">
              <w:rPr>
                <w:rFonts w:ascii="Garamond" w:hAnsi="Garamond"/>
                <w:sz w:val="18"/>
                <w:szCs w:val="18"/>
              </w:rPr>
              <w:t>0.0</w:t>
            </w:r>
          </w:p>
        </w:tc>
      </w:tr>
    </w:tbl>
    <w:p w14:paraId="171E72DC"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06292536"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72" w:name="_Toc536784310"/>
      <w:bookmarkStart w:id="73" w:name="_Toc30661245"/>
      <w:r w:rsidRPr="00DC66CD">
        <w:rPr>
          <w:rFonts w:ascii="Garamond" w:hAnsi="Garamond"/>
          <w:color w:val="auto"/>
          <w:sz w:val="24"/>
          <w:szCs w:val="24"/>
        </w:rPr>
        <w:t xml:space="preserve">Tabela 1e: </w:t>
      </w:r>
      <w:bookmarkEnd w:id="72"/>
      <w:r w:rsidRPr="00DC66CD">
        <w:rPr>
          <w:rFonts w:ascii="Garamond" w:hAnsi="Garamond"/>
          <w:color w:val="auto"/>
          <w:sz w:val="24"/>
          <w:szCs w:val="24"/>
        </w:rPr>
        <w:t>PBB, investime dhe vlera e shtuar bruto</w:t>
      </w:r>
      <w:bookmarkEnd w:id="73"/>
    </w:p>
    <w:tbl>
      <w:tblPr>
        <w:tblW w:w="9523" w:type="dxa"/>
        <w:tblInd w:w="85" w:type="dxa"/>
        <w:tblLook w:val="04A0" w:firstRow="1" w:lastRow="0" w:firstColumn="1" w:lastColumn="0" w:noHBand="0" w:noVBand="1"/>
      </w:tblPr>
      <w:tblGrid>
        <w:gridCol w:w="4548"/>
        <w:gridCol w:w="1090"/>
        <w:gridCol w:w="777"/>
        <w:gridCol w:w="777"/>
        <w:gridCol w:w="777"/>
        <w:gridCol w:w="777"/>
        <w:gridCol w:w="777"/>
      </w:tblGrid>
      <w:tr w:rsidR="006F605B" w:rsidRPr="00DC66CD" w14:paraId="50F0BFBD" w14:textId="77777777" w:rsidTr="004F4E33">
        <w:trPr>
          <w:trHeight w:val="338"/>
        </w:trPr>
        <w:tc>
          <w:tcPr>
            <w:tcW w:w="0" w:type="auto"/>
            <w:tcBorders>
              <w:top w:val="double" w:sz="6" w:space="0" w:color="auto"/>
              <w:left w:val="double" w:sz="6" w:space="0" w:color="auto"/>
              <w:bottom w:val="nil"/>
              <w:right w:val="dotted" w:sz="4" w:space="0" w:color="auto"/>
            </w:tcBorders>
            <w:shd w:val="clear" w:color="000000" w:fill="FFFFFF"/>
            <w:vAlign w:val="center"/>
            <w:hideMark/>
          </w:tcPr>
          <w:p w14:paraId="73854070" w14:textId="6886EFC4" w:rsidR="006F605B" w:rsidRPr="00DC66CD" w:rsidRDefault="006F605B" w:rsidP="004F4E33">
            <w:pPr>
              <w:spacing w:after="0" w:line="240" w:lineRule="auto"/>
              <w:jc w:val="center"/>
              <w:rPr>
                <w:rFonts w:ascii="Garamond" w:hAnsi="Garamond"/>
                <w:b/>
                <w:color w:val="0D0D0D" w:themeColor="text1" w:themeTint="F2"/>
                <w:sz w:val="20"/>
                <w:szCs w:val="20"/>
              </w:rPr>
            </w:pPr>
            <w:bookmarkStart w:id="74" w:name="OLE_LINK1"/>
          </w:p>
        </w:tc>
        <w:tc>
          <w:tcPr>
            <w:tcW w:w="0" w:type="auto"/>
            <w:tcBorders>
              <w:top w:val="double" w:sz="6" w:space="0" w:color="auto"/>
              <w:left w:val="nil"/>
              <w:bottom w:val="nil"/>
              <w:right w:val="single" w:sz="4" w:space="0" w:color="auto"/>
            </w:tcBorders>
            <w:shd w:val="clear" w:color="000000" w:fill="FFFFFF"/>
            <w:vAlign w:val="center"/>
            <w:hideMark/>
          </w:tcPr>
          <w:p w14:paraId="5A05EEE3"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ESA Code</w:t>
            </w:r>
          </w:p>
        </w:tc>
        <w:tc>
          <w:tcPr>
            <w:tcW w:w="0" w:type="auto"/>
            <w:tcBorders>
              <w:top w:val="double" w:sz="6" w:space="0" w:color="auto"/>
              <w:left w:val="double" w:sz="6" w:space="0" w:color="auto"/>
              <w:bottom w:val="nil"/>
              <w:right w:val="dotted" w:sz="4" w:space="0" w:color="auto"/>
            </w:tcBorders>
            <w:shd w:val="clear" w:color="000000" w:fill="FFFFFF"/>
            <w:vAlign w:val="center"/>
            <w:hideMark/>
          </w:tcPr>
          <w:p w14:paraId="30AA7161"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p w14:paraId="15CC53D5" w14:textId="77777777" w:rsidR="006F605B" w:rsidRPr="00DC66CD" w:rsidRDefault="006F605B" w:rsidP="004F4E33">
            <w:pPr>
              <w:spacing w:after="0" w:line="240" w:lineRule="auto"/>
              <w:jc w:val="center"/>
              <w:rPr>
                <w:rFonts w:ascii="Garamond" w:eastAsia="Times New Roman" w:hAnsi="Garamond"/>
                <w:b/>
                <w:sz w:val="20"/>
                <w:szCs w:val="20"/>
              </w:rPr>
            </w:pPr>
          </w:p>
        </w:tc>
        <w:tc>
          <w:tcPr>
            <w:tcW w:w="0" w:type="auto"/>
            <w:tcBorders>
              <w:top w:val="double" w:sz="6" w:space="0" w:color="auto"/>
              <w:left w:val="nil"/>
              <w:bottom w:val="nil"/>
              <w:right w:val="dotted" w:sz="4" w:space="0" w:color="auto"/>
            </w:tcBorders>
            <w:shd w:val="clear" w:color="000000" w:fill="FFFFFF"/>
            <w:vAlign w:val="center"/>
            <w:hideMark/>
          </w:tcPr>
          <w:p w14:paraId="5AB8D1B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7F515FCB"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6FD4EF8C"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uble" w:sz="6" w:space="0" w:color="auto"/>
            </w:tcBorders>
            <w:shd w:val="clear" w:color="000000" w:fill="FFFFFF"/>
            <w:vAlign w:val="center"/>
            <w:hideMark/>
          </w:tcPr>
          <w:p w14:paraId="56F6B0FD"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64E56FD3" w14:textId="77777777" w:rsidTr="004F4E33">
        <w:trPr>
          <w:trHeight w:val="74"/>
        </w:trPr>
        <w:tc>
          <w:tcPr>
            <w:tcW w:w="0" w:type="auto"/>
            <w:tcBorders>
              <w:top w:val="nil"/>
              <w:left w:val="double" w:sz="6" w:space="0" w:color="auto"/>
              <w:bottom w:val="nil"/>
              <w:right w:val="dotted" w:sz="4" w:space="0" w:color="auto"/>
            </w:tcBorders>
            <w:shd w:val="clear" w:color="000000" w:fill="FFFFFF"/>
            <w:vAlign w:val="center"/>
            <w:hideMark/>
          </w:tcPr>
          <w:p w14:paraId="3EF889BB" w14:textId="1BA92333"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tcBorders>
              <w:top w:val="nil"/>
              <w:left w:val="nil"/>
              <w:bottom w:val="nil"/>
              <w:right w:val="single" w:sz="4" w:space="0" w:color="auto"/>
            </w:tcBorders>
            <w:shd w:val="clear" w:color="000000" w:fill="FFFFFF"/>
            <w:vAlign w:val="center"/>
            <w:hideMark/>
          </w:tcPr>
          <w:p w14:paraId="5FC89D21" w14:textId="42B80BB5"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tcBorders>
              <w:top w:val="nil"/>
              <w:left w:val="double" w:sz="6" w:space="0" w:color="auto"/>
              <w:bottom w:val="nil"/>
              <w:right w:val="dotted" w:sz="4" w:space="0" w:color="auto"/>
            </w:tcBorders>
            <w:shd w:val="clear" w:color="000000" w:fill="FFFFFF"/>
            <w:vAlign w:val="center"/>
            <w:hideMark/>
          </w:tcPr>
          <w:p w14:paraId="2E40DECB"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0" w:type="auto"/>
            <w:tcBorders>
              <w:top w:val="nil"/>
              <w:left w:val="nil"/>
              <w:bottom w:val="nil"/>
              <w:right w:val="dotted" w:sz="4" w:space="0" w:color="auto"/>
            </w:tcBorders>
            <w:shd w:val="clear" w:color="000000" w:fill="FFFFFF"/>
            <w:vAlign w:val="center"/>
            <w:hideMark/>
          </w:tcPr>
          <w:p w14:paraId="09AFE97E"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0" w:type="auto"/>
            <w:tcBorders>
              <w:top w:val="nil"/>
              <w:left w:val="nil"/>
              <w:bottom w:val="nil"/>
              <w:right w:val="dotted" w:sz="4" w:space="0" w:color="auto"/>
            </w:tcBorders>
            <w:shd w:val="clear" w:color="000000" w:fill="FFFFFF"/>
            <w:vAlign w:val="center"/>
            <w:hideMark/>
          </w:tcPr>
          <w:p w14:paraId="3C9D2EC9"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0" w:type="auto"/>
            <w:tcBorders>
              <w:top w:val="nil"/>
              <w:left w:val="nil"/>
              <w:bottom w:val="nil"/>
              <w:right w:val="dotted" w:sz="4" w:space="0" w:color="auto"/>
            </w:tcBorders>
            <w:shd w:val="clear" w:color="000000" w:fill="FFFFFF"/>
            <w:vAlign w:val="center"/>
            <w:hideMark/>
          </w:tcPr>
          <w:p w14:paraId="7518AEB5"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0" w:type="auto"/>
            <w:tcBorders>
              <w:top w:val="nil"/>
              <w:left w:val="nil"/>
              <w:bottom w:val="nil"/>
              <w:right w:val="double" w:sz="6" w:space="0" w:color="auto"/>
            </w:tcBorders>
            <w:shd w:val="clear" w:color="000000" w:fill="FFFFFF"/>
            <w:vAlign w:val="center"/>
            <w:hideMark/>
          </w:tcPr>
          <w:p w14:paraId="4EF33FDA"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0413E593" w14:textId="77777777" w:rsidTr="00E372C0">
        <w:trPr>
          <w:trHeight w:val="319"/>
        </w:trPr>
        <w:tc>
          <w:tcPr>
            <w:tcW w:w="0" w:type="auto"/>
            <w:gridSpan w:val="7"/>
            <w:tcBorders>
              <w:top w:val="single" w:sz="4" w:space="0" w:color="auto"/>
              <w:left w:val="double" w:sz="6" w:space="0" w:color="auto"/>
              <w:bottom w:val="single" w:sz="4" w:space="0" w:color="auto"/>
              <w:right w:val="double" w:sz="6" w:space="0" w:color="000000"/>
            </w:tcBorders>
            <w:shd w:val="clear" w:color="000000" w:fill="FFFFFF"/>
            <w:vAlign w:val="bottom"/>
            <w:hideMark/>
          </w:tcPr>
          <w:p w14:paraId="50FFE57E" w14:textId="77777777" w:rsidR="006F605B" w:rsidRPr="00DC66CD" w:rsidRDefault="006F605B" w:rsidP="00131DA1">
            <w:pPr>
              <w:spacing w:after="0" w:line="240" w:lineRule="auto"/>
              <w:jc w:val="both"/>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GDP and investment</w:t>
            </w:r>
          </w:p>
        </w:tc>
      </w:tr>
      <w:tr w:rsidR="006F605B" w:rsidRPr="00DC66CD" w14:paraId="21AFAA2B" w14:textId="77777777" w:rsidTr="00E372C0">
        <w:trPr>
          <w:trHeight w:val="376"/>
        </w:trPr>
        <w:tc>
          <w:tcPr>
            <w:tcW w:w="0" w:type="auto"/>
            <w:tcBorders>
              <w:top w:val="nil"/>
              <w:left w:val="double" w:sz="6" w:space="0" w:color="auto"/>
              <w:bottom w:val="dotted" w:sz="4" w:space="0" w:color="auto"/>
              <w:right w:val="dotted" w:sz="4" w:space="0" w:color="auto"/>
            </w:tcBorders>
            <w:shd w:val="clear" w:color="000000" w:fill="FFFFFF"/>
            <w:vAlign w:val="bottom"/>
            <w:hideMark/>
          </w:tcPr>
          <w:p w14:paraId="0A5AE0D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GDP </w:t>
            </w:r>
            <w:r w:rsidRPr="00DC66CD">
              <w:rPr>
                <w:rFonts w:ascii="Garamond" w:hAnsi="Garamond"/>
                <w:i/>
                <w:iCs/>
                <w:color w:val="0D0D0D" w:themeColor="text1" w:themeTint="F2"/>
                <w:sz w:val="20"/>
                <w:szCs w:val="20"/>
              </w:rPr>
              <w:t>level</w:t>
            </w:r>
            <w:r w:rsidRPr="00DC66CD">
              <w:rPr>
                <w:rFonts w:ascii="Garamond" w:hAnsi="Garamond"/>
                <w:color w:val="0D0D0D" w:themeColor="text1" w:themeTint="F2"/>
                <w:sz w:val="20"/>
                <w:szCs w:val="20"/>
              </w:rPr>
              <w:t xml:space="preserve"> at </w:t>
            </w:r>
            <w:r w:rsidRPr="00DC66CD">
              <w:rPr>
                <w:rFonts w:ascii="Garamond" w:hAnsi="Garamond"/>
                <w:i/>
                <w:iCs/>
                <w:color w:val="0D0D0D" w:themeColor="text1" w:themeTint="F2"/>
                <w:sz w:val="20"/>
                <w:szCs w:val="20"/>
              </w:rPr>
              <w:t xml:space="preserve">current </w:t>
            </w:r>
            <w:r w:rsidRPr="00DC66CD">
              <w:rPr>
                <w:rFonts w:ascii="Garamond" w:hAnsi="Garamond"/>
                <w:color w:val="0D0D0D" w:themeColor="text1" w:themeTint="F2"/>
                <w:sz w:val="20"/>
                <w:szCs w:val="20"/>
              </w:rPr>
              <w:t>market prices (in domestic currency)</w:t>
            </w:r>
          </w:p>
        </w:tc>
        <w:tc>
          <w:tcPr>
            <w:tcW w:w="0" w:type="auto"/>
            <w:tcBorders>
              <w:top w:val="nil"/>
              <w:left w:val="nil"/>
              <w:bottom w:val="dotted" w:sz="4" w:space="0" w:color="auto"/>
              <w:right w:val="single" w:sz="4" w:space="0" w:color="auto"/>
            </w:tcBorders>
            <w:shd w:val="clear" w:color="000000" w:fill="FFFFFF"/>
            <w:vAlign w:val="bottom"/>
            <w:hideMark/>
          </w:tcPr>
          <w:p w14:paraId="5B715B6B"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B1g</w:t>
            </w:r>
          </w:p>
        </w:tc>
        <w:tc>
          <w:tcPr>
            <w:tcW w:w="0" w:type="auto"/>
            <w:tcBorders>
              <w:top w:val="nil"/>
              <w:left w:val="double" w:sz="6" w:space="0" w:color="auto"/>
              <w:bottom w:val="dotted" w:sz="4" w:space="0" w:color="auto"/>
              <w:right w:val="dotted" w:sz="4" w:space="0" w:color="auto"/>
            </w:tcBorders>
            <w:shd w:val="clear" w:color="000000" w:fill="FFFFFF"/>
            <w:vAlign w:val="bottom"/>
          </w:tcPr>
          <w:p w14:paraId="26CD0F9C" w14:textId="77777777" w:rsidR="006F605B" w:rsidRPr="00DC66CD" w:rsidRDefault="006F605B" w:rsidP="00131DA1">
            <w:pPr>
              <w:spacing w:after="0" w:line="240" w:lineRule="auto"/>
              <w:rPr>
                <w:rFonts w:ascii="Garamond" w:eastAsia="Times New Roman" w:hAnsi="Garamond"/>
                <w:sz w:val="20"/>
                <w:szCs w:val="20"/>
              </w:rPr>
            </w:pPr>
            <w:r w:rsidRPr="00DC66CD">
              <w:rPr>
                <w:rFonts w:ascii="Garamond" w:hAnsi="Garamond"/>
                <w:sz w:val="20"/>
                <w:szCs w:val="20"/>
              </w:rPr>
              <w:t>1,630.9</w:t>
            </w:r>
          </w:p>
        </w:tc>
        <w:tc>
          <w:tcPr>
            <w:tcW w:w="0" w:type="auto"/>
            <w:tcBorders>
              <w:top w:val="nil"/>
              <w:left w:val="nil"/>
              <w:bottom w:val="dotted" w:sz="4" w:space="0" w:color="auto"/>
              <w:right w:val="dotted" w:sz="4" w:space="0" w:color="auto"/>
            </w:tcBorders>
            <w:shd w:val="clear" w:color="000000" w:fill="FFFFFF"/>
            <w:vAlign w:val="bottom"/>
          </w:tcPr>
          <w:p w14:paraId="23DC9131"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1,688.9</w:t>
            </w:r>
          </w:p>
        </w:tc>
        <w:tc>
          <w:tcPr>
            <w:tcW w:w="0" w:type="auto"/>
            <w:tcBorders>
              <w:top w:val="nil"/>
              <w:left w:val="nil"/>
              <w:bottom w:val="dotted" w:sz="4" w:space="0" w:color="auto"/>
              <w:right w:val="dotted" w:sz="4" w:space="0" w:color="auto"/>
            </w:tcBorders>
            <w:shd w:val="clear" w:color="000000" w:fill="FFFFFF"/>
            <w:vAlign w:val="bottom"/>
          </w:tcPr>
          <w:p w14:paraId="5FBABD25"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1,777.2</w:t>
            </w:r>
          </w:p>
        </w:tc>
        <w:tc>
          <w:tcPr>
            <w:tcW w:w="0" w:type="auto"/>
            <w:tcBorders>
              <w:top w:val="nil"/>
              <w:left w:val="nil"/>
              <w:bottom w:val="dotted" w:sz="4" w:space="0" w:color="auto"/>
              <w:right w:val="dotted" w:sz="4" w:space="0" w:color="auto"/>
            </w:tcBorders>
            <w:shd w:val="clear" w:color="000000" w:fill="FFFFFF"/>
            <w:vAlign w:val="bottom"/>
          </w:tcPr>
          <w:p w14:paraId="19F72510"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1,879.8</w:t>
            </w:r>
          </w:p>
        </w:tc>
        <w:tc>
          <w:tcPr>
            <w:tcW w:w="0" w:type="auto"/>
            <w:tcBorders>
              <w:top w:val="nil"/>
              <w:left w:val="nil"/>
              <w:bottom w:val="dotted" w:sz="4" w:space="0" w:color="auto"/>
              <w:right w:val="double" w:sz="6" w:space="0" w:color="auto"/>
            </w:tcBorders>
            <w:shd w:val="clear" w:color="000000" w:fill="FFFFFF"/>
            <w:vAlign w:val="bottom"/>
          </w:tcPr>
          <w:p w14:paraId="39558A84"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1,990.2</w:t>
            </w:r>
          </w:p>
        </w:tc>
      </w:tr>
      <w:tr w:rsidR="006F605B" w:rsidRPr="00DC66CD" w14:paraId="4DA67324" w14:textId="77777777" w:rsidTr="00E372C0">
        <w:trPr>
          <w:trHeight w:val="376"/>
        </w:trPr>
        <w:tc>
          <w:tcPr>
            <w:tcW w:w="0" w:type="auto"/>
            <w:tcBorders>
              <w:top w:val="nil"/>
              <w:left w:val="double" w:sz="6" w:space="0" w:color="auto"/>
              <w:bottom w:val="nil"/>
              <w:right w:val="dotted" w:sz="4" w:space="0" w:color="auto"/>
            </w:tcBorders>
            <w:shd w:val="clear" w:color="000000" w:fill="FFFFFF"/>
            <w:vAlign w:val="bottom"/>
            <w:hideMark/>
          </w:tcPr>
          <w:p w14:paraId="6B2000A5"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Investment ratio (% of GDP)</w:t>
            </w:r>
          </w:p>
        </w:tc>
        <w:tc>
          <w:tcPr>
            <w:tcW w:w="0" w:type="auto"/>
            <w:tcBorders>
              <w:top w:val="dotted" w:sz="4" w:space="0" w:color="auto"/>
              <w:left w:val="nil"/>
              <w:bottom w:val="nil"/>
              <w:right w:val="single" w:sz="4" w:space="0" w:color="auto"/>
            </w:tcBorders>
            <w:shd w:val="clear" w:color="000000" w:fill="FFFFFF"/>
            <w:vAlign w:val="bottom"/>
            <w:hideMark/>
          </w:tcPr>
          <w:p w14:paraId="45C5AFA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double" w:sz="6" w:space="0" w:color="auto"/>
              <w:bottom w:val="nil"/>
              <w:right w:val="dotted" w:sz="4" w:space="0" w:color="auto"/>
            </w:tcBorders>
            <w:shd w:val="clear" w:color="000000" w:fill="FFFFFF"/>
            <w:vAlign w:val="bottom"/>
          </w:tcPr>
          <w:p w14:paraId="4BF0814B"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24.1</w:t>
            </w:r>
          </w:p>
        </w:tc>
        <w:tc>
          <w:tcPr>
            <w:tcW w:w="0" w:type="auto"/>
            <w:tcBorders>
              <w:top w:val="nil"/>
              <w:left w:val="nil"/>
              <w:bottom w:val="nil"/>
              <w:right w:val="dotted" w:sz="4" w:space="0" w:color="auto"/>
            </w:tcBorders>
            <w:shd w:val="clear" w:color="000000" w:fill="FFFFFF"/>
            <w:vAlign w:val="bottom"/>
          </w:tcPr>
          <w:p w14:paraId="649CFC1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23.4</w:t>
            </w:r>
          </w:p>
        </w:tc>
        <w:tc>
          <w:tcPr>
            <w:tcW w:w="0" w:type="auto"/>
            <w:tcBorders>
              <w:top w:val="nil"/>
              <w:left w:val="nil"/>
              <w:bottom w:val="nil"/>
              <w:right w:val="dotted" w:sz="4" w:space="0" w:color="auto"/>
            </w:tcBorders>
            <w:shd w:val="clear" w:color="000000" w:fill="FFFFFF"/>
            <w:vAlign w:val="bottom"/>
          </w:tcPr>
          <w:p w14:paraId="758053D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24.1</w:t>
            </w:r>
          </w:p>
        </w:tc>
        <w:tc>
          <w:tcPr>
            <w:tcW w:w="0" w:type="auto"/>
            <w:tcBorders>
              <w:top w:val="nil"/>
              <w:left w:val="nil"/>
              <w:bottom w:val="nil"/>
              <w:right w:val="dotted" w:sz="4" w:space="0" w:color="auto"/>
            </w:tcBorders>
            <w:shd w:val="clear" w:color="000000" w:fill="FFFFFF"/>
            <w:vAlign w:val="bottom"/>
          </w:tcPr>
          <w:p w14:paraId="571CB27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23.2</w:t>
            </w:r>
          </w:p>
        </w:tc>
        <w:tc>
          <w:tcPr>
            <w:tcW w:w="0" w:type="auto"/>
            <w:tcBorders>
              <w:top w:val="nil"/>
              <w:left w:val="nil"/>
              <w:bottom w:val="nil"/>
              <w:right w:val="double" w:sz="6" w:space="0" w:color="auto"/>
            </w:tcBorders>
            <w:shd w:val="clear" w:color="000000" w:fill="FFFFFF"/>
            <w:vAlign w:val="bottom"/>
          </w:tcPr>
          <w:p w14:paraId="02F6B5B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23.0</w:t>
            </w:r>
          </w:p>
        </w:tc>
      </w:tr>
      <w:tr w:rsidR="006F605B" w:rsidRPr="00DC66CD" w14:paraId="4E9325EC" w14:textId="77777777" w:rsidTr="00E372C0">
        <w:trPr>
          <w:trHeight w:val="376"/>
        </w:trPr>
        <w:tc>
          <w:tcPr>
            <w:tcW w:w="0" w:type="auto"/>
            <w:gridSpan w:val="7"/>
            <w:tcBorders>
              <w:top w:val="single" w:sz="4" w:space="0" w:color="auto"/>
              <w:left w:val="double" w:sz="6" w:space="0" w:color="auto"/>
              <w:bottom w:val="single" w:sz="4" w:space="0" w:color="auto"/>
              <w:right w:val="double" w:sz="6" w:space="0" w:color="000000"/>
            </w:tcBorders>
            <w:shd w:val="clear" w:color="000000" w:fill="FFFFFF"/>
            <w:vAlign w:val="bottom"/>
            <w:hideMark/>
          </w:tcPr>
          <w:p w14:paraId="059C0C5E" w14:textId="77777777" w:rsidR="006F605B" w:rsidRPr="00DC66CD" w:rsidRDefault="006F605B" w:rsidP="00131DA1">
            <w:pPr>
              <w:spacing w:after="0" w:line="240" w:lineRule="auto"/>
              <w:jc w:val="both"/>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Growth of Gross Value Added, percentage changes at constant prices</w:t>
            </w:r>
          </w:p>
        </w:tc>
      </w:tr>
      <w:tr w:rsidR="006F605B" w:rsidRPr="00DC66CD" w14:paraId="1ED407E4" w14:textId="77777777" w:rsidTr="00E372C0">
        <w:trPr>
          <w:trHeight w:val="376"/>
        </w:trPr>
        <w:tc>
          <w:tcPr>
            <w:tcW w:w="0" w:type="auto"/>
            <w:tcBorders>
              <w:top w:val="nil"/>
              <w:left w:val="double" w:sz="6" w:space="0" w:color="auto"/>
              <w:bottom w:val="dotted" w:sz="4" w:space="0" w:color="auto"/>
              <w:right w:val="dotted" w:sz="4" w:space="0" w:color="auto"/>
            </w:tcBorders>
            <w:shd w:val="clear" w:color="000000" w:fill="FFFFFF"/>
            <w:vAlign w:val="bottom"/>
            <w:hideMark/>
          </w:tcPr>
          <w:p w14:paraId="7E22BC4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1. Agriculture </w:t>
            </w:r>
          </w:p>
        </w:tc>
        <w:tc>
          <w:tcPr>
            <w:tcW w:w="0" w:type="auto"/>
            <w:tcBorders>
              <w:top w:val="nil"/>
              <w:left w:val="nil"/>
              <w:bottom w:val="dotted" w:sz="4" w:space="0" w:color="auto"/>
              <w:right w:val="single" w:sz="4" w:space="0" w:color="auto"/>
            </w:tcBorders>
            <w:shd w:val="clear" w:color="000000" w:fill="FFFFFF"/>
            <w:vAlign w:val="bottom"/>
            <w:hideMark/>
          </w:tcPr>
          <w:p w14:paraId="159DDF10"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double" w:sz="6" w:space="0" w:color="auto"/>
              <w:bottom w:val="dotted" w:sz="4" w:space="0" w:color="auto"/>
              <w:right w:val="dotted" w:sz="4" w:space="0" w:color="auto"/>
            </w:tcBorders>
            <w:shd w:val="clear" w:color="000000" w:fill="FFFFFF"/>
            <w:vAlign w:val="bottom"/>
          </w:tcPr>
          <w:p w14:paraId="6483389C"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0.9</w:t>
            </w:r>
          </w:p>
        </w:tc>
        <w:tc>
          <w:tcPr>
            <w:tcW w:w="0" w:type="auto"/>
            <w:tcBorders>
              <w:top w:val="nil"/>
              <w:left w:val="nil"/>
              <w:bottom w:val="dotted" w:sz="4" w:space="0" w:color="auto"/>
              <w:right w:val="dotted" w:sz="4" w:space="0" w:color="auto"/>
            </w:tcBorders>
            <w:shd w:val="clear" w:color="000000" w:fill="FFFFFF"/>
            <w:vAlign w:val="bottom"/>
          </w:tcPr>
          <w:p w14:paraId="191FA3A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w:t>
            </w:r>
          </w:p>
        </w:tc>
        <w:tc>
          <w:tcPr>
            <w:tcW w:w="0" w:type="auto"/>
            <w:tcBorders>
              <w:top w:val="nil"/>
              <w:left w:val="nil"/>
              <w:bottom w:val="dotted" w:sz="4" w:space="0" w:color="auto"/>
              <w:right w:val="dotted" w:sz="4" w:space="0" w:color="auto"/>
            </w:tcBorders>
            <w:shd w:val="clear" w:color="000000" w:fill="FFFFFF"/>
            <w:vAlign w:val="bottom"/>
          </w:tcPr>
          <w:p w14:paraId="6DD6BFA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w:t>
            </w:r>
          </w:p>
        </w:tc>
        <w:tc>
          <w:tcPr>
            <w:tcW w:w="0" w:type="auto"/>
            <w:tcBorders>
              <w:top w:val="nil"/>
              <w:left w:val="nil"/>
              <w:bottom w:val="dotted" w:sz="4" w:space="0" w:color="auto"/>
              <w:right w:val="dotted" w:sz="4" w:space="0" w:color="auto"/>
            </w:tcBorders>
            <w:shd w:val="clear" w:color="000000" w:fill="FFFFFF"/>
            <w:vAlign w:val="bottom"/>
          </w:tcPr>
          <w:p w14:paraId="628305B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w:t>
            </w:r>
          </w:p>
        </w:tc>
        <w:tc>
          <w:tcPr>
            <w:tcW w:w="0" w:type="auto"/>
            <w:tcBorders>
              <w:top w:val="nil"/>
              <w:left w:val="nil"/>
              <w:bottom w:val="dotted" w:sz="4" w:space="0" w:color="auto"/>
              <w:right w:val="double" w:sz="6" w:space="0" w:color="auto"/>
            </w:tcBorders>
            <w:shd w:val="clear" w:color="000000" w:fill="FFFFFF"/>
            <w:vAlign w:val="bottom"/>
          </w:tcPr>
          <w:p w14:paraId="577E2EB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1.4</w:t>
            </w:r>
          </w:p>
        </w:tc>
      </w:tr>
      <w:tr w:rsidR="006F605B" w:rsidRPr="00DC66CD" w14:paraId="53FC241D" w14:textId="77777777" w:rsidTr="00E372C0">
        <w:trPr>
          <w:trHeight w:val="376"/>
        </w:trPr>
        <w:tc>
          <w:tcPr>
            <w:tcW w:w="0" w:type="auto"/>
            <w:tcBorders>
              <w:top w:val="nil"/>
              <w:left w:val="double" w:sz="6" w:space="0" w:color="auto"/>
              <w:bottom w:val="dotted" w:sz="4" w:space="0" w:color="auto"/>
              <w:right w:val="dotted" w:sz="4" w:space="0" w:color="auto"/>
            </w:tcBorders>
            <w:shd w:val="clear" w:color="000000" w:fill="FFFFFF"/>
            <w:vAlign w:val="bottom"/>
            <w:hideMark/>
          </w:tcPr>
          <w:p w14:paraId="473F79A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 Industry (excluding construction)</w:t>
            </w:r>
          </w:p>
        </w:tc>
        <w:tc>
          <w:tcPr>
            <w:tcW w:w="0" w:type="auto"/>
            <w:tcBorders>
              <w:top w:val="dotted" w:sz="4" w:space="0" w:color="auto"/>
              <w:left w:val="nil"/>
              <w:bottom w:val="dotted" w:sz="4" w:space="0" w:color="auto"/>
              <w:right w:val="single" w:sz="4" w:space="0" w:color="auto"/>
            </w:tcBorders>
            <w:shd w:val="clear" w:color="000000" w:fill="FFFFFF"/>
            <w:vAlign w:val="bottom"/>
            <w:hideMark/>
          </w:tcPr>
          <w:p w14:paraId="692A4AD0"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double" w:sz="6" w:space="0" w:color="auto"/>
              <w:bottom w:val="dotted" w:sz="4" w:space="0" w:color="auto"/>
              <w:right w:val="dotted" w:sz="4" w:space="0" w:color="auto"/>
            </w:tcBorders>
            <w:shd w:val="clear" w:color="000000" w:fill="FFFFFF"/>
            <w:vAlign w:val="bottom"/>
          </w:tcPr>
          <w:p w14:paraId="1684FD4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14.1</w:t>
            </w:r>
          </w:p>
        </w:tc>
        <w:tc>
          <w:tcPr>
            <w:tcW w:w="0" w:type="auto"/>
            <w:tcBorders>
              <w:top w:val="nil"/>
              <w:left w:val="nil"/>
              <w:bottom w:val="dotted" w:sz="4" w:space="0" w:color="auto"/>
              <w:right w:val="dotted" w:sz="4" w:space="0" w:color="auto"/>
            </w:tcBorders>
            <w:shd w:val="clear" w:color="000000" w:fill="FFFFFF"/>
            <w:vAlign w:val="bottom"/>
          </w:tcPr>
          <w:p w14:paraId="06F5865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c>
          <w:tcPr>
            <w:tcW w:w="0" w:type="auto"/>
            <w:tcBorders>
              <w:top w:val="nil"/>
              <w:left w:val="nil"/>
              <w:bottom w:val="dotted" w:sz="4" w:space="0" w:color="auto"/>
              <w:right w:val="dotted" w:sz="4" w:space="0" w:color="auto"/>
            </w:tcBorders>
            <w:shd w:val="clear" w:color="000000" w:fill="FFFFFF"/>
            <w:vAlign w:val="bottom"/>
          </w:tcPr>
          <w:p w14:paraId="142F0FD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5.4</w:t>
            </w:r>
          </w:p>
        </w:tc>
        <w:tc>
          <w:tcPr>
            <w:tcW w:w="0" w:type="auto"/>
            <w:tcBorders>
              <w:top w:val="nil"/>
              <w:left w:val="nil"/>
              <w:bottom w:val="dotted" w:sz="4" w:space="0" w:color="auto"/>
              <w:right w:val="dotted" w:sz="4" w:space="0" w:color="auto"/>
            </w:tcBorders>
            <w:shd w:val="clear" w:color="000000" w:fill="FFFFFF"/>
            <w:vAlign w:val="bottom"/>
          </w:tcPr>
          <w:p w14:paraId="6C7EB3D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5.0</w:t>
            </w:r>
          </w:p>
        </w:tc>
        <w:tc>
          <w:tcPr>
            <w:tcW w:w="0" w:type="auto"/>
            <w:tcBorders>
              <w:top w:val="nil"/>
              <w:left w:val="nil"/>
              <w:bottom w:val="dotted" w:sz="4" w:space="0" w:color="auto"/>
              <w:right w:val="double" w:sz="6" w:space="0" w:color="auto"/>
            </w:tcBorders>
            <w:shd w:val="clear" w:color="000000" w:fill="FFFFFF"/>
            <w:vAlign w:val="bottom"/>
          </w:tcPr>
          <w:p w14:paraId="53C5528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5.4</w:t>
            </w:r>
          </w:p>
        </w:tc>
      </w:tr>
      <w:tr w:rsidR="006F605B" w:rsidRPr="00DC66CD" w14:paraId="7EF2C7D7" w14:textId="77777777" w:rsidTr="00E372C0">
        <w:trPr>
          <w:trHeight w:val="376"/>
        </w:trPr>
        <w:tc>
          <w:tcPr>
            <w:tcW w:w="0" w:type="auto"/>
            <w:tcBorders>
              <w:top w:val="nil"/>
              <w:left w:val="double" w:sz="6" w:space="0" w:color="auto"/>
              <w:bottom w:val="dotted" w:sz="4" w:space="0" w:color="auto"/>
              <w:right w:val="dotted" w:sz="4" w:space="0" w:color="auto"/>
            </w:tcBorders>
            <w:shd w:val="clear" w:color="000000" w:fill="FFFFFF"/>
            <w:vAlign w:val="bottom"/>
            <w:hideMark/>
          </w:tcPr>
          <w:p w14:paraId="0B025E4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3. Construction</w:t>
            </w:r>
          </w:p>
        </w:tc>
        <w:tc>
          <w:tcPr>
            <w:tcW w:w="0" w:type="auto"/>
            <w:tcBorders>
              <w:top w:val="dotted" w:sz="4" w:space="0" w:color="auto"/>
              <w:left w:val="nil"/>
              <w:bottom w:val="dotted" w:sz="4" w:space="0" w:color="auto"/>
              <w:right w:val="single" w:sz="4" w:space="0" w:color="auto"/>
            </w:tcBorders>
            <w:shd w:val="clear" w:color="000000" w:fill="FFFFFF"/>
            <w:vAlign w:val="bottom"/>
            <w:hideMark/>
          </w:tcPr>
          <w:p w14:paraId="74E7994A"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double" w:sz="6" w:space="0" w:color="auto"/>
              <w:bottom w:val="dotted" w:sz="4" w:space="0" w:color="auto"/>
              <w:right w:val="dotted" w:sz="4" w:space="0" w:color="auto"/>
            </w:tcBorders>
            <w:shd w:val="clear" w:color="000000" w:fill="FFFFFF"/>
            <w:vAlign w:val="bottom"/>
          </w:tcPr>
          <w:p w14:paraId="73F0A15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2.8</w:t>
            </w:r>
          </w:p>
        </w:tc>
        <w:tc>
          <w:tcPr>
            <w:tcW w:w="0" w:type="auto"/>
            <w:tcBorders>
              <w:top w:val="nil"/>
              <w:left w:val="nil"/>
              <w:bottom w:val="dotted" w:sz="4" w:space="0" w:color="auto"/>
              <w:right w:val="dotted" w:sz="4" w:space="0" w:color="auto"/>
            </w:tcBorders>
            <w:shd w:val="clear" w:color="000000" w:fill="FFFFFF"/>
            <w:vAlign w:val="bottom"/>
          </w:tcPr>
          <w:p w14:paraId="716B8C2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0.3</w:t>
            </w:r>
          </w:p>
        </w:tc>
        <w:tc>
          <w:tcPr>
            <w:tcW w:w="0" w:type="auto"/>
            <w:tcBorders>
              <w:top w:val="nil"/>
              <w:left w:val="nil"/>
              <w:bottom w:val="dotted" w:sz="4" w:space="0" w:color="auto"/>
              <w:right w:val="dotted" w:sz="4" w:space="0" w:color="auto"/>
            </w:tcBorders>
            <w:shd w:val="clear" w:color="000000" w:fill="FFFFFF"/>
            <w:vAlign w:val="bottom"/>
          </w:tcPr>
          <w:p w14:paraId="45ECC1D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8.9</w:t>
            </w:r>
          </w:p>
        </w:tc>
        <w:tc>
          <w:tcPr>
            <w:tcW w:w="0" w:type="auto"/>
            <w:tcBorders>
              <w:top w:val="nil"/>
              <w:left w:val="nil"/>
              <w:bottom w:val="dotted" w:sz="4" w:space="0" w:color="auto"/>
              <w:right w:val="dotted" w:sz="4" w:space="0" w:color="auto"/>
            </w:tcBorders>
            <w:shd w:val="clear" w:color="000000" w:fill="FFFFFF"/>
            <w:vAlign w:val="bottom"/>
          </w:tcPr>
          <w:p w14:paraId="26D5DAF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3.6</w:t>
            </w:r>
          </w:p>
        </w:tc>
        <w:tc>
          <w:tcPr>
            <w:tcW w:w="0" w:type="auto"/>
            <w:tcBorders>
              <w:top w:val="nil"/>
              <w:left w:val="nil"/>
              <w:bottom w:val="dotted" w:sz="4" w:space="0" w:color="auto"/>
              <w:right w:val="double" w:sz="6" w:space="0" w:color="auto"/>
            </w:tcBorders>
            <w:shd w:val="clear" w:color="000000" w:fill="FFFFFF"/>
            <w:vAlign w:val="bottom"/>
          </w:tcPr>
          <w:p w14:paraId="753EA2A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3.2</w:t>
            </w:r>
          </w:p>
        </w:tc>
      </w:tr>
      <w:tr w:rsidR="006F605B" w:rsidRPr="00DC66CD" w14:paraId="614A4579" w14:textId="77777777" w:rsidTr="00E372C0">
        <w:trPr>
          <w:trHeight w:val="376"/>
        </w:trPr>
        <w:tc>
          <w:tcPr>
            <w:tcW w:w="0" w:type="auto"/>
            <w:tcBorders>
              <w:top w:val="nil"/>
              <w:left w:val="double" w:sz="6" w:space="0" w:color="auto"/>
              <w:bottom w:val="double" w:sz="6" w:space="0" w:color="auto"/>
              <w:right w:val="dotted" w:sz="4" w:space="0" w:color="auto"/>
            </w:tcBorders>
            <w:shd w:val="clear" w:color="000000" w:fill="FFFFFF"/>
            <w:vAlign w:val="bottom"/>
            <w:hideMark/>
          </w:tcPr>
          <w:p w14:paraId="42E987F4"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4. Services</w:t>
            </w:r>
          </w:p>
        </w:tc>
        <w:tc>
          <w:tcPr>
            <w:tcW w:w="0" w:type="auto"/>
            <w:tcBorders>
              <w:top w:val="dotted" w:sz="4" w:space="0" w:color="auto"/>
              <w:left w:val="nil"/>
              <w:bottom w:val="double" w:sz="6" w:space="0" w:color="auto"/>
              <w:right w:val="single" w:sz="4" w:space="0" w:color="auto"/>
            </w:tcBorders>
            <w:shd w:val="clear" w:color="000000" w:fill="FFFFFF"/>
            <w:vAlign w:val="bottom"/>
            <w:hideMark/>
          </w:tcPr>
          <w:p w14:paraId="1411776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double" w:sz="6" w:space="0" w:color="auto"/>
              <w:bottom w:val="double" w:sz="6" w:space="0" w:color="auto"/>
              <w:right w:val="dotted" w:sz="4" w:space="0" w:color="auto"/>
            </w:tcBorders>
            <w:shd w:val="clear" w:color="000000" w:fill="FFFFFF"/>
            <w:vAlign w:val="bottom"/>
          </w:tcPr>
          <w:p w14:paraId="7D1F7DF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3.6</w:t>
            </w:r>
          </w:p>
        </w:tc>
        <w:tc>
          <w:tcPr>
            <w:tcW w:w="0" w:type="auto"/>
            <w:tcBorders>
              <w:top w:val="nil"/>
              <w:left w:val="nil"/>
              <w:bottom w:val="double" w:sz="6" w:space="0" w:color="auto"/>
              <w:right w:val="dotted" w:sz="4" w:space="0" w:color="auto"/>
            </w:tcBorders>
            <w:shd w:val="clear" w:color="000000" w:fill="FFFFFF"/>
            <w:vAlign w:val="bottom"/>
          </w:tcPr>
          <w:p w14:paraId="3C315A9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4.7</w:t>
            </w:r>
          </w:p>
        </w:tc>
        <w:tc>
          <w:tcPr>
            <w:tcW w:w="0" w:type="auto"/>
            <w:tcBorders>
              <w:top w:val="nil"/>
              <w:left w:val="nil"/>
              <w:bottom w:val="double" w:sz="6" w:space="0" w:color="auto"/>
              <w:right w:val="dotted" w:sz="4" w:space="0" w:color="auto"/>
            </w:tcBorders>
            <w:shd w:val="clear" w:color="000000" w:fill="FFFFFF"/>
            <w:vAlign w:val="bottom"/>
          </w:tcPr>
          <w:p w14:paraId="4C6DC45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4.0</w:t>
            </w:r>
          </w:p>
        </w:tc>
        <w:tc>
          <w:tcPr>
            <w:tcW w:w="0" w:type="auto"/>
            <w:tcBorders>
              <w:top w:val="nil"/>
              <w:left w:val="nil"/>
              <w:bottom w:val="double" w:sz="6" w:space="0" w:color="auto"/>
              <w:right w:val="dotted" w:sz="4" w:space="0" w:color="auto"/>
            </w:tcBorders>
            <w:shd w:val="clear" w:color="000000" w:fill="FFFFFF"/>
            <w:vAlign w:val="bottom"/>
          </w:tcPr>
          <w:p w14:paraId="2A12749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4.8</w:t>
            </w:r>
          </w:p>
        </w:tc>
        <w:tc>
          <w:tcPr>
            <w:tcW w:w="0" w:type="auto"/>
            <w:tcBorders>
              <w:top w:val="nil"/>
              <w:left w:val="nil"/>
              <w:bottom w:val="double" w:sz="6" w:space="0" w:color="auto"/>
              <w:right w:val="double" w:sz="6" w:space="0" w:color="auto"/>
            </w:tcBorders>
            <w:shd w:val="clear" w:color="000000" w:fill="FFFFFF"/>
            <w:vAlign w:val="bottom"/>
          </w:tcPr>
          <w:p w14:paraId="210F415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4.7</w:t>
            </w:r>
          </w:p>
        </w:tc>
      </w:tr>
    </w:tbl>
    <w:p w14:paraId="79582CDD" w14:textId="77777777" w:rsidR="006F605B" w:rsidRPr="00DC66CD" w:rsidRDefault="006F605B" w:rsidP="006F605B">
      <w:pPr>
        <w:spacing w:after="0" w:line="240" w:lineRule="auto"/>
        <w:ind w:firstLine="284"/>
        <w:rPr>
          <w:rFonts w:ascii="Garamond" w:hAnsi="Garamond"/>
          <w:b/>
          <w:color w:val="0D0D0D" w:themeColor="text1" w:themeTint="F2"/>
          <w:sz w:val="24"/>
          <w:szCs w:val="24"/>
        </w:rPr>
      </w:pPr>
    </w:p>
    <w:p w14:paraId="46BE086E"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75" w:name="_Toc536784311"/>
      <w:bookmarkStart w:id="76" w:name="_Toc30661246"/>
      <w:r w:rsidRPr="00DC66CD">
        <w:rPr>
          <w:rFonts w:ascii="Garamond" w:hAnsi="Garamond"/>
          <w:color w:val="auto"/>
          <w:sz w:val="24"/>
          <w:szCs w:val="24"/>
        </w:rPr>
        <w:t xml:space="preserve">Tabela 1f: </w:t>
      </w:r>
      <w:bookmarkEnd w:id="75"/>
      <w:r w:rsidRPr="00DC66CD">
        <w:rPr>
          <w:rFonts w:ascii="Garamond" w:hAnsi="Garamond"/>
          <w:color w:val="auto"/>
          <w:sz w:val="24"/>
          <w:szCs w:val="24"/>
        </w:rPr>
        <w:t>Zhvillime të sektorit të jashtëm</w:t>
      </w:r>
      <w:bookmarkEnd w:id="76"/>
    </w:p>
    <w:tbl>
      <w:tblPr>
        <w:tblW w:w="9571" w:type="dxa"/>
        <w:tblInd w:w="85" w:type="dxa"/>
        <w:tblLook w:val="04A0" w:firstRow="1" w:lastRow="0" w:firstColumn="1" w:lastColumn="0" w:noHBand="0" w:noVBand="1"/>
      </w:tblPr>
      <w:tblGrid>
        <w:gridCol w:w="5603"/>
        <w:gridCol w:w="793"/>
        <w:gridCol w:w="794"/>
        <w:gridCol w:w="793"/>
        <w:gridCol w:w="794"/>
        <w:gridCol w:w="794"/>
      </w:tblGrid>
      <w:tr w:rsidR="006F605B" w:rsidRPr="00DC66CD" w14:paraId="619F825F" w14:textId="77777777" w:rsidTr="004F4E33">
        <w:trPr>
          <w:trHeight w:val="330"/>
        </w:trPr>
        <w:tc>
          <w:tcPr>
            <w:tcW w:w="0" w:type="auto"/>
            <w:tcBorders>
              <w:top w:val="double" w:sz="6" w:space="0" w:color="auto"/>
              <w:left w:val="double" w:sz="6" w:space="0" w:color="auto"/>
              <w:bottom w:val="nil"/>
              <w:right w:val="single" w:sz="8" w:space="0" w:color="auto"/>
            </w:tcBorders>
            <w:shd w:val="clear" w:color="000000" w:fill="FFFFFF"/>
            <w:vAlign w:val="center"/>
            <w:hideMark/>
          </w:tcPr>
          <w:bookmarkEnd w:id="74"/>
          <w:p w14:paraId="03563E67"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Bn mill. unless otherwise indicated</w:t>
            </w:r>
          </w:p>
        </w:tc>
        <w:tc>
          <w:tcPr>
            <w:tcW w:w="793" w:type="dxa"/>
            <w:tcBorders>
              <w:top w:val="double" w:sz="6" w:space="0" w:color="auto"/>
              <w:left w:val="nil"/>
              <w:bottom w:val="nil"/>
              <w:right w:val="dotted" w:sz="4" w:space="0" w:color="auto"/>
            </w:tcBorders>
            <w:shd w:val="clear" w:color="000000" w:fill="FFFFFF"/>
            <w:vAlign w:val="center"/>
            <w:hideMark/>
          </w:tcPr>
          <w:p w14:paraId="1EA4B21D"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794" w:type="dxa"/>
            <w:tcBorders>
              <w:top w:val="double" w:sz="6" w:space="0" w:color="auto"/>
              <w:left w:val="nil"/>
              <w:bottom w:val="nil"/>
              <w:right w:val="dotted" w:sz="4" w:space="0" w:color="auto"/>
            </w:tcBorders>
            <w:shd w:val="clear" w:color="000000" w:fill="FFFFFF"/>
            <w:vAlign w:val="center"/>
            <w:hideMark/>
          </w:tcPr>
          <w:p w14:paraId="2F51BAF5"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793" w:type="dxa"/>
            <w:tcBorders>
              <w:top w:val="double" w:sz="6" w:space="0" w:color="auto"/>
              <w:left w:val="nil"/>
              <w:bottom w:val="nil"/>
              <w:right w:val="dotted" w:sz="4" w:space="0" w:color="auto"/>
            </w:tcBorders>
            <w:shd w:val="clear" w:color="000000" w:fill="FFFFFF"/>
            <w:vAlign w:val="center"/>
            <w:hideMark/>
          </w:tcPr>
          <w:p w14:paraId="6D7E1A39"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794" w:type="dxa"/>
            <w:tcBorders>
              <w:top w:val="double" w:sz="6" w:space="0" w:color="auto"/>
              <w:left w:val="nil"/>
              <w:bottom w:val="nil"/>
              <w:right w:val="dotted" w:sz="4" w:space="0" w:color="auto"/>
            </w:tcBorders>
            <w:shd w:val="clear" w:color="000000" w:fill="FFFFFF"/>
            <w:vAlign w:val="center"/>
            <w:hideMark/>
          </w:tcPr>
          <w:p w14:paraId="19C0F904"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794" w:type="dxa"/>
            <w:tcBorders>
              <w:top w:val="double" w:sz="6" w:space="0" w:color="auto"/>
              <w:left w:val="nil"/>
              <w:bottom w:val="nil"/>
              <w:right w:val="double" w:sz="6" w:space="0" w:color="auto"/>
            </w:tcBorders>
            <w:shd w:val="clear" w:color="000000" w:fill="FFFFFF"/>
            <w:vAlign w:val="center"/>
            <w:hideMark/>
          </w:tcPr>
          <w:p w14:paraId="1B1DCF1E"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14FE8786" w14:textId="77777777" w:rsidTr="004F4E33">
        <w:trPr>
          <w:trHeight w:val="270"/>
        </w:trPr>
        <w:tc>
          <w:tcPr>
            <w:tcW w:w="0" w:type="auto"/>
            <w:tcBorders>
              <w:top w:val="nil"/>
              <w:left w:val="double" w:sz="6" w:space="0" w:color="auto"/>
              <w:bottom w:val="double" w:sz="6" w:space="0" w:color="auto"/>
              <w:right w:val="single" w:sz="8" w:space="0" w:color="auto"/>
            </w:tcBorders>
            <w:shd w:val="clear" w:color="000000" w:fill="FFFFFF"/>
            <w:vAlign w:val="center"/>
            <w:hideMark/>
          </w:tcPr>
          <w:p w14:paraId="3F595380" w14:textId="29A5F0BA"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793" w:type="dxa"/>
            <w:tcBorders>
              <w:top w:val="nil"/>
              <w:left w:val="nil"/>
              <w:bottom w:val="double" w:sz="6" w:space="0" w:color="auto"/>
              <w:right w:val="dotted" w:sz="4" w:space="0" w:color="auto"/>
            </w:tcBorders>
            <w:shd w:val="clear" w:color="000000" w:fill="FFFFFF"/>
            <w:vAlign w:val="center"/>
            <w:hideMark/>
          </w:tcPr>
          <w:p w14:paraId="60E518EF"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794" w:type="dxa"/>
            <w:tcBorders>
              <w:top w:val="nil"/>
              <w:left w:val="nil"/>
              <w:bottom w:val="double" w:sz="6" w:space="0" w:color="auto"/>
              <w:right w:val="dotted" w:sz="4" w:space="0" w:color="auto"/>
            </w:tcBorders>
            <w:shd w:val="clear" w:color="000000" w:fill="FFFFFF"/>
            <w:vAlign w:val="center"/>
            <w:hideMark/>
          </w:tcPr>
          <w:p w14:paraId="4FFA74F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793" w:type="dxa"/>
            <w:tcBorders>
              <w:top w:val="nil"/>
              <w:left w:val="nil"/>
              <w:bottom w:val="double" w:sz="6" w:space="0" w:color="auto"/>
              <w:right w:val="dotted" w:sz="4" w:space="0" w:color="auto"/>
            </w:tcBorders>
            <w:shd w:val="clear" w:color="000000" w:fill="FFFFFF"/>
            <w:vAlign w:val="center"/>
            <w:hideMark/>
          </w:tcPr>
          <w:p w14:paraId="566545E0"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794" w:type="dxa"/>
            <w:tcBorders>
              <w:top w:val="nil"/>
              <w:left w:val="nil"/>
              <w:bottom w:val="double" w:sz="6" w:space="0" w:color="auto"/>
              <w:right w:val="dotted" w:sz="4" w:space="0" w:color="auto"/>
            </w:tcBorders>
            <w:shd w:val="clear" w:color="000000" w:fill="FFFFFF"/>
            <w:vAlign w:val="center"/>
            <w:hideMark/>
          </w:tcPr>
          <w:p w14:paraId="063673AD"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794" w:type="dxa"/>
            <w:tcBorders>
              <w:top w:val="nil"/>
              <w:left w:val="nil"/>
              <w:bottom w:val="double" w:sz="6" w:space="0" w:color="auto"/>
              <w:right w:val="double" w:sz="6" w:space="0" w:color="auto"/>
            </w:tcBorders>
            <w:shd w:val="clear" w:color="000000" w:fill="FFFFFF"/>
            <w:vAlign w:val="center"/>
            <w:hideMark/>
          </w:tcPr>
          <w:p w14:paraId="72006A65"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5596A5B1"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03A1E9A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 Current account balance</w:t>
            </w:r>
            <w:r w:rsidRPr="00DC66CD">
              <w:rPr>
                <w:rFonts w:ascii="Garamond" w:hAnsi="Garamond"/>
                <w:b/>
                <w:bCs/>
                <w:color w:val="0D0D0D" w:themeColor="text1" w:themeTint="F2"/>
                <w:sz w:val="20"/>
                <w:szCs w:val="20"/>
              </w:rPr>
              <w:t xml:space="preserve"> </w:t>
            </w:r>
            <w:r w:rsidRPr="00DC66CD">
              <w:rPr>
                <w:rFonts w:ascii="Garamond" w:hAnsi="Garamond"/>
                <w:color w:val="0D0D0D" w:themeColor="text1" w:themeTint="F2"/>
                <w:sz w:val="20"/>
                <w:szCs w:val="20"/>
              </w:rPr>
              <w:t>(% of GDP)</w:t>
            </w:r>
          </w:p>
        </w:tc>
        <w:tc>
          <w:tcPr>
            <w:tcW w:w="793" w:type="dxa"/>
            <w:tcBorders>
              <w:top w:val="nil"/>
              <w:left w:val="nil"/>
              <w:bottom w:val="dotted" w:sz="4" w:space="0" w:color="auto"/>
              <w:right w:val="dotted" w:sz="4" w:space="0" w:color="auto"/>
            </w:tcBorders>
            <w:shd w:val="clear" w:color="000000" w:fill="FFFFFF"/>
          </w:tcPr>
          <w:p w14:paraId="758CD067"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-6.8</w:t>
            </w:r>
          </w:p>
        </w:tc>
        <w:tc>
          <w:tcPr>
            <w:tcW w:w="794" w:type="dxa"/>
            <w:tcBorders>
              <w:top w:val="nil"/>
              <w:left w:val="nil"/>
              <w:bottom w:val="dotted" w:sz="4" w:space="0" w:color="auto"/>
              <w:right w:val="dotted" w:sz="4" w:space="0" w:color="auto"/>
            </w:tcBorders>
            <w:shd w:val="clear" w:color="000000" w:fill="FFFFFF"/>
          </w:tcPr>
          <w:p w14:paraId="3623F67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-8.0</w:t>
            </w:r>
          </w:p>
        </w:tc>
        <w:tc>
          <w:tcPr>
            <w:tcW w:w="793" w:type="dxa"/>
            <w:tcBorders>
              <w:top w:val="nil"/>
              <w:left w:val="nil"/>
              <w:bottom w:val="dotted" w:sz="4" w:space="0" w:color="auto"/>
              <w:right w:val="dotted" w:sz="4" w:space="0" w:color="auto"/>
            </w:tcBorders>
            <w:shd w:val="clear" w:color="000000" w:fill="FFFFFF"/>
          </w:tcPr>
          <w:p w14:paraId="1CB3984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-7.2</w:t>
            </w:r>
          </w:p>
        </w:tc>
        <w:tc>
          <w:tcPr>
            <w:tcW w:w="794" w:type="dxa"/>
            <w:tcBorders>
              <w:top w:val="nil"/>
              <w:left w:val="nil"/>
              <w:bottom w:val="dotted" w:sz="4" w:space="0" w:color="auto"/>
              <w:right w:val="dotted" w:sz="4" w:space="0" w:color="auto"/>
            </w:tcBorders>
            <w:shd w:val="clear" w:color="000000" w:fill="FFFFFF"/>
          </w:tcPr>
          <w:p w14:paraId="30E60CE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-6.7</w:t>
            </w:r>
          </w:p>
        </w:tc>
        <w:tc>
          <w:tcPr>
            <w:tcW w:w="794" w:type="dxa"/>
            <w:tcBorders>
              <w:top w:val="nil"/>
              <w:left w:val="nil"/>
              <w:bottom w:val="dotted" w:sz="4" w:space="0" w:color="auto"/>
              <w:right w:val="double" w:sz="6" w:space="0" w:color="auto"/>
            </w:tcBorders>
            <w:shd w:val="clear" w:color="000000" w:fill="FFFFFF"/>
          </w:tcPr>
          <w:p w14:paraId="048AA2D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-6.3</w:t>
            </w:r>
          </w:p>
        </w:tc>
      </w:tr>
      <w:tr w:rsidR="006F605B" w:rsidRPr="00DC66CD" w14:paraId="3AD7BAA2"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0F5F53F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 Export of goods</w:t>
            </w:r>
          </w:p>
        </w:tc>
        <w:tc>
          <w:tcPr>
            <w:tcW w:w="793" w:type="dxa"/>
            <w:tcBorders>
              <w:top w:val="nil"/>
              <w:left w:val="nil"/>
              <w:bottom w:val="dotted" w:sz="4" w:space="0" w:color="auto"/>
              <w:right w:val="dotted" w:sz="4" w:space="0" w:color="auto"/>
            </w:tcBorders>
            <w:shd w:val="clear" w:color="000000" w:fill="FFFFFF"/>
          </w:tcPr>
          <w:p w14:paraId="5725DED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c>
          <w:tcPr>
            <w:tcW w:w="794" w:type="dxa"/>
            <w:tcBorders>
              <w:top w:val="nil"/>
              <w:left w:val="nil"/>
              <w:bottom w:val="dotted" w:sz="4" w:space="0" w:color="auto"/>
              <w:right w:val="dotted" w:sz="4" w:space="0" w:color="auto"/>
            </w:tcBorders>
            <w:shd w:val="clear" w:color="000000" w:fill="FFFFFF"/>
          </w:tcPr>
          <w:p w14:paraId="62E28DF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0.9</w:t>
            </w:r>
          </w:p>
        </w:tc>
        <w:tc>
          <w:tcPr>
            <w:tcW w:w="793" w:type="dxa"/>
            <w:tcBorders>
              <w:top w:val="nil"/>
              <w:left w:val="nil"/>
              <w:bottom w:val="dotted" w:sz="4" w:space="0" w:color="auto"/>
              <w:right w:val="dotted" w:sz="4" w:space="0" w:color="auto"/>
            </w:tcBorders>
            <w:shd w:val="clear" w:color="000000" w:fill="FFFFFF"/>
          </w:tcPr>
          <w:p w14:paraId="286DD90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c>
          <w:tcPr>
            <w:tcW w:w="794" w:type="dxa"/>
            <w:tcBorders>
              <w:top w:val="nil"/>
              <w:left w:val="nil"/>
              <w:bottom w:val="dotted" w:sz="4" w:space="0" w:color="auto"/>
              <w:right w:val="dotted" w:sz="4" w:space="0" w:color="auto"/>
            </w:tcBorders>
            <w:shd w:val="clear" w:color="000000" w:fill="FFFFFF"/>
          </w:tcPr>
          <w:p w14:paraId="192B011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w:t>
            </w:r>
          </w:p>
        </w:tc>
        <w:tc>
          <w:tcPr>
            <w:tcW w:w="794" w:type="dxa"/>
            <w:tcBorders>
              <w:top w:val="nil"/>
              <w:left w:val="nil"/>
              <w:bottom w:val="dotted" w:sz="4" w:space="0" w:color="auto"/>
              <w:right w:val="double" w:sz="6" w:space="0" w:color="auto"/>
            </w:tcBorders>
            <w:shd w:val="clear" w:color="000000" w:fill="FFFFFF"/>
          </w:tcPr>
          <w:p w14:paraId="21D671C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w:t>
            </w:r>
          </w:p>
        </w:tc>
      </w:tr>
      <w:tr w:rsidR="006F605B" w:rsidRPr="00DC66CD" w14:paraId="7FA9139D"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011F9C71"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3. Import of goods </w:t>
            </w:r>
          </w:p>
        </w:tc>
        <w:tc>
          <w:tcPr>
            <w:tcW w:w="793" w:type="dxa"/>
            <w:tcBorders>
              <w:top w:val="nil"/>
              <w:left w:val="nil"/>
              <w:bottom w:val="dotted" w:sz="4" w:space="0" w:color="auto"/>
              <w:right w:val="dotted" w:sz="4" w:space="0" w:color="auto"/>
            </w:tcBorders>
            <w:shd w:val="clear" w:color="000000" w:fill="FFFFFF"/>
          </w:tcPr>
          <w:p w14:paraId="34C1486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3.9</w:t>
            </w:r>
          </w:p>
        </w:tc>
        <w:tc>
          <w:tcPr>
            <w:tcW w:w="794" w:type="dxa"/>
            <w:tcBorders>
              <w:top w:val="nil"/>
              <w:left w:val="nil"/>
              <w:bottom w:val="dotted" w:sz="4" w:space="0" w:color="auto"/>
              <w:right w:val="dotted" w:sz="4" w:space="0" w:color="auto"/>
            </w:tcBorders>
            <w:shd w:val="clear" w:color="000000" w:fill="FFFFFF"/>
          </w:tcPr>
          <w:p w14:paraId="7602AD5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4.1</w:t>
            </w:r>
          </w:p>
        </w:tc>
        <w:tc>
          <w:tcPr>
            <w:tcW w:w="793" w:type="dxa"/>
            <w:tcBorders>
              <w:top w:val="nil"/>
              <w:left w:val="nil"/>
              <w:bottom w:val="dotted" w:sz="4" w:space="0" w:color="auto"/>
              <w:right w:val="dotted" w:sz="4" w:space="0" w:color="auto"/>
            </w:tcBorders>
            <w:shd w:val="clear" w:color="000000" w:fill="FFFFFF"/>
          </w:tcPr>
          <w:p w14:paraId="5FC0005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4.3</w:t>
            </w:r>
          </w:p>
        </w:tc>
        <w:tc>
          <w:tcPr>
            <w:tcW w:w="794" w:type="dxa"/>
            <w:tcBorders>
              <w:top w:val="nil"/>
              <w:left w:val="nil"/>
              <w:bottom w:val="dotted" w:sz="4" w:space="0" w:color="auto"/>
              <w:right w:val="dotted" w:sz="4" w:space="0" w:color="auto"/>
            </w:tcBorders>
            <w:shd w:val="clear" w:color="000000" w:fill="FFFFFF"/>
          </w:tcPr>
          <w:p w14:paraId="63D9C7D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4.6</w:t>
            </w:r>
          </w:p>
        </w:tc>
        <w:tc>
          <w:tcPr>
            <w:tcW w:w="794" w:type="dxa"/>
            <w:tcBorders>
              <w:top w:val="nil"/>
              <w:left w:val="nil"/>
              <w:bottom w:val="dotted" w:sz="4" w:space="0" w:color="auto"/>
              <w:right w:val="double" w:sz="6" w:space="0" w:color="auto"/>
            </w:tcBorders>
            <w:shd w:val="clear" w:color="000000" w:fill="FFFFFF"/>
          </w:tcPr>
          <w:p w14:paraId="34D58DA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4.8</w:t>
            </w:r>
          </w:p>
        </w:tc>
      </w:tr>
      <w:tr w:rsidR="006F605B" w:rsidRPr="00DC66CD" w14:paraId="7FFE2463"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14627236"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4. Trade balance</w:t>
            </w:r>
          </w:p>
        </w:tc>
        <w:tc>
          <w:tcPr>
            <w:tcW w:w="793" w:type="dxa"/>
            <w:tcBorders>
              <w:top w:val="nil"/>
              <w:left w:val="nil"/>
              <w:bottom w:val="dotted" w:sz="4" w:space="0" w:color="auto"/>
              <w:right w:val="dotted" w:sz="4" w:space="0" w:color="auto"/>
            </w:tcBorders>
            <w:shd w:val="clear" w:color="000000" w:fill="FFFFFF"/>
          </w:tcPr>
          <w:p w14:paraId="1FC444F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w:t>
            </w:r>
          </w:p>
        </w:tc>
        <w:tc>
          <w:tcPr>
            <w:tcW w:w="794" w:type="dxa"/>
            <w:tcBorders>
              <w:top w:val="nil"/>
              <w:left w:val="nil"/>
              <w:bottom w:val="dotted" w:sz="4" w:space="0" w:color="auto"/>
              <w:right w:val="dotted" w:sz="4" w:space="0" w:color="auto"/>
            </w:tcBorders>
            <w:shd w:val="clear" w:color="000000" w:fill="FFFFFF"/>
          </w:tcPr>
          <w:p w14:paraId="47970FF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-3.2</w:t>
            </w:r>
          </w:p>
        </w:tc>
        <w:tc>
          <w:tcPr>
            <w:tcW w:w="793" w:type="dxa"/>
            <w:tcBorders>
              <w:top w:val="nil"/>
              <w:left w:val="nil"/>
              <w:bottom w:val="dotted" w:sz="4" w:space="0" w:color="auto"/>
              <w:right w:val="dotted" w:sz="4" w:space="0" w:color="auto"/>
            </w:tcBorders>
            <w:shd w:val="clear" w:color="000000" w:fill="FFFFFF"/>
          </w:tcPr>
          <w:p w14:paraId="094CA58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-3.4</w:t>
            </w:r>
          </w:p>
        </w:tc>
        <w:tc>
          <w:tcPr>
            <w:tcW w:w="794" w:type="dxa"/>
            <w:tcBorders>
              <w:top w:val="nil"/>
              <w:left w:val="nil"/>
              <w:bottom w:val="dotted" w:sz="4" w:space="0" w:color="auto"/>
              <w:right w:val="dotted" w:sz="4" w:space="0" w:color="auto"/>
            </w:tcBorders>
            <w:shd w:val="clear" w:color="000000" w:fill="FFFFFF"/>
          </w:tcPr>
          <w:p w14:paraId="5C77700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-3.5</w:t>
            </w:r>
          </w:p>
        </w:tc>
        <w:tc>
          <w:tcPr>
            <w:tcW w:w="794" w:type="dxa"/>
            <w:tcBorders>
              <w:top w:val="nil"/>
              <w:left w:val="nil"/>
              <w:bottom w:val="dotted" w:sz="4" w:space="0" w:color="auto"/>
              <w:right w:val="double" w:sz="6" w:space="0" w:color="auto"/>
            </w:tcBorders>
            <w:shd w:val="clear" w:color="000000" w:fill="FFFFFF"/>
          </w:tcPr>
          <w:p w14:paraId="6D12A98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-3.6</w:t>
            </w:r>
          </w:p>
        </w:tc>
      </w:tr>
      <w:tr w:rsidR="006F605B" w:rsidRPr="00DC66CD" w14:paraId="361EF4E6"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53C6D87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5. Export of services</w:t>
            </w:r>
          </w:p>
        </w:tc>
        <w:tc>
          <w:tcPr>
            <w:tcW w:w="793" w:type="dxa"/>
            <w:tcBorders>
              <w:top w:val="nil"/>
              <w:left w:val="nil"/>
              <w:bottom w:val="dotted" w:sz="4" w:space="0" w:color="auto"/>
              <w:right w:val="dotted" w:sz="4" w:space="0" w:color="auto"/>
            </w:tcBorders>
            <w:shd w:val="clear" w:color="000000" w:fill="FFFFFF"/>
          </w:tcPr>
          <w:p w14:paraId="0E6BE3E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3.1</w:t>
            </w:r>
          </w:p>
        </w:tc>
        <w:tc>
          <w:tcPr>
            <w:tcW w:w="794" w:type="dxa"/>
            <w:tcBorders>
              <w:top w:val="nil"/>
              <w:left w:val="nil"/>
              <w:bottom w:val="dotted" w:sz="4" w:space="0" w:color="auto"/>
              <w:right w:val="dotted" w:sz="4" w:space="0" w:color="auto"/>
            </w:tcBorders>
            <w:shd w:val="clear" w:color="000000" w:fill="FFFFFF"/>
          </w:tcPr>
          <w:p w14:paraId="5C12694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3.3</w:t>
            </w:r>
          </w:p>
        </w:tc>
        <w:tc>
          <w:tcPr>
            <w:tcW w:w="793" w:type="dxa"/>
            <w:tcBorders>
              <w:top w:val="nil"/>
              <w:left w:val="nil"/>
              <w:bottom w:val="dotted" w:sz="4" w:space="0" w:color="auto"/>
              <w:right w:val="dotted" w:sz="4" w:space="0" w:color="auto"/>
            </w:tcBorders>
            <w:shd w:val="clear" w:color="000000" w:fill="FFFFFF"/>
          </w:tcPr>
          <w:p w14:paraId="495EE07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3.6</w:t>
            </w:r>
          </w:p>
        </w:tc>
        <w:tc>
          <w:tcPr>
            <w:tcW w:w="794" w:type="dxa"/>
            <w:tcBorders>
              <w:top w:val="nil"/>
              <w:left w:val="nil"/>
              <w:bottom w:val="dotted" w:sz="4" w:space="0" w:color="auto"/>
              <w:right w:val="dotted" w:sz="4" w:space="0" w:color="auto"/>
            </w:tcBorders>
            <w:shd w:val="clear" w:color="000000" w:fill="FFFFFF"/>
          </w:tcPr>
          <w:p w14:paraId="57D68DE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3.9</w:t>
            </w:r>
          </w:p>
        </w:tc>
        <w:tc>
          <w:tcPr>
            <w:tcW w:w="794" w:type="dxa"/>
            <w:tcBorders>
              <w:top w:val="nil"/>
              <w:left w:val="nil"/>
              <w:bottom w:val="dotted" w:sz="4" w:space="0" w:color="auto"/>
              <w:right w:val="double" w:sz="6" w:space="0" w:color="auto"/>
            </w:tcBorders>
            <w:shd w:val="clear" w:color="000000" w:fill="FFFFFF"/>
          </w:tcPr>
          <w:p w14:paraId="5D0F7C4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4.2</w:t>
            </w:r>
          </w:p>
        </w:tc>
      </w:tr>
      <w:tr w:rsidR="006F605B" w:rsidRPr="00DC66CD" w14:paraId="21007545"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5CA5FE3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6. Import of services</w:t>
            </w:r>
          </w:p>
        </w:tc>
        <w:tc>
          <w:tcPr>
            <w:tcW w:w="793" w:type="dxa"/>
            <w:tcBorders>
              <w:top w:val="nil"/>
              <w:left w:val="nil"/>
              <w:bottom w:val="dotted" w:sz="4" w:space="0" w:color="auto"/>
              <w:right w:val="dotted" w:sz="4" w:space="0" w:color="auto"/>
            </w:tcBorders>
            <w:shd w:val="clear" w:color="000000" w:fill="FFFFFF"/>
          </w:tcPr>
          <w:p w14:paraId="6717261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2.0</w:t>
            </w:r>
          </w:p>
        </w:tc>
        <w:tc>
          <w:tcPr>
            <w:tcW w:w="794" w:type="dxa"/>
            <w:tcBorders>
              <w:top w:val="nil"/>
              <w:left w:val="nil"/>
              <w:bottom w:val="dotted" w:sz="4" w:space="0" w:color="auto"/>
              <w:right w:val="dotted" w:sz="4" w:space="0" w:color="auto"/>
            </w:tcBorders>
            <w:shd w:val="clear" w:color="000000" w:fill="FFFFFF"/>
          </w:tcPr>
          <w:p w14:paraId="7E1D994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w:t>
            </w:r>
          </w:p>
        </w:tc>
        <w:tc>
          <w:tcPr>
            <w:tcW w:w="793" w:type="dxa"/>
            <w:tcBorders>
              <w:top w:val="nil"/>
              <w:left w:val="nil"/>
              <w:bottom w:val="dotted" w:sz="4" w:space="0" w:color="auto"/>
              <w:right w:val="dotted" w:sz="4" w:space="0" w:color="auto"/>
            </w:tcBorders>
            <w:shd w:val="clear" w:color="000000" w:fill="FFFFFF"/>
          </w:tcPr>
          <w:p w14:paraId="508DE68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794" w:type="dxa"/>
            <w:tcBorders>
              <w:top w:val="nil"/>
              <w:left w:val="nil"/>
              <w:bottom w:val="dotted" w:sz="4" w:space="0" w:color="auto"/>
              <w:right w:val="dotted" w:sz="4" w:space="0" w:color="auto"/>
            </w:tcBorders>
            <w:shd w:val="clear" w:color="000000" w:fill="FFFFFF"/>
          </w:tcPr>
          <w:p w14:paraId="6ED08ED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w:t>
            </w:r>
          </w:p>
        </w:tc>
        <w:tc>
          <w:tcPr>
            <w:tcW w:w="794" w:type="dxa"/>
            <w:tcBorders>
              <w:top w:val="nil"/>
              <w:left w:val="nil"/>
              <w:bottom w:val="dotted" w:sz="4" w:space="0" w:color="auto"/>
              <w:right w:val="double" w:sz="6" w:space="0" w:color="auto"/>
            </w:tcBorders>
            <w:shd w:val="clear" w:color="000000" w:fill="FFFFFF"/>
          </w:tcPr>
          <w:p w14:paraId="5204E63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2.4</w:t>
            </w:r>
          </w:p>
        </w:tc>
      </w:tr>
      <w:tr w:rsidR="006F605B" w:rsidRPr="00DC66CD" w14:paraId="4D7BDF76"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299F8EC4"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7. Service balance</w:t>
            </w:r>
          </w:p>
        </w:tc>
        <w:tc>
          <w:tcPr>
            <w:tcW w:w="793" w:type="dxa"/>
            <w:tcBorders>
              <w:top w:val="nil"/>
              <w:left w:val="nil"/>
              <w:bottom w:val="dotted" w:sz="4" w:space="0" w:color="auto"/>
              <w:right w:val="dotted" w:sz="4" w:space="0" w:color="auto"/>
            </w:tcBorders>
            <w:shd w:val="clear" w:color="000000" w:fill="FFFFFF"/>
          </w:tcPr>
          <w:p w14:paraId="6934BF9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w:t>
            </w:r>
          </w:p>
        </w:tc>
        <w:tc>
          <w:tcPr>
            <w:tcW w:w="794" w:type="dxa"/>
            <w:tcBorders>
              <w:top w:val="nil"/>
              <w:left w:val="nil"/>
              <w:bottom w:val="dotted" w:sz="4" w:space="0" w:color="auto"/>
              <w:right w:val="dotted" w:sz="4" w:space="0" w:color="auto"/>
            </w:tcBorders>
            <w:shd w:val="clear" w:color="000000" w:fill="FFFFFF"/>
          </w:tcPr>
          <w:p w14:paraId="27A7855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w:t>
            </w:r>
          </w:p>
        </w:tc>
        <w:tc>
          <w:tcPr>
            <w:tcW w:w="793" w:type="dxa"/>
            <w:tcBorders>
              <w:top w:val="nil"/>
              <w:left w:val="nil"/>
              <w:bottom w:val="dotted" w:sz="4" w:space="0" w:color="auto"/>
              <w:right w:val="dotted" w:sz="4" w:space="0" w:color="auto"/>
            </w:tcBorders>
            <w:shd w:val="clear" w:color="000000" w:fill="FFFFFF"/>
          </w:tcPr>
          <w:p w14:paraId="60B2060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1.4</w:t>
            </w:r>
          </w:p>
        </w:tc>
        <w:tc>
          <w:tcPr>
            <w:tcW w:w="794" w:type="dxa"/>
            <w:tcBorders>
              <w:top w:val="nil"/>
              <w:left w:val="nil"/>
              <w:bottom w:val="dotted" w:sz="4" w:space="0" w:color="auto"/>
              <w:right w:val="dotted" w:sz="4" w:space="0" w:color="auto"/>
            </w:tcBorders>
            <w:shd w:val="clear" w:color="000000" w:fill="FFFFFF"/>
          </w:tcPr>
          <w:p w14:paraId="289E550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w:t>
            </w:r>
          </w:p>
        </w:tc>
        <w:tc>
          <w:tcPr>
            <w:tcW w:w="794" w:type="dxa"/>
            <w:tcBorders>
              <w:top w:val="nil"/>
              <w:left w:val="nil"/>
              <w:bottom w:val="dotted" w:sz="4" w:space="0" w:color="auto"/>
              <w:right w:val="double" w:sz="6" w:space="0" w:color="auto"/>
            </w:tcBorders>
            <w:shd w:val="clear" w:color="000000" w:fill="FFFFFF"/>
          </w:tcPr>
          <w:p w14:paraId="5D3175A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w:t>
            </w:r>
          </w:p>
        </w:tc>
      </w:tr>
      <w:tr w:rsidR="006F605B" w:rsidRPr="00DC66CD" w14:paraId="3D14C6CF"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24389081"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8. Net interest payments from abroad</w:t>
            </w:r>
          </w:p>
        </w:tc>
        <w:tc>
          <w:tcPr>
            <w:tcW w:w="793" w:type="dxa"/>
            <w:tcBorders>
              <w:top w:val="nil"/>
              <w:left w:val="nil"/>
              <w:bottom w:val="dotted" w:sz="4" w:space="0" w:color="auto"/>
              <w:right w:val="dotted" w:sz="4" w:space="0" w:color="auto"/>
            </w:tcBorders>
            <w:shd w:val="clear" w:color="000000" w:fill="FFFFFF"/>
          </w:tcPr>
          <w:p w14:paraId="290C682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tted" w:sz="4" w:space="0" w:color="auto"/>
            </w:tcBorders>
            <w:shd w:val="clear" w:color="000000" w:fill="FFFFFF"/>
          </w:tcPr>
          <w:p w14:paraId="5C0457F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3" w:type="dxa"/>
            <w:tcBorders>
              <w:top w:val="nil"/>
              <w:left w:val="nil"/>
              <w:bottom w:val="dotted" w:sz="4" w:space="0" w:color="auto"/>
              <w:right w:val="dotted" w:sz="4" w:space="0" w:color="auto"/>
            </w:tcBorders>
            <w:shd w:val="clear" w:color="000000" w:fill="FFFFFF"/>
          </w:tcPr>
          <w:p w14:paraId="2DB06B1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tted" w:sz="4" w:space="0" w:color="auto"/>
            </w:tcBorders>
            <w:shd w:val="clear" w:color="000000" w:fill="FFFFFF"/>
          </w:tcPr>
          <w:p w14:paraId="640A081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uble" w:sz="6" w:space="0" w:color="auto"/>
            </w:tcBorders>
            <w:shd w:val="clear" w:color="000000" w:fill="FFFFFF"/>
          </w:tcPr>
          <w:p w14:paraId="6FE4F19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36AA3FD9"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611BB96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9. Other net factor income from abroad</w:t>
            </w:r>
          </w:p>
        </w:tc>
        <w:tc>
          <w:tcPr>
            <w:tcW w:w="793" w:type="dxa"/>
            <w:tcBorders>
              <w:top w:val="nil"/>
              <w:left w:val="nil"/>
              <w:bottom w:val="dotted" w:sz="4" w:space="0" w:color="auto"/>
              <w:right w:val="dotted" w:sz="4" w:space="0" w:color="auto"/>
            </w:tcBorders>
            <w:shd w:val="clear" w:color="000000" w:fill="FFFFFF"/>
          </w:tcPr>
          <w:p w14:paraId="7FA4AC2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794" w:type="dxa"/>
            <w:tcBorders>
              <w:top w:val="nil"/>
              <w:left w:val="nil"/>
              <w:bottom w:val="dotted" w:sz="4" w:space="0" w:color="auto"/>
              <w:right w:val="dotted" w:sz="4" w:space="0" w:color="auto"/>
            </w:tcBorders>
            <w:shd w:val="clear" w:color="000000" w:fill="FFFFFF"/>
          </w:tcPr>
          <w:p w14:paraId="6B6E8C5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793" w:type="dxa"/>
            <w:tcBorders>
              <w:top w:val="nil"/>
              <w:left w:val="nil"/>
              <w:bottom w:val="dotted" w:sz="4" w:space="0" w:color="auto"/>
              <w:right w:val="dotted" w:sz="4" w:space="0" w:color="auto"/>
            </w:tcBorders>
            <w:shd w:val="clear" w:color="000000" w:fill="FFFFFF"/>
          </w:tcPr>
          <w:p w14:paraId="0B0BF7C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794" w:type="dxa"/>
            <w:tcBorders>
              <w:top w:val="nil"/>
              <w:left w:val="nil"/>
              <w:bottom w:val="dotted" w:sz="4" w:space="0" w:color="auto"/>
              <w:right w:val="dotted" w:sz="4" w:space="0" w:color="auto"/>
            </w:tcBorders>
            <w:shd w:val="clear" w:color="000000" w:fill="FFFFFF"/>
          </w:tcPr>
          <w:p w14:paraId="652C2F2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794" w:type="dxa"/>
            <w:tcBorders>
              <w:top w:val="nil"/>
              <w:left w:val="nil"/>
              <w:bottom w:val="dotted" w:sz="4" w:space="0" w:color="auto"/>
              <w:right w:val="double" w:sz="6" w:space="0" w:color="auto"/>
            </w:tcBorders>
            <w:shd w:val="clear" w:color="000000" w:fill="FFFFFF"/>
          </w:tcPr>
          <w:p w14:paraId="6B18EF8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r>
      <w:tr w:rsidR="006F605B" w:rsidRPr="00DC66CD" w14:paraId="1C66B4D3"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3C604305"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10. Current transfers</w:t>
            </w:r>
          </w:p>
        </w:tc>
        <w:tc>
          <w:tcPr>
            <w:tcW w:w="793" w:type="dxa"/>
            <w:tcBorders>
              <w:top w:val="nil"/>
              <w:left w:val="nil"/>
              <w:bottom w:val="dotted" w:sz="4" w:space="0" w:color="auto"/>
              <w:right w:val="dotted" w:sz="4" w:space="0" w:color="auto"/>
            </w:tcBorders>
            <w:shd w:val="clear" w:color="000000" w:fill="FFFFFF"/>
          </w:tcPr>
          <w:p w14:paraId="53F7F2D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0.9</w:t>
            </w:r>
          </w:p>
        </w:tc>
        <w:tc>
          <w:tcPr>
            <w:tcW w:w="794" w:type="dxa"/>
            <w:tcBorders>
              <w:top w:val="nil"/>
              <w:left w:val="nil"/>
              <w:bottom w:val="dotted" w:sz="4" w:space="0" w:color="auto"/>
              <w:right w:val="dotted" w:sz="4" w:space="0" w:color="auto"/>
            </w:tcBorders>
            <w:shd w:val="clear" w:color="000000" w:fill="FFFFFF"/>
          </w:tcPr>
          <w:p w14:paraId="6A2B8AF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0.9</w:t>
            </w:r>
          </w:p>
        </w:tc>
        <w:tc>
          <w:tcPr>
            <w:tcW w:w="793" w:type="dxa"/>
            <w:tcBorders>
              <w:top w:val="nil"/>
              <w:left w:val="nil"/>
              <w:bottom w:val="dotted" w:sz="4" w:space="0" w:color="auto"/>
              <w:right w:val="dotted" w:sz="4" w:space="0" w:color="auto"/>
            </w:tcBorders>
            <w:shd w:val="clear" w:color="000000" w:fill="FFFFFF"/>
          </w:tcPr>
          <w:p w14:paraId="237E879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0.9</w:t>
            </w:r>
          </w:p>
        </w:tc>
        <w:tc>
          <w:tcPr>
            <w:tcW w:w="794" w:type="dxa"/>
            <w:tcBorders>
              <w:top w:val="nil"/>
              <w:left w:val="nil"/>
              <w:bottom w:val="dotted" w:sz="4" w:space="0" w:color="auto"/>
              <w:right w:val="dotted" w:sz="4" w:space="0" w:color="auto"/>
            </w:tcBorders>
            <w:shd w:val="clear" w:color="000000" w:fill="FFFFFF"/>
          </w:tcPr>
          <w:p w14:paraId="482544C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0.9</w:t>
            </w:r>
          </w:p>
        </w:tc>
        <w:tc>
          <w:tcPr>
            <w:tcW w:w="794" w:type="dxa"/>
            <w:tcBorders>
              <w:top w:val="nil"/>
              <w:left w:val="nil"/>
              <w:bottom w:val="dotted" w:sz="4" w:space="0" w:color="auto"/>
              <w:right w:val="double" w:sz="6" w:space="0" w:color="auto"/>
            </w:tcBorders>
            <w:shd w:val="clear" w:color="000000" w:fill="FFFFFF"/>
          </w:tcPr>
          <w:p w14:paraId="58CBC58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0.9</w:t>
            </w:r>
          </w:p>
        </w:tc>
      </w:tr>
      <w:tr w:rsidR="006F605B" w:rsidRPr="00DC66CD" w14:paraId="6CE210E2"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2B33CD22" w14:textId="77777777" w:rsidR="006F605B" w:rsidRPr="00DC66CD" w:rsidRDefault="006F605B" w:rsidP="00131DA1">
            <w:pPr>
              <w:spacing w:after="0" w:line="240" w:lineRule="auto"/>
              <w:jc w:val="both"/>
              <w:rPr>
                <w:rFonts w:ascii="Garamond" w:hAnsi="Garamond"/>
                <w:i/>
                <w:iCs/>
                <w:color w:val="0D0D0D" w:themeColor="text1" w:themeTint="F2"/>
                <w:sz w:val="20"/>
                <w:szCs w:val="20"/>
              </w:rPr>
            </w:pPr>
            <w:r w:rsidRPr="00DC66CD">
              <w:rPr>
                <w:rFonts w:ascii="Garamond" w:hAnsi="Garamond"/>
                <w:i/>
                <w:iCs/>
                <w:color w:val="0D0D0D" w:themeColor="text1" w:themeTint="F2"/>
                <w:sz w:val="20"/>
                <w:szCs w:val="20"/>
              </w:rPr>
              <w:t>11. Of which</w:t>
            </w:r>
            <w:r w:rsidRPr="00DC66CD">
              <w:rPr>
                <w:rFonts w:ascii="Garamond" w:hAnsi="Garamond"/>
                <w:color w:val="0D0D0D" w:themeColor="text1" w:themeTint="F2"/>
                <w:sz w:val="20"/>
                <w:szCs w:val="20"/>
              </w:rPr>
              <w:t xml:space="preserve"> from EU</w:t>
            </w:r>
          </w:p>
        </w:tc>
        <w:tc>
          <w:tcPr>
            <w:tcW w:w="793" w:type="dxa"/>
            <w:tcBorders>
              <w:top w:val="nil"/>
              <w:left w:val="nil"/>
              <w:bottom w:val="dotted" w:sz="4" w:space="0" w:color="auto"/>
              <w:right w:val="dotted" w:sz="4" w:space="0" w:color="auto"/>
            </w:tcBorders>
            <w:shd w:val="clear" w:color="000000" w:fill="FFFFFF"/>
          </w:tcPr>
          <w:p w14:paraId="7D5159F4"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tted" w:sz="4" w:space="0" w:color="auto"/>
            </w:tcBorders>
            <w:shd w:val="clear" w:color="000000" w:fill="FFFFFF"/>
          </w:tcPr>
          <w:p w14:paraId="34F4E63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3" w:type="dxa"/>
            <w:tcBorders>
              <w:top w:val="nil"/>
              <w:left w:val="nil"/>
              <w:bottom w:val="dotted" w:sz="4" w:space="0" w:color="auto"/>
              <w:right w:val="dotted" w:sz="4" w:space="0" w:color="auto"/>
            </w:tcBorders>
            <w:shd w:val="clear" w:color="000000" w:fill="FFFFFF"/>
          </w:tcPr>
          <w:p w14:paraId="3230C07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tted" w:sz="4" w:space="0" w:color="auto"/>
            </w:tcBorders>
            <w:shd w:val="clear" w:color="000000" w:fill="FFFFFF"/>
          </w:tcPr>
          <w:p w14:paraId="13558CE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uble" w:sz="6" w:space="0" w:color="auto"/>
            </w:tcBorders>
            <w:shd w:val="clear" w:color="000000" w:fill="FFFFFF"/>
          </w:tcPr>
          <w:p w14:paraId="540C09D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7E7BAD10"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37AEAC82"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12. Current account balance</w:t>
            </w:r>
          </w:p>
        </w:tc>
        <w:tc>
          <w:tcPr>
            <w:tcW w:w="793" w:type="dxa"/>
            <w:tcBorders>
              <w:top w:val="nil"/>
              <w:left w:val="nil"/>
              <w:bottom w:val="dotted" w:sz="4" w:space="0" w:color="auto"/>
              <w:right w:val="dotted" w:sz="4" w:space="0" w:color="auto"/>
            </w:tcBorders>
            <w:shd w:val="clear" w:color="000000" w:fill="FFFFFF"/>
          </w:tcPr>
          <w:p w14:paraId="431CBB30"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-0.9</w:t>
            </w:r>
          </w:p>
        </w:tc>
        <w:tc>
          <w:tcPr>
            <w:tcW w:w="794" w:type="dxa"/>
            <w:tcBorders>
              <w:top w:val="nil"/>
              <w:left w:val="nil"/>
              <w:bottom w:val="dotted" w:sz="4" w:space="0" w:color="auto"/>
              <w:right w:val="dotted" w:sz="4" w:space="0" w:color="auto"/>
            </w:tcBorders>
            <w:shd w:val="clear" w:color="000000" w:fill="FFFFFF"/>
          </w:tcPr>
          <w:p w14:paraId="4045F09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w:t>
            </w:r>
          </w:p>
        </w:tc>
        <w:tc>
          <w:tcPr>
            <w:tcW w:w="793" w:type="dxa"/>
            <w:tcBorders>
              <w:top w:val="nil"/>
              <w:left w:val="nil"/>
              <w:bottom w:val="dotted" w:sz="4" w:space="0" w:color="auto"/>
              <w:right w:val="dotted" w:sz="4" w:space="0" w:color="auto"/>
            </w:tcBorders>
            <w:shd w:val="clear" w:color="000000" w:fill="FFFFFF"/>
          </w:tcPr>
          <w:p w14:paraId="562C782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c>
          <w:tcPr>
            <w:tcW w:w="794" w:type="dxa"/>
            <w:tcBorders>
              <w:top w:val="nil"/>
              <w:left w:val="nil"/>
              <w:bottom w:val="dotted" w:sz="4" w:space="0" w:color="auto"/>
              <w:right w:val="dotted" w:sz="4" w:space="0" w:color="auto"/>
            </w:tcBorders>
            <w:shd w:val="clear" w:color="000000" w:fill="FFFFFF"/>
          </w:tcPr>
          <w:p w14:paraId="030A1DB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c>
          <w:tcPr>
            <w:tcW w:w="794" w:type="dxa"/>
            <w:tcBorders>
              <w:top w:val="nil"/>
              <w:left w:val="nil"/>
              <w:bottom w:val="dotted" w:sz="4" w:space="0" w:color="auto"/>
              <w:right w:val="double" w:sz="6" w:space="0" w:color="auto"/>
            </w:tcBorders>
            <w:shd w:val="clear" w:color="000000" w:fill="FFFFFF"/>
          </w:tcPr>
          <w:p w14:paraId="36232CD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r>
      <w:tr w:rsidR="006F605B" w:rsidRPr="00DC66CD" w14:paraId="39210A1B"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tcPr>
          <w:p w14:paraId="69AB2CC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13. Capital and financial account</w:t>
            </w:r>
          </w:p>
        </w:tc>
        <w:tc>
          <w:tcPr>
            <w:tcW w:w="793" w:type="dxa"/>
            <w:tcBorders>
              <w:top w:val="nil"/>
              <w:left w:val="nil"/>
              <w:bottom w:val="dotted" w:sz="4" w:space="0" w:color="auto"/>
              <w:right w:val="dotted" w:sz="4" w:space="0" w:color="auto"/>
            </w:tcBorders>
            <w:shd w:val="clear" w:color="000000" w:fill="FFFFFF"/>
          </w:tcPr>
          <w:p w14:paraId="66E2CD8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w:t>
            </w:r>
          </w:p>
        </w:tc>
        <w:tc>
          <w:tcPr>
            <w:tcW w:w="794" w:type="dxa"/>
            <w:tcBorders>
              <w:top w:val="nil"/>
              <w:left w:val="nil"/>
              <w:bottom w:val="dotted" w:sz="4" w:space="0" w:color="auto"/>
              <w:right w:val="dotted" w:sz="4" w:space="0" w:color="auto"/>
            </w:tcBorders>
            <w:shd w:val="clear" w:color="000000" w:fill="FFFFFF"/>
          </w:tcPr>
          <w:p w14:paraId="25F4779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w:t>
            </w:r>
          </w:p>
        </w:tc>
        <w:tc>
          <w:tcPr>
            <w:tcW w:w="793" w:type="dxa"/>
            <w:tcBorders>
              <w:top w:val="nil"/>
              <w:left w:val="nil"/>
              <w:bottom w:val="dotted" w:sz="4" w:space="0" w:color="auto"/>
              <w:right w:val="dotted" w:sz="4" w:space="0" w:color="auto"/>
            </w:tcBorders>
            <w:shd w:val="clear" w:color="000000" w:fill="FFFFFF"/>
          </w:tcPr>
          <w:p w14:paraId="2E9C756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w:t>
            </w:r>
          </w:p>
        </w:tc>
        <w:tc>
          <w:tcPr>
            <w:tcW w:w="794" w:type="dxa"/>
            <w:tcBorders>
              <w:top w:val="nil"/>
              <w:left w:val="nil"/>
              <w:bottom w:val="dotted" w:sz="4" w:space="0" w:color="auto"/>
              <w:right w:val="dotted" w:sz="4" w:space="0" w:color="auto"/>
            </w:tcBorders>
            <w:shd w:val="clear" w:color="000000" w:fill="FFFFFF"/>
          </w:tcPr>
          <w:p w14:paraId="4350EE4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w:t>
            </w:r>
          </w:p>
        </w:tc>
        <w:tc>
          <w:tcPr>
            <w:tcW w:w="794" w:type="dxa"/>
            <w:tcBorders>
              <w:top w:val="nil"/>
              <w:left w:val="nil"/>
              <w:bottom w:val="dotted" w:sz="4" w:space="0" w:color="auto"/>
              <w:right w:val="double" w:sz="6" w:space="0" w:color="auto"/>
            </w:tcBorders>
            <w:shd w:val="clear" w:color="000000" w:fill="FFFFFF"/>
          </w:tcPr>
          <w:p w14:paraId="12D2B97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w:t>
            </w:r>
          </w:p>
        </w:tc>
      </w:tr>
      <w:tr w:rsidR="006F605B" w:rsidRPr="00DC66CD" w14:paraId="78F97792"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438D706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14. Foreign direct investment</w:t>
            </w:r>
          </w:p>
        </w:tc>
        <w:tc>
          <w:tcPr>
            <w:tcW w:w="793" w:type="dxa"/>
            <w:tcBorders>
              <w:top w:val="nil"/>
              <w:left w:val="nil"/>
              <w:bottom w:val="dotted" w:sz="4" w:space="0" w:color="auto"/>
              <w:right w:val="dotted" w:sz="4" w:space="0" w:color="auto"/>
            </w:tcBorders>
            <w:shd w:val="clear" w:color="000000" w:fill="FFFFFF"/>
          </w:tcPr>
          <w:p w14:paraId="241EA51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c>
          <w:tcPr>
            <w:tcW w:w="794" w:type="dxa"/>
            <w:tcBorders>
              <w:top w:val="nil"/>
              <w:left w:val="nil"/>
              <w:bottom w:val="dotted" w:sz="4" w:space="0" w:color="auto"/>
              <w:right w:val="dotted" w:sz="4" w:space="0" w:color="auto"/>
            </w:tcBorders>
            <w:shd w:val="clear" w:color="000000" w:fill="FFFFFF"/>
          </w:tcPr>
          <w:p w14:paraId="46AF621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w:t>
            </w:r>
          </w:p>
        </w:tc>
        <w:tc>
          <w:tcPr>
            <w:tcW w:w="793" w:type="dxa"/>
            <w:tcBorders>
              <w:top w:val="nil"/>
              <w:left w:val="nil"/>
              <w:bottom w:val="dotted" w:sz="4" w:space="0" w:color="auto"/>
              <w:right w:val="dotted" w:sz="4" w:space="0" w:color="auto"/>
            </w:tcBorders>
            <w:shd w:val="clear" w:color="000000" w:fill="FFFFFF"/>
          </w:tcPr>
          <w:p w14:paraId="515372F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w:t>
            </w:r>
          </w:p>
        </w:tc>
        <w:tc>
          <w:tcPr>
            <w:tcW w:w="794" w:type="dxa"/>
            <w:tcBorders>
              <w:top w:val="nil"/>
              <w:left w:val="nil"/>
              <w:bottom w:val="dotted" w:sz="4" w:space="0" w:color="auto"/>
              <w:right w:val="dotted" w:sz="4" w:space="0" w:color="auto"/>
            </w:tcBorders>
            <w:shd w:val="clear" w:color="000000" w:fill="FFFFFF"/>
          </w:tcPr>
          <w:p w14:paraId="096F0AD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w:t>
            </w:r>
          </w:p>
        </w:tc>
        <w:tc>
          <w:tcPr>
            <w:tcW w:w="794" w:type="dxa"/>
            <w:tcBorders>
              <w:top w:val="nil"/>
              <w:left w:val="nil"/>
              <w:bottom w:val="dotted" w:sz="4" w:space="0" w:color="auto"/>
              <w:right w:val="double" w:sz="6" w:space="0" w:color="auto"/>
            </w:tcBorders>
            <w:shd w:val="clear" w:color="000000" w:fill="FFFFFF"/>
          </w:tcPr>
          <w:p w14:paraId="03FF6CB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w:t>
            </w:r>
          </w:p>
        </w:tc>
      </w:tr>
      <w:tr w:rsidR="006F605B" w:rsidRPr="00DC66CD" w14:paraId="1E8412B4"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156D21DD"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15. Foreign reserves</w:t>
            </w:r>
          </w:p>
        </w:tc>
        <w:tc>
          <w:tcPr>
            <w:tcW w:w="793" w:type="dxa"/>
            <w:tcBorders>
              <w:top w:val="nil"/>
              <w:left w:val="nil"/>
              <w:bottom w:val="dotted" w:sz="4" w:space="0" w:color="auto"/>
              <w:right w:val="dotted" w:sz="4" w:space="0" w:color="auto"/>
            </w:tcBorders>
            <w:shd w:val="clear" w:color="000000" w:fill="FFFFFF"/>
          </w:tcPr>
          <w:p w14:paraId="16B8DEA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0.4</w:t>
            </w:r>
          </w:p>
        </w:tc>
        <w:tc>
          <w:tcPr>
            <w:tcW w:w="794" w:type="dxa"/>
            <w:tcBorders>
              <w:top w:val="nil"/>
              <w:left w:val="nil"/>
              <w:bottom w:val="dotted" w:sz="4" w:space="0" w:color="auto"/>
              <w:right w:val="dotted" w:sz="4" w:space="0" w:color="auto"/>
            </w:tcBorders>
            <w:shd w:val="clear" w:color="000000" w:fill="FFFFFF"/>
          </w:tcPr>
          <w:p w14:paraId="4D42451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793" w:type="dxa"/>
            <w:tcBorders>
              <w:top w:val="nil"/>
              <w:left w:val="nil"/>
              <w:bottom w:val="dotted" w:sz="4" w:space="0" w:color="auto"/>
              <w:right w:val="dotted" w:sz="4" w:space="0" w:color="auto"/>
            </w:tcBorders>
            <w:shd w:val="clear" w:color="000000" w:fill="FFFFFF"/>
          </w:tcPr>
          <w:p w14:paraId="02618BC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0.2</w:t>
            </w:r>
          </w:p>
        </w:tc>
        <w:tc>
          <w:tcPr>
            <w:tcW w:w="794" w:type="dxa"/>
            <w:tcBorders>
              <w:top w:val="nil"/>
              <w:left w:val="nil"/>
              <w:bottom w:val="dotted" w:sz="4" w:space="0" w:color="auto"/>
              <w:right w:val="dotted" w:sz="4" w:space="0" w:color="auto"/>
            </w:tcBorders>
            <w:shd w:val="clear" w:color="000000" w:fill="FFFFFF"/>
          </w:tcPr>
          <w:p w14:paraId="733D086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0.2</w:t>
            </w:r>
          </w:p>
        </w:tc>
        <w:tc>
          <w:tcPr>
            <w:tcW w:w="794" w:type="dxa"/>
            <w:tcBorders>
              <w:top w:val="nil"/>
              <w:left w:val="nil"/>
              <w:bottom w:val="dotted" w:sz="4" w:space="0" w:color="auto"/>
              <w:right w:val="double" w:sz="6" w:space="0" w:color="auto"/>
            </w:tcBorders>
            <w:shd w:val="clear" w:color="000000" w:fill="FFFFFF"/>
          </w:tcPr>
          <w:p w14:paraId="0777EB2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0.3</w:t>
            </w:r>
          </w:p>
        </w:tc>
      </w:tr>
      <w:tr w:rsidR="006F605B" w:rsidRPr="00DC66CD" w14:paraId="18479B8F"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4BCE4254"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16. Foreign debt</w:t>
            </w:r>
          </w:p>
        </w:tc>
        <w:tc>
          <w:tcPr>
            <w:tcW w:w="793" w:type="dxa"/>
            <w:tcBorders>
              <w:top w:val="nil"/>
              <w:left w:val="nil"/>
              <w:bottom w:val="dotted" w:sz="4" w:space="0" w:color="auto"/>
              <w:right w:val="dotted" w:sz="4" w:space="0" w:color="auto"/>
            </w:tcBorders>
            <w:shd w:val="clear" w:color="000000" w:fill="FFFFFF"/>
          </w:tcPr>
          <w:p w14:paraId="42D3808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6.7</w:t>
            </w:r>
          </w:p>
        </w:tc>
        <w:tc>
          <w:tcPr>
            <w:tcW w:w="794" w:type="dxa"/>
            <w:tcBorders>
              <w:top w:val="nil"/>
              <w:left w:val="nil"/>
              <w:bottom w:val="dotted" w:sz="4" w:space="0" w:color="auto"/>
              <w:right w:val="dotted" w:sz="4" w:space="0" w:color="auto"/>
            </w:tcBorders>
            <w:shd w:val="clear" w:color="000000" w:fill="FFFFFF"/>
          </w:tcPr>
          <w:p w14:paraId="46F6D07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3" w:type="dxa"/>
            <w:tcBorders>
              <w:top w:val="nil"/>
              <w:left w:val="nil"/>
              <w:bottom w:val="dotted" w:sz="4" w:space="0" w:color="auto"/>
              <w:right w:val="dotted" w:sz="4" w:space="0" w:color="auto"/>
            </w:tcBorders>
            <w:shd w:val="clear" w:color="000000" w:fill="FFFFFF"/>
          </w:tcPr>
          <w:p w14:paraId="05A7ACF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tted" w:sz="4" w:space="0" w:color="auto"/>
            </w:tcBorders>
            <w:shd w:val="clear" w:color="000000" w:fill="FFFFFF"/>
          </w:tcPr>
          <w:p w14:paraId="0CA3236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uble" w:sz="6" w:space="0" w:color="auto"/>
            </w:tcBorders>
            <w:shd w:val="clear" w:color="000000" w:fill="FFFFFF"/>
          </w:tcPr>
          <w:p w14:paraId="6991C53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1BCB1189"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0E2788DB" w14:textId="77777777" w:rsidR="006F605B" w:rsidRPr="00DC66CD" w:rsidRDefault="006F605B" w:rsidP="00131DA1">
            <w:pPr>
              <w:spacing w:after="0" w:line="240" w:lineRule="auto"/>
              <w:jc w:val="both"/>
              <w:rPr>
                <w:rFonts w:ascii="Garamond" w:hAnsi="Garamond"/>
                <w:i/>
                <w:iCs/>
                <w:color w:val="0D0D0D" w:themeColor="text1" w:themeTint="F2"/>
                <w:sz w:val="20"/>
                <w:szCs w:val="20"/>
              </w:rPr>
            </w:pPr>
            <w:r w:rsidRPr="00DC66CD">
              <w:rPr>
                <w:rFonts w:ascii="Garamond" w:hAnsi="Garamond"/>
                <w:i/>
                <w:iCs/>
                <w:color w:val="0D0D0D" w:themeColor="text1" w:themeTint="F2"/>
                <w:sz w:val="20"/>
                <w:szCs w:val="20"/>
              </w:rPr>
              <w:t>17. Of which</w:t>
            </w:r>
            <w:r w:rsidRPr="00DC66CD">
              <w:rPr>
                <w:rFonts w:ascii="Garamond" w:hAnsi="Garamond"/>
                <w:color w:val="0D0D0D" w:themeColor="text1" w:themeTint="F2"/>
                <w:sz w:val="20"/>
                <w:szCs w:val="20"/>
              </w:rPr>
              <w:t>: public</w:t>
            </w:r>
          </w:p>
        </w:tc>
        <w:tc>
          <w:tcPr>
            <w:tcW w:w="793" w:type="dxa"/>
            <w:tcBorders>
              <w:top w:val="nil"/>
              <w:left w:val="nil"/>
              <w:bottom w:val="dotted" w:sz="4" w:space="0" w:color="auto"/>
              <w:right w:val="dotted" w:sz="4" w:space="0" w:color="auto"/>
            </w:tcBorders>
            <w:shd w:val="clear" w:color="000000" w:fill="FFFFFF"/>
          </w:tcPr>
          <w:p w14:paraId="1DB9ED1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4.3</w:t>
            </w:r>
          </w:p>
        </w:tc>
        <w:tc>
          <w:tcPr>
            <w:tcW w:w="794" w:type="dxa"/>
            <w:tcBorders>
              <w:top w:val="nil"/>
              <w:left w:val="nil"/>
              <w:bottom w:val="dotted" w:sz="4" w:space="0" w:color="auto"/>
              <w:right w:val="dotted" w:sz="4" w:space="0" w:color="auto"/>
            </w:tcBorders>
            <w:shd w:val="clear" w:color="000000" w:fill="FFFFFF"/>
          </w:tcPr>
          <w:p w14:paraId="00CA23D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4.2</w:t>
            </w:r>
          </w:p>
        </w:tc>
        <w:tc>
          <w:tcPr>
            <w:tcW w:w="793" w:type="dxa"/>
            <w:tcBorders>
              <w:top w:val="nil"/>
              <w:left w:val="nil"/>
              <w:bottom w:val="dotted" w:sz="4" w:space="0" w:color="auto"/>
              <w:right w:val="dotted" w:sz="4" w:space="0" w:color="auto"/>
            </w:tcBorders>
            <w:shd w:val="clear" w:color="000000" w:fill="FFFFFF"/>
          </w:tcPr>
          <w:p w14:paraId="65CCB7D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4.4</w:t>
            </w:r>
          </w:p>
        </w:tc>
        <w:tc>
          <w:tcPr>
            <w:tcW w:w="794" w:type="dxa"/>
            <w:tcBorders>
              <w:top w:val="nil"/>
              <w:left w:val="nil"/>
              <w:bottom w:val="dotted" w:sz="4" w:space="0" w:color="auto"/>
              <w:right w:val="dotted" w:sz="4" w:space="0" w:color="auto"/>
            </w:tcBorders>
            <w:shd w:val="clear" w:color="000000" w:fill="FFFFFF"/>
          </w:tcPr>
          <w:p w14:paraId="79B534F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4.2</w:t>
            </w:r>
          </w:p>
        </w:tc>
        <w:tc>
          <w:tcPr>
            <w:tcW w:w="794" w:type="dxa"/>
            <w:tcBorders>
              <w:top w:val="nil"/>
              <w:left w:val="nil"/>
              <w:bottom w:val="dotted" w:sz="4" w:space="0" w:color="auto"/>
              <w:right w:val="double" w:sz="6" w:space="0" w:color="auto"/>
            </w:tcBorders>
            <w:shd w:val="clear" w:color="000000" w:fill="FFFFFF"/>
          </w:tcPr>
          <w:p w14:paraId="37BE54E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4.6</w:t>
            </w:r>
          </w:p>
        </w:tc>
      </w:tr>
      <w:tr w:rsidR="006F605B" w:rsidRPr="00DC66CD" w14:paraId="75F324B2"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586C676B" w14:textId="77777777" w:rsidR="006F605B" w:rsidRPr="00DC66CD" w:rsidRDefault="006F605B" w:rsidP="00131DA1">
            <w:pPr>
              <w:spacing w:after="0" w:line="240" w:lineRule="auto"/>
              <w:jc w:val="both"/>
              <w:rPr>
                <w:rFonts w:ascii="Garamond" w:hAnsi="Garamond"/>
                <w:i/>
                <w:iCs/>
                <w:color w:val="0D0D0D" w:themeColor="text1" w:themeTint="F2"/>
                <w:sz w:val="20"/>
                <w:szCs w:val="20"/>
              </w:rPr>
            </w:pPr>
            <w:r w:rsidRPr="00DC66CD">
              <w:rPr>
                <w:rFonts w:ascii="Garamond" w:hAnsi="Garamond"/>
                <w:i/>
                <w:iCs/>
                <w:color w:val="0D0D0D" w:themeColor="text1" w:themeTint="F2"/>
                <w:sz w:val="20"/>
                <w:szCs w:val="20"/>
              </w:rPr>
              <w:t xml:space="preserve">18. O/w: </w:t>
            </w:r>
            <w:r w:rsidRPr="00DC66CD">
              <w:rPr>
                <w:rFonts w:ascii="Garamond" w:hAnsi="Garamond"/>
                <w:color w:val="0D0D0D" w:themeColor="text1" w:themeTint="F2"/>
                <w:sz w:val="20"/>
                <w:szCs w:val="20"/>
              </w:rPr>
              <w:t>foreign currency denominated</w:t>
            </w:r>
          </w:p>
        </w:tc>
        <w:tc>
          <w:tcPr>
            <w:tcW w:w="793" w:type="dxa"/>
            <w:tcBorders>
              <w:top w:val="nil"/>
              <w:left w:val="nil"/>
              <w:bottom w:val="dotted" w:sz="4" w:space="0" w:color="auto"/>
              <w:right w:val="dotted" w:sz="4" w:space="0" w:color="auto"/>
            </w:tcBorders>
            <w:shd w:val="clear" w:color="000000" w:fill="FFFFFF"/>
          </w:tcPr>
          <w:p w14:paraId="51C86BF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tted" w:sz="4" w:space="0" w:color="auto"/>
            </w:tcBorders>
            <w:shd w:val="clear" w:color="000000" w:fill="FFFFFF"/>
          </w:tcPr>
          <w:p w14:paraId="10E35C8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3" w:type="dxa"/>
            <w:tcBorders>
              <w:top w:val="nil"/>
              <w:left w:val="nil"/>
              <w:bottom w:val="dotted" w:sz="4" w:space="0" w:color="auto"/>
              <w:right w:val="dotted" w:sz="4" w:space="0" w:color="auto"/>
            </w:tcBorders>
            <w:shd w:val="clear" w:color="000000" w:fill="FFFFFF"/>
          </w:tcPr>
          <w:p w14:paraId="7D620A9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tted" w:sz="4" w:space="0" w:color="auto"/>
            </w:tcBorders>
            <w:shd w:val="clear" w:color="000000" w:fill="FFFFFF"/>
          </w:tcPr>
          <w:p w14:paraId="353D821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dotted" w:sz="4" w:space="0" w:color="auto"/>
              <w:right w:val="double" w:sz="6" w:space="0" w:color="auto"/>
            </w:tcBorders>
            <w:shd w:val="clear" w:color="000000" w:fill="FFFFFF"/>
          </w:tcPr>
          <w:p w14:paraId="13B3DB5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2636F9BB" w14:textId="77777777" w:rsidTr="00E372C0">
        <w:trPr>
          <w:trHeight w:val="300"/>
        </w:trPr>
        <w:tc>
          <w:tcPr>
            <w:tcW w:w="0" w:type="auto"/>
            <w:tcBorders>
              <w:top w:val="nil"/>
              <w:left w:val="double" w:sz="6" w:space="0" w:color="auto"/>
              <w:bottom w:val="single" w:sz="4" w:space="0" w:color="auto"/>
              <w:right w:val="single" w:sz="8" w:space="0" w:color="auto"/>
            </w:tcBorders>
            <w:shd w:val="clear" w:color="000000" w:fill="FFFFFF"/>
            <w:vAlign w:val="center"/>
            <w:hideMark/>
          </w:tcPr>
          <w:p w14:paraId="0BD3BD6C" w14:textId="77777777" w:rsidR="006F605B" w:rsidRPr="00DC66CD" w:rsidRDefault="006F605B" w:rsidP="00131DA1">
            <w:pPr>
              <w:spacing w:after="0" w:line="240" w:lineRule="auto"/>
              <w:jc w:val="both"/>
              <w:rPr>
                <w:rFonts w:ascii="Garamond" w:hAnsi="Garamond"/>
                <w:i/>
                <w:iCs/>
                <w:color w:val="0D0D0D" w:themeColor="text1" w:themeTint="F2"/>
                <w:sz w:val="20"/>
                <w:szCs w:val="20"/>
              </w:rPr>
            </w:pPr>
            <w:r w:rsidRPr="00DC66CD">
              <w:rPr>
                <w:rFonts w:ascii="Garamond" w:hAnsi="Garamond"/>
                <w:i/>
                <w:iCs/>
                <w:color w:val="0D0D0D" w:themeColor="text1" w:themeTint="F2"/>
                <w:sz w:val="20"/>
                <w:szCs w:val="20"/>
              </w:rPr>
              <w:t xml:space="preserve">19.O/w: </w:t>
            </w:r>
            <w:r w:rsidRPr="00DC66CD">
              <w:rPr>
                <w:rFonts w:ascii="Garamond" w:hAnsi="Garamond"/>
                <w:color w:val="0D0D0D" w:themeColor="text1" w:themeTint="F2"/>
                <w:sz w:val="20"/>
                <w:szCs w:val="20"/>
              </w:rPr>
              <w:t>repayments due</w:t>
            </w:r>
            <w:r w:rsidRPr="00DC66CD">
              <w:rPr>
                <w:rFonts w:ascii="Garamond" w:hAnsi="Garamond"/>
                <w:i/>
                <w:iCs/>
                <w:color w:val="0D0D0D" w:themeColor="text1" w:themeTint="F2"/>
                <w:sz w:val="20"/>
                <w:szCs w:val="20"/>
              </w:rPr>
              <w:t xml:space="preserve"> </w:t>
            </w:r>
          </w:p>
        </w:tc>
        <w:tc>
          <w:tcPr>
            <w:tcW w:w="793" w:type="dxa"/>
            <w:tcBorders>
              <w:top w:val="nil"/>
              <w:left w:val="nil"/>
              <w:bottom w:val="single" w:sz="4" w:space="0" w:color="auto"/>
              <w:right w:val="dotted" w:sz="4" w:space="0" w:color="auto"/>
            </w:tcBorders>
            <w:shd w:val="clear" w:color="000000" w:fill="FFFFFF"/>
          </w:tcPr>
          <w:p w14:paraId="55169C5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single" w:sz="4" w:space="0" w:color="auto"/>
              <w:right w:val="dotted" w:sz="4" w:space="0" w:color="auto"/>
            </w:tcBorders>
            <w:shd w:val="clear" w:color="000000" w:fill="FFFFFF"/>
          </w:tcPr>
          <w:p w14:paraId="5F78BA1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3" w:type="dxa"/>
            <w:tcBorders>
              <w:top w:val="nil"/>
              <w:left w:val="nil"/>
              <w:bottom w:val="single" w:sz="4" w:space="0" w:color="auto"/>
              <w:right w:val="dotted" w:sz="4" w:space="0" w:color="auto"/>
            </w:tcBorders>
            <w:shd w:val="clear" w:color="000000" w:fill="FFFFFF"/>
          </w:tcPr>
          <w:p w14:paraId="3587708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single" w:sz="4" w:space="0" w:color="auto"/>
              <w:right w:val="dotted" w:sz="4" w:space="0" w:color="auto"/>
            </w:tcBorders>
            <w:shd w:val="clear" w:color="000000" w:fill="FFFFFF"/>
          </w:tcPr>
          <w:p w14:paraId="27F3B32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94" w:type="dxa"/>
            <w:tcBorders>
              <w:top w:val="nil"/>
              <w:left w:val="nil"/>
              <w:bottom w:val="single" w:sz="4" w:space="0" w:color="auto"/>
              <w:right w:val="double" w:sz="6" w:space="0" w:color="auto"/>
            </w:tcBorders>
            <w:shd w:val="clear" w:color="000000" w:fill="FFFFFF"/>
          </w:tcPr>
          <w:p w14:paraId="4B2D5C3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4751E25A"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26172F4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20. Exchange rate vis-à-vis EUR (end-year)</w:t>
            </w:r>
          </w:p>
        </w:tc>
        <w:tc>
          <w:tcPr>
            <w:tcW w:w="793" w:type="dxa"/>
            <w:tcBorders>
              <w:top w:val="nil"/>
              <w:left w:val="nil"/>
              <w:bottom w:val="dotted" w:sz="4" w:space="0" w:color="auto"/>
              <w:right w:val="dotted" w:sz="4" w:space="0" w:color="auto"/>
            </w:tcBorders>
            <w:shd w:val="clear" w:color="000000" w:fill="FFFFFF"/>
          </w:tcPr>
          <w:p w14:paraId="627EC243"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123.5</w:t>
            </w:r>
          </w:p>
        </w:tc>
        <w:tc>
          <w:tcPr>
            <w:tcW w:w="794" w:type="dxa"/>
            <w:tcBorders>
              <w:top w:val="nil"/>
              <w:left w:val="nil"/>
              <w:bottom w:val="dotted" w:sz="4" w:space="0" w:color="auto"/>
              <w:right w:val="dotted" w:sz="4" w:space="0" w:color="auto"/>
            </w:tcBorders>
            <w:shd w:val="clear" w:color="000000" w:fill="FFFFFF"/>
          </w:tcPr>
          <w:p w14:paraId="33EF790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122.2</w:t>
            </w:r>
          </w:p>
        </w:tc>
        <w:tc>
          <w:tcPr>
            <w:tcW w:w="793" w:type="dxa"/>
            <w:tcBorders>
              <w:top w:val="nil"/>
              <w:left w:val="nil"/>
              <w:bottom w:val="dotted" w:sz="4" w:space="0" w:color="auto"/>
              <w:right w:val="dotted" w:sz="4" w:space="0" w:color="auto"/>
            </w:tcBorders>
            <w:shd w:val="clear" w:color="000000" w:fill="FFFFFF"/>
          </w:tcPr>
          <w:p w14:paraId="0501EE1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122.2</w:t>
            </w:r>
          </w:p>
        </w:tc>
        <w:tc>
          <w:tcPr>
            <w:tcW w:w="794" w:type="dxa"/>
            <w:tcBorders>
              <w:top w:val="nil"/>
              <w:left w:val="nil"/>
              <w:bottom w:val="dotted" w:sz="4" w:space="0" w:color="auto"/>
              <w:right w:val="dotted" w:sz="4" w:space="0" w:color="auto"/>
            </w:tcBorders>
            <w:shd w:val="clear" w:color="000000" w:fill="FFFFFF"/>
          </w:tcPr>
          <w:p w14:paraId="361789D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122.2</w:t>
            </w:r>
          </w:p>
        </w:tc>
        <w:tc>
          <w:tcPr>
            <w:tcW w:w="794" w:type="dxa"/>
            <w:tcBorders>
              <w:top w:val="nil"/>
              <w:left w:val="nil"/>
              <w:bottom w:val="dotted" w:sz="4" w:space="0" w:color="auto"/>
              <w:right w:val="double" w:sz="6" w:space="0" w:color="auto"/>
            </w:tcBorders>
            <w:shd w:val="clear" w:color="000000" w:fill="FFFFFF"/>
          </w:tcPr>
          <w:p w14:paraId="40102B1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122.2</w:t>
            </w:r>
          </w:p>
        </w:tc>
      </w:tr>
      <w:tr w:rsidR="006F605B" w:rsidRPr="00DC66CD" w14:paraId="03A191BB"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tcPr>
          <w:p w14:paraId="2B657E19" w14:textId="2BC8B706"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i/>
                <w:iCs/>
                <w:color w:val="0D0D0D" w:themeColor="text1" w:themeTint="F2"/>
                <w:sz w:val="20"/>
                <w:szCs w:val="20"/>
              </w:rPr>
              <w:t xml:space="preserve"> </w:t>
            </w:r>
            <w:r w:rsidR="006F605B" w:rsidRPr="00DC66CD">
              <w:rPr>
                <w:rFonts w:ascii="Garamond" w:hAnsi="Garamond"/>
                <w:i/>
                <w:iCs/>
                <w:color w:val="0D0D0D" w:themeColor="text1" w:themeTint="F2"/>
                <w:sz w:val="20"/>
                <w:szCs w:val="20"/>
              </w:rPr>
              <w:t>p.m. Exchange rate vis-à-vis EUR (end-year)</w:t>
            </w:r>
          </w:p>
        </w:tc>
        <w:tc>
          <w:tcPr>
            <w:tcW w:w="793" w:type="dxa"/>
            <w:tcBorders>
              <w:top w:val="nil"/>
              <w:left w:val="nil"/>
              <w:bottom w:val="dotted" w:sz="4" w:space="0" w:color="auto"/>
              <w:right w:val="dotted" w:sz="4" w:space="0" w:color="auto"/>
            </w:tcBorders>
            <w:shd w:val="clear" w:color="000000" w:fill="FFFFFF"/>
          </w:tcPr>
          <w:p w14:paraId="6FA35208"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-7.4</w:t>
            </w:r>
          </w:p>
        </w:tc>
        <w:tc>
          <w:tcPr>
            <w:tcW w:w="794" w:type="dxa"/>
            <w:tcBorders>
              <w:top w:val="nil"/>
              <w:left w:val="nil"/>
              <w:bottom w:val="dotted" w:sz="4" w:space="0" w:color="auto"/>
              <w:right w:val="dotted" w:sz="4" w:space="0" w:color="auto"/>
            </w:tcBorders>
            <w:shd w:val="clear" w:color="000000" w:fill="FFFFFF"/>
          </w:tcPr>
          <w:p w14:paraId="678EEBA6"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-1.0</w:t>
            </w:r>
          </w:p>
        </w:tc>
        <w:tc>
          <w:tcPr>
            <w:tcW w:w="793" w:type="dxa"/>
            <w:tcBorders>
              <w:top w:val="nil"/>
              <w:left w:val="nil"/>
              <w:bottom w:val="dotted" w:sz="4" w:space="0" w:color="auto"/>
              <w:right w:val="dotted" w:sz="4" w:space="0" w:color="auto"/>
            </w:tcBorders>
            <w:shd w:val="clear" w:color="000000" w:fill="FFFFFF"/>
          </w:tcPr>
          <w:p w14:paraId="70F32B20"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0.0</w:t>
            </w:r>
          </w:p>
        </w:tc>
        <w:tc>
          <w:tcPr>
            <w:tcW w:w="794" w:type="dxa"/>
            <w:tcBorders>
              <w:top w:val="nil"/>
              <w:left w:val="nil"/>
              <w:bottom w:val="dotted" w:sz="4" w:space="0" w:color="auto"/>
              <w:right w:val="dotted" w:sz="4" w:space="0" w:color="auto"/>
            </w:tcBorders>
            <w:shd w:val="clear" w:color="000000" w:fill="FFFFFF"/>
          </w:tcPr>
          <w:p w14:paraId="3BCA5313"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0.0</w:t>
            </w:r>
          </w:p>
        </w:tc>
        <w:tc>
          <w:tcPr>
            <w:tcW w:w="794" w:type="dxa"/>
            <w:tcBorders>
              <w:top w:val="nil"/>
              <w:left w:val="nil"/>
              <w:bottom w:val="dotted" w:sz="4" w:space="0" w:color="auto"/>
              <w:right w:val="double" w:sz="6" w:space="0" w:color="auto"/>
            </w:tcBorders>
            <w:shd w:val="clear" w:color="000000" w:fill="FFFFFF"/>
          </w:tcPr>
          <w:p w14:paraId="5BE1E1D5"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0.0</w:t>
            </w:r>
          </w:p>
        </w:tc>
      </w:tr>
      <w:tr w:rsidR="006F605B" w:rsidRPr="00DC66CD" w14:paraId="430BF715"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6860753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21. Exchange rate vis-à-vis EUR (annual average)</w:t>
            </w:r>
          </w:p>
        </w:tc>
        <w:tc>
          <w:tcPr>
            <w:tcW w:w="793" w:type="dxa"/>
            <w:tcBorders>
              <w:top w:val="nil"/>
              <w:left w:val="nil"/>
              <w:bottom w:val="dotted" w:sz="4" w:space="0" w:color="auto"/>
              <w:right w:val="dotted" w:sz="4" w:space="0" w:color="auto"/>
            </w:tcBorders>
            <w:shd w:val="clear" w:color="000000" w:fill="FFFFFF"/>
          </w:tcPr>
          <w:p w14:paraId="577EC235"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127.6</w:t>
            </w:r>
          </w:p>
        </w:tc>
        <w:tc>
          <w:tcPr>
            <w:tcW w:w="794" w:type="dxa"/>
            <w:tcBorders>
              <w:top w:val="nil"/>
              <w:left w:val="nil"/>
              <w:bottom w:val="dotted" w:sz="4" w:space="0" w:color="auto"/>
              <w:right w:val="dotted" w:sz="4" w:space="0" w:color="auto"/>
            </w:tcBorders>
            <w:shd w:val="clear" w:color="000000" w:fill="FFFFFF"/>
          </w:tcPr>
          <w:p w14:paraId="34ED60A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123.0</w:t>
            </w:r>
          </w:p>
        </w:tc>
        <w:tc>
          <w:tcPr>
            <w:tcW w:w="793" w:type="dxa"/>
            <w:tcBorders>
              <w:top w:val="nil"/>
              <w:left w:val="nil"/>
              <w:bottom w:val="dotted" w:sz="4" w:space="0" w:color="auto"/>
              <w:right w:val="dotted" w:sz="4" w:space="0" w:color="auto"/>
            </w:tcBorders>
            <w:shd w:val="clear" w:color="000000" w:fill="FFFFFF"/>
          </w:tcPr>
          <w:p w14:paraId="11A24BC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123.0</w:t>
            </w:r>
          </w:p>
        </w:tc>
        <w:tc>
          <w:tcPr>
            <w:tcW w:w="794" w:type="dxa"/>
            <w:tcBorders>
              <w:top w:val="nil"/>
              <w:left w:val="nil"/>
              <w:bottom w:val="dotted" w:sz="4" w:space="0" w:color="auto"/>
              <w:right w:val="dotted" w:sz="4" w:space="0" w:color="auto"/>
            </w:tcBorders>
            <w:shd w:val="clear" w:color="000000" w:fill="FFFFFF"/>
          </w:tcPr>
          <w:p w14:paraId="1A42BC7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123.0</w:t>
            </w:r>
          </w:p>
        </w:tc>
        <w:tc>
          <w:tcPr>
            <w:tcW w:w="794" w:type="dxa"/>
            <w:tcBorders>
              <w:top w:val="nil"/>
              <w:left w:val="nil"/>
              <w:bottom w:val="dotted" w:sz="4" w:space="0" w:color="auto"/>
              <w:right w:val="double" w:sz="6" w:space="0" w:color="auto"/>
            </w:tcBorders>
            <w:shd w:val="clear" w:color="000000" w:fill="FFFFFF"/>
          </w:tcPr>
          <w:p w14:paraId="0D459FB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123.0</w:t>
            </w:r>
          </w:p>
        </w:tc>
      </w:tr>
      <w:tr w:rsidR="006F605B" w:rsidRPr="00DC66CD" w14:paraId="06C5FC94"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3D12B9CB" w14:textId="1283FD63" w:rsidR="006F605B" w:rsidRPr="00DC66CD" w:rsidRDefault="0072211B" w:rsidP="00131DA1">
            <w:pPr>
              <w:spacing w:after="0" w:line="240" w:lineRule="auto"/>
              <w:jc w:val="both"/>
              <w:rPr>
                <w:rFonts w:ascii="Garamond" w:hAnsi="Garamond"/>
                <w:i/>
                <w:iCs/>
                <w:color w:val="0D0D0D" w:themeColor="text1" w:themeTint="F2"/>
                <w:sz w:val="20"/>
                <w:szCs w:val="20"/>
              </w:rPr>
            </w:pPr>
            <w:r w:rsidRPr="00DC66CD">
              <w:rPr>
                <w:rFonts w:ascii="Garamond" w:hAnsi="Garamond"/>
                <w:i/>
                <w:iCs/>
                <w:color w:val="0D0D0D" w:themeColor="text1" w:themeTint="F2"/>
                <w:sz w:val="20"/>
                <w:szCs w:val="20"/>
              </w:rPr>
              <w:t xml:space="preserve"> </w:t>
            </w:r>
            <w:r w:rsidR="006F605B" w:rsidRPr="00DC66CD">
              <w:rPr>
                <w:rFonts w:ascii="Garamond" w:hAnsi="Garamond"/>
                <w:i/>
                <w:iCs/>
                <w:color w:val="0D0D0D" w:themeColor="text1" w:themeTint="F2"/>
                <w:sz w:val="20"/>
                <w:szCs w:val="20"/>
              </w:rPr>
              <w:t>p.m. Exchange rate vis-à-vis EUR (</w:t>
            </w:r>
            <w:r w:rsidR="006F605B" w:rsidRPr="00DC66CD">
              <w:rPr>
                <w:rFonts w:ascii="Garamond" w:hAnsi="Garamond"/>
                <w:color w:val="0D0D0D" w:themeColor="text1" w:themeTint="F2"/>
                <w:sz w:val="20"/>
                <w:szCs w:val="20"/>
              </w:rPr>
              <w:t>annual average</w:t>
            </w:r>
            <w:r w:rsidR="006F605B" w:rsidRPr="00DC66CD">
              <w:rPr>
                <w:rFonts w:ascii="Garamond" w:hAnsi="Garamond"/>
                <w:i/>
                <w:iCs/>
                <w:color w:val="0D0D0D" w:themeColor="text1" w:themeTint="F2"/>
                <w:sz w:val="20"/>
                <w:szCs w:val="20"/>
              </w:rPr>
              <w:t>)</w:t>
            </w:r>
          </w:p>
        </w:tc>
        <w:tc>
          <w:tcPr>
            <w:tcW w:w="793" w:type="dxa"/>
            <w:tcBorders>
              <w:top w:val="nil"/>
              <w:left w:val="nil"/>
              <w:bottom w:val="dotted" w:sz="4" w:space="0" w:color="auto"/>
              <w:right w:val="dotted" w:sz="4" w:space="0" w:color="auto"/>
            </w:tcBorders>
            <w:shd w:val="clear" w:color="000000" w:fill="FFFFFF"/>
          </w:tcPr>
          <w:p w14:paraId="126E806F"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-4.9</w:t>
            </w:r>
          </w:p>
        </w:tc>
        <w:tc>
          <w:tcPr>
            <w:tcW w:w="794" w:type="dxa"/>
            <w:tcBorders>
              <w:top w:val="nil"/>
              <w:left w:val="nil"/>
              <w:bottom w:val="dotted" w:sz="4" w:space="0" w:color="auto"/>
              <w:right w:val="dotted" w:sz="4" w:space="0" w:color="auto"/>
            </w:tcBorders>
            <w:shd w:val="clear" w:color="000000" w:fill="FFFFFF"/>
          </w:tcPr>
          <w:p w14:paraId="3441D414"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-3.6</w:t>
            </w:r>
          </w:p>
        </w:tc>
        <w:tc>
          <w:tcPr>
            <w:tcW w:w="793" w:type="dxa"/>
            <w:tcBorders>
              <w:top w:val="nil"/>
              <w:left w:val="nil"/>
              <w:bottom w:val="dotted" w:sz="4" w:space="0" w:color="auto"/>
              <w:right w:val="dotted" w:sz="4" w:space="0" w:color="auto"/>
            </w:tcBorders>
            <w:shd w:val="clear" w:color="000000" w:fill="FFFFFF"/>
          </w:tcPr>
          <w:p w14:paraId="5C71CE1E"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0.0</w:t>
            </w:r>
          </w:p>
        </w:tc>
        <w:tc>
          <w:tcPr>
            <w:tcW w:w="794" w:type="dxa"/>
            <w:tcBorders>
              <w:top w:val="nil"/>
              <w:left w:val="nil"/>
              <w:bottom w:val="dotted" w:sz="4" w:space="0" w:color="auto"/>
              <w:right w:val="dotted" w:sz="4" w:space="0" w:color="auto"/>
            </w:tcBorders>
            <w:shd w:val="clear" w:color="000000" w:fill="FFFFFF"/>
          </w:tcPr>
          <w:p w14:paraId="14FD4059"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0.0</w:t>
            </w:r>
          </w:p>
        </w:tc>
        <w:tc>
          <w:tcPr>
            <w:tcW w:w="794" w:type="dxa"/>
            <w:tcBorders>
              <w:top w:val="nil"/>
              <w:left w:val="nil"/>
              <w:bottom w:val="dotted" w:sz="4" w:space="0" w:color="auto"/>
              <w:right w:val="double" w:sz="6" w:space="0" w:color="auto"/>
            </w:tcBorders>
            <w:shd w:val="clear" w:color="000000" w:fill="FFFFFF"/>
          </w:tcPr>
          <w:p w14:paraId="529A5BF1" w14:textId="77777777" w:rsidR="006F605B" w:rsidRPr="00DC66CD" w:rsidRDefault="006F605B" w:rsidP="00131DA1">
            <w:pPr>
              <w:spacing w:after="0" w:line="240" w:lineRule="auto"/>
              <w:jc w:val="center"/>
              <w:rPr>
                <w:rFonts w:ascii="Garamond" w:hAnsi="Garamond"/>
                <w:i/>
                <w:iCs/>
                <w:sz w:val="20"/>
                <w:szCs w:val="20"/>
              </w:rPr>
            </w:pPr>
            <w:r w:rsidRPr="00DC66CD">
              <w:rPr>
                <w:rFonts w:ascii="Garamond" w:hAnsi="Garamond"/>
                <w:i/>
                <w:iCs/>
                <w:sz w:val="20"/>
                <w:szCs w:val="20"/>
              </w:rPr>
              <w:t>0.0</w:t>
            </w:r>
          </w:p>
        </w:tc>
      </w:tr>
      <w:tr w:rsidR="006F605B" w:rsidRPr="00DC66CD" w14:paraId="3A98B805" w14:textId="77777777" w:rsidTr="00E372C0">
        <w:trPr>
          <w:trHeight w:val="300"/>
        </w:trPr>
        <w:tc>
          <w:tcPr>
            <w:tcW w:w="0" w:type="auto"/>
            <w:tcBorders>
              <w:top w:val="single" w:sz="4" w:space="0" w:color="auto"/>
              <w:left w:val="double" w:sz="6" w:space="0" w:color="auto"/>
              <w:bottom w:val="dotted" w:sz="4" w:space="0" w:color="auto"/>
              <w:right w:val="single" w:sz="8" w:space="0" w:color="auto"/>
            </w:tcBorders>
            <w:shd w:val="clear" w:color="000000" w:fill="FFFFFF"/>
            <w:vAlign w:val="center"/>
            <w:hideMark/>
          </w:tcPr>
          <w:p w14:paraId="74776CF0"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22. Net foreign saving</w:t>
            </w:r>
          </w:p>
          <w:p w14:paraId="249B35B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(lines 21-25: percentages of GDP)</w:t>
            </w:r>
          </w:p>
        </w:tc>
        <w:tc>
          <w:tcPr>
            <w:tcW w:w="793" w:type="dxa"/>
            <w:tcBorders>
              <w:top w:val="single" w:sz="4" w:space="0" w:color="auto"/>
              <w:left w:val="single" w:sz="8" w:space="0" w:color="auto"/>
              <w:bottom w:val="dotted" w:sz="4" w:space="0" w:color="auto"/>
              <w:right w:val="dotted" w:sz="4" w:space="0" w:color="auto"/>
            </w:tcBorders>
            <w:shd w:val="clear" w:color="000000" w:fill="FFFFFF"/>
          </w:tcPr>
          <w:p w14:paraId="71687123"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6.8</w:t>
            </w:r>
          </w:p>
        </w:tc>
        <w:tc>
          <w:tcPr>
            <w:tcW w:w="794" w:type="dxa"/>
            <w:tcBorders>
              <w:top w:val="single" w:sz="4" w:space="0" w:color="auto"/>
              <w:left w:val="nil"/>
              <w:bottom w:val="dotted" w:sz="4" w:space="0" w:color="auto"/>
              <w:right w:val="dotted" w:sz="4" w:space="0" w:color="auto"/>
            </w:tcBorders>
            <w:shd w:val="clear" w:color="000000" w:fill="FFFFFF"/>
          </w:tcPr>
          <w:p w14:paraId="4EC94CB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8.0</w:t>
            </w:r>
          </w:p>
        </w:tc>
        <w:tc>
          <w:tcPr>
            <w:tcW w:w="793" w:type="dxa"/>
            <w:tcBorders>
              <w:top w:val="single" w:sz="4" w:space="0" w:color="auto"/>
              <w:left w:val="nil"/>
              <w:bottom w:val="dotted" w:sz="4" w:space="0" w:color="auto"/>
              <w:right w:val="dotted" w:sz="4" w:space="0" w:color="auto"/>
            </w:tcBorders>
            <w:shd w:val="clear" w:color="000000" w:fill="FFFFFF"/>
          </w:tcPr>
          <w:p w14:paraId="1B91E6C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7.2</w:t>
            </w:r>
          </w:p>
        </w:tc>
        <w:tc>
          <w:tcPr>
            <w:tcW w:w="794" w:type="dxa"/>
            <w:tcBorders>
              <w:top w:val="single" w:sz="4" w:space="0" w:color="auto"/>
              <w:left w:val="nil"/>
              <w:bottom w:val="dotted" w:sz="4" w:space="0" w:color="auto"/>
              <w:right w:val="dotted" w:sz="4" w:space="0" w:color="auto"/>
            </w:tcBorders>
            <w:shd w:val="clear" w:color="000000" w:fill="FFFFFF"/>
          </w:tcPr>
          <w:p w14:paraId="474EF3E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6.7</w:t>
            </w:r>
          </w:p>
        </w:tc>
        <w:tc>
          <w:tcPr>
            <w:tcW w:w="794" w:type="dxa"/>
            <w:tcBorders>
              <w:top w:val="single" w:sz="4" w:space="0" w:color="auto"/>
              <w:left w:val="nil"/>
              <w:bottom w:val="dotted" w:sz="4" w:space="0" w:color="auto"/>
              <w:right w:val="double" w:sz="6" w:space="0" w:color="auto"/>
            </w:tcBorders>
            <w:shd w:val="clear" w:color="000000" w:fill="FFFFFF"/>
          </w:tcPr>
          <w:p w14:paraId="3AF0953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6.3</w:t>
            </w:r>
          </w:p>
        </w:tc>
      </w:tr>
      <w:tr w:rsidR="006F605B" w:rsidRPr="00DC66CD" w14:paraId="7914CE18"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0FD86046"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23. Domestic private saving</w:t>
            </w:r>
          </w:p>
        </w:tc>
        <w:tc>
          <w:tcPr>
            <w:tcW w:w="793" w:type="dxa"/>
            <w:tcBorders>
              <w:top w:val="nil"/>
              <w:left w:val="nil"/>
              <w:bottom w:val="dotted" w:sz="4" w:space="0" w:color="auto"/>
              <w:right w:val="dotted" w:sz="4" w:space="0" w:color="auto"/>
            </w:tcBorders>
            <w:shd w:val="clear" w:color="000000" w:fill="FFFFFF"/>
          </w:tcPr>
          <w:p w14:paraId="7AF229B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13.3</w:t>
            </w:r>
          </w:p>
        </w:tc>
        <w:tc>
          <w:tcPr>
            <w:tcW w:w="794" w:type="dxa"/>
            <w:tcBorders>
              <w:top w:val="nil"/>
              <w:left w:val="nil"/>
              <w:bottom w:val="dotted" w:sz="4" w:space="0" w:color="auto"/>
              <w:right w:val="dotted" w:sz="4" w:space="0" w:color="auto"/>
            </w:tcBorders>
            <w:shd w:val="clear" w:color="000000" w:fill="FFFFFF"/>
          </w:tcPr>
          <w:p w14:paraId="3736DB2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11.4</w:t>
            </w:r>
          </w:p>
        </w:tc>
        <w:tc>
          <w:tcPr>
            <w:tcW w:w="793" w:type="dxa"/>
            <w:tcBorders>
              <w:top w:val="nil"/>
              <w:left w:val="nil"/>
              <w:bottom w:val="dotted" w:sz="4" w:space="0" w:color="auto"/>
              <w:right w:val="dotted" w:sz="4" w:space="0" w:color="auto"/>
            </w:tcBorders>
            <w:shd w:val="clear" w:color="000000" w:fill="FFFFFF"/>
          </w:tcPr>
          <w:p w14:paraId="4E8204E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13.7</w:t>
            </w:r>
          </w:p>
        </w:tc>
        <w:tc>
          <w:tcPr>
            <w:tcW w:w="794" w:type="dxa"/>
            <w:tcBorders>
              <w:top w:val="nil"/>
              <w:left w:val="nil"/>
              <w:bottom w:val="dotted" w:sz="4" w:space="0" w:color="auto"/>
              <w:right w:val="dotted" w:sz="4" w:space="0" w:color="auto"/>
            </w:tcBorders>
            <w:shd w:val="clear" w:color="000000" w:fill="FFFFFF"/>
          </w:tcPr>
          <w:p w14:paraId="6D03631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13.5</w:t>
            </w:r>
          </w:p>
        </w:tc>
        <w:tc>
          <w:tcPr>
            <w:tcW w:w="794" w:type="dxa"/>
            <w:tcBorders>
              <w:top w:val="nil"/>
              <w:left w:val="nil"/>
              <w:bottom w:val="dotted" w:sz="4" w:space="0" w:color="auto"/>
              <w:right w:val="double" w:sz="6" w:space="0" w:color="auto"/>
            </w:tcBorders>
            <w:shd w:val="clear" w:color="000000" w:fill="FFFFFF"/>
          </w:tcPr>
          <w:p w14:paraId="35FE552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13.4</w:t>
            </w:r>
          </w:p>
        </w:tc>
      </w:tr>
      <w:tr w:rsidR="006F605B" w:rsidRPr="00DC66CD" w14:paraId="066532E8"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2E335945"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24. Domestic private investment </w:t>
            </w:r>
          </w:p>
        </w:tc>
        <w:tc>
          <w:tcPr>
            <w:tcW w:w="793" w:type="dxa"/>
            <w:tcBorders>
              <w:top w:val="nil"/>
              <w:left w:val="nil"/>
              <w:bottom w:val="dotted" w:sz="4" w:space="0" w:color="auto"/>
              <w:right w:val="dotted" w:sz="4" w:space="0" w:color="auto"/>
            </w:tcBorders>
            <w:shd w:val="clear" w:color="000000" w:fill="FFFFFF"/>
          </w:tcPr>
          <w:p w14:paraId="02F46AE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18.5</w:t>
            </w:r>
          </w:p>
        </w:tc>
        <w:tc>
          <w:tcPr>
            <w:tcW w:w="794" w:type="dxa"/>
            <w:tcBorders>
              <w:top w:val="nil"/>
              <w:left w:val="nil"/>
              <w:bottom w:val="dotted" w:sz="4" w:space="0" w:color="auto"/>
              <w:right w:val="dotted" w:sz="4" w:space="0" w:color="auto"/>
            </w:tcBorders>
            <w:shd w:val="clear" w:color="000000" w:fill="FFFFFF"/>
          </w:tcPr>
          <w:p w14:paraId="75B7158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17.8</w:t>
            </w:r>
          </w:p>
        </w:tc>
        <w:tc>
          <w:tcPr>
            <w:tcW w:w="793" w:type="dxa"/>
            <w:tcBorders>
              <w:top w:val="nil"/>
              <w:left w:val="nil"/>
              <w:bottom w:val="dotted" w:sz="4" w:space="0" w:color="auto"/>
              <w:right w:val="dotted" w:sz="4" w:space="0" w:color="auto"/>
            </w:tcBorders>
            <w:shd w:val="clear" w:color="000000" w:fill="FFFFFF"/>
          </w:tcPr>
          <w:p w14:paraId="0BC10F6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17.6</w:t>
            </w:r>
          </w:p>
        </w:tc>
        <w:tc>
          <w:tcPr>
            <w:tcW w:w="794" w:type="dxa"/>
            <w:tcBorders>
              <w:top w:val="nil"/>
              <w:left w:val="nil"/>
              <w:bottom w:val="dotted" w:sz="4" w:space="0" w:color="auto"/>
              <w:right w:val="dotted" w:sz="4" w:space="0" w:color="auto"/>
            </w:tcBorders>
            <w:shd w:val="clear" w:color="000000" w:fill="FFFFFF"/>
          </w:tcPr>
          <w:p w14:paraId="0878672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17.6</w:t>
            </w:r>
          </w:p>
        </w:tc>
        <w:tc>
          <w:tcPr>
            <w:tcW w:w="794" w:type="dxa"/>
            <w:tcBorders>
              <w:top w:val="nil"/>
              <w:left w:val="nil"/>
              <w:bottom w:val="dotted" w:sz="4" w:space="0" w:color="auto"/>
              <w:right w:val="double" w:sz="6" w:space="0" w:color="auto"/>
            </w:tcBorders>
            <w:shd w:val="clear" w:color="000000" w:fill="FFFFFF"/>
          </w:tcPr>
          <w:p w14:paraId="0E19949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17.5</w:t>
            </w:r>
          </w:p>
        </w:tc>
      </w:tr>
      <w:tr w:rsidR="006F605B" w:rsidRPr="00DC66CD" w14:paraId="6274EC34" w14:textId="77777777" w:rsidTr="00E372C0">
        <w:trPr>
          <w:trHeight w:val="300"/>
        </w:trPr>
        <w:tc>
          <w:tcPr>
            <w:tcW w:w="0" w:type="auto"/>
            <w:tcBorders>
              <w:top w:val="nil"/>
              <w:left w:val="double" w:sz="6" w:space="0" w:color="auto"/>
              <w:bottom w:val="dotted" w:sz="4" w:space="0" w:color="auto"/>
              <w:right w:val="single" w:sz="8" w:space="0" w:color="auto"/>
            </w:tcBorders>
            <w:shd w:val="clear" w:color="000000" w:fill="FFFFFF"/>
            <w:vAlign w:val="center"/>
            <w:hideMark/>
          </w:tcPr>
          <w:p w14:paraId="735E928B"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25. Domestic public saving </w:t>
            </w:r>
          </w:p>
        </w:tc>
        <w:tc>
          <w:tcPr>
            <w:tcW w:w="793" w:type="dxa"/>
            <w:tcBorders>
              <w:top w:val="nil"/>
              <w:left w:val="nil"/>
              <w:bottom w:val="dotted" w:sz="4" w:space="0" w:color="auto"/>
              <w:right w:val="dotted" w:sz="4" w:space="0" w:color="auto"/>
            </w:tcBorders>
            <w:shd w:val="clear" w:color="000000" w:fill="FFFFFF"/>
          </w:tcPr>
          <w:p w14:paraId="0E28DB6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4.1</w:t>
            </w:r>
          </w:p>
        </w:tc>
        <w:tc>
          <w:tcPr>
            <w:tcW w:w="794" w:type="dxa"/>
            <w:tcBorders>
              <w:top w:val="nil"/>
              <w:left w:val="nil"/>
              <w:bottom w:val="dotted" w:sz="4" w:space="0" w:color="auto"/>
              <w:right w:val="dotted" w:sz="4" w:space="0" w:color="auto"/>
            </w:tcBorders>
            <w:shd w:val="clear" w:color="000000" w:fill="FFFFFF"/>
          </w:tcPr>
          <w:p w14:paraId="5075D07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4.1</w:t>
            </w:r>
          </w:p>
        </w:tc>
        <w:tc>
          <w:tcPr>
            <w:tcW w:w="793" w:type="dxa"/>
            <w:tcBorders>
              <w:top w:val="nil"/>
              <w:left w:val="nil"/>
              <w:bottom w:val="dotted" w:sz="4" w:space="0" w:color="auto"/>
              <w:right w:val="dotted" w:sz="4" w:space="0" w:color="auto"/>
            </w:tcBorders>
            <w:shd w:val="clear" w:color="000000" w:fill="FFFFFF"/>
          </w:tcPr>
          <w:p w14:paraId="52CB3B1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3.3</w:t>
            </w:r>
          </w:p>
        </w:tc>
        <w:tc>
          <w:tcPr>
            <w:tcW w:w="794" w:type="dxa"/>
            <w:tcBorders>
              <w:top w:val="nil"/>
              <w:left w:val="nil"/>
              <w:bottom w:val="dotted" w:sz="4" w:space="0" w:color="auto"/>
              <w:right w:val="dotted" w:sz="4" w:space="0" w:color="auto"/>
            </w:tcBorders>
            <w:shd w:val="clear" w:color="000000" w:fill="FFFFFF"/>
          </w:tcPr>
          <w:p w14:paraId="59A70E1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3.0</w:t>
            </w:r>
          </w:p>
        </w:tc>
        <w:tc>
          <w:tcPr>
            <w:tcW w:w="794" w:type="dxa"/>
            <w:tcBorders>
              <w:top w:val="nil"/>
              <w:left w:val="nil"/>
              <w:bottom w:val="dotted" w:sz="4" w:space="0" w:color="auto"/>
              <w:right w:val="double" w:sz="6" w:space="0" w:color="auto"/>
            </w:tcBorders>
            <w:shd w:val="clear" w:color="000000" w:fill="FFFFFF"/>
          </w:tcPr>
          <w:p w14:paraId="78D36FC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3.3</w:t>
            </w:r>
          </w:p>
        </w:tc>
      </w:tr>
      <w:tr w:rsidR="006F605B" w:rsidRPr="00DC66CD" w14:paraId="6D01920C" w14:textId="77777777" w:rsidTr="00E372C0">
        <w:trPr>
          <w:trHeight w:val="300"/>
        </w:trPr>
        <w:tc>
          <w:tcPr>
            <w:tcW w:w="0" w:type="auto"/>
            <w:tcBorders>
              <w:top w:val="nil"/>
              <w:left w:val="double" w:sz="6" w:space="0" w:color="auto"/>
              <w:bottom w:val="double" w:sz="6" w:space="0" w:color="auto"/>
              <w:right w:val="single" w:sz="8" w:space="0" w:color="auto"/>
            </w:tcBorders>
            <w:shd w:val="clear" w:color="000000" w:fill="FFFFFF"/>
            <w:vAlign w:val="center"/>
            <w:hideMark/>
          </w:tcPr>
          <w:p w14:paraId="3A9673E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26. Domestic public investment </w:t>
            </w:r>
          </w:p>
        </w:tc>
        <w:tc>
          <w:tcPr>
            <w:tcW w:w="793" w:type="dxa"/>
            <w:tcBorders>
              <w:top w:val="nil"/>
              <w:left w:val="nil"/>
              <w:bottom w:val="double" w:sz="6" w:space="0" w:color="auto"/>
              <w:right w:val="dotted" w:sz="4" w:space="0" w:color="auto"/>
            </w:tcBorders>
            <w:shd w:val="clear" w:color="000000" w:fill="FFFFFF"/>
          </w:tcPr>
          <w:p w14:paraId="38E9968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5.7</w:t>
            </w:r>
          </w:p>
        </w:tc>
        <w:tc>
          <w:tcPr>
            <w:tcW w:w="794" w:type="dxa"/>
            <w:tcBorders>
              <w:top w:val="nil"/>
              <w:left w:val="nil"/>
              <w:bottom w:val="double" w:sz="6" w:space="0" w:color="auto"/>
              <w:right w:val="dotted" w:sz="4" w:space="0" w:color="auto"/>
            </w:tcBorders>
            <w:shd w:val="clear" w:color="000000" w:fill="FFFFFF"/>
          </w:tcPr>
          <w:p w14:paraId="743F72B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5.6</w:t>
            </w:r>
          </w:p>
        </w:tc>
        <w:tc>
          <w:tcPr>
            <w:tcW w:w="793" w:type="dxa"/>
            <w:tcBorders>
              <w:top w:val="nil"/>
              <w:left w:val="nil"/>
              <w:bottom w:val="double" w:sz="6" w:space="0" w:color="auto"/>
              <w:right w:val="dotted" w:sz="4" w:space="0" w:color="auto"/>
            </w:tcBorders>
            <w:shd w:val="clear" w:color="000000" w:fill="FFFFFF"/>
          </w:tcPr>
          <w:p w14:paraId="41206B2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6.5</w:t>
            </w:r>
          </w:p>
        </w:tc>
        <w:tc>
          <w:tcPr>
            <w:tcW w:w="794" w:type="dxa"/>
            <w:tcBorders>
              <w:top w:val="nil"/>
              <w:left w:val="nil"/>
              <w:bottom w:val="double" w:sz="6" w:space="0" w:color="auto"/>
              <w:right w:val="dotted" w:sz="4" w:space="0" w:color="auto"/>
            </w:tcBorders>
            <w:shd w:val="clear" w:color="000000" w:fill="FFFFFF"/>
          </w:tcPr>
          <w:p w14:paraId="13BBE2D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5.5</w:t>
            </w:r>
          </w:p>
        </w:tc>
        <w:tc>
          <w:tcPr>
            <w:tcW w:w="794" w:type="dxa"/>
            <w:tcBorders>
              <w:top w:val="nil"/>
              <w:left w:val="nil"/>
              <w:bottom w:val="double" w:sz="6" w:space="0" w:color="auto"/>
              <w:right w:val="double" w:sz="6" w:space="0" w:color="auto"/>
            </w:tcBorders>
            <w:shd w:val="clear" w:color="000000" w:fill="FFFFFF"/>
          </w:tcPr>
          <w:p w14:paraId="29F9BE2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5.6</w:t>
            </w:r>
          </w:p>
        </w:tc>
      </w:tr>
    </w:tbl>
    <w:p w14:paraId="704CBE0F"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4B242E46" w14:textId="77777777" w:rsidR="006F605B" w:rsidRPr="00DC66CD" w:rsidRDefault="006F605B" w:rsidP="006F605B">
      <w:pPr>
        <w:pStyle w:val="Heading2"/>
        <w:spacing w:before="0" w:line="240" w:lineRule="auto"/>
        <w:ind w:firstLine="284"/>
        <w:rPr>
          <w:rFonts w:ascii="Garamond" w:hAnsi="Garamond"/>
          <w:color w:val="000000" w:themeColor="text1"/>
          <w:sz w:val="24"/>
          <w:szCs w:val="24"/>
        </w:rPr>
      </w:pPr>
      <w:bookmarkStart w:id="77" w:name="_Toc536784312"/>
      <w:bookmarkStart w:id="78" w:name="_Toc30661247"/>
      <w:r w:rsidRPr="00DC66CD">
        <w:rPr>
          <w:rFonts w:ascii="Garamond" w:hAnsi="Garamond"/>
          <w:color w:val="000000" w:themeColor="text1"/>
          <w:sz w:val="24"/>
          <w:szCs w:val="24"/>
        </w:rPr>
        <w:t>Tabela 1g: Indikatorët e qëndrueshmërisëSustainability indicators</w:t>
      </w:r>
      <w:bookmarkEnd w:id="77"/>
      <w:bookmarkEnd w:id="78"/>
    </w:p>
    <w:tbl>
      <w:tblPr>
        <w:tblW w:w="5000" w:type="pct"/>
        <w:tblLook w:val="04A0" w:firstRow="1" w:lastRow="0" w:firstColumn="1" w:lastColumn="0" w:noHBand="0" w:noVBand="1"/>
      </w:tblPr>
      <w:tblGrid>
        <w:gridCol w:w="3678"/>
        <w:gridCol w:w="1631"/>
        <w:gridCol w:w="958"/>
        <w:gridCol w:w="958"/>
        <w:gridCol w:w="685"/>
        <w:gridCol w:w="685"/>
        <w:gridCol w:w="685"/>
      </w:tblGrid>
      <w:tr w:rsidR="006F605B" w:rsidRPr="00DC66CD" w14:paraId="5B26EDF8" w14:textId="77777777" w:rsidTr="004F4E33">
        <w:trPr>
          <w:trHeight w:val="319"/>
        </w:trPr>
        <w:tc>
          <w:tcPr>
            <w:tcW w:w="1982" w:type="pct"/>
            <w:vMerge w:val="restart"/>
            <w:tcBorders>
              <w:top w:val="double" w:sz="6" w:space="0" w:color="auto"/>
              <w:left w:val="double" w:sz="6" w:space="0" w:color="auto"/>
              <w:bottom w:val="single" w:sz="8" w:space="0" w:color="000000"/>
              <w:right w:val="dotted" w:sz="4" w:space="0" w:color="auto"/>
            </w:tcBorders>
            <w:shd w:val="clear" w:color="000000" w:fill="FFFFFF"/>
            <w:vAlign w:val="center"/>
            <w:hideMark/>
          </w:tcPr>
          <w:p w14:paraId="461011C4" w14:textId="5E10DE78"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879" w:type="pct"/>
            <w:vMerge w:val="restart"/>
            <w:tcBorders>
              <w:top w:val="double" w:sz="6" w:space="0" w:color="auto"/>
              <w:left w:val="dotted" w:sz="4" w:space="0" w:color="auto"/>
              <w:bottom w:val="single" w:sz="8" w:space="0" w:color="000000"/>
              <w:right w:val="single" w:sz="8" w:space="0" w:color="auto"/>
            </w:tcBorders>
            <w:shd w:val="clear" w:color="000000" w:fill="FFFFFF"/>
            <w:vAlign w:val="center"/>
            <w:hideMark/>
          </w:tcPr>
          <w:p w14:paraId="718659FA"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Dimension</w:t>
            </w:r>
          </w:p>
        </w:tc>
        <w:tc>
          <w:tcPr>
            <w:tcW w:w="516" w:type="pct"/>
            <w:tcBorders>
              <w:top w:val="double" w:sz="6" w:space="0" w:color="auto"/>
              <w:left w:val="nil"/>
              <w:bottom w:val="nil"/>
              <w:right w:val="dotted" w:sz="4" w:space="0" w:color="auto"/>
            </w:tcBorders>
            <w:shd w:val="clear" w:color="000000" w:fill="FFFFFF"/>
            <w:vAlign w:val="center"/>
            <w:hideMark/>
          </w:tcPr>
          <w:p w14:paraId="4A36BA7D"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516" w:type="pct"/>
            <w:tcBorders>
              <w:top w:val="double" w:sz="6" w:space="0" w:color="auto"/>
              <w:left w:val="nil"/>
              <w:bottom w:val="nil"/>
              <w:right w:val="dotted" w:sz="4" w:space="0" w:color="auto"/>
            </w:tcBorders>
            <w:shd w:val="clear" w:color="000000" w:fill="FFFFFF"/>
            <w:vAlign w:val="center"/>
            <w:hideMark/>
          </w:tcPr>
          <w:p w14:paraId="309D323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369" w:type="pct"/>
            <w:tcBorders>
              <w:top w:val="double" w:sz="6" w:space="0" w:color="auto"/>
              <w:left w:val="nil"/>
              <w:bottom w:val="nil"/>
              <w:right w:val="dotted" w:sz="4" w:space="0" w:color="auto"/>
            </w:tcBorders>
            <w:shd w:val="clear" w:color="000000" w:fill="FFFFFF"/>
            <w:vAlign w:val="center"/>
            <w:hideMark/>
          </w:tcPr>
          <w:p w14:paraId="199B410B"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369" w:type="pct"/>
            <w:tcBorders>
              <w:top w:val="double" w:sz="6" w:space="0" w:color="auto"/>
              <w:left w:val="nil"/>
              <w:bottom w:val="nil"/>
              <w:right w:val="dotted" w:sz="4" w:space="0" w:color="auto"/>
            </w:tcBorders>
            <w:shd w:val="clear" w:color="000000" w:fill="FFFFFF"/>
            <w:vAlign w:val="center"/>
            <w:hideMark/>
          </w:tcPr>
          <w:p w14:paraId="741B0228"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369" w:type="pct"/>
            <w:tcBorders>
              <w:top w:val="double" w:sz="6" w:space="0" w:color="auto"/>
              <w:left w:val="nil"/>
              <w:bottom w:val="nil"/>
              <w:right w:val="double" w:sz="6" w:space="0" w:color="auto"/>
            </w:tcBorders>
            <w:shd w:val="clear" w:color="000000" w:fill="FFFFFF"/>
            <w:vAlign w:val="center"/>
            <w:hideMark/>
          </w:tcPr>
          <w:p w14:paraId="4B2EBD74"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352FF2D1" w14:textId="77777777" w:rsidTr="004F4E33">
        <w:trPr>
          <w:trHeight w:val="319"/>
        </w:trPr>
        <w:tc>
          <w:tcPr>
            <w:tcW w:w="1982" w:type="pct"/>
            <w:vMerge/>
            <w:tcBorders>
              <w:top w:val="double" w:sz="6" w:space="0" w:color="auto"/>
              <w:left w:val="double" w:sz="6" w:space="0" w:color="auto"/>
              <w:bottom w:val="single" w:sz="8" w:space="0" w:color="000000"/>
              <w:right w:val="dotted" w:sz="4" w:space="0" w:color="auto"/>
            </w:tcBorders>
            <w:vAlign w:val="center"/>
            <w:hideMark/>
          </w:tcPr>
          <w:p w14:paraId="7F843355"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879" w:type="pct"/>
            <w:vMerge/>
            <w:tcBorders>
              <w:top w:val="double" w:sz="6" w:space="0" w:color="auto"/>
              <w:left w:val="dotted" w:sz="4" w:space="0" w:color="auto"/>
              <w:bottom w:val="single" w:sz="8" w:space="0" w:color="000000"/>
              <w:right w:val="single" w:sz="8" w:space="0" w:color="auto"/>
            </w:tcBorders>
            <w:vAlign w:val="center"/>
            <w:hideMark/>
          </w:tcPr>
          <w:p w14:paraId="0DB247D5"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516" w:type="pct"/>
            <w:tcBorders>
              <w:top w:val="nil"/>
              <w:left w:val="nil"/>
              <w:bottom w:val="single" w:sz="8" w:space="0" w:color="000000"/>
              <w:right w:val="dotted" w:sz="4" w:space="0" w:color="auto"/>
            </w:tcBorders>
            <w:shd w:val="clear" w:color="000000" w:fill="FFFFFF"/>
            <w:vAlign w:val="center"/>
            <w:hideMark/>
          </w:tcPr>
          <w:p w14:paraId="0B7A64EA"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2015</w:t>
            </w:r>
          </w:p>
        </w:tc>
        <w:tc>
          <w:tcPr>
            <w:tcW w:w="516" w:type="pct"/>
            <w:tcBorders>
              <w:top w:val="nil"/>
              <w:left w:val="nil"/>
              <w:bottom w:val="single" w:sz="8" w:space="0" w:color="000000"/>
              <w:right w:val="dotted" w:sz="4" w:space="0" w:color="auto"/>
            </w:tcBorders>
            <w:shd w:val="clear" w:color="000000" w:fill="FFFFFF"/>
            <w:vAlign w:val="center"/>
            <w:hideMark/>
          </w:tcPr>
          <w:p w14:paraId="717E10C3"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2016</w:t>
            </w:r>
          </w:p>
        </w:tc>
        <w:tc>
          <w:tcPr>
            <w:tcW w:w="369" w:type="pct"/>
            <w:tcBorders>
              <w:top w:val="nil"/>
              <w:left w:val="nil"/>
              <w:bottom w:val="single" w:sz="8" w:space="0" w:color="000000"/>
              <w:right w:val="dotted" w:sz="4" w:space="0" w:color="auto"/>
            </w:tcBorders>
            <w:shd w:val="clear" w:color="000000" w:fill="FFFFFF"/>
            <w:vAlign w:val="center"/>
            <w:hideMark/>
          </w:tcPr>
          <w:p w14:paraId="0C560C0B"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2017</w:t>
            </w:r>
          </w:p>
        </w:tc>
        <w:tc>
          <w:tcPr>
            <w:tcW w:w="369" w:type="pct"/>
            <w:tcBorders>
              <w:top w:val="nil"/>
              <w:left w:val="nil"/>
              <w:bottom w:val="single" w:sz="8" w:space="0" w:color="000000"/>
              <w:right w:val="dotted" w:sz="4" w:space="0" w:color="auto"/>
            </w:tcBorders>
            <w:shd w:val="clear" w:color="000000" w:fill="FFFFFF"/>
            <w:vAlign w:val="center"/>
            <w:hideMark/>
          </w:tcPr>
          <w:p w14:paraId="5C18B79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369" w:type="pct"/>
            <w:tcBorders>
              <w:top w:val="nil"/>
              <w:left w:val="nil"/>
              <w:bottom w:val="single" w:sz="8" w:space="0" w:color="000000"/>
              <w:right w:val="double" w:sz="6" w:space="0" w:color="auto"/>
            </w:tcBorders>
            <w:shd w:val="clear" w:color="000000" w:fill="FFFFFF"/>
            <w:vAlign w:val="center"/>
            <w:hideMark/>
          </w:tcPr>
          <w:p w14:paraId="3B47310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r>
      <w:tr w:rsidR="006F605B" w:rsidRPr="00DC66CD" w14:paraId="1F7D50A4" w14:textId="77777777" w:rsidTr="00E372C0">
        <w:trPr>
          <w:trHeight w:val="319"/>
        </w:trPr>
        <w:tc>
          <w:tcPr>
            <w:tcW w:w="1982" w:type="pct"/>
            <w:tcBorders>
              <w:top w:val="nil"/>
              <w:left w:val="double" w:sz="6" w:space="0" w:color="auto"/>
              <w:bottom w:val="dotted" w:sz="4" w:space="0" w:color="auto"/>
              <w:right w:val="dotted" w:sz="4" w:space="0" w:color="auto"/>
            </w:tcBorders>
            <w:shd w:val="clear" w:color="000000" w:fill="FFFFFF"/>
            <w:hideMark/>
          </w:tcPr>
          <w:p w14:paraId="0B8314A5"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1. Current Account Balance </w:t>
            </w:r>
          </w:p>
        </w:tc>
        <w:tc>
          <w:tcPr>
            <w:tcW w:w="879" w:type="pct"/>
            <w:tcBorders>
              <w:top w:val="nil"/>
              <w:left w:val="nil"/>
              <w:bottom w:val="dotted" w:sz="4" w:space="0" w:color="auto"/>
              <w:right w:val="single" w:sz="8" w:space="0" w:color="auto"/>
            </w:tcBorders>
            <w:shd w:val="clear" w:color="000000" w:fill="FFFFFF"/>
            <w:hideMark/>
          </w:tcPr>
          <w:p w14:paraId="3EBBB3D1"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of GDP</w:t>
            </w:r>
          </w:p>
        </w:tc>
        <w:tc>
          <w:tcPr>
            <w:tcW w:w="516" w:type="pct"/>
            <w:tcBorders>
              <w:top w:val="nil"/>
              <w:left w:val="nil"/>
              <w:bottom w:val="dotted" w:sz="4" w:space="0" w:color="auto"/>
              <w:right w:val="dotted" w:sz="4" w:space="0" w:color="auto"/>
            </w:tcBorders>
            <w:shd w:val="clear" w:color="000000" w:fill="FFFFFF"/>
            <w:vAlign w:val="center"/>
          </w:tcPr>
          <w:p w14:paraId="41EE2368" w14:textId="77777777" w:rsidR="006F605B" w:rsidRPr="00DC66CD" w:rsidRDefault="006F605B" w:rsidP="00131DA1">
            <w:pPr>
              <w:spacing w:after="0" w:line="240" w:lineRule="auto"/>
              <w:jc w:val="right"/>
              <w:rPr>
                <w:rFonts w:ascii="Garamond" w:eastAsia="Times New Roman" w:hAnsi="Garamond"/>
                <w:sz w:val="20"/>
                <w:szCs w:val="20"/>
              </w:rPr>
            </w:pPr>
            <w:r w:rsidRPr="00DC66CD">
              <w:rPr>
                <w:rFonts w:ascii="Garamond" w:hAnsi="Garamond"/>
                <w:sz w:val="20"/>
                <w:szCs w:val="20"/>
              </w:rPr>
              <w:t>-8.6</w:t>
            </w:r>
          </w:p>
        </w:tc>
        <w:tc>
          <w:tcPr>
            <w:tcW w:w="516" w:type="pct"/>
            <w:tcBorders>
              <w:top w:val="nil"/>
              <w:left w:val="nil"/>
              <w:bottom w:val="dotted" w:sz="4" w:space="0" w:color="auto"/>
              <w:right w:val="dotted" w:sz="4" w:space="0" w:color="auto"/>
            </w:tcBorders>
            <w:shd w:val="clear" w:color="000000" w:fill="FFFFFF"/>
            <w:vAlign w:val="center"/>
          </w:tcPr>
          <w:p w14:paraId="67D1156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-7.6</w:t>
            </w:r>
          </w:p>
        </w:tc>
        <w:tc>
          <w:tcPr>
            <w:tcW w:w="369" w:type="pct"/>
            <w:tcBorders>
              <w:top w:val="nil"/>
              <w:left w:val="nil"/>
              <w:bottom w:val="dotted" w:sz="4" w:space="0" w:color="auto"/>
              <w:right w:val="dotted" w:sz="4" w:space="0" w:color="auto"/>
            </w:tcBorders>
            <w:shd w:val="clear" w:color="000000" w:fill="FFFFFF"/>
            <w:vAlign w:val="center"/>
          </w:tcPr>
          <w:p w14:paraId="5B2E512D"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-7.5</w:t>
            </w:r>
          </w:p>
        </w:tc>
        <w:tc>
          <w:tcPr>
            <w:tcW w:w="369" w:type="pct"/>
            <w:tcBorders>
              <w:top w:val="nil"/>
              <w:left w:val="nil"/>
              <w:bottom w:val="dotted" w:sz="4" w:space="0" w:color="auto"/>
              <w:right w:val="dotted" w:sz="4" w:space="0" w:color="auto"/>
            </w:tcBorders>
            <w:shd w:val="clear" w:color="000000" w:fill="FFFFFF"/>
            <w:vAlign w:val="center"/>
          </w:tcPr>
          <w:p w14:paraId="1AED1FDD"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-6.8</w:t>
            </w:r>
          </w:p>
        </w:tc>
        <w:tc>
          <w:tcPr>
            <w:tcW w:w="369" w:type="pct"/>
            <w:tcBorders>
              <w:top w:val="nil"/>
              <w:left w:val="nil"/>
              <w:bottom w:val="dotted" w:sz="4" w:space="0" w:color="auto"/>
              <w:right w:val="double" w:sz="6" w:space="0" w:color="auto"/>
            </w:tcBorders>
            <w:shd w:val="clear" w:color="000000" w:fill="FFFFFF"/>
            <w:vAlign w:val="center"/>
          </w:tcPr>
          <w:p w14:paraId="15EC261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-8.0</w:t>
            </w:r>
          </w:p>
        </w:tc>
      </w:tr>
      <w:tr w:rsidR="006F605B" w:rsidRPr="00DC66CD" w14:paraId="357D443B" w14:textId="77777777" w:rsidTr="00E372C0">
        <w:trPr>
          <w:trHeight w:val="319"/>
        </w:trPr>
        <w:tc>
          <w:tcPr>
            <w:tcW w:w="1982" w:type="pct"/>
            <w:tcBorders>
              <w:top w:val="nil"/>
              <w:left w:val="double" w:sz="6" w:space="0" w:color="auto"/>
              <w:bottom w:val="dotted" w:sz="4" w:space="0" w:color="auto"/>
              <w:right w:val="dotted" w:sz="4" w:space="0" w:color="auto"/>
            </w:tcBorders>
            <w:shd w:val="clear" w:color="000000" w:fill="FFFFFF"/>
            <w:hideMark/>
          </w:tcPr>
          <w:p w14:paraId="258B5DB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 Net International Investment Position</w:t>
            </w:r>
          </w:p>
        </w:tc>
        <w:tc>
          <w:tcPr>
            <w:tcW w:w="879" w:type="pct"/>
            <w:tcBorders>
              <w:top w:val="nil"/>
              <w:left w:val="nil"/>
              <w:bottom w:val="dotted" w:sz="4" w:space="0" w:color="auto"/>
              <w:right w:val="single" w:sz="8" w:space="0" w:color="auto"/>
            </w:tcBorders>
            <w:shd w:val="clear" w:color="000000" w:fill="FFFFFF"/>
            <w:hideMark/>
          </w:tcPr>
          <w:p w14:paraId="6E975A3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of GDP</w:t>
            </w:r>
          </w:p>
        </w:tc>
        <w:tc>
          <w:tcPr>
            <w:tcW w:w="516" w:type="pct"/>
            <w:tcBorders>
              <w:top w:val="nil"/>
              <w:left w:val="nil"/>
              <w:bottom w:val="dotted" w:sz="4" w:space="0" w:color="auto"/>
              <w:right w:val="dotted" w:sz="4" w:space="0" w:color="auto"/>
            </w:tcBorders>
            <w:shd w:val="clear" w:color="000000" w:fill="FFFFFF"/>
            <w:vAlign w:val="center"/>
          </w:tcPr>
          <w:p w14:paraId="3F6E0D23"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516" w:type="pct"/>
            <w:tcBorders>
              <w:top w:val="nil"/>
              <w:left w:val="nil"/>
              <w:bottom w:val="dotted" w:sz="4" w:space="0" w:color="auto"/>
              <w:right w:val="dotted" w:sz="4" w:space="0" w:color="auto"/>
            </w:tcBorders>
            <w:shd w:val="clear" w:color="000000" w:fill="FFFFFF"/>
            <w:vAlign w:val="center"/>
          </w:tcPr>
          <w:p w14:paraId="7BFAC11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5DCDA2B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34E7EB9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uble" w:sz="6" w:space="0" w:color="auto"/>
            </w:tcBorders>
            <w:shd w:val="clear" w:color="000000" w:fill="FFFFFF"/>
            <w:vAlign w:val="center"/>
          </w:tcPr>
          <w:p w14:paraId="4045168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073A1C54" w14:textId="77777777" w:rsidTr="00E372C0">
        <w:trPr>
          <w:trHeight w:val="319"/>
        </w:trPr>
        <w:tc>
          <w:tcPr>
            <w:tcW w:w="1982" w:type="pct"/>
            <w:tcBorders>
              <w:top w:val="nil"/>
              <w:left w:val="double" w:sz="6" w:space="0" w:color="auto"/>
              <w:bottom w:val="dotted" w:sz="4" w:space="0" w:color="auto"/>
              <w:right w:val="dotted" w:sz="4" w:space="0" w:color="auto"/>
            </w:tcBorders>
            <w:shd w:val="clear" w:color="000000" w:fill="FFFFFF"/>
            <w:hideMark/>
          </w:tcPr>
          <w:p w14:paraId="21AF5E75"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3. Export market shares</w:t>
            </w:r>
          </w:p>
        </w:tc>
        <w:tc>
          <w:tcPr>
            <w:tcW w:w="879" w:type="pct"/>
            <w:tcBorders>
              <w:top w:val="nil"/>
              <w:left w:val="nil"/>
              <w:bottom w:val="dotted" w:sz="4" w:space="0" w:color="auto"/>
              <w:right w:val="single" w:sz="8" w:space="0" w:color="auto"/>
            </w:tcBorders>
            <w:shd w:val="clear" w:color="000000" w:fill="FFFFFF"/>
            <w:hideMark/>
          </w:tcPr>
          <w:p w14:paraId="5FC76BD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y-o-y</w:t>
            </w:r>
          </w:p>
        </w:tc>
        <w:tc>
          <w:tcPr>
            <w:tcW w:w="516" w:type="pct"/>
            <w:tcBorders>
              <w:top w:val="nil"/>
              <w:left w:val="nil"/>
              <w:bottom w:val="dotted" w:sz="4" w:space="0" w:color="auto"/>
              <w:right w:val="dotted" w:sz="4" w:space="0" w:color="auto"/>
            </w:tcBorders>
            <w:shd w:val="clear" w:color="000000" w:fill="FFFFFF"/>
            <w:vAlign w:val="center"/>
          </w:tcPr>
          <w:p w14:paraId="00821ACA"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516" w:type="pct"/>
            <w:tcBorders>
              <w:top w:val="nil"/>
              <w:left w:val="nil"/>
              <w:bottom w:val="dotted" w:sz="4" w:space="0" w:color="auto"/>
              <w:right w:val="dotted" w:sz="4" w:space="0" w:color="auto"/>
            </w:tcBorders>
            <w:shd w:val="clear" w:color="000000" w:fill="FFFFFF"/>
            <w:vAlign w:val="center"/>
          </w:tcPr>
          <w:p w14:paraId="1A4A638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32D8984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3A5661D3"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uble" w:sz="6" w:space="0" w:color="auto"/>
            </w:tcBorders>
            <w:shd w:val="clear" w:color="000000" w:fill="FFFFFF"/>
            <w:vAlign w:val="center"/>
          </w:tcPr>
          <w:p w14:paraId="1EF3BA2D"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6E7D8839" w14:textId="77777777" w:rsidTr="00E372C0">
        <w:trPr>
          <w:trHeight w:val="319"/>
        </w:trPr>
        <w:tc>
          <w:tcPr>
            <w:tcW w:w="1982" w:type="pct"/>
            <w:tcBorders>
              <w:top w:val="nil"/>
              <w:left w:val="double" w:sz="6" w:space="0" w:color="auto"/>
              <w:bottom w:val="dotted" w:sz="4" w:space="0" w:color="auto"/>
              <w:right w:val="dotted" w:sz="4" w:space="0" w:color="auto"/>
            </w:tcBorders>
            <w:shd w:val="clear" w:color="000000" w:fill="FFFFFF"/>
            <w:hideMark/>
          </w:tcPr>
          <w:p w14:paraId="5B5D7D0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4. Real Effective Exchange Rate</w:t>
            </w:r>
            <w:r w:rsidRPr="00DC66CD">
              <w:rPr>
                <w:rStyle w:val="FootnoteReference"/>
                <w:rFonts w:ascii="Garamond" w:hAnsi="Garamond"/>
                <w:color w:val="0D0D0D" w:themeColor="text1" w:themeTint="F2"/>
                <w:sz w:val="20"/>
                <w:szCs w:val="20"/>
              </w:rPr>
              <w:footnoteReference w:id="46"/>
            </w:r>
          </w:p>
        </w:tc>
        <w:tc>
          <w:tcPr>
            <w:tcW w:w="879" w:type="pct"/>
            <w:tcBorders>
              <w:top w:val="nil"/>
              <w:left w:val="nil"/>
              <w:bottom w:val="dotted" w:sz="4" w:space="0" w:color="auto"/>
              <w:right w:val="single" w:sz="8" w:space="0" w:color="auto"/>
            </w:tcBorders>
            <w:shd w:val="clear" w:color="000000" w:fill="FFFFFF"/>
            <w:hideMark/>
          </w:tcPr>
          <w:p w14:paraId="2C9296CA"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y-o-y</w:t>
            </w:r>
          </w:p>
        </w:tc>
        <w:tc>
          <w:tcPr>
            <w:tcW w:w="516" w:type="pct"/>
            <w:tcBorders>
              <w:top w:val="nil"/>
              <w:left w:val="nil"/>
              <w:bottom w:val="dotted" w:sz="4" w:space="0" w:color="auto"/>
              <w:right w:val="dotted" w:sz="4" w:space="0" w:color="auto"/>
            </w:tcBorders>
            <w:shd w:val="clear" w:color="000000" w:fill="FFFFFF"/>
            <w:vAlign w:val="center"/>
          </w:tcPr>
          <w:p w14:paraId="0EAF990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516" w:type="pct"/>
            <w:tcBorders>
              <w:top w:val="nil"/>
              <w:left w:val="nil"/>
              <w:bottom w:val="dotted" w:sz="4" w:space="0" w:color="auto"/>
              <w:right w:val="dotted" w:sz="4" w:space="0" w:color="auto"/>
            </w:tcBorders>
            <w:shd w:val="clear" w:color="000000" w:fill="FFFFFF"/>
            <w:vAlign w:val="center"/>
          </w:tcPr>
          <w:p w14:paraId="018E6CA0"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4FE9E9C0"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5BB94A5C"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uble" w:sz="6" w:space="0" w:color="auto"/>
            </w:tcBorders>
            <w:shd w:val="clear" w:color="000000" w:fill="FFFFFF"/>
            <w:vAlign w:val="center"/>
          </w:tcPr>
          <w:p w14:paraId="6E668808"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04A37944" w14:textId="77777777" w:rsidTr="00E372C0">
        <w:trPr>
          <w:trHeight w:val="319"/>
        </w:trPr>
        <w:tc>
          <w:tcPr>
            <w:tcW w:w="1982" w:type="pct"/>
            <w:tcBorders>
              <w:top w:val="nil"/>
              <w:left w:val="double" w:sz="6" w:space="0" w:color="auto"/>
              <w:bottom w:val="dotted" w:sz="4" w:space="0" w:color="auto"/>
              <w:right w:val="dotted" w:sz="4" w:space="0" w:color="auto"/>
            </w:tcBorders>
            <w:shd w:val="clear" w:color="000000" w:fill="FFFFFF"/>
            <w:hideMark/>
          </w:tcPr>
          <w:p w14:paraId="60DFF382"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5. Nominal Unit Labor Costs</w:t>
            </w:r>
          </w:p>
        </w:tc>
        <w:tc>
          <w:tcPr>
            <w:tcW w:w="879" w:type="pct"/>
            <w:tcBorders>
              <w:top w:val="nil"/>
              <w:left w:val="nil"/>
              <w:bottom w:val="dotted" w:sz="4" w:space="0" w:color="auto"/>
              <w:right w:val="single" w:sz="8" w:space="0" w:color="auto"/>
            </w:tcBorders>
            <w:shd w:val="clear" w:color="000000" w:fill="FFFFFF"/>
            <w:hideMark/>
          </w:tcPr>
          <w:p w14:paraId="0A8DA55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y-o-y</w:t>
            </w:r>
          </w:p>
        </w:tc>
        <w:tc>
          <w:tcPr>
            <w:tcW w:w="516" w:type="pct"/>
            <w:tcBorders>
              <w:top w:val="nil"/>
              <w:left w:val="nil"/>
              <w:bottom w:val="dotted" w:sz="4" w:space="0" w:color="auto"/>
              <w:right w:val="dotted" w:sz="4" w:space="0" w:color="auto"/>
            </w:tcBorders>
            <w:shd w:val="clear" w:color="000000" w:fill="FFFFFF"/>
            <w:vAlign w:val="center"/>
          </w:tcPr>
          <w:p w14:paraId="770D79CF"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516" w:type="pct"/>
            <w:tcBorders>
              <w:top w:val="nil"/>
              <w:left w:val="nil"/>
              <w:bottom w:val="dotted" w:sz="4" w:space="0" w:color="auto"/>
              <w:right w:val="dotted" w:sz="4" w:space="0" w:color="auto"/>
            </w:tcBorders>
            <w:shd w:val="clear" w:color="000000" w:fill="FFFFFF"/>
            <w:vAlign w:val="center"/>
          </w:tcPr>
          <w:p w14:paraId="5B06EDAA"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33D8692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1046C13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uble" w:sz="6" w:space="0" w:color="auto"/>
            </w:tcBorders>
            <w:shd w:val="clear" w:color="000000" w:fill="FFFFFF"/>
            <w:vAlign w:val="center"/>
          </w:tcPr>
          <w:p w14:paraId="056EBF0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563B0B3D" w14:textId="77777777" w:rsidTr="00E372C0">
        <w:trPr>
          <w:trHeight w:val="319"/>
        </w:trPr>
        <w:tc>
          <w:tcPr>
            <w:tcW w:w="1982" w:type="pct"/>
            <w:tcBorders>
              <w:top w:val="nil"/>
              <w:left w:val="double" w:sz="6" w:space="0" w:color="auto"/>
              <w:bottom w:val="dotted" w:sz="4" w:space="0" w:color="auto"/>
              <w:right w:val="dotted" w:sz="4" w:space="0" w:color="auto"/>
            </w:tcBorders>
            <w:shd w:val="clear" w:color="000000" w:fill="FFFFFF"/>
            <w:hideMark/>
          </w:tcPr>
          <w:p w14:paraId="0E6FD3A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6. Private sector credit flow</w:t>
            </w:r>
          </w:p>
        </w:tc>
        <w:tc>
          <w:tcPr>
            <w:tcW w:w="879" w:type="pct"/>
            <w:tcBorders>
              <w:top w:val="nil"/>
              <w:left w:val="nil"/>
              <w:bottom w:val="dotted" w:sz="4" w:space="0" w:color="auto"/>
              <w:right w:val="single" w:sz="8" w:space="0" w:color="auto"/>
            </w:tcBorders>
            <w:shd w:val="clear" w:color="000000" w:fill="FFFFFF"/>
            <w:hideMark/>
          </w:tcPr>
          <w:p w14:paraId="7316D4F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of GDP</w:t>
            </w:r>
          </w:p>
        </w:tc>
        <w:tc>
          <w:tcPr>
            <w:tcW w:w="516" w:type="pct"/>
            <w:tcBorders>
              <w:top w:val="nil"/>
              <w:left w:val="nil"/>
              <w:bottom w:val="dotted" w:sz="4" w:space="0" w:color="auto"/>
              <w:right w:val="dotted" w:sz="4" w:space="0" w:color="auto"/>
            </w:tcBorders>
            <w:shd w:val="clear" w:color="000000" w:fill="FFFFFF"/>
            <w:vAlign w:val="center"/>
          </w:tcPr>
          <w:p w14:paraId="4DF46C1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516" w:type="pct"/>
            <w:tcBorders>
              <w:top w:val="nil"/>
              <w:left w:val="nil"/>
              <w:bottom w:val="dotted" w:sz="4" w:space="0" w:color="auto"/>
              <w:right w:val="dotted" w:sz="4" w:space="0" w:color="auto"/>
            </w:tcBorders>
            <w:shd w:val="clear" w:color="000000" w:fill="FFFFFF"/>
            <w:vAlign w:val="center"/>
          </w:tcPr>
          <w:p w14:paraId="34E33A9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0C4ABDD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2A60DF68"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uble" w:sz="6" w:space="0" w:color="auto"/>
            </w:tcBorders>
            <w:shd w:val="clear" w:color="000000" w:fill="FFFFFF"/>
            <w:vAlign w:val="center"/>
          </w:tcPr>
          <w:p w14:paraId="6167628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33B8CDE2" w14:textId="77777777" w:rsidTr="00E372C0">
        <w:trPr>
          <w:trHeight w:val="319"/>
        </w:trPr>
        <w:tc>
          <w:tcPr>
            <w:tcW w:w="1982" w:type="pct"/>
            <w:tcBorders>
              <w:top w:val="nil"/>
              <w:left w:val="double" w:sz="6" w:space="0" w:color="auto"/>
              <w:bottom w:val="dotted" w:sz="4" w:space="0" w:color="auto"/>
              <w:right w:val="dotted" w:sz="4" w:space="0" w:color="auto"/>
            </w:tcBorders>
            <w:shd w:val="clear" w:color="000000" w:fill="FFFFFF"/>
            <w:hideMark/>
          </w:tcPr>
          <w:p w14:paraId="322B003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7. Private sector debt</w:t>
            </w:r>
          </w:p>
        </w:tc>
        <w:tc>
          <w:tcPr>
            <w:tcW w:w="879" w:type="pct"/>
            <w:tcBorders>
              <w:top w:val="nil"/>
              <w:left w:val="nil"/>
              <w:bottom w:val="dotted" w:sz="4" w:space="0" w:color="auto"/>
              <w:right w:val="single" w:sz="8" w:space="0" w:color="auto"/>
            </w:tcBorders>
            <w:shd w:val="clear" w:color="000000" w:fill="FFFFFF"/>
            <w:hideMark/>
          </w:tcPr>
          <w:p w14:paraId="36B4551D"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of GDP</w:t>
            </w:r>
          </w:p>
        </w:tc>
        <w:tc>
          <w:tcPr>
            <w:tcW w:w="516" w:type="pct"/>
            <w:tcBorders>
              <w:top w:val="nil"/>
              <w:left w:val="nil"/>
              <w:bottom w:val="dotted" w:sz="4" w:space="0" w:color="auto"/>
              <w:right w:val="dotted" w:sz="4" w:space="0" w:color="auto"/>
            </w:tcBorders>
            <w:shd w:val="clear" w:color="000000" w:fill="FFFFFF"/>
            <w:vAlign w:val="center"/>
          </w:tcPr>
          <w:p w14:paraId="3F31FB2C"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516" w:type="pct"/>
            <w:tcBorders>
              <w:top w:val="nil"/>
              <w:left w:val="nil"/>
              <w:bottom w:val="dotted" w:sz="4" w:space="0" w:color="auto"/>
              <w:right w:val="dotted" w:sz="4" w:space="0" w:color="auto"/>
            </w:tcBorders>
            <w:shd w:val="clear" w:color="000000" w:fill="FFFFFF"/>
            <w:vAlign w:val="center"/>
          </w:tcPr>
          <w:p w14:paraId="7B7DA55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1E3C089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tted" w:sz="4" w:space="0" w:color="auto"/>
            </w:tcBorders>
            <w:shd w:val="clear" w:color="000000" w:fill="FFFFFF"/>
            <w:vAlign w:val="center"/>
          </w:tcPr>
          <w:p w14:paraId="00216B23"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369" w:type="pct"/>
            <w:tcBorders>
              <w:top w:val="nil"/>
              <w:left w:val="nil"/>
              <w:bottom w:val="dotted" w:sz="4" w:space="0" w:color="auto"/>
              <w:right w:val="double" w:sz="6" w:space="0" w:color="auto"/>
            </w:tcBorders>
            <w:shd w:val="clear" w:color="000000" w:fill="FFFFFF"/>
            <w:vAlign w:val="center"/>
          </w:tcPr>
          <w:p w14:paraId="1D17C3A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4329B0CA" w14:textId="77777777" w:rsidTr="00E372C0">
        <w:trPr>
          <w:trHeight w:val="319"/>
        </w:trPr>
        <w:tc>
          <w:tcPr>
            <w:tcW w:w="1982" w:type="pct"/>
            <w:tcBorders>
              <w:top w:val="nil"/>
              <w:left w:val="double" w:sz="6" w:space="0" w:color="auto"/>
              <w:bottom w:val="double" w:sz="6" w:space="0" w:color="auto"/>
              <w:right w:val="dotted" w:sz="4" w:space="0" w:color="auto"/>
            </w:tcBorders>
            <w:shd w:val="clear" w:color="000000" w:fill="FFFFFF"/>
            <w:hideMark/>
          </w:tcPr>
          <w:p w14:paraId="53BF2986"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8. General Government Debt</w:t>
            </w:r>
          </w:p>
        </w:tc>
        <w:tc>
          <w:tcPr>
            <w:tcW w:w="879" w:type="pct"/>
            <w:tcBorders>
              <w:top w:val="nil"/>
              <w:left w:val="nil"/>
              <w:bottom w:val="double" w:sz="6" w:space="0" w:color="auto"/>
              <w:right w:val="single" w:sz="8" w:space="0" w:color="auto"/>
            </w:tcBorders>
            <w:shd w:val="clear" w:color="000000" w:fill="FFFFFF"/>
            <w:hideMark/>
          </w:tcPr>
          <w:p w14:paraId="67A8CC06"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of GDP</w:t>
            </w:r>
          </w:p>
        </w:tc>
        <w:tc>
          <w:tcPr>
            <w:tcW w:w="516" w:type="pct"/>
            <w:tcBorders>
              <w:top w:val="nil"/>
              <w:left w:val="nil"/>
              <w:bottom w:val="double" w:sz="6" w:space="0" w:color="auto"/>
              <w:right w:val="dotted" w:sz="4" w:space="0" w:color="auto"/>
            </w:tcBorders>
            <w:shd w:val="clear" w:color="000000" w:fill="FFFFFF"/>
            <w:vAlign w:val="center"/>
          </w:tcPr>
          <w:p w14:paraId="51A7F3EC"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72.7</w:t>
            </w:r>
          </w:p>
        </w:tc>
        <w:tc>
          <w:tcPr>
            <w:tcW w:w="516" w:type="pct"/>
            <w:tcBorders>
              <w:top w:val="nil"/>
              <w:left w:val="nil"/>
              <w:bottom w:val="double" w:sz="6" w:space="0" w:color="auto"/>
              <w:right w:val="dotted" w:sz="4" w:space="0" w:color="auto"/>
            </w:tcBorders>
            <w:shd w:val="clear" w:color="000000" w:fill="FFFFFF"/>
            <w:vAlign w:val="center"/>
          </w:tcPr>
          <w:p w14:paraId="3345743C"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72.4</w:t>
            </w:r>
          </w:p>
        </w:tc>
        <w:tc>
          <w:tcPr>
            <w:tcW w:w="369" w:type="pct"/>
            <w:tcBorders>
              <w:top w:val="nil"/>
              <w:left w:val="nil"/>
              <w:bottom w:val="double" w:sz="6" w:space="0" w:color="auto"/>
              <w:right w:val="dotted" w:sz="4" w:space="0" w:color="auto"/>
            </w:tcBorders>
            <w:shd w:val="clear" w:color="auto" w:fill="auto"/>
            <w:vAlign w:val="center"/>
          </w:tcPr>
          <w:p w14:paraId="0A88F0ED"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70.1</w:t>
            </w:r>
          </w:p>
        </w:tc>
        <w:tc>
          <w:tcPr>
            <w:tcW w:w="369" w:type="pct"/>
            <w:tcBorders>
              <w:top w:val="nil"/>
              <w:left w:val="nil"/>
              <w:bottom w:val="double" w:sz="6" w:space="0" w:color="auto"/>
              <w:right w:val="dotted" w:sz="4" w:space="0" w:color="auto"/>
            </w:tcBorders>
            <w:shd w:val="clear" w:color="auto" w:fill="auto"/>
            <w:vAlign w:val="center"/>
          </w:tcPr>
          <w:p w14:paraId="428F606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67.9</w:t>
            </w:r>
          </w:p>
        </w:tc>
        <w:tc>
          <w:tcPr>
            <w:tcW w:w="369" w:type="pct"/>
            <w:tcBorders>
              <w:top w:val="nil"/>
              <w:left w:val="nil"/>
              <w:bottom w:val="double" w:sz="6" w:space="0" w:color="auto"/>
              <w:right w:val="double" w:sz="6" w:space="0" w:color="auto"/>
            </w:tcBorders>
            <w:shd w:val="clear" w:color="auto" w:fill="auto"/>
            <w:vAlign w:val="center"/>
          </w:tcPr>
          <w:p w14:paraId="1171507E"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66.2</w:t>
            </w:r>
          </w:p>
        </w:tc>
      </w:tr>
    </w:tbl>
    <w:p w14:paraId="31700602"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31A33F4A" w14:textId="77777777" w:rsidR="006F605B" w:rsidRPr="00DC66CD" w:rsidRDefault="006F605B" w:rsidP="006F605B">
      <w:pPr>
        <w:pStyle w:val="Heading2"/>
        <w:spacing w:before="0" w:line="240" w:lineRule="auto"/>
        <w:ind w:firstLine="284"/>
        <w:rPr>
          <w:rFonts w:ascii="Garamond" w:hAnsi="Garamond"/>
          <w:color w:val="000000" w:themeColor="text1"/>
          <w:sz w:val="24"/>
          <w:szCs w:val="24"/>
        </w:rPr>
      </w:pPr>
      <w:bookmarkStart w:id="79" w:name="_Toc536784313"/>
      <w:bookmarkStart w:id="80" w:name="_Toc30661248"/>
      <w:r w:rsidRPr="00DC66CD">
        <w:rPr>
          <w:rFonts w:ascii="Garamond" w:hAnsi="Garamond"/>
          <w:color w:val="000000" w:themeColor="text1"/>
          <w:sz w:val="24"/>
          <w:szCs w:val="24"/>
        </w:rPr>
        <w:t>Tabela 2a: Perspektivat e pergjithshme buxhetore të qeverisë</w:t>
      </w:r>
      <w:bookmarkEnd w:id="79"/>
      <w:bookmarkEnd w:id="80"/>
    </w:p>
    <w:tbl>
      <w:tblPr>
        <w:tblW w:w="9851" w:type="dxa"/>
        <w:tblLayout w:type="fixed"/>
        <w:tblLook w:val="04A0" w:firstRow="1" w:lastRow="0" w:firstColumn="1" w:lastColumn="0" w:noHBand="0" w:noVBand="1"/>
      </w:tblPr>
      <w:tblGrid>
        <w:gridCol w:w="4128"/>
        <w:gridCol w:w="1014"/>
        <w:gridCol w:w="1014"/>
        <w:gridCol w:w="737"/>
        <w:gridCol w:w="737"/>
        <w:gridCol w:w="737"/>
        <w:gridCol w:w="737"/>
        <w:gridCol w:w="737"/>
        <w:gridCol w:w="10"/>
      </w:tblGrid>
      <w:tr w:rsidR="006F605B" w:rsidRPr="00DC66CD" w14:paraId="7BD180DD" w14:textId="77777777" w:rsidTr="004F4E33">
        <w:trPr>
          <w:gridAfter w:val="1"/>
          <w:wAfter w:w="10" w:type="dxa"/>
          <w:trHeight w:val="306"/>
        </w:trPr>
        <w:tc>
          <w:tcPr>
            <w:tcW w:w="4128" w:type="dxa"/>
            <w:vMerge w:val="restart"/>
            <w:tcBorders>
              <w:top w:val="double" w:sz="6" w:space="0" w:color="auto"/>
              <w:left w:val="double" w:sz="6" w:space="0" w:color="auto"/>
              <w:bottom w:val="nil"/>
              <w:right w:val="dotted" w:sz="4" w:space="0" w:color="auto"/>
            </w:tcBorders>
            <w:shd w:val="clear" w:color="000000" w:fill="FFFFFF"/>
            <w:vAlign w:val="center"/>
            <w:hideMark/>
          </w:tcPr>
          <w:p w14:paraId="5EBFB513" w14:textId="483385B3"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1014" w:type="dxa"/>
            <w:vMerge w:val="restart"/>
            <w:tcBorders>
              <w:top w:val="double" w:sz="6" w:space="0" w:color="auto"/>
              <w:left w:val="dotted" w:sz="4" w:space="0" w:color="auto"/>
              <w:bottom w:val="single" w:sz="8" w:space="0" w:color="000000"/>
              <w:right w:val="single" w:sz="8" w:space="0" w:color="auto"/>
            </w:tcBorders>
            <w:shd w:val="clear" w:color="000000" w:fill="FFFFFF"/>
            <w:vAlign w:val="center"/>
            <w:hideMark/>
          </w:tcPr>
          <w:p w14:paraId="7B9286C5"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ESA code</w:t>
            </w:r>
          </w:p>
        </w:tc>
        <w:tc>
          <w:tcPr>
            <w:tcW w:w="1014" w:type="dxa"/>
            <w:tcBorders>
              <w:top w:val="double" w:sz="6" w:space="0" w:color="auto"/>
              <w:left w:val="single" w:sz="8" w:space="0" w:color="auto"/>
              <w:bottom w:val="nil"/>
              <w:right w:val="single" w:sz="8" w:space="0" w:color="auto"/>
            </w:tcBorders>
            <w:shd w:val="clear" w:color="000000" w:fill="FFFFFF"/>
            <w:vAlign w:val="center"/>
            <w:hideMark/>
          </w:tcPr>
          <w:p w14:paraId="3F4930D9"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737" w:type="dxa"/>
            <w:tcBorders>
              <w:top w:val="double" w:sz="6" w:space="0" w:color="auto"/>
              <w:left w:val="nil"/>
              <w:bottom w:val="nil"/>
              <w:right w:val="dotted" w:sz="4" w:space="0" w:color="auto"/>
            </w:tcBorders>
            <w:shd w:val="clear" w:color="000000" w:fill="FFFFFF"/>
            <w:vAlign w:val="center"/>
            <w:hideMark/>
          </w:tcPr>
          <w:p w14:paraId="75E3C347"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737" w:type="dxa"/>
            <w:tcBorders>
              <w:top w:val="double" w:sz="6" w:space="0" w:color="auto"/>
              <w:left w:val="nil"/>
              <w:bottom w:val="nil"/>
              <w:right w:val="dotted" w:sz="4" w:space="0" w:color="auto"/>
            </w:tcBorders>
            <w:shd w:val="clear" w:color="000000" w:fill="FFFFFF"/>
            <w:vAlign w:val="center"/>
            <w:hideMark/>
          </w:tcPr>
          <w:p w14:paraId="3DC781D0"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737" w:type="dxa"/>
            <w:tcBorders>
              <w:top w:val="double" w:sz="6" w:space="0" w:color="auto"/>
              <w:left w:val="nil"/>
              <w:bottom w:val="nil"/>
              <w:right w:val="dotted" w:sz="4" w:space="0" w:color="auto"/>
            </w:tcBorders>
            <w:shd w:val="clear" w:color="000000" w:fill="FFFFFF"/>
            <w:vAlign w:val="center"/>
            <w:hideMark/>
          </w:tcPr>
          <w:p w14:paraId="29CBEEB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737" w:type="dxa"/>
            <w:tcBorders>
              <w:top w:val="double" w:sz="6" w:space="0" w:color="auto"/>
              <w:left w:val="nil"/>
              <w:bottom w:val="nil"/>
              <w:right w:val="dotted" w:sz="4" w:space="0" w:color="auto"/>
            </w:tcBorders>
            <w:shd w:val="clear" w:color="000000" w:fill="FFFFFF"/>
            <w:vAlign w:val="center"/>
            <w:hideMark/>
          </w:tcPr>
          <w:p w14:paraId="0F90C5E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737" w:type="dxa"/>
            <w:tcBorders>
              <w:top w:val="double" w:sz="6" w:space="0" w:color="auto"/>
              <w:left w:val="nil"/>
              <w:bottom w:val="nil"/>
              <w:right w:val="double" w:sz="6" w:space="0" w:color="auto"/>
            </w:tcBorders>
            <w:shd w:val="clear" w:color="000000" w:fill="FFFFFF"/>
            <w:vAlign w:val="center"/>
            <w:hideMark/>
          </w:tcPr>
          <w:p w14:paraId="400430D0"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48D48926" w14:textId="77777777" w:rsidTr="004F4E33">
        <w:trPr>
          <w:gridAfter w:val="1"/>
          <w:wAfter w:w="10" w:type="dxa"/>
          <w:trHeight w:val="293"/>
        </w:trPr>
        <w:tc>
          <w:tcPr>
            <w:tcW w:w="4128" w:type="dxa"/>
            <w:vMerge/>
            <w:tcBorders>
              <w:top w:val="double" w:sz="6" w:space="0" w:color="auto"/>
              <w:left w:val="double" w:sz="6" w:space="0" w:color="auto"/>
              <w:bottom w:val="nil"/>
              <w:right w:val="dotted" w:sz="4" w:space="0" w:color="auto"/>
            </w:tcBorders>
            <w:vAlign w:val="center"/>
            <w:hideMark/>
          </w:tcPr>
          <w:p w14:paraId="2F498E4E"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1014" w:type="dxa"/>
            <w:vMerge/>
            <w:tcBorders>
              <w:top w:val="double" w:sz="6" w:space="0" w:color="auto"/>
              <w:left w:val="dotted" w:sz="4" w:space="0" w:color="auto"/>
              <w:bottom w:val="single" w:sz="8" w:space="0" w:color="000000"/>
              <w:right w:val="single" w:sz="8" w:space="0" w:color="auto"/>
            </w:tcBorders>
            <w:vAlign w:val="center"/>
            <w:hideMark/>
          </w:tcPr>
          <w:p w14:paraId="33E50F18"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1014" w:type="dxa"/>
            <w:tcBorders>
              <w:top w:val="nil"/>
              <w:left w:val="single" w:sz="8" w:space="0" w:color="auto"/>
              <w:bottom w:val="dotted" w:sz="4" w:space="0" w:color="auto"/>
              <w:right w:val="single" w:sz="8" w:space="0" w:color="auto"/>
            </w:tcBorders>
            <w:shd w:val="clear" w:color="000000" w:fill="FFFFFF"/>
            <w:vAlign w:val="center"/>
            <w:hideMark/>
          </w:tcPr>
          <w:p w14:paraId="7580CD8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737" w:type="dxa"/>
            <w:tcBorders>
              <w:top w:val="nil"/>
              <w:left w:val="nil"/>
              <w:bottom w:val="dotted" w:sz="4" w:space="0" w:color="auto"/>
              <w:right w:val="dotted" w:sz="4" w:space="0" w:color="auto"/>
            </w:tcBorders>
            <w:shd w:val="clear" w:color="000000" w:fill="FFFFFF"/>
            <w:vAlign w:val="center"/>
            <w:hideMark/>
          </w:tcPr>
          <w:p w14:paraId="6958BA2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737" w:type="dxa"/>
            <w:tcBorders>
              <w:top w:val="nil"/>
              <w:left w:val="nil"/>
              <w:bottom w:val="dotted" w:sz="4" w:space="0" w:color="auto"/>
              <w:right w:val="dotted" w:sz="4" w:space="0" w:color="auto"/>
            </w:tcBorders>
            <w:shd w:val="clear" w:color="000000" w:fill="FFFFFF"/>
            <w:vAlign w:val="center"/>
            <w:hideMark/>
          </w:tcPr>
          <w:p w14:paraId="0BE99654"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737" w:type="dxa"/>
            <w:tcBorders>
              <w:top w:val="nil"/>
              <w:left w:val="nil"/>
              <w:bottom w:val="dotted" w:sz="4" w:space="0" w:color="auto"/>
              <w:right w:val="dotted" w:sz="4" w:space="0" w:color="auto"/>
            </w:tcBorders>
            <w:shd w:val="clear" w:color="000000" w:fill="FFFFFF"/>
            <w:vAlign w:val="center"/>
            <w:hideMark/>
          </w:tcPr>
          <w:p w14:paraId="1B38BE2E"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737" w:type="dxa"/>
            <w:tcBorders>
              <w:top w:val="nil"/>
              <w:left w:val="nil"/>
              <w:bottom w:val="dotted" w:sz="4" w:space="0" w:color="auto"/>
              <w:right w:val="dotted" w:sz="4" w:space="0" w:color="auto"/>
            </w:tcBorders>
            <w:shd w:val="clear" w:color="000000" w:fill="FFFFFF"/>
            <w:vAlign w:val="center"/>
            <w:hideMark/>
          </w:tcPr>
          <w:p w14:paraId="6AE49DE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737" w:type="dxa"/>
            <w:tcBorders>
              <w:top w:val="nil"/>
              <w:left w:val="nil"/>
              <w:bottom w:val="dotted" w:sz="4" w:space="0" w:color="auto"/>
              <w:right w:val="double" w:sz="6" w:space="0" w:color="auto"/>
            </w:tcBorders>
            <w:shd w:val="clear" w:color="000000" w:fill="FFFFFF"/>
            <w:vAlign w:val="center"/>
            <w:hideMark/>
          </w:tcPr>
          <w:p w14:paraId="5F89E9A0"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72687604" w14:textId="77777777" w:rsidTr="004F4E33">
        <w:trPr>
          <w:trHeight w:val="597"/>
        </w:trPr>
        <w:tc>
          <w:tcPr>
            <w:tcW w:w="4128" w:type="dxa"/>
            <w:tcBorders>
              <w:top w:val="nil"/>
              <w:left w:val="double" w:sz="6" w:space="0" w:color="auto"/>
              <w:bottom w:val="single" w:sz="8" w:space="0" w:color="auto"/>
              <w:right w:val="dotted" w:sz="4" w:space="0" w:color="auto"/>
            </w:tcBorders>
            <w:shd w:val="clear" w:color="000000" w:fill="FFFFFF"/>
            <w:vAlign w:val="center"/>
            <w:hideMark/>
          </w:tcPr>
          <w:p w14:paraId="1C9E5178" w14:textId="7B9CF146"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1014" w:type="dxa"/>
            <w:vMerge/>
            <w:tcBorders>
              <w:top w:val="double" w:sz="6" w:space="0" w:color="auto"/>
              <w:left w:val="dotted" w:sz="4" w:space="0" w:color="auto"/>
              <w:bottom w:val="single" w:sz="8" w:space="0" w:color="000000"/>
              <w:right w:val="single" w:sz="8" w:space="0" w:color="auto"/>
            </w:tcBorders>
            <w:vAlign w:val="center"/>
            <w:hideMark/>
          </w:tcPr>
          <w:p w14:paraId="00A83A32"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1014" w:type="dxa"/>
            <w:tcBorders>
              <w:top w:val="nil"/>
              <w:left w:val="nil"/>
              <w:bottom w:val="single" w:sz="8" w:space="0" w:color="auto"/>
              <w:right w:val="single" w:sz="8" w:space="0" w:color="auto"/>
            </w:tcBorders>
            <w:shd w:val="clear" w:color="000000" w:fill="FFFFFF"/>
            <w:vAlign w:val="center"/>
            <w:hideMark/>
          </w:tcPr>
          <w:p w14:paraId="50CD3C39"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Level</w:t>
            </w:r>
          </w:p>
          <w:p w14:paraId="6C8C290D"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(bn NCU)</w:t>
            </w:r>
          </w:p>
        </w:tc>
        <w:tc>
          <w:tcPr>
            <w:tcW w:w="3692" w:type="dxa"/>
            <w:gridSpan w:val="6"/>
            <w:tcBorders>
              <w:top w:val="dotted" w:sz="4" w:space="0" w:color="auto"/>
              <w:left w:val="nil"/>
              <w:bottom w:val="single" w:sz="8" w:space="0" w:color="auto"/>
              <w:right w:val="double" w:sz="6" w:space="0" w:color="000000"/>
            </w:tcBorders>
            <w:shd w:val="clear" w:color="000000" w:fill="FFFFFF"/>
            <w:vAlign w:val="center"/>
            <w:hideMark/>
          </w:tcPr>
          <w:p w14:paraId="580FD4ED"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 of GDP</w:t>
            </w:r>
          </w:p>
        </w:tc>
      </w:tr>
      <w:tr w:rsidR="006F605B" w:rsidRPr="00DC66CD" w14:paraId="6DDE7D28" w14:textId="77777777" w:rsidTr="00E372C0">
        <w:trPr>
          <w:trHeight w:val="391"/>
        </w:trPr>
        <w:tc>
          <w:tcPr>
            <w:tcW w:w="9851" w:type="dxa"/>
            <w:gridSpan w:val="9"/>
            <w:tcBorders>
              <w:top w:val="nil"/>
              <w:left w:val="double" w:sz="6" w:space="0" w:color="auto"/>
              <w:bottom w:val="dotted" w:sz="4" w:space="0" w:color="auto"/>
              <w:right w:val="double" w:sz="6" w:space="0" w:color="auto"/>
            </w:tcBorders>
            <w:shd w:val="clear" w:color="000000" w:fill="FFFFFF"/>
            <w:vAlign w:val="center"/>
          </w:tcPr>
          <w:p w14:paraId="2C846334" w14:textId="77777777" w:rsidR="006F605B" w:rsidRPr="00DC66CD" w:rsidRDefault="006F605B" w:rsidP="00131DA1">
            <w:pPr>
              <w:spacing w:after="0" w:line="240" w:lineRule="auto"/>
              <w:jc w:val="both"/>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Net lending (B9) by sub-sectors</w:t>
            </w:r>
          </w:p>
        </w:tc>
      </w:tr>
      <w:tr w:rsidR="006F605B" w:rsidRPr="00DC66CD" w14:paraId="1061DEDE"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0B745B60"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1. General government </w:t>
            </w:r>
          </w:p>
        </w:tc>
        <w:tc>
          <w:tcPr>
            <w:tcW w:w="1014" w:type="dxa"/>
            <w:tcBorders>
              <w:top w:val="nil"/>
              <w:left w:val="nil"/>
              <w:bottom w:val="dotted" w:sz="4" w:space="0" w:color="auto"/>
              <w:right w:val="single" w:sz="8" w:space="0" w:color="auto"/>
            </w:tcBorders>
            <w:shd w:val="clear" w:color="000000" w:fill="FFFFFF"/>
            <w:vAlign w:val="center"/>
            <w:hideMark/>
          </w:tcPr>
          <w:p w14:paraId="09E21E76"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S13</w:t>
            </w:r>
          </w:p>
        </w:tc>
        <w:tc>
          <w:tcPr>
            <w:tcW w:w="1014" w:type="dxa"/>
            <w:tcBorders>
              <w:top w:val="nil"/>
              <w:left w:val="single" w:sz="8" w:space="0" w:color="auto"/>
              <w:bottom w:val="dotted" w:sz="4" w:space="0" w:color="auto"/>
              <w:right w:val="single" w:sz="8" w:space="0" w:color="auto"/>
            </w:tcBorders>
            <w:shd w:val="clear" w:color="auto" w:fill="auto"/>
            <w:vAlign w:val="center"/>
          </w:tcPr>
          <w:p w14:paraId="42B74B44"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-26.2377</w:t>
            </w:r>
          </w:p>
        </w:tc>
        <w:tc>
          <w:tcPr>
            <w:tcW w:w="737" w:type="dxa"/>
            <w:tcBorders>
              <w:top w:val="nil"/>
              <w:left w:val="nil"/>
              <w:bottom w:val="dotted" w:sz="4" w:space="0" w:color="auto"/>
              <w:right w:val="dotted" w:sz="4" w:space="0" w:color="auto"/>
            </w:tcBorders>
            <w:shd w:val="clear" w:color="auto" w:fill="auto"/>
            <w:vAlign w:val="center"/>
          </w:tcPr>
          <w:p w14:paraId="0CCF449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w:t>
            </w:r>
          </w:p>
        </w:tc>
        <w:tc>
          <w:tcPr>
            <w:tcW w:w="737" w:type="dxa"/>
            <w:tcBorders>
              <w:top w:val="nil"/>
              <w:left w:val="nil"/>
              <w:bottom w:val="dotted" w:sz="4" w:space="0" w:color="auto"/>
              <w:right w:val="dotted" w:sz="4" w:space="0" w:color="auto"/>
            </w:tcBorders>
            <w:shd w:val="clear" w:color="auto" w:fill="auto"/>
            <w:vAlign w:val="center"/>
          </w:tcPr>
          <w:p w14:paraId="068773B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w:t>
            </w:r>
          </w:p>
        </w:tc>
        <w:tc>
          <w:tcPr>
            <w:tcW w:w="737" w:type="dxa"/>
            <w:tcBorders>
              <w:top w:val="nil"/>
              <w:left w:val="nil"/>
              <w:bottom w:val="dotted" w:sz="4" w:space="0" w:color="auto"/>
              <w:right w:val="dotted" w:sz="4" w:space="0" w:color="auto"/>
            </w:tcBorders>
            <w:shd w:val="clear" w:color="auto" w:fill="auto"/>
            <w:vAlign w:val="center"/>
          </w:tcPr>
          <w:p w14:paraId="156E9D3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737" w:type="dxa"/>
            <w:tcBorders>
              <w:top w:val="nil"/>
              <w:left w:val="nil"/>
              <w:bottom w:val="dotted" w:sz="4" w:space="0" w:color="auto"/>
              <w:right w:val="dotted" w:sz="4" w:space="0" w:color="auto"/>
            </w:tcBorders>
            <w:shd w:val="clear" w:color="auto" w:fill="auto"/>
            <w:vAlign w:val="center"/>
          </w:tcPr>
          <w:p w14:paraId="4F9295E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-2.0</w:t>
            </w:r>
          </w:p>
        </w:tc>
        <w:tc>
          <w:tcPr>
            <w:tcW w:w="737" w:type="dxa"/>
            <w:tcBorders>
              <w:top w:val="nil"/>
              <w:left w:val="nil"/>
              <w:bottom w:val="dotted" w:sz="4" w:space="0" w:color="auto"/>
              <w:right w:val="double" w:sz="6" w:space="0" w:color="auto"/>
            </w:tcBorders>
            <w:shd w:val="clear" w:color="auto" w:fill="auto"/>
            <w:vAlign w:val="center"/>
          </w:tcPr>
          <w:p w14:paraId="458EBFD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w:t>
            </w:r>
          </w:p>
        </w:tc>
      </w:tr>
      <w:tr w:rsidR="006F605B" w:rsidRPr="00DC66CD" w14:paraId="33E524C6"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15AF9CA1"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 Central government</w:t>
            </w:r>
          </w:p>
        </w:tc>
        <w:tc>
          <w:tcPr>
            <w:tcW w:w="1014" w:type="dxa"/>
            <w:tcBorders>
              <w:top w:val="nil"/>
              <w:left w:val="nil"/>
              <w:bottom w:val="dotted" w:sz="4" w:space="0" w:color="auto"/>
              <w:right w:val="single" w:sz="8" w:space="0" w:color="auto"/>
            </w:tcBorders>
            <w:shd w:val="clear" w:color="000000" w:fill="FFFFFF"/>
            <w:vAlign w:val="center"/>
            <w:hideMark/>
          </w:tcPr>
          <w:p w14:paraId="0D1885E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S1311</w:t>
            </w:r>
          </w:p>
        </w:tc>
        <w:tc>
          <w:tcPr>
            <w:tcW w:w="1014" w:type="dxa"/>
            <w:tcBorders>
              <w:top w:val="nil"/>
              <w:left w:val="single" w:sz="8" w:space="0" w:color="auto"/>
              <w:bottom w:val="dotted" w:sz="4" w:space="0" w:color="auto"/>
              <w:right w:val="single" w:sz="8" w:space="0" w:color="auto"/>
            </w:tcBorders>
            <w:shd w:val="clear" w:color="auto" w:fill="auto"/>
            <w:vAlign w:val="center"/>
          </w:tcPr>
          <w:p w14:paraId="00D50E3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-20.8935</w:t>
            </w:r>
          </w:p>
        </w:tc>
        <w:tc>
          <w:tcPr>
            <w:tcW w:w="737" w:type="dxa"/>
            <w:tcBorders>
              <w:top w:val="nil"/>
              <w:left w:val="nil"/>
              <w:bottom w:val="dotted" w:sz="4" w:space="0" w:color="auto"/>
              <w:right w:val="dotted" w:sz="4" w:space="0" w:color="auto"/>
            </w:tcBorders>
            <w:shd w:val="clear" w:color="auto" w:fill="auto"/>
            <w:vAlign w:val="center"/>
          </w:tcPr>
          <w:p w14:paraId="088E0E2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w:t>
            </w:r>
          </w:p>
        </w:tc>
        <w:tc>
          <w:tcPr>
            <w:tcW w:w="737" w:type="dxa"/>
            <w:tcBorders>
              <w:top w:val="nil"/>
              <w:left w:val="nil"/>
              <w:bottom w:val="dotted" w:sz="4" w:space="0" w:color="auto"/>
              <w:right w:val="dotted" w:sz="4" w:space="0" w:color="auto"/>
            </w:tcBorders>
            <w:shd w:val="clear" w:color="auto" w:fill="auto"/>
            <w:vAlign w:val="center"/>
          </w:tcPr>
          <w:p w14:paraId="4CC2737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-1.8</w:t>
            </w:r>
          </w:p>
        </w:tc>
        <w:tc>
          <w:tcPr>
            <w:tcW w:w="737" w:type="dxa"/>
            <w:tcBorders>
              <w:top w:val="nil"/>
              <w:left w:val="nil"/>
              <w:bottom w:val="dotted" w:sz="4" w:space="0" w:color="auto"/>
              <w:right w:val="dotted" w:sz="4" w:space="0" w:color="auto"/>
            </w:tcBorders>
            <w:shd w:val="clear" w:color="auto" w:fill="auto"/>
            <w:vAlign w:val="center"/>
          </w:tcPr>
          <w:p w14:paraId="5AD3AA0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w:t>
            </w:r>
          </w:p>
        </w:tc>
        <w:tc>
          <w:tcPr>
            <w:tcW w:w="737" w:type="dxa"/>
            <w:tcBorders>
              <w:top w:val="nil"/>
              <w:left w:val="nil"/>
              <w:bottom w:val="dotted" w:sz="4" w:space="0" w:color="auto"/>
              <w:right w:val="dotted" w:sz="4" w:space="0" w:color="auto"/>
            </w:tcBorders>
            <w:shd w:val="clear" w:color="auto" w:fill="auto"/>
            <w:vAlign w:val="center"/>
          </w:tcPr>
          <w:p w14:paraId="052DB26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-1.8</w:t>
            </w:r>
          </w:p>
        </w:tc>
        <w:tc>
          <w:tcPr>
            <w:tcW w:w="737" w:type="dxa"/>
            <w:tcBorders>
              <w:top w:val="nil"/>
              <w:left w:val="nil"/>
              <w:bottom w:val="dotted" w:sz="4" w:space="0" w:color="auto"/>
              <w:right w:val="double" w:sz="6" w:space="0" w:color="auto"/>
            </w:tcBorders>
            <w:shd w:val="clear" w:color="auto" w:fill="auto"/>
            <w:vAlign w:val="center"/>
          </w:tcPr>
          <w:p w14:paraId="452191D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-1.8</w:t>
            </w:r>
          </w:p>
        </w:tc>
      </w:tr>
      <w:tr w:rsidR="006F605B" w:rsidRPr="00DC66CD" w14:paraId="7DE7BAEB"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78C08BD4"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3. State government</w:t>
            </w:r>
          </w:p>
        </w:tc>
        <w:tc>
          <w:tcPr>
            <w:tcW w:w="1014" w:type="dxa"/>
            <w:tcBorders>
              <w:top w:val="nil"/>
              <w:left w:val="nil"/>
              <w:bottom w:val="dotted" w:sz="4" w:space="0" w:color="auto"/>
              <w:right w:val="single" w:sz="8" w:space="0" w:color="auto"/>
            </w:tcBorders>
            <w:shd w:val="clear" w:color="000000" w:fill="FFFFFF"/>
            <w:vAlign w:val="center"/>
            <w:hideMark/>
          </w:tcPr>
          <w:p w14:paraId="0DC1444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S1312</w:t>
            </w:r>
          </w:p>
        </w:tc>
        <w:tc>
          <w:tcPr>
            <w:tcW w:w="1014" w:type="dxa"/>
            <w:tcBorders>
              <w:top w:val="nil"/>
              <w:left w:val="single" w:sz="8" w:space="0" w:color="auto"/>
              <w:bottom w:val="dotted" w:sz="4" w:space="0" w:color="auto"/>
              <w:right w:val="single" w:sz="8" w:space="0" w:color="auto"/>
            </w:tcBorders>
            <w:shd w:val="clear" w:color="auto" w:fill="auto"/>
            <w:vAlign w:val="center"/>
          </w:tcPr>
          <w:p w14:paraId="4A65C9E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tted" w:sz="4" w:space="0" w:color="auto"/>
            </w:tcBorders>
            <w:shd w:val="clear" w:color="auto" w:fill="auto"/>
            <w:vAlign w:val="center"/>
          </w:tcPr>
          <w:p w14:paraId="3DFEDEB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tted" w:sz="4" w:space="0" w:color="auto"/>
            </w:tcBorders>
            <w:shd w:val="clear" w:color="auto" w:fill="auto"/>
            <w:vAlign w:val="center"/>
          </w:tcPr>
          <w:p w14:paraId="75B3A0E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tted" w:sz="4" w:space="0" w:color="auto"/>
            </w:tcBorders>
            <w:shd w:val="clear" w:color="auto" w:fill="auto"/>
            <w:vAlign w:val="center"/>
          </w:tcPr>
          <w:p w14:paraId="07305FC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tted" w:sz="4" w:space="0" w:color="auto"/>
            </w:tcBorders>
            <w:shd w:val="clear" w:color="auto" w:fill="auto"/>
            <w:vAlign w:val="center"/>
          </w:tcPr>
          <w:p w14:paraId="65D77FC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uble" w:sz="6" w:space="0" w:color="auto"/>
            </w:tcBorders>
            <w:shd w:val="clear" w:color="auto" w:fill="auto"/>
            <w:vAlign w:val="center"/>
          </w:tcPr>
          <w:p w14:paraId="174CF1D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2129263"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3DFAD171"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4. Local government</w:t>
            </w:r>
          </w:p>
        </w:tc>
        <w:tc>
          <w:tcPr>
            <w:tcW w:w="1014" w:type="dxa"/>
            <w:tcBorders>
              <w:top w:val="nil"/>
              <w:left w:val="nil"/>
              <w:bottom w:val="dotted" w:sz="4" w:space="0" w:color="auto"/>
              <w:right w:val="single" w:sz="8" w:space="0" w:color="auto"/>
            </w:tcBorders>
            <w:shd w:val="clear" w:color="000000" w:fill="FFFFFF"/>
            <w:vAlign w:val="center"/>
            <w:hideMark/>
          </w:tcPr>
          <w:p w14:paraId="5A41B07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S1313</w:t>
            </w:r>
          </w:p>
        </w:tc>
        <w:tc>
          <w:tcPr>
            <w:tcW w:w="1014" w:type="dxa"/>
            <w:tcBorders>
              <w:top w:val="nil"/>
              <w:left w:val="single" w:sz="8" w:space="0" w:color="auto"/>
              <w:bottom w:val="dotted" w:sz="4" w:space="0" w:color="auto"/>
              <w:right w:val="single" w:sz="8" w:space="0" w:color="auto"/>
            </w:tcBorders>
            <w:shd w:val="clear" w:color="auto" w:fill="auto"/>
            <w:vAlign w:val="center"/>
          </w:tcPr>
          <w:p w14:paraId="251CC6D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-24.6239</w:t>
            </w:r>
          </w:p>
        </w:tc>
        <w:tc>
          <w:tcPr>
            <w:tcW w:w="737" w:type="dxa"/>
            <w:tcBorders>
              <w:top w:val="nil"/>
              <w:left w:val="nil"/>
              <w:bottom w:val="dotted" w:sz="4" w:space="0" w:color="auto"/>
              <w:right w:val="dotted" w:sz="4" w:space="0" w:color="auto"/>
            </w:tcBorders>
            <w:shd w:val="clear" w:color="auto" w:fill="auto"/>
            <w:vAlign w:val="center"/>
          </w:tcPr>
          <w:p w14:paraId="5C03E8C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c>
          <w:tcPr>
            <w:tcW w:w="737" w:type="dxa"/>
            <w:tcBorders>
              <w:top w:val="nil"/>
              <w:left w:val="nil"/>
              <w:bottom w:val="dotted" w:sz="4" w:space="0" w:color="auto"/>
              <w:right w:val="dotted" w:sz="4" w:space="0" w:color="auto"/>
            </w:tcBorders>
            <w:shd w:val="clear" w:color="auto" w:fill="auto"/>
            <w:vAlign w:val="center"/>
          </w:tcPr>
          <w:p w14:paraId="1D055A7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w:t>
            </w:r>
          </w:p>
        </w:tc>
        <w:tc>
          <w:tcPr>
            <w:tcW w:w="737" w:type="dxa"/>
            <w:tcBorders>
              <w:top w:val="nil"/>
              <w:left w:val="nil"/>
              <w:bottom w:val="dotted" w:sz="4" w:space="0" w:color="auto"/>
              <w:right w:val="dotted" w:sz="4" w:space="0" w:color="auto"/>
            </w:tcBorders>
            <w:shd w:val="clear" w:color="auto" w:fill="auto"/>
            <w:vAlign w:val="center"/>
          </w:tcPr>
          <w:p w14:paraId="716BF74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w:t>
            </w:r>
          </w:p>
        </w:tc>
        <w:tc>
          <w:tcPr>
            <w:tcW w:w="737" w:type="dxa"/>
            <w:tcBorders>
              <w:top w:val="nil"/>
              <w:left w:val="nil"/>
              <w:bottom w:val="dotted" w:sz="4" w:space="0" w:color="auto"/>
              <w:right w:val="dotted" w:sz="4" w:space="0" w:color="auto"/>
            </w:tcBorders>
            <w:shd w:val="clear" w:color="auto" w:fill="auto"/>
            <w:vAlign w:val="center"/>
          </w:tcPr>
          <w:p w14:paraId="55F9F7D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w:t>
            </w:r>
          </w:p>
        </w:tc>
        <w:tc>
          <w:tcPr>
            <w:tcW w:w="737" w:type="dxa"/>
            <w:tcBorders>
              <w:top w:val="nil"/>
              <w:left w:val="nil"/>
              <w:bottom w:val="dotted" w:sz="4" w:space="0" w:color="auto"/>
              <w:right w:val="double" w:sz="6" w:space="0" w:color="auto"/>
            </w:tcBorders>
            <w:shd w:val="clear" w:color="auto" w:fill="auto"/>
            <w:vAlign w:val="center"/>
          </w:tcPr>
          <w:p w14:paraId="71A5008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r>
      <w:tr w:rsidR="006F605B" w:rsidRPr="00DC66CD" w14:paraId="7494E33E" w14:textId="77777777" w:rsidTr="00E372C0">
        <w:trPr>
          <w:gridAfter w:val="1"/>
          <w:wAfter w:w="10" w:type="dxa"/>
          <w:trHeight w:val="391"/>
        </w:trPr>
        <w:tc>
          <w:tcPr>
            <w:tcW w:w="4128" w:type="dxa"/>
            <w:tcBorders>
              <w:top w:val="nil"/>
              <w:left w:val="double" w:sz="6" w:space="0" w:color="auto"/>
              <w:bottom w:val="single" w:sz="8" w:space="0" w:color="auto"/>
              <w:right w:val="dotted" w:sz="4" w:space="0" w:color="auto"/>
            </w:tcBorders>
            <w:shd w:val="clear" w:color="000000" w:fill="FFFFFF"/>
            <w:vAlign w:val="center"/>
            <w:hideMark/>
          </w:tcPr>
          <w:p w14:paraId="7D86BB4D"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5. Social security funds</w:t>
            </w:r>
          </w:p>
        </w:tc>
        <w:tc>
          <w:tcPr>
            <w:tcW w:w="1014" w:type="dxa"/>
            <w:tcBorders>
              <w:top w:val="nil"/>
              <w:left w:val="nil"/>
              <w:bottom w:val="single" w:sz="8" w:space="0" w:color="auto"/>
              <w:right w:val="single" w:sz="8" w:space="0" w:color="auto"/>
            </w:tcBorders>
            <w:shd w:val="clear" w:color="000000" w:fill="FFFFFF"/>
            <w:vAlign w:val="center"/>
            <w:hideMark/>
          </w:tcPr>
          <w:p w14:paraId="34CC62E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S1314</w:t>
            </w:r>
          </w:p>
        </w:tc>
        <w:tc>
          <w:tcPr>
            <w:tcW w:w="1014" w:type="dxa"/>
            <w:tcBorders>
              <w:top w:val="nil"/>
              <w:left w:val="single" w:sz="8" w:space="0" w:color="auto"/>
              <w:bottom w:val="single" w:sz="8" w:space="0" w:color="auto"/>
              <w:right w:val="single" w:sz="8" w:space="0" w:color="auto"/>
            </w:tcBorders>
            <w:shd w:val="clear" w:color="auto" w:fill="auto"/>
            <w:vAlign w:val="center"/>
          </w:tcPr>
          <w:p w14:paraId="1FFBCB9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19.2796</w:t>
            </w:r>
          </w:p>
        </w:tc>
        <w:tc>
          <w:tcPr>
            <w:tcW w:w="737" w:type="dxa"/>
            <w:tcBorders>
              <w:top w:val="nil"/>
              <w:left w:val="nil"/>
              <w:bottom w:val="single" w:sz="8" w:space="0" w:color="auto"/>
              <w:right w:val="dotted" w:sz="4" w:space="0" w:color="auto"/>
            </w:tcBorders>
            <w:shd w:val="clear" w:color="auto" w:fill="auto"/>
            <w:vAlign w:val="center"/>
          </w:tcPr>
          <w:p w14:paraId="19BDD06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w:t>
            </w:r>
          </w:p>
        </w:tc>
        <w:tc>
          <w:tcPr>
            <w:tcW w:w="737" w:type="dxa"/>
            <w:tcBorders>
              <w:top w:val="nil"/>
              <w:left w:val="nil"/>
              <w:bottom w:val="single" w:sz="8" w:space="0" w:color="auto"/>
              <w:right w:val="dotted" w:sz="4" w:space="0" w:color="auto"/>
            </w:tcBorders>
            <w:shd w:val="clear" w:color="auto" w:fill="auto"/>
            <w:vAlign w:val="center"/>
          </w:tcPr>
          <w:p w14:paraId="21F1890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1.4</w:t>
            </w:r>
          </w:p>
        </w:tc>
        <w:tc>
          <w:tcPr>
            <w:tcW w:w="737" w:type="dxa"/>
            <w:tcBorders>
              <w:top w:val="nil"/>
              <w:left w:val="nil"/>
              <w:bottom w:val="single" w:sz="8" w:space="0" w:color="auto"/>
              <w:right w:val="dotted" w:sz="4" w:space="0" w:color="auto"/>
            </w:tcBorders>
            <w:shd w:val="clear" w:color="auto" w:fill="auto"/>
            <w:vAlign w:val="center"/>
          </w:tcPr>
          <w:p w14:paraId="4A231B4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c>
          <w:tcPr>
            <w:tcW w:w="737" w:type="dxa"/>
            <w:tcBorders>
              <w:top w:val="nil"/>
              <w:left w:val="nil"/>
              <w:bottom w:val="single" w:sz="8" w:space="0" w:color="auto"/>
              <w:right w:val="dotted" w:sz="4" w:space="0" w:color="auto"/>
            </w:tcBorders>
            <w:shd w:val="clear" w:color="auto" w:fill="auto"/>
            <w:vAlign w:val="center"/>
          </w:tcPr>
          <w:p w14:paraId="3FD93F3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w:t>
            </w:r>
          </w:p>
        </w:tc>
        <w:tc>
          <w:tcPr>
            <w:tcW w:w="737" w:type="dxa"/>
            <w:tcBorders>
              <w:top w:val="nil"/>
              <w:left w:val="nil"/>
              <w:bottom w:val="single" w:sz="8" w:space="0" w:color="auto"/>
              <w:right w:val="double" w:sz="6" w:space="0" w:color="auto"/>
            </w:tcBorders>
            <w:shd w:val="clear" w:color="auto" w:fill="auto"/>
            <w:vAlign w:val="center"/>
          </w:tcPr>
          <w:p w14:paraId="0C5A059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w:t>
            </w:r>
          </w:p>
        </w:tc>
      </w:tr>
      <w:tr w:rsidR="006F605B" w:rsidRPr="00DC66CD" w14:paraId="1050CA0D" w14:textId="77777777" w:rsidTr="00E372C0">
        <w:trPr>
          <w:trHeight w:val="391"/>
        </w:trPr>
        <w:tc>
          <w:tcPr>
            <w:tcW w:w="9851" w:type="dxa"/>
            <w:gridSpan w:val="9"/>
            <w:tcBorders>
              <w:top w:val="single" w:sz="8" w:space="0" w:color="auto"/>
              <w:left w:val="double" w:sz="6" w:space="0" w:color="auto"/>
              <w:bottom w:val="single" w:sz="8" w:space="0" w:color="auto"/>
              <w:right w:val="double" w:sz="6" w:space="0" w:color="000000"/>
            </w:tcBorders>
            <w:shd w:val="clear" w:color="000000" w:fill="FFFFFF"/>
            <w:vAlign w:val="center"/>
            <w:hideMark/>
          </w:tcPr>
          <w:p w14:paraId="0EDEB19F" w14:textId="77777777" w:rsidR="006F605B" w:rsidRPr="00DC66CD" w:rsidRDefault="006F605B" w:rsidP="00131DA1">
            <w:pPr>
              <w:spacing w:after="0" w:line="240" w:lineRule="auto"/>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General government (S13)</w:t>
            </w:r>
          </w:p>
        </w:tc>
      </w:tr>
      <w:tr w:rsidR="006F605B" w:rsidRPr="00DC66CD" w14:paraId="78348DCD"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06640B6D"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6. Total revenue</w:t>
            </w:r>
          </w:p>
        </w:tc>
        <w:tc>
          <w:tcPr>
            <w:tcW w:w="1014" w:type="dxa"/>
            <w:tcBorders>
              <w:top w:val="nil"/>
              <w:left w:val="nil"/>
              <w:bottom w:val="dotted" w:sz="4" w:space="0" w:color="auto"/>
              <w:right w:val="single" w:sz="8" w:space="0" w:color="auto"/>
            </w:tcBorders>
            <w:shd w:val="clear" w:color="000000" w:fill="FFFFFF"/>
            <w:vAlign w:val="center"/>
            <w:hideMark/>
          </w:tcPr>
          <w:p w14:paraId="4716F8A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TR</w:t>
            </w:r>
          </w:p>
        </w:tc>
        <w:tc>
          <w:tcPr>
            <w:tcW w:w="1014" w:type="dxa"/>
            <w:tcBorders>
              <w:top w:val="nil"/>
              <w:left w:val="single" w:sz="8" w:space="0" w:color="auto"/>
              <w:bottom w:val="dotted" w:sz="4" w:space="0" w:color="auto"/>
              <w:right w:val="single" w:sz="8" w:space="0" w:color="auto"/>
            </w:tcBorders>
            <w:shd w:val="clear" w:color="auto" w:fill="auto"/>
            <w:vAlign w:val="center"/>
          </w:tcPr>
          <w:p w14:paraId="574D6D37"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449.9094</w:t>
            </w:r>
          </w:p>
        </w:tc>
        <w:tc>
          <w:tcPr>
            <w:tcW w:w="737" w:type="dxa"/>
            <w:tcBorders>
              <w:top w:val="nil"/>
              <w:left w:val="nil"/>
              <w:bottom w:val="dotted" w:sz="4" w:space="0" w:color="auto"/>
              <w:right w:val="dotted" w:sz="4" w:space="0" w:color="auto"/>
            </w:tcBorders>
            <w:shd w:val="clear" w:color="auto" w:fill="auto"/>
            <w:vAlign w:val="center"/>
          </w:tcPr>
          <w:p w14:paraId="5063B55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27.6</w:t>
            </w:r>
          </w:p>
        </w:tc>
        <w:tc>
          <w:tcPr>
            <w:tcW w:w="737" w:type="dxa"/>
            <w:tcBorders>
              <w:top w:val="nil"/>
              <w:left w:val="nil"/>
              <w:bottom w:val="dotted" w:sz="4" w:space="0" w:color="auto"/>
              <w:right w:val="dotted" w:sz="4" w:space="0" w:color="auto"/>
            </w:tcBorders>
            <w:shd w:val="clear" w:color="auto" w:fill="auto"/>
            <w:vAlign w:val="center"/>
          </w:tcPr>
          <w:p w14:paraId="1C2FB23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27.4</w:t>
            </w:r>
          </w:p>
        </w:tc>
        <w:tc>
          <w:tcPr>
            <w:tcW w:w="737" w:type="dxa"/>
            <w:tcBorders>
              <w:top w:val="nil"/>
              <w:left w:val="nil"/>
              <w:bottom w:val="dotted" w:sz="4" w:space="0" w:color="auto"/>
              <w:right w:val="dotted" w:sz="4" w:space="0" w:color="auto"/>
            </w:tcBorders>
            <w:shd w:val="clear" w:color="auto" w:fill="auto"/>
            <w:vAlign w:val="center"/>
          </w:tcPr>
          <w:p w14:paraId="6CD43D3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28.7</w:t>
            </w:r>
          </w:p>
        </w:tc>
        <w:tc>
          <w:tcPr>
            <w:tcW w:w="737" w:type="dxa"/>
            <w:tcBorders>
              <w:top w:val="nil"/>
              <w:left w:val="nil"/>
              <w:bottom w:val="dotted" w:sz="4" w:space="0" w:color="auto"/>
              <w:right w:val="dotted" w:sz="4" w:space="0" w:color="auto"/>
            </w:tcBorders>
            <w:shd w:val="clear" w:color="auto" w:fill="auto"/>
            <w:vAlign w:val="center"/>
          </w:tcPr>
          <w:p w14:paraId="253C8BD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27.7</w:t>
            </w:r>
          </w:p>
        </w:tc>
        <w:tc>
          <w:tcPr>
            <w:tcW w:w="737" w:type="dxa"/>
            <w:tcBorders>
              <w:top w:val="nil"/>
              <w:left w:val="nil"/>
              <w:bottom w:val="dotted" w:sz="4" w:space="0" w:color="auto"/>
              <w:right w:val="double" w:sz="6" w:space="0" w:color="auto"/>
            </w:tcBorders>
            <w:shd w:val="clear" w:color="auto" w:fill="auto"/>
            <w:vAlign w:val="center"/>
          </w:tcPr>
          <w:p w14:paraId="1ECEA24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27.6</w:t>
            </w:r>
          </w:p>
        </w:tc>
      </w:tr>
      <w:tr w:rsidR="006F605B" w:rsidRPr="00DC66CD" w14:paraId="1A9617D5"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1330F606"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7. Total expenditure</w:t>
            </w:r>
            <w:r w:rsidRPr="00DC66CD">
              <w:rPr>
                <w:rStyle w:val="FootnoteReference"/>
                <w:rFonts w:ascii="Garamond" w:hAnsi="Garamond"/>
                <w:color w:val="0D0D0D" w:themeColor="text1" w:themeTint="F2"/>
                <w:sz w:val="20"/>
                <w:szCs w:val="20"/>
              </w:rPr>
              <w:footnoteReference w:id="47"/>
            </w:r>
          </w:p>
        </w:tc>
        <w:tc>
          <w:tcPr>
            <w:tcW w:w="1014" w:type="dxa"/>
            <w:tcBorders>
              <w:top w:val="nil"/>
              <w:left w:val="nil"/>
              <w:bottom w:val="dotted" w:sz="4" w:space="0" w:color="auto"/>
              <w:right w:val="single" w:sz="8" w:space="0" w:color="auto"/>
            </w:tcBorders>
            <w:shd w:val="clear" w:color="000000" w:fill="FFFFFF"/>
            <w:vAlign w:val="center"/>
            <w:hideMark/>
          </w:tcPr>
          <w:p w14:paraId="585B041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TE</w:t>
            </w:r>
          </w:p>
        </w:tc>
        <w:tc>
          <w:tcPr>
            <w:tcW w:w="1014" w:type="dxa"/>
            <w:tcBorders>
              <w:top w:val="nil"/>
              <w:left w:val="single" w:sz="8" w:space="0" w:color="auto"/>
              <w:bottom w:val="dotted" w:sz="4" w:space="0" w:color="auto"/>
              <w:right w:val="single" w:sz="8" w:space="0" w:color="auto"/>
            </w:tcBorders>
            <w:shd w:val="clear" w:color="auto" w:fill="auto"/>
            <w:vAlign w:val="center"/>
          </w:tcPr>
          <w:p w14:paraId="36B8E43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476.1471</w:t>
            </w:r>
          </w:p>
        </w:tc>
        <w:tc>
          <w:tcPr>
            <w:tcW w:w="737" w:type="dxa"/>
            <w:tcBorders>
              <w:top w:val="nil"/>
              <w:left w:val="nil"/>
              <w:bottom w:val="dotted" w:sz="4" w:space="0" w:color="auto"/>
              <w:right w:val="dotted" w:sz="4" w:space="0" w:color="auto"/>
            </w:tcBorders>
            <w:shd w:val="clear" w:color="auto" w:fill="auto"/>
            <w:vAlign w:val="center"/>
          </w:tcPr>
          <w:p w14:paraId="6E18B1A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29.2</w:t>
            </w:r>
          </w:p>
        </w:tc>
        <w:tc>
          <w:tcPr>
            <w:tcW w:w="737" w:type="dxa"/>
            <w:tcBorders>
              <w:top w:val="nil"/>
              <w:left w:val="nil"/>
              <w:bottom w:val="dotted" w:sz="4" w:space="0" w:color="auto"/>
              <w:right w:val="dotted" w:sz="4" w:space="0" w:color="auto"/>
            </w:tcBorders>
            <w:shd w:val="clear" w:color="auto" w:fill="auto"/>
            <w:vAlign w:val="center"/>
          </w:tcPr>
          <w:p w14:paraId="4463538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29.3</w:t>
            </w:r>
          </w:p>
        </w:tc>
        <w:tc>
          <w:tcPr>
            <w:tcW w:w="737" w:type="dxa"/>
            <w:tcBorders>
              <w:top w:val="nil"/>
              <w:left w:val="nil"/>
              <w:bottom w:val="dotted" w:sz="4" w:space="0" w:color="auto"/>
              <w:right w:val="dotted" w:sz="4" w:space="0" w:color="auto"/>
            </w:tcBorders>
            <w:shd w:val="clear" w:color="auto" w:fill="auto"/>
            <w:vAlign w:val="center"/>
          </w:tcPr>
          <w:p w14:paraId="3188BE4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30.9</w:t>
            </w:r>
          </w:p>
        </w:tc>
        <w:tc>
          <w:tcPr>
            <w:tcW w:w="737" w:type="dxa"/>
            <w:tcBorders>
              <w:top w:val="nil"/>
              <w:left w:val="nil"/>
              <w:bottom w:val="dotted" w:sz="4" w:space="0" w:color="auto"/>
              <w:right w:val="dotted" w:sz="4" w:space="0" w:color="auto"/>
            </w:tcBorders>
            <w:shd w:val="clear" w:color="auto" w:fill="auto"/>
            <w:vAlign w:val="center"/>
          </w:tcPr>
          <w:p w14:paraId="65F7BDB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29.6</w:t>
            </w:r>
          </w:p>
        </w:tc>
        <w:tc>
          <w:tcPr>
            <w:tcW w:w="737" w:type="dxa"/>
            <w:tcBorders>
              <w:top w:val="nil"/>
              <w:left w:val="nil"/>
              <w:bottom w:val="dotted" w:sz="4" w:space="0" w:color="auto"/>
              <w:right w:val="double" w:sz="6" w:space="0" w:color="auto"/>
            </w:tcBorders>
            <w:shd w:val="clear" w:color="auto" w:fill="auto"/>
            <w:vAlign w:val="center"/>
          </w:tcPr>
          <w:p w14:paraId="6C37251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29.3</w:t>
            </w:r>
          </w:p>
        </w:tc>
      </w:tr>
      <w:tr w:rsidR="006F605B" w:rsidRPr="00DC66CD" w14:paraId="7DD3B348"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0B1CF643"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8. Net borrowing/lending</w:t>
            </w:r>
          </w:p>
        </w:tc>
        <w:tc>
          <w:tcPr>
            <w:tcW w:w="1014" w:type="dxa"/>
            <w:tcBorders>
              <w:top w:val="nil"/>
              <w:left w:val="nil"/>
              <w:bottom w:val="dotted" w:sz="4" w:space="0" w:color="auto"/>
              <w:right w:val="single" w:sz="8" w:space="0" w:color="auto"/>
            </w:tcBorders>
            <w:shd w:val="clear" w:color="000000" w:fill="FFFFFF"/>
            <w:vAlign w:val="center"/>
            <w:hideMark/>
          </w:tcPr>
          <w:p w14:paraId="71201E6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EDP.B9</w:t>
            </w:r>
          </w:p>
        </w:tc>
        <w:tc>
          <w:tcPr>
            <w:tcW w:w="1014" w:type="dxa"/>
            <w:tcBorders>
              <w:top w:val="nil"/>
              <w:left w:val="single" w:sz="8" w:space="0" w:color="auto"/>
              <w:bottom w:val="dotted" w:sz="4" w:space="0" w:color="auto"/>
              <w:right w:val="single" w:sz="8" w:space="0" w:color="auto"/>
            </w:tcBorders>
            <w:shd w:val="clear" w:color="auto" w:fill="auto"/>
            <w:vAlign w:val="center"/>
          </w:tcPr>
          <w:p w14:paraId="783C8E1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-26.2377</w:t>
            </w:r>
          </w:p>
        </w:tc>
        <w:tc>
          <w:tcPr>
            <w:tcW w:w="737" w:type="dxa"/>
            <w:tcBorders>
              <w:top w:val="nil"/>
              <w:left w:val="nil"/>
              <w:bottom w:val="dotted" w:sz="4" w:space="0" w:color="auto"/>
              <w:right w:val="dotted" w:sz="4" w:space="0" w:color="auto"/>
            </w:tcBorders>
            <w:shd w:val="clear" w:color="auto" w:fill="auto"/>
            <w:vAlign w:val="center"/>
          </w:tcPr>
          <w:p w14:paraId="46232B3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w:t>
            </w:r>
          </w:p>
        </w:tc>
        <w:tc>
          <w:tcPr>
            <w:tcW w:w="737" w:type="dxa"/>
            <w:tcBorders>
              <w:top w:val="nil"/>
              <w:left w:val="nil"/>
              <w:bottom w:val="dotted" w:sz="4" w:space="0" w:color="auto"/>
              <w:right w:val="dotted" w:sz="4" w:space="0" w:color="auto"/>
            </w:tcBorders>
            <w:shd w:val="clear" w:color="auto" w:fill="auto"/>
            <w:vAlign w:val="center"/>
          </w:tcPr>
          <w:p w14:paraId="4E3DE5B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w:t>
            </w:r>
          </w:p>
        </w:tc>
        <w:tc>
          <w:tcPr>
            <w:tcW w:w="737" w:type="dxa"/>
            <w:tcBorders>
              <w:top w:val="nil"/>
              <w:left w:val="nil"/>
              <w:bottom w:val="dotted" w:sz="4" w:space="0" w:color="auto"/>
              <w:right w:val="dotted" w:sz="4" w:space="0" w:color="auto"/>
            </w:tcBorders>
            <w:shd w:val="clear" w:color="auto" w:fill="auto"/>
            <w:vAlign w:val="center"/>
          </w:tcPr>
          <w:p w14:paraId="37A2D70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737" w:type="dxa"/>
            <w:tcBorders>
              <w:top w:val="nil"/>
              <w:left w:val="nil"/>
              <w:bottom w:val="dotted" w:sz="4" w:space="0" w:color="auto"/>
              <w:right w:val="dotted" w:sz="4" w:space="0" w:color="auto"/>
            </w:tcBorders>
            <w:shd w:val="clear" w:color="auto" w:fill="auto"/>
            <w:vAlign w:val="center"/>
          </w:tcPr>
          <w:p w14:paraId="7D1F114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-2.0</w:t>
            </w:r>
          </w:p>
        </w:tc>
        <w:tc>
          <w:tcPr>
            <w:tcW w:w="737" w:type="dxa"/>
            <w:tcBorders>
              <w:top w:val="nil"/>
              <w:left w:val="nil"/>
              <w:bottom w:val="dotted" w:sz="4" w:space="0" w:color="auto"/>
              <w:right w:val="double" w:sz="6" w:space="0" w:color="auto"/>
            </w:tcBorders>
            <w:shd w:val="clear" w:color="auto" w:fill="auto"/>
            <w:vAlign w:val="center"/>
          </w:tcPr>
          <w:p w14:paraId="2BE7FCA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w:t>
            </w:r>
          </w:p>
        </w:tc>
      </w:tr>
      <w:tr w:rsidR="006F605B" w:rsidRPr="00DC66CD" w14:paraId="16AC3A4E" w14:textId="77777777" w:rsidTr="00E372C0">
        <w:trPr>
          <w:gridAfter w:val="1"/>
          <w:wAfter w:w="10" w:type="dxa"/>
          <w:trHeight w:val="433"/>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3D91C898"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9. Interest expenditure</w:t>
            </w:r>
          </w:p>
        </w:tc>
        <w:tc>
          <w:tcPr>
            <w:tcW w:w="1014" w:type="dxa"/>
            <w:tcBorders>
              <w:top w:val="nil"/>
              <w:left w:val="nil"/>
              <w:bottom w:val="dotted" w:sz="4" w:space="0" w:color="auto"/>
              <w:right w:val="single" w:sz="8" w:space="0" w:color="auto"/>
            </w:tcBorders>
            <w:shd w:val="clear" w:color="000000" w:fill="FFFFFF"/>
            <w:vAlign w:val="center"/>
            <w:hideMark/>
          </w:tcPr>
          <w:p w14:paraId="1CC93761"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EDP.D41</w:t>
            </w:r>
          </w:p>
        </w:tc>
        <w:tc>
          <w:tcPr>
            <w:tcW w:w="1014" w:type="dxa"/>
            <w:tcBorders>
              <w:top w:val="nil"/>
              <w:left w:val="single" w:sz="8" w:space="0" w:color="auto"/>
              <w:bottom w:val="dotted" w:sz="4" w:space="0" w:color="auto"/>
              <w:right w:val="single" w:sz="8" w:space="0" w:color="auto"/>
            </w:tcBorders>
            <w:shd w:val="clear" w:color="auto" w:fill="auto"/>
            <w:vAlign w:val="center"/>
          </w:tcPr>
          <w:p w14:paraId="6E5E34A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36.5134</w:t>
            </w:r>
          </w:p>
        </w:tc>
        <w:tc>
          <w:tcPr>
            <w:tcW w:w="737" w:type="dxa"/>
            <w:tcBorders>
              <w:top w:val="nil"/>
              <w:left w:val="nil"/>
              <w:bottom w:val="dotted" w:sz="4" w:space="0" w:color="auto"/>
              <w:right w:val="dotted" w:sz="4" w:space="0" w:color="auto"/>
            </w:tcBorders>
            <w:shd w:val="clear" w:color="auto" w:fill="auto"/>
            <w:vAlign w:val="center"/>
          </w:tcPr>
          <w:p w14:paraId="2F165E7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737" w:type="dxa"/>
            <w:tcBorders>
              <w:top w:val="nil"/>
              <w:left w:val="nil"/>
              <w:bottom w:val="dotted" w:sz="4" w:space="0" w:color="auto"/>
              <w:right w:val="dotted" w:sz="4" w:space="0" w:color="auto"/>
            </w:tcBorders>
            <w:shd w:val="clear" w:color="auto" w:fill="auto"/>
            <w:vAlign w:val="center"/>
          </w:tcPr>
          <w:p w14:paraId="0832711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w:t>
            </w:r>
          </w:p>
        </w:tc>
        <w:tc>
          <w:tcPr>
            <w:tcW w:w="737" w:type="dxa"/>
            <w:tcBorders>
              <w:top w:val="nil"/>
              <w:left w:val="nil"/>
              <w:bottom w:val="dotted" w:sz="4" w:space="0" w:color="auto"/>
              <w:right w:val="dotted" w:sz="4" w:space="0" w:color="auto"/>
            </w:tcBorders>
            <w:shd w:val="clear" w:color="auto" w:fill="auto"/>
            <w:vAlign w:val="center"/>
          </w:tcPr>
          <w:p w14:paraId="122A51B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w:t>
            </w:r>
          </w:p>
        </w:tc>
        <w:tc>
          <w:tcPr>
            <w:tcW w:w="737" w:type="dxa"/>
            <w:tcBorders>
              <w:top w:val="nil"/>
              <w:left w:val="nil"/>
              <w:bottom w:val="dotted" w:sz="4" w:space="0" w:color="auto"/>
              <w:right w:val="dotted" w:sz="4" w:space="0" w:color="auto"/>
            </w:tcBorders>
            <w:shd w:val="clear" w:color="auto" w:fill="auto"/>
            <w:vAlign w:val="center"/>
          </w:tcPr>
          <w:p w14:paraId="7C8E57D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w:t>
            </w:r>
          </w:p>
        </w:tc>
        <w:tc>
          <w:tcPr>
            <w:tcW w:w="737" w:type="dxa"/>
            <w:tcBorders>
              <w:top w:val="nil"/>
              <w:left w:val="nil"/>
              <w:bottom w:val="dotted" w:sz="4" w:space="0" w:color="auto"/>
              <w:right w:val="double" w:sz="6" w:space="0" w:color="auto"/>
            </w:tcBorders>
            <w:shd w:val="clear" w:color="auto" w:fill="auto"/>
            <w:vAlign w:val="center"/>
          </w:tcPr>
          <w:p w14:paraId="7BCD867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w:t>
            </w:r>
          </w:p>
        </w:tc>
      </w:tr>
      <w:tr w:rsidR="006F605B" w:rsidRPr="00DC66CD" w14:paraId="00CABFAD"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6845894A"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10. Primary balance</w:t>
            </w:r>
            <w:r w:rsidRPr="00DC66CD">
              <w:rPr>
                <w:rStyle w:val="FootnoteReference"/>
                <w:rFonts w:ascii="Garamond" w:hAnsi="Garamond"/>
                <w:color w:val="0D0D0D" w:themeColor="text1" w:themeTint="F2"/>
                <w:sz w:val="20"/>
                <w:szCs w:val="20"/>
              </w:rPr>
              <w:footnoteReference w:id="48"/>
            </w:r>
          </w:p>
        </w:tc>
        <w:tc>
          <w:tcPr>
            <w:tcW w:w="1014" w:type="dxa"/>
            <w:tcBorders>
              <w:top w:val="nil"/>
              <w:left w:val="nil"/>
              <w:bottom w:val="dotted" w:sz="4" w:space="0" w:color="auto"/>
              <w:right w:val="single" w:sz="8" w:space="0" w:color="auto"/>
            </w:tcBorders>
            <w:shd w:val="clear" w:color="000000" w:fill="FFFFFF"/>
            <w:vAlign w:val="center"/>
            <w:hideMark/>
          </w:tcPr>
          <w:p w14:paraId="4EB0DC9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1014" w:type="dxa"/>
            <w:tcBorders>
              <w:top w:val="nil"/>
              <w:left w:val="single" w:sz="8" w:space="0" w:color="auto"/>
              <w:bottom w:val="dotted" w:sz="4" w:space="0" w:color="auto"/>
              <w:right w:val="single" w:sz="8" w:space="0" w:color="auto"/>
            </w:tcBorders>
            <w:shd w:val="clear" w:color="auto" w:fill="auto"/>
            <w:vAlign w:val="center"/>
          </w:tcPr>
          <w:p w14:paraId="720C28C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10.2757</w:t>
            </w:r>
          </w:p>
        </w:tc>
        <w:tc>
          <w:tcPr>
            <w:tcW w:w="737" w:type="dxa"/>
            <w:tcBorders>
              <w:top w:val="nil"/>
              <w:left w:val="nil"/>
              <w:bottom w:val="dotted" w:sz="4" w:space="0" w:color="auto"/>
              <w:right w:val="dotted" w:sz="4" w:space="0" w:color="auto"/>
            </w:tcBorders>
            <w:shd w:val="clear" w:color="auto" w:fill="auto"/>
            <w:vAlign w:val="center"/>
          </w:tcPr>
          <w:p w14:paraId="57847D6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0.6</w:t>
            </w:r>
          </w:p>
        </w:tc>
        <w:tc>
          <w:tcPr>
            <w:tcW w:w="737" w:type="dxa"/>
            <w:tcBorders>
              <w:top w:val="nil"/>
              <w:left w:val="nil"/>
              <w:bottom w:val="dotted" w:sz="4" w:space="0" w:color="auto"/>
              <w:right w:val="dotted" w:sz="4" w:space="0" w:color="auto"/>
            </w:tcBorders>
            <w:shd w:val="clear" w:color="auto" w:fill="auto"/>
            <w:vAlign w:val="center"/>
          </w:tcPr>
          <w:p w14:paraId="10CAE97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0.2</w:t>
            </w:r>
          </w:p>
        </w:tc>
        <w:tc>
          <w:tcPr>
            <w:tcW w:w="737" w:type="dxa"/>
            <w:tcBorders>
              <w:top w:val="nil"/>
              <w:left w:val="nil"/>
              <w:bottom w:val="dotted" w:sz="4" w:space="0" w:color="auto"/>
              <w:right w:val="dotted" w:sz="4" w:space="0" w:color="auto"/>
            </w:tcBorders>
            <w:shd w:val="clear" w:color="auto" w:fill="auto"/>
            <w:vAlign w:val="center"/>
          </w:tcPr>
          <w:p w14:paraId="536ABA3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c>
          <w:tcPr>
            <w:tcW w:w="737" w:type="dxa"/>
            <w:tcBorders>
              <w:top w:val="nil"/>
              <w:left w:val="nil"/>
              <w:bottom w:val="dotted" w:sz="4" w:space="0" w:color="auto"/>
              <w:right w:val="dotted" w:sz="4" w:space="0" w:color="auto"/>
            </w:tcBorders>
            <w:shd w:val="clear" w:color="auto" w:fill="auto"/>
            <w:vAlign w:val="center"/>
          </w:tcPr>
          <w:p w14:paraId="4077B1B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0.5</w:t>
            </w:r>
          </w:p>
        </w:tc>
        <w:tc>
          <w:tcPr>
            <w:tcW w:w="737" w:type="dxa"/>
            <w:tcBorders>
              <w:top w:val="nil"/>
              <w:left w:val="nil"/>
              <w:bottom w:val="dotted" w:sz="4" w:space="0" w:color="auto"/>
              <w:right w:val="double" w:sz="6" w:space="0" w:color="auto"/>
            </w:tcBorders>
            <w:shd w:val="clear" w:color="auto" w:fill="auto"/>
            <w:vAlign w:val="center"/>
          </w:tcPr>
          <w:p w14:paraId="4AE9A77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0.8</w:t>
            </w:r>
          </w:p>
        </w:tc>
      </w:tr>
      <w:tr w:rsidR="006F605B" w:rsidRPr="00DC66CD" w14:paraId="27BE1ACD" w14:textId="77777777" w:rsidTr="00E372C0">
        <w:trPr>
          <w:gridAfter w:val="1"/>
          <w:wAfter w:w="10" w:type="dxa"/>
          <w:trHeight w:val="391"/>
        </w:trPr>
        <w:tc>
          <w:tcPr>
            <w:tcW w:w="4128" w:type="dxa"/>
            <w:tcBorders>
              <w:top w:val="nil"/>
              <w:left w:val="double" w:sz="6" w:space="0" w:color="auto"/>
              <w:bottom w:val="single" w:sz="8" w:space="0" w:color="auto"/>
              <w:right w:val="dotted" w:sz="4" w:space="0" w:color="auto"/>
            </w:tcBorders>
            <w:shd w:val="clear" w:color="000000" w:fill="FFFFFF"/>
            <w:vAlign w:val="center"/>
            <w:hideMark/>
          </w:tcPr>
          <w:p w14:paraId="7D2806D7"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11. One-off and other temporary measures</w:t>
            </w:r>
            <w:r w:rsidRPr="00DC66CD">
              <w:rPr>
                <w:rStyle w:val="FootnoteReference"/>
                <w:rFonts w:ascii="Garamond" w:hAnsi="Garamond"/>
                <w:color w:val="0D0D0D" w:themeColor="text1" w:themeTint="F2"/>
                <w:sz w:val="20"/>
                <w:szCs w:val="20"/>
              </w:rPr>
              <w:footnoteReference w:id="49"/>
            </w:r>
          </w:p>
        </w:tc>
        <w:tc>
          <w:tcPr>
            <w:tcW w:w="1014" w:type="dxa"/>
            <w:tcBorders>
              <w:top w:val="nil"/>
              <w:left w:val="nil"/>
              <w:bottom w:val="single" w:sz="8" w:space="0" w:color="auto"/>
              <w:right w:val="single" w:sz="8" w:space="0" w:color="auto"/>
            </w:tcBorders>
            <w:shd w:val="clear" w:color="000000" w:fill="FFFFFF"/>
            <w:vAlign w:val="center"/>
            <w:hideMark/>
          </w:tcPr>
          <w:p w14:paraId="039B72C0"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1014" w:type="dxa"/>
            <w:tcBorders>
              <w:top w:val="nil"/>
              <w:left w:val="single" w:sz="8" w:space="0" w:color="auto"/>
              <w:bottom w:val="single" w:sz="8" w:space="0" w:color="auto"/>
              <w:right w:val="single" w:sz="8" w:space="0" w:color="auto"/>
            </w:tcBorders>
            <w:shd w:val="clear" w:color="auto" w:fill="auto"/>
            <w:vAlign w:val="center"/>
          </w:tcPr>
          <w:p w14:paraId="7D8DEC8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single" w:sz="8" w:space="0" w:color="auto"/>
              <w:right w:val="dotted" w:sz="4" w:space="0" w:color="auto"/>
            </w:tcBorders>
            <w:shd w:val="clear" w:color="auto" w:fill="auto"/>
            <w:vAlign w:val="center"/>
          </w:tcPr>
          <w:p w14:paraId="48B769B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single" w:sz="8" w:space="0" w:color="auto"/>
              <w:right w:val="dotted" w:sz="4" w:space="0" w:color="auto"/>
            </w:tcBorders>
            <w:shd w:val="clear" w:color="auto" w:fill="auto"/>
            <w:vAlign w:val="center"/>
          </w:tcPr>
          <w:p w14:paraId="3F5F120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single" w:sz="8" w:space="0" w:color="auto"/>
              <w:right w:val="dotted" w:sz="4" w:space="0" w:color="auto"/>
            </w:tcBorders>
            <w:shd w:val="clear" w:color="auto" w:fill="auto"/>
            <w:vAlign w:val="center"/>
          </w:tcPr>
          <w:p w14:paraId="3D42949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single" w:sz="8" w:space="0" w:color="auto"/>
              <w:right w:val="dotted" w:sz="4" w:space="0" w:color="auto"/>
            </w:tcBorders>
            <w:shd w:val="clear" w:color="auto" w:fill="auto"/>
            <w:vAlign w:val="center"/>
          </w:tcPr>
          <w:p w14:paraId="3E4C4C9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single" w:sz="8" w:space="0" w:color="auto"/>
              <w:right w:val="double" w:sz="6" w:space="0" w:color="auto"/>
            </w:tcBorders>
            <w:shd w:val="clear" w:color="auto" w:fill="auto"/>
            <w:vAlign w:val="center"/>
          </w:tcPr>
          <w:p w14:paraId="1022F28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4526B23" w14:textId="77777777" w:rsidTr="00E372C0">
        <w:trPr>
          <w:trHeight w:val="391"/>
        </w:trPr>
        <w:tc>
          <w:tcPr>
            <w:tcW w:w="9851" w:type="dxa"/>
            <w:gridSpan w:val="9"/>
            <w:tcBorders>
              <w:top w:val="single" w:sz="8" w:space="0" w:color="auto"/>
              <w:left w:val="double" w:sz="6" w:space="0" w:color="auto"/>
              <w:bottom w:val="single" w:sz="8" w:space="0" w:color="auto"/>
              <w:right w:val="double" w:sz="6" w:space="0" w:color="000000"/>
            </w:tcBorders>
            <w:shd w:val="clear" w:color="000000" w:fill="FFFFFF"/>
            <w:vAlign w:val="center"/>
            <w:hideMark/>
          </w:tcPr>
          <w:p w14:paraId="4316FF71" w14:textId="77777777" w:rsidR="006F605B" w:rsidRPr="00DC66CD" w:rsidRDefault="006F605B" w:rsidP="00131DA1">
            <w:pPr>
              <w:spacing w:after="0" w:line="240" w:lineRule="auto"/>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Components of revenues</w:t>
            </w:r>
          </w:p>
        </w:tc>
      </w:tr>
      <w:tr w:rsidR="006F605B" w:rsidRPr="00DC66CD" w14:paraId="05A26641"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48E51CCB" w14:textId="3119BF94"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12. Total taxes</w:t>
            </w:r>
            <w:r w:rsidR="0072211B" w:rsidRPr="00DC66CD">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(12 = 12a+12b+12c)</w:t>
            </w:r>
          </w:p>
        </w:tc>
        <w:tc>
          <w:tcPr>
            <w:tcW w:w="1014" w:type="dxa"/>
            <w:tcBorders>
              <w:top w:val="nil"/>
              <w:left w:val="nil"/>
              <w:bottom w:val="dotted" w:sz="4" w:space="0" w:color="auto"/>
              <w:right w:val="single" w:sz="8" w:space="0" w:color="auto"/>
            </w:tcBorders>
            <w:shd w:val="clear" w:color="000000" w:fill="FFFFFF"/>
            <w:vAlign w:val="center"/>
            <w:hideMark/>
          </w:tcPr>
          <w:p w14:paraId="188E73F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1014" w:type="dxa"/>
            <w:tcBorders>
              <w:top w:val="nil"/>
              <w:left w:val="single" w:sz="8" w:space="0" w:color="auto"/>
              <w:bottom w:val="dotted" w:sz="4" w:space="0" w:color="auto"/>
              <w:right w:val="single" w:sz="8" w:space="0" w:color="auto"/>
            </w:tcBorders>
            <w:shd w:val="clear" w:color="auto" w:fill="auto"/>
            <w:vAlign w:val="center"/>
          </w:tcPr>
          <w:p w14:paraId="2C045507"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270.8369</w:t>
            </w:r>
          </w:p>
        </w:tc>
        <w:tc>
          <w:tcPr>
            <w:tcW w:w="737" w:type="dxa"/>
            <w:tcBorders>
              <w:top w:val="nil"/>
              <w:left w:val="nil"/>
              <w:bottom w:val="dotted" w:sz="4" w:space="0" w:color="auto"/>
              <w:right w:val="dotted" w:sz="4" w:space="0" w:color="auto"/>
            </w:tcBorders>
            <w:shd w:val="clear" w:color="auto" w:fill="auto"/>
            <w:vAlign w:val="center"/>
          </w:tcPr>
          <w:p w14:paraId="3D3EB62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16.6</w:t>
            </w:r>
          </w:p>
        </w:tc>
        <w:tc>
          <w:tcPr>
            <w:tcW w:w="737" w:type="dxa"/>
            <w:tcBorders>
              <w:top w:val="nil"/>
              <w:left w:val="nil"/>
              <w:bottom w:val="dotted" w:sz="4" w:space="0" w:color="auto"/>
              <w:right w:val="dotted" w:sz="4" w:space="0" w:color="auto"/>
            </w:tcBorders>
            <w:shd w:val="clear" w:color="auto" w:fill="auto"/>
            <w:vAlign w:val="center"/>
          </w:tcPr>
          <w:p w14:paraId="29DEAA0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16.5</w:t>
            </w:r>
          </w:p>
        </w:tc>
        <w:tc>
          <w:tcPr>
            <w:tcW w:w="737" w:type="dxa"/>
            <w:tcBorders>
              <w:top w:val="nil"/>
              <w:left w:val="nil"/>
              <w:bottom w:val="dotted" w:sz="4" w:space="0" w:color="auto"/>
              <w:right w:val="dotted" w:sz="4" w:space="0" w:color="auto"/>
            </w:tcBorders>
            <w:shd w:val="clear" w:color="auto" w:fill="auto"/>
            <w:vAlign w:val="center"/>
          </w:tcPr>
          <w:p w14:paraId="5E2D4FF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16.9</w:t>
            </w:r>
          </w:p>
        </w:tc>
        <w:tc>
          <w:tcPr>
            <w:tcW w:w="737" w:type="dxa"/>
            <w:tcBorders>
              <w:top w:val="nil"/>
              <w:left w:val="nil"/>
              <w:bottom w:val="dotted" w:sz="4" w:space="0" w:color="auto"/>
              <w:right w:val="dotted" w:sz="4" w:space="0" w:color="auto"/>
            </w:tcBorders>
            <w:shd w:val="clear" w:color="auto" w:fill="auto"/>
            <w:vAlign w:val="center"/>
          </w:tcPr>
          <w:p w14:paraId="0B61A1E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16.3</w:t>
            </w:r>
          </w:p>
        </w:tc>
        <w:tc>
          <w:tcPr>
            <w:tcW w:w="737" w:type="dxa"/>
            <w:tcBorders>
              <w:top w:val="nil"/>
              <w:left w:val="nil"/>
              <w:bottom w:val="dotted" w:sz="4" w:space="0" w:color="auto"/>
              <w:right w:val="double" w:sz="6" w:space="0" w:color="auto"/>
            </w:tcBorders>
            <w:shd w:val="clear" w:color="auto" w:fill="auto"/>
            <w:vAlign w:val="center"/>
          </w:tcPr>
          <w:p w14:paraId="3B8C04D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16.3</w:t>
            </w:r>
          </w:p>
        </w:tc>
      </w:tr>
      <w:tr w:rsidR="006F605B" w:rsidRPr="00DC66CD" w14:paraId="46B88EBE"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42397D4A"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12a. Taxes on production and imports</w:t>
            </w:r>
          </w:p>
        </w:tc>
        <w:tc>
          <w:tcPr>
            <w:tcW w:w="1014" w:type="dxa"/>
            <w:tcBorders>
              <w:top w:val="nil"/>
              <w:left w:val="nil"/>
              <w:bottom w:val="dotted" w:sz="4" w:space="0" w:color="auto"/>
              <w:right w:val="single" w:sz="8" w:space="0" w:color="auto"/>
            </w:tcBorders>
            <w:shd w:val="clear" w:color="000000" w:fill="FFFFFF"/>
            <w:vAlign w:val="center"/>
            <w:hideMark/>
          </w:tcPr>
          <w:p w14:paraId="32886A22"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D2</w:t>
            </w:r>
          </w:p>
        </w:tc>
        <w:tc>
          <w:tcPr>
            <w:tcW w:w="1014" w:type="dxa"/>
            <w:tcBorders>
              <w:top w:val="nil"/>
              <w:left w:val="single" w:sz="8" w:space="0" w:color="auto"/>
              <w:bottom w:val="dotted" w:sz="4" w:space="0" w:color="auto"/>
              <w:right w:val="single" w:sz="8" w:space="0" w:color="auto"/>
            </w:tcBorders>
            <w:shd w:val="clear" w:color="auto" w:fill="auto"/>
            <w:vAlign w:val="center"/>
          </w:tcPr>
          <w:p w14:paraId="365C638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194.6673</w:t>
            </w:r>
          </w:p>
        </w:tc>
        <w:tc>
          <w:tcPr>
            <w:tcW w:w="737" w:type="dxa"/>
            <w:tcBorders>
              <w:top w:val="nil"/>
              <w:left w:val="nil"/>
              <w:bottom w:val="dotted" w:sz="4" w:space="0" w:color="auto"/>
              <w:right w:val="dotted" w:sz="4" w:space="0" w:color="auto"/>
            </w:tcBorders>
            <w:shd w:val="clear" w:color="auto" w:fill="auto"/>
            <w:vAlign w:val="center"/>
          </w:tcPr>
          <w:p w14:paraId="11642A3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11.9</w:t>
            </w:r>
          </w:p>
        </w:tc>
        <w:tc>
          <w:tcPr>
            <w:tcW w:w="737" w:type="dxa"/>
            <w:tcBorders>
              <w:top w:val="nil"/>
              <w:left w:val="nil"/>
              <w:bottom w:val="dotted" w:sz="4" w:space="0" w:color="auto"/>
              <w:right w:val="dotted" w:sz="4" w:space="0" w:color="auto"/>
            </w:tcBorders>
            <w:shd w:val="clear" w:color="auto" w:fill="auto"/>
            <w:vAlign w:val="center"/>
          </w:tcPr>
          <w:p w14:paraId="4AB3209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11.2</w:t>
            </w:r>
          </w:p>
        </w:tc>
        <w:tc>
          <w:tcPr>
            <w:tcW w:w="737" w:type="dxa"/>
            <w:tcBorders>
              <w:top w:val="nil"/>
              <w:left w:val="nil"/>
              <w:bottom w:val="dotted" w:sz="4" w:space="0" w:color="auto"/>
              <w:right w:val="dotted" w:sz="4" w:space="0" w:color="auto"/>
            </w:tcBorders>
            <w:shd w:val="clear" w:color="auto" w:fill="auto"/>
            <w:vAlign w:val="center"/>
          </w:tcPr>
          <w:p w14:paraId="54F73B8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11.8</w:t>
            </w:r>
          </w:p>
        </w:tc>
        <w:tc>
          <w:tcPr>
            <w:tcW w:w="737" w:type="dxa"/>
            <w:tcBorders>
              <w:top w:val="nil"/>
              <w:left w:val="nil"/>
              <w:bottom w:val="dotted" w:sz="4" w:space="0" w:color="auto"/>
              <w:right w:val="dotted" w:sz="4" w:space="0" w:color="auto"/>
            </w:tcBorders>
            <w:shd w:val="clear" w:color="auto" w:fill="auto"/>
            <w:vAlign w:val="center"/>
          </w:tcPr>
          <w:p w14:paraId="2BB41DC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11.5</w:t>
            </w:r>
          </w:p>
        </w:tc>
        <w:tc>
          <w:tcPr>
            <w:tcW w:w="737" w:type="dxa"/>
            <w:tcBorders>
              <w:top w:val="nil"/>
              <w:left w:val="nil"/>
              <w:bottom w:val="dotted" w:sz="4" w:space="0" w:color="auto"/>
              <w:right w:val="double" w:sz="6" w:space="0" w:color="auto"/>
            </w:tcBorders>
            <w:shd w:val="clear" w:color="auto" w:fill="auto"/>
            <w:vAlign w:val="center"/>
          </w:tcPr>
          <w:p w14:paraId="37E77D2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11.5</w:t>
            </w:r>
          </w:p>
        </w:tc>
      </w:tr>
      <w:tr w:rsidR="006F605B" w:rsidRPr="00DC66CD" w14:paraId="4A711B17"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3148DF7F"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12b. Current taxes on income and wealth</w:t>
            </w:r>
          </w:p>
        </w:tc>
        <w:tc>
          <w:tcPr>
            <w:tcW w:w="1014" w:type="dxa"/>
            <w:tcBorders>
              <w:top w:val="nil"/>
              <w:left w:val="nil"/>
              <w:bottom w:val="dotted" w:sz="4" w:space="0" w:color="auto"/>
              <w:right w:val="single" w:sz="8" w:space="0" w:color="auto"/>
            </w:tcBorders>
            <w:shd w:val="clear" w:color="000000" w:fill="FFFFFF"/>
            <w:vAlign w:val="center"/>
            <w:hideMark/>
          </w:tcPr>
          <w:p w14:paraId="53B2E81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D5</w:t>
            </w:r>
          </w:p>
        </w:tc>
        <w:tc>
          <w:tcPr>
            <w:tcW w:w="1014" w:type="dxa"/>
            <w:tcBorders>
              <w:top w:val="nil"/>
              <w:left w:val="single" w:sz="8" w:space="0" w:color="auto"/>
              <w:bottom w:val="dotted" w:sz="4" w:space="0" w:color="auto"/>
              <w:right w:val="single" w:sz="8" w:space="0" w:color="auto"/>
            </w:tcBorders>
            <w:shd w:val="clear" w:color="auto" w:fill="auto"/>
            <w:vAlign w:val="center"/>
          </w:tcPr>
          <w:p w14:paraId="117FD71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41.7089</w:t>
            </w:r>
          </w:p>
        </w:tc>
        <w:tc>
          <w:tcPr>
            <w:tcW w:w="737" w:type="dxa"/>
            <w:tcBorders>
              <w:top w:val="nil"/>
              <w:left w:val="nil"/>
              <w:bottom w:val="dotted" w:sz="4" w:space="0" w:color="auto"/>
              <w:right w:val="dotted" w:sz="4" w:space="0" w:color="auto"/>
            </w:tcBorders>
            <w:shd w:val="clear" w:color="auto" w:fill="auto"/>
            <w:vAlign w:val="center"/>
          </w:tcPr>
          <w:p w14:paraId="706A469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2.6</w:t>
            </w:r>
          </w:p>
        </w:tc>
        <w:tc>
          <w:tcPr>
            <w:tcW w:w="737" w:type="dxa"/>
            <w:tcBorders>
              <w:top w:val="nil"/>
              <w:left w:val="nil"/>
              <w:bottom w:val="dotted" w:sz="4" w:space="0" w:color="auto"/>
              <w:right w:val="dotted" w:sz="4" w:space="0" w:color="auto"/>
            </w:tcBorders>
            <w:shd w:val="clear" w:color="auto" w:fill="auto"/>
            <w:vAlign w:val="center"/>
          </w:tcPr>
          <w:p w14:paraId="38222D0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3.1</w:t>
            </w:r>
          </w:p>
        </w:tc>
        <w:tc>
          <w:tcPr>
            <w:tcW w:w="737" w:type="dxa"/>
            <w:tcBorders>
              <w:top w:val="nil"/>
              <w:left w:val="nil"/>
              <w:bottom w:val="dotted" w:sz="4" w:space="0" w:color="auto"/>
              <w:right w:val="dotted" w:sz="4" w:space="0" w:color="auto"/>
            </w:tcBorders>
            <w:shd w:val="clear" w:color="auto" w:fill="auto"/>
            <w:vAlign w:val="center"/>
          </w:tcPr>
          <w:p w14:paraId="12252A7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3.0</w:t>
            </w:r>
          </w:p>
        </w:tc>
        <w:tc>
          <w:tcPr>
            <w:tcW w:w="737" w:type="dxa"/>
            <w:tcBorders>
              <w:top w:val="nil"/>
              <w:left w:val="nil"/>
              <w:bottom w:val="dotted" w:sz="4" w:space="0" w:color="auto"/>
              <w:right w:val="dotted" w:sz="4" w:space="0" w:color="auto"/>
            </w:tcBorders>
            <w:shd w:val="clear" w:color="auto" w:fill="auto"/>
            <w:vAlign w:val="center"/>
          </w:tcPr>
          <w:p w14:paraId="36DA424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w:t>
            </w:r>
          </w:p>
        </w:tc>
        <w:tc>
          <w:tcPr>
            <w:tcW w:w="737" w:type="dxa"/>
            <w:tcBorders>
              <w:top w:val="nil"/>
              <w:left w:val="nil"/>
              <w:bottom w:val="dotted" w:sz="4" w:space="0" w:color="auto"/>
              <w:right w:val="double" w:sz="6" w:space="0" w:color="auto"/>
            </w:tcBorders>
            <w:shd w:val="clear" w:color="auto" w:fill="auto"/>
            <w:vAlign w:val="center"/>
          </w:tcPr>
          <w:p w14:paraId="6E2CDEE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w:t>
            </w:r>
          </w:p>
        </w:tc>
      </w:tr>
      <w:tr w:rsidR="006F605B" w:rsidRPr="00DC66CD" w14:paraId="37D152FB"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702917E5"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12c. Capital taxes</w:t>
            </w:r>
          </w:p>
        </w:tc>
        <w:tc>
          <w:tcPr>
            <w:tcW w:w="1014" w:type="dxa"/>
            <w:tcBorders>
              <w:top w:val="nil"/>
              <w:left w:val="nil"/>
              <w:bottom w:val="dotted" w:sz="4" w:space="0" w:color="auto"/>
              <w:right w:val="single" w:sz="8" w:space="0" w:color="auto"/>
            </w:tcBorders>
            <w:shd w:val="clear" w:color="000000" w:fill="FFFFFF"/>
            <w:vAlign w:val="center"/>
            <w:hideMark/>
          </w:tcPr>
          <w:p w14:paraId="7386A486"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D91</w:t>
            </w:r>
          </w:p>
        </w:tc>
        <w:tc>
          <w:tcPr>
            <w:tcW w:w="1014" w:type="dxa"/>
            <w:tcBorders>
              <w:top w:val="nil"/>
              <w:left w:val="single" w:sz="8" w:space="0" w:color="auto"/>
              <w:bottom w:val="dotted" w:sz="4" w:space="0" w:color="auto"/>
              <w:right w:val="single" w:sz="8" w:space="0" w:color="auto"/>
            </w:tcBorders>
            <w:shd w:val="clear" w:color="auto" w:fill="auto"/>
            <w:vAlign w:val="center"/>
          </w:tcPr>
          <w:p w14:paraId="0F629E1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34.4607</w:t>
            </w:r>
          </w:p>
        </w:tc>
        <w:tc>
          <w:tcPr>
            <w:tcW w:w="737" w:type="dxa"/>
            <w:tcBorders>
              <w:top w:val="nil"/>
              <w:left w:val="nil"/>
              <w:bottom w:val="dotted" w:sz="4" w:space="0" w:color="auto"/>
              <w:right w:val="dotted" w:sz="4" w:space="0" w:color="auto"/>
            </w:tcBorders>
            <w:shd w:val="clear" w:color="auto" w:fill="auto"/>
            <w:vAlign w:val="center"/>
          </w:tcPr>
          <w:p w14:paraId="5557CA7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w:t>
            </w:r>
          </w:p>
        </w:tc>
        <w:tc>
          <w:tcPr>
            <w:tcW w:w="737" w:type="dxa"/>
            <w:tcBorders>
              <w:top w:val="nil"/>
              <w:left w:val="nil"/>
              <w:bottom w:val="dotted" w:sz="4" w:space="0" w:color="auto"/>
              <w:right w:val="dotted" w:sz="4" w:space="0" w:color="auto"/>
            </w:tcBorders>
            <w:shd w:val="clear" w:color="auto" w:fill="auto"/>
            <w:vAlign w:val="center"/>
          </w:tcPr>
          <w:p w14:paraId="23FF4FF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737" w:type="dxa"/>
            <w:tcBorders>
              <w:top w:val="nil"/>
              <w:left w:val="nil"/>
              <w:bottom w:val="dotted" w:sz="4" w:space="0" w:color="auto"/>
              <w:right w:val="dotted" w:sz="4" w:space="0" w:color="auto"/>
            </w:tcBorders>
            <w:shd w:val="clear" w:color="auto" w:fill="auto"/>
            <w:vAlign w:val="center"/>
          </w:tcPr>
          <w:p w14:paraId="14AA64B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w:t>
            </w:r>
          </w:p>
        </w:tc>
        <w:tc>
          <w:tcPr>
            <w:tcW w:w="737" w:type="dxa"/>
            <w:tcBorders>
              <w:top w:val="nil"/>
              <w:left w:val="nil"/>
              <w:bottom w:val="dotted" w:sz="4" w:space="0" w:color="auto"/>
              <w:right w:val="dotted" w:sz="4" w:space="0" w:color="auto"/>
            </w:tcBorders>
            <w:shd w:val="clear" w:color="auto" w:fill="auto"/>
            <w:vAlign w:val="center"/>
          </w:tcPr>
          <w:p w14:paraId="67E6484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737" w:type="dxa"/>
            <w:tcBorders>
              <w:top w:val="nil"/>
              <w:left w:val="nil"/>
              <w:bottom w:val="dotted" w:sz="4" w:space="0" w:color="auto"/>
              <w:right w:val="double" w:sz="6" w:space="0" w:color="auto"/>
            </w:tcBorders>
            <w:shd w:val="clear" w:color="auto" w:fill="auto"/>
            <w:vAlign w:val="center"/>
          </w:tcPr>
          <w:p w14:paraId="086F7B1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r>
      <w:tr w:rsidR="006F605B" w:rsidRPr="00DC66CD" w14:paraId="062B3389"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7469412B"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13. Social contributions</w:t>
            </w:r>
          </w:p>
        </w:tc>
        <w:tc>
          <w:tcPr>
            <w:tcW w:w="1014" w:type="dxa"/>
            <w:tcBorders>
              <w:top w:val="nil"/>
              <w:left w:val="nil"/>
              <w:bottom w:val="dotted" w:sz="4" w:space="0" w:color="auto"/>
              <w:right w:val="single" w:sz="8" w:space="0" w:color="auto"/>
            </w:tcBorders>
            <w:shd w:val="clear" w:color="000000" w:fill="FFFFFF"/>
            <w:vAlign w:val="center"/>
            <w:hideMark/>
          </w:tcPr>
          <w:p w14:paraId="04F6149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D61</w:t>
            </w:r>
          </w:p>
        </w:tc>
        <w:tc>
          <w:tcPr>
            <w:tcW w:w="1014" w:type="dxa"/>
            <w:tcBorders>
              <w:top w:val="nil"/>
              <w:left w:val="single" w:sz="8" w:space="0" w:color="auto"/>
              <w:bottom w:val="dotted" w:sz="4" w:space="0" w:color="auto"/>
              <w:right w:val="single" w:sz="8" w:space="0" w:color="auto"/>
            </w:tcBorders>
            <w:shd w:val="clear" w:color="auto" w:fill="auto"/>
            <w:vAlign w:val="center"/>
          </w:tcPr>
          <w:p w14:paraId="6F80DC5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91.8501</w:t>
            </w:r>
          </w:p>
        </w:tc>
        <w:tc>
          <w:tcPr>
            <w:tcW w:w="737" w:type="dxa"/>
            <w:tcBorders>
              <w:top w:val="nil"/>
              <w:left w:val="nil"/>
              <w:bottom w:val="dotted" w:sz="4" w:space="0" w:color="auto"/>
              <w:right w:val="dotted" w:sz="4" w:space="0" w:color="auto"/>
            </w:tcBorders>
            <w:shd w:val="clear" w:color="auto" w:fill="auto"/>
            <w:vAlign w:val="center"/>
          </w:tcPr>
          <w:p w14:paraId="3D92D12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5.6</w:t>
            </w:r>
          </w:p>
        </w:tc>
        <w:tc>
          <w:tcPr>
            <w:tcW w:w="737" w:type="dxa"/>
            <w:tcBorders>
              <w:top w:val="nil"/>
              <w:left w:val="nil"/>
              <w:bottom w:val="dotted" w:sz="4" w:space="0" w:color="auto"/>
              <w:right w:val="dotted" w:sz="4" w:space="0" w:color="auto"/>
            </w:tcBorders>
            <w:shd w:val="clear" w:color="auto" w:fill="auto"/>
            <w:vAlign w:val="center"/>
          </w:tcPr>
          <w:p w14:paraId="446D7D7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5.8</w:t>
            </w:r>
          </w:p>
        </w:tc>
        <w:tc>
          <w:tcPr>
            <w:tcW w:w="737" w:type="dxa"/>
            <w:tcBorders>
              <w:top w:val="nil"/>
              <w:left w:val="nil"/>
              <w:bottom w:val="dotted" w:sz="4" w:space="0" w:color="auto"/>
              <w:right w:val="dotted" w:sz="4" w:space="0" w:color="auto"/>
            </w:tcBorders>
            <w:shd w:val="clear" w:color="auto" w:fill="auto"/>
            <w:vAlign w:val="center"/>
          </w:tcPr>
          <w:p w14:paraId="3773D51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5.8</w:t>
            </w:r>
          </w:p>
        </w:tc>
        <w:tc>
          <w:tcPr>
            <w:tcW w:w="737" w:type="dxa"/>
            <w:tcBorders>
              <w:top w:val="nil"/>
              <w:left w:val="nil"/>
              <w:bottom w:val="dotted" w:sz="4" w:space="0" w:color="auto"/>
              <w:right w:val="dotted" w:sz="4" w:space="0" w:color="auto"/>
            </w:tcBorders>
            <w:shd w:val="clear" w:color="auto" w:fill="auto"/>
            <w:vAlign w:val="center"/>
          </w:tcPr>
          <w:p w14:paraId="71C395E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5.8</w:t>
            </w:r>
          </w:p>
        </w:tc>
        <w:tc>
          <w:tcPr>
            <w:tcW w:w="737" w:type="dxa"/>
            <w:tcBorders>
              <w:top w:val="nil"/>
              <w:left w:val="nil"/>
              <w:bottom w:val="dotted" w:sz="4" w:space="0" w:color="auto"/>
              <w:right w:val="double" w:sz="6" w:space="0" w:color="auto"/>
            </w:tcBorders>
            <w:shd w:val="clear" w:color="auto" w:fill="auto"/>
            <w:vAlign w:val="center"/>
          </w:tcPr>
          <w:p w14:paraId="775B572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5.8</w:t>
            </w:r>
          </w:p>
        </w:tc>
      </w:tr>
      <w:tr w:rsidR="006F605B" w:rsidRPr="00DC66CD" w14:paraId="620372CF"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4264C372"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14. Property income</w:t>
            </w:r>
          </w:p>
        </w:tc>
        <w:tc>
          <w:tcPr>
            <w:tcW w:w="1014" w:type="dxa"/>
            <w:tcBorders>
              <w:top w:val="nil"/>
              <w:left w:val="nil"/>
              <w:bottom w:val="dotted" w:sz="4" w:space="0" w:color="auto"/>
              <w:right w:val="single" w:sz="8" w:space="0" w:color="auto"/>
            </w:tcBorders>
            <w:shd w:val="clear" w:color="000000" w:fill="FFFFFF"/>
            <w:vAlign w:val="center"/>
            <w:hideMark/>
          </w:tcPr>
          <w:p w14:paraId="2EAABA7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D4</w:t>
            </w:r>
          </w:p>
        </w:tc>
        <w:tc>
          <w:tcPr>
            <w:tcW w:w="1014" w:type="dxa"/>
            <w:tcBorders>
              <w:top w:val="nil"/>
              <w:left w:val="single" w:sz="8" w:space="0" w:color="auto"/>
              <w:bottom w:val="dotted" w:sz="4" w:space="0" w:color="auto"/>
              <w:right w:val="single" w:sz="8" w:space="0" w:color="auto"/>
            </w:tcBorders>
            <w:shd w:val="clear" w:color="auto" w:fill="auto"/>
            <w:vAlign w:val="center"/>
          </w:tcPr>
          <w:p w14:paraId="66C1319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0.0381</w:t>
            </w:r>
          </w:p>
        </w:tc>
        <w:tc>
          <w:tcPr>
            <w:tcW w:w="737" w:type="dxa"/>
            <w:tcBorders>
              <w:top w:val="nil"/>
              <w:left w:val="nil"/>
              <w:bottom w:val="dotted" w:sz="4" w:space="0" w:color="auto"/>
              <w:right w:val="dotted" w:sz="4" w:space="0" w:color="auto"/>
            </w:tcBorders>
            <w:shd w:val="clear" w:color="auto" w:fill="auto"/>
            <w:vAlign w:val="center"/>
          </w:tcPr>
          <w:p w14:paraId="1C98421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737" w:type="dxa"/>
            <w:tcBorders>
              <w:top w:val="nil"/>
              <w:left w:val="nil"/>
              <w:bottom w:val="dotted" w:sz="4" w:space="0" w:color="auto"/>
              <w:right w:val="dotted" w:sz="4" w:space="0" w:color="auto"/>
            </w:tcBorders>
            <w:shd w:val="clear" w:color="auto" w:fill="auto"/>
            <w:vAlign w:val="center"/>
          </w:tcPr>
          <w:p w14:paraId="182BB30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737" w:type="dxa"/>
            <w:tcBorders>
              <w:top w:val="nil"/>
              <w:left w:val="nil"/>
              <w:bottom w:val="dotted" w:sz="4" w:space="0" w:color="auto"/>
              <w:right w:val="dotted" w:sz="4" w:space="0" w:color="auto"/>
            </w:tcBorders>
            <w:shd w:val="clear" w:color="auto" w:fill="auto"/>
            <w:vAlign w:val="center"/>
          </w:tcPr>
          <w:p w14:paraId="5F803BD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737" w:type="dxa"/>
            <w:tcBorders>
              <w:top w:val="nil"/>
              <w:left w:val="nil"/>
              <w:bottom w:val="dotted" w:sz="4" w:space="0" w:color="auto"/>
              <w:right w:val="dotted" w:sz="4" w:space="0" w:color="auto"/>
            </w:tcBorders>
            <w:shd w:val="clear" w:color="auto" w:fill="auto"/>
            <w:vAlign w:val="center"/>
          </w:tcPr>
          <w:p w14:paraId="558432D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c>
          <w:tcPr>
            <w:tcW w:w="737" w:type="dxa"/>
            <w:tcBorders>
              <w:top w:val="nil"/>
              <w:left w:val="nil"/>
              <w:bottom w:val="dotted" w:sz="4" w:space="0" w:color="auto"/>
              <w:right w:val="double" w:sz="6" w:space="0" w:color="auto"/>
            </w:tcBorders>
            <w:shd w:val="clear" w:color="auto" w:fill="auto"/>
            <w:vAlign w:val="center"/>
          </w:tcPr>
          <w:p w14:paraId="4BA05C5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0.0</w:t>
            </w:r>
          </w:p>
        </w:tc>
      </w:tr>
      <w:tr w:rsidR="006F605B" w:rsidRPr="00DC66CD" w14:paraId="6DD8197E"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39585D0B"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15. Other (15 = 16-(12+13+14))</w:t>
            </w:r>
            <w:r w:rsidRPr="00DC66CD">
              <w:rPr>
                <w:rStyle w:val="FootnoteReference"/>
                <w:rFonts w:ascii="Garamond" w:hAnsi="Garamond"/>
                <w:color w:val="0D0D0D" w:themeColor="text1" w:themeTint="F2"/>
                <w:sz w:val="20"/>
                <w:szCs w:val="20"/>
              </w:rPr>
              <w:footnoteReference w:id="50"/>
            </w:r>
          </w:p>
        </w:tc>
        <w:tc>
          <w:tcPr>
            <w:tcW w:w="1014" w:type="dxa"/>
            <w:tcBorders>
              <w:top w:val="nil"/>
              <w:left w:val="nil"/>
              <w:bottom w:val="dotted" w:sz="4" w:space="0" w:color="auto"/>
              <w:right w:val="single" w:sz="8" w:space="0" w:color="auto"/>
            </w:tcBorders>
            <w:shd w:val="clear" w:color="000000" w:fill="FFFFFF"/>
            <w:vAlign w:val="center"/>
            <w:hideMark/>
          </w:tcPr>
          <w:p w14:paraId="0DF653C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1014" w:type="dxa"/>
            <w:tcBorders>
              <w:top w:val="nil"/>
              <w:left w:val="single" w:sz="8" w:space="0" w:color="auto"/>
              <w:bottom w:val="dotted" w:sz="4" w:space="0" w:color="auto"/>
              <w:right w:val="single" w:sz="8" w:space="0" w:color="auto"/>
            </w:tcBorders>
            <w:shd w:val="clear" w:color="auto" w:fill="auto"/>
            <w:vAlign w:val="center"/>
          </w:tcPr>
          <w:p w14:paraId="3DF8B88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87.1844</w:t>
            </w:r>
          </w:p>
        </w:tc>
        <w:tc>
          <w:tcPr>
            <w:tcW w:w="737" w:type="dxa"/>
            <w:tcBorders>
              <w:top w:val="nil"/>
              <w:left w:val="nil"/>
              <w:bottom w:val="dotted" w:sz="4" w:space="0" w:color="auto"/>
              <w:right w:val="dotted" w:sz="4" w:space="0" w:color="auto"/>
            </w:tcBorders>
            <w:shd w:val="clear" w:color="auto" w:fill="auto"/>
            <w:vAlign w:val="center"/>
          </w:tcPr>
          <w:p w14:paraId="09CC1EF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5.3</w:t>
            </w:r>
          </w:p>
        </w:tc>
        <w:tc>
          <w:tcPr>
            <w:tcW w:w="737" w:type="dxa"/>
            <w:tcBorders>
              <w:top w:val="nil"/>
              <w:left w:val="nil"/>
              <w:bottom w:val="dotted" w:sz="4" w:space="0" w:color="auto"/>
              <w:right w:val="dotted" w:sz="4" w:space="0" w:color="auto"/>
            </w:tcBorders>
            <w:shd w:val="clear" w:color="auto" w:fill="auto"/>
            <w:vAlign w:val="center"/>
          </w:tcPr>
          <w:p w14:paraId="76CB956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5.1</w:t>
            </w:r>
          </w:p>
        </w:tc>
        <w:tc>
          <w:tcPr>
            <w:tcW w:w="737" w:type="dxa"/>
            <w:tcBorders>
              <w:top w:val="nil"/>
              <w:left w:val="nil"/>
              <w:bottom w:val="dotted" w:sz="4" w:space="0" w:color="auto"/>
              <w:right w:val="dotted" w:sz="4" w:space="0" w:color="auto"/>
            </w:tcBorders>
            <w:shd w:val="clear" w:color="auto" w:fill="auto"/>
            <w:vAlign w:val="center"/>
          </w:tcPr>
          <w:p w14:paraId="7B2EB34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6.0</w:t>
            </w:r>
          </w:p>
        </w:tc>
        <w:tc>
          <w:tcPr>
            <w:tcW w:w="737" w:type="dxa"/>
            <w:tcBorders>
              <w:top w:val="nil"/>
              <w:left w:val="nil"/>
              <w:bottom w:val="dotted" w:sz="4" w:space="0" w:color="auto"/>
              <w:right w:val="dotted" w:sz="4" w:space="0" w:color="auto"/>
            </w:tcBorders>
            <w:shd w:val="clear" w:color="auto" w:fill="auto"/>
            <w:vAlign w:val="center"/>
          </w:tcPr>
          <w:p w14:paraId="49A0B38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5.6</w:t>
            </w:r>
          </w:p>
        </w:tc>
        <w:tc>
          <w:tcPr>
            <w:tcW w:w="737" w:type="dxa"/>
            <w:tcBorders>
              <w:top w:val="nil"/>
              <w:left w:val="nil"/>
              <w:bottom w:val="dotted" w:sz="4" w:space="0" w:color="auto"/>
              <w:right w:val="double" w:sz="6" w:space="0" w:color="auto"/>
            </w:tcBorders>
            <w:shd w:val="clear" w:color="auto" w:fill="auto"/>
            <w:vAlign w:val="center"/>
          </w:tcPr>
          <w:p w14:paraId="35147BA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5.5</w:t>
            </w:r>
          </w:p>
        </w:tc>
      </w:tr>
      <w:tr w:rsidR="006F605B" w:rsidRPr="00DC66CD" w14:paraId="51F0434E"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1656EB97"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16 = 6. Total revenue </w:t>
            </w:r>
          </w:p>
        </w:tc>
        <w:tc>
          <w:tcPr>
            <w:tcW w:w="1014" w:type="dxa"/>
            <w:tcBorders>
              <w:top w:val="nil"/>
              <w:left w:val="nil"/>
              <w:bottom w:val="dotted" w:sz="4" w:space="0" w:color="auto"/>
              <w:right w:val="single" w:sz="8" w:space="0" w:color="auto"/>
            </w:tcBorders>
            <w:shd w:val="clear" w:color="000000" w:fill="FFFFFF"/>
            <w:vAlign w:val="center"/>
            <w:hideMark/>
          </w:tcPr>
          <w:p w14:paraId="1F98BA3A"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TR</w:t>
            </w:r>
          </w:p>
        </w:tc>
        <w:tc>
          <w:tcPr>
            <w:tcW w:w="1014" w:type="dxa"/>
            <w:tcBorders>
              <w:top w:val="nil"/>
              <w:left w:val="single" w:sz="8" w:space="0" w:color="auto"/>
              <w:bottom w:val="dotted" w:sz="4" w:space="0" w:color="auto"/>
              <w:right w:val="single" w:sz="8" w:space="0" w:color="auto"/>
            </w:tcBorders>
            <w:shd w:val="clear" w:color="auto" w:fill="auto"/>
            <w:vAlign w:val="center"/>
          </w:tcPr>
          <w:p w14:paraId="412D09A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449.9094</w:t>
            </w:r>
          </w:p>
        </w:tc>
        <w:tc>
          <w:tcPr>
            <w:tcW w:w="737" w:type="dxa"/>
            <w:tcBorders>
              <w:top w:val="nil"/>
              <w:left w:val="nil"/>
              <w:bottom w:val="dotted" w:sz="4" w:space="0" w:color="auto"/>
              <w:right w:val="dotted" w:sz="4" w:space="0" w:color="auto"/>
            </w:tcBorders>
            <w:shd w:val="clear" w:color="auto" w:fill="auto"/>
            <w:vAlign w:val="center"/>
          </w:tcPr>
          <w:p w14:paraId="77D8298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27.6</w:t>
            </w:r>
          </w:p>
        </w:tc>
        <w:tc>
          <w:tcPr>
            <w:tcW w:w="737" w:type="dxa"/>
            <w:tcBorders>
              <w:top w:val="nil"/>
              <w:left w:val="nil"/>
              <w:bottom w:val="dotted" w:sz="4" w:space="0" w:color="auto"/>
              <w:right w:val="dotted" w:sz="4" w:space="0" w:color="auto"/>
            </w:tcBorders>
            <w:shd w:val="clear" w:color="auto" w:fill="auto"/>
            <w:vAlign w:val="center"/>
          </w:tcPr>
          <w:p w14:paraId="3ABEF6E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27.4</w:t>
            </w:r>
          </w:p>
        </w:tc>
        <w:tc>
          <w:tcPr>
            <w:tcW w:w="737" w:type="dxa"/>
            <w:tcBorders>
              <w:top w:val="nil"/>
              <w:left w:val="nil"/>
              <w:bottom w:val="dotted" w:sz="4" w:space="0" w:color="auto"/>
              <w:right w:val="dotted" w:sz="4" w:space="0" w:color="auto"/>
            </w:tcBorders>
            <w:shd w:val="clear" w:color="auto" w:fill="auto"/>
            <w:vAlign w:val="center"/>
          </w:tcPr>
          <w:p w14:paraId="4B13500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28.7</w:t>
            </w:r>
          </w:p>
        </w:tc>
        <w:tc>
          <w:tcPr>
            <w:tcW w:w="737" w:type="dxa"/>
            <w:tcBorders>
              <w:top w:val="nil"/>
              <w:left w:val="nil"/>
              <w:bottom w:val="dotted" w:sz="4" w:space="0" w:color="auto"/>
              <w:right w:val="dotted" w:sz="4" w:space="0" w:color="auto"/>
            </w:tcBorders>
            <w:shd w:val="clear" w:color="auto" w:fill="auto"/>
            <w:vAlign w:val="center"/>
          </w:tcPr>
          <w:p w14:paraId="3EF2721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27.7</w:t>
            </w:r>
          </w:p>
        </w:tc>
        <w:tc>
          <w:tcPr>
            <w:tcW w:w="737" w:type="dxa"/>
            <w:tcBorders>
              <w:top w:val="nil"/>
              <w:left w:val="nil"/>
              <w:bottom w:val="dotted" w:sz="4" w:space="0" w:color="auto"/>
              <w:right w:val="double" w:sz="6" w:space="0" w:color="auto"/>
            </w:tcBorders>
            <w:shd w:val="clear" w:color="auto" w:fill="auto"/>
            <w:vAlign w:val="center"/>
          </w:tcPr>
          <w:p w14:paraId="760FA9C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27.6</w:t>
            </w:r>
          </w:p>
        </w:tc>
      </w:tr>
      <w:tr w:rsidR="006F605B" w:rsidRPr="00DC66CD" w14:paraId="336AC453" w14:textId="77777777" w:rsidTr="00E372C0">
        <w:trPr>
          <w:gridAfter w:val="1"/>
          <w:wAfter w:w="10" w:type="dxa"/>
          <w:trHeight w:val="391"/>
        </w:trPr>
        <w:tc>
          <w:tcPr>
            <w:tcW w:w="4128" w:type="dxa"/>
            <w:tcBorders>
              <w:top w:val="nil"/>
              <w:left w:val="double" w:sz="6" w:space="0" w:color="auto"/>
              <w:bottom w:val="single" w:sz="8" w:space="0" w:color="auto"/>
              <w:right w:val="nil"/>
            </w:tcBorders>
            <w:shd w:val="clear" w:color="auto" w:fill="auto"/>
            <w:noWrap/>
            <w:vAlign w:val="bottom"/>
            <w:hideMark/>
          </w:tcPr>
          <w:p w14:paraId="0952DA4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p.m.: Tax burden (D2+D5+D61+D91-D995)</w:t>
            </w:r>
            <w:r w:rsidRPr="00DC66CD">
              <w:rPr>
                <w:rStyle w:val="FootnoteReference"/>
                <w:rFonts w:ascii="Garamond" w:hAnsi="Garamond"/>
                <w:color w:val="0D0D0D" w:themeColor="text1" w:themeTint="F2"/>
                <w:sz w:val="20"/>
                <w:szCs w:val="20"/>
              </w:rPr>
              <w:footnoteReference w:id="51"/>
            </w:r>
          </w:p>
        </w:tc>
        <w:tc>
          <w:tcPr>
            <w:tcW w:w="1014" w:type="dxa"/>
            <w:tcBorders>
              <w:top w:val="nil"/>
              <w:left w:val="nil"/>
              <w:bottom w:val="single" w:sz="8" w:space="0" w:color="000000"/>
              <w:right w:val="single" w:sz="8" w:space="0" w:color="auto"/>
            </w:tcBorders>
            <w:shd w:val="clear" w:color="000000" w:fill="FFFFFF"/>
            <w:vAlign w:val="center"/>
            <w:hideMark/>
          </w:tcPr>
          <w:p w14:paraId="4A8CD8EB"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1014" w:type="dxa"/>
            <w:tcBorders>
              <w:top w:val="nil"/>
              <w:left w:val="single" w:sz="8" w:space="0" w:color="auto"/>
              <w:bottom w:val="single" w:sz="8" w:space="0" w:color="auto"/>
              <w:right w:val="single" w:sz="8" w:space="0" w:color="auto"/>
            </w:tcBorders>
            <w:shd w:val="clear" w:color="auto" w:fill="auto"/>
            <w:vAlign w:val="center"/>
          </w:tcPr>
          <w:p w14:paraId="186A844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362.6870</w:t>
            </w:r>
          </w:p>
        </w:tc>
        <w:tc>
          <w:tcPr>
            <w:tcW w:w="737" w:type="dxa"/>
            <w:tcBorders>
              <w:top w:val="nil"/>
              <w:left w:val="nil"/>
              <w:bottom w:val="single" w:sz="8" w:space="0" w:color="000000"/>
              <w:right w:val="dotted" w:sz="4" w:space="0" w:color="auto"/>
            </w:tcBorders>
            <w:shd w:val="clear" w:color="auto" w:fill="auto"/>
            <w:vAlign w:val="center"/>
          </w:tcPr>
          <w:p w14:paraId="4960F6D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22.2</w:t>
            </w:r>
          </w:p>
        </w:tc>
        <w:tc>
          <w:tcPr>
            <w:tcW w:w="737" w:type="dxa"/>
            <w:tcBorders>
              <w:top w:val="nil"/>
              <w:left w:val="nil"/>
              <w:bottom w:val="single" w:sz="8" w:space="0" w:color="000000"/>
              <w:right w:val="dotted" w:sz="4" w:space="0" w:color="auto"/>
            </w:tcBorders>
            <w:shd w:val="clear" w:color="auto" w:fill="auto"/>
            <w:vAlign w:val="center"/>
          </w:tcPr>
          <w:p w14:paraId="27E9D97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22.2</w:t>
            </w:r>
          </w:p>
        </w:tc>
        <w:tc>
          <w:tcPr>
            <w:tcW w:w="737" w:type="dxa"/>
            <w:tcBorders>
              <w:top w:val="nil"/>
              <w:left w:val="nil"/>
              <w:bottom w:val="single" w:sz="8" w:space="0" w:color="000000"/>
              <w:right w:val="dotted" w:sz="4" w:space="0" w:color="auto"/>
            </w:tcBorders>
            <w:shd w:val="clear" w:color="auto" w:fill="auto"/>
            <w:vAlign w:val="center"/>
          </w:tcPr>
          <w:p w14:paraId="51496C4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22.7</w:t>
            </w:r>
          </w:p>
        </w:tc>
        <w:tc>
          <w:tcPr>
            <w:tcW w:w="737" w:type="dxa"/>
            <w:tcBorders>
              <w:top w:val="nil"/>
              <w:left w:val="nil"/>
              <w:bottom w:val="single" w:sz="8" w:space="0" w:color="000000"/>
              <w:right w:val="dotted" w:sz="4" w:space="0" w:color="auto"/>
            </w:tcBorders>
            <w:shd w:val="clear" w:color="auto" w:fill="auto"/>
            <w:vAlign w:val="center"/>
          </w:tcPr>
          <w:p w14:paraId="08CB876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22.1</w:t>
            </w:r>
          </w:p>
        </w:tc>
        <w:tc>
          <w:tcPr>
            <w:tcW w:w="737" w:type="dxa"/>
            <w:tcBorders>
              <w:top w:val="nil"/>
              <w:left w:val="nil"/>
              <w:bottom w:val="single" w:sz="8" w:space="0" w:color="auto"/>
              <w:right w:val="double" w:sz="6" w:space="0" w:color="auto"/>
            </w:tcBorders>
            <w:shd w:val="clear" w:color="auto" w:fill="auto"/>
            <w:vAlign w:val="center"/>
          </w:tcPr>
          <w:p w14:paraId="0317642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22.1</w:t>
            </w:r>
          </w:p>
        </w:tc>
      </w:tr>
      <w:tr w:rsidR="006F605B" w:rsidRPr="00DC66CD" w14:paraId="22A377BC" w14:textId="77777777" w:rsidTr="00E372C0">
        <w:trPr>
          <w:trHeight w:val="391"/>
        </w:trPr>
        <w:tc>
          <w:tcPr>
            <w:tcW w:w="9851" w:type="dxa"/>
            <w:gridSpan w:val="9"/>
            <w:tcBorders>
              <w:top w:val="single" w:sz="8" w:space="0" w:color="auto"/>
              <w:left w:val="double" w:sz="6" w:space="0" w:color="auto"/>
              <w:bottom w:val="single" w:sz="8" w:space="0" w:color="auto"/>
              <w:right w:val="double" w:sz="6" w:space="0" w:color="000000"/>
            </w:tcBorders>
            <w:shd w:val="clear" w:color="000000" w:fill="FFFFFF"/>
            <w:vAlign w:val="center"/>
            <w:hideMark/>
          </w:tcPr>
          <w:p w14:paraId="21FA83EA" w14:textId="77777777" w:rsidR="006F605B" w:rsidRPr="00DC66CD" w:rsidRDefault="006F605B" w:rsidP="00131DA1">
            <w:pPr>
              <w:spacing w:after="0" w:line="240" w:lineRule="auto"/>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Selected components of expenditures</w:t>
            </w:r>
          </w:p>
        </w:tc>
      </w:tr>
      <w:tr w:rsidR="006F605B" w:rsidRPr="00DC66CD" w14:paraId="02613FC4"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743524F6"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17. Collective consumption</w:t>
            </w:r>
          </w:p>
        </w:tc>
        <w:tc>
          <w:tcPr>
            <w:tcW w:w="1014" w:type="dxa"/>
            <w:tcBorders>
              <w:top w:val="nil"/>
              <w:left w:val="nil"/>
              <w:bottom w:val="dotted" w:sz="4" w:space="0" w:color="auto"/>
              <w:right w:val="single" w:sz="8" w:space="0" w:color="auto"/>
            </w:tcBorders>
            <w:shd w:val="clear" w:color="000000" w:fill="FFFFFF"/>
            <w:vAlign w:val="center"/>
            <w:hideMark/>
          </w:tcPr>
          <w:p w14:paraId="35D7DE04"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P32</w:t>
            </w:r>
          </w:p>
        </w:tc>
        <w:tc>
          <w:tcPr>
            <w:tcW w:w="1014" w:type="dxa"/>
            <w:tcBorders>
              <w:top w:val="nil"/>
              <w:left w:val="single" w:sz="8" w:space="0" w:color="auto"/>
              <w:bottom w:val="dotted" w:sz="4" w:space="0" w:color="auto"/>
              <w:right w:val="single" w:sz="8" w:space="0" w:color="auto"/>
            </w:tcBorders>
            <w:shd w:val="clear" w:color="auto" w:fill="auto"/>
            <w:vAlign w:val="center"/>
          </w:tcPr>
          <w:p w14:paraId="356D019E"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153.2943</w:t>
            </w:r>
          </w:p>
        </w:tc>
        <w:tc>
          <w:tcPr>
            <w:tcW w:w="737" w:type="dxa"/>
            <w:tcBorders>
              <w:top w:val="nil"/>
              <w:left w:val="nil"/>
              <w:bottom w:val="dotted" w:sz="4" w:space="0" w:color="auto"/>
              <w:right w:val="dotted" w:sz="4" w:space="0" w:color="auto"/>
            </w:tcBorders>
            <w:shd w:val="clear" w:color="auto" w:fill="auto"/>
            <w:vAlign w:val="center"/>
          </w:tcPr>
          <w:p w14:paraId="31E3CCC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9.4</w:t>
            </w:r>
          </w:p>
        </w:tc>
        <w:tc>
          <w:tcPr>
            <w:tcW w:w="737" w:type="dxa"/>
            <w:tcBorders>
              <w:top w:val="nil"/>
              <w:left w:val="nil"/>
              <w:bottom w:val="dotted" w:sz="4" w:space="0" w:color="auto"/>
              <w:right w:val="dotted" w:sz="4" w:space="0" w:color="auto"/>
            </w:tcBorders>
            <w:shd w:val="clear" w:color="auto" w:fill="auto"/>
            <w:vAlign w:val="center"/>
          </w:tcPr>
          <w:p w14:paraId="0B34125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9.5</w:t>
            </w:r>
          </w:p>
        </w:tc>
        <w:tc>
          <w:tcPr>
            <w:tcW w:w="737" w:type="dxa"/>
            <w:tcBorders>
              <w:top w:val="nil"/>
              <w:left w:val="nil"/>
              <w:bottom w:val="dotted" w:sz="4" w:space="0" w:color="auto"/>
              <w:right w:val="dotted" w:sz="4" w:space="0" w:color="auto"/>
            </w:tcBorders>
            <w:shd w:val="clear" w:color="auto" w:fill="auto"/>
            <w:vAlign w:val="center"/>
          </w:tcPr>
          <w:p w14:paraId="67AF51F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9.5</w:t>
            </w:r>
          </w:p>
        </w:tc>
        <w:tc>
          <w:tcPr>
            <w:tcW w:w="737" w:type="dxa"/>
            <w:tcBorders>
              <w:top w:val="nil"/>
              <w:left w:val="nil"/>
              <w:bottom w:val="dotted" w:sz="4" w:space="0" w:color="auto"/>
              <w:right w:val="dotted" w:sz="4" w:space="0" w:color="auto"/>
            </w:tcBorders>
            <w:shd w:val="clear" w:color="auto" w:fill="auto"/>
            <w:vAlign w:val="center"/>
          </w:tcPr>
          <w:p w14:paraId="4BE9495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9.4</w:t>
            </w:r>
          </w:p>
        </w:tc>
        <w:tc>
          <w:tcPr>
            <w:tcW w:w="737" w:type="dxa"/>
            <w:tcBorders>
              <w:top w:val="nil"/>
              <w:left w:val="nil"/>
              <w:bottom w:val="dotted" w:sz="4" w:space="0" w:color="auto"/>
              <w:right w:val="double" w:sz="6" w:space="0" w:color="auto"/>
            </w:tcBorders>
            <w:shd w:val="clear" w:color="auto" w:fill="auto"/>
            <w:vAlign w:val="center"/>
          </w:tcPr>
          <w:p w14:paraId="4FAEDD0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9.2</w:t>
            </w:r>
          </w:p>
        </w:tc>
      </w:tr>
      <w:tr w:rsidR="006F605B" w:rsidRPr="00DC66CD" w14:paraId="2F05BE96"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67D7F1DB"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18. Total social transfers</w:t>
            </w:r>
          </w:p>
        </w:tc>
        <w:tc>
          <w:tcPr>
            <w:tcW w:w="1014" w:type="dxa"/>
            <w:tcBorders>
              <w:top w:val="nil"/>
              <w:left w:val="nil"/>
              <w:bottom w:val="dotted" w:sz="4" w:space="0" w:color="auto"/>
              <w:right w:val="single" w:sz="8" w:space="0" w:color="auto"/>
            </w:tcBorders>
            <w:shd w:val="clear" w:color="000000" w:fill="FFFFFF"/>
            <w:vAlign w:val="center"/>
            <w:hideMark/>
          </w:tcPr>
          <w:p w14:paraId="62664C7B"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D62 + D63</w:t>
            </w:r>
          </w:p>
        </w:tc>
        <w:tc>
          <w:tcPr>
            <w:tcW w:w="1014" w:type="dxa"/>
            <w:tcBorders>
              <w:top w:val="nil"/>
              <w:left w:val="single" w:sz="8" w:space="0" w:color="auto"/>
              <w:bottom w:val="dotted" w:sz="4" w:space="0" w:color="auto"/>
              <w:right w:val="single" w:sz="8" w:space="0" w:color="auto"/>
            </w:tcBorders>
            <w:shd w:val="clear" w:color="auto" w:fill="auto"/>
            <w:vAlign w:val="center"/>
          </w:tcPr>
          <w:p w14:paraId="0990E71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190.2531</w:t>
            </w:r>
          </w:p>
        </w:tc>
        <w:tc>
          <w:tcPr>
            <w:tcW w:w="737" w:type="dxa"/>
            <w:tcBorders>
              <w:top w:val="nil"/>
              <w:left w:val="nil"/>
              <w:bottom w:val="dotted" w:sz="4" w:space="0" w:color="auto"/>
              <w:right w:val="dotted" w:sz="4" w:space="0" w:color="auto"/>
            </w:tcBorders>
            <w:shd w:val="clear" w:color="auto" w:fill="auto"/>
            <w:vAlign w:val="center"/>
          </w:tcPr>
          <w:p w14:paraId="16FD75F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11.7</w:t>
            </w:r>
          </w:p>
        </w:tc>
        <w:tc>
          <w:tcPr>
            <w:tcW w:w="737" w:type="dxa"/>
            <w:tcBorders>
              <w:top w:val="nil"/>
              <w:left w:val="nil"/>
              <w:bottom w:val="dotted" w:sz="4" w:space="0" w:color="auto"/>
              <w:right w:val="dotted" w:sz="4" w:space="0" w:color="auto"/>
            </w:tcBorders>
            <w:shd w:val="clear" w:color="auto" w:fill="auto"/>
            <w:vAlign w:val="center"/>
          </w:tcPr>
          <w:p w14:paraId="14A2F85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12.0</w:t>
            </w:r>
          </w:p>
        </w:tc>
        <w:tc>
          <w:tcPr>
            <w:tcW w:w="737" w:type="dxa"/>
            <w:tcBorders>
              <w:top w:val="nil"/>
              <w:left w:val="nil"/>
              <w:bottom w:val="dotted" w:sz="4" w:space="0" w:color="auto"/>
              <w:right w:val="dotted" w:sz="4" w:space="0" w:color="auto"/>
            </w:tcBorders>
            <w:shd w:val="clear" w:color="auto" w:fill="auto"/>
            <w:vAlign w:val="center"/>
          </w:tcPr>
          <w:p w14:paraId="4B1F091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12.0</w:t>
            </w:r>
          </w:p>
        </w:tc>
        <w:tc>
          <w:tcPr>
            <w:tcW w:w="737" w:type="dxa"/>
            <w:tcBorders>
              <w:top w:val="nil"/>
              <w:left w:val="nil"/>
              <w:bottom w:val="dotted" w:sz="4" w:space="0" w:color="auto"/>
              <w:right w:val="dotted" w:sz="4" w:space="0" w:color="auto"/>
            </w:tcBorders>
            <w:shd w:val="clear" w:color="auto" w:fill="auto"/>
            <w:vAlign w:val="center"/>
          </w:tcPr>
          <w:p w14:paraId="00AD64A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11.8</w:t>
            </w:r>
          </w:p>
        </w:tc>
        <w:tc>
          <w:tcPr>
            <w:tcW w:w="737" w:type="dxa"/>
            <w:tcBorders>
              <w:top w:val="nil"/>
              <w:left w:val="nil"/>
              <w:bottom w:val="dotted" w:sz="4" w:space="0" w:color="auto"/>
              <w:right w:val="double" w:sz="6" w:space="0" w:color="auto"/>
            </w:tcBorders>
            <w:shd w:val="clear" w:color="auto" w:fill="auto"/>
            <w:vAlign w:val="center"/>
          </w:tcPr>
          <w:p w14:paraId="16FACFE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11.6</w:t>
            </w:r>
          </w:p>
        </w:tc>
      </w:tr>
      <w:tr w:rsidR="006F605B" w:rsidRPr="00DC66CD" w14:paraId="505D404D" w14:textId="77777777" w:rsidTr="00E372C0">
        <w:trPr>
          <w:gridAfter w:val="1"/>
          <w:wAfter w:w="10" w:type="dxa"/>
          <w:trHeight w:val="391"/>
        </w:trPr>
        <w:tc>
          <w:tcPr>
            <w:tcW w:w="4128" w:type="dxa"/>
            <w:tcBorders>
              <w:top w:val="nil"/>
              <w:left w:val="double" w:sz="6" w:space="0" w:color="auto"/>
              <w:right w:val="dotted" w:sz="4" w:space="0" w:color="auto"/>
            </w:tcBorders>
            <w:shd w:val="clear" w:color="000000" w:fill="FFFFFF"/>
            <w:vAlign w:val="center"/>
            <w:hideMark/>
          </w:tcPr>
          <w:p w14:paraId="0A6D494A"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18a. Social transfers in kind</w:t>
            </w:r>
          </w:p>
        </w:tc>
        <w:tc>
          <w:tcPr>
            <w:tcW w:w="1014" w:type="dxa"/>
            <w:tcBorders>
              <w:top w:val="nil"/>
              <w:left w:val="nil"/>
              <w:right w:val="single" w:sz="8" w:space="0" w:color="auto"/>
            </w:tcBorders>
            <w:shd w:val="clear" w:color="000000" w:fill="FFFFFF"/>
            <w:vAlign w:val="center"/>
            <w:hideMark/>
          </w:tcPr>
          <w:p w14:paraId="1DA14DFA"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P31 = D63</w:t>
            </w:r>
          </w:p>
        </w:tc>
        <w:tc>
          <w:tcPr>
            <w:tcW w:w="1014" w:type="dxa"/>
            <w:tcBorders>
              <w:top w:val="nil"/>
              <w:left w:val="single" w:sz="8" w:space="0" w:color="auto"/>
              <w:bottom w:val="dotted" w:sz="4" w:space="0" w:color="auto"/>
              <w:right w:val="single" w:sz="8" w:space="0" w:color="auto"/>
            </w:tcBorders>
            <w:shd w:val="clear" w:color="auto" w:fill="auto"/>
            <w:vAlign w:val="center"/>
          </w:tcPr>
          <w:p w14:paraId="5039207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tted" w:sz="4" w:space="0" w:color="auto"/>
            </w:tcBorders>
            <w:shd w:val="clear" w:color="auto" w:fill="auto"/>
            <w:vAlign w:val="center"/>
          </w:tcPr>
          <w:p w14:paraId="3AA0212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tted" w:sz="4" w:space="0" w:color="auto"/>
            </w:tcBorders>
            <w:shd w:val="clear" w:color="auto" w:fill="auto"/>
            <w:vAlign w:val="center"/>
          </w:tcPr>
          <w:p w14:paraId="2C23DCA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tted" w:sz="4" w:space="0" w:color="auto"/>
            </w:tcBorders>
            <w:shd w:val="clear" w:color="auto" w:fill="auto"/>
            <w:vAlign w:val="center"/>
          </w:tcPr>
          <w:p w14:paraId="76D5FC6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tted" w:sz="4" w:space="0" w:color="auto"/>
            </w:tcBorders>
            <w:shd w:val="clear" w:color="auto" w:fill="auto"/>
            <w:vAlign w:val="center"/>
          </w:tcPr>
          <w:p w14:paraId="0A415C5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37" w:type="dxa"/>
            <w:tcBorders>
              <w:top w:val="nil"/>
              <w:left w:val="nil"/>
              <w:bottom w:val="dotted" w:sz="4" w:space="0" w:color="auto"/>
              <w:right w:val="double" w:sz="6" w:space="0" w:color="auto"/>
            </w:tcBorders>
            <w:shd w:val="clear" w:color="auto" w:fill="auto"/>
            <w:vAlign w:val="center"/>
          </w:tcPr>
          <w:p w14:paraId="0880CDA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2C2294F0"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2478A743"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18b. Social transfers other than in kind</w:t>
            </w:r>
          </w:p>
        </w:tc>
        <w:tc>
          <w:tcPr>
            <w:tcW w:w="1014" w:type="dxa"/>
            <w:tcBorders>
              <w:top w:val="nil"/>
              <w:left w:val="nil"/>
              <w:bottom w:val="dotted" w:sz="4" w:space="0" w:color="auto"/>
              <w:right w:val="single" w:sz="8" w:space="0" w:color="auto"/>
            </w:tcBorders>
            <w:shd w:val="clear" w:color="000000" w:fill="FFFFFF"/>
            <w:vAlign w:val="center"/>
            <w:hideMark/>
          </w:tcPr>
          <w:p w14:paraId="43B56E4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D62</w:t>
            </w:r>
          </w:p>
        </w:tc>
        <w:tc>
          <w:tcPr>
            <w:tcW w:w="1014" w:type="dxa"/>
            <w:tcBorders>
              <w:top w:val="nil"/>
              <w:left w:val="single" w:sz="8" w:space="0" w:color="auto"/>
              <w:bottom w:val="dotted" w:sz="4" w:space="0" w:color="auto"/>
              <w:right w:val="single" w:sz="8" w:space="0" w:color="auto"/>
            </w:tcBorders>
            <w:shd w:val="clear" w:color="auto" w:fill="auto"/>
            <w:vAlign w:val="center"/>
          </w:tcPr>
          <w:p w14:paraId="2254C22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190.2531</w:t>
            </w:r>
          </w:p>
        </w:tc>
        <w:tc>
          <w:tcPr>
            <w:tcW w:w="737" w:type="dxa"/>
            <w:tcBorders>
              <w:top w:val="nil"/>
              <w:left w:val="nil"/>
              <w:bottom w:val="dotted" w:sz="4" w:space="0" w:color="auto"/>
              <w:right w:val="dotted" w:sz="4" w:space="0" w:color="auto"/>
            </w:tcBorders>
            <w:shd w:val="clear" w:color="auto" w:fill="auto"/>
            <w:vAlign w:val="center"/>
          </w:tcPr>
          <w:p w14:paraId="28A957F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11.7</w:t>
            </w:r>
          </w:p>
        </w:tc>
        <w:tc>
          <w:tcPr>
            <w:tcW w:w="737" w:type="dxa"/>
            <w:tcBorders>
              <w:top w:val="nil"/>
              <w:left w:val="nil"/>
              <w:bottom w:val="dotted" w:sz="4" w:space="0" w:color="auto"/>
              <w:right w:val="dotted" w:sz="4" w:space="0" w:color="auto"/>
            </w:tcBorders>
            <w:shd w:val="clear" w:color="auto" w:fill="auto"/>
            <w:vAlign w:val="center"/>
          </w:tcPr>
          <w:p w14:paraId="03A16E7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12.0</w:t>
            </w:r>
          </w:p>
        </w:tc>
        <w:tc>
          <w:tcPr>
            <w:tcW w:w="737" w:type="dxa"/>
            <w:tcBorders>
              <w:top w:val="nil"/>
              <w:left w:val="nil"/>
              <w:bottom w:val="dotted" w:sz="4" w:space="0" w:color="auto"/>
              <w:right w:val="dotted" w:sz="4" w:space="0" w:color="auto"/>
            </w:tcBorders>
            <w:shd w:val="clear" w:color="auto" w:fill="auto"/>
            <w:vAlign w:val="center"/>
          </w:tcPr>
          <w:p w14:paraId="6318624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12.0</w:t>
            </w:r>
          </w:p>
        </w:tc>
        <w:tc>
          <w:tcPr>
            <w:tcW w:w="737" w:type="dxa"/>
            <w:tcBorders>
              <w:top w:val="nil"/>
              <w:left w:val="nil"/>
              <w:bottom w:val="dotted" w:sz="4" w:space="0" w:color="auto"/>
              <w:right w:val="dotted" w:sz="4" w:space="0" w:color="auto"/>
            </w:tcBorders>
            <w:shd w:val="clear" w:color="auto" w:fill="auto"/>
            <w:vAlign w:val="center"/>
          </w:tcPr>
          <w:p w14:paraId="397E8EA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11.8</w:t>
            </w:r>
          </w:p>
        </w:tc>
        <w:tc>
          <w:tcPr>
            <w:tcW w:w="737" w:type="dxa"/>
            <w:tcBorders>
              <w:top w:val="nil"/>
              <w:left w:val="nil"/>
              <w:bottom w:val="dotted" w:sz="4" w:space="0" w:color="auto"/>
              <w:right w:val="double" w:sz="6" w:space="0" w:color="auto"/>
            </w:tcBorders>
            <w:shd w:val="clear" w:color="auto" w:fill="auto"/>
            <w:vAlign w:val="center"/>
          </w:tcPr>
          <w:p w14:paraId="4733DFE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11.6</w:t>
            </w:r>
          </w:p>
        </w:tc>
      </w:tr>
      <w:tr w:rsidR="006F605B" w:rsidRPr="00DC66CD" w14:paraId="28A27BE0"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45B88F1B"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19 = 9. Interest expenditure (incl. FISIM) </w:t>
            </w:r>
          </w:p>
        </w:tc>
        <w:tc>
          <w:tcPr>
            <w:tcW w:w="1014" w:type="dxa"/>
            <w:tcBorders>
              <w:top w:val="nil"/>
              <w:left w:val="nil"/>
              <w:bottom w:val="dotted" w:sz="4" w:space="0" w:color="auto"/>
              <w:right w:val="single" w:sz="8" w:space="0" w:color="auto"/>
            </w:tcBorders>
            <w:shd w:val="clear" w:color="000000" w:fill="FFFFFF"/>
            <w:vAlign w:val="center"/>
            <w:hideMark/>
          </w:tcPr>
          <w:p w14:paraId="5456E96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EDP.D41 + FISIM</w:t>
            </w:r>
          </w:p>
        </w:tc>
        <w:tc>
          <w:tcPr>
            <w:tcW w:w="1014" w:type="dxa"/>
            <w:tcBorders>
              <w:top w:val="nil"/>
              <w:left w:val="single" w:sz="8" w:space="0" w:color="auto"/>
              <w:bottom w:val="dotted" w:sz="4" w:space="0" w:color="auto"/>
              <w:right w:val="single" w:sz="8" w:space="0" w:color="auto"/>
            </w:tcBorders>
            <w:shd w:val="clear" w:color="auto" w:fill="auto"/>
            <w:vAlign w:val="center"/>
          </w:tcPr>
          <w:p w14:paraId="25460D0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36.5134</w:t>
            </w:r>
          </w:p>
        </w:tc>
        <w:tc>
          <w:tcPr>
            <w:tcW w:w="737" w:type="dxa"/>
            <w:tcBorders>
              <w:top w:val="nil"/>
              <w:left w:val="nil"/>
              <w:bottom w:val="dotted" w:sz="4" w:space="0" w:color="auto"/>
              <w:right w:val="dotted" w:sz="4" w:space="0" w:color="auto"/>
            </w:tcBorders>
            <w:shd w:val="clear" w:color="auto" w:fill="auto"/>
            <w:vAlign w:val="center"/>
          </w:tcPr>
          <w:p w14:paraId="0B6DDCB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737" w:type="dxa"/>
            <w:tcBorders>
              <w:top w:val="nil"/>
              <w:left w:val="nil"/>
              <w:bottom w:val="dotted" w:sz="4" w:space="0" w:color="auto"/>
              <w:right w:val="dotted" w:sz="4" w:space="0" w:color="auto"/>
            </w:tcBorders>
            <w:shd w:val="clear" w:color="auto" w:fill="auto"/>
            <w:vAlign w:val="center"/>
          </w:tcPr>
          <w:p w14:paraId="10B9544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w:t>
            </w:r>
          </w:p>
        </w:tc>
        <w:tc>
          <w:tcPr>
            <w:tcW w:w="737" w:type="dxa"/>
            <w:tcBorders>
              <w:top w:val="nil"/>
              <w:left w:val="nil"/>
              <w:bottom w:val="dotted" w:sz="4" w:space="0" w:color="auto"/>
              <w:right w:val="dotted" w:sz="4" w:space="0" w:color="auto"/>
            </w:tcBorders>
            <w:shd w:val="clear" w:color="auto" w:fill="auto"/>
            <w:vAlign w:val="center"/>
          </w:tcPr>
          <w:p w14:paraId="30E26AE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w:t>
            </w:r>
          </w:p>
        </w:tc>
        <w:tc>
          <w:tcPr>
            <w:tcW w:w="737" w:type="dxa"/>
            <w:tcBorders>
              <w:top w:val="nil"/>
              <w:left w:val="nil"/>
              <w:bottom w:val="dotted" w:sz="4" w:space="0" w:color="auto"/>
              <w:right w:val="dotted" w:sz="4" w:space="0" w:color="auto"/>
            </w:tcBorders>
            <w:shd w:val="clear" w:color="auto" w:fill="auto"/>
            <w:vAlign w:val="center"/>
          </w:tcPr>
          <w:p w14:paraId="792AF9B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w:t>
            </w:r>
          </w:p>
        </w:tc>
        <w:tc>
          <w:tcPr>
            <w:tcW w:w="737" w:type="dxa"/>
            <w:tcBorders>
              <w:top w:val="nil"/>
              <w:left w:val="nil"/>
              <w:bottom w:val="dotted" w:sz="4" w:space="0" w:color="auto"/>
              <w:right w:val="double" w:sz="6" w:space="0" w:color="auto"/>
            </w:tcBorders>
            <w:shd w:val="clear" w:color="auto" w:fill="auto"/>
            <w:vAlign w:val="center"/>
          </w:tcPr>
          <w:p w14:paraId="00BB330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w:t>
            </w:r>
          </w:p>
        </w:tc>
      </w:tr>
      <w:tr w:rsidR="006F605B" w:rsidRPr="00DC66CD" w14:paraId="4D8A1AD8"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7C770768"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20. Subsidies</w:t>
            </w:r>
          </w:p>
        </w:tc>
        <w:tc>
          <w:tcPr>
            <w:tcW w:w="1014" w:type="dxa"/>
            <w:tcBorders>
              <w:top w:val="nil"/>
              <w:left w:val="nil"/>
              <w:bottom w:val="dotted" w:sz="4" w:space="0" w:color="auto"/>
              <w:right w:val="single" w:sz="8" w:space="0" w:color="auto"/>
            </w:tcBorders>
            <w:shd w:val="clear" w:color="000000" w:fill="FFFFFF"/>
            <w:vAlign w:val="center"/>
            <w:hideMark/>
          </w:tcPr>
          <w:p w14:paraId="7D640D9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D3</w:t>
            </w:r>
          </w:p>
        </w:tc>
        <w:tc>
          <w:tcPr>
            <w:tcW w:w="1014" w:type="dxa"/>
            <w:tcBorders>
              <w:top w:val="nil"/>
              <w:left w:val="single" w:sz="8" w:space="0" w:color="auto"/>
              <w:bottom w:val="dotted" w:sz="4" w:space="0" w:color="auto"/>
              <w:right w:val="single" w:sz="8" w:space="0" w:color="auto"/>
            </w:tcBorders>
            <w:shd w:val="clear" w:color="auto" w:fill="auto"/>
            <w:vAlign w:val="center"/>
          </w:tcPr>
          <w:p w14:paraId="026B26C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1.8826</w:t>
            </w:r>
          </w:p>
        </w:tc>
        <w:tc>
          <w:tcPr>
            <w:tcW w:w="737" w:type="dxa"/>
            <w:tcBorders>
              <w:top w:val="nil"/>
              <w:left w:val="nil"/>
              <w:bottom w:val="dotted" w:sz="4" w:space="0" w:color="auto"/>
              <w:right w:val="dotted" w:sz="4" w:space="0" w:color="auto"/>
            </w:tcBorders>
            <w:shd w:val="clear" w:color="auto" w:fill="auto"/>
            <w:vAlign w:val="center"/>
          </w:tcPr>
          <w:p w14:paraId="63BAE1E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c>
          <w:tcPr>
            <w:tcW w:w="737" w:type="dxa"/>
            <w:tcBorders>
              <w:top w:val="nil"/>
              <w:left w:val="nil"/>
              <w:bottom w:val="dotted" w:sz="4" w:space="0" w:color="auto"/>
              <w:right w:val="dotted" w:sz="4" w:space="0" w:color="auto"/>
            </w:tcBorders>
            <w:shd w:val="clear" w:color="auto" w:fill="auto"/>
            <w:vAlign w:val="center"/>
          </w:tcPr>
          <w:p w14:paraId="137842D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c>
          <w:tcPr>
            <w:tcW w:w="737" w:type="dxa"/>
            <w:tcBorders>
              <w:top w:val="nil"/>
              <w:left w:val="nil"/>
              <w:bottom w:val="dotted" w:sz="4" w:space="0" w:color="auto"/>
              <w:right w:val="dotted" w:sz="4" w:space="0" w:color="auto"/>
            </w:tcBorders>
            <w:shd w:val="clear" w:color="auto" w:fill="auto"/>
            <w:vAlign w:val="center"/>
          </w:tcPr>
          <w:p w14:paraId="07A820C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c>
          <w:tcPr>
            <w:tcW w:w="737" w:type="dxa"/>
            <w:tcBorders>
              <w:top w:val="nil"/>
              <w:left w:val="nil"/>
              <w:bottom w:val="dotted" w:sz="4" w:space="0" w:color="auto"/>
              <w:right w:val="dotted" w:sz="4" w:space="0" w:color="auto"/>
            </w:tcBorders>
            <w:shd w:val="clear" w:color="auto" w:fill="auto"/>
            <w:vAlign w:val="center"/>
          </w:tcPr>
          <w:p w14:paraId="57FD0A8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c>
          <w:tcPr>
            <w:tcW w:w="737" w:type="dxa"/>
            <w:tcBorders>
              <w:top w:val="nil"/>
              <w:left w:val="nil"/>
              <w:bottom w:val="dotted" w:sz="4" w:space="0" w:color="auto"/>
              <w:right w:val="double" w:sz="6" w:space="0" w:color="auto"/>
            </w:tcBorders>
            <w:shd w:val="clear" w:color="auto" w:fill="auto"/>
            <w:vAlign w:val="center"/>
          </w:tcPr>
          <w:p w14:paraId="218A311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r>
      <w:tr w:rsidR="006F605B" w:rsidRPr="00DC66CD" w14:paraId="52710AC4"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4634A1FE"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21. Gross fixed capital formation</w:t>
            </w:r>
          </w:p>
        </w:tc>
        <w:tc>
          <w:tcPr>
            <w:tcW w:w="1014" w:type="dxa"/>
            <w:tcBorders>
              <w:top w:val="nil"/>
              <w:left w:val="nil"/>
              <w:bottom w:val="dotted" w:sz="4" w:space="0" w:color="auto"/>
              <w:right w:val="single" w:sz="8" w:space="0" w:color="auto"/>
            </w:tcBorders>
            <w:shd w:val="clear" w:color="000000" w:fill="FFFFFF"/>
            <w:vAlign w:val="center"/>
            <w:hideMark/>
          </w:tcPr>
          <w:p w14:paraId="6C3758B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P51</w:t>
            </w:r>
          </w:p>
        </w:tc>
        <w:tc>
          <w:tcPr>
            <w:tcW w:w="1014" w:type="dxa"/>
            <w:tcBorders>
              <w:top w:val="nil"/>
              <w:left w:val="single" w:sz="8" w:space="0" w:color="auto"/>
              <w:bottom w:val="dotted" w:sz="4" w:space="0" w:color="auto"/>
              <w:right w:val="single" w:sz="8" w:space="0" w:color="auto"/>
            </w:tcBorders>
            <w:shd w:val="clear" w:color="auto" w:fill="auto"/>
            <w:vAlign w:val="center"/>
          </w:tcPr>
          <w:p w14:paraId="2253AE0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92.6764</w:t>
            </w:r>
          </w:p>
        </w:tc>
        <w:tc>
          <w:tcPr>
            <w:tcW w:w="737" w:type="dxa"/>
            <w:tcBorders>
              <w:top w:val="nil"/>
              <w:left w:val="nil"/>
              <w:bottom w:val="dotted" w:sz="4" w:space="0" w:color="auto"/>
              <w:right w:val="dotted" w:sz="4" w:space="0" w:color="auto"/>
            </w:tcBorders>
            <w:shd w:val="clear" w:color="auto" w:fill="auto"/>
            <w:vAlign w:val="center"/>
          </w:tcPr>
          <w:p w14:paraId="7F4880C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5.7</w:t>
            </w:r>
          </w:p>
        </w:tc>
        <w:tc>
          <w:tcPr>
            <w:tcW w:w="737" w:type="dxa"/>
            <w:tcBorders>
              <w:top w:val="nil"/>
              <w:left w:val="nil"/>
              <w:bottom w:val="dotted" w:sz="4" w:space="0" w:color="auto"/>
              <w:right w:val="dotted" w:sz="4" w:space="0" w:color="auto"/>
            </w:tcBorders>
            <w:shd w:val="clear" w:color="auto" w:fill="auto"/>
            <w:vAlign w:val="center"/>
          </w:tcPr>
          <w:p w14:paraId="1B817FF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5.6</w:t>
            </w:r>
          </w:p>
        </w:tc>
        <w:tc>
          <w:tcPr>
            <w:tcW w:w="737" w:type="dxa"/>
            <w:tcBorders>
              <w:top w:val="nil"/>
              <w:left w:val="nil"/>
              <w:bottom w:val="dotted" w:sz="4" w:space="0" w:color="auto"/>
              <w:right w:val="dotted" w:sz="4" w:space="0" w:color="auto"/>
            </w:tcBorders>
            <w:shd w:val="clear" w:color="auto" w:fill="auto"/>
            <w:vAlign w:val="center"/>
          </w:tcPr>
          <w:p w14:paraId="5217757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6.8</w:t>
            </w:r>
          </w:p>
        </w:tc>
        <w:tc>
          <w:tcPr>
            <w:tcW w:w="737" w:type="dxa"/>
            <w:tcBorders>
              <w:top w:val="nil"/>
              <w:left w:val="nil"/>
              <w:bottom w:val="dotted" w:sz="4" w:space="0" w:color="auto"/>
              <w:right w:val="dotted" w:sz="4" w:space="0" w:color="auto"/>
            </w:tcBorders>
            <w:shd w:val="clear" w:color="auto" w:fill="auto"/>
            <w:vAlign w:val="center"/>
          </w:tcPr>
          <w:p w14:paraId="6901E8F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5.8</w:t>
            </w:r>
          </w:p>
        </w:tc>
        <w:tc>
          <w:tcPr>
            <w:tcW w:w="737" w:type="dxa"/>
            <w:tcBorders>
              <w:top w:val="nil"/>
              <w:left w:val="nil"/>
              <w:bottom w:val="dotted" w:sz="4" w:space="0" w:color="auto"/>
              <w:right w:val="double" w:sz="6" w:space="0" w:color="auto"/>
            </w:tcBorders>
            <w:shd w:val="clear" w:color="auto" w:fill="auto"/>
            <w:vAlign w:val="center"/>
          </w:tcPr>
          <w:p w14:paraId="09530EF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5.8</w:t>
            </w:r>
          </w:p>
        </w:tc>
      </w:tr>
      <w:tr w:rsidR="006F605B" w:rsidRPr="00DC66CD" w14:paraId="0A8449DE"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55B6EB86"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22. Other (21 = 22-(16+17+18+19+20)</w:t>
            </w:r>
            <w:r w:rsidRPr="00DC66CD">
              <w:rPr>
                <w:rStyle w:val="FootnoteReference"/>
                <w:rFonts w:ascii="Garamond" w:hAnsi="Garamond"/>
                <w:color w:val="0D0D0D" w:themeColor="text1" w:themeTint="F2"/>
                <w:sz w:val="20"/>
                <w:szCs w:val="20"/>
              </w:rPr>
              <w:footnoteReference w:id="52"/>
            </w:r>
          </w:p>
        </w:tc>
        <w:tc>
          <w:tcPr>
            <w:tcW w:w="1014" w:type="dxa"/>
            <w:tcBorders>
              <w:top w:val="nil"/>
              <w:left w:val="nil"/>
              <w:bottom w:val="dotted" w:sz="4" w:space="0" w:color="auto"/>
              <w:right w:val="single" w:sz="8" w:space="0" w:color="auto"/>
            </w:tcBorders>
            <w:shd w:val="clear" w:color="000000" w:fill="FFFFFF"/>
            <w:vAlign w:val="center"/>
            <w:hideMark/>
          </w:tcPr>
          <w:p w14:paraId="65766A3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1014" w:type="dxa"/>
            <w:tcBorders>
              <w:top w:val="nil"/>
              <w:left w:val="single" w:sz="8" w:space="0" w:color="auto"/>
              <w:bottom w:val="dotted" w:sz="4" w:space="0" w:color="auto"/>
              <w:right w:val="single" w:sz="8" w:space="0" w:color="auto"/>
            </w:tcBorders>
            <w:shd w:val="clear" w:color="auto" w:fill="auto"/>
            <w:vAlign w:val="center"/>
          </w:tcPr>
          <w:p w14:paraId="0AD5A77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1.5274</w:t>
            </w:r>
          </w:p>
        </w:tc>
        <w:tc>
          <w:tcPr>
            <w:tcW w:w="737" w:type="dxa"/>
            <w:tcBorders>
              <w:top w:val="nil"/>
              <w:left w:val="nil"/>
              <w:bottom w:val="dotted" w:sz="4" w:space="0" w:color="auto"/>
              <w:right w:val="dotted" w:sz="4" w:space="0" w:color="auto"/>
            </w:tcBorders>
            <w:shd w:val="clear" w:color="auto" w:fill="auto"/>
            <w:vAlign w:val="center"/>
          </w:tcPr>
          <w:p w14:paraId="4186076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c>
          <w:tcPr>
            <w:tcW w:w="737" w:type="dxa"/>
            <w:tcBorders>
              <w:top w:val="nil"/>
              <w:left w:val="nil"/>
              <w:bottom w:val="dotted" w:sz="4" w:space="0" w:color="auto"/>
              <w:right w:val="dotted" w:sz="4" w:space="0" w:color="auto"/>
            </w:tcBorders>
            <w:shd w:val="clear" w:color="auto" w:fill="auto"/>
            <w:vAlign w:val="center"/>
          </w:tcPr>
          <w:p w14:paraId="4DD7A4D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0.1</w:t>
            </w:r>
          </w:p>
        </w:tc>
        <w:tc>
          <w:tcPr>
            <w:tcW w:w="737" w:type="dxa"/>
            <w:tcBorders>
              <w:top w:val="nil"/>
              <w:left w:val="nil"/>
              <w:bottom w:val="dotted" w:sz="4" w:space="0" w:color="auto"/>
              <w:right w:val="dotted" w:sz="4" w:space="0" w:color="auto"/>
            </w:tcBorders>
            <w:shd w:val="clear" w:color="auto" w:fill="auto"/>
            <w:vAlign w:val="center"/>
          </w:tcPr>
          <w:p w14:paraId="64DC519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0.2</w:t>
            </w:r>
          </w:p>
        </w:tc>
        <w:tc>
          <w:tcPr>
            <w:tcW w:w="737" w:type="dxa"/>
            <w:tcBorders>
              <w:top w:val="nil"/>
              <w:left w:val="nil"/>
              <w:bottom w:val="dotted" w:sz="4" w:space="0" w:color="auto"/>
              <w:right w:val="dotted" w:sz="4" w:space="0" w:color="auto"/>
            </w:tcBorders>
            <w:shd w:val="clear" w:color="auto" w:fill="auto"/>
            <w:vAlign w:val="center"/>
          </w:tcPr>
          <w:p w14:paraId="73337E4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0.2</w:t>
            </w:r>
          </w:p>
        </w:tc>
        <w:tc>
          <w:tcPr>
            <w:tcW w:w="737" w:type="dxa"/>
            <w:tcBorders>
              <w:top w:val="nil"/>
              <w:left w:val="nil"/>
              <w:bottom w:val="dotted" w:sz="4" w:space="0" w:color="auto"/>
              <w:right w:val="double" w:sz="6" w:space="0" w:color="auto"/>
            </w:tcBorders>
            <w:shd w:val="clear" w:color="auto" w:fill="auto"/>
            <w:vAlign w:val="center"/>
          </w:tcPr>
          <w:p w14:paraId="1981256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0.2</w:t>
            </w:r>
          </w:p>
        </w:tc>
      </w:tr>
      <w:tr w:rsidR="006F605B" w:rsidRPr="00DC66CD" w14:paraId="67F85DC9" w14:textId="77777777" w:rsidTr="00E372C0">
        <w:trPr>
          <w:gridAfter w:val="1"/>
          <w:wAfter w:w="10" w:type="dxa"/>
          <w:trHeight w:val="391"/>
        </w:trPr>
        <w:tc>
          <w:tcPr>
            <w:tcW w:w="4128" w:type="dxa"/>
            <w:tcBorders>
              <w:top w:val="nil"/>
              <w:left w:val="double" w:sz="6" w:space="0" w:color="auto"/>
              <w:bottom w:val="dotted" w:sz="4" w:space="0" w:color="auto"/>
              <w:right w:val="dotted" w:sz="4" w:space="0" w:color="auto"/>
            </w:tcBorders>
            <w:shd w:val="clear" w:color="000000" w:fill="FFFFFF"/>
            <w:vAlign w:val="center"/>
            <w:hideMark/>
          </w:tcPr>
          <w:p w14:paraId="101289A4"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23. Total expenditures </w:t>
            </w:r>
          </w:p>
        </w:tc>
        <w:tc>
          <w:tcPr>
            <w:tcW w:w="1014" w:type="dxa"/>
            <w:tcBorders>
              <w:top w:val="nil"/>
              <w:left w:val="nil"/>
              <w:bottom w:val="dotted" w:sz="4" w:space="0" w:color="auto"/>
              <w:right w:val="single" w:sz="8" w:space="0" w:color="auto"/>
            </w:tcBorders>
            <w:shd w:val="clear" w:color="000000" w:fill="FFFFFF"/>
            <w:vAlign w:val="center"/>
            <w:hideMark/>
          </w:tcPr>
          <w:p w14:paraId="323710B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TE</w:t>
            </w:r>
            <w:r w:rsidRPr="00DC66CD">
              <w:rPr>
                <w:rStyle w:val="FootnoteReference"/>
                <w:rFonts w:ascii="Garamond" w:hAnsi="Garamond"/>
                <w:color w:val="0D0D0D" w:themeColor="text1" w:themeTint="F2"/>
                <w:sz w:val="20"/>
                <w:szCs w:val="20"/>
              </w:rPr>
              <w:footnoteReference w:id="53"/>
            </w:r>
          </w:p>
        </w:tc>
        <w:tc>
          <w:tcPr>
            <w:tcW w:w="1014" w:type="dxa"/>
            <w:tcBorders>
              <w:top w:val="nil"/>
              <w:left w:val="single" w:sz="8" w:space="0" w:color="auto"/>
              <w:bottom w:val="dotted" w:sz="4" w:space="0" w:color="auto"/>
              <w:right w:val="single" w:sz="8" w:space="0" w:color="auto"/>
            </w:tcBorders>
            <w:shd w:val="clear" w:color="auto" w:fill="auto"/>
            <w:vAlign w:val="center"/>
          </w:tcPr>
          <w:p w14:paraId="05887EB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476.1471</w:t>
            </w:r>
          </w:p>
        </w:tc>
        <w:tc>
          <w:tcPr>
            <w:tcW w:w="737" w:type="dxa"/>
            <w:tcBorders>
              <w:top w:val="nil"/>
              <w:left w:val="nil"/>
              <w:bottom w:val="dotted" w:sz="4" w:space="0" w:color="auto"/>
              <w:right w:val="dotted" w:sz="4" w:space="0" w:color="auto"/>
            </w:tcBorders>
            <w:shd w:val="clear" w:color="auto" w:fill="auto"/>
            <w:vAlign w:val="center"/>
          </w:tcPr>
          <w:p w14:paraId="6072FF1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29.2</w:t>
            </w:r>
          </w:p>
        </w:tc>
        <w:tc>
          <w:tcPr>
            <w:tcW w:w="737" w:type="dxa"/>
            <w:tcBorders>
              <w:top w:val="nil"/>
              <w:left w:val="nil"/>
              <w:bottom w:val="dotted" w:sz="4" w:space="0" w:color="auto"/>
              <w:right w:val="dotted" w:sz="4" w:space="0" w:color="auto"/>
            </w:tcBorders>
            <w:shd w:val="clear" w:color="auto" w:fill="auto"/>
            <w:vAlign w:val="center"/>
          </w:tcPr>
          <w:p w14:paraId="36B0D47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29.3</w:t>
            </w:r>
          </w:p>
        </w:tc>
        <w:tc>
          <w:tcPr>
            <w:tcW w:w="737" w:type="dxa"/>
            <w:tcBorders>
              <w:top w:val="nil"/>
              <w:left w:val="nil"/>
              <w:bottom w:val="dotted" w:sz="4" w:space="0" w:color="auto"/>
              <w:right w:val="dotted" w:sz="4" w:space="0" w:color="auto"/>
            </w:tcBorders>
            <w:shd w:val="clear" w:color="auto" w:fill="auto"/>
            <w:vAlign w:val="center"/>
          </w:tcPr>
          <w:p w14:paraId="38D2F10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30.9</w:t>
            </w:r>
          </w:p>
        </w:tc>
        <w:tc>
          <w:tcPr>
            <w:tcW w:w="737" w:type="dxa"/>
            <w:tcBorders>
              <w:top w:val="nil"/>
              <w:left w:val="nil"/>
              <w:bottom w:val="dotted" w:sz="4" w:space="0" w:color="auto"/>
              <w:right w:val="dotted" w:sz="4" w:space="0" w:color="auto"/>
            </w:tcBorders>
            <w:shd w:val="clear" w:color="auto" w:fill="auto"/>
            <w:vAlign w:val="center"/>
          </w:tcPr>
          <w:p w14:paraId="0F749A2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29.6</w:t>
            </w:r>
          </w:p>
        </w:tc>
        <w:tc>
          <w:tcPr>
            <w:tcW w:w="737" w:type="dxa"/>
            <w:tcBorders>
              <w:top w:val="nil"/>
              <w:left w:val="nil"/>
              <w:bottom w:val="dotted" w:sz="4" w:space="0" w:color="auto"/>
              <w:right w:val="double" w:sz="6" w:space="0" w:color="auto"/>
            </w:tcBorders>
            <w:shd w:val="clear" w:color="auto" w:fill="auto"/>
            <w:vAlign w:val="center"/>
          </w:tcPr>
          <w:p w14:paraId="074B1F3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29.3</w:t>
            </w:r>
          </w:p>
        </w:tc>
      </w:tr>
      <w:tr w:rsidR="006F605B" w:rsidRPr="00DC66CD" w14:paraId="40DE0BC1" w14:textId="77777777" w:rsidTr="00E372C0">
        <w:trPr>
          <w:gridAfter w:val="1"/>
          <w:wAfter w:w="10" w:type="dxa"/>
          <w:trHeight w:val="320"/>
        </w:trPr>
        <w:tc>
          <w:tcPr>
            <w:tcW w:w="4128" w:type="dxa"/>
            <w:tcBorders>
              <w:top w:val="nil"/>
              <w:left w:val="double" w:sz="6" w:space="0" w:color="auto"/>
              <w:bottom w:val="double" w:sz="6" w:space="0" w:color="auto"/>
              <w:right w:val="dotted" w:sz="4" w:space="0" w:color="auto"/>
            </w:tcBorders>
            <w:shd w:val="clear" w:color="000000" w:fill="FFFFFF"/>
            <w:vAlign w:val="bottom"/>
            <w:hideMark/>
          </w:tcPr>
          <w:p w14:paraId="3E32D0B2" w14:textId="391BF9C0"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p.m.</w:t>
            </w:r>
            <w:r w:rsidR="0072211B" w:rsidRPr="00DC66CD">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compensation of employees</w:t>
            </w:r>
          </w:p>
        </w:tc>
        <w:tc>
          <w:tcPr>
            <w:tcW w:w="1014" w:type="dxa"/>
            <w:tcBorders>
              <w:top w:val="nil"/>
              <w:left w:val="nil"/>
              <w:bottom w:val="double" w:sz="6" w:space="0" w:color="auto"/>
              <w:right w:val="single" w:sz="8" w:space="0" w:color="auto"/>
            </w:tcBorders>
            <w:shd w:val="clear" w:color="000000" w:fill="FFFFFF"/>
            <w:vAlign w:val="bottom"/>
            <w:hideMark/>
          </w:tcPr>
          <w:p w14:paraId="3E7D0CFD"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D1</w:t>
            </w:r>
          </w:p>
        </w:tc>
        <w:tc>
          <w:tcPr>
            <w:tcW w:w="1014" w:type="dxa"/>
            <w:tcBorders>
              <w:top w:val="nil"/>
              <w:left w:val="single" w:sz="8" w:space="0" w:color="auto"/>
              <w:bottom w:val="double" w:sz="6" w:space="0" w:color="auto"/>
              <w:right w:val="single" w:sz="8" w:space="0" w:color="auto"/>
            </w:tcBorders>
            <w:shd w:val="clear" w:color="auto" w:fill="auto"/>
            <w:vAlign w:val="bottom"/>
          </w:tcPr>
          <w:p w14:paraId="5E6814F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93.2078</w:t>
            </w:r>
          </w:p>
        </w:tc>
        <w:tc>
          <w:tcPr>
            <w:tcW w:w="737" w:type="dxa"/>
            <w:tcBorders>
              <w:top w:val="nil"/>
              <w:left w:val="nil"/>
              <w:bottom w:val="double" w:sz="6" w:space="0" w:color="auto"/>
              <w:right w:val="dotted" w:sz="4" w:space="0" w:color="auto"/>
            </w:tcBorders>
            <w:shd w:val="clear" w:color="auto" w:fill="auto"/>
            <w:vAlign w:val="bottom"/>
          </w:tcPr>
          <w:p w14:paraId="59F8ED0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5.7</w:t>
            </w:r>
          </w:p>
        </w:tc>
        <w:tc>
          <w:tcPr>
            <w:tcW w:w="737" w:type="dxa"/>
            <w:tcBorders>
              <w:top w:val="nil"/>
              <w:left w:val="nil"/>
              <w:bottom w:val="double" w:sz="6" w:space="0" w:color="auto"/>
              <w:right w:val="dotted" w:sz="4" w:space="0" w:color="auto"/>
            </w:tcBorders>
            <w:shd w:val="clear" w:color="auto" w:fill="auto"/>
            <w:vAlign w:val="bottom"/>
          </w:tcPr>
          <w:p w14:paraId="3DAAAA5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5.7</w:t>
            </w:r>
          </w:p>
        </w:tc>
        <w:tc>
          <w:tcPr>
            <w:tcW w:w="737" w:type="dxa"/>
            <w:tcBorders>
              <w:top w:val="nil"/>
              <w:left w:val="nil"/>
              <w:bottom w:val="double" w:sz="6" w:space="0" w:color="auto"/>
              <w:right w:val="dotted" w:sz="4" w:space="0" w:color="auto"/>
            </w:tcBorders>
            <w:shd w:val="clear" w:color="auto" w:fill="auto"/>
            <w:vAlign w:val="bottom"/>
          </w:tcPr>
          <w:p w14:paraId="5756BD2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5.8</w:t>
            </w:r>
          </w:p>
        </w:tc>
        <w:tc>
          <w:tcPr>
            <w:tcW w:w="737" w:type="dxa"/>
            <w:tcBorders>
              <w:top w:val="nil"/>
              <w:left w:val="nil"/>
              <w:bottom w:val="double" w:sz="6" w:space="0" w:color="auto"/>
              <w:right w:val="dotted" w:sz="4" w:space="0" w:color="auto"/>
            </w:tcBorders>
            <w:shd w:val="clear" w:color="auto" w:fill="auto"/>
            <w:vAlign w:val="bottom"/>
          </w:tcPr>
          <w:p w14:paraId="35A3555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5.5</w:t>
            </w:r>
          </w:p>
        </w:tc>
        <w:tc>
          <w:tcPr>
            <w:tcW w:w="737" w:type="dxa"/>
            <w:tcBorders>
              <w:top w:val="nil"/>
              <w:left w:val="nil"/>
              <w:bottom w:val="double" w:sz="6" w:space="0" w:color="auto"/>
              <w:right w:val="double" w:sz="6" w:space="0" w:color="auto"/>
            </w:tcBorders>
            <w:shd w:val="clear" w:color="auto" w:fill="auto"/>
            <w:vAlign w:val="bottom"/>
          </w:tcPr>
          <w:p w14:paraId="560CB73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5.3</w:t>
            </w:r>
          </w:p>
        </w:tc>
      </w:tr>
    </w:tbl>
    <w:p w14:paraId="2175C33B"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538BF5AA" w14:textId="77777777" w:rsidR="00131DA1" w:rsidRPr="00DC66CD" w:rsidRDefault="00131DA1" w:rsidP="006F605B">
      <w:pPr>
        <w:spacing w:after="0" w:line="240" w:lineRule="auto"/>
        <w:ind w:firstLine="284"/>
        <w:rPr>
          <w:rFonts w:ascii="Garamond" w:hAnsi="Garamond"/>
          <w:color w:val="0D0D0D" w:themeColor="text1" w:themeTint="F2"/>
          <w:sz w:val="24"/>
          <w:szCs w:val="24"/>
        </w:rPr>
      </w:pPr>
    </w:p>
    <w:p w14:paraId="3B5C62E9" w14:textId="77777777" w:rsidR="00131DA1" w:rsidRPr="00DC66CD" w:rsidRDefault="00131DA1" w:rsidP="006F605B">
      <w:pPr>
        <w:spacing w:after="0" w:line="240" w:lineRule="auto"/>
        <w:ind w:firstLine="284"/>
        <w:rPr>
          <w:rFonts w:ascii="Garamond" w:hAnsi="Garamond"/>
          <w:color w:val="0D0D0D" w:themeColor="text1" w:themeTint="F2"/>
          <w:sz w:val="24"/>
          <w:szCs w:val="24"/>
        </w:rPr>
      </w:pPr>
    </w:p>
    <w:p w14:paraId="624B4A8D" w14:textId="77777777" w:rsidR="00131DA1" w:rsidRPr="00DC66CD" w:rsidRDefault="00131DA1" w:rsidP="006F605B">
      <w:pPr>
        <w:spacing w:after="0" w:line="240" w:lineRule="auto"/>
        <w:ind w:firstLine="284"/>
        <w:rPr>
          <w:rFonts w:ascii="Garamond" w:hAnsi="Garamond"/>
          <w:color w:val="0D0D0D" w:themeColor="text1" w:themeTint="F2"/>
          <w:sz w:val="24"/>
          <w:szCs w:val="24"/>
        </w:rPr>
      </w:pPr>
    </w:p>
    <w:p w14:paraId="7D77EF1E" w14:textId="77777777" w:rsidR="00131DA1" w:rsidRPr="00DC66CD" w:rsidRDefault="00131DA1" w:rsidP="006F605B">
      <w:pPr>
        <w:spacing w:after="0" w:line="240" w:lineRule="auto"/>
        <w:ind w:firstLine="284"/>
        <w:rPr>
          <w:rFonts w:ascii="Garamond" w:hAnsi="Garamond"/>
          <w:color w:val="0D0D0D" w:themeColor="text1" w:themeTint="F2"/>
          <w:sz w:val="24"/>
          <w:szCs w:val="24"/>
        </w:rPr>
      </w:pPr>
    </w:p>
    <w:p w14:paraId="3DCF794A"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81" w:name="_Toc536784314"/>
      <w:bookmarkStart w:id="82" w:name="_Toc30661249"/>
      <w:r w:rsidRPr="00DC66CD">
        <w:rPr>
          <w:rFonts w:ascii="Garamond" w:hAnsi="Garamond"/>
          <w:color w:val="auto"/>
          <w:sz w:val="24"/>
          <w:szCs w:val="24"/>
        </w:rPr>
        <w:t xml:space="preserve">Tabela 2b: </w:t>
      </w:r>
      <w:bookmarkEnd w:id="81"/>
      <w:r w:rsidRPr="00DC66CD">
        <w:rPr>
          <w:rFonts w:ascii="Garamond" w:hAnsi="Garamond"/>
          <w:color w:val="auto"/>
          <w:sz w:val="24"/>
          <w:szCs w:val="24"/>
        </w:rPr>
        <w:t>Perspektivat e përgjithshme buxhetore të qeverisë</w:t>
      </w:r>
      <w:bookmarkEnd w:id="82"/>
    </w:p>
    <w:tbl>
      <w:tblPr>
        <w:tblW w:w="9967" w:type="dxa"/>
        <w:tblLayout w:type="fixed"/>
        <w:tblLook w:val="04A0" w:firstRow="1" w:lastRow="0" w:firstColumn="1" w:lastColumn="0" w:noHBand="0" w:noVBand="1"/>
      </w:tblPr>
      <w:tblGrid>
        <w:gridCol w:w="4163"/>
        <w:gridCol w:w="236"/>
        <w:gridCol w:w="1068"/>
        <w:gridCol w:w="900"/>
        <w:gridCol w:w="900"/>
        <w:gridCol w:w="900"/>
        <w:gridCol w:w="900"/>
        <w:gridCol w:w="900"/>
      </w:tblGrid>
      <w:tr w:rsidR="006F605B" w:rsidRPr="00DC66CD" w14:paraId="3727AFC6" w14:textId="77777777" w:rsidTr="004F4E33">
        <w:trPr>
          <w:trHeight w:val="330"/>
        </w:trPr>
        <w:tc>
          <w:tcPr>
            <w:tcW w:w="4163" w:type="dxa"/>
            <w:vMerge w:val="restart"/>
            <w:tcBorders>
              <w:top w:val="double" w:sz="6" w:space="0" w:color="auto"/>
              <w:left w:val="double" w:sz="6" w:space="0" w:color="auto"/>
              <w:bottom w:val="nil"/>
              <w:right w:val="nil"/>
            </w:tcBorders>
            <w:shd w:val="clear" w:color="000000" w:fill="FFFFFF"/>
            <w:vAlign w:val="center"/>
            <w:hideMark/>
          </w:tcPr>
          <w:p w14:paraId="5B6CD0F7" w14:textId="4EE1150C"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236" w:type="dxa"/>
            <w:vMerge w:val="restart"/>
            <w:tcBorders>
              <w:top w:val="double" w:sz="6" w:space="0" w:color="auto"/>
              <w:left w:val="nil"/>
              <w:bottom w:val="single" w:sz="8" w:space="0" w:color="000000"/>
              <w:right w:val="single" w:sz="8" w:space="0" w:color="auto"/>
            </w:tcBorders>
            <w:shd w:val="clear" w:color="000000" w:fill="FFFFFF"/>
            <w:vAlign w:val="center"/>
            <w:hideMark/>
          </w:tcPr>
          <w:p w14:paraId="78997FB3" w14:textId="2BF148B3"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1068" w:type="dxa"/>
            <w:vMerge w:val="restart"/>
            <w:tcBorders>
              <w:top w:val="double" w:sz="6" w:space="0" w:color="auto"/>
              <w:left w:val="dotted" w:sz="4" w:space="0" w:color="auto"/>
              <w:bottom w:val="single" w:sz="8" w:space="0" w:color="000000"/>
              <w:right w:val="single" w:sz="8" w:space="0" w:color="auto"/>
            </w:tcBorders>
            <w:shd w:val="clear" w:color="000000" w:fill="FFFFFF"/>
            <w:vAlign w:val="center"/>
            <w:hideMark/>
          </w:tcPr>
          <w:p w14:paraId="33C4EC6A" w14:textId="77777777" w:rsidR="006F605B" w:rsidRPr="00DC66CD" w:rsidRDefault="006F605B" w:rsidP="004F4E33">
            <w:pPr>
              <w:spacing w:after="0" w:line="240" w:lineRule="auto"/>
              <w:jc w:val="center"/>
              <w:rPr>
                <w:rFonts w:ascii="Garamond" w:hAnsi="Garamond"/>
                <w:b/>
                <w:color w:val="0D0D0D" w:themeColor="text1" w:themeTint="F2"/>
                <w:sz w:val="18"/>
                <w:szCs w:val="18"/>
              </w:rPr>
            </w:pPr>
            <w:r w:rsidRPr="00DC66CD">
              <w:rPr>
                <w:rFonts w:ascii="Garamond" w:hAnsi="Garamond"/>
                <w:b/>
                <w:color w:val="0D0D0D" w:themeColor="text1" w:themeTint="F2"/>
                <w:sz w:val="18"/>
                <w:szCs w:val="18"/>
              </w:rPr>
              <w:t>ESA code</w:t>
            </w:r>
          </w:p>
        </w:tc>
        <w:tc>
          <w:tcPr>
            <w:tcW w:w="900" w:type="dxa"/>
            <w:tcBorders>
              <w:top w:val="double" w:sz="6" w:space="0" w:color="auto"/>
              <w:left w:val="nil"/>
              <w:bottom w:val="nil"/>
              <w:right w:val="dotted" w:sz="4" w:space="0" w:color="auto"/>
            </w:tcBorders>
            <w:shd w:val="clear" w:color="000000" w:fill="FFFFFF"/>
            <w:vAlign w:val="center"/>
            <w:hideMark/>
          </w:tcPr>
          <w:p w14:paraId="24AE780D" w14:textId="77777777" w:rsidR="006F605B" w:rsidRPr="00DC66CD" w:rsidRDefault="006F605B" w:rsidP="004F4E33">
            <w:pPr>
              <w:spacing w:after="0" w:line="240" w:lineRule="auto"/>
              <w:jc w:val="center"/>
              <w:rPr>
                <w:rFonts w:ascii="Garamond" w:eastAsia="Times New Roman" w:hAnsi="Garamond"/>
                <w:b/>
                <w:sz w:val="18"/>
                <w:szCs w:val="18"/>
              </w:rPr>
            </w:pPr>
            <w:r w:rsidRPr="00DC66CD">
              <w:rPr>
                <w:rFonts w:ascii="Garamond" w:hAnsi="Garamond"/>
                <w:b/>
                <w:sz w:val="18"/>
                <w:szCs w:val="18"/>
              </w:rPr>
              <w:t>Year</w:t>
            </w:r>
          </w:p>
        </w:tc>
        <w:tc>
          <w:tcPr>
            <w:tcW w:w="900" w:type="dxa"/>
            <w:tcBorders>
              <w:top w:val="double" w:sz="6" w:space="0" w:color="auto"/>
              <w:left w:val="nil"/>
              <w:bottom w:val="nil"/>
              <w:right w:val="dotted" w:sz="4" w:space="0" w:color="auto"/>
            </w:tcBorders>
            <w:shd w:val="clear" w:color="000000" w:fill="FFFFFF"/>
            <w:vAlign w:val="center"/>
            <w:hideMark/>
          </w:tcPr>
          <w:p w14:paraId="54404085"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Year</w:t>
            </w:r>
          </w:p>
        </w:tc>
        <w:tc>
          <w:tcPr>
            <w:tcW w:w="900" w:type="dxa"/>
            <w:tcBorders>
              <w:top w:val="double" w:sz="6" w:space="0" w:color="auto"/>
              <w:left w:val="nil"/>
              <w:bottom w:val="nil"/>
              <w:right w:val="dotted" w:sz="4" w:space="0" w:color="auto"/>
            </w:tcBorders>
            <w:shd w:val="clear" w:color="000000" w:fill="FFFFFF"/>
            <w:vAlign w:val="center"/>
            <w:hideMark/>
          </w:tcPr>
          <w:p w14:paraId="3FF81831"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Year</w:t>
            </w:r>
          </w:p>
        </w:tc>
        <w:tc>
          <w:tcPr>
            <w:tcW w:w="900" w:type="dxa"/>
            <w:tcBorders>
              <w:top w:val="double" w:sz="6" w:space="0" w:color="auto"/>
              <w:left w:val="nil"/>
              <w:bottom w:val="nil"/>
              <w:right w:val="dotted" w:sz="4" w:space="0" w:color="auto"/>
            </w:tcBorders>
            <w:shd w:val="clear" w:color="000000" w:fill="FFFFFF"/>
            <w:vAlign w:val="center"/>
            <w:hideMark/>
          </w:tcPr>
          <w:p w14:paraId="2BC4DC87"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Year</w:t>
            </w:r>
          </w:p>
        </w:tc>
        <w:tc>
          <w:tcPr>
            <w:tcW w:w="900" w:type="dxa"/>
            <w:tcBorders>
              <w:top w:val="double" w:sz="6" w:space="0" w:color="auto"/>
              <w:left w:val="nil"/>
              <w:bottom w:val="nil"/>
              <w:right w:val="double" w:sz="6" w:space="0" w:color="auto"/>
            </w:tcBorders>
            <w:shd w:val="clear" w:color="000000" w:fill="FFFFFF"/>
            <w:vAlign w:val="center"/>
            <w:hideMark/>
          </w:tcPr>
          <w:p w14:paraId="3A4D00E2"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Year</w:t>
            </w:r>
          </w:p>
        </w:tc>
      </w:tr>
      <w:tr w:rsidR="006F605B" w:rsidRPr="00DC66CD" w14:paraId="1DD5FB76" w14:textId="77777777" w:rsidTr="004F4E33">
        <w:trPr>
          <w:trHeight w:val="315"/>
        </w:trPr>
        <w:tc>
          <w:tcPr>
            <w:tcW w:w="4163" w:type="dxa"/>
            <w:vMerge/>
            <w:tcBorders>
              <w:top w:val="double" w:sz="6" w:space="0" w:color="auto"/>
              <w:left w:val="double" w:sz="6" w:space="0" w:color="auto"/>
              <w:bottom w:val="nil"/>
              <w:right w:val="nil"/>
            </w:tcBorders>
            <w:vAlign w:val="center"/>
            <w:hideMark/>
          </w:tcPr>
          <w:p w14:paraId="088F1853" w14:textId="77777777"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236" w:type="dxa"/>
            <w:vMerge/>
            <w:tcBorders>
              <w:top w:val="double" w:sz="6" w:space="0" w:color="auto"/>
              <w:left w:val="nil"/>
              <w:bottom w:val="single" w:sz="8" w:space="0" w:color="000000"/>
              <w:right w:val="single" w:sz="8" w:space="0" w:color="auto"/>
            </w:tcBorders>
            <w:vAlign w:val="center"/>
            <w:hideMark/>
          </w:tcPr>
          <w:p w14:paraId="74A4D003" w14:textId="77777777"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1068" w:type="dxa"/>
            <w:vMerge/>
            <w:tcBorders>
              <w:top w:val="double" w:sz="6" w:space="0" w:color="auto"/>
              <w:left w:val="dotted" w:sz="4" w:space="0" w:color="auto"/>
              <w:bottom w:val="single" w:sz="8" w:space="0" w:color="000000"/>
              <w:right w:val="single" w:sz="8" w:space="0" w:color="auto"/>
            </w:tcBorders>
            <w:vAlign w:val="center"/>
            <w:hideMark/>
          </w:tcPr>
          <w:p w14:paraId="71CCF534" w14:textId="77777777"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900" w:type="dxa"/>
            <w:tcBorders>
              <w:top w:val="nil"/>
              <w:left w:val="nil"/>
              <w:bottom w:val="dotted" w:sz="4" w:space="0" w:color="auto"/>
              <w:right w:val="dotted" w:sz="4" w:space="0" w:color="auto"/>
            </w:tcBorders>
            <w:shd w:val="clear" w:color="000000" w:fill="FFFFFF"/>
            <w:vAlign w:val="center"/>
            <w:hideMark/>
          </w:tcPr>
          <w:p w14:paraId="5EE7BE4E"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2018</w:t>
            </w:r>
          </w:p>
        </w:tc>
        <w:tc>
          <w:tcPr>
            <w:tcW w:w="900" w:type="dxa"/>
            <w:tcBorders>
              <w:top w:val="nil"/>
              <w:left w:val="nil"/>
              <w:bottom w:val="dotted" w:sz="4" w:space="0" w:color="auto"/>
              <w:right w:val="dotted" w:sz="4" w:space="0" w:color="auto"/>
            </w:tcBorders>
            <w:shd w:val="clear" w:color="000000" w:fill="FFFFFF"/>
            <w:vAlign w:val="center"/>
            <w:hideMark/>
          </w:tcPr>
          <w:p w14:paraId="7B7C9E42"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2019</w:t>
            </w:r>
          </w:p>
        </w:tc>
        <w:tc>
          <w:tcPr>
            <w:tcW w:w="900" w:type="dxa"/>
            <w:tcBorders>
              <w:top w:val="nil"/>
              <w:left w:val="nil"/>
              <w:bottom w:val="dotted" w:sz="4" w:space="0" w:color="auto"/>
              <w:right w:val="dotted" w:sz="4" w:space="0" w:color="auto"/>
            </w:tcBorders>
            <w:shd w:val="clear" w:color="000000" w:fill="FFFFFF"/>
            <w:vAlign w:val="center"/>
            <w:hideMark/>
          </w:tcPr>
          <w:p w14:paraId="76D047B4"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2020</w:t>
            </w:r>
          </w:p>
        </w:tc>
        <w:tc>
          <w:tcPr>
            <w:tcW w:w="900" w:type="dxa"/>
            <w:tcBorders>
              <w:top w:val="nil"/>
              <w:left w:val="nil"/>
              <w:bottom w:val="dotted" w:sz="4" w:space="0" w:color="auto"/>
              <w:right w:val="dotted" w:sz="4" w:space="0" w:color="auto"/>
            </w:tcBorders>
            <w:shd w:val="clear" w:color="000000" w:fill="FFFFFF"/>
            <w:vAlign w:val="center"/>
            <w:hideMark/>
          </w:tcPr>
          <w:p w14:paraId="2F5BBCCD"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2021</w:t>
            </w:r>
          </w:p>
        </w:tc>
        <w:tc>
          <w:tcPr>
            <w:tcW w:w="900" w:type="dxa"/>
            <w:tcBorders>
              <w:top w:val="nil"/>
              <w:left w:val="nil"/>
              <w:bottom w:val="dotted" w:sz="4" w:space="0" w:color="auto"/>
              <w:right w:val="double" w:sz="6" w:space="0" w:color="auto"/>
            </w:tcBorders>
            <w:shd w:val="clear" w:color="000000" w:fill="FFFFFF"/>
            <w:vAlign w:val="center"/>
            <w:hideMark/>
          </w:tcPr>
          <w:p w14:paraId="6D66DA6A" w14:textId="77777777" w:rsidR="006F605B" w:rsidRPr="00DC66CD" w:rsidRDefault="006F605B" w:rsidP="004F4E33">
            <w:pPr>
              <w:spacing w:after="0" w:line="240" w:lineRule="auto"/>
              <w:jc w:val="center"/>
              <w:rPr>
                <w:rFonts w:ascii="Garamond" w:hAnsi="Garamond"/>
                <w:b/>
                <w:sz w:val="18"/>
                <w:szCs w:val="18"/>
              </w:rPr>
            </w:pPr>
            <w:r w:rsidRPr="00DC66CD">
              <w:rPr>
                <w:rFonts w:ascii="Garamond" w:hAnsi="Garamond"/>
                <w:b/>
                <w:sz w:val="18"/>
                <w:szCs w:val="18"/>
              </w:rPr>
              <w:t>2022</w:t>
            </w:r>
          </w:p>
        </w:tc>
      </w:tr>
      <w:tr w:rsidR="006F605B" w:rsidRPr="00DC66CD" w14:paraId="3C1A64C4" w14:textId="77777777" w:rsidTr="004F4E33">
        <w:trPr>
          <w:trHeight w:val="184"/>
        </w:trPr>
        <w:tc>
          <w:tcPr>
            <w:tcW w:w="4163" w:type="dxa"/>
            <w:tcBorders>
              <w:top w:val="nil"/>
              <w:left w:val="double" w:sz="6" w:space="0" w:color="auto"/>
              <w:bottom w:val="single" w:sz="8" w:space="0" w:color="auto"/>
              <w:right w:val="nil"/>
            </w:tcBorders>
            <w:shd w:val="clear" w:color="000000" w:fill="FFFFFF"/>
            <w:vAlign w:val="center"/>
            <w:hideMark/>
          </w:tcPr>
          <w:p w14:paraId="351CA786" w14:textId="627EBE9C"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236" w:type="dxa"/>
            <w:vMerge/>
            <w:tcBorders>
              <w:top w:val="double" w:sz="6" w:space="0" w:color="auto"/>
              <w:left w:val="nil"/>
              <w:bottom w:val="single" w:sz="8" w:space="0" w:color="000000"/>
              <w:right w:val="single" w:sz="8" w:space="0" w:color="auto"/>
            </w:tcBorders>
            <w:vAlign w:val="center"/>
            <w:hideMark/>
          </w:tcPr>
          <w:p w14:paraId="2753885D" w14:textId="77777777"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1068" w:type="dxa"/>
            <w:vMerge/>
            <w:tcBorders>
              <w:top w:val="double" w:sz="6" w:space="0" w:color="auto"/>
              <w:left w:val="dotted" w:sz="4" w:space="0" w:color="auto"/>
              <w:bottom w:val="single" w:sz="8" w:space="0" w:color="000000"/>
              <w:right w:val="single" w:sz="8" w:space="0" w:color="auto"/>
            </w:tcBorders>
            <w:vAlign w:val="center"/>
            <w:hideMark/>
          </w:tcPr>
          <w:p w14:paraId="4AA3129B" w14:textId="77777777" w:rsidR="006F605B" w:rsidRPr="00DC66CD" w:rsidRDefault="006F605B" w:rsidP="004F4E33">
            <w:pPr>
              <w:spacing w:after="0" w:line="240" w:lineRule="auto"/>
              <w:jc w:val="center"/>
              <w:rPr>
                <w:rFonts w:ascii="Garamond" w:hAnsi="Garamond"/>
                <w:b/>
                <w:color w:val="0D0D0D" w:themeColor="text1" w:themeTint="F2"/>
                <w:sz w:val="18"/>
                <w:szCs w:val="18"/>
              </w:rPr>
            </w:pPr>
          </w:p>
        </w:tc>
        <w:tc>
          <w:tcPr>
            <w:tcW w:w="4500" w:type="dxa"/>
            <w:gridSpan w:val="5"/>
            <w:tcBorders>
              <w:top w:val="dotted" w:sz="4" w:space="0" w:color="auto"/>
              <w:left w:val="nil"/>
              <w:bottom w:val="single" w:sz="8" w:space="0" w:color="auto"/>
              <w:right w:val="double" w:sz="6" w:space="0" w:color="000000"/>
            </w:tcBorders>
            <w:shd w:val="clear" w:color="000000" w:fill="FFFFFF"/>
            <w:vAlign w:val="center"/>
            <w:hideMark/>
          </w:tcPr>
          <w:p w14:paraId="6D0D8E56" w14:textId="77777777" w:rsidR="006F605B" w:rsidRPr="00DC66CD" w:rsidRDefault="006F605B" w:rsidP="004F4E33">
            <w:pPr>
              <w:spacing w:after="0" w:line="240" w:lineRule="auto"/>
              <w:jc w:val="center"/>
              <w:rPr>
                <w:rFonts w:ascii="Garamond" w:hAnsi="Garamond"/>
                <w:b/>
                <w:color w:val="0D0D0D" w:themeColor="text1" w:themeTint="F2"/>
                <w:sz w:val="18"/>
                <w:szCs w:val="18"/>
              </w:rPr>
            </w:pPr>
            <w:r w:rsidRPr="00DC66CD">
              <w:rPr>
                <w:rFonts w:ascii="Garamond" w:hAnsi="Garamond"/>
                <w:b/>
                <w:color w:val="0D0D0D" w:themeColor="text1" w:themeTint="F2"/>
                <w:sz w:val="18"/>
                <w:szCs w:val="18"/>
              </w:rPr>
              <w:t>bn NCU</w:t>
            </w:r>
          </w:p>
        </w:tc>
      </w:tr>
      <w:tr w:rsidR="006F605B" w:rsidRPr="00DC66CD" w14:paraId="5275F22D"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5B987FDA"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xml:space="preserve">1. General government </w:t>
            </w:r>
          </w:p>
        </w:tc>
        <w:tc>
          <w:tcPr>
            <w:tcW w:w="236" w:type="dxa"/>
            <w:tcBorders>
              <w:top w:val="nil"/>
              <w:left w:val="nil"/>
              <w:bottom w:val="dotted" w:sz="4" w:space="0" w:color="auto"/>
              <w:right w:val="single" w:sz="8" w:space="0" w:color="auto"/>
            </w:tcBorders>
            <w:shd w:val="clear" w:color="000000" w:fill="FFFFFF"/>
            <w:vAlign w:val="center"/>
            <w:hideMark/>
          </w:tcPr>
          <w:p w14:paraId="046DC76F"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02889CC2"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S13</w:t>
            </w:r>
          </w:p>
        </w:tc>
        <w:tc>
          <w:tcPr>
            <w:tcW w:w="900" w:type="dxa"/>
            <w:tcBorders>
              <w:top w:val="nil"/>
              <w:left w:val="nil"/>
              <w:bottom w:val="dotted" w:sz="4" w:space="0" w:color="auto"/>
              <w:right w:val="dotted" w:sz="4" w:space="0" w:color="auto"/>
            </w:tcBorders>
            <w:shd w:val="clear" w:color="000000" w:fill="FFFFFF"/>
            <w:vAlign w:val="center"/>
          </w:tcPr>
          <w:p w14:paraId="4DF27121" w14:textId="77777777" w:rsidR="006F605B" w:rsidRPr="00DC66CD" w:rsidRDefault="006F605B" w:rsidP="00131DA1">
            <w:pPr>
              <w:spacing w:after="0" w:line="240" w:lineRule="auto"/>
              <w:jc w:val="center"/>
              <w:rPr>
                <w:rFonts w:ascii="Garamond" w:eastAsia="Times New Roman" w:hAnsi="Garamond"/>
                <w:sz w:val="18"/>
                <w:szCs w:val="18"/>
              </w:rPr>
            </w:pPr>
            <w:r w:rsidRPr="00DC66CD">
              <w:rPr>
                <w:rFonts w:ascii="Garamond" w:hAnsi="Garamond"/>
                <w:sz w:val="18"/>
                <w:szCs w:val="18"/>
              </w:rPr>
              <w:t>-26.24</w:t>
            </w:r>
          </w:p>
        </w:tc>
        <w:tc>
          <w:tcPr>
            <w:tcW w:w="900" w:type="dxa"/>
            <w:tcBorders>
              <w:top w:val="nil"/>
              <w:left w:val="nil"/>
              <w:bottom w:val="dotted" w:sz="4" w:space="0" w:color="auto"/>
              <w:right w:val="dotted" w:sz="4" w:space="0" w:color="auto"/>
            </w:tcBorders>
            <w:shd w:val="clear" w:color="000000" w:fill="FFFFFF"/>
            <w:vAlign w:val="center"/>
          </w:tcPr>
          <w:p w14:paraId="68EAD0B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-32.90</w:t>
            </w:r>
          </w:p>
        </w:tc>
        <w:tc>
          <w:tcPr>
            <w:tcW w:w="900" w:type="dxa"/>
            <w:tcBorders>
              <w:top w:val="nil"/>
              <w:left w:val="nil"/>
              <w:bottom w:val="dotted" w:sz="4" w:space="0" w:color="auto"/>
              <w:right w:val="dotted" w:sz="4" w:space="0" w:color="auto"/>
            </w:tcBorders>
            <w:shd w:val="clear" w:color="000000" w:fill="FFFFFF"/>
            <w:vAlign w:val="center"/>
          </w:tcPr>
          <w:p w14:paraId="1356B3A9"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-39.70</w:t>
            </w:r>
          </w:p>
        </w:tc>
        <w:tc>
          <w:tcPr>
            <w:tcW w:w="900" w:type="dxa"/>
            <w:tcBorders>
              <w:top w:val="nil"/>
              <w:left w:val="nil"/>
              <w:bottom w:val="dotted" w:sz="4" w:space="0" w:color="auto"/>
              <w:right w:val="dotted" w:sz="4" w:space="0" w:color="auto"/>
            </w:tcBorders>
            <w:shd w:val="clear" w:color="000000" w:fill="FFFFFF"/>
            <w:vAlign w:val="center"/>
          </w:tcPr>
          <w:p w14:paraId="00371B70"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-36.87</w:t>
            </w:r>
          </w:p>
        </w:tc>
        <w:tc>
          <w:tcPr>
            <w:tcW w:w="900" w:type="dxa"/>
            <w:tcBorders>
              <w:top w:val="nil"/>
              <w:left w:val="nil"/>
              <w:bottom w:val="dotted" w:sz="4" w:space="0" w:color="auto"/>
              <w:right w:val="double" w:sz="6" w:space="0" w:color="auto"/>
            </w:tcBorders>
            <w:shd w:val="clear" w:color="000000" w:fill="FFFFFF"/>
            <w:vAlign w:val="center"/>
          </w:tcPr>
          <w:p w14:paraId="5D243E46"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-32.90</w:t>
            </w:r>
          </w:p>
        </w:tc>
      </w:tr>
      <w:tr w:rsidR="006F605B" w:rsidRPr="00DC66CD" w14:paraId="273D37EE"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11D87C0C"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2. Central government</w:t>
            </w:r>
          </w:p>
        </w:tc>
        <w:tc>
          <w:tcPr>
            <w:tcW w:w="236" w:type="dxa"/>
            <w:tcBorders>
              <w:top w:val="nil"/>
              <w:left w:val="nil"/>
              <w:bottom w:val="dotted" w:sz="4" w:space="0" w:color="auto"/>
              <w:right w:val="single" w:sz="8" w:space="0" w:color="auto"/>
            </w:tcBorders>
            <w:shd w:val="clear" w:color="000000" w:fill="FFFFFF"/>
            <w:vAlign w:val="center"/>
            <w:hideMark/>
          </w:tcPr>
          <w:p w14:paraId="391B87B7"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70324986"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S1311</w:t>
            </w:r>
          </w:p>
        </w:tc>
        <w:tc>
          <w:tcPr>
            <w:tcW w:w="900" w:type="dxa"/>
            <w:tcBorders>
              <w:top w:val="nil"/>
              <w:left w:val="nil"/>
              <w:bottom w:val="dotted" w:sz="4" w:space="0" w:color="auto"/>
              <w:right w:val="dotted" w:sz="4" w:space="0" w:color="auto"/>
            </w:tcBorders>
            <w:shd w:val="clear" w:color="000000" w:fill="FFFFFF"/>
            <w:vAlign w:val="center"/>
          </w:tcPr>
          <w:p w14:paraId="543B95E9"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-20.89</w:t>
            </w:r>
          </w:p>
        </w:tc>
        <w:tc>
          <w:tcPr>
            <w:tcW w:w="900" w:type="dxa"/>
            <w:tcBorders>
              <w:top w:val="nil"/>
              <w:left w:val="nil"/>
              <w:bottom w:val="dotted" w:sz="4" w:space="0" w:color="auto"/>
              <w:right w:val="dotted" w:sz="4" w:space="0" w:color="auto"/>
            </w:tcBorders>
            <w:shd w:val="clear" w:color="000000" w:fill="FFFFFF"/>
            <w:vAlign w:val="center"/>
          </w:tcPr>
          <w:p w14:paraId="0CF2EBC8"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-29.93</w:t>
            </w:r>
          </w:p>
        </w:tc>
        <w:tc>
          <w:tcPr>
            <w:tcW w:w="900" w:type="dxa"/>
            <w:tcBorders>
              <w:top w:val="nil"/>
              <w:left w:val="nil"/>
              <w:bottom w:val="dotted" w:sz="4" w:space="0" w:color="auto"/>
              <w:right w:val="dotted" w:sz="4" w:space="0" w:color="auto"/>
            </w:tcBorders>
            <w:shd w:val="clear" w:color="000000" w:fill="FFFFFF"/>
            <w:vAlign w:val="center"/>
          </w:tcPr>
          <w:p w14:paraId="5E4C0CD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-36.95</w:t>
            </w:r>
          </w:p>
        </w:tc>
        <w:tc>
          <w:tcPr>
            <w:tcW w:w="900" w:type="dxa"/>
            <w:tcBorders>
              <w:top w:val="nil"/>
              <w:left w:val="nil"/>
              <w:bottom w:val="dotted" w:sz="4" w:space="0" w:color="auto"/>
              <w:right w:val="dotted" w:sz="4" w:space="0" w:color="auto"/>
            </w:tcBorders>
            <w:shd w:val="clear" w:color="000000" w:fill="FFFFFF"/>
            <w:vAlign w:val="center"/>
          </w:tcPr>
          <w:p w14:paraId="2696060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-34.52</w:t>
            </w:r>
          </w:p>
        </w:tc>
        <w:tc>
          <w:tcPr>
            <w:tcW w:w="900" w:type="dxa"/>
            <w:tcBorders>
              <w:top w:val="nil"/>
              <w:left w:val="nil"/>
              <w:bottom w:val="dotted" w:sz="4" w:space="0" w:color="auto"/>
              <w:right w:val="double" w:sz="6" w:space="0" w:color="auto"/>
            </w:tcBorders>
            <w:shd w:val="clear" w:color="000000" w:fill="FFFFFF"/>
            <w:vAlign w:val="center"/>
          </w:tcPr>
          <w:p w14:paraId="6472E80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-35.45</w:t>
            </w:r>
          </w:p>
        </w:tc>
      </w:tr>
      <w:tr w:rsidR="006F605B" w:rsidRPr="00DC66CD" w14:paraId="1365C4AF"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72976CF1"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3. State government</w:t>
            </w:r>
          </w:p>
        </w:tc>
        <w:tc>
          <w:tcPr>
            <w:tcW w:w="236" w:type="dxa"/>
            <w:tcBorders>
              <w:top w:val="nil"/>
              <w:left w:val="nil"/>
              <w:bottom w:val="dotted" w:sz="4" w:space="0" w:color="auto"/>
              <w:right w:val="single" w:sz="8" w:space="0" w:color="auto"/>
            </w:tcBorders>
            <w:shd w:val="clear" w:color="000000" w:fill="FFFFFF"/>
            <w:vAlign w:val="center"/>
            <w:hideMark/>
          </w:tcPr>
          <w:p w14:paraId="363B3E55"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19D30232"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S1312</w:t>
            </w:r>
          </w:p>
        </w:tc>
        <w:tc>
          <w:tcPr>
            <w:tcW w:w="900" w:type="dxa"/>
            <w:tcBorders>
              <w:top w:val="nil"/>
              <w:left w:val="nil"/>
              <w:bottom w:val="dotted" w:sz="4" w:space="0" w:color="auto"/>
              <w:right w:val="dotted" w:sz="4" w:space="0" w:color="auto"/>
            </w:tcBorders>
            <w:shd w:val="clear" w:color="000000" w:fill="FFFFFF"/>
            <w:vAlign w:val="center"/>
          </w:tcPr>
          <w:p w14:paraId="4F07FE4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dotted" w:sz="4" w:space="0" w:color="auto"/>
              <w:right w:val="dotted" w:sz="4" w:space="0" w:color="auto"/>
            </w:tcBorders>
            <w:shd w:val="clear" w:color="000000" w:fill="FFFFFF"/>
            <w:vAlign w:val="center"/>
          </w:tcPr>
          <w:p w14:paraId="00B3840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dotted" w:sz="4" w:space="0" w:color="auto"/>
              <w:right w:val="dotted" w:sz="4" w:space="0" w:color="auto"/>
            </w:tcBorders>
            <w:shd w:val="clear" w:color="000000" w:fill="FFFFFF"/>
            <w:vAlign w:val="center"/>
          </w:tcPr>
          <w:p w14:paraId="01DDA36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dotted" w:sz="4" w:space="0" w:color="auto"/>
              <w:right w:val="dotted" w:sz="4" w:space="0" w:color="auto"/>
            </w:tcBorders>
            <w:shd w:val="clear" w:color="000000" w:fill="FFFFFF"/>
            <w:vAlign w:val="center"/>
          </w:tcPr>
          <w:p w14:paraId="2ED2F84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dotted" w:sz="4" w:space="0" w:color="auto"/>
              <w:right w:val="double" w:sz="6" w:space="0" w:color="auto"/>
            </w:tcBorders>
            <w:shd w:val="clear" w:color="000000" w:fill="FFFFFF"/>
            <w:vAlign w:val="center"/>
          </w:tcPr>
          <w:p w14:paraId="6E8C31F7"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r>
      <w:tr w:rsidR="006F605B" w:rsidRPr="00DC66CD" w14:paraId="6801ECBF"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423737AE"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4. Local government</w:t>
            </w:r>
          </w:p>
        </w:tc>
        <w:tc>
          <w:tcPr>
            <w:tcW w:w="236" w:type="dxa"/>
            <w:tcBorders>
              <w:top w:val="nil"/>
              <w:left w:val="nil"/>
              <w:bottom w:val="dotted" w:sz="4" w:space="0" w:color="auto"/>
              <w:right w:val="single" w:sz="8" w:space="0" w:color="auto"/>
            </w:tcBorders>
            <w:shd w:val="clear" w:color="000000" w:fill="FFFFFF"/>
            <w:vAlign w:val="center"/>
            <w:hideMark/>
          </w:tcPr>
          <w:p w14:paraId="5B5FDA56"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07480411"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S1313</w:t>
            </w:r>
          </w:p>
        </w:tc>
        <w:tc>
          <w:tcPr>
            <w:tcW w:w="900" w:type="dxa"/>
            <w:tcBorders>
              <w:top w:val="nil"/>
              <w:left w:val="nil"/>
              <w:bottom w:val="dotted" w:sz="4" w:space="0" w:color="auto"/>
              <w:right w:val="dotted" w:sz="4" w:space="0" w:color="auto"/>
            </w:tcBorders>
            <w:shd w:val="clear" w:color="000000" w:fill="FFFFFF"/>
            <w:vAlign w:val="center"/>
          </w:tcPr>
          <w:p w14:paraId="70D0A616"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-24.62</w:t>
            </w:r>
          </w:p>
        </w:tc>
        <w:tc>
          <w:tcPr>
            <w:tcW w:w="900" w:type="dxa"/>
            <w:tcBorders>
              <w:top w:val="nil"/>
              <w:left w:val="nil"/>
              <w:bottom w:val="dotted" w:sz="4" w:space="0" w:color="auto"/>
              <w:right w:val="dotted" w:sz="4" w:space="0" w:color="auto"/>
            </w:tcBorders>
            <w:shd w:val="clear" w:color="000000" w:fill="FFFFFF"/>
            <w:vAlign w:val="center"/>
          </w:tcPr>
          <w:p w14:paraId="0F8096C0"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-26.64</w:t>
            </w:r>
          </w:p>
        </w:tc>
        <w:tc>
          <w:tcPr>
            <w:tcW w:w="900" w:type="dxa"/>
            <w:tcBorders>
              <w:top w:val="nil"/>
              <w:left w:val="nil"/>
              <w:bottom w:val="dotted" w:sz="4" w:space="0" w:color="auto"/>
              <w:right w:val="dotted" w:sz="4" w:space="0" w:color="auto"/>
            </w:tcBorders>
            <w:shd w:val="clear" w:color="000000" w:fill="FFFFFF"/>
            <w:vAlign w:val="center"/>
          </w:tcPr>
          <w:p w14:paraId="532407D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-28.79</w:t>
            </w:r>
          </w:p>
        </w:tc>
        <w:tc>
          <w:tcPr>
            <w:tcW w:w="900" w:type="dxa"/>
            <w:tcBorders>
              <w:top w:val="nil"/>
              <w:left w:val="nil"/>
              <w:bottom w:val="dotted" w:sz="4" w:space="0" w:color="auto"/>
              <w:right w:val="dotted" w:sz="4" w:space="0" w:color="auto"/>
            </w:tcBorders>
            <w:shd w:val="clear" w:color="000000" w:fill="FFFFFF"/>
            <w:vAlign w:val="center"/>
          </w:tcPr>
          <w:p w14:paraId="284E6109"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-30.13</w:t>
            </w:r>
          </w:p>
        </w:tc>
        <w:tc>
          <w:tcPr>
            <w:tcW w:w="900" w:type="dxa"/>
            <w:tcBorders>
              <w:top w:val="nil"/>
              <w:left w:val="nil"/>
              <w:bottom w:val="dotted" w:sz="4" w:space="0" w:color="auto"/>
              <w:right w:val="double" w:sz="6" w:space="0" w:color="auto"/>
            </w:tcBorders>
            <w:shd w:val="clear" w:color="000000" w:fill="FFFFFF"/>
            <w:vAlign w:val="center"/>
          </w:tcPr>
          <w:p w14:paraId="61ED4F2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-30.13</w:t>
            </w:r>
          </w:p>
        </w:tc>
      </w:tr>
      <w:tr w:rsidR="006F605B" w:rsidRPr="00DC66CD" w14:paraId="1CCFDF9F" w14:textId="77777777" w:rsidTr="00E372C0">
        <w:trPr>
          <w:trHeight w:val="420"/>
        </w:trPr>
        <w:tc>
          <w:tcPr>
            <w:tcW w:w="4163" w:type="dxa"/>
            <w:tcBorders>
              <w:top w:val="nil"/>
              <w:left w:val="double" w:sz="6" w:space="0" w:color="auto"/>
              <w:bottom w:val="single" w:sz="8" w:space="0" w:color="auto"/>
              <w:right w:val="nil"/>
            </w:tcBorders>
            <w:shd w:val="clear" w:color="000000" w:fill="FFFFFF"/>
            <w:vAlign w:val="center"/>
            <w:hideMark/>
          </w:tcPr>
          <w:p w14:paraId="2CE43EF8"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5. Social security funds</w:t>
            </w:r>
          </w:p>
        </w:tc>
        <w:tc>
          <w:tcPr>
            <w:tcW w:w="236" w:type="dxa"/>
            <w:tcBorders>
              <w:top w:val="nil"/>
              <w:left w:val="nil"/>
              <w:bottom w:val="single" w:sz="8" w:space="0" w:color="auto"/>
              <w:right w:val="single" w:sz="8" w:space="0" w:color="auto"/>
            </w:tcBorders>
            <w:shd w:val="clear" w:color="000000" w:fill="FFFFFF"/>
            <w:vAlign w:val="center"/>
            <w:hideMark/>
          </w:tcPr>
          <w:p w14:paraId="4B5072EE"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single" w:sz="8" w:space="0" w:color="auto"/>
              <w:right w:val="single" w:sz="8" w:space="0" w:color="auto"/>
            </w:tcBorders>
            <w:shd w:val="clear" w:color="000000" w:fill="FFFFFF"/>
            <w:vAlign w:val="center"/>
            <w:hideMark/>
          </w:tcPr>
          <w:p w14:paraId="6855EF32"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S1314</w:t>
            </w:r>
          </w:p>
        </w:tc>
        <w:tc>
          <w:tcPr>
            <w:tcW w:w="900" w:type="dxa"/>
            <w:tcBorders>
              <w:top w:val="nil"/>
              <w:left w:val="nil"/>
              <w:bottom w:val="single" w:sz="8" w:space="0" w:color="auto"/>
              <w:right w:val="dotted" w:sz="4" w:space="0" w:color="auto"/>
            </w:tcBorders>
            <w:shd w:val="clear" w:color="000000" w:fill="FFFFFF"/>
            <w:vAlign w:val="center"/>
          </w:tcPr>
          <w:p w14:paraId="43C65018"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19.28</w:t>
            </w:r>
          </w:p>
        </w:tc>
        <w:tc>
          <w:tcPr>
            <w:tcW w:w="900" w:type="dxa"/>
            <w:tcBorders>
              <w:top w:val="nil"/>
              <w:left w:val="nil"/>
              <w:bottom w:val="single" w:sz="8" w:space="0" w:color="auto"/>
              <w:right w:val="dotted" w:sz="4" w:space="0" w:color="auto"/>
            </w:tcBorders>
            <w:shd w:val="clear" w:color="000000" w:fill="FFFFFF"/>
            <w:vAlign w:val="center"/>
          </w:tcPr>
          <w:p w14:paraId="29FB770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23.67</w:t>
            </w:r>
          </w:p>
        </w:tc>
        <w:tc>
          <w:tcPr>
            <w:tcW w:w="900" w:type="dxa"/>
            <w:tcBorders>
              <w:top w:val="nil"/>
              <w:left w:val="nil"/>
              <w:bottom w:val="single" w:sz="8" w:space="0" w:color="auto"/>
              <w:right w:val="dotted" w:sz="4" w:space="0" w:color="auto"/>
            </w:tcBorders>
            <w:shd w:val="clear" w:color="000000" w:fill="FFFFFF"/>
            <w:vAlign w:val="center"/>
          </w:tcPr>
          <w:p w14:paraId="2F11CD8A"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26.05</w:t>
            </w:r>
          </w:p>
        </w:tc>
        <w:tc>
          <w:tcPr>
            <w:tcW w:w="900" w:type="dxa"/>
            <w:tcBorders>
              <w:top w:val="nil"/>
              <w:left w:val="nil"/>
              <w:bottom w:val="single" w:sz="8" w:space="0" w:color="auto"/>
              <w:right w:val="dotted" w:sz="4" w:space="0" w:color="auto"/>
            </w:tcBorders>
            <w:shd w:val="clear" w:color="000000" w:fill="FFFFFF"/>
            <w:vAlign w:val="center"/>
          </w:tcPr>
          <w:p w14:paraId="5906EEF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27.78</w:t>
            </w:r>
          </w:p>
        </w:tc>
        <w:tc>
          <w:tcPr>
            <w:tcW w:w="900" w:type="dxa"/>
            <w:tcBorders>
              <w:top w:val="nil"/>
              <w:left w:val="nil"/>
              <w:bottom w:val="single" w:sz="8" w:space="0" w:color="auto"/>
              <w:right w:val="double" w:sz="6" w:space="0" w:color="auto"/>
            </w:tcBorders>
            <w:shd w:val="clear" w:color="000000" w:fill="FFFFFF"/>
            <w:vAlign w:val="center"/>
          </w:tcPr>
          <w:p w14:paraId="7A0B412A"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32.68</w:t>
            </w:r>
          </w:p>
        </w:tc>
      </w:tr>
      <w:tr w:rsidR="006F605B" w:rsidRPr="00DC66CD" w14:paraId="5E478BFE"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6DC297DF"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6. Total revenue</w:t>
            </w:r>
          </w:p>
        </w:tc>
        <w:tc>
          <w:tcPr>
            <w:tcW w:w="236" w:type="dxa"/>
            <w:tcBorders>
              <w:top w:val="nil"/>
              <w:left w:val="nil"/>
              <w:bottom w:val="dotted" w:sz="4" w:space="0" w:color="auto"/>
              <w:right w:val="single" w:sz="8" w:space="0" w:color="auto"/>
            </w:tcBorders>
            <w:shd w:val="clear" w:color="000000" w:fill="FFFFFF"/>
            <w:vAlign w:val="center"/>
            <w:hideMark/>
          </w:tcPr>
          <w:p w14:paraId="5D49404B"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5E3467DE"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TR</w:t>
            </w:r>
          </w:p>
        </w:tc>
        <w:tc>
          <w:tcPr>
            <w:tcW w:w="900" w:type="dxa"/>
            <w:tcBorders>
              <w:top w:val="nil"/>
              <w:left w:val="nil"/>
              <w:bottom w:val="dotted" w:sz="4" w:space="0" w:color="auto"/>
              <w:right w:val="dotted" w:sz="4" w:space="0" w:color="auto"/>
            </w:tcBorders>
            <w:shd w:val="clear" w:color="000000" w:fill="FFFFFF"/>
            <w:vAlign w:val="center"/>
          </w:tcPr>
          <w:p w14:paraId="1B819BB3" w14:textId="77777777" w:rsidR="006F605B" w:rsidRPr="00DC66CD" w:rsidRDefault="006F605B" w:rsidP="00131DA1">
            <w:pPr>
              <w:spacing w:after="0" w:line="240" w:lineRule="auto"/>
              <w:jc w:val="center"/>
              <w:rPr>
                <w:rFonts w:ascii="Garamond" w:eastAsia="Times New Roman" w:hAnsi="Garamond"/>
                <w:sz w:val="18"/>
                <w:szCs w:val="18"/>
              </w:rPr>
            </w:pPr>
            <w:r w:rsidRPr="00DC66CD">
              <w:rPr>
                <w:rFonts w:ascii="Garamond" w:hAnsi="Garamond"/>
                <w:sz w:val="18"/>
                <w:szCs w:val="18"/>
              </w:rPr>
              <w:t>449.91</w:t>
            </w:r>
          </w:p>
        </w:tc>
        <w:tc>
          <w:tcPr>
            <w:tcW w:w="900" w:type="dxa"/>
            <w:tcBorders>
              <w:top w:val="nil"/>
              <w:left w:val="nil"/>
              <w:bottom w:val="dotted" w:sz="4" w:space="0" w:color="auto"/>
              <w:right w:val="dotted" w:sz="4" w:space="0" w:color="auto"/>
            </w:tcBorders>
            <w:shd w:val="clear" w:color="000000" w:fill="FFFFFF"/>
            <w:vAlign w:val="center"/>
          </w:tcPr>
          <w:p w14:paraId="563ED2A8"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462.47</w:t>
            </w:r>
          </w:p>
        </w:tc>
        <w:tc>
          <w:tcPr>
            <w:tcW w:w="900" w:type="dxa"/>
            <w:tcBorders>
              <w:top w:val="nil"/>
              <w:left w:val="nil"/>
              <w:bottom w:val="dotted" w:sz="4" w:space="0" w:color="auto"/>
              <w:right w:val="dotted" w:sz="4" w:space="0" w:color="auto"/>
            </w:tcBorders>
            <w:shd w:val="clear" w:color="000000" w:fill="FFFFFF"/>
            <w:vAlign w:val="center"/>
          </w:tcPr>
          <w:p w14:paraId="43244C7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509.67</w:t>
            </w:r>
          </w:p>
        </w:tc>
        <w:tc>
          <w:tcPr>
            <w:tcW w:w="900" w:type="dxa"/>
            <w:tcBorders>
              <w:top w:val="nil"/>
              <w:left w:val="nil"/>
              <w:bottom w:val="dotted" w:sz="4" w:space="0" w:color="auto"/>
              <w:right w:val="dotted" w:sz="4" w:space="0" w:color="auto"/>
            </w:tcBorders>
            <w:shd w:val="clear" w:color="000000" w:fill="FFFFFF"/>
            <w:vAlign w:val="center"/>
          </w:tcPr>
          <w:p w14:paraId="6295B450"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520.38</w:t>
            </w:r>
          </w:p>
        </w:tc>
        <w:tc>
          <w:tcPr>
            <w:tcW w:w="900" w:type="dxa"/>
            <w:tcBorders>
              <w:top w:val="nil"/>
              <w:left w:val="nil"/>
              <w:bottom w:val="dotted" w:sz="4" w:space="0" w:color="auto"/>
              <w:right w:val="double" w:sz="6" w:space="0" w:color="auto"/>
            </w:tcBorders>
            <w:shd w:val="clear" w:color="000000" w:fill="FFFFFF"/>
            <w:vAlign w:val="center"/>
          </w:tcPr>
          <w:p w14:paraId="2433476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549.52</w:t>
            </w:r>
          </w:p>
        </w:tc>
      </w:tr>
      <w:tr w:rsidR="006F605B" w:rsidRPr="00DC66CD" w14:paraId="0197D8F8"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79D26AFC"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7. Total expenditure</w:t>
            </w:r>
            <w:r w:rsidRPr="00DC66CD">
              <w:rPr>
                <w:rStyle w:val="FootnoteReference"/>
                <w:rFonts w:ascii="Garamond" w:hAnsi="Garamond"/>
                <w:color w:val="0D0D0D" w:themeColor="text1" w:themeTint="F2"/>
                <w:sz w:val="18"/>
                <w:szCs w:val="18"/>
              </w:rPr>
              <w:footnoteReference w:id="54"/>
            </w:r>
          </w:p>
        </w:tc>
        <w:tc>
          <w:tcPr>
            <w:tcW w:w="236" w:type="dxa"/>
            <w:tcBorders>
              <w:top w:val="nil"/>
              <w:left w:val="nil"/>
              <w:bottom w:val="dotted" w:sz="4" w:space="0" w:color="auto"/>
              <w:right w:val="single" w:sz="8" w:space="0" w:color="auto"/>
            </w:tcBorders>
            <w:shd w:val="clear" w:color="000000" w:fill="FFFFFF"/>
            <w:vAlign w:val="center"/>
            <w:hideMark/>
          </w:tcPr>
          <w:p w14:paraId="185F2BFA"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1626D4FD"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TE</w:t>
            </w:r>
          </w:p>
        </w:tc>
        <w:tc>
          <w:tcPr>
            <w:tcW w:w="900" w:type="dxa"/>
            <w:tcBorders>
              <w:top w:val="nil"/>
              <w:left w:val="nil"/>
              <w:bottom w:val="dotted" w:sz="4" w:space="0" w:color="auto"/>
              <w:right w:val="dotted" w:sz="4" w:space="0" w:color="auto"/>
            </w:tcBorders>
            <w:shd w:val="clear" w:color="000000" w:fill="FFFFFF"/>
            <w:vAlign w:val="center"/>
          </w:tcPr>
          <w:p w14:paraId="6AC5A61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476.15</w:t>
            </w:r>
          </w:p>
        </w:tc>
        <w:tc>
          <w:tcPr>
            <w:tcW w:w="900" w:type="dxa"/>
            <w:tcBorders>
              <w:top w:val="nil"/>
              <w:left w:val="nil"/>
              <w:bottom w:val="dotted" w:sz="4" w:space="0" w:color="auto"/>
              <w:right w:val="dotted" w:sz="4" w:space="0" w:color="auto"/>
            </w:tcBorders>
            <w:shd w:val="clear" w:color="000000" w:fill="FFFFFF"/>
            <w:vAlign w:val="center"/>
          </w:tcPr>
          <w:p w14:paraId="3B823C7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495.37</w:t>
            </w:r>
          </w:p>
        </w:tc>
        <w:tc>
          <w:tcPr>
            <w:tcW w:w="900" w:type="dxa"/>
            <w:tcBorders>
              <w:top w:val="nil"/>
              <w:left w:val="nil"/>
              <w:bottom w:val="dotted" w:sz="4" w:space="0" w:color="auto"/>
              <w:right w:val="dotted" w:sz="4" w:space="0" w:color="auto"/>
            </w:tcBorders>
            <w:shd w:val="clear" w:color="000000" w:fill="FFFFFF"/>
            <w:vAlign w:val="center"/>
          </w:tcPr>
          <w:p w14:paraId="0E5769C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549.37</w:t>
            </w:r>
          </w:p>
        </w:tc>
        <w:tc>
          <w:tcPr>
            <w:tcW w:w="900" w:type="dxa"/>
            <w:tcBorders>
              <w:top w:val="nil"/>
              <w:left w:val="nil"/>
              <w:bottom w:val="dotted" w:sz="4" w:space="0" w:color="auto"/>
              <w:right w:val="dotted" w:sz="4" w:space="0" w:color="auto"/>
            </w:tcBorders>
            <w:shd w:val="clear" w:color="000000" w:fill="FFFFFF"/>
            <w:vAlign w:val="center"/>
          </w:tcPr>
          <w:p w14:paraId="4A82572E"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557.25</w:t>
            </w:r>
          </w:p>
        </w:tc>
        <w:tc>
          <w:tcPr>
            <w:tcW w:w="900" w:type="dxa"/>
            <w:tcBorders>
              <w:top w:val="nil"/>
              <w:left w:val="nil"/>
              <w:bottom w:val="dotted" w:sz="4" w:space="0" w:color="auto"/>
              <w:right w:val="double" w:sz="6" w:space="0" w:color="auto"/>
            </w:tcBorders>
            <w:shd w:val="clear" w:color="000000" w:fill="FFFFFF"/>
            <w:vAlign w:val="center"/>
          </w:tcPr>
          <w:p w14:paraId="05574FAA"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582.42</w:t>
            </w:r>
          </w:p>
        </w:tc>
      </w:tr>
      <w:tr w:rsidR="006F605B" w:rsidRPr="00DC66CD" w14:paraId="35633962"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396B5C04"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8. Net borrowing/lending</w:t>
            </w:r>
          </w:p>
        </w:tc>
        <w:tc>
          <w:tcPr>
            <w:tcW w:w="236" w:type="dxa"/>
            <w:tcBorders>
              <w:top w:val="nil"/>
              <w:left w:val="nil"/>
              <w:bottom w:val="dotted" w:sz="4" w:space="0" w:color="auto"/>
              <w:right w:val="single" w:sz="8" w:space="0" w:color="auto"/>
            </w:tcBorders>
            <w:shd w:val="clear" w:color="000000" w:fill="FFFFFF"/>
            <w:vAlign w:val="center"/>
            <w:hideMark/>
          </w:tcPr>
          <w:p w14:paraId="66B5C897"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66DD2491"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EDP.B9</w:t>
            </w:r>
          </w:p>
        </w:tc>
        <w:tc>
          <w:tcPr>
            <w:tcW w:w="900" w:type="dxa"/>
            <w:tcBorders>
              <w:top w:val="nil"/>
              <w:left w:val="nil"/>
              <w:bottom w:val="dotted" w:sz="4" w:space="0" w:color="auto"/>
              <w:right w:val="dotted" w:sz="4" w:space="0" w:color="auto"/>
            </w:tcBorders>
            <w:shd w:val="clear" w:color="000000" w:fill="FFFFFF"/>
            <w:vAlign w:val="center"/>
          </w:tcPr>
          <w:p w14:paraId="4CD0B51A"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-26.24</w:t>
            </w:r>
          </w:p>
        </w:tc>
        <w:tc>
          <w:tcPr>
            <w:tcW w:w="900" w:type="dxa"/>
            <w:tcBorders>
              <w:top w:val="nil"/>
              <w:left w:val="nil"/>
              <w:bottom w:val="dotted" w:sz="4" w:space="0" w:color="auto"/>
              <w:right w:val="dotted" w:sz="4" w:space="0" w:color="auto"/>
            </w:tcBorders>
            <w:shd w:val="clear" w:color="000000" w:fill="FFFFFF"/>
            <w:vAlign w:val="center"/>
          </w:tcPr>
          <w:p w14:paraId="7DC08BE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-32.90</w:t>
            </w:r>
          </w:p>
        </w:tc>
        <w:tc>
          <w:tcPr>
            <w:tcW w:w="900" w:type="dxa"/>
            <w:tcBorders>
              <w:top w:val="nil"/>
              <w:left w:val="nil"/>
              <w:bottom w:val="dotted" w:sz="4" w:space="0" w:color="auto"/>
              <w:right w:val="dotted" w:sz="4" w:space="0" w:color="auto"/>
            </w:tcBorders>
            <w:shd w:val="clear" w:color="000000" w:fill="FFFFFF"/>
            <w:vAlign w:val="center"/>
          </w:tcPr>
          <w:p w14:paraId="5EC3CE2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-39.70</w:t>
            </w:r>
          </w:p>
        </w:tc>
        <w:tc>
          <w:tcPr>
            <w:tcW w:w="900" w:type="dxa"/>
            <w:tcBorders>
              <w:top w:val="nil"/>
              <w:left w:val="nil"/>
              <w:bottom w:val="dotted" w:sz="4" w:space="0" w:color="auto"/>
              <w:right w:val="dotted" w:sz="4" w:space="0" w:color="auto"/>
            </w:tcBorders>
            <w:shd w:val="clear" w:color="000000" w:fill="FFFFFF"/>
            <w:vAlign w:val="center"/>
          </w:tcPr>
          <w:p w14:paraId="18C8485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-36.87</w:t>
            </w:r>
          </w:p>
        </w:tc>
        <w:tc>
          <w:tcPr>
            <w:tcW w:w="900" w:type="dxa"/>
            <w:tcBorders>
              <w:top w:val="nil"/>
              <w:left w:val="nil"/>
              <w:bottom w:val="dotted" w:sz="4" w:space="0" w:color="auto"/>
              <w:right w:val="double" w:sz="6" w:space="0" w:color="auto"/>
            </w:tcBorders>
            <w:shd w:val="clear" w:color="000000" w:fill="FFFFFF"/>
            <w:vAlign w:val="center"/>
          </w:tcPr>
          <w:p w14:paraId="568B345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-32.90</w:t>
            </w:r>
          </w:p>
        </w:tc>
      </w:tr>
      <w:tr w:rsidR="006F605B" w:rsidRPr="00DC66CD" w14:paraId="73C601F5" w14:textId="77777777" w:rsidTr="00E372C0">
        <w:trPr>
          <w:trHeight w:val="465"/>
        </w:trPr>
        <w:tc>
          <w:tcPr>
            <w:tcW w:w="4163" w:type="dxa"/>
            <w:tcBorders>
              <w:top w:val="nil"/>
              <w:left w:val="double" w:sz="6" w:space="0" w:color="auto"/>
              <w:bottom w:val="dotted" w:sz="4" w:space="0" w:color="auto"/>
              <w:right w:val="nil"/>
            </w:tcBorders>
            <w:shd w:val="clear" w:color="000000" w:fill="FFFFFF"/>
            <w:vAlign w:val="center"/>
            <w:hideMark/>
          </w:tcPr>
          <w:p w14:paraId="3A9D274A"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9. Interest expenditure</w:t>
            </w:r>
          </w:p>
        </w:tc>
        <w:tc>
          <w:tcPr>
            <w:tcW w:w="236" w:type="dxa"/>
            <w:tcBorders>
              <w:top w:val="nil"/>
              <w:left w:val="nil"/>
              <w:bottom w:val="dotted" w:sz="4" w:space="0" w:color="auto"/>
              <w:right w:val="single" w:sz="8" w:space="0" w:color="auto"/>
            </w:tcBorders>
            <w:shd w:val="clear" w:color="000000" w:fill="FFFFFF"/>
            <w:vAlign w:val="center"/>
            <w:hideMark/>
          </w:tcPr>
          <w:p w14:paraId="39F90EAF"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22B53062"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EDP.D41 incl. FISIM</w:t>
            </w:r>
          </w:p>
        </w:tc>
        <w:tc>
          <w:tcPr>
            <w:tcW w:w="900" w:type="dxa"/>
            <w:tcBorders>
              <w:top w:val="nil"/>
              <w:left w:val="nil"/>
              <w:bottom w:val="dotted" w:sz="4" w:space="0" w:color="auto"/>
              <w:right w:val="dotted" w:sz="4" w:space="0" w:color="auto"/>
            </w:tcBorders>
            <w:shd w:val="clear" w:color="000000" w:fill="FFFFFF"/>
            <w:vAlign w:val="center"/>
          </w:tcPr>
          <w:p w14:paraId="1C0DED28"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36.51</w:t>
            </w:r>
          </w:p>
        </w:tc>
        <w:tc>
          <w:tcPr>
            <w:tcW w:w="900" w:type="dxa"/>
            <w:tcBorders>
              <w:top w:val="nil"/>
              <w:left w:val="nil"/>
              <w:bottom w:val="dotted" w:sz="4" w:space="0" w:color="auto"/>
              <w:right w:val="dotted" w:sz="4" w:space="0" w:color="auto"/>
            </w:tcBorders>
            <w:shd w:val="clear" w:color="000000" w:fill="FFFFFF"/>
            <w:vAlign w:val="center"/>
          </w:tcPr>
          <w:p w14:paraId="5D4FCAEE"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35.80</w:t>
            </w:r>
          </w:p>
        </w:tc>
        <w:tc>
          <w:tcPr>
            <w:tcW w:w="900" w:type="dxa"/>
            <w:tcBorders>
              <w:top w:val="nil"/>
              <w:left w:val="nil"/>
              <w:bottom w:val="dotted" w:sz="4" w:space="0" w:color="auto"/>
              <w:right w:val="dotted" w:sz="4" w:space="0" w:color="auto"/>
            </w:tcBorders>
            <w:shd w:val="clear" w:color="000000" w:fill="FFFFFF"/>
            <w:vAlign w:val="center"/>
          </w:tcPr>
          <w:p w14:paraId="5928FD87"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40.95</w:t>
            </w:r>
          </w:p>
        </w:tc>
        <w:tc>
          <w:tcPr>
            <w:tcW w:w="900" w:type="dxa"/>
            <w:tcBorders>
              <w:top w:val="nil"/>
              <w:left w:val="nil"/>
              <w:bottom w:val="dotted" w:sz="4" w:space="0" w:color="auto"/>
              <w:right w:val="dotted" w:sz="4" w:space="0" w:color="auto"/>
            </w:tcBorders>
            <w:shd w:val="clear" w:color="000000" w:fill="FFFFFF"/>
            <w:vAlign w:val="center"/>
          </w:tcPr>
          <w:p w14:paraId="1493018E"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46.11</w:t>
            </w:r>
          </w:p>
        </w:tc>
        <w:tc>
          <w:tcPr>
            <w:tcW w:w="900" w:type="dxa"/>
            <w:tcBorders>
              <w:top w:val="nil"/>
              <w:left w:val="nil"/>
              <w:bottom w:val="dotted" w:sz="4" w:space="0" w:color="auto"/>
              <w:right w:val="double" w:sz="6" w:space="0" w:color="auto"/>
            </w:tcBorders>
            <w:shd w:val="clear" w:color="000000" w:fill="FFFFFF"/>
            <w:vAlign w:val="center"/>
          </w:tcPr>
          <w:p w14:paraId="66AF726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48.84</w:t>
            </w:r>
          </w:p>
        </w:tc>
      </w:tr>
      <w:tr w:rsidR="006F605B" w:rsidRPr="00DC66CD" w14:paraId="564FA87C"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0E461AF4"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10. Primary balance</w:t>
            </w:r>
            <w:r w:rsidRPr="00DC66CD">
              <w:rPr>
                <w:rStyle w:val="FootnoteReference"/>
                <w:rFonts w:ascii="Garamond" w:hAnsi="Garamond"/>
                <w:color w:val="0D0D0D" w:themeColor="text1" w:themeTint="F2"/>
                <w:sz w:val="18"/>
                <w:szCs w:val="18"/>
              </w:rPr>
              <w:footnoteReference w:id="55"/>
            </w:r>
          </w:p>
        </w:tc>
        <w:tc>
          <w:tcPr>
            <w:tcW w:w="236" w:type="dxa"/>
            <w:tcBorders>
              <w:top w:val="nil"/>
              <w:left w:val="nil"/>
              <w:bottom w:val="dotted" w:sz="4" w:space="0" w:color="auto"/>
              <w:right w:val="single" w:sz="8" w:space="0" w:color="auto"/>
            </w:tcBorders>
            <w:shd w:val="clear" w:color="000000" w:fill="FFFFFF"/>
            <w:vAlign w:val="center"/>
            <w:hideMark/>
          </w:tcPr>
          <w:p w14:paraId="3284BB5D"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2914A585"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900" w:type="dxa"/>
            <w:tcBorders>
              <w:top w:val="nil"/>
              <w:left w:val="nil"/>
              <w:bottom w:val="dotted" w:sz="4" w:space="0" w:color="auto"/>
              <w:right w:val="dotted" w:sz="4" w:space="0" w:color="auto"/>
            </w:tcBorders>
            <w:shd w:val="clear" w:color="000000" w:fill="FFFFFF"/>
            <w:vAlign w:val="center"/>
          </w:tcPr>
          <w:p w14:paraId="181EA4C7"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10.28</w:t>
            </w:r>
          </w:p>
        </w:tc>
        <w:tc>
          <w:tcPr>
            <w:tcW w:w="900" w:type="dxa"/>
            <w:tcBorders>
              <w:top w:val="nil"/>
              <w:left w:val="nil"/>
              <w:bottom w:val="dotted" w:sz="4" w:space="0" w:color="auto"/>
              <w:right w:val="dotted" w:sz="4" w:space="0" w:color="auto"/>
            </w:tcBorders>
            <w:shd w:val="clear" w:color="000000" w:fill="FFFFFF"/>
            <w:vAlign w:val="center"/>
          </w:tcPr>
          <w:p w14:paraId="6AA42861"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2.90</w:t>
            </w:r>
          </w:p>
        </w:tc>
        <w:tc>
          <w:tcPr>
            <w:tcW w:w="900" w:type="dxa"/>
            <w:tcBorders>
              <w:top w:val="nil"/>
              <w:left w:val="nil"/>
              <w:bottom w:val="dotted" w:sz="4" w:space="0" w:color="auto"/>
              <w:right w:val="dotted" w:sz="4" w:space="0" w:color="auto"/>
            </w:tcBorders>
            <w:shd w:val="clear" w:color="000000" w:fill="FFFFFF"/>
            <w:vAlign w:val="center"/>
          </w:tcPr>
          <w:p w14:paraId="36ADF30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1.25</w:t>
            </w:r>
          </w:p>
        </w:tc>
        <w:tc>
          <w:tcPr>
            <w:tcW w:w="900" w:type="dxa"/>
            <w:tcBorders>
              <w:top w:val="nil"/>
              <w:left w:val="nil"/>
              <w:bottom w:val="dotted" w:sz="4" w:space="0" w:color="auto"/>
              <w:right w:val="dotted" w:sz="4" w:space="0" w:color="auto"/>
            </w:tcBorders>
            <w:shd w:val="clear" w:color="000000" w:fill="FFFFFF"/>
            <w:vAlign w:val="center"/>
          </w:tcPr>
          <w:p w14:paraId="4A50E23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9.24</w:t>
            </w:r>
          </w:p>
        </w:tc>
        <w:tc>
          <w:tcPr>
            <w:tcW w:w="900" w:type="dxa"/>
            <w:tcBorders>
              <w:top w:val="nil"/>
              <w:left w:val="nil"/>
              <w:bottom w:val="dotted" w:sz="4" w:space="0" w:color="auto"/>
              <w:right w:val="double" w:sz="6" w:space="0" w:color="auto"/>
            </w:tcBorders>
            <w:shd w:val="clear" w:color="000000" w:fill="FFFFFF"/>
            <w:vAlign w:val="center"/>
          </w:tcPr>
          <w:p w14:paraId="1C03BBF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15.95</w:t>
            </w:r>
          </w:p>
        </w:tc>
      </w:tr>
      <w:tr w:rsidR="006F605B" w:rsidRPr="00DC66CD" w14:paraId="72CA2F71" w14:textId="77777777" w:rsidTr="00E372C0">
        <w:trPr>
          <w:trHeight w:val="420"/>
        </w:trPr>
        <w:tc>
          <w:tcPr>
            <w:tcW w:w="4163" w:type="dxa"/>
            <w:tcBorders>
              <w:top w:val="nil"/>
              <w:left w:val="double" w:sz="6" w:space="0" w:color="auto"/>
              <w:bottom w:val="single" w:sz="8" w:space="0" w:color="auto"/>
              <w:right w:val="nil"/>
            </w:tcBorders>
            <w:shd w:val="clear" w:color="000000" w:fill="FFFFFF"/>
            <w:vAlign w:val="center"/>
            <w:hideMark/>
          </w:tcPr>
          <w:p w14:paraId="48FF7324"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11. One-off and other temporary measures</w:t>
            </w:r>
            <w:r w:rsidRPr="00DC66CD">
              <w:rPr>
                <w:rStyle w:val="FootnoteReference"/>
                <w:rFonts w:ascii="Garamond" w:hAnsi="Garamond"/>
                <w:color w:val="0D0D0D" w:themeColor="text1" w:themeTint="F2"/>
                <w:sz w:val="18"/>
                <w:szCs w:val="18"/>
              </w:rPr>
              <w:footnoteReference w:id="56"/>
            </w:r>
          </w:p>
        </w:tc>
        <w:tc>
          <w:tcPr>
            <w:tcW w:w="236" w:type="dxa"/>
            <w:tcBorders>
              <w:top w:val="nil"/>
              <w:left w:val="nil"/>
              <w:bottom w:val="single" w:sz="8" w:space="0" w:color="auto"/>
              <w:right w:val="single" w:sz="8" w:space="0" w:color="auto"/>
            </w:tcBorders>
            <w:shd w:val="clear" w:color="000000" w:fill="FFFFFF"/>
            <w:vAlign w:val="center"/>
            <w:hideMark/>
          </w:tcPr>
          <w:p w14:paraId="0AF0FA9B"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single" w:sz="8" w:space="0" w:color="auto"/>
              <w:right w:val="single" w:sz="8" w:space="0" w:color="auto"/>
            </w:tcBorders>
            <w:shd w:val="clear" w:color="000000" w:fill="FFFFFF"/>
            <w:vAlign w:val="center"/>
            <w:hideMark/>
          </w:tcPr>
          <w:p w14:paraId="59CACD92"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900" w:type="dxa"/>
            <w:tcBorders>
              <w:top w:val="nil"/>
              <w:left w:val="nil"/>
              <w:bottom w:val="single" w:sz="8" w:space="0" w:color="auto"/>
              <w:right w:val="dotted" w:sz="4" w:space="0" w:color="auto"/>
            </w:tcBorders>
            <w:shd w:val="clear" w:color="000000" w:fill="FFFFFF"/>
            <w:vAlign w:val="center"/>
          </w:tcPr>
          <w:p w14:paraId="543D3BE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single" w:sz="8" w:space="0" w:color="auto"/>
              <w:right w:val="dotted" w:sz="4" w:space="0" w:color="auto"/>
            </w:tcBorders>
            <w:shd w:val="clear" w:color="000000" w:fill="FFFFFF"/>
            <w:vAlign w:val="center"/>
          </w:tcPr>
          <w:p w14:paraId="4C2FA29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single" w:sz="8" w:space="0" w:color="auto"/>
              <w:right w:val="dotted" w:sz="4" w:space="0" w:color="auto"/>
            </w:tcBorders>
            <w:shd w:val="clear" w:color="000000" w:fill="FFFFFF"/>
            <w:vAlign w:val="center"/>
          </w:tcPr>
          <w:p w14:paraId="5A7CA7D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single" w:sz="8" w:space="0" w:color="auto"/>
              <w:right w:val="dotted" w:sz="4" w:space="0" w:color="auto"/>
            </w:tcBorders>
            <w:shd w:val="clear" w:color="000000" w:fill="FFFFFF"/>
            <w:vAlign w:val="center"/>
          </w:tcPr>
          <w:p w14:paraId="7B3F8CB0"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single" w:sz="8" w:space="0" w:color="auto"/>
              <w:right w:val="double" w:sz="6" w:space="0" w:color="auto"/>
            </w:tcBorders>
            <w:shd w:val="clear" w:color="000000" w:fill="FFFFFF"/>
            <w:vAlign w:val="center"/>
          </w:tcPr>
          <w:p w14:paraId="500534D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r>
      <w:tr w:rsidR="006F605B" w:rsidRPr="00DC66CD" w14:paraId="1BA71A8C"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518AF97C" w14:textId="6A4BE62C"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12. Total taxes</w:t>
            </w:r>
            <w:r w:rsidR="0072211B" w:rsidRPr="00DC66CD">
              <w:rPr>
                <w:rFonts w:ascii="Garamond" w:hAnsi="Garamond"/>
                <w:color w:val="0D0D0D" w:themeColor="text1" w:themeTint="F2"/>
                <w:sz w:val="18"/>
                <w:szCs w:val="18"/>
              </w:rPr>
              <w:t xml:space="preserve"> </w:t>
            </w:r>
            <w:r w:rsidRPr="00DC66CD">
              <w:rPr>
                <w:rFonts w:ascii="Garamond" w:hAnsi="Garamond"/>
                <w:color w:val="0D0D0D" w:themeColor="text1" w:themeTint="F2"/>
                <w:sz w:val="18"/>
                <w:szCs w:val="18"/>
              </w:rPr>
              <w:t>(12 = 12a+12b+12c)</w:t>
            </w:r>
          </w:p>
        </w:tc>
        <w:tc>
          <w:tcPr>
            <w:tcW w:w="236" w:type="dxa"/>
            <w:tcBorders>
              <w:top w:val="nil"/>
              <w:left w:val="nil"/>
              <w:bottom w:val="dotted" w:sz="4" w:space="0" w:color="auto"/>
              <w:right w:val="single" w:sz="8" w:space="0" w:color="auto"/>
            </w:tcBorders>
            <w:shd w:val="clear" w:color="000000" w:fill="FFFFFF"/>
            <w:vAlign w:val="center"/>
            <w:hideMark/>
          </w:tcPr>
          <w:p w14:paraId="5B91F891"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09F9A972"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900" w:type="dxa"/>
            <w:tcBorders>
              <w:top w:val="nil"/>
              <w:left w:val="nil"/>
              <w:bottom w:val="dotted" w:sz="4" w:space="0" w:color="auto"/>
              <w:right w:val="dotted" w:sz="4" w:space="0" w:color="auto"/>
            </w:tcBorders>
            <w:shd w:val="clear" w:color="000000" w:fill="FFFFFF"/>
            <w:vAlign w:val="center"/>
          </w:tcPr>
          <w:p w14:paraId="49E63AED" w14:textId="77777777" w:rsidR="006F605B" w:rsidRPr="00DC66CD" w:rsidRDefault="006F605B" w:rsidP="00131DA1">
            <w:pPr>
              <w:spacing w:after="0" w:line="240" w:lineRule="auto"/>
              <w:jc w:val="center"/>
              <w:rPr>
                <w:rFonts w:ascii="Garamond" w:eastAsia="Times New Roman" w:hAnsi="Garamond"/>
                <w:sz w:val="18"/>
                <w:szCs w:val="18"/>
              </w:rPr>
            </w:pPr>
            <w:r w:rsidRPr="00DC66CD">
              <w:rPr>
                <w:rFonts w:ascii="Garamond" w:hAnsi="Garamond"/>
                <w:sz w:val="18"/>
                <w:szCs w:val="18"/>
              </w:rPr>
              <w:t>270.84</w:t>
            </w:r>
          </w:p>
        </w:tc>
        <w:tc>
          <w:tcPr>
            <w:tcW w:w="900" w:type="dxa"/>
            <w:tcBorders>
              <w:top w:val="nil"/>
              <w:left w:val="nil"/>
              <w:bottom w:val="dotted" w:sz="4" w:space="0" w:color="auto"/>
              <w:right w:val="dotted" w:sz="4" w:space="0" w:color="auto"/>
            </w:tcBorders>
            <w:shd w:val="clear" w:color="000000" w:fill="FFFFFF"/>
            <w:vAlign w:val="center"/>
          </w:tcPr>
          <w:p w14:paraId="206F7F00"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278.06</w:t>
            </w:r>
          </w:p>
        </w:tc>
        <w:tc>
          <w:tcPr>
            <w:tcW w:w="900" w:type="dxa"/>
            <w:tcBorders>
              <w:top w:val="nil"/>
              <w:left w:val="nil"/>
              <w:bottom w:val="dotted" w:sz="4" w:space="0" w:color="auto"/>
              <w:right w:val="dotted" w:sz="4" w:space="0" w:color="auto"/>
            </w:tcBorders>
            <w:shd w:val="clear" w:color="000000" w:fill="FFFFFF"/>
            <w:vAlign w:val="center"/>
          </w:tcPr>
          <w:p w14:paraId="7067E1D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299.97</w:t>
            </w:r>
          </w:p>
        </w:tc>
        <w:tc>
          <w:tcPr>
            <w:tcW w:w="900" w:type="dxa"/>
            <w:tcBorders>
              <w:top w:val="nil"/>
              <w:left w:val="nil"/>
              <w:bottom w:val="dotted" w:sz="4" w:space="0" w:color="auto"/>
              <w:right w:val="dotted" w:sz="4" w:space="0" w:color="auto"/>
            </w:tcBorders>
            <w:shd w:val="clear" w:color="000000" w:fill="FFFFFF"/>
            <w:vAlign w:val="center"/>
          </w:tcPr>
          <w:p w14:paraId="5C50C45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305.67</w:t>
            </w:r>
          </w:p>
        </w:tc>
        <w:tc>
          <w:tcPr>
            <w:tcW w:w="900" w:type="dxa"/>
            <w:tcBorders>
              <w:top w:val="nil"/>
              <w:left w:val="nil"/>
              <w:bottom w:val="dotted" w:sz="4" w:space="0" w:color="auto"/>
              <w:right w:val="double" w:sz="6" w:space="0" w:color="auto"/>
            </w:tcBorders>
            <w:shd w:val="clear" w:color="000000" w:fill="FFFFFF"/>
            <w:vAlign w:val="center"/>
          </w:tcPr>
          <w:p w14:paraId="2188E43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324.32</w:t>
            </w:r>
          </w:p>
        </w:tc>
      </w:tr>
      <w:tr w:rsidR="006F605B" w:rsidRPr="00DC66CD" w14:paraId="360EB9C3"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74B2322A"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12a. Taxes on production and imports</w:t>
            </w:r>
          </w:p>
        </w:tc>
        <w:tc>
          <w:tcPr>
            <w:tcW w:w="236" w:type="dxa"/>
            <w:tcBorders>
              <w:top w:val="nil"/>
              <w:left w:val="nil"/>
              <w:bottom w:val="dotted" w:sz="4" w:space="0" w:color="auto"/>
              <w:right w:val="single" w:sz="8" w:space="0" w:color="auto"/>
            </w:tcBorders>
            <w:shd w:val="clear" w:color="000000" w:fill="FFFFFF"/>
            <w:vAlign w:val="center"/>
            <w:hideMark/>
          </w:tcPr>
          <w:p w14:paraId="733B7622" w14:textId="77777777" w:rsidR="006F605B" w:rsidRPr="00DC66CD" w:rsidRDefault="006F605B" w:rsidP="00131DA1">
            <w:pPr>
              <w:spacing w:after="0" w:line="240" w:lineRule="auto"/>
              <w:jc w:val="both"/>
              <w:rPr>
                <w:rFonts w:ascii="Garamond" w:hAnsi="Garamond"/>
                <w:color w:val="0D0D0D" w:themeColor="text1" w:themeTint="F2"/>
                <w:sz w:val="18"/>
                <w:szCs w:val="18"/>
              </w:rPr>
            </w:pPr>
            <w:bookmarkStart w:id="83" w:name="RANGE!C22"/>
            <w:r w:rsidRPr="00DC66CD">
              <w:rPr>
                <w:rFonts w:ascii="Garamond" w:hAnsi="Garamond"/>
                <w:color w:val="0D0D0D" w:themeColor="text1" w:themeTint="F2"/>
                <w:sz w:val="18"/>
                <w:szCs w:val="18"/>
              </w:rPr>
              <w:t> </w:t>
            </w:r>
            <w:bookmarkEnd w:id="83"/>
          </w:p>
        </w:tc>
        <w:tc>
          <w:tcPr>
            <w:tcW w:w="1068" w:type="dxa"/>
            <w:tcBorders>
              <w:top w:val="nil"/>
              <w:left w:val="nil"/>
              <w:bottom w:val="dotted" w:sz="4" w:space="0" w:color="auto"/>
              <w:right w:val="single" w:sz="8" w:space="0" w:color="auto"/>
            </w:tcBorders>
            <w:shd w:val="clear" w:color="000000" w:fill="FFFFFF"/>
            <w:vAlign w:val="center"/>
            <w:hideMark/>
          </w:tcPr>
          <w:p w14:paraId="4B2FE060"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D2</w:t>
            </w:r>
          </w:p>
        </w:tc>
        <w:tc>
          <w:tcPr>
            <w:tcW w:w="900" w:type="dxa"/>
            <w:tcBorders>
              <w:top w:val="nil"/>
              <w:left w:val="nil"/>
              <w:bottom w:val="dotted" w:sz="4" w:space="0" w:color="auto"/>
              <w:right w:val="dotted" w:sz="4" w:space="0" w:color="auto"/>
            </w:tcBorders>
            <w:shd w:val="clear" w:color="000000" w:fill="FFFFFF"/>
            <w:vAlign w:val="center"/>
          </w:tcPr>
          <w:p w14:paraId="06BF9D9E"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194.67</w:t>
            </w:r>
          </w:p>
        </w:tc>
        <w:tc>
          <w:tcPr>
            <w:tcW w:w="900" w:type="dxa"/>
            <w:tcBorders>
              <w:top w:val="nil"/>
              <w:left w:val="nil"/>
              <w:bottom w:val="dotted" w:sz="4" w:space="0" w:color="auto"/>
              <w:right w:val="dotted" w:sz="4" w:space="0" w:color="auto"/>
            </w:tcBorders>
            <w:shd w:val="clear" w:color="000000" w:fill="FFFFFF"/>
            <w:vAlign w:val="center"/>
          </w:tcPr>
          <w:p w14:paraId="000E689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189.23</w:t>
            </w:r>
          </w:p>
        </w:tc>
        <w:tc>
          <w:tcPr>
            <w:tcW w:w="900" w:type="dxa"/>
            <w:tcBorders>
              <w:top w:val="nil"/>
              <w:left w:val="nil"/>
              <w:bottom w:val="dotted" w:sz="4" w:space="0" w:color="auto"/>
              <w:right w:val="dotted" w:sz="4" w:space="0" w:color="auto"/>
            </w:tcBorders>
            <w:shd w:val="clear" w:color="000000" w:fill="FFFFFF"/>
            <w:vAlign w:val="center"/>
          </w:tcPr>
          <w:p w14:paraId="43CFAA3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209.12</w:t>
            </w:r>
          </w:p>
        </w:tc>
        <w:tc>
          <w:tcPr>
            <w:tcW w:w="900" w:type="dxa"/>
            <w:tcBorders>
              <w:top w:val="nil"/>
              <w:left w:val="nil"/>
              <w:bottom w:val="dotted" w:sz="4" w:space="0" w:color="auto"/>
              <w:right w:val="dotted" w:sz="4" w:space="0" w:color="auto"/>
            </w:tcBorders>
            <w:shd w:val="clear" w:color="000000" w:fill="FFFFFF"/>
            <w:vAlign w:val="center"/>
          </w:tcPr>
          <w:p w14:paraId="10C3059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216.75</w:t>
            </w:r>
          </w:p>
        </w:tc>
        <w:tc>
          <w:tcPr>
            <w:tcW w:w="900" w:type="dxa"/>
            <w:tcBorders>
              <w:top w:val="nil"/>
              <w:left w:val="nil"/>
              <w:bottom w:val="dotted" w:sz="4" w:space="0" w:color="auto"/>
              <w:right w:val="double" w:sz="6" w:space="0" w:color="auto"/>
            </w:tcBorders>
            <w:shd w:val="clear" w:color="000000" w:fill="FFFFFF"/>
            <w:vAlign w:val="center"/>
          </w:tcPr>
          <w:p w14:paraId="24BB072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229.67</w:t>
            </w:r>
          </w:p>
        </w:tc>
      </w:tr>
      <w:tr w:rsidR="006F605B" w:rsidRPr="00DC66CD" w14:paraId="0897B286"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6DF95011"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12b. Current taxes on income and wealth</w:t>
            </w:r>
          </w:p>
        </w:tc>
        <w:tc>
          <w:tcPr>
            <w:tcW w:w="236" w:type="dxa"/>
            <w:tcBorders>
              <w:top w:val="nil"/>
              <w:left w:val="nil"/>
              <w:bottom w:val="dotted" w:sz="4" w:space="0" w:color="auto"/>
              <w:right w:val="single" w:sz="8" w:space="0" w:color="auto"/>
            </w:tcBorders>
            <w:shd w:val="clear" w:color="000000" w:fill="FFFFFF"/>
            <w:vAlign w:val="center"/>
            <w:hideMark/>
          </w:tcPr>
          <w:p w14:paraId="1081A167" w14:textId="77777777" w:rsidR="006F605B" w:rsidRPr="00DC66CD" w:rsidRDefault="006F605B" w:rsidP="00131DA1">
            <w:pPr>
              <w:spacing w:after="0" w:line="240" w:lineRule="auto"/>
              <w:jc w:val="both"/>
              <w:rPr>
                <w:rFonts w:ascii="Garamond" w:hAnsi="Garamond"/>
                <w:color w:val="0D0D0D" w:themeColor="text1" w:themeTint="F2"/>
                <w:sz w:val="18"/>
                <w:szCs w:val="18"/>
              </w:rPr>
            </w:pPr>
            <w:bookmarkStart w:id="84" w:name="RANGE!C23"/>
            <w:r w:rsidRPr="00DC66CD">
              <w:rPr>
                <w:rFonts w:ascii="Garamond" w:hAnsi="Garamond"/>
                <w:color w:val="0D0D0D" w:themeColor="text1" w:themeTint="F2"/>
                <w:sz w:val="18"/>
                <w:szCs w:val="18"/>
              </w:rPr>
              <w:t> </w:t>
            </w:r>
            <w:bookmarkEnd w:id="84"/>
          </w:p>
        </w:tc>
        <w:tc>
          <w:tcPr>
            <w:tcW w:w="1068" w:type="dxa"/>
            <w:tcBorders>
              <w:top w:val="nil"/>
              <w:left w:val="nil"/>
              <w:bottom w:val="dotted" w:sz="4" w:space="0" w:color="auto"/>
              <w:right w:val="single" w:sz="8" w:space="0" w:color="auto"/>
            </w:tcBorders>
            <w:shd w:val="clear" w:color="000000" w:fill="FFFFFF"/>
            <w:vAlign w:val="center"/>
            <w:hideMark/>
          </w:tcPr>
          <w:p w14:paraId="58199E65"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D5</w:t>
            </w:r>
          </w:p>
        </w:tc>
        <w:tc>
          <w:tcPr>
            <w:tcW w:w="900" w:type="dxa"/>
            <w:tcBorders>
              <w:top w:val="nil"/>
              <w:left w:val="nil"/>
              <w:bottom w:val="dotted" w:sz="4" w:space="0" w:color="auto"/>
              <w:right w:val="dotted" w:sz="4" w:space="0" w:color="auto"/>
            </w:tcBorders>
            <w:shd w:val="clear" w:color="000000" w:fill="FFFFFF"/>
            <w:vAlign w:val="center"/>
          </w:tcPr>
          <w:p w14:paraId="69DE687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41.71</w:t>
            </w:r>
          </w:p>
        </w:tc>
        <w:tc>
          <w:tcPr>
            <w:tcW w:w="900" w:type="dxa"/>
            <w:tcBorders>
              <w:top w:val="nil"/>
              <w:left w:val="nil"/>
              <w:bottom w:val="dotted" w:sz="4" w:space="0" w:color="auto"/>
              <w:right w:val="dotted" w:sz="4" w:space="0" w:color="auto"/>
            </w:tcBorders>
            <w:shd w:val="clear" w:color="000000" w:fill="FFFFFF"/>
            <w:vAlign w:val="center"/>
          </w:tcPr>
          <w:p w14:paraId="1459E2D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51.71</w:t>
            </w:r>
          </w:p>
        </w:tc>
        <w:tc>
          <w:tcPr>
            <w:tcW w:w="900" w:type="dxa"/>
            <w:tcBorders>
              <w:top w:val="nil"/>
              <w:left w:val="nil"/>
              <w:bottom w:val="dotted" w:sz="4" w:space="0" w:color="auto"/>
              <w:right w:val="dotted" w:sz="4" w:space="0" w:color="auto"/>
            </w:tcBorders>
            <w:shd w:val="clear" w:color="000000" w:fill="FFFFFF"/>
            <w:vAlign w:val="center"/>
          </w:tcPr>
          <w:p w14:paraId="5760FF04"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52.85</w:t>
            </w:r>
          </w:p>
        </w:tc>
        <w:tc>
          <w:tcPr>
            <w:tcW w:w="900" w:type="dxa"/>
            <w:tcBorders>
              <w:top w:val="nil"/>
              <w:left w:val="nil"/>
              <w:bottom w:val="dotted" w:sz="4" w:space="0" w:color="auto"/>
              <w:right w:val="dotted" w:sz="4" w:space="0" w:color="auto"/>
            </w:tcBorders>
            <w:shd w:val="clear" w:color="000000" w:fill="FFFFFF"/>
            <w:vAlign w:val="center"/>
          </w:tcPr>
          <w:p w14:paraId="3F242846"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47.57</w:t>
            </w:r>
          </w:p>
        </w:tc>
        <w:tc>
          <w:tcPr>
            <w:tcW w:w="900" w:type="dxa"/>
            <w:tcBorders>
              <w:top w:val="nil"/>
              <w:left w:val="nil"/>
              <w:bottom w:val="dotted" w:sz="4" w:space="0" w:color="auto"/>
              <w:right w:val="double" w:sz="6" w:space="0" w:color="auto"/>
            </w:tcBorders>
            <w:shd w:val="clear" w:color="000000" w:fill="FFFFFF"/>
            <w:vAlign w:val="center"/>
          </w:tcPr>
          <w:p w14:paraId="6929EDE1"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50.47</w:t>
            </w:r>
          </w:p>
        </w:tc>
      </w:tr>
      <w:tr w:rsidR="006F605B" w:rsidRPr="00DC66CD" w14:paraId="7DD32968"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3EA873BB"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12c. Capital taxes</w:t>
            </w:r>
          </w:p>
        </w:tc>
        <w:tc>
          <w:tcPr>
            <w:tcW w:w="236" w:type="dxa"/>
            <w:tcBorders>
              <w:top w:val="nil"/>
              <w:left w:val="nil"/>
              <w:bottom w:val="dotted" w:sz="4" w:space="0" w:color="auto"/>
              <w:right w:val="single" w:sz="8" w:space="0" w:color="auto"/>
            </w:tcBorders>
            <w:shd w:val="clear" w:color="000000" w:fill="FFFFFF"/>
            <w:vAlign w:val="center"/>
            <w:hideMark/>
          </w:tcPr>
          <w:p w14:paraId="5F6C977C" w14:textId="77777777" w:rsidR="006F605B" w:rsidRPr="00DC66CD" w:rsidRDefault="006F605B" w:rsidP="00131DA1">
            <w:pPr>
              <w:spacing w:after="0" w:line="240" w:lineRule="auto"/>
              <w:jc w:val="both"/>
              <w:rPr>
                <w:rFonts w:ascii="Garamond" w:hAnsi="Garamond"/>
                <w:color w:val="0D0D0D" w:themeColor="text1" w:themeTint="F2"/>
                <w:sz w:val="18"/>
                <w:szCs w:val="18"/>
              </w:rPr>
            </w:pPr>
            <w:bookmarkStart w:id="85" w:name="RANGE!C24"/>
            <w:r w:rsidRPr="00DC66CD">
              <w:rPr>
                <w:rFonts w:ascii="Garamond" w:hAnsi="Garamond"/>
                <w:color w:val="0D0D0D" w:themeColor="text1" w:themeTint="F2"/>
                <w:sz w:val="18"/>
                <w:szCs w:val="18"/>
              </w:rPr>
              <w:t> </w:t>
            </w:r>
            <w:bookmarkEnd w:id="85"/>
          </w:p>
        </w:tc>
        <w:tc>
          <w:tcPr>
            <w:tcW w:w="1068" w:type="dxa"/>
            <w:tcBorders>
              <w:top w:val="nil"/>
              <w:left w:val="nil"/>
              <w:bottom w:val="dotted" w:sz="4" w:space="0" w:color="auto"/>
              <w:right w:val="single" w:sz="8" w:space="0" w:color="auto"/>
            </w:tcBorders>
            <w:shd w:val="clear" w:color="000000" w:fill="FFFFFF"/>
            <w:vAlign w:val="center"/>
            <w:hideMark/>
          </w:tcPr>
          <w:p w14:paraId="63FC65FB"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D91</w:t>
            </w:r>
          </w:p>
        </w:tc>
        <w:tc>
          <w:tcPr>
            <w:tcW w:w="900" w:type="dxa"/>
            <w:tcBorders>
              <w:top w:val="nil"/>
              <w:left w:val="nil"/>
              <w:bottom w:val="dotted" w:sz="4" w:space="0" w:color="auto"/>
              <w:right w:val="dotted" w:sz="4" w:space="0" w:color="auto"/>
            </w:tcBorders>
            <w:shd w:val="clear" w:color="000000" w:fill="FFFFFF"/>
            <w:vAlign w:val="center"/>
          </w:tcPr>
          <w:p w14:paraId="64E14AA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34.46</w:t>
            </w:r>
          </w:p>
        </w:tc>
        <w:tc>
          <w:tcPr>
            <w:tcW w:w="900" w:type="dxa"/>
            <w:tcBorders>
              <w:top w:val="nil"/>
              <w:left w:val="nil"/>
              <w:bottom w:val="dotted" w:sz="4" w:space="0" w:color="auto"/>
              <w:right w:val="dotted" w:sz="4" w:space="0" w:color="auto"/>
            </w:tcBorders>
            <w:shd w:val="clear" w:color="000000" w:fill="FFFFFF"/>
            <w:vAlign w:val="center"/>
          </w:tcPr>
          <w:p w14:paraId="31F9441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37.11</w:t>
            </w:r>
          </w:p>
        </w:tc>
        <w:tc>
          <w:tcPr>
            <w:tcW w:w="900" w:type="dxa"/>
            <w:tcBorders>
              <w:top w:val="nil"/>
              <w:left w:val="nil"/>
              <w:bottom w:val="dotted" w:sz="4" w:space="0" w:color="auto"/>
              <w:right w:val="dotted" w:sz="4" w:space="0" w:color="auto"/>
            </w:tcBorders>
            <w:shd w:val="clear" w:color="000000" w:fill="FFFFFF"/>
            <w:vAlign w:val="center"/>
          </w:tcPr>
          <w:p w14:paraId="42B6811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38.00</w:t>
            </w:r>
          </w:p>
        </w:tc>
        <w:tc>
          <w:tcPr>
            <w:tcW w:w="900" w:type="dxa"/>
            <w:tcBorders>
              <w:top w:val="nil"/>
              <w:left w:val="nil"/>
              <w:bottom w:val="dotted" w:sz="4" w:space="0" w:color="auto"/>
              <w:right w:val="dotted" w:sz="4" w:space="0" w:color="auto"/>
            </w:tcBorders>
            <w:shd w:val="clear" w:color="000000" w:fill="FFFFFF"/>
            <w:vAlign w:val="center"/>
          </w:tcPr>
          <w:p w14:paraId="6E82716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41.36</w:t>
            </w:r>
          </w:p>
        </w:tc>
        <w:tc>
          <w:tcPr>
            <w:tcW w:w="900" w:type="dxa"/>
            <w:tcBorders>
              <w:top w:val="nil"/>
              <w:left w:val="nil"/>
              <w:bottom w:val="dotted" w:sz="4" w:space="0" w:color="auto"/>
              <w:right w:val="double" w:sz="6" w:space="0" w:color="auto"/>
            </w:tcBorders>
            <w:shd w:val="clear" w:color="000000" w:fill="FFFFFF"/>
            <w:vAlign w:val="center"/>
          </w:tcPr>
          <w:p w14:paraId="1D45121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44.18</w:t>
            </w:r>
          </w:p>
        </w:tc>
      </w:tr>
      <w:tr w:rsidR="006F605B" w:rsidRPr="00DC66CD" w14:paraId="7A336840"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28E87810"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13. Social contributions</w:t>
            </w:r>
          </w:p>
        </w:tc>
        <w:tc>
          <w:tcPr>
            <w:tcW w:w="236" w:type="dxa"/>
            <w:tcBorders>
              <w:top w:val="nil"/>
              <w:left w:val="nil"/>
              <w:bottom w:val="dotted" w:sz="4" w:space="0" w:color="auto"/>
              <w:right w:val="single" w:sz="8" w:space="0" w:color="auto"/>
            </w:tcBorders>
            <w:shd w:val="clear" w:color="000000" w:fill="FFFFFF"/>
            <w:vAlign w:val="center"/>
            <w:hideMark/>
          </w:tcPr>
          <w:p w14:paraId="7952CC42"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787306FF"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D61</w:t>
            </w:r>
          </w:p>
        </w:tc>
        <w:tc>
          <w:tcPr>
            <w:tcW w:w="900" w:type="dxa"/>
            <w:tcBorders>
              <w:top w:val="nil"/>
              <w:left w:val="nil"/>
              <w:bottom w:val="dotted" w:sz="4" w:space="0" w:color="auto"/>
              <w:right w:val="dotted" w:sz="4" w:space="0" w:color="auto"/>
            </w:tcBorders>
            <w:shd w:val="clear" w:color="000000" w:fill="FFFFFF"/>
            <w:vAlign w:val="center"/>
          </w:tcPr>
          <w:p w14:paraId="6FE04AC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91.85</w:t>
            </w:r>
          </w:p>
        </w:tc>
        <w:tc>
          <w:tcPr>
            <w:tcW w:w="900" w:type="dxa"/>
            <w:tcBorders>
              <w:top w:val="nil"/>
              <w:left w:val="nil"/>
              <w:bottom w:val="dotted" w:sz="4" w:space="0" w:color="auto"/>
              <w:right w:val="dotted" w:sz="4" w:space="0" w:color="auto"/>
            </w:tcBorders>
            <w:shd w:val="clear" w:color="000000" w:fill="FFFFFF"/>
            <w:vAlign w:val="center"/>
          </w:tcPr>
          <w:p w14:paraId="0AA10AD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97.34</w:t>
            </w:r>
          </w:p>
        </w:tc>
        <w:tc>
          <w:tcPr>
            <w:tcW w:w="900" w:type="dxa"/>
            <w:tcBorders>
              <w:top w:val="nil"/>
              <w:left w:val="nil"/>
              <w:bottom w:val="dotted" w:sz="4" w:space="0" w:color="auto"/>
              <w:right w:val="dotted" w:sz="4" w:space="0" w:color="auto"/>
            </w:tcBorders>
            <w:shd w:val="clear" w:color="000000" w:fill="FFFFFF"/>
            <w:vAlign w:val="center"/>
          </w:tcPr>
          <w:p w14:paraId="5F2A62A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103.02</w:t>
            </w:r>
          </w:p>
        </w:tc>
        <w:tc>
          <w:tcPr>
            <w:tcW w:w="900" w:type="dxa"/>
            <w:tcBorders>
              <w:top w:val="nil"/>
              <w:left w:val="nil"/>
              <w:bottom w:val="dotted" w:sz="4" w:space="0" w:color="auto"/>
              <w:right w:val="dotted" w:sz="4" w:space="0" w:color="auto"/>
            </w:tcBorders>
            <w:shd w:val="clear" w:color="000000" w:fill="FFFFFF"/>
            <w:vAlign w:val="center"/>
          </w:tcPr>
          <w:p w14:paraId="78186EF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108.84</w:t>
            </w:r>
          </w:p>
        </w:tc>
        <w:tc>
          <w:tcPr>
            <w:tcW w:w="900" w:type="dxa"/>
            <w:tcBorders>
              <w:top w:val="nil"/>
              <w:left w:val="nil"/>
              <w:bottom w:val="dotted" w:sz="4" w:space="0" w:color="auto"/>
              <w:right w:val="double" w:sz="6" w:space="0" w:color="auto"/>
            </w:tcBorders>
            <w:shd w:val="clear" w:color="000000" w:fill="FFFFFF"/>
            <w:vAlign w:val="center"/>
          </w:tcPr>
          <w:p w14:paraId="5C6718E8"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115.23</w:t>
            </w:r>
          </w:p>
        </w:tc>
      </w:tr>
      <w:tr w:rsidR="006F605B" w:rsidRPr="00DC66CD" w14:paraId="6BAE14DC"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213355A4"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14. Property income</w:t>
            </w:r>
          </w:p>
        </w:tc>
        <w:tc>
          <w:tcPr>
            <w:tcW w:w="236" w:type="dxa"/>
            <w:tcBorders>
              <w:top w:val="nil"/>
              <w:left w:val="nil"/>
              <w:bottom w:val="dotted" w:sz="4" w:space="0" w:color="auto"/>
              <w:right w:val="single" w:sz="8" w:space="0" w:color="auto"/>
            </w:tcBorders>
            <w:shd w:val="clear" w:color="000000" w:fill="FFFFFF"/>
            <w:vAlign w:val="center"/>
            <w:hideMark/>
          </w:tcPr>
          <w:p w14:paraId="496927C1"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6226F346"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D4</w:t>
            </w:r>
          </w:p>
        </w:tc>
        <w:tc>
          <w:tcPr>
            <w:tcW w:w="900" w:type="dxa"/>
            <w:tcBorders>
              <w:top w:val="nil"/>
              <w:left w:val="nil"/>
              <w:bottom w:val="dotted" w:sz="4" w:space="0" w:color="auto"/>
              <w:right w:val="dotted" w:sz="4" w:space="0" w:color="auto"/>
            </w:tcBorders>
            <w:shd w:val="clear" w:color="000000" w:fill="FFFFFF"/>
            <w:vAlign w:val="center"/>
          </w:tcPr>
          <w:p w14:paraId="0B4FAE4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0.04</w:t>
            </w:r>
          </w:p>
        </w:tc>
        <w:tc>
          <w:tcPr>
            <w:tcW w:w="900" w:type="dxa"/>
            <w:tcBorders>
              <w:top w:val="nil"/>
              <w:left w:val="nil"/>
              <w:bottom w:val="dotted" w:sz="4" w:space="0" w:color="auto"/>
              <w:right w:val="dotted" w:sz="4" w:space="0" w:color="auto"/>
            </w:tcBorders>
            <w:shd w:val="clear" w:color="000000" w:fill="FFFFFF"/>
            <w:vAlign w:val="center"/>
          </w:tcPr>
          <w:p w14:paraId="0ADEB311"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0.29</w:t>
            </w:r>
          </w:p>
        </w:tc>
        <w:tc>
          <w:tcPr>
            <w:tcW w:w="900" w:type="dxa"/>
            <w:tcBorders>
              <w:top w:val="nil"/>
              <w:left w:val="nil"/>
              <w:bottom w:val="dotted" w:sz="4" w:space="0" w:color="auto"/>
              <w:right w:val="dotted" w:sz="4" w:space="0" w:color="auto"/>
            </w:tcBorders>
            <w:shd w:val="clear" w:color="000000" w:fill="FFFFFF"/>
            <w:vAlign w:val="center"/>
          </w:tcPr>
          <w:p w14:paraId="1C8846A7"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0.50</w:t>
            </w:r>
          </w:p>
        </w:tc>
        <w:tc>
          <w:tcPr>
            <w:tcW w:w="900" w:type="dxa"/>
            <w:tcBorders>
              <w:top w:val="nil"/>
              <w:left w:val="nil"/>
              <w:bottom w:val="dotted" w:sz="4" w:space="0" w:color="auto"/>
              <w:right w:val="dotted" w:sz="4" w:space="0" w:color="auto"/>
            </w:tcBorders>
            <w:shd w:val="clear" w:color="000000" w:fill="FFFFFF"/>
            <w:vAlign w:val="center"/>
          </w:tcPr>
          <w:p w14:paraId="330B4657"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0.30</w:t>
            </w:r>
          </w:p>
        </w:tc>
        <w:tc>
          <w:tcPr>
            <w:tcW w:w="900" w:type="dxa"/>
            <w:tcBorders>
              <w:top w:val="nil"/>
              <w:left w:val="nil"/>
              <w:bottom w:val="dotted" w:sz="4" w:space="0" w:color="auto"/>
              <w:right w:val="double" w:sz="6" w:space="0" w:color="auto"/>
            </w:tcBorders>
            <w:shd w:val="clear" w:color="000000" w:fill="FFFFFF"/>
            <w:vAlign w:val="center"/>
          </w:tcPr>
          <w:p w14:paraId="529650FE"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0.50</w:t>
            </w:r>
          </w:p>
        </w:tc>
      </w:tr>
      <w:tr w:rsidR="006F605B" w:rsidRPr="00DC66CD" w14:paraId="2BC65700"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10632E0A"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15. Other (15 = 16-(12+13+14))</w:t>
            </w:r>
            <w:r w:rsidRPr="00DC66CD">
              <w:rPr>
                <w:rStyle w:val="FootnoteReference"/>
                <w:rFonts w:ascii="Garamond" w:hAnsi="Garamond"/>
                <w:color w:val="0D0D0D" w:themeColor="text1" w:themeTint="F2"/>
                <w:sz w:val="18"/>
                <w:szCs w:val="18"/>
              </w:rPr>
              <w:footnoteReference w:id="57"/>
            </w:r>
          </w:p>
        </w:tc>
        <w:tc>
          <w:tcPr>
            <w:tcW w:w="236" w:type="dxa"/>
            <w:tcBorders>
              <w:top w:val="nil"/>
              <w:left w:val="nil"/>
              <w:bottom w:val="dotted" w:sz="4" w:space="0" w:color="auto"/>
              <w:right w:val="single" w:sz="8" w:space="0" w:color="auto"/>
            </w:tcBorders>
            <w:shd w:val="clear" w:color="000000" w:fill="FFFFFF"/>
            <w:vAlign w:val="center"/>
            <w:hideMark/>
          </w:tcPr>
          <w:p w14:paraId="47EA01AF"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774F7E6C"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900" w:type="dxa"/>
            <w:tcBorders>
              <w:top w:val="nil"/>
              <w:left w:val="nil"/>
              <w:bottom w:val="dotted" w:sz="4" w:space="0" w:color="auto"/>
              <w:right w:val="dotted" w:sz="4" w:space="0" w:color="auto"/>
            </w:tcBorders>
            <w:shd w:val="clear" w:color="000000" w:fill="FFFFFF"/>
            <w:vAlign w:val="center"/>
          </w:tcPr>
          <w:p w14:paraId="3FB1EBF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87.18</w:t>
            </w:r>
          </w:p>
        </w:tc>
        <w:tc>
          <w:tcPr>
            <w:tcW w:w="900" w:type="dxa"/>
            <w:tcBorders>
              <w:top w:val="nil"/>
              <w:left w:val="nil"/>
              <w:bottom w:val="dotted" w:sz="4" w:space="0" w:color="auto"/>
              <w:right w:val="dotted" w:sz="4" w:space="0" w:color="auto"/>
            </w:tcBorders>
            <w:shd w:val="clear" w:color="000000" w:fill="FFFFFF"/>
            <w:vAlign w:val="center"/>
          </w:tcPr>
          <w:p w14:paraId="27B76BB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86.78</w:t>
            </w:r>
          </w:p>
        </w:tc>
        <w:tc>
          <w:tcPr>
            <w:tcW w:w="900" w:type="dxa"/>
            <w:tcBorders>
              <w:top w:val="nil"/>
              <w:left w:val="nil"/>
              <w:bottom w:val="dotted" w:sz="4" w:space="0" w:color="auto"/>
              <w:right w:val="dotted" w:sz="4" w:space="0" w:color="auto"/>
            </w:tcBorders>
            <w:shd w:val="clear" w:color="000000" w:fill="FFFFFF"/>
            <w:vAlign w:val="center"/>
          </w:tcPr>
          <w:p w14:paraId="42ACB37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106.18</w:t>
            </w:r>
          </w:p>
        </w:tc>
        <w:tc>
          <w:tcPr>
            <w:tcW w:w="900" w:type="dxa"/>
            <w:tcBorders>
              <w:top w:val="nil"/>
              <w:left w:val="nil"/>
              <w:bottom w:val="dotted" w:sz="4" w:space="0" w:color="auto"/>
              <w:right w:val="dotted" w:sz="4" w:space="0" w:color="auto"/>
            </w:tcBorders>
            <w:shd w:val="clear" w:color="000000" w:fill="FFFFFF"/>
            <w:vAlign w:val="center"/>
          </w:tcPr>
          <w:p w14:paraId="766D7720"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105.56</w:t>
            </w:r>
          </w:p>
        </w:tc>
        <w:tc>
          <w:tcPr>
            <w:tcW w:w="900" w:type="dxa"/>
            <w:tcBorders>
              <w:top w:val="nil"/>
              <w:left w:val="nil"/>
              <w:bottom w:val="dotted" w:sz="4" w:space="0" w:color="auto"/>
              <w:right w:val="double" w:sz="6" w:space="0" w:color="auto"/>
            </w:tcBorders>
            <w:shd w:val="clear" w:color="000000" w:fill="FFFFFF"/>
            <w:vAlign w:val="center"/>
          </w:tcPr>
          <w:p w14:paraId="60800ED8"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109.47</w:t>
            </w:r>
          </w:p>
        </w:tc>
      </w:tr>
      <w:tr w:rsidR="006F605B" w:rsidRPr="00DC66CD" w14:paraId="5600AEA6"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73046F5E"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xml:space="preserve">16 = 6. Total revenue </w:t>
            </w:r>
          </w:p>
        </w:tc>
        <w:tc>
          <w:tcPr>
            <w:tcW w:w="236" w:type="dxa"/>
            <w:tcBorders>
              <w:top w:val="nil"/>
              <w:left w:val="nil"/>
              <w:bottom w:val="nil"/>
              <w:right w:val="single" w:sz="8" w:space="0" w:color="auto"/>
            </w:tcBorders>
            <w:shd w:val="clear" w:color="000000" w:fill="FFFFFF"/>
            <w:vAlign w:val="center"/>
            <w:hideMark/>
          </w:tcPr>
          <w:p w14:paraId="0C315739"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5BEBD2BD"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TR</w:t>
            </w:r>
          </w:p>
        </w:tc>
        <w:tc>
          <w:tcPr>
            <w:tcW w:w="900" w:type="dxa"/>
            <w:tcBorders>
              <w:top w:val="nil"/>
              <w:left w:val="nil"/>
              <w:bottom w:val="dotted" w:sz="4" w:space="0" w:color="auto"/>
              <w:right w:val="dotted" w:sz="4" w:space="0" w:color="auto"/>
            </w:tcBorders>
            <w:shd w:val="clear" w:color="000000" w:fill="FFFFFF"/>
            <w:vAlign w:val="center"/>
          </w:tcPr>
          <w:p w14:paraId="01007CD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449.91</w:t>
            </w:r>
          </w:p>
        </w:tc>
        <w:tc>
          <w:tcPr>
            <w:tcW w:w="900" w:type="dxa"/>
            <w:tcBorders>
              <w:top w:val="nil"/>
              <w:left w:val="nil"/>
              <w:bottom w:val="dotted" w:sz="4" w:space="0" w:color="auto"/>
              <w:right w:val="dotted" w:sz="4" w:space="0" w:color="auto"/>
            </w:tcBorders>
            <w:shd w:val="clear" w:color="000000" w:fill="FFFFFF"/>
            <w:vAlign w:val="center"/>
          </w:tcPr>
          <w:p w14:paraId="0AC3332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462.47</w:t>
            </w:r>
          </w:p>
        </w:tc>
        <w:tc>
          <w:tcPr>
            <w:tcW w:w="900" w:type="dxa"/>
            <w:tcBorders>
              <w:top w:val="nil"/>
              <w:left w:val="nil"/>
              <w:bottom w:val="dotted" w:sz="4" w:space="0" w:color="auto"/>
              <w:right w:val="dotted" w:sz="4" w:space="0" w:color="auto"/>
            </w:tcBorders>
            <w:shd w:val="clear" w:color="000000" w:fill="FFFFFF"/>
            <w:vAlign w:val="center"/>
          </w:tcPr>
          <w:p w14:paraId="7D8F4014"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509.67</w:t>
            </w:r>
          </w:p>
        </w:tc>
        <w:tc>
          <w:tcPr>
            <w:tcW w:w="900" w:type="dxa"/>
            <w:tcBorders>
              <w:top w:val="nil"/>
              <w:left w:val="nil"/>
              <w:bottom w:val="dotted" w:sz="4" w:space="0" w:color="auto"/>
              <w:right w:val="dotted" w:sz="4" w:space="0" w:color="auto"/>
            </w:tcBorders>
            <w:shd w:val="clear" w:color="000000" w:fill="FFFFFF"/>
            <w:vAlign w:val="center"/>
          </w:tcPr>
          <w:p w14:paraId="7B9A38D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520.38</w:t>
            </w:r>
          </w:p>
        </w:tc>
        <w:tc>
          <w:tcPr>
            <w:tcW w:w="900" w:type="dxa"/>
            <w:tcBorders>
              <w:top w:val="nil"/>
              <w:left w:val="nil"/>
              <w:bottom w:val="dotted" w:sz="4" w:space="0" w:color="auto"/>
              <w:right w:val="double" w:sz="6" w:space="0" w:color="auto"/>
            </w:tcBorders>
            <w:shd w:val="clear" w:color="000000" w:fill="FFFFFF"/>
            <w:vAlign w:val="center"/>
          </w:tcPr>
          <w:p w14:paraId="66834BD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549.52</w:t>
            </w:r>
          </w:p>
        </w:tc>
      </w:tr>
      <w:tr w:rsidR="006F605B" w:rsidRPr="00DC66CD" w14:paraId="647F803C" w14:textId="77777777" w:rsidTr="00E372C0">
        <w:trPr>
          <w:trHeight w:val="420"/>
        </w:trPr>
        <w:tc>
          <w:tcPr>
            <w:tcW w:w="4163" w:type="dxa"/>
            <w:tcBorders>
              <w:top w:val="nil"/>
              <w:left w:val="double" w:sz="6" w:space="0" w:color="auto"/>
              <w:bottom w:val="single" w:sz="8" w:space="0" w:color="auto"/>
              <w:right w:val="nil"/>
            </w:tcBorders>
            <w:shd w:val="clear" w:color="auto" w:fill="auto"/>
            <w:noWrap/>
            <w:vAlign w:val="bottom"/>
            <w:hideMark/>
          </w:tcPr>
          <w:p w14:paraId="7338FDB4"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p.m.: Tax burden (D2+D5+D61+D91-D995)</w:t>
            </w:r>
            <w:r w:rsidRPr="00DC66CD">
              <w:rPr>
                <w:rStyle w:val="FootnoteReference"/>
                <w:rFonts w:ascii="Garamond" w:hAnsi="Garamond"/>
                <w:color w:val="0D0D0D" w:themeColor="text1" w:themeTint="F2"/>
                <w:sz w:val="18"/>
                <w:szCs w:val="18"/>
              </w:rPr>
              <w:footnoteReference w:id="58"/>
            </w:r>
          </w:p>
        </w:tc>
        <w:tc>
          <w:tcPr>
            <w:tcW w:w="236" w:type="dxa"/>
            <w:tcBorders>
              <w:top w:val="dotted" w:sz="4" w:space="0" w:color="auto"/>
              <w:left w:val="nil"/>
              <w:bottom w:val="single" w:sz="8" w:space="0" w:color="auto"/>
              <w:right w:val="single" w:sz="8" w:space="0" w:color="auto"/>
            </w:tcBorders>
            <w:shd w:val="clear" w:color="000000" w:fill="FFFFFF"/>
            <w:vAlign w:val="center"/>
            <w:hideMark/>
          </w:tcPr>
          <w:p w14:paraId="6C69D5B4"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single" w:sz="8" w:space="0" w:color="000000"/>
              <w:right w:val="single" w:sz="8" w:space="0" w:color="auto"/>
            </w:tcBorders>
            <w:shd w:val="clear" w:color="000000" w:fill="FFFFFF"/>
            <w:vAlign w:val="center"/>
            <w:hideMark/>
          </w:tcPr>
          <w:p w14:paraId="33384936"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900" w:type="dxa"/>
            <w:tcBorders>
              <w:top w:val="nil"/>
              <w:left w:val="nil"/>
              <w:bottom w:val="single" w:sz="8" w:space="0" w:color="000000"/>
              <w:right w:val="dotted" w:sz="4" w:space="0" w:color="auto"/>
            </w:tcBorders>
            <w:shd w:val="clear" w:color="000000" w:fill="FFFFFF"/>
            <w:vAlign w:val="center"/>
          </w:tcPr>
          <w:p w14:paraId="115D68F9"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362.69</w:t>
            </w:r>
          </w:p>
        </w:tc>
        <w:tc>
          <w:tcPr>
            <w:tcW w:w="900" w:type="dxa"/>
            <w:tcBorders>
              <w:top w:val="nil"/>
              <w:left w:val="nil"/>
              <w:bottom w:val="single" w:sz="8" w:space="0" w:color="000000"/>
              <w:right w:val="dotted" w:sz="4" w:space="0" w:color="auto"/>
            </w:tcBorders>
            <w:shd w:val="clear" w:color="000000" w:fill="FFFFFF"/>
            <w:vAlign w:val="center"/>
          </w:tcPr>
          <w:p w14:paraId="4790CF74"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375.40</w:t>
            </w:r>
          </w:p>
        </w:tc>
        <w:tc>
          <w:tcPr>
            <w:tcW w:w="900" w:type="dxa"/>
            <w:tcBorders>
              <w:top w:val="nil"/>
              <w:left w:val="nil"/>
              <w:bottom w:val="single" w:sz="8" w:space="0" w:color="000000"/>
              <w:right w:val="dotted" w:sz="4" w:space="0" w:color="auto"/>
            </w:tcBorders>
            <w:shd w:val="clear" w:color="000000" w:fill="FFFFFF"/>
            <w:vAlign w:val="center"/>
          </w:tcPr>
          <w:p w14:paraId="19737B6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403.00</w:t>
            </w:r>
          </w:p>
        </w:tc>
        <w:tc>
          <w:tcPr>
            <w:tcW w:w="900" w:type="dxa"/>
            <w:tcBorders>
              <w:top w:val="nil"/>
              <w:left w:val="nil"/>
              <w:bottom w:val="single" w:sz="8" w:space="0" w:color="000000"/>
              <w:right w:val="dotted" w:sz="4" w:space="0" w:color="auto"/>
            </w:tcBorders>
            <w:shd w:val="clear" w:color="000000" w:fill="FFFFFF"/>
            <w:vAlign w:val="center"/>
          </w:tcPr>
          <w:p w14:paraId="7E528F6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414.51</w:t>
            </w:r>
          </w:p>
        </w:tc>
        <w:tc>
          <w:tcPr>
            <w:tcW w:w="900" w:type="dxa"/>
            <w:tcBorders>
              <w:top w:val="nil"/>
              <w:left w:val="nil"/>
              <w:bottom w:val="single" w:sz="8" w:space="0" w:color="auto"/>
              <w:right w:val="double" w:sz="6" w:space="0" w:color="auto"/>
            </w:tcBorders>
            <w:shd w:val="clear" w:color="000000" w:fill="FFFFFF"/>
            <w:vAlign w:val="center"/>
          </w:tcPr>
          <w:p w14:paraId="4053A8C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439.55</w:t>
            </w:r>
          </w:p>
        </w:tc>
      </w:tr>
      <w:tr w:rsidR="006F605B" w:rsidRPr="00DC66CD" w14:paraId="7C9F5FDD"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0A676DBE"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17. Collective consumption</w:t>
            </w:r>
          </w:p>
        </w:tc>
        <w:tc>
          <w:tcPr>
            <w:tcW w:w="236" w:type="dxa"/>
            <w:tcBorders>
              <w:top w:val="nil"/>
              <w:left w:val="nil"/>
              <w:bottom w:val="dotted" w:sz="4" w:space="0" w:color="auto"/>
              <w:right w:val="single" w:sz="8" w:space="0" w:color="auto"/>
            </w:tcBorders>
            <w:shd w:val="clear" w:color="000000" w:fill="FFFFFF"/>
            <w:vAlign w:val="center"/>
            <w:hideMark/>
          </w:tcPr>
          <w:p w14:paraId="3CE9D3BC"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716CB899"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P32</w:t>
            </w:r>
          </w:p>
        </w:tc>
        <w:tc>
          <w:tcPr>
            <w:tcW w:w="900" w:type="dxa"/>
            <w:tcBorders>
              <w:top w:val="nil"/>
              <w:left w:val="nil"/>
              <w:bottom w:val="dotted" w:sz="4" w:space="0" w:color="auto"/>
              <w:right w:val="dotted" w:sz="4" w:space="0" w:color="auto"/>
            </w:tcBorders>
            <w:shd w:val="clear" w:color="000000" w:fill="FFFFFF"/>
            <w:vAlign w:val="center"/>
          </w:tcPr>
          <w:p w14:paraId="72F2B599" w14:textId="77777777" w:rsidR="006F605B" w:rsidRPr="00DC66CD" w:rsidRDefault="006F605B" w:rsidP="00131DA1">
            <w:pPr>
              <w:spacing w:after="0" w:line="240" w:lineRule="auto"/>
              <w:jc w:val="center"/>
              <w:rPr>
                <w:rFonts w:ascii="Garamond" w:eastAsia="Times New Roman" w:hAnsi="Garamond"/>
                <w:sz w:val="18"/>
                <w:szCs w:val="18"/>
              </w:rPr>
            </w:pPr>
            <w:r w:rsidRPr="00DC66CD">
              <w:rPr>
                <w:rFonts w:ascii="Garamond" w:hAnsi="Garamond"/>
                <w:sz w:val="18"/>
                <w:szCs w:val="18"/>
              </w:rPr>
              <w:t>153.29</w:t>
            </w:r>
          </w:p>
        </w:tc>
        <w:tc>
          <w:tcPr>
            <w:tcW w:w="900" w:type="dxa"/>
            <w:tcBorders>
              <w:top w:val="nil"/>
              <w:left w:val="nil"/>
              <w:bottom w:val="dotted" w:sz="4" w:space="0" w:color="auto"/>
              <w:right w:val="dotted" w:sz="4" w:space="0" w:color="auto"/>
            </w:tcBorders>
            <w:shd w:val="clear" w:color="000000" w:fill="FFFFFF"/>
            <w:vAlign w:val="center"/>
          </w:tcPr>
          <w:p w14:paraId="642D9DB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160.06</w:t>
            </w:r>
          </w:p>
        </w:tc>
        <w:tc>
          <w:tcPr>
            <w:tcW w:w="900" w:type="dxa"/>
            <w:tcBorders>
              <w:top w:val="nil"/>
              <w:left w:val="nil"/>
              <w:bottom w:val="dotted" w:sz="4" w:space="0" w:color="auto"/>
              <w:right w:val="dotted" w:sz="4" w:space="0" w:color="auto"/>
            </w:tcBorders>
            <w:shd w:val="clear" w:color="000000" w:fill="FFFFFF"/>
            <w:vAlign w:val="center"/>
          </w:tcPr>
          <w:p w14:paraId="4507C441"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169.60</w:t>
            </w:r>
          </w:p>
        </w:tc>
        <w:tc>
          <w:tcPr>
            <w:tcW w:w="900" w:type="dxa"/>
            <w:tcBorders>
              <w:top w:val="nil"/>
              <w:left w:val="nil"/>
              <w:bottom w:val="dotted" w:sz="4" w:space="0" w:color="auto"/>
              <w:right w:val="dotted" w:sz="4" w:space="0" w:color="auto"/>
            </w:tcBorders>
            <w:shd w:val="clear" w:color="000000" w:fill="FFFFFF"/>
            <w:vAlign w:val="center"/>
          </w:tcPr>
          <w:p w14:paraId="5600BE7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175.99</w:t>
            </w:r>
          </w:p>
        </w:tc>
        <w:tc>
          <w:tcPr>
            <w:tcW w:w="900" w:type="dxa"/>
            <w:tcBorders>
              <w:top w:val="nil"/>
              <w:left w:val="nil"/>
              <w:bottom w:val="dotted" w:sz="4" w:space="0" w:color="auto"/>
              <w:right w:val="double" w:sz="6" w:space="0" w:color="auto"/>
            </w:tcBorders>
            <w:shd w:val="clear" w:color="000000" w:fill="FFFFFF"/>
            <w:vAlign w:val="center"/>
          </w:tcPr>
          <w:p w14:paraId="7598A92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182.64</w:t>
            </w:r>
          </w:p>
        </w:tc>
      </w:tr>
      <w:tr w:rsidR="006F605B" w:rsidRPr="00DC66CD" w14:paraId="27F71027"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092DA1CA"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18. Total social transfers</w:t>
            </w:r>
          </w:p>
        </w:tc>
        <w:tc>
          <w:tcPr>
            <w:tcW w:w="236" w:type="dxa"/>
            <w:tcBorders>
              <w:top w:val="nil"/>
              <w:left w:val="nil"/>
              <w:bottom w:val="dotted" w:sz="4" w:space="0" w:color="auto"/>
              <w:right w:val="single" w:sz="8" w:space="0" w:color="auto"/>
            </w:tcBorders>
            <w:shd w:val="clear" w:color="000000" w:fill="FFFFFF"/>
            <w:vAlign w:val="center"/>
            <w:hideMark/>
          </w:tcPr>
          <w:p w14:paraId="36A489A4"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61412873"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D62 + D63</w:t>
            </w:r>
          </w:p>
        </w:tc>
        <w:tc>
          <w:tcPr>
            <w:tcW w:w="900" w:type="dxa"/>
            <w:tcBorders>
              <w:top w:val="nil"/>
              <w:left w:val="nil"/>
              <w:bottom w:val="dotted" w:sz="4" w:space="0" w:color="auto"/>
              <w:right w:val="dotted" w:sz="4" w:space="0" w:color="auto"/>
            </w:tcBorders>
            <w:shd w:val="clear" w:color="000000" w:fill="FFFFFF"/>
            <w:vAlign w:val="center"/>
          </w:tcPr>
          <w:p w14:paraId="1BB9B5B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190.25</w:t>
            </w:r>
          </w:p>
        </w:tc>
        <w:tc>
          <w:tcPr>
            <w:tcW w:w="900" w:type="dxa"/>
            <w:tcBorders>
              <w:top w:val="nil"/>
              <w:left w:val="nil"/>
              <w:bottom w:val="dotted" w:sz="4" w:space="0" w:color="auto"/>
              <w:right w:val="dotted" w:sz="4" w:space="0" w:color="auto"/>
            </w:tcBorders>
            <w:shd w:val="clear" w:color="000000" w:fill="FFFFFF"/>
            <w:vAlign w:val="center"/>
          </w:tcPr>
          <w:p w14:paraId="3E7E1E6E"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202.29</w:t>
            </w:r>
          </w:p>
        </w:tc>
        <w:tc>
          <w:tcPr>
            <w:tcW w:w="900" w:type="dxa"/>
            <w:tcBorders>
              <w:top w:val="nil"/>
              <w:left w:val="nil"/>
              <w:bottom w:val="dotted" w:sz="4" w:space="0" w:color="auto"/>
              <w:right w:val="dotted" w:sz="4" w:space="0" w:color="auto"/>
            </w:tcBorders>
            <w:shd w:val="clear" w:color="000000" w:fill="FFFFFF"/>
            <w:vAlign w:val="center"/>
          </w:tcPr>
          <w:p w14:paraId="076224BA"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213.19</w:t>
            </w:r>
          </w:p>
        </w:tc>
        <w:tc>
          <w:tcPr>
            <w:tcW w:w="900" w:type="dxa"/>
            <w:tcBorders>
              <w:top w:val="nil"/>
              <w:left w:val="nil"/>
              <w:bottom w:val="dotted" w:sz="4" w:space="0" w:color="auto"/>
              <w:right w:val="dotted" w:sz="4" w:space="0" w:color="auto"/>
            </w:tcBorders>
            <w:shd w:val="clear" w:color="000000" w:fill="FFFFFF"/>
            <w:vAlign w:val="center"/>
          </w:tcPr>
          <w:p w14:paraId="5B27A0FA"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221.79</w:t>
            </w:r>
          </w:p>
        </w:tc>
        <w:tc>
          <w:tcPr>
            <w:tcW w:w="900" w:type="dxa"/>
            <w:tcBorders>
              <w:top w:val="nil"/>
              <w:left w:val="nil"/>
              <w:bottom w:val="dotted" w:sz="4" w:space="0" w:color="auto"/>
              <w:right w:val="double" w:sz="6" w:space="0" w:color="auto"/>
            </w:tcBorders>
            <w:shd w:val="clear" w:color="000000" w:fill="FFFFFF"/>
            <w:vAlign w:val="center"/>
          </w:tcPr>
          <w:p w14:paraId="1A57738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230.74</w:t>
            </w:r>
          </w:p>
        </w:tc>
      </w:tr>
      <w:tr w:rsidR="006F605B" w:rsidRPr="00DC66CD" w14:paraId="77D42408" w14:textId="77777777" w:rsidTr="00E372C0">
        <w:trPr>
          <w:trHeight w:val="420"/>
        </w:trPr>
        <w:tc>
          <w:tcPr>
            <w:tcW w:w="4163" w:type="dxa"/>
            <w:tcBorders>
              <w:top w:val="dotted" w:sz="4" w:space="0" w:color="auto"/>
              <w:left w:val="double" w:sz="6" w:space="0" w:color="auto"/>
              <w:bottom w:val="dotted" w:sz="4" w:space="0" w:color="auto"/>
              <w:right w:val="nil"/>
            </w:tcBorders>
            <w:shd w:val="clear" w:color="000000" w:fill="FFFFFF"/>
            <w:vAlign w:val="center"/>
            <w:hideMark/>
          </w:tcPr>
          <w:p w14:paraId="4C337E69"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18a. Social transfers in kind</w:t>
            </w:r>
          </w:p>
        </w:tc>
        <w:tc>
          <w:tcPr>
            <w:tcW w:w="236" w:type="dxa"/>
            <w:tcBorders>
              <w:top w:val="dotted" w:sz="4" w:space="0" w:color="auto"/>
              <w:left w:val="nil"/>
              <w:bottom w:val="dotted" w:sz="4" w:space="0" w:color="auto"/>
              <w:right w:val="single" w:sz="8" w:space="0" w:color="auto"/>
            </w:tcBorders>
            <w:shd w:val="clear" w:color="000000" w:fill="FFFFFF"/>
            <w:vAlign w:val="center"/>
            <w:hideMark/>
          </w:tcPr>
          <w:p w14:paraId="6E855E9B"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dotted" w:sz="4" w:space="0" w:color="auto"/>
              <w:left w:val="nil"/>
              <w:bottom w:val="dotted" w:sz="4" w:space="0" w:color="auto"/>
              <w:right w:val="single" w:sz="8" w:space="0" w:color="auto"/>
            </w:tcBorders>
            <w:shd w:val="clear" w:color="000000" w:fill="FFFFFF"/>
            <w:vAlign w:val="center"/>
            <w:hideMark/>
          </w:tcPr>
          <w:p w14:paraId="0D8B3FB2"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P31 = D63</w:t>
            </w:r>
          </w:p>
        </w:tc>
        <w:tc>
          <w:tcPr>
            <w:tcW w:w="900" w:type="dxa"/>
            <w:tcBorders>
              <w:top w:val="nil"/>
              <w:left w:val="nil"/>
              <w:bottom w:val="dotted" w:sz="4" w:space="0" w:color="auto"/>
              <w:right w:val="dotted" w:sz="4" w:space="0" w:color="auto"/>
            </w:tcBorders>
            <w:shd w:val="clear" w:color="000000" w:fill="FFFFFF"/>
            <w:vAlign w:val="center"/>
          </w:tcPr>
          <w:p w14:paraId="32174BF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dotted" w:sz="4" w:space="0" w:color="auto"/>
              <w:right w:val="dotted" w:sz="4" w:space="0" w:color="auto"/>
            </w:tcBorders>
            <w:shd w:val="clear" w:color="000000" w:fill="FFFFFF"/>
            <w:vAlign w:val="center"/>
          </w:tcPr>
          <w:p w14:paraId="42CABE7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dotted" w:sz="4" w:space="0" w:color="auto"/>
              <w:right w:val="dotted" w:sz="4" w:space="0" w:color="auto"/>
            </w:tcBorders>
            <w:shd w:val="clear" w:color="000000" w:fill="FFFFFF"/>
            <w:vAlign w:val="center"/>
          </w:tcPr>
          <w:p w14:paraId="76FAA73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dotted" w:sz="4" w:space="0" w:color="auto"/>
              <w:right w:val="dotted" w:sz="4" w:space="0" w:color="auto"/>
            </w:tcBorders>
            <w:shd w:val="clear" w:color="000000" w:fill="FFFFFF"/>
            <w:vAlign w:val="center"/>
          </w:tcPr>
          <w:p w14:paraId="08EEA33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c>
          <w:tcPr>
            <w:tcW w:w="900" w:type="dxa"/>
            <w:tcBorders>
              <w:top w:val="nil"/>
              <w:left w:val="nil"/>
              <w:bottom w:val="dotted" w:sz="4" w:space="0" w:color="auto"/>
              <w:right w:val="double" w:sz="6" w:space="0" w:color="auto"/>
            </w:tcBorders>
            <w:shd w:val="clear" w:color="000000" w:fill="FFFFFF"/>
            <w:vAlign w:val="center"/>
          </w:tcPr>
          <w:p w14:paraId="45F8E0C8"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w:t>
            </w:r>
          </w:p>
        </w:tc>
      </w:tr>
      <w:tr w:rsidR="006F605B" w:rsidRPr="00DC66CD" w14:paraId="42C5E9EE" w14:textId="77777777" w:rsidTr="00E372C0">
        <w:trPr>
          <w:trHeight w:val="420"/>
        </w:trPr>
        <w:tc>
          <w:tcPr>
            <w:tcW w:w="4163" w:type="dxa"/>
            <w:tcBorders>
              <w:top w:val="dotted" w:sz="4" w:space="0" w:color="auto"/>
              <w:left w:val="double" w:sz="6" w:space="0" w:color="auto"/>
              <w:bottom w:val="dotted" w:sz="4" w:space="0" w:color="auto"/>
              <w:right w:val="nil"/>
            </w:tcBorders>
            <w:shd w:val="clear" w:color="000000" w:fill="FFFFFF"/>
            <w:vAlign w:val="center"/>
            <w:hideMark/>
          </w:tcPr>
          <w:p w14:paraId="20773CC5"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18b. Social transfers other than in kind</w:t>
            </w:r>
          </w:p>
        </w:tc>
        <w:tc>
          <w:tcPr>
            <w:tcW w:w="236" w:type="dxa"/>
            <w:tcBorders>
              <w:top w:val="dotted" w:sz="4" w:space="0" w:color="auto"/>
              <w:left w:val="nil"/>
              <w:bottom w:val="dotted" w:sz="4" w:space="0" w:color="auto"/>
              <w:right w:val="single" w:sz="8" w:space="0" w:color="auto"/>
            </w:tcBorders>
            <w:shd w:val="clear" w:color="000000" w:fill="FFFFFF"/>
            <w:vAlign w:val="center"/>
            <w:hideMark/>
          </w:tcPr>
          <w:p w14:paraId="196320C5"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dotted" w:sz="4" w:space="0" w:color="auto"/>
              <w:left w:val="nil"/>
              <w:bottom w:val="dotted" w:sz="4" w:space="0" w:color="auto"/>
              <w:right w:val="single" w:sz="8" w:space="0" w:color="auto"/>
            </w:tcBorders>
            <w:shd w:val="clear" w:color="000000" w:fill="FFFFFF"/>
            <w:vAlign w:val="center"/>
            <w:hideMark/>
          </w:tcPr>
          <w:p w14:paraId="0AECD8D2"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D62</w:t>
            </w:r>
          </w:p>
        </w:tc>
        <w:tc>
          <w:tcPr>
            <w:tcW w:w="900" w:type="dxa"/>
            <w:tcBorders>
              <w:top w:val="nil"/>
              <w:left w:val="nil"/>
              <w:bottom w:val="dotted" w:sz="4" w:space="0" w:color="auto"/>
              <w:right w:val="dotted" w:sz="4" w:space="0" w:color="auto"/>
            </w:tcBorders>
            <w:shd w:val="clear" w:color="000000" w:fill="FFFFFF"/>
            <w:vAlign w:val="center"/>
          </w:tcPr>
          <w:p w14:paraId="3B46AD0E"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190.25</w:t>
            </w:r>
          </w:p>
        </w:tc>
        <w:tc>
          <w:tcPr>
            <w:tcW w:w="900" w:type="dxa"/>
            <w:tcBorders>
              <w:top w:val="nil"/>
              <w:left w:val="nil"/>
              <w:bottom w:val="dotted" w:sz="4" w:space="0" w:color="auto"/>
              <w:right w:val="dotted" w:sz="4" w:space="0" w:color="auto"/>
            </w:tcBorders>
            <w:shd w:val="clear" w:color="000000" w:fill="FFFFFF"/>
            <w:vAlign w:val="center"/>
          </w:tcPr>
          <w:p w14:paraId="2169D7D7"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202.29</w:t>
            </w:r>
          </w:p>
        </w:tc>
        <w:tc>
          <w:tcPr>
            <w:tcW w:w="900" w:type="dxa"/>
            <w:tcBorders>
              <w:top w:val="nil"/>
              <w:left w:val="nil"/>
              <w:bottom w:val="dotted" w:sz="4" w:space="0" w:color="auto"/>
              <w:right w:val="dotted" w:sz="4" w:space="0" w:color="auto"/>
            </w:tcBorders>
            <w:shd w:val="clear" w:color="000000" w:fill="FFFFFF"/>
            <w:vAlign w:val="center"/>
          </w:tcPr>
          <w:p w14:paraId="748A2034"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213.19</w:t>
            </w:r>
          </w:p>
        </w:tc>
        <w:tc>
          <w:tcPr>
            <w:tcW w:w="900" w:type="dxa"/>
            <w:tcBorders>
              <w:top w:val="nil"/>
              <w:left w:val="nil"/>
              <w:bottom w:val="dotted" w:sz="4" w:space="0" w:color="auto"/>
              <w:right w:val="dotted" w:sz="4" w:space="0" w:color="auto"/>
            </w:tcBorders>
            <w:shd w:val="clear" w:color="000000" w:fill="FFFFFF"/>
            <w:vAlign w:val="center"/>
          </w:tcPr>
          <w:p w14:paraId="7202679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221.79</w:t>
            </w:r>
          </w:p>
        </w:tc>
        <w:tc>
          <w:tcPr>
            <w:tcW w:w="900" w:type="dxa"/>
            <w:tcBorders>
              <w:top w:val="nil"/>
              <w:left w:val="nil"/>
              <w:bottom w:val="dotted" w:sz="4" w:space="0" w:color="auto"/>
              <w:right w:val="double" w:sz="6" w:space="0" w:color="auto"/>
            </w:tcBorders>
            <w:shd w:val="clear" w:color="000000" w:fill="FFFFFF"/>
            <w:vAlign w:val="center"/>
          </w:tcPr>
          <w:p w14:paraId="614C2F78"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230.74</w:t>
            </w:r>
          </w:p>
        </w:tc>
      </w:tr>
      <w:tr w:rsidR="006F605B" w:rsidRPr="00DC66CD" w14:paraId="258C54CA"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3DAC3969"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xml:space="preserve">19 = 9. Interest expenditure </w:t>
            </w:r>
          </w:p>
        </w:tc>
        <w:tc>
          <w:tcPr>
            <w:tcW w:w="236" w:type="dxa"/>
            <w:tcBorders>
              <w:top w:val="nil"/>
              <w:left w:val="nil"/>
              <w:bottom w:val="dotted" w:sz="4" w:space="0" w:color="auto"/>
              <w:right w:val="single" w:sz="8" w:space="0" w:color="auto"/>
            </w:tcBorders>
            <w:shd w:val="clear" w:color="000000" w:fill="FFFFFF"/>
            <w:vAlign w:val="center"/>
            <w:hideMark/>
          </w:tcPr>
          <w:p w14:paraId="132344D8"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4B14C1D3"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EDP.D41</w:t>
            </w:r>
          </w:p>
        </w:tc>
        <w:tc>
          <w:tcPr>
            <w:tcW w:w="900" w:type="dxa"/>
            <w:tcBorders>
              <w:top w:val="nil"/>
              <w:left w:val="nil"/>
              <w:bottom w:val="dotted" w:sz="4" w:space="0" w:color="auto"/>
              <w:right w:val="dotted" w:sz="4" w:space="0" w:color="auto"/>
            </w:tcBorders>
            <w:shd w:val="clear" w:color="000000" w:fill="FFFFFF"/>
            <w:vAlign w:val="center"/>
          </w:tcPr>
          <w:p w14:paraId="765C8DB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36.51</w:t>
            </w:r>
          </w:p>
        </w:tc>
        <w:tc>
          <w:tcPr>
            <w:tcW w:w="900" w:type="dxa"/>
            <w:tcBorders>
              <w:top w:val="nil"/>
              <w:left w:val="nil"/>
              <w:bottom w:val="dotted" w:sz="4" w:space="0" w:color="auto"/>
              <w:right w:val="dotted" w:sz="4" w:space="0" w:color="auto"/>
            </w:tcBorders>
            <w:shd w:val="clear" w:color="000000" w:fill="FFFFFF"/>
            <w:vAlign w:val="center"/>
          </w:tcPr>
          <w:p w14:paraId="57B4E1E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35.80</w:t>
            </w:r>
          </w:p>
        </w:tc>
        <w:tc>
          <w:tcPr>
            <w:tcW w:w="900" w:type="dxa"/>
            <w:tcBorders>
              <w:top w:val="nil"/>
              <w:left w:val="nil"/>
              <w:bottom w:val="dotted" w:sz="4" w:space="0" w:color="auto"/>
              <w:right w:val="dotted" w:sz="4" w:space="0" w:color="auto"/>
            </w:tcBorders>
            <w:shd w:val="clear" w:color="000000" w:fill="FFFFFF"/>
            <w:vAlign w:val="center"/>
          </w:tcPr>
          <w:p w14:paraId="514AEE5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40.95</w:t>
            </w:r>
          </w:p>
        </w:tc>
        <w:tc>
          <w:tcPr>
            <w:tcW w:w="900" w:type="dxa"/>
            <w:tcBorders>
              <w:top w:val="nil"/>
              <w:left w:val="nil"/>
              <w:bottom w:val="dotted" w:sz="4" w:space="0" w:color="auto"/>
              <w:right w:val="dotted" w:sz="4" w:space="0" w:color="auto"/>
            </w:tcBorders>
            <w:shd w:val="clear" w:color="000000" w:fill="FFFFFF"/>
            <w:vAlign w:val="center"/>
          </w:tcPr>
          <w:p w14:paraId="42A5C1B7"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46.11</w:t>
            </w:r>
          </w:p>
        </w:tc>
        <w:tc>
          <w:tcPr>
            <w:tcW w:w="900" w:type="dxa"/>
            <w:tcBorders>
              <w:top w:val="nil"/>
              <w:left w:val="nil"/>
              <w:bottom w:val="dotted" w:sz="4" w:space="0" w:color="auto"/>
              <w:right w:val="double" w:sz="6" w:space="0" w:color="auto"/>
            </w:tcBorders>
            <w:shd w:val="clear" w:color="000000" w:fill="FFFFFF"/>
            <w:vAlign w:val="center"/>
          </w:tcPr>
          <w:p w14:paraId="6C0561F8"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48.84</w:t>
            </w:r>
          </w:p>
        </w:tc>
      </w:tr>
      <w:tr w:rsidR="006F605B" w:rsidRPr="00DC66CD" w14:paraId="1D339B5C"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139DA03A"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20. Subsidies</w:t>
            </w:r>
          </w:p>
        </w:tc>
        <w:tc>
          <w:tcPr>
            <w:tcW w:w="236" w:type="dxa"/>
            <w:tcBorders>
              <w:top w:val="nil"/>
              <w:left w:val="nil"/>
              <w:bottom w:val="dotted" w:sz="4" w:space="0" w:color="auto"/>
              <w:right w:val="single" w:sz="8" w:space="0" w:color="auto"/>
            </w:tcBorders>
            <w:shd w:val="clear" w:color="000000" w:fill="FFFFFF"/>
            <w:vAlign w:val="center"/>
            <w:hideMark/>
          </w:tcPr>
          <w:p w14:paraId="2118988E"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47A13E00"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D3</w:t>
            </w:r>
          </w:p>
        </w:tc>
        <w:tc>
          <w:tcPr>
            <w:tcW w:w="900" w:type="dxa"/>
            <w:tcBorders>
              <w:top w:val="nil"/>
              <w:left w:val="nil"/>
              <w:bottom w:val="dotted" w:sz="4" w:space="0" w:color="auto"/>
              <w:right w:val="dotted" w:sz="4" w:space="0" w:color="auto"/>
            </w:tcBorders>
            <w:shd w:val="clear" w:color="000000" w:fill="FFFFFF"/>
            <w:vAlign w:val="center"/>
          </w:tcPr>
          <w:p w14:paraId="0FD46B9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1.88</w:t>
            </w:r>
          </w:p>
        </w:tc>
        <w:tc>
          <w:tcPr>
            <w:tcW w:w="900" w:type="dxa"/>
            <w:tcBorders>
              <w:top w:val="nil"/>
              <w:left w:val="nil"/>
              <w:bottom w:val="dotted" w:sz="4" w:space="0" w:color="auto"/>
              <w:right w:val="dotted" w:sz="4" w:space="0" w:color="auto"/>
            </w:tcBorders>
            <w:shd w:val="clear" w:color="000000" w:fill="FFFFFF"/>
            <w:vAlign w:val="center"/>
          </w:tcPr>
          <w:p w14:paraId="6330D879"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1.49</w:t>
            </w:r>
          </w:p>
        </w:tc>
        <w:tc>
          <w:tcPr>
            <w:tcW w:w="900" w:type="dxa"/>
            <w:tcBorders>
              <w:top w:val="nil"/>
              <w:left w:val="nil"/>
              <w:bottom w:val="dotted" w:sz="4" w:space="0" w:color="auto"/>
              <w:right w:val="dotted" w:sz="4" w:space="0" w:color="auto"/>
            </w:tcBorders>
            <w:shd w:val="clear" w:color="000000" w:fill="FFFFFF"/>
            <w:vAlign w:val="center"/>
          </w:tcPr>
          <w:p w14:paraId="63ED7884"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1.29</w:t>
            </w:r>
          </w:p>
        </w:tc>
        <w:tc>
          <w:tcPr>
            <w:tcW w:w="900" w:type="dxa"/>
            <w:tcBorders>
              <w:top w:val="nil"/>
              <w:left w:val="nil"/>
              <w:bottom w:val="dotted" w:sz="4" w:space="0" w:color="auto"/>
              <w:right w:val="dotted" w:sz="4" w:space="0" w:color="auto"/>
            </w:tcBorders>
            <w:shd w:val="clear" w:color="000000" w:fill="FFFFFF"/>
            <w:vAlign w:val="center"/>
          </w:tcPr>
          <w:p w14:paraId="283542A3"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1.49</w:t>
            </w:r>
          </w:p>
        </w:tc>
        <w:tc>
          <w:tcPr>
            <w:tcW w:w="900" w:type="dxa"/>
            <w:tcBorders>
              <w:top w:val="nil"/>
              <w:left w:val="nil"/>
              <w:bottom w:val="dotted" w:sz="4" w:space="0" w:color="auto"/>
              <w:right w:val="double" w:sz="6" w:space="0" w:color="auto"/>
            </w:tcBorders>
            <w:shd w:val="clear" w:color="000000" w:fill="FFFFFF"/>
            <w:vAlign w:val="center"/>
          </w:tcPr>
          <w:p w14:paraId="1E4A2329"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1.49</w:t>
            </w:r>
          </w:p>
        </w:tc>
      </w:tr>
      <w:tr w:rsidR="006F605B" w:rsidRPr="00DC66CD" w14:paraId="4E208A34"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5FDBEC7D"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21. Gross fixed capital formation</w:t>
            </w:r>
          </w:p>
        </w:tc>
        <w:tc>
          <w:tcPr>
            <w:tcW w:w="236" w:type="dxa"/>
            <w:tcBorders>
              <w:top w:val="nil"/>
              <w:left w:val="nil"/>
              <w:bottom w:val="dotted" w:sz="4" w:space="0" w:color="auto"/>
              <w:right w:val="single" w:sz="8" w:space="0" w:color="auto"/>
            </w:tcBorders>
            <w:shd w:val="clear" w:color="000000" w:fill="FFFFFF"/>
            <w:vAlign w:val="center"/>
            <w:hideMark/>
          </w:tcPr>
          <w:p w14:paraId="130C6FF9"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5F3060E6"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P51</w:t>
            </w:r>
          </w:p>
        </w:tc>
        <w:tc>
          <w:tcPr>
            <w:tcW w:w="900" w:type="dxa"/>
            <w:tcBorders>
              <w:top w:val="nil"/>
              <w:left w:val="nil"/>
              <w:bottom w:val="dotted" w:sz="4" w:space="0" w:color="auto"/>
              <w:right w:val="dotted" w:sz="4" w:space="0" w:color="auto"/>
            </w:tcBorders>
            <w:shd w:val="clear" w:color="000000" w:fill="FFFFFF"/>
            <w:vAlign w:val="center"/>
          </w:tcPr>
          <w:p w14:paraId="5E022F4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92.68</w:t>
            </w:r>
          </w:p>
        </w:tc>
        <w:tc>
          <w:tcPr>
            <w:tcW w:w="900" w:type="dxa"/>
            <w:tcBorders>
              <w:top w:val="nil"/>
              <w:left w:val="nil"/>
              <w:bottom w:val="dotted" w:sz="4" w:space="0" w:color="auto"/>
              <w:right w:val="dotted" w:sz="4" w:space="0" w:color="auto"/>
            </w:tcBorders>
            <w:shd w:val="clear" w:color="000000" w:fill="FFFFFF"/>
            <w:vAlign w:val="center"/>
          </w:tcPr>
          <w:p w14:paraId="14DD44F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94.43</w:t>
            </w:r>
          </w:p>
        </w:tc>
        <w:tc>
          <w:tcPr>
            <w:tcW w:w="900" w:type="dxa"/>
            <w:tcBorders>
              <w:top w:val="nil"/>
              <w:left w:val="nil"/>
              <w:bottom w:val="dotted" w:sz="4" w:space="0" w:color="auto"/>
              <w:right w:val="dotted" w:sz="4" w:space="0" w:color="auto"/>
            </w:tcBorders>
            <w:shd w:val="clear" w:color="000000" w:fill="FFFFFF"/>
            <w:vAlign w:val="center"/>
          </w:tcPr>
          <w:p w14:paraId="07AC513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121.31</w:t>
            </w:r>
          </w:p>
        </w:tc>
        <w:tc>
          <w:tcPr>
            <w:tcW w:w="900" w:type="dxa"/>
            <w:tcBorders>
              <w:top w:val="nil"/>
              <w:left w:val="nil"/>
              <w:bottom w:val="dotted" w:sz="4" w:space="0" w:color="auto"/>
              <w:right w:val="dotted" w:sz="4" w:space="0" w:color="auto"/>
            </w:tcBorders>
            <w:shd w:val="clear" w:color="000000" w:fill="FFFFFF"/>
            <w:vAlign w:val="center"/>
          </w:tcPr>
          <w:p w14:paraId="78B554E4"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108.71</w:t>
            </w:r>
          </w:p>
        </w:tc>
        <w:tc>
          <w:tcPr>
            <w:tcW w:w="900" w:type="dxa"/>
            <w:tcBorders>
              <w:top w:val="nil"/>
              <w:left w:val="nil"/>
              <w:bottom w:val="dotted" w:sz="4" w:space="0" w:color="auto"/>
              <w:right w:val="double" w:sz="6" w:space="0" w:color="auto"/>
            </w:tcBorders>
            <w:shd w:val="clear" w:color="000000" w:fill="FFFFFF"/>
            <w:vAlign w:val="center"/>
          </w:tcPr>
          <w:p w14:paraId="5F86B6D2"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115.29</w:t>
            </w:r>
          </w:p>
        </w:tc>
      </w:tr>
      <w:tr w:rsidR="006F605B" w:rsidRPr="00DC66CD" w14:paraId="187DA23C"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5162C6A7"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22. Other (21 = 22-(16+17+18+19+20)</w:t>
            </w:r>
            <w:r w:rsidRPr="00DC66CD">
              <w:rPr>
                <w:rStyle w:val="FootnoteReference"/>
                <w:rFonts w:ascii="Garamond" w:hAnsi="Garamond"/>
                <w:color w:val="0D0D0D" w:themeColor="text1" w:themeTint="F2"/>
                <w:sz w:val="18"/>
                <w:szCs w:val="18"/>
              </w:rPr>
              <w:footnoteReference w:id="59"/>
            </w:r>
          </w:p>
        </w:tc>
        <w:tc>
          <w:tcPr>
            <w:tcW w:w="236" w:type="dxa"/>
            <w:tcBorders>
              <w:top w:val="nil"/>
              <w:left w:val="nil"/>
              <w:bottom w:val="dotted" w:sz="4" w:space="0" w:color="auto"/>
              <w:right w:val="single" w:sz="8" w:space="0" w:color="auto"/>
            </w:tcBorders>
            <w:shd w:val="clear" w:color="000000" w:fill="FFFFFF"/>
            <w:vAlign w:val="center"/>
            <w:hideMark/>
          </w:tcPr>
          <w:p w14:paraId="556BE5BC"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27593ACF"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900" w:type="dxa"/>
            <w:tcBorders>
              <w:top w:val="nil"/>
              <w:left w:val="nil"/>
              <w:bottom w:val="dotted" w:sz="4" w:space="0" w:color="auto"/>
              <w:right w:val="dotted" w:sz="4" w:space="0" w:color="auto"/>
            </w:tcBorders>
            <w:shd w:val="clear" w:color="000000" w:fill="FFFFFF"/>
            <w:vAlign w:val="center"/>
          </w:tcPr>
          <w:p w14:paraId="2531E50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1.53</w:t>
            </w:r>
          </w:p>
        </w:tc>
        <w:tc>
          <w:tcPr>
            <w:tcW w:w="900" w:type="dxa"/>
            <w:tcBorders>
              <w:top w:val="nil"/>
              <w:left w:val="nil"/>
              <w:bottom w:val="dotted" w:sz="4" w:space="0" w:color="auto"/>
              <w:right w:val="dotted" w:sz="4" w:space="0" w:color="auto"/>
            </w:tcBorders>
            <w:shd w:val="clear" w:color="000000" w:fill="FFFFFF"/>
            <w:vAlign w:val="center"/>
          </w:tcPr>
          <w:p w14:paraId="062CF300"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1.29</w:t>
            </w:r>
          </w:p>
        </w:tc>
        <w:tc>
          <w:tcPr>
            <w:tcW w:w="900" w:type="dxa"/>
            <w:tcBorders>
              <w:top w:val="nil"/>
              <w:left w:val="nil"/>
              <w:bottom w:val="dotted" w:sz="4" w:space="0" w:color="auto"/>
              <w:right w:val="dotted" w:sz="4" w:space="0" w:color="auto"/>
            </w:tcBorders>
            <w:shd w:val="clear" w:color="000000" w:fill="FFFFFF"/>
            <w:vAlign w:val="center"/>
          </w:tcPr>
          <w:p w14:paraId="05730139"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3.03</w:t>
            </w:r>
          </w:p>
        </w:tc>
        <w:tc>
          <w:tcPr>
            <w:tcW w:w="900" w:type="dxa"/>
            <w:tcBorders>
              <w:top w:val="nil"/>
              <w:left w:val="nil"/>
              <w:bottom w:val="dotted" w:sz="4" w:space="0" w:color="auto"/>
              <w:right w:val="dotted" w:sz="4" w:space="0" w:color="auto"/>
            </w:tcBorders>
            <w:shd w:val="clear" w:color="000000" w:fill="FFFFFF"/>
            <w:vAlign w:val="center"/>
          </w:tcPr>
          <w:p w14:paraId="2802A05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3.16</w:t>
            </w:r>
          </w:p>
        </w:tc>
        <w:tc>
          <w:tcPr>
            <w:tcW w:w="900" w:type="dxa"/>
            <w:tcBorders>
              <w:top w:val="nil"/>
              <w:left w:val="nil"/>
              <w:bottom w:val="dotted" w:sz="4" w:space="0" w:color="auto"/>
              <w:right w:val="double" w:sz="6" w:space="0" w:color="auto"/>
            </w:tcBorders>
            <w:shd w:val="clear" w:color="000000" w:fill="FFFFFF"/>
            <w:vAlign w:val="center"/>
          </w:tcPr>
          <w:p w14:paraId="07CE82D4"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3.41</w:t>
            </w:r>
          </w:p>
        </w:tc>
      </w:tr>
      <w:tr w:rsidR="006F605B" w:rsidRPr="00DC66CD" w14:paraId="7B5F494F" w14:textId="77777777" w:rsidTr="00E372C0">
        <w:trPr>
          <w:trHeight w:val="420"/>
        </w:trPr>
        <w:tc>
          <w:tcPr>
            <w:tcW w:w="4163" w:type="dxa"/>
            <w:tcBorders>
              <w:top w:val="nil"/>
              <w:left w:val="double" w:sz="6" w:space="0" w:color="auto"/>
              <w:bottom w:val="dotted" w:sz="4" w:space="0" w:color="auto"/>
              <w:right w:val="nil"/>
            </w:tcBorders>
            <w:shd w:val="clear" w:color="000000" w:fill="FFFFFF"/>
            <w:vAlign w:val="center"/>
            <w:hideMark/>
          </w:tcPr>
          <w:p w14:paraId="26C59983"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xml:space="preserve">23. Total expenditures </w:t>
            </w:r>
          </w:p>
        </w:tc>
        <w:tc>
          <w:tcPr>
            <w:tcW w:w="236" w:type="dxa"/>
            <w:tcBorders>
              <w:top w:val="nil"/>
              <w:left w:val="nil"/>
              <w:bottom w:val="dotted" w:sz="4" w:space="0" w:color="auto"/>
              <w:right w:val="single" w:sz="8" w:space="0" w:color="auto"/>
            </w:tcBorders>
            <w:shd w:val="clear" w:color="000000" w:fill="FFFFFF"/>
            <w:vAlign w:val="center"/>
            <w:hideMark/>
          </w:tcPr>
          <w:p w14:paraId="059EF589"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tted" w:sz="4" w:space="0" w:color="auto"/>
              <w:right w:val="single" w:sz="8" w:space="0" w:color="auto"/>
            </w:tcBorders>
            <w:shd w:val="clear" w:color="000000" w:fill="FFFFFF"/>
            <w:vAlign w:val="center"/>
            <w:hideMark/>
          </w:tcPr>
          <w:p w14:paraId="3E3E2C10"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TE</w:t>
            </w:r>
            <w:r w:rsidRPr="00DC66CD">
              <w:rPr>
                <w:rStyle w:val="FootnoteReference"/>
                <w:rFonts w:ascii="Garamond" w:hAnsi="Garamond"/>
                <w:color w:val="0D0D0D" w:themeColor="text1" w:themeTint="F2"/>
                <w:sz w:val="18"/>
                <w:szCs w:val="18"/>
              </w:rPr>
              <w:footnoteReference w:id="60"/>
            </w:r>
          </w:p>
        </w:tc>
        <w:tc>
          <w:tcPr>
            <w:tcW w:w="900" w:type="dxa"/>
            <w:tcBorders>
              <w:top w:val="nil"/>
              <w:left w:val="nil"/>
              <w:bottom w:val="dotted" w:sz="4" w:space="0" w:color="auto"/>
              <w:right w:val="dotted" w:sz="4" w:space="0" w:color="auto"/>
            </w:tcBorders>
            <w:shd w:val="clear" w:color="000000" w:fill="FFFFFF"/>
            <w:vAlign w:val="center"/>
          </w:tcPr>
          <w:p w14:paraId="722D2A7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476.15</w:t>
            </w:r>
          </w:p>
        </w:tc>
        <w:tc>
          <w:tcPr>
            <w:tcW w:w="900" w:type="dxa"/>
            <w:tcBorders>
              <w:top w:val="nil"/>
              <w:left w:val="nil"/>
              <w:bottom w:val="dotted" w:sz="4" w:space="0" w:color="auto"/>
              <w:right w:val="dotted" w:sz="4" w:space="0" w:color="auto"/>
            </w:tcBorders>
            <w:shd w:val="clear" w:color="000000" w:fill="FFFFFF"/>
            <w:vAlign w:val="center"/>
          </w:tcPr>
          <w:p w14:paraId="49C404F5"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495.37</w:t>
            </w:r>
          </w:p>
        </w:tc>
        <w:tc>
          <w:tcPr>
            <w:tcW w:w="900" w:type="dxa"/>
            <w:tcBorders>
              <w:top w:val="nil"/>
              <w:left w:val="nil"/>
              <w:bottom w:val="dotted" w:sz="4" w:space="0" w:color="auto"/>
              <w:right w:val="dotted" w:sz="4" w:space="0" w:color="auto"/>
            </w:tcBorders>
            <w:shd w:val="clear" w:color="000000" w:fill="FFFFFF"/>
            <w:vAlign w:val="center"/>
          </w:tcPr>
          <w:p w14:paraId="7FFEF51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549.37</w:t>
            </w:r>
          </w:p>
        </w:tc>
        <w:tc>
          <w:tcPr>
            <w:tcW w:w="900" w:type="dxa"/>
            <w:tcBorders>
              <w:top w:val="nil"/>
              <w:left w:val="nil"/>
              <w:bottom w:val="dotted" w:sz="4" w:space="0" w:color="auto"/>
              <w:right w:val="dotted" w:sz="4" w:space="0" w:color="auto"/>
            </w:tcBorders>
            <w:shd w:val="clear" w:color="000000" w:fill="FFFFFF"/>
            <w:vAlign w:val="center"/>
          </w:tcPr>
          <w:p w14:paraId="730DFF4C"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557.25</w:t>
            </w:r>
          </w:p>
        </w:tc>
        <w:tc>
          <w:tcPr>
            <w:tcW w:w="900" w:type="dxa"/>
            <w:tcBorders>
              <w:top w:val="nil"/>
              <w:left w:val="nil"/>
              <w:bottom w:val="dotted" w:sz="4" w:space="0" w:color="auto"/>
              <w:right w:val="double" w:sz="6" w:space="0" w:color="auto"/>
            </w:tcBorders>
            <w:shd w:val="clear" w:color="000000" w:fill="FFFFFF"/>
            <w:vAlign w:val="center"/>
          </w:tcPr>
          <w:p w14:paraId="7B07F56D"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582.42</w:t>
            </w:r>
          </w:p>
        </w:tc>
      </w:tr>
      <w:tr w:rsidR="006F605B" w:rsidRPr="00DC66CD" w14:paraId="3792637E" w14:textId="77777777" w:rsidTr="00E372C0">
        <w:trPr>
          <w:trHeight w:val="345"/>
        </w:trPr>
        <w:tc>
          <w:tcPr>
            <w:tcW w:w="4163" w:type="dxa"/>
            <w:tcBorders>
              <w:top w:val="nil"/>
              <w:left w:val="double" w:sz="6" w:space="0" w:color="auto"/>
              <w:bottom w:val="double" w:sz="6" w:space="0" w:color="auto"/>
              <w:right w:val="nil"/>
            </w:tcBorders>
            <w:shd w:val="clear" w:color="000000" w:fill="FFFFFF"/>
            <w:vAlign w:val="bottom"/>
            <w:hideMark/>
          </w:tcPr>
          <w:p w14:paraId="118C5F80" w14:textId="7213BD7A"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p.m.</w:t>
            </w:r>
            <w:r w:rsidR="0072211B" w:rsidRPr="00DC66CD">
              <w:rPr>
                <w:rFonts w:ascii="Garamond" w:hAnsi="Garamond"/>
                <w:color w:val="0D0D0D" w:themeColor="text1" w:themeTint="F2"/>
                <w:sz w:val="18"/>
                <w:szCs w:val="18"/>
              </w:rPr>
              <w:t xml:space="preserve"> </w:t>
            </w:r>
            <w:r w:rsidRPr="00DC66CD">
              <w:rPr>
                <w:rFonts w:ascii="Garamond" w:hAnsi="Garamond"/>
                <w:color w:val="0D0D0D" w:themeColor="text1" w:themeTint="F2"/>
                <w:sz w:val="18"/>
                <w:szCs w:val="18"/>
              </w:rPr>
              <w:t>compensation of employees</w:t>
            </w:r>
          </w:p>
        </w:tc>
        <w:tc>
          <w:tcPr>
            <w:tcW w:w="236" w:type="dxa"/>
            <w:tcBorders>
              <w:top w:val="nil"/>
              <w:left w:val="nil"/>
              <w:bottom w:val="double" w:sz="6" w:space="0" w:color="auto"/>
              <w:right w:val="single" w:sz="8" w:space="0" w:color="auto"/>
            </w:tcBorders>
            <w:shd w:val="clear" w:color="000000" w:fill="FFFFFF"/>
            <w:vAlign w:val="bottom"/>
            <w:hideMark/>
          </w:tcPr>
          <w:p w14:paraId="51387875"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 </w:t>
            </w:r>
          </w:p>
        </w:tc>
        <w:tc>
          <w:tcPr>
            <w:tcW w:w="1068" w:type="dxa"/>
            <w:tcBorders>
              <w:top w:val="nil"/>
              <w:left w:val="nil"/>
              <w:bottom w:val="double" w:sz="6" w:space="0" w:color="auto"/>
              <w:right w:val="single" w:sz="8" w:space="0" w:color="auto"/>
            </w:tcBorders>
            <w:shd w:val="clear" w:color="000000" w:fill="FFFFFF"/>
            <w:vAlign w:val="bottom"/>
            <w:hideMark/>
          </w:tcPr>
          <w:p w14:paraId="7E71FADD" w14:textId="77777777" w:rsidR="006F605B" w:rsidRPr="00DC66CD" w:rsidRDefault="006F605B" w:rsidP="00131DA1">
            <w:pPr>
              <w:spacing w:after="0" w:line="240" w:lineRule="auto"/>
              <w:jc w:val="both"/>
              <w:rPr>
                <w:rFonts w:ascii="Garamond" w:hAnsi="Garamond"/>
                <w:color w:val="0D0D0D" w:themeColor="text1" w:themeTint="F2"/>
                <w:sz w:val="18"/>
                <w:szCs w:val="18"/>
              </w:rPr>
            </w:pPr>
            <w:r w:rsidRPr="00DC66CD">
              <w:rPr>
                <w:rFonts w:ascii="Garamond" w:hAnsi="Garamond"/>
                <w:color w:val="0D0D0D" w:themeColor="text1" w:themeTint="F2"/>
                <w:sz w:val="18"/>
                <w:szCs w:val="18"/>
              </w:rPr>
              <w:t>D1</w:t>
            </w:r>
          </w:p>
        </w:tc>
        <w:tc>
          <w:tcPr>
            <w:tcW w:w="900" w:type="dxa"/>
            <w:tcBorders>
              <w:top w:val="nil"/>
              <w:left w:val="nil"/>
              <w:bottom w:val="double" w:sz="6" w:space="0" w:color="auto"/>
              <w:right w:val="dotted" w:sz="4" w:space="0" w:color="auto"/>
            </w:tcBorders>
            <w:shd w:val="clear" w:color="000000" w:fill="FFFFFF"/>
            <w:vAlign w:val="bottom"/>
          </w:tcPr>
          <w:p w14:paraId="75B1F2BB"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93.21</w:t>
            </w:r>
          </w:p>
        </w:tc>
        <w:tc>
          <w:tcPr>
            <w:tcW w:w="900" w:type="dxa"/>
            <w:tcBorders>
              <w:top w:val="nil"/>
              <w:left w:val="nil"/>
              <w:bottom w:val="double" w:sz="6" w:space="0" w:color="auto"/>
              <w:right w:val="dotted" w:sz="4" w:space="0" w:color="auto"/>
            </w:tcBorders>
            <w:shd w:val="clear" w:color="000000" w:fill="FFFFFF"/>
            <w:vAlign w:val="bottom"/>
          </w:tcPr>
          <w:p w14:paraId="46B9F947"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96.72</w:t>
            </w:r>
          </w:p>
        </w:tc>
        <w:tc>
          <w:tcPr>
            <w:tcW w:w="900" w:type="dxa"/>
            <w:tcBorders>
              <w:top w:val="nil"/>
              <w:left w:val="nil"/>
              <w:bottom w:val="double" w:sz="6" w:space="0" w:color="auto"/>
              <w:right w:val="dotted" w:sz="4" w:space="0" w:color="auto"/>
            </w:tcBorders>
            <w:shd w:val="clear" w:color="000000" w:fill="FFFFFF"/>
            <w:vAlign w:val="bottom"/>
          </w:tcPr>
          <w:p w14:paraId="679CF0AF"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102.85</w:t>
            </w:r>
          </w:p>
        </w:tc>
        <w:tc>
          <w:tcPr>
            <w:tcW w:w="900" w:type="dxa"/>
            <w:tcBorders>
              <w:top w:val="nil"/>
              <w:left w:val="nil"/>
              <w:bottom w:val="double" w:sz="6" w:space="0" w:color="auto"/>
              <w:right w:val="dotted" w:sz="4" w:space="0" w:color="auto"/>
            </w:tcBorders>
            <w:shd w:val="clear" w:color="000000" w:fill="FFFFFF"/>
            <w:vAlign w:val="bottom"/>
          </w:tcPr>
          <w:p w14:paraId="0ACA45E4"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103.66</w:t>
            </w:r>
          </w:p>
        </w:tc>
        <w:tc>
          <w:tcPr>
            <w:tcW w:w="900" w:type="dxa"/>
            <w:tcBorders>
              <w:top w:val="nil"/>
              <w:left w:val="nil"/>
              <w:bottom w:val="double" w:sz="6" w:space="0" w:color="auto"/>
              <w:right w:val="double" w:sz="6" w:space="0" w:color="auto"/>
            </w:tcBorders>
            <w:shd w:val="clear" w:color="000000" w:fill="FFFFFF"/>
            <w:vAlign w:val="bottom"/>
          </w:tcPr>
          <w:p w14:paraId="0CE7E6EA" w14:textId="77777777" w:rsidR="006F605B" w:rsidRPr="00DC66CD" w:rsidRDefault="006F605B" w:rsidP="00131DA1">
            <w:pPr>
              <w:spacing w:after="0" w:line="240" w:lineRule="auto"/>
              <w:jc w:val="center"/>
              <w:rPr>
                <w:rFonts w:ascii="Garamond" w:hAnsi="Garamond"/>
                <w:sz w:val="18"/>
                <w:szCs w:val="18"/>
              </w:rPr>
            </w:pPr>
            <w:r w:rsidRPr="00DC66CD">
              <w:rPr>
                <w:rFonts w:ascii="Garamond" w:hAnsi="Garamond"/>
                <w:sz w:val="18"/>
                <w:szCs w:val="18"/>
              </w:rPr>
              <w:t>106.22</w:t>
            </w:r>
          </w:p>
        </w:tc>
      </w:tr>
    </w:tbl>
    <w:p w14:paraId="05FFB35E"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3D90C16A"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86" w:name="_Toc536784315"/>
      <w:bookmarkStart w:id="87" w:name="_Toc30661250"/>
      <w:r w:rsidRPr="00DC66CD">
        <w:rPr>
          <w:rFonts w:ascii="Garamond" w:hAnsi="Garamond"/>
          <w:color w:val="auto"/>
          <w:sz w:val="24"/>
          <w:szCs w:val="24"/>
        </w:rPr>
        <w:t>Tabela 3: Shpenzimet e përgjithshme të qeverisë sipas funksionit</w:t>
      </w:r>
      <w:bookmarkEnd w:id="86"/>
      <w:bookmarkEnd w:id="87"/>
    </w:p>
    <w:tbl>
      <w:tblPr>
        <w:tblW w:w="10015" w:type="dxa"/>
        <w:tblLook w:val="04A0" w:firstRow="1" w:lastRow="0" w:firstColumn="1" w:lastColumn="0" w:noHBand="0" w:noVBand="1"/>
      </w:tblPr>
      <w:tblGrid>
        <w:gridCol w:w="4182"/>
        <w:gridCol w:w="1586"/>
        <w:gridCol w:w="849"/>
        <w:gridCol w:w="849"/>
        <w:gridCol w:w="850"/>
        <w:gridCol w:w="849"/>
        <w:gridCol w:w="850"/>
      </w:tblGrid>
      <w:tr w:rsidR="006F605B" w:rsidRPr="00DC66CD" w14:paraId="03881D47" w14:textId="77777777" w:rsidTr="004F4E33">
        <w:trPr>
          <w:trHeight w:val="318"/>
        </w:trPr>
        <w:tc>
          <w:tcPr>
            <w:tcW w:w="0" w:type="auto"/>
            <w:vMerge w:val="restart"/>
            <w:tcBorders>
              <w:top w:val="double" w:sz="6" w:space="0" w:color="000000"/>
              <w:left w:val="double" w:sz="6" w:space="0" w:color="000000"/>
              <w:bottom w:val="single" w:sz="8" w:space="0" w:color="000000"/>
              <w:right w:val="dotted" w:sz="4" w:space="0" w:color="auto"/>
            </w:tcBorders>
            <w:shd w:val="clear" w:color="000000" w:fill="FFFFFF"/>
            <w:vAlign w:val="center"/>
            <w:hideMark/>
          </w:tcPr>
          <w:p w14:paraId="7558D60C"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 of GDP</w:t>
            </w:r>
          </w:p>
        </w:tc>
        <w:tc>
          <w:tcPr>
            <w:tcW w:w="0" w:type="auto"/>
            <w:vMerge w:val="restart"/>
            <w:tcBorders>
              <w:top w:val="double" w:sz="6" w:space="0" w:color="000000"/>
              <w:left w:val="dotted" w:sz="4" w:space="0" w:color="auto"/>
              <w:bottom w:val="single" w:sz="8" w:space="0" w:color="000000"/>
              <w:right w:val="single" w:sz="8" w:space="0" w:color="auto"/>
            </w:tcBorders>
            <w:shd w:val="clear" w:color="000000" w:fill="FFFFFF"/>
            <w:vAlign w:val="center"/>
            <w:hideMark/>
          </w:tcPr>
          <w:p w14:paraId="6C1882B1"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COFOG Code</w:t>
            </w:r>
          </w:p>
        </w:tc>
        <w:tc>
          <w:tcPr>
            <w:tcW w:w="849" w:type="dxa"/>
            <w:tcBorders>
              <w:top w:val="double" w:sz="6" w:space="0" w:color="000000"/>
              <w:left w:val="single" w:sz="8" w:space="0" w:color="auto"/>
              <w:bottom w:val="nil"/>
              <w:right w:val="dotted" w:sz="4" w:space="0" w:color="auto"/>
            </w:tcBorders>
            <w:shd w:val="clear" w:color="000000" w:fill="FFFFFF"/>
            <w:vAlign w:val="center"/>
            <w:hideMark/>
          </w:tcPr>
          <w:p w14:paraId="035AB5B8"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849" w:type="dxa"/>
            <w:tcBorders>
              <w:top w:val="double" w:sz="6" w:space="0" w:color="000000"/>
              <w:left w:val="nil"/>
              <w:bottom w:val="nil"/>
              <w:right w:val="dotted" w:sz="4" w:space="0" w:color="auto"/>
            </w:tcBorders>
            <w:shd w:val="clear" w:color="000000" w:fill="FFFFFF"/>
            <w:vAlign w:val="center"/>
            <w:hideMark/>
          </w:tcPr>
          <w:p w14:paraId="49F9F93C"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850" w:type="dxa"/>
            <w:tcBorders>
              <w:top w:val="double" w:sz="6" w:space="0" w:color="000000"/>
              <w:left w:val="nil"/>
              <w:bottom w:val="nil"/>
              <w:right w:val="dotted" w:sz="4" w:space="0" w:color="auto"/>
            </w:tcBorders>
            <w:shd w:val="clear" w:color="000000" w:fill="FFFFFF"/>
            <w:vAlign w:val="center"/>
            <w:hideMark/>
          </w:tcPr>
          <w:p w14:paraId="15DB3EC7"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849" w:type="dxa"/>
            <w:tcBorders>
              <w:top w:val="double" w:sz="6" w:space="0" w:color="000000"/>
              <w:left w:val="nil"/>
              <w:bottom w:val="nil"/>
              <w:right w:val="dotted" w:sz="4" w:space="0" w:color="auto"/>
            </w:tcBorders>
            <w:shd w:val="clear" w:color="000000" w:fill="FFFFFF"/>
            <w:vAlign w:val="center"/>
            <w:hideMark/>
          </w:tcPr>
          <w:p w14:paraId="170412D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850" w:type="dxa"/>
            <w:tcBorders>
              <w:top w:val="double" w:sz="6" w:space="0" w:color="000000"/>
              <w:left w:val="nil"/>
              <w:bottom w:val="nil"/>
              <w:right w:val="double" w:sz="6" w:space="0" w:color="auto"/>
            </w:tcBorders>
            <w:shd w:val="clear" w:color="000000" w:fill="FFFFFF"/>
            <w:vAlign w:val="center"/>
            <w:hideMark/>
          </w:tcPr>
          <w:p w14:paraId="12528A16"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35DA7FDE" w14:textId="77777777" w:rsidTr="004F4E33">
        <w:trPr>
          <w:trHeight w:val="318"/>
        </w:trPr>
        <w:tc>
          <w:tcPr>
            <w:tcW w:w="0" w:type="auto"/>
            <w:vMerge/>
            <w:tcBorders>
              <w:top w:val="double" w:sz="6" w:space="0" w:color="000000"/>
              <w:left w:val="double" w:sz="6" w:space="0" w:color="000000"/>
              <w:bottom w:val="single" w:sz="8" w:space="0" w:color="000000"/>
              <w:right w:val="dotted" w:sz="4" w:space="0" w:color="auto"/>
            </w:tcBorders>
            <w:vAlign w:val="center"/>
            <w:hideMark/>
          </w:tcPr>
          <w:p w14:paraId="17D7D183"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vMerge/>
            <w:tcBorders>
              <w:top w:val="double" w:sz="6" w:space="0" w:color="000000"/>
              <w:left w:val="dotted" w:sz="4" w:space="0" w:color="auto"/>
              <w:bottom w:val="single" w:sz="8" w:space="0" w:color="000000"/>
              <w:right w:val="single" w:sz="8" w:space="0" w:color="auto"/>
            </w:tcBorders>
            <w:vAlign w:val="center"/>
            <w:hideMark/>
          </w:tcPr>
          <w:p w14:paraId="4D8D4237"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849" w:type="dxa"/>
            <w:tcBorders>
              <w:top w:val="nil"/>
              <w:left w:val="single" w:sz="8" w:space="0" w:color="auto"/>
              <w:bottom w:val="single" w:sz="8" w:space="0" w:color="auto"/>
              <w:right w:val="dotted" w:sz="4" w:space="0" w:color="auto"/>
            </w:tcBorders>
            <w:shd w:val="clear" w:color="000000" w:fill="FFFFFF"/>
            <w:vAlign w:val="center"/>
            <w:hideMark/>
          </w:tcPr>
          <w:p w14:paraId="3F321797"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849" w:type="dxa"/>
            <w:tcBorders>
              <w:top w:val="nil"/>
              <w:left w:val="nil"/>
              <w:bottom w:val="single" w:sz="8" w:space="0" w:color="auto"/>
              <w:right w:val="dotted" w:sz="4" w:space="0" w:color="auto"/>
            </w:tcBorders>
            <w:shd w:val="clear" w:color="000000" w:fill="FFFFFF"/>
            <w:vAlign w:val="center"/>
            <w:hideMark/>
          </w:tcPr>
          <w:p w14:paraId="7FBFCD00"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850" w:type="dxa"/>
            <w:tcBorders>
              <w:top w:val="nil"/>
              <w:left w:val="nil"/>
              <w:bottom w:val="single" w:sz="8" w:space="0" w:color="auto"/>
              <w:right w:val="dotted" w:sz="4" w:space="0" w:color="auto"/>
            </w:tcBorders>
            <w:shd w:val="clear" w:color="000000" w:fill="FFFFFF"/>
            <w:vAlign w:val="center"/>
            <w:hideMark/>
          </w:tcPr>
          <w:p w14:paraId="7C286E56"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849" w:type="dxa"/>
            <w:tcBorders>
              <w:top w:val="nil"/>
              <w:left w:val="nil"/>
              <w:bottom w:val="single" w:sz="8" w:space="0" w:color="auto"/>
              <w:right w:val="dotted" w:sz="4" w:space="0" w:color="auto"/>
            </w:tcBorders>
            <w:shd w:val="clear" w:color="000000" w:fill="FFFFFF"/>
            <w:vAlign w:val="center"/>
            <w:hideMark/>
          </w:tcPr>
          <w:p w14:paraId="361DC477"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850" w:type="dxa"/>
            <w:tcBorders>
              <w:top w:val="nil"/>
              <w:left w:val="nil"/>
              <w:bottom w:val="single" w:sz="8" w:space="0" w:color="auto"/>
              <w:right w:val="double" w:sz="6" w:space="0" w:color="auto"/>
            </w:tcBorders>
            <w:shd w:val="clear" w:color="000000" w:fill="FFFFFF"/>
            <w:vAlign w:val="center"/>
            <w:hideMark/>
          </w:tcPr>
          <w:p w14:paraId="2F06E060"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4843C3C1"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1A683BF2"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 General public services</w:t>
            </w:r>
          </w:p>
        </w:tc>
        <w:tc>
          <w:tcPr>
            <w:tcW w:w="0" w:type="auto"/>
            <w:tcBorders>
              <w:top w:val="nil"/>
              <w:left w:val="nil"/>
              <w:bottom w:val="dotted" w:sz="4" w:space="0" w:color="auto"/>
              <w:right w:val="single" w:sz="8" w:space="0" w:color="auto"/>
            </w:tcBorders>
            <w:shd w:val="clear" w:color="000000" w:fill="FFFFFF"/>
            <w:vAlign w:val="center"/>
            <w:hideMark/>
          </w:tcPr>
          <w:p w14:paraId="2BD073A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w:t>
            </w:r>
          </w:p>
        </w:tc>
        <w:tc>
          <w:tcPr>
            <w:tcW w:w="849" w:type="dxa"/>
            <w:tcBorders>
              <w:top w:val="nil"/>
              <w:left w:val="nil"/>
              <w:bottom w:val="dotted" w:sz="4" w:space="0" w:color="auto"/>
              <w:right w:val="dotted" w:sz="4" w:space="0" w:color="auto"/>
            </w:tcBorders>
            <w:shd w:val="clear" w:color="000000" w:fill="FFFFFF"/>
            <w:vAlign w:val="center"/>
          </w:tcPr>
          <w:p w14:paraId="76F1A51B"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w:t>
            </w:r>
          </w:p>
        </w:tc>
        <w:tc>
          <w:tcPr>
            <w:tcW w:w="849" w:type="dxa"/>
            <w:tcBorders>
              <w:top w:val="single" w:sz="8" w:space="0" w:color="auto"/>
              <w:left w:val="nil"/>
              <w:bottom w:val="dotted" w:sz="4" w:space="0" w:color="auto"/>
              <w:right w:val="dotted" w:sz="4" w:space="0" w:color="auto"/>
            </w:tcBorders>
            <w:shd w:val="clear" w:color="000000" w:fill="FFFFFF"/>
            <w:vAlign w:val="center"/>
          </w:tcPr>
          <w:p w14:paraId="2F57FC0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single" w:sz="8" w:space="0" w:color="auto"/>
              <w:left w:val="nil"/>
              <w:bottom w:val="dotted" w:sz="4" w:space="0" w:color="auto"/>
              <w:right w:val="dotted" w:sz="4" w:space="0" w:color="auto"/>
            </w:tcBorders>
            <w:shd w:val="clear" w:color="000000" w:fill="FFFFFF"/>
            <w:vAlign w:val="center"/>
          </w:tcPr>
          <w:p w14:paraId="5D6CCF9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single" w:sz="8" w:space="0" w:color="auto"/>
              <w:left w:val="nil"/>
              <w:bottom w:val="dotted" w:sz="4" w:space="0" w:color="auto"/>
              <w:right w:val="dotted" w:sz="4" w:space="0" w:color="auto"/>
            </w:tcBorders>
            <w:shd w:val="clear" w:color="000000" w:fill="FFFFFF"/>
            <w:vAlign w:val="center"/>
          </w:tcPr>
          <w:p w14:paraId="3264CA6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single" w:sz="8" w:space="0" w:color="auto"/>
              <w:left w:val="nil"/>
              <w:bottom w:val="dotted" w:sz="4" w:space="0" w:color="auto"/>
              <w:right w:val="double" w:sz="6" w:space="0" w:color="000000"/>
            </w:tcBorders>
            <w:shd w:val="clear" w:color="000000" w:fill="FFFFFF"/>
            <w:vAlign w:val="center"/>
          </w:tcPr>
          <w:p w14:paraId="5FB545C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24F17F91"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6AB9ADB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 Defense</w:t>
            </w:r>
          </w:p>
        </w:tc>
        <w:tc>
          <w:tcPr>
            <w:tcW w:w="0" w:type="auto"/>
            <w:tcBorders>
              <w:top w:val="nil"/>
              <w:left w:val="nil"/>
              <w:bottom w:val="dotted" w:sz="4" w:space="0" w:color="auto"/>
              <w:right w:val="single" w:sz="8" w:space="0" w:color="auto"/>
            </w:tcBorders>
            <w:shd w:val="clear" w:color="000000" w:fill="FFFFFF"/>
            <w:vAlign w:val="center"/>
            <w:hideMark/>
          </w:tcPr>
          <w:p w14:paraId="704AF15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w:t>
            </w:r>
          </w:p>
        </w:tc>
        <w:tc>
          <w:tcPr>
            <w:tcW w:w="849" w:type="dxa"/>
            <w:tcBorders>
              <w:top w:val="nil"/>
              <w:left w:val="nil"/>
              <w:bottom w:val="dotted" w:sz="4" w:space="0" w:color="auto"/>
              <w:right w:val="dotted" w:sz="4" w:space="0" w:color="auto"/>
            </w:tcBorders>
            <w:shd w:val="clear" w:color="000000" w:fill="FFFFFF"/>
            <w:vAlign w:val="center"/>
          </w:tcPr>
          <w:p w14:paraId="061993F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1E4E19D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tted" w:sz="4" w:space="0" w:color="auto"/>
            </w:tcBorders>
            <w:shd w:val="clear" w:color="000000" w:fill="FFFFFF"/>
            <w:vAlign w:val="center"/>
          </w:tcPr>
          <w:p w14:paraId="3542F06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640E67D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uble" w:sz="6" w:space="0" w:color="000000"/>
            </w:tcBorders>
            <w:shd w:val="clear" w:color="000000" w:fill="FFFFFF"/>
            <w:vAlign w:val="center"/>
          </w:tcPr>
          <w:p w14:paraId="17B20EE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C199055"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5FB7AF7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3. Public order and safety</w:t>
            </w:r>
          </w:p>
        </w:tc>
        <w:tc>
          <w:tcPr>
            <w:tcW w:w="0" w:type="auto"/>
            <w:tcBorders>
              <w:top w:val="nil"/>
              <w:left w:val="nil"/>
              <w:bottom w:val="dotted" w:sz="4" w:space="0" w:color="auto"/>
              <w:right w:val="single" w:sz="8" w:space="0" w:color="auto"/>
            </w:tcBorders>
            <w:shd w:val="clear" w:color="000000" w:fill="FFFFFF"/>
            <w:vAlign w:val="center"/>
            <w:hideMark/>
          </w:tcPr>
          <w:p w14:paraId="24D4827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3</w:t>
            </w:r>
          </w:p>
        </w:tc>
        <w:tc>
          <w:tcPr>
            <w:tcW w:w="849" w:type="dxa"/>
            <w:tcBorders>
              <w:top w:val="nil"/>
              <w:left w:val="nil"/>
              <w:bottom w:val="dotted" w:sz="4" w:space="0" w:color="auto"/>
              <w:right w:val="dotted" w:sz="4" w:space="0" w:color="auto"/>
            </w:tcBorders>
            <w:shd w:val="clear" w:color="000000" w:fill="FFFFFF"/>
            <w:vAlign w:val="center"/>
          </w:tcPr>
          <w:p w14:paraId="079DD53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4D096B7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tted" w:sz="4" w:space="0" w:color="auto"/>
            </w:tcBorders>
            <w:shd w:val="clear" w:color="000000" w:fill="FFFFFF"/>
            <w:vAlign w:val="center"/>
          </w:tcPr>
          <w:p w14:paraId="7D6D38F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622FD33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uble" w:sz="6" w:space="0" w:color="000000"/>
            </w:tcBorders>
            <w:shd w:val="clear" w:color="000000" w:fill="FFFFFF"/>
            <w:vAlign w:val="center"/>
          </w:tcPr>
          <w:p w14:paraId="5FC6E3A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ECA3B79"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2BC2EBF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4. Economic affairs</w:t>
            </w:r>
          </w:p>
        </w:tc>
        <w:tc>
          <w:tcPr>
            <w:tcW w:w="0" w:type="auto"/>
            <w:tcBorders>
              <w:top w:val="nil"/>
              <w:left w:val="nil"/>
              <w:bottom w:val="dotted" w:sz="4" w:space="0" w:color="auto"/>
              <w:right w:val="single" w:sz="8" w:space="0" w:color="auto"/>
            </w:tcBorders>
            <w:shd w:val="clear" w:color="000000" w:fill="FFFFFF"/>
            <w:vAlign w:val="center"/>
            <w:hideMark/>
          </w:tcPr>
          <w:p w14:paraId="6FE3298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4</w:t>
            </w:r>
          </w:p>
        </w:tc>
        <w:tc>
          <w:tcPr>
            <w:tcW w:w="849" w:type="dxa"/>
            <w:tcBorders>
              <w:top w:val="nil"/>
              <w:left w:val="nil"/>
              <w:bottom w:val="dotted" w:sz="4" w:space="0" w:color="auto"/>
              <w:right w:val="dotted" w:sz="4" w:space="0" w:color="auto"/>
            </w:tcBorders>
            <w:shd w:val="clear" w:color="000000" w:fill="FFFFFF"/>
            <w:vAlign w:val="center"/>
          </w:tcPr>
          <w:p w14:paraId="78BD5F8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1407D54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tted" w:sz="4" w:space="0" w:color="auto"/>
            </w:tcBorders>
            <w:shd w:val="clear" w:color="000000" w:fill="FFFFFF"/>
            <w:vAlign w:val="center"/>
          </w:tcPr>
          <w:p w14:paraId="0B8DE70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5DE4B00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uble" w:sz="6" w:space="0" w:color="000000"/>
            </w:tcBorders>
            <w:shd w:val="clear" w:color="000000" w:fill="FFFFFF"/>
            <w:vAlign w:val="center"/>
          </w:tcPr>
          <w:p w14:paraId="294247D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49403A74"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5F58784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5. Environmental protection</w:t>
            </w:r>
          </w:p>
        </w:tc>
        <w:tc>
          <w:tcPr>
            <w:tcW w:w="0" w:type="auto"/>
            <w:tcBorders>
              <w:top w:val="nil"/>
              <w:left w:val="nil"/>
              <w:bottom w:val="dotted" w:sz="4" w:space="0" w:color="auto"/>
              <w:right w:val="single" w:sz="8" w:space="0" w:color="auto"/>
            </w:tcBorders>
            <w:shd w:val="clear" w:color="000000" w:fill="FFFFFF"/>
            <w:vAlign w:val="center"/>
            <w:hideMark/>
          </w:tcPr>
          <w:p w14:paraId="600B4E9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5</w:t>
            </w:r>
          </w:p>
        </w:tc>
        <w:tc>
          <w:tcPr>
            <w:tcW w:w="849" w:type="dxa"/>
            <w:tcBorders>
              <w:top w:val="nil"/>
              <w:left w:val="nil"/>
              <w:bottom w:val="dotted" w:sz="4" w:space="0" w:color="auto"/>
              <w:right w:val="dotted" w:sz="4" w:space="0" w:color="auto"/>
            </w:tcBorders>
            <w:shd w:val="clear" w:color="000000" w:fill="FFFFFF"/>
            <w:vAlign w:val="center"/>
          </w:tcPr>
          <w:p w14:paraId="2CD2573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1C697FF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tted" w:sz="4" w:space="0" w:color="auto"/>
            </w:tcBorders>
            <w:shd w:val="clear" w:color="000000" w:fill="FFFFFF"/>
            <w:vAlign w:val="center"/>
          </w:tcPr>
          <w:p w14:paraId="165F51D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61D4866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uble" w:sz="6" w:space="0" w:color="000000"/>
            </w:tcBorders>
            <w:shd w:val="clear" w:color="000000" w:fill="FFFFFF"/>
            <w:vAlign w:val="center"/>
          </w:tcPr>
          <w:p w14:paraId="313494E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00CC83D8"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400F4F41"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6. Housing and community amenities</w:t>
            </w:r>
          </w:p>
        </w:tc>
        <w:tc>
          <w:tcPr>
            <w:tcW w:w="0" w:type="auto"/>
            <w:tcBorders>
              <w:top w:val="nil"/>
              <w:left w:val="nil"/>
              <w:bottom w:val="dotted" w:sz="4" w:space="0" w:color="auto"/>
              <w:right w:val="single" w:sz="8" w:space="0" w:color="auto"/>
            </w:tcBorders>
            <w:shd w:val="clear" w:color="000000" w:fill="FFFFFF"/>
            <w:vAlign w:val="center"/>
            <w:hideMark/>
          </w:tcPr>
          <w:p w14:paraId="266045A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6</w:t>
            </w:r>
          </w:p>
        </w:tc>
        <w:tc>
          <w:tcPr>
            <w:tcW w:w="849" w:type="dxa"/>
            <w:tcBorders>
              <w:top w:val="nil"/>
              <w:left w:val="nil"/>
              <w:bottom w:val="dotted" w:sz="4" w:space="0" w:color="auto"/>
              <w:right w:val="dotted" w:sz="4" w:space="0" w:color="auto"/>
            </w:tcBorders>
            <w:shd w:val="clear" w:color="000000" w:fill="FFFFFF"/>
            <w:vAlign w:val="center"/>
          </w:tcPr>
          <w:p w14:paraId="565D1E1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4D582CF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tted" w:sz="4" w:space="0" w:color="auto"/>
            </w:tcBorders>
            <w:shd w:val="clear" w:color="000000" w:fill="FFFFFF"/>
            <w:vAlign w:val="center"/>
          </w:tcPr>
          <w:p w14:paraId="4AC142E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732FEBC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uble" w:sz="6" w:space="0" w:color="000000"/>
            </w:tcBorders>
            <w:shd w:val="clear" w:color="000000" w:fill="FFFFFF"/>
            <w:vAlign w:val="center"/>
          </w:tcPr>
          <w:p w14:paraId="1075586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76A37738"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40EA9996"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7. Health</w:t>
            </w:r>
          </w:p>
        </w:tc>
        <w:tc>
          <w:tcPr>
            <w:tcW w:w="0" w:type="auto"/>
            <w:tcBorders>
              <w:top w:val="nil"/>
              <w:left w:val="nil"/>
              <w:bottom w:val="dotted" w:sz="4" w:space="0" w:color="auto"/>
              <w:right w:val="single" w:sz="8" w:space="0" w:color="auto"/>
            </w:tcBorders>
            <w:shd w:val="clear" w:color="000000" w:fill="FFFFFF"/>
            <w:vAlign w:val="center"/>
            <w:hideMark/>
          </w:tcPr>
          <w:p w14:paraId="0312D81A"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7</w:t>
            </w:r>
          </w:p>
        </w:tc>
        <w:tc>
          <w:tcPr>
            <w:tcW w:w="849" w:type="dxa"/>
            <w:tcBorders>
              <w:top w:val="nil"/>
              <w:left w:val="nil"/>
              <w:bottom w:val="dotted" w:sz="4" w:space="0" w:color="auto"/>
              <w:right w:val="dotted" w:sz="4" w:space="0" w:color="auto"/>
            </w:tcBorders>
            <w:shd w:val="clear" w:color="000000" w:fill="FFFFFF"/>
            <w:vAlign w:val="center"/>
          </w:tcPr>
          <w:p w14:paraId="04F91CC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63D12AF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tted" w:sz="4" w:space="0" w:color="auto"/>
            </w:tcBorders>
            <w:shd w:val="clear" w:color="000000" w:fill="FFFFFF"/>
            <w:vAlign w:val="center"/>
          </w:tcPr>
          <w:p w14:paraId="6A6A83E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13528C8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uble" w:sz="6" w:space="0" w:color="000000"/>
            </w:tcBorders>
            <w:shd w:val="clear" w:color="000000" w:fill="FFFFFF"/>
            <w:vAlign w:val="center"/>
          </w:tcPr>
          <w:p w14:paraId="60E61AE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2DDBFD06"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782194FA"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8. Recreation, culture and religion</w:t>
            </w:r>
          </w:p>
        </w:tc>
        <w:tc>
          <w:tcPr>
            <w:tcW w:w="0" w:type="auto"/>
            <w:tcBorders>
              <w:top w:val="nil"/>
              <w:left w:val="nil"/>
              <w:bottom w:val="dotted" w:sz="4" w:space="0" w:color="auto"/>
              <w:right w:val="single" w:sz="8" w:space="0" w:color="auto"/>
            </w:tcBorders>
            <w:shd w:val="clear" w:color="000000" w:fill="FFFFFF"/>
            <w:vAlign w:val="center"/>
            <w:hideMark/>
          </w:tcPr>
          <w:p w14:paraId="3B5D41EB"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8</w:t>
            </w:r>
          </w:p>
        </w:tc>
        <w:tc>
          <w:tcPr>
            <w:tcW w:w="849" w:type="dxa"/>
            <w:tcBorders>
              <w:top w:val="nil"/>
              <w:left w:val="nil"/>
              <w:bottom w:val="dotted" w:sz="4" w:space="0" w:color="auto"/>
              <w:right w:val="dotted" w:sz="4" w:space="0" w:color="auto"/>
            </w:tcBorders>
            <w:shd w:val="clear" w:color="000000" w:fill="FFFFFF"/>
            <w:vAlign w:val="center"/>
          </w:tcPr>
          <w:p w14:paraId="03B69B0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0F66406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tted" w:sz="4" w:space="0" w:color="auto"/>
            </w:tcBorders>
            <w:shd w:val="clear" w:color="000000" w:fill="FFFFFF"/>
            <w:vAlign w:val="center"/>
          </w:tcPr>
          <w:p w14:paraId="60C14F4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730A9EB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uble" w:sz="6" w:space="0" w:color="000000"/>
            </w:tcBorders>
            <w:shd w:val="clear" w:color="000000" w:fill="FFFFFF"/>
            <w:vAlign w:val="center"/>
          </w:tcPr>
          <w:p w14:paraId="7978E45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2A472CDC"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6B86A3E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9. Education</w:t>
            </w:r>
          </w:p>
        </w:tc>
        <w:tc>
          <w:tcPr>
            <w:tcW w:w="0" w:type="auto"/>
            <w:tcBorders>
              <w:top w:val="nil"/>
              <w:left w:val="nil"/>
              <w:bottom w:val="dotted" w:sz="4" w:space="0" w:color="auto"/>
              <w:right w:val="single" w:sz="8" w:space="0" w:color="auto"/>
            </w:tcBorders>
            <w:shd w:val="clear" w:color="000000" w:fill="FFFFFF"/>
            <w:vAlign w:val="center"/>
            <w:hideMark/>
          </w:tcPr>
          <w:p w14:paraId="274B7F4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9</w:t>
            </w:r>
          </w:p>
        </w:tc>
        <w:tc>
          <w:tcPr>
            <w:tcW w:w="849" w:type="dxa"/>
            <w:tcBorders>
              <w:top w:val="nil"/>
              <w:left w:val="nil"/>
              <w:bottom w:val="dotted" w:sz="4" w:space="0" w:color="auto"/>
              <w:right w:val="dotted" w:sz="4" w:space="0" w:color="auto"/>
            </w:tcBorders>
            <w:shd w:val="clear" w:color="000000" w:fill="FFFFFF"/>
            <w:vAlign w:val="center"/>
          </w:tcPr>
          <w:p w14:paraId="165ED26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4EB9E2A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tted" w:sz="4" w:space="0" w:color="auto"/>
            </w:tcBorders>
            <w:shd w:val="clear" w:color="000000" w:fill="FFFFFF"/>
            <w:vAlign w:val="center"/>
          </w:tcPr>
          <w:p w14:paraId="4C38ED7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3EFAF56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uble" w:sz="6" w:space="0" w:color="000000"/>
            </w:tcBorders>
            <w:shd w:val="clear" w:color="000000" w:fill="FFFFFF"/>
            <w:vAlign w:val="center"/>
          </w:tcPr>
          <w:p w14:paraId="3CA53DF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110A696B" w14:textId="77777777" w:rsidTr="00E372C0">
        <w:trPr>
          <w:trHeight w:val="318"/>
        </w:trPr>
        <w:tc>
          <w:tcPr>
            <w:tcW w:w="0" w:type="auto"/>
            <w:tcBorders>
              <w:top w:val="nil"/>
              <w:left w:val="double" w:sz="6" w:space="0" w:color="000000"/>
              <w:bottom w:val="dotted" w:sz="4" w:space="0" w:color="auto"/>
              <w:right w:val="dotted" w:sz="4" w:space="0" w:color="auto"/>
            </w:tcBorders>
            <w:shd w:val="clear" w:color="000000" w:fill="FFFFFF"/>
            <w:vAlign w:val="center"/>
            <w:hideMark/>
          </w:tcPr>
          <w:p w14:paraId="0790BEA1"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10. Social protection</w:t>
            </w:r>
          </w:p>
        </w:tc>
        <w:tc>
          <w:tcPr>
            <w:tcW w:w="0" w:type="auto"/>
            <w:tcBorders>
              <w:top w:val="nil"/>
              <w:left w:val="nil"/>
              <w:bottom w:val="dotted" w:sz="4" w:space="0" w:color="auto"/>
              <w:right w:val="single" w:sz="8" w:space="0" w:color="auto"/>
            </w:tcBorders>
            <w:shd w:val="clear" w:color="000000" w:fill="FFFFFF"/>
            <w:vAlign w:val="center"/>
            <w:hideMark/>
          </w:tcPr>
          <w:p w14:paraId="56EDDDA2"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10</w:t>
            </w:r>
          </w:p>
        </w:tc>
        <w:tc>
          <w:tcPr>
            <w:tcW w:w="849" w:type="dxa"/>
            <w:tcBorders>
              <w:top w:val="nil"/>
              <w:left w:val="nil"/>
              <w:bottom w:val="dotted" w:sz="4" w:space="0" w:color="auto"/>
              <w:right w:val="dotted" w:sz="4" w:space="0" w:color="auto"/>
            </w:tcBorders>
            <w:shd w:val="clear" w:color="000000" w:fill="FFFFFF"/>
            <w:vAlign w:val="center"/>
          </w:tcPr>
          <w:p w14:paraId="7E5C841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3E434F7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tted" w:sz="4" w:space="0" w:color="auto"/>
            </w:tcBorders>
            <w:shd w:val="clear" w:color="000000" w:fill="FFFFFF"/>
            <w:vAlign w:val="center"/>
          </w:tcPr>
          <w:p w14:paraId="374BCF8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49" w:type="dxa"/>
            <w:tcBorders>
              <w:top w:val="nil"/>
              <w:left w:val="nil"/>
              <w:bottom w:val="dotted" w:sz="4" w:space="0" w:color="auto"/>
              <w:right w:val="dotted" w:sz="4" w:space="0" w:color="auto"/>
            </w:tcBorders>
            <w:shd w:val="clear" w:color="000000" w:fill="FFFFFF"/>
            <w:vAlign w:val="center"/>
          </w:tcPr>
          <w:p w14:paraId="72649B2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50" w:type="dxa"/>
            <w:tcBorders>
              <w:top w:val="nil"/>
              <w:left w:val="nil"/>
              <w:bottom w:val="dotted" w:sz="4" w:space="0" w:color="auto"/>
              <w:right w:val="double" w:sz="6" w:space="0" w:color="000000"/>
            </w:tcBorders>
            <w:shd w:val="clear" w:color="000000" w:fill="FFFFFF"/>
            <w:vAlign w:val="center"/>
          </w:tcPr>
          <w:p w14:paraId="18A1C4D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4AA1CB2C" w14:textId="77777777" w:rsidTr="00E372C0">
        <w:trPr>
          <w:trHeight w:val="318"/>
        </w:trPr>
        <w:tc>
          <w:tcPr>
            <w:tcW w:w="0" w:type="auto"/>
            <w:tcBorders>
              <w:top w:val="nil"/>
              <w:left w:val="double" w:sz="6" w:space="0" w:color="000000"/>
              <w:bottom w:val="double" w:sz="6" w:space="0" w:color="000000"/>
              <w:right w:val="dotted" w:sz="4" w:space="0" w:color="auto"/>
            </w:tcBorders>
            <w:shd w:val="clear" w:color="000000" w:fill="FFFFFF"/>
            <w:vAlign w:val="center"/>
            <w:hideMark/>
          </w:tcPr>
          <w:p w14:paraId="577AEF82"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11. Total expenditure (item 7 = 23 in Table 2)</w:t>
            </w:r>
          </w:p>
        </w:tc>
        <w:tc>
          <w:tcPr>
            <w:tcW w:w="0" w:type="auto"/>
            <w:tcBorders>
              <w:top w:val="nil"/>
              <w:left w:val="nil"/>
              <w:bottom w:val="double" w:sz="6" w:space="0" w:color="000000"/>
              <w:right w:val="single" w:sz="8" w:space="0" w:color="auto"/>
            </w:tcBorders>
            <w:shd w:val="clear" w:color="000000" w:fill="FFFFFF"/>
            <w:vAlign w:val="center"/>
            <w:hideMark/>
          </w:tcPr>
          <w:p w14:paraId="22432C90"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TE</w:t>
            </w:r>
          </w:p>
        </w:tc>
        <w:tc>
          <w:tcPr>
            <w:tcW w:w="849" w:type="dxa"/>
            <w:tcBorders>
              <w:top w:val="nil"/>
              <w:left w:val="nil"/>
              <w:bottom w:val="double" w:sz="6" w:space="0" w:color="000000"/>
              <w:right w:val="dotted" w:sz="4" w:space="0" w:color="auto"/>
            </w:tcBorders>
            <w:shd w:val="clear" w:color="000000" w:fill="FFFFFF"/>
            <w:vAlign w:val="center"/>
          </w:tcPr>
          <w:p w14:paraId="06115E1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29.2</w:t>
            </w:r>
          </w:p>
        </w:tc>
        <w:tc>
          <w:tcPr>
            <w:tcW w:w="849" w:type="dxa"/>
            <w:tcBorders>
              <w:top w:val="nil"/>
              <w:left w:val="nil"/>
              <w:bottom w:val="double" w:sz="6" w:space="0" w:color="000000"/>
              <w:right w:val="dotted" w:sz="4" w:space="0" w:color="auto"/>
            </w:tcBorders>
            <w:shd w:val="clear" w:color="000000" w:fill="FFFFFF"/>
            <w:vAlign w:val="center"/>
          </w:tcPr>
          <w:p w14:paraId="635360A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29.3</w:t>
            </w:r>
          </w:p>
        </w:tc>
        <w:tc>
          <w:tcPr>
            <w:tcW w:w="850" w:type="dxa"/>
            <w:tcBorders>
              <w:top w:val="nil"/>
              <w:left w:val="nil"/>
              <w:bottom w:val="double" w:sz="6" w:space="0" w:color="000000"/>
              <w:right w:val="dotted" w:sz="4" w:space="0" w:color="auto"/>
            </w:tcBorders>
            <w:shd w:val="clear" w:color="000000" w:fill="FFFFFF"/>
            <w:vAlign w:val="center"/>
          </w:tcPr>
          <w:p w14:paraId="10B0181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30.9</w:t>
            </w:r>
          </w:p>
        </w:tc>
        <w:tc>
          <w:tcPr>
            <w:tcW w:w="849" w:type="dxa"/>
            <w:tcBorders>
              <w:top w:val="nil"/>
              <w:left w:val="nil"/>
              <w:bottom w:val="double" w:sz="6" w:space="0" w:color="000000"/>
              <w:right w:val="dotted" w:sz="4" w:space="0" w:color="auto"/>
            </w:tcBorders>
            <w:shd w:val="clear" w:color="000000" w:fill="FFFFFF"/>
            <w:vAlign w:val="center"/>
          </w:tcPr>
          <w:p w14:paraId="4E9955B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29.6</w:t>
            </w:r>
          </w:p>
        </w:tc>
        <w:tc>
          <w:tcPr>
            <w:tcW w:w="850" w:type="dxa"/>
            <w:tcBorders>
              <w:top w:val="nil"/>
              <w:left w:val="nil"/>
              <w:bottom w:val="double" w:sz="6" w:space="0" w:color="000000"/>
              <w:right w:val="double" w:sz="6" w:space="0" w:color="000000"/>
            </w:tcBorders>
            <w:shd w:val="clear" w:color="000000" w:fill="FFFFFF"/>
            <w:vAlign w:val="center"/>
          </w:tcPr>
          <w:p w14:paraId="6B7A372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29.3</w:t>
            </w:r>
          </w:p>
        </w:tc>
      </w:tr>
    </w:tbl>
    <w:p w14:paraId="3BFC3D43" w14:textId="77777777" w:rsidR="006F605B" w:rsidRPr="00DC66CD" w:rsidRDefault="006F605B" w:rsidP="004F4E33">
      <w:pPr>
        <w:spacing w:after="0" w:line="240" w:lineRule="auto"/>
        <w:rPr>
          <w:rFonts w:ascii="Garamond" w:hAnsi="Garamond"/>
          <w:color w:val="0D0D0D" w:themeColor="text1" w:themeTint="F2"/>
          <w:sz w:val="24"/>
          <w:szCs w:val="24"/>
        </w:rPr>
      </w:pPr>
      <w:r w:rsidRPr="00DC66CD">
        <w:rPr>
          <w:rFonts w:ascii="Garamond" w:hAnsi="Garamond"/>
          <w:color w:val="0D0D0D" w:themeColor="text1" w:themeTint="F2"/>
          <w:sz w:val="24"/>
          <w:szCs w:val="24"/>
        </w:rPr>
        <w:t>*This item includes: (i) debt service payments, (ii) contingency fir wages &amp; pensions policies, (iii) reserve fund, and (iv) Local government expenditures</w:t>
      </w:r>
    </w:p>
    <w:p w14:paraId="56C70ADB"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2CF85365"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88" w:name="_Toc536784316"/>
      <w:bookmarkStart w:id="89" w:name="_Toc30661251"/>
      <w:r w:rsidRPr="00DC66CD">
        <w:rPr>
          <w:rFonts w:ascii="Garamond" w:hAnsi="Garamond"/>
          <w:color w:val="auto"/>
          <w:sz w:val="24"/>
          <w:szCs w:val="24"/>
        </w:rPr>
        <w:t xml:space="preserve">Tabela 4: </w:t>
      </w:r>
      <w:bookmarkEnd w:id="88"/>
      <w:r w:rsidRPr="00DC66CD">
        <w:rPr>
          <w:rFonts w:ascii="Garamond" w:hAnsi="Garamond"/>
          <w:color w:val="auto"/>
          <w:sz w:val="24"/>
          <w:szCs w:val="24"/>
        </w:rPr>
        <w:t>Zhvillime të përgjithshme të borxhit të qeverisë</w:t>
      </w:r>
      <w:bookmarkEnd w:id="89"/>
    </w:p>
    <w:tbl>
      <w:tblPr>
        <w:tblW w:w="9642" w:type="dxa"/>
        <w:jc w:val="center"/>
        <w:tblLook w:val="04A0" w:firstRow="1" w:lastRow="0" w:firstColumn="1" w:lastColumn="0" w:noHBand="0" w:noVBand="1"/>
      </w:tblPr>
      <w:tblGrid>
        <w:gridCol w:w="4963"/>
        <w:gridCol w:w="1204"/>
        <w:gridCol w:w="695"/>
        <w:gridCol w:w="695"/>
        <w:gridCol w:w="695"/>
        <w:gridCol w:w="695"/>
        <w:gridCol w:w="695"/>
      </w:tblGrid>
      <w:tr w:rsidR="006F605B" w:rsidRPr="00DC66CD" w14:paraId="17023146" w14:textId="77777777" w:rsidTr="004F4E33">
        <w:trPr>
          <w:trHeight w:val="281"/>
          <w:jc w:val="center"/>
        </w:trPr>
        <w:tc>
          <w:tcPr>
            <w:tcW w:w="4326" w:type="dxa"/>
            <w:vMerge w:val="restart"/>
            <w:tcBorders>
              <w:top w:val="double" w:sz="6" w:space="0" w:color="auto"/>
              <w:left w:val="double" w:sz="6" w:space="0" w:color="auto"/>
              <w:bottom w:val="single" w:sz="8" w:space="0" w:color="000000"/>
              <w:right w:val="dotted" w:sz="4" w:space="0" w:color="auto"/>
            </w:tcBorders>
            <w:shd w:val="clear" w:color="000000" w:fill="FFFFFF"/>
            <w:vAlign w:val="center"/>
            <w:hideMark/>
          </w:tcPr>
          <w:p w14:paraId="4DA40961"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 of GDP</w:t>
            </w:r>
          </w:p>
        </w:tc>
        <w:tc>
          <w:tcPr>
            <w:tcW w:w="0" w:type="auto"/>
            <w:vMerge w:val="restart"/>
            <w:tcBorders>
              <w:top w:val="double" w:sz="6" w:space="0" w:color="auto"/>
              <w:left w:val="dotted" w:sz="4" w:space="0" w:color="auto"/>
              <w:bottom w:val="single" w:sz="8" w:space="0" w:color="000000"/>
              <w:right w:val="single" w:sz="8" w:space="0" w:color="auto"/>
            </w:tcBorders>
            <w:shd w:val="clear" w:color="000000" w:fill="FFFFFF"/>
            <w:vAlign w:val="center"/>
            <w:hideMark/>
          </w:tcPr>
          <w:p w14:paraId="2908B737"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ESA code</w:t>
            </w:r>
          </w:p>
        </w:tc>
        <w:tc>
          <w:tcPr>
            <w:tcW w:w="0" w:type="auto"/>
            <w:tcBorders>
              <w:top w:val="double" w:sz="6" w:space="0" w:color="auto"/>
              <w:left w:val="nil"/>
              <w:bottom w:val="nil"/>
              <w:right w:val="dotted" w:sz="4" w:space="0" w:color="auto"/>
            </w:tcBorders>
            <w:shd w:val="clear" w:color="000000" w:fill="FFFFFF"/>
            <w:vAlign w:val="center"/>
            <w:hideMark/>
          </w:tcPr>
          <w:p w14:paraId="4E697ED0"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4032D67E"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795B6CF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436F8390"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uble" w:sz="6" w:space="0" w:color="auto"/>
            </w:tcBorders>
            <w:shd w:val="clear" w:color="000000" w:fill="FFFFFF"/>
            <w:vAlign w:val="center"/>
            <w:hideMark/>
          </w:tcPr>
          <w:p w14:paraId="28170AB3"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0EE11BE7" w14:textId="77777777" w:rsidTr="004F4E33">
        <w:trPr>
          <w:trHeight w:val="281"/>
          <w:jc w:val="center"/>
        </w:trPr>
        <w:tc>
          <w:tcPr>
            <w:tcW w:w="4326" w:type="dxa"/>
            <w:vMerge/>
            <w:tcBorders>
              <w:top w:val="double" w:sz="6" w:space="0" w:color="auto"/>
              <w:left w:val="double" w:sz="6" w:space="0" w:color="auto"/>
              <w:bottom w:val="single" w:sz="8" w:space="0" w:color="000000"/>
              <w:right w:val="dotted" w:sz="4" w:space="0" w:color="auto"/>
            </w:tcBorders>
            <w:vAlign w:val="center"/>
            <w:hideMark/>
          </w:tcPr>
          <w:p w14:paraId="4A28FF67"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vMerge/>
            <w:tcBorders>
              <w:top w:val="double" w:sz="6" w:space="0" w:color="auto"/>
              <w:left w:val="dotted" w:sz="4" w:space="0" w:color="auto"/>
              <w:bottom w:val="single" w:sz="8" w:space="0" w:color="000000"/>
              <w:right w:val="single" w:sz="8" w:space="0" w:color="auto"/>
            </w:tcBorders>
            <w:vAlign w:val="center"/>
            <w:hideMark/>
          </w:tcPr>
          <w:p w14:paraId="21DAFC5E"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tcBorders>
              <w:top w:val="nil"/>
              <w:left w:val="nil"/>
              <w:bottom w:val="single" w:sz="8" w:space="0" w:color="auto"/>
              <w:right w:val="dotted" w:sz="4" w:space="0" w:color="auto"/>
            </w:tcBorders>
            <w:shd w:val="clear" w:color="000000" w:fill="FFFFFF"/>
            <w:vAlign w:val="center"/>
            <w:hideMark/>
          </w:tcPr>
          <w:p w14:paraId="691075D7"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0" w:type="auto"/>
            <w:tcBorders>
              <w:top w:val="nil"/>
              <w:left w:val="nil"/>
              <w:bottom w:val="single" w:sz="8" w:space="0" w:color="auto"/>
              <w:right w:val="dotted" w:sz="4" w:space="0" w:color="auto"/>
            </w:tcBorders>
            <w:shd w:val="clear" w:color="000000" w:fill="FFFFFF"/>
            <w:vAlign w:val="center"/>
            <w:hideMark/>
          </w:tcPr>
          <w:p w14:paraId="3785B530"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0" w:type="auto"/>
            <w:tcBorders>
              <w:top w:val="nil"/>
              <w:left w:val="nil"/>
              <w:bottom w:val="single" w:sz="8" w:space="0" w:color="auto"/>
              <w:right w:val="dotted" w:sz="4" w:space="0" w:color="auto"/>
            </w:tcBorders>
            <w:shd w:val="clear" w:color="000000" w:fill="FFFFFF"/>
            <w:vAlign w:val="center"/>
            <w:hideMark/>
          </w:tcPr>
          <w:p w14:paraId="1F84C47C"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0" w:type="auto"/>
            <w:tcBorders>
              <w:top w:val="nil"/>
              <w:left w:val="nil"/>
              <w:bottom w:val="single" w:sz="8" w:space="0" w:color="auto"/>
              <w:right w:val="dotted" w:sz="4" w:space="0" w:color="auto"/>
            </w:tcBorders>
            <w:shd w:val="clear" w:color="000000" w:fill="FFFFFF"/>
            <w:vAlign w:val="center"/>
            <w:hideMark/>
          </w:tcPr>
          <w:p w14:paraId="43729EEA"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0" w:type="auto"/>
            <w:tcBorders>
              <w:top w:val="nil"/>
              <w:left w:val="nil"/>
              <w:bottom w:val="single" w:sz="8" w:space="0" w:color="auto"/>
              <w:right w:val="double" w:sz="6" w:space="0" w:color="auto"/>
            </w:tcBorders>
            <w:shd w:val="clear" w:color="000000" w:fill="FFFFFF"/>
            <w:vAlign w:val="center"/>
            <w:hideMark/>
          </w:tcPr>
          <w:p w14:paraId="1F4756FE"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347F1552" w14:textId="77777777" w:rsidTr="00131DA1">
        <w:trPr>
          <w:trHeight w:val="281"/>
          <w:jc w:val="center"/>
        </w:trPr>
        <w:tc>
          <w:tcPr>
            <w:tcW w:w="4326" w:type="dxa"/>
            <w:tcBorders>
              <w:top w:val="nil"/>
              <w:left w:val="double" w:sz="6" w:space="0" w:color="auto"/>
              <w:bottom w:val="single" w:sz="8" w:space="0" w:color="auto"/>
              <w:right w:val="dotted" w:sz="4" w:space="0" w:color="auto"/>
            </w:tcBorders>
            <w:shd w:val="clear" w:color="auto" w:fill="auto"/>
            <w:noWrap/>
            <w:vAlign w:val="bottom"/>
            <w:hideMark/>
          </w:tcPr>
          <w:p w14:paraId="6CF82749" w14:textId="3E849277" w:rsidR="006F605B" w:rsidRPr="00DC66CD" w:rsidRDefault="0072211B" w:rsidP="00131DA1">
            <w:pPr>
              <w:spacing w:after="0" w:line="240" w:lineRule="auto"/>
              <w:jc w:val="both"/>
              <w:rPr>
                <w:rFonts w:ascii="Garamond" w:hAnsi="Garamond"/>
                <w:bCs/>
                <w:color w:val="0D0D0D" w:themeColor="text1" w:themeTint="F2"/>
                <w:sz w:val="20"/>
                <w:szCs w:val="20"/>
              </w:rPr>
            </w:pPr>
            <w:r w:rsidRPr="00DC66CD">
              <w:rPr>
                <w:rFonts w:ascii="Garamond" w:hAnsi="Garamond"/>
                <w:bCs/>
                <w:color w:val="0D0D0D" w:themeColor="text1" w:themeTint="F2"/>
                <w:sz w:val="20"/>
                <w:szCs w:val="20"/>
              </w:rPr>
              <w:t xml:space="preserve"> </w:t>
            </w:r>
            <w:r w:rsidR="006F605B" w:rsidRPr="00DC66CD">
              <w:rPr>
                <w:rFonts w:ascii="Garamond" w:hAnsi="Garamond"/>
                <w:bCs/>
                <w:color w:val="0D0D0D" w:themeColor="text1" w:themeTint="F2"/>
                <w:sz w:val="20"/>
                <w:szCs w:val="20"/>
              </w:rPr>
              <w:t>1. Gross debt</w:t>
            </w:r>
            <w:r w:rsidR="006F605B" w:rsidRPr="00DC66CD">
              <w:rPr>
                <w:rStyle w:val="FootnoteReference"/>
                <w:rFonts w:ascii="Garamond" w:hAnsi="Garamond"/>
                <w:bCs/>
                <w:color w:val="0D0D0D" w:themeColor="text1" w:themeTint="F2"/>
                <w:sz w:val="20"/>
                <w:szCs w:val="20"/>
              </w:rPr>
              <w:footnoteReference w:id="61"/>
            </w:r>
          </w:p>
        </w:tc>
        <w:tc>
          <w:tcPr>
            <w:tcW w:w="0" w:type="auto"/>
            <w:tcBorders>
              <w:top w:val="nil"/>
              <w:left w:val="nil"/>
              <w:bottom w:val="single" w:sz="8" w:space="0" w:color="auto"/>
              <w:right w:val="single" w:sz="8" w:space="0" w:color="auto"/>
            </w:tcBorders>
            <w:shd w:val="clear" w:color="000000" w:fill="FFFFFF"/>
            <w:vAlign w:val="center"/>
            <w:hideMark/>
          </w:tcPr>
          <w:p w14:paraId="0708087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nil"/>
              <w:bottom w:val="single" w:sz="8" w:space="0" w:color="auto"/>
              <w:right w:val="dotted" w:sz="4" w:space="0" w:color="auto"/>
            </w:tcBorders>
            <w:shd w:val="clear" w:color="000000" w:fill="FFFFFF"/>
            <w:vAlign w:val="center"/>
          </w:tcPr>
          <w:p w14:paraId="5A399B44" w14:textId="77777777" w:rsidR="006F605B" w:rsidRPr="00DC66CD" w:rsidRDefault="006F605B" w:rsidP="00131DA1">
            <w:pPr>
              <w:spacing w:after="0" w:line="240" w:lineRule="auto"/>
              <w:jc w:val="right"/>
              <w:rPr>
                <w:rFonts w:ascii="Garamond" w:eastAsia="Times New Roman" w:hAnsi="Garamond"/>
                <w:sz w:val="20"/>
                <w:szCs w:val="20"/>
              </w:rPr>
            </w:pPr>
            <w:r w:rsidRPr="00DC66CD">
              <w:rPr>
                <w:rFonts w:ascii="Garamond" w:hAnsi="Garamond"/>
                <w:sz w:val="20"/>
                <w:szCs w:val="20"/>
              </w:rPr>
              <w:t>67.9</w:t>
            </w:r>
          </w:p>
        </w:tc>
        <w:tc>
          <w:tcPr>
            <w:tcW w:w="0" w:type="auto"/>
            <w:tcBorders>
              <w:top w:val="nil"/>
              <w:left w:val="nil"/>
              <w:bottom w:val="single" w:sz="8" w:space="0" w:color="auto"/>
              <w:right w:val="dotted" w:sz="4" w:space="0" w:color="auto"/>
            </w:tcBorders>
            <w:shd w:val="clear" w:color="000000" w:fill="FFFFFF"/>
            <w:vAlign w:val="center"/>
          </w:tcPr>
          <w:p w14:paraId="6F0657F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66.2</w:t>
            </w:r>
          </w:p>
        </w:tc>
        <w:tc>
          <w:tcPr>
            <w:tcW w:w="0" w:type="auto"/>
            <w:tcBorders>
              <w:top w:val="nil"/>
              <w:left w:val="nil"/>
              <w:bottom w:val="single" w:sz="8" w:space="0" w:color="auto"/>
              <w:right w:val="dotted" w:sz="4" w:space="0" w:color="auto"/>
            </w:tcBorders>
            <w:shd w:val="clear" w:color="000000" w:fill="FFFFFF"/>
            <w:vAlign w:val="center"/>
          </w:tcPr>
          <w:p w14:paraId="61699DE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65.4</w:t>
            </w:r>
          </w:p>
        </w:tc>
        <w:tc>
          <w:tcPr>
            <w:tcW w:w="0" w:type="auto"/>
            <w:tcBorders>
              <w:top w:val="nil"/>
              <w:left w:val="nil"/>
              <w:bottom w:val="single" w:sz="8" w:space="0" w:color="auto"/>
              <w:right w:val="dotted" w:sz="4" w:space="0" w:color="auto"/>
            </w:tcBorders>
            <w:shd w:val="clear" w:color="000000" w:fill="FFFFFF"/>
            <w:vAlign w:val="center"/>
          </w:tcPr>
          <w:p w14:paraId="2BDACA6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62.3</w:t>
            </w:r>
          </w:p>
        </w:tc>
        <w:tc>
          <w:tcPr>
            <w:tcW w:w="0" w:type="auto"/>
            <w:tcBorders>
              <w:top w:val="nil"/>
              <w:left w:val="nil"/>
              <w:bottom w:val="single" w:sz="8" w:space="0" w:color="auto"/>
              <w:right w:val="double" w:sz="6" w:space="0" w:color="auto"/>
            </w:tcBorders>
            <w:shd w:val="clear" w:color="000000" w:fill="FFFFFF"/>
            <w:vAlign w:val="center"/>
          </w:tcPr>
          <w:p w14:paraId="0392DEEE"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62.0</w:t>
            </w:r>
          </w:p>
        </w:tc>
      </w:tr>
      <w:tr w:rsidR="006F605B" w:rsidRPr="00DC66CD" w14:paraId="1FE1DF55" w14:textId="77777777" w:rsidTr="00131DA1">
        <w:trPr>
          <w:trHeight w:val="281"/>
          <w:jc w:val="center"/>
        </w:trPr>
        <w:tc>
          <w:tcPr>
            <w:tcW w:w="4326" w:type="dxa"/>
            <w:tcBorders>
              <w:top w:val="nil"/>
              <w:left w:val="double" w:sz="6" w:space="0" w:color="auto"/>
              <w:bottom w:val="single" w:sz="8" w:space="0" w:color="auto"/>
              <w:right w:val="dotted" w:sz="4" w:space="0" w:color="auto"/>
            </w:tcBorders>
            <w:shd w:val="clear" w:color="000000" w:fill="FFFFFF"/>
            <w:vAlign w:val="center"/>
            <w:hideMark/>
          </w:tcPr>
          <w:p w14:paraId="0A61C1DC" w14:textId="66CABC50" w:rsidR="006F605B" w:rsidRPr="00DC66CD" w:rsidRDefault="0072211B" w:rsidP="00131DA1">
            <w:pPr>
              <w:spacing w:after="0" w:line="240" w:lineRule="auto"/>
              <w:jc w:val="both"/>
              <w:rPr>
                <w:rFonts w:ascii="Garamond" w:hAnsi="Garamond"/>
                <w:bCs/>
                <w:color w:val="0D0D0D" w:themeColor="text1" w:themeTint="F2"/>
                <w:sz w:val="20"/>
                <w:szCs w:val="20"/>
              </w:rPr>
            </w:pPr>
            <w:r w:rsidRPr="00DC66CD">
              <w:rPr>
                <w:rFonts w:ascii="Garamond" w:hAnsi="Garamond"/>
                <w:bCs/>
                <w:color w:val="0D0D0D" w:themeColor="text1" w:themeTint="F2"/>
                <w:sz w:val="20"/>
                <w:szCs w:val="20"/>
              </w:rPr>
              <w:t xml:space="preserve"> </w:t>
            </w:r>
            <w:r w:rsidR="006F605B" w:rsidRPr="00DC66CD">
              <w:rPr>
                <w:rFonts w:ascii="Garamond" w:hAnsi="Garamond"/>
                <w:bCs/>
                <w:color w:val="0D0D0D" w:themeColor="text1" w:themeTint="F2"/>
                <w:sz w:val="20"/>
                <w:szCs w:val="20"/>
              </w:rPr>
              <w:t>2. Change in gross debt ratio</w:t>
            </w:r>
          </w:p>
        </w:tc>
        <w:tc>
          <w:tcPr>
            <w:tcW w:w="0" w:type="auto"/>
            <w:tcBorders>
              <w:top w:val="nil"/>
              <w:left w:val="nil"/>
              <w:bottom w:val="single" w:sz="8" w:space="0" w:color="auto"/>
              <w:right w:val="single" w:sz="8" w:space="0" w:color="auto"/>
            </w:tcBorders>
            <w:shd w:val="clear" w:color="000000" w:fill="FFFFFF"/>
            <w:vAlign w:val="center"/>
            <w:hideMark/>
          </w:tcPr>
          <w:p w14:paraId="6356CAF1"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nil"/>
              <w:bottom w:val="single" w:sz="8" w:space="0" w:color="auto"/>
              <w:right w:val="dotted" w:sz="4" w:space="0" w:color="auto"/>
            </w:tcBorders>
            <w:shd w:val="clear" w:color="000000" w:fill="FFFFFF"/>
            <w:vAlign w:val="center"/>
          </w:tcPr>
          <w:p w14:paraId="13B47E5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c>
          <w:tcPr>
            <w:tcW w:w="0" w:type="auto"/>
            <w:tcBorders>
              <w:top w:val="nil"/>
              <w:left w:val="nil"/>
              <w:bottom w:val="single" w:sz="8" w:space="0" w:color="auto"/>
              <w:right w:val="dotted" w:sz="4" w:space="0" w:color="auto"/>
            </w:tcBorders>
            <w:shd w:val="clear" w:color="000000" w:fill="FFFFFF"/>
            <w:vAlign w:val="center"/>
          </w:tcPr>
          <w:p w14:paraId="0E5F433F"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-1.7</w:t>
            </w:r>
          </w:p>
        </w:tc>
        <w:tc>
          <w:tcPr>
            <w:tcW w:w="0" w:type="auto"/>
            <w:tcBorders>
              <w:top w:val="nil"/>
              <w:left w:val="nil"/>
              <w:bottom w:val="single" w:sz="8" w:space="0" w:color="auto"/>
              <w:right w:val="dotted" w:sz="4" w:space="0" w:color="auto"/>
            </w:tcBorders>
            <w:shd w:val="clear" w:color="000000" w:fill="FFFFFF"/>
            <w:vAlign w:val="center"/>
          </w:tcPr>
          <w:p w14:paraId="77A37C7C"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-0.7</w:t>
            </w:r>
          </w:p>
        </w:tc>
        <w:tc>
          <w:tcPr>
            <w:tcW w:w="0" w:type="auto"/>
            <w:tcBorders>
              <w:top w:val="nil"/>
              <w:left w:val="nil"/>
              <w:bottom w:val="single" w:sz="8" w:space="0" w:color="auto"/>
              <w:right w:val="dotted" w:sz="4" w:space="0" w:color="auto"/>
            </w:tcBorders>
            <w:shd w:val="clear" w:color="000000" w:fill="FFFFFF"/>
            <w:vAlign w:val="center"/>
          </w:tcPr>
          <w:p w14:paraId="55EB8E8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-3.1</w:t>
            </w:r>
          </w:p>
        </w:tc>
        <w:tc>
          <w:tcPr>
            <w:tcW w:w="0" w:type="auto"/>
            <w:tcBorders>
              <w:top w:val="nil"/>
              <w:left w:val="nil"/>
              <w:bottom w:val="single" w:sz="8" w:space="0" w:color="auto"/>
              <w:right w:val="double" w:sz="6" w:space="0" w:color="auto"/>
            </w:tcBorders>
            <w:shd w:val="clear" w:color="000000" w:fill="FFFFFF"/>
            <w:vAlign w:val="center"/>
          </w:tcPr>
          <w:p w14:paraId="48C7465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-0.3</w:t>
            </w:r>
          </w:p>
        </w:tc>
      </w:tr>
      <w:tr w:rsidR="006F605B" w:rsidRPr="00DC66CD" w14:paraId="65CDB1E6" w14:textId="77777777" w:rsidTr="00131DA1">
        <w:trPr>
          <w:trHeight w:val="281"/>
          <w:jc w:val="center"/>
        </w:trPr>
        <w:tc>
          <w:tcPr>
            <w:tcW w:w="9642" w:type="dxa"/>
            <w:gridSpan w:val="7"/>
            <w:tcBorders>
              <w:top w:val="single" w:sz="8" w:space="0" w:color="auto"/>
              <w:left w:val="double" w:sz="6" w:space="0" w:color="auto"/>
              <w:bottom w:val="single" w:sz="8" w:space="0" w:color="auto"/>
              <w:right w:val="double" w:sz="6" w:space="0" w:color="000000"/>
            </w:tcBorders>
            <w:shd w:val="clear" w:color="000000" w:fill="FFFFFF"/>
            <w:vAlign w:val="center"/>
            <w:hideMark/>
          </w:tcPr>
          <w:p w14:paraId="3741790D" w14:textId="77777777" w:rsidR="006F605B" w:rsidRPr="00DC66CD" w:rsidRDefault="006F605B" w:rsidP="00131DA1">
            <w:pPr>
              <w:spacing w:after="0" w:line="240" w:lineRule="auto"/>
              <w:jc w:val="both"/>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Contributions to change in gross debt</w:t>
            </w:r>
          </w:p>
        </w:tc>
      </w:tr>
      <w:tr w:rsidR="006F605B" w:rsidRPr="00DC66CD" w14:paraId="66FB643D" w14:textId="77777777" w:rsidTr="00131DA1">
        <w:trPr>
          <w:trHeight w:val="281"/>
          <w:jc w:val="center"/>
        </w:trPr>
        <w:tc>
          <w:tcPr>
            <w:tcW w:w="4326" w:type="dxa"/>
            <w:tcBorders>
              <w:top w:val="nil"/>
              <w:left w:val="double" w:sz="6" w:space="0" w:color="auto"/>
              <w:bottom w:val="nil"/>
              <w:right w:val="dotted" w:sz="4" w:space="0" w:color="auto"/>
            </w:tcBorders>
            <w:shd w:val="clear" w:color="auto" w:fill="auto"/>
            <w:noWrap/>
            <w:vAlign w:val="bottom"/>
            <w:hideMark/>
          </w:tcPr>
          <w:p w14:paraId="1F2EBE04" w14:textId="4C3A23D4" w:rsidR="006F605B" w:rsidRPr="00DC66CD" w:rsidRDefault="0072211B" w:rsidP="00131DA1">
            <w:pPr>
              <w:spacing w:after="0" w:line="240" w:lineRule="auto"/>
              <w:jc w:val="both"/>
              <w:rPr>
                <w:rFonts w:ascii="Garamond" w:hAnsi="Garamond"/>
                <w:bCs/>
                <w:color w:val="0D0D0D" w:themeColor="text1" w:themeTint="F2"/>
                <w:sz w:val="20"/>
                <w:szCs w:val="20"/>
              </w:rPr>
            </w:pPr>
            <w:r w:rsidRPr="00DC66CD">
              <w:rPr>
                <w:rFonts w:ascii="Garamond" w:hAnsi="Garamond"/>
                <w:bCs/>
                <w:color w:val="0D0D0D" w:themeColor="text1" w:themeTint="F2"/>
                <w:sz w:val="20"/>
                <w:szCs w:val="20"/>
              </w:rPr>
              <w:t xml:space="preserve"> </w:t>
            </w:r>
            <w:r w:rsidR="006F605B" w:rsidRPr="00DC66CD">
              <w:rPr>
                <w:rFonts w:ascii="Garamond" w:hAnsi="Garamond"/>
                <w:bCs/>
                <w:color w:val="0D0D0D" w:themeColor="text1" w:themeTint="F2"/>
                <w:sz w:val="20"/>
                <w:szCs w:val="20"/>
              </w:rPr>
              <w:t>3. Primary balance</w:t>
            </w:r>
            <w:r w:rsidR="006F605B" w:rsidRPr="00DC66CD">
              <w:rPr>
                <w:rStyle w:val="FootnoteReference"/>
                <w:rFonts w:ascii="Garamond" w:hAnsi="Garamond"/>
                <w:bCs/>
                <w:color w:val="0D0D0D" w:themeColor="text1" w:themeTint="F2"/>
                <w:sz w:val="20"/>
                <w:szCs w:val="20"/>
              </w:rPr>
              <w:footnoteReference w:id="62"/>
            </w:r>
          </w:p>
        </w:tc>
        <w:tc>
          <w:tcPr>
            <w:tcW w:w="0" w:type="auto"/>
            <w:tcBorders>
              <w:top w:val="nil"/>
              <w:left w:val="nil"/>
              <w:bottom w:val="dotted" w:sz="4" w:space="0" w:color="auto"/>
              <w:right w:val="single" w:sz="8" w:space="0" w:color="auto"/>
            </w:tcBorders>
            <w:shd w:val="clear" w:color="000000" w:fill="FFFFFF"/>
            <w:vAlign w:val="center"/>
            <w:hideMark/>
          </w:tcPr>
          <w:p w14:paraId="5F3C63C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nil"/>
              <w:bottom w:val="dotted" w:sz="4" w:space="0" w:color="auto"/>
              <w:right w:val="dotted" w:sz="4" w:space="0" w:color="auto"/>
            </w:tcBorders>
            <w:shd w:val="clear" w:color="000000" w:fill="FFFFFF"/>
            <w:vAlign w:val="center"/>
          </w:tcPr>
          <w:p w14:paraId="2ACD0909" w14:textId="77777777" w:rsidR="006F605B" w:rsidRPr="00DC66CD" w:rsidRDefault="006F605B" w:rsidP="00131DA1">
            <w:pPr>
              <w:spacing w:after="0" w:line="240" w:lineRule="auto"/>
              <w:jc w:val="right"/>
              <w:rPr>
                <w:rFonts w:ascii="Garamond" w:eastAsia="Times New Roman" w:hAnsi="Garamond"/>
                <w:sz w:val="20"/>
                <w:szCs w:val="20"/>
              </w:rPr>
            </w:pPr>
            <w:r w:rsidRPr="00DC66CD">
              <w:rPr>
                <w:rFonts w:ascii="Garamond" w:hAnsi="Garamond"/>
                <w:sz w:val="20"/>
                <w:szCs w:val="20"/>
              </w:rPr>
              <w:t>-0.63</w:t>
            </w:r>
          </w:p>
        </w:tc>
        <w:tc>
          <w:tcPr>
            <w:tcW w:w="0" w:type="auto"/>
            <w:tcBorders>
              <w:top w:val="nil"/>
              <w:left w:val="nil"/>
              <w:bottom w:val="dotted" w:sz="4" w:space="0" w:color="auto"/>
              <w:right w:val="dotted" w:sz="4" w:space="0" w:color="auto"/>
            </w:tcBorders>
            <w:shd w:val="clear" w:color="000000" w:fill="FFFFFF"/>
            <w:vAlign w:val="center"/>
          </w:tcPr>
          <w:p w14:paraId="16E0712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-0.2</w:t>
            </w:r>
          </w:p>
        </w:tc>
        <w:tc>
          <w:tcPr>
            <w:tcW w:w="0" w:type="auto"/>
            <w:tcBorders>
              <w:top w:val="nil"/>
              <w:left w:val="nil"/>
              <w:bottom w:val="dotted" w:sz="4" w:space="0" w:color="auto"/>
              <w:right w:val="dotted" w:sz="4" w:space="0" w:color="auto"/>
            </w:tcBorders>
            <w:shd w:val="clear" w:color="000000" w:fill="FFFFFF"/>
            <w:vAlign w:val="center"/>
          </w:tcPr>
          <w:p w14:paraId="3B6147DF"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-0.1</w:t>
            </w:r>
          </w:p>
        </w:tc>
        <w:tc>
          <w:tcPr>
            <w:tcW w:w="0" w:type="auto"/>
            <w:tcBorders>
              <w:top w:val="nil"/>
              <w:left w:val="nil"/>
              <w:bottom w:val="dotted" w:sz="4" w:space="0" w:color="auto"/>
              <w:right w:val="dotted" w:sz="4" w:space="0" w:color="auto"/>
            </w:tcBorders>
            <w:shd w:val="clear" w:color="000000" w:fill="FFFFFF"/>
            <w:vAlign w:val="center"/>
          </w:tcPr>
          <w:p w14:paraId="1E0F0F0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-0.5</w:t>
            </w:r>
          </w:p>
        </w:tc>
        <w:tc>
          <w:tcPr>
            <w:tcW w:w="0" w:type="auto"/>
            <w:tcBorders>
              <w:top w:val="nil"/>
              <w:left w:val="nil"/>
              <w:bottom w:val="dotted" w:sz="4" w:space="0" w:color="auto"/>
              <w:right w:val="double" w:sz="6" w:space="0" w:color="auto"/>
            </w:tcBorders>
            <w:shd w:val="clear" w:color="000000" w:fill="FFFFFF"/>
            <w:vAlign w:val="center"/>
          </w:tcPr>
          <w:p w14:paraId="42C0514A"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-0.8</w:t>
            </w:r>
          </w:p>
        </w:tc>
      </w:tr>
      <w:tr w:rsidR="006F605B" w:rsidRPr="00DC66CD" w14:paraId="108A5E7C" w14:textId="77777777" w:rsidTr="00131DA1">
        <w:trPr>
          <w:trHeight w:val="281"/>
          <w:jc w:val="center"/>
        </w:trPr>
        <w:tc>
          <w:tcPr>
            <w:tcW w:w="4326" w:type="dxa"/>
            <w:tcBorders>
              <w:top w:val="dotted" w:sz="4" w:space="0" w:color="auto"/>
              <w:left w:val="double" w:sz="6" w:space="0" w:color="auto"/>
              <w:bottom w:val="dotted" w:sz="4" w:space="0" w:color="auto"/>
              <w:right w:val="dotted" w:sz="4" w:space="0" w:color="auto"/>
            </w:tcBorders>
            <w:shd w:val="clear" w:color="auto" w:fill="auto"/>
            <w:noWrap/>
            <w:vAlign w:val="bottom"/>
            <w:hideMark/>
          </w:tcPr>
          <w:p w14:paraId="554168A0" w14:textId="7A25DD51" w:rsidR="006F605B" w:rsidRPr="00DC66CD" w:rsidRDefault="0072211B" w:rsidP="00131DA1">
            <w:pPr>
              <w:spacing w:after="0" w:line="240" w:lineRule="auto"/>
              <w:jc w:val="both"/>
              <w:rPr>
                <w:rFonts w:ascii="Garamond" w:hAnsi="Garamond"/>
                <w:bCs/>
                <w:color w:val="0D0D0D" w:themeColor="text1" w:themeTint="F2"/>
                <w:sz w:val="20"/>
                <w:szCs w:val="20"/>
              </w:rPr>
            </w:pPr>
            <w:r w:rsidRPr="00DC66CD">
              <w:rPr>
                <w:rFonts w:ascii="Garamond" w:hAnsi="Garamond"/>
                <w:bCs/>
                <w:color w:val="0D0D0D" w:themeColor="text1" w:themeTint="F2"/>
                <w:sz w:val="20"/>
                <w:szCs w:val="20"/>
              </w:rPr>
              <w:t xml:space="preserve"> </w:t>
            </w:r>
            <w:r w:rsidR="006F605B" w:rsidRPr="00DC66CD">
              <w:rPr>
                <w:rFonts w:ascii="Garamond" w:hAnsi="Garamond"/>
                <w:bCs/>
                <w:color w:val="0D0D0D" w:themeColor="text1" w:themeTint="F2"/>
                <w:sz w:val="20"/>
                <w:szCs w:val="20"/>
              </w:rPr>
              <w:t>4. Interest expenditure</w:t>
            </w:r>
            <w:r w:rsidR="006F605B" w:rsidRPr="00DC66CD">
              <w:rPr>
                <w:rStyle w:val="FootnoteReference"/>
                <w:rFonts w:ascii="Garamond" w:hAnsi="Garamond"/>
                <w:bCs/>
                <w:color w:val="0D0D0D" w:themeColor="text1" w:themeTint="F2"/>
                <w:sz w:val="20"/>
                <w:szCs w:val="20"/>
              </w:rPr>
              <w:footnoteReference w:id="63"/>
            </w:r>
          </w:p>
        </w:tc>
        <w:tc>
          <w:tcPr>
            <w:tcW w:w="0" w:type="auto"/>
            <w:tcBorders>
              <w:top w:val="nil"/>
              <w:left w:val="nil"/>
              <w:bottom w:val="dotted" w:sz="4" w:space="0" w:color="auto"/>
              <w:right w:val="single" w:sz="8" w:space="0" w:color="auto"/>
            </w:tcBorders>
            <w:shd w:val="clear" w:color="000000" w:fill="FFFFFF"/>
            <w:vAlign w:val="center"/>
            <w:hideMark/>
          </w:tcPr>
          <w:p w14:paraId="4957B49D"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EDP D.41</w:t>
            </w:r>
          </w:p>
        </w:tc>
        <w:tc>
          <w:tcPr>
            <w:tcW w:w="0" w:type="auto"/>
            <w:tcBorders>
              <w:top w:val="nil"/>
              <w:left w:val="nil"/>
              <w:bottom w:val="dotted" w:sz="4" w:space="0" w:color="auto"/>
              <w:right w:val="dotted" w:sz="4" w:space="0" w:color="auto"/>
            </w:tcBorders>
            <w:shd w:val="clear" w:color="000000" w:fill="FFFFFF"/>
            <w:vAlign w:val="center"/>
          </w:tcPr>
          <w:p w14:paraId="44B8D9D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2.24</w:t>
            </w:r>
          </w:p>
        </w:tc>
        <w:tc>
          <w:tcPr>
            <w:tcW w:w="0" w:type="auto"/>
            <w:tcBorders>
              <w:top w:val="nil"/>
              <w:left w:val="nil"/>
              <w:bottom w:val="dotted" w:sz="4" w:space="0" w:color="auto"/>
              <w:right w:val="dotted" w:sz="4" w:space="0" w:color="auto"/>
            </w:tcBorders>
            <w:shd w:val="clear" w:color="000000" w:fill="FFFFFF"/>
            <w:vAlign w:val="center"/>
          </w:tcPr>
          <w:p w14:paraId="028A72D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2.1</w:t>
            </w:r>
          </w:p>
        </w:tc>
        <w:tc>
          <w:tcPr>
            <w:tcW w:w="0" w:type="auto"/>
            <w:tcBorders>
              <w:top w:val="nil"/>
              <w:left w:val="nil"/>
              <w:bottom w:val="dotted" w:sz="4" w:space="0" w:color="auto"/>
              <w:right w:val="dotted" w:sz="4" w:space="0" w:color="auto"/>
            </w:tcBorders>
            <w:shd w:val="clear" w:color="000000" w:fill="FFFFFF"/>
            <w:vAlign w:val="center"/>
          </w:tcPr>
          <w:p w14:paraId="14645223"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2.3</w:t>
            </w:r>
          </w:p>
        </w:tc>
        <w:tc>
          <w:tcPr>
            <w:tcW w:w="0" w:type="auto"/>
            <w:tcBorders>
              <w:top w:val="nil"/>
              <w:left w:val="nil"/>
              <w:bottom w:val="dotted" w:sz="4" w:space="0" w:color="auto"/>
              <w:right w:val="dotted" w:sz="4" w:space="0" w:color="auto"/>
            </w:tcBorders>
            <w:shd w:val="clear" w:color="000000" w:fill="FFFFFF"/>
            <w:vAlign w:val="center"/>
          </w:tcPr>
          <w:p w14:paraId="67AFCCC0"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2.5</w:t>
            </w:r>
          </w:p>
        </w:tc>
        <w:tc>
          <w:tcPr>
            <w:tcW w:w="0" w:type="auto"/>
            <w:tcBorders>
              <w:top w:val="nil"/>
              <w:left w:val="nil"/>
              <w:bottom w:val="dotted" w:sz="4" w:space="0" w:color="auto"/>
              <w:right w:val="double" w:sz="6" w:space="0" w:color="auto"/>
            </w:tcBorders>
            <w:shd w:val="clear" w:color="000000" w:fill="FFFFFF"/>
            <w:vAlign w:val="center"/>
          </w:tcPr>
          <w:p w14:paraId="5E4ECFE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2.5</w:t>
            </w:r>
          </w:p>
        </w:tc>
      </w:tr>
      <w:tr w:rsidR="006F605B" w:rsidRPr="00DC66CD" w14:paraId="4F5EEA1D" w14:textId="77777777" w:rsidTr="00131DA1">
        <w:trPr>
          <w:trHeight w:val="281"/>
          <w:jc w:val="center"/>
        </w:trPr>
        <w:tc>
          <w:tcPr>
            <w:tcW w:w="4326" w:type="dxa"/>
            <w:tcBorders>
              <w:top w:val="nil"/>
              <w:left w:val="double" w:sz="6" w:space="0" w:color="auto"/>
              <w:bottom w:val="single" w:sz="4" w:space="0" w:color="auto"/>
              <w:right w:val="dotted" w:sz="4" w:space="0" w:color="auto"/>
            </w:tcBorders>
            <w:shd w:val="clear" w:color="000000" w:fill="FFFFFF"/>
            <w:vAlign w:val="center"/>
            <w:hideMark/>
          </w:tcPr>
          <w:p w14:paraId="275769CE" w14:textId="6C5F399D" w:rsidR="006F605B" w:rsidRPr="00DC66CD" w:rsidRDefault="0072211B" w:rsidP="00131DA1">
            <w:pPr>
              <w:spacing w:after="0" w:line="240" w:lineRule="auto"/>
              <w:jc w:val="both"/>
              <w:rPr>
                <w:rFonts w:ascii="Garamond" w:hAnsi="Garamond"/>
                <w:bCs/>
                <w:color w:val="0D0D0D" w:themeColor="text1" w:themeTint="F2"/>
                <w:sz w:val="20"/>
                <w:szCs w:val="20"/>
              </w:rPr>
            </w:pPr>
            <w:r w:rsidRPr="00DC66CD">
              <w:rPr>
                <w:rFonts w:ascii="Garamond" w:hAnsi="Garamond"/>
                <w:bCs/>
                <w:color w:val="0D0D0D" w:themeColor="text1" w:themeTint="F2"/>
                <w:sz w:val="20"/>
                <w:szCs w:val="20"/>
              </w:rPr>
              <w:t xml:space="preserve"> </w:t>
            </w:r>
            <w:r w:rsidR="006F605B" w:rsidRPr="00DC66CD">
              <w:rPr>
                <w:rFonts w:ascii="Garamond" w:hAnsi="Garamond"/>
                <w:bCs/>
                <w:color w:val="0D0D0D" w:themeColor="text1" w:themeTint="F2"/>
                <w:sz w:val="20"/>
                <w:szCs w:val="20"/>
              </w:rPr>
              <w:t>5. Stock-flow adjustment</w:t>
            </w:r>
          </w:p>
        </w:tc>
        <w:tc>
          <w:tcPr>
            <w:tcW w:w="0" w:type="auto"/>
            <w:tcBorders>
              <w:top w:val="nil"/>
              <w:left w:val="nil"/>
              <w:bottom w:val="single" w:sz="4" w:space="0" w:color="auto"/>
              <w:right w:val="single" w:sz="8" w:space="0" w:color="auto"/>
            </w:tcBorders>
            <w:shd w:val="clear" w:color="000000" w:fill="FFFFFF"/>
            <w:vAlign w:val="center"/>
            <w:hideMark/>
          </w:tcPr>
          <w:p w14:paraId="5F82C47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nil"/>
              <w:bottom w:val="single" w:sz="4" w:space="0" w:color="auto"/>
              <w:right w:val="dotted" w:sz="4" w:space="0" w:color="auto"/>
            </w:tcBorders>
            <w:shd w:val="clear" w:color="000000" w:fill="FFFFFF"/>
            <w:vAlign w:val="center"/>
          </w:tcPr>
          <w:p w14:paraId="36B932F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-1.6</w:t>
            </w:r>
          </w:p>
        </w:tc>
        <w:tc>
          <w:tcPr>
            <w:tcW w:w="0" w:type="auto"/>
            <w:tcBorders>
              <w:top w:val="nil"/>
              <w:left w:val="nil"/>
              <w:bottom w:val="single" w:sz="4" w:space="0" w:color="auto"/>
              <w:right w:val="dotted" w:sz="4" w:space="0" w:color="auto"/>
            </w:tcBorders>
            <w:shd w:val="clear" w:color="000000" w:fill="FFFFFF"/>
            <w:vAlign w:val="center"/>
          </w:tcPr>
          <w:p w14:paraId="79E5577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-3.7</w:t>
            </w:r>
          </w:p>
        </w:tc>
        <w:tc>
          <w:tcPr>
            <w:tcW w:w="0" w:type="auto"/>
            <w:tcBorders>
              <w:top w:val="nil"/>
              <w:left w:val="nil"/>
              <w:bottom w:val="single" w:sz="4" w:space="0" w:color="auto"/>
              <w:right w:val="dotted" w:sz="4" w:space="0" w:color="auto"/>
            </w:tcBorders>
            <w:shd w:val="clear" w:color="000000" w:fill="FFFFFF"/>
            <w:vAlign w:val="center"/>
          </w:tcPr>
          <w:p w14:paraId="6E5873D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-3.0</w:t>
            </w:r>
          </w:p>
        </w:tc>
        <w:tc>
          <w:tcPr>
            <w:tcW w:w="0" w:type="auto"/>
            <w:tcBorders>
              <w:top w:val="nil"/>
              <w:left w:val="nil"/>
              <w:bottom w:val="single" w:sz="4" w:space="0" w:color="auto"/>
              <w:right w:val="dotted" w:sz="4" w:space="0" w:color="auto"/>
            </w:tcBorders>
            <w:shd w:val="clear" w:color="000000" w:fill="FFFFFF"/>
            <w:vAlign w:val="center"/>
          </w:tcPr>
          <w:p w14:paraId="526137F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-5.1</w:t>
            </w:r>
          </w:p>
        </w:tc>
        <w:tc>
          <w:tcPr>
            <w:tcW w:w="0" w:type="auto"/>
            <w:tcBorders>
              <w:top w:val="nil"/>
              <w:left w:val="nil"/>
              <w:bottom w:val="single" w:sz="4" w:space="0" w:color="auto"/>
              <w:right w:val="double" w:sz="6" w:space="0" w:color="auto"/>
            </w:tcBorders>
            <w:shd w:val="clear" w:color="000000" w:fill="FFFFFF"/>
            <w:vAlign w:val="center"/>
          </w:tcPr>
          <w:p w14:paraId="76AC69AC"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-2.0</w:t>
            </w:r>
          </w:p>
        </w:tc>
      </w:tr>
      <w:tr w:rsidR="006F605B" w:rsidRPr="00DC66CD" w14:paraId="4CEAD592" w14:textId="77777777" w:rsidTr="00131DA1">
        <w:trPr>
          <w:trHeight w:val="281"/>
          <w:jc w:val="center"/>
        </w:trPr>
        <w:tc>
          <w:tcPr>
            <w:tcW w:w="4326" w:type="dxa"/>
            <w:tcBorders>
              <w:top w:val="nil"/>
              <w:left w:val="double" w:sz="6" w:space="0" w:color="auto"/>
              <w:bottom w:val="nil"/>
              <w:right w:val="dotted" w:sz="4" w:space="0" w:color="auto"/>
            </w:tcBorders>
            <w:shd w:val="clear" w:color="000000" w:fill="FFFFFF"/>
            <w:vAlign w:val="center"/>
            <w:hideMark/>
          </w:tcPr>
          <w:p w14:paraId="0748337B" w14:textId="77777777" w:rsidR="006F605B" w:rsidRPr="00DC66CD" w:rsidRDefault="006F605B" w:rsidP="00131DA1">
            <w:pPr>
              <w:spacing w:after="0" w:line="240" w:lineRule="auto"/>
              <w:jc w:val="both"/>
              <w:rPr>
                <w:rFonts w:ascii="Garamond" w:hAnsi="Garamond"/>
                <w:i/>
                <w:iCs/>
                <w:color w:val="0D0D0D" w:themeColor="text1" w:themeTint="F2"/>
                <w:sz w:val="20"/>
                <w:szCs w:val="20"/>
              </w:rPr>
            </w:pPr>
            <w:r w:rsidRPr="00DC66CD">
              <w:rPr>
                <w:rFonts w:ascii="Garamond" w:hAnsi="Garamond"/>
                <w:i/>
                <w:iCs/>
                <w:color w:val="0D0D0D" w:themeColor="text1" w:themeTint="F2"/>
                <w:sz w:val="20"/>
                <w:szCs w:val="20"/>
              </w:rPr>
              <w:t>of which:</w:t>
            </w:r>
          </w:p>
        </w:tc>
        <w:tc>
          <w:tcPr>
            <w:tcW w:w="0" w:type="auto"/>
            <w:tcBorders>
              <w:top w:val="nil"/>
              <w:left w:val="nil"/>
              <w:bottom w:val="nil"/>
              <w:right w:val="single" w:sz="8" w:space="0" w:color="auto"/>
            </w:tcBorders>
            <w:shd w:val="clear" w:color="000000" w:fill="FFFFFF"/>
            <w:vAlign w:val="center"/>
            <w:hideMark/>
          </w:tcPr>
          <w:p w14:paraId="77EB9A1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nil"/>
              <w:bottom w:val="nil"/>
              <w:right w:val="dotted" w:sz="4" w:space="0" w:color="auto"/>
            </w:tcBorders>
            <w:shd w:val="clear" w:color="000000" w:fill="FFFFFF"/>
            <w:vAlign w:val="center"/>
          </w:tcPr>
          <w:p w14:paraId="24839590"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c>
          <w:tcPr>
            <w:tcW w:w="0" w:type="auto"/>
            <w:tcBorders>
              <w:top w:val="nil"/>
              <w:left w:val="nil"/>
              <w:bottom w:val="nil"/>
              <w:right w:val="dotted" w:sz="4" w:space="0" w:color="auto"/>
            </w:tcBorders>
            <w:shd w:val="clear" w:color="000000" w:fill="FFFFFF"/>
            <w:vAlign w:val="center"/>
          </w:tcPr>
          <w:p w14:paraId="670D7F1D"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c>
          <w:tcPr>
            <w:tcW w:w="0" w:type="auto"/>
            <w:tcBorders>
              <w:top w:val="nil"/>
              <w:left w:val="nil"/>
              <w:bottom w:val="nil"/>
              <w:right w:val="dotted" w:sz="4" w:space="0" w:color="auto"/>
            </w:tcBorders>
            <w:shd w:val="clear" w:color="000000" w:fill="FFFFFF"/>
            <w:vAlign w:val="center"/>
          </w:tcPr>
          <w:p w14:paraId="0BD2788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c>
          <w:tcPr>
            <w:tcW w:w="0" w:type="auto"/>
            <w:tcBorders>
              <w:top w:val="nil"/>
              <w:left w:val="nil"/>
              <w:bottom w:val="nil"/>
              <w:right w:val="dotted" w:sz="4" w:space="0" w:color="auto"/>
            </w:tcBorders>
            <w:shd w:val="clear" w:color="000000" w:fill="FFFFFF"/>
            <w:vAlign w:val="center"/>
          </w:tcPr>
          <w:p w14:paraId="246638E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c>
          <w:tcPr>
            <w:tcW w:w="0" w:type="auto"/>
            <w:tcBorders>
              <w:top w:val="nil"/>
              <w:left w:val="nil"/>
              <w:bottom w:val="nil"/>
              <w:right w:val="double" w:sz="6" w:space="0" w:color="auto"/>
            </w:tcBorders>
            <w:shd w:val="clear" w:color="000000" w:fill="FFFFFF"/>
            <w:vAlign w:val="center"/>
          </w:tcPr>
          <w:p w14:paraId="00A173F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r>
      <w:tr w:rsidR="006F605B" w:rsidRPr="00DC66CD" w14:paraId="79F35BA7" w14:textId="77777777" w:rsidTr="00131DA1">
        <w:trPr>
          <w:trHeight w:val="281"/>
          <w:jc w:val="center"/>
        </w:trPr>
        <w:tc>
          <w:tcPr>
            <w:tcW w:w="4326" w:type="dxa"/>
            <w:tcBorders>
              <w:top w:val="nil"/>
              <w:left w:val="double" w:sz="6" w:space="0" w:color="auto"/>
              <w:bottom w:val="nil"/>
              <w:right w:val="dotted" w:sz="4" w:space="0" w:color="auto"/>
            </w:tcBorders>
            <w:shd w:val="clear" w:color="000000" w:fill="FFFFFF"/>
            <w:noWrap/>
            <w:vAlign w:val="bottom"/>
            <w:hideMark/>
          </w:tcPr>
          <w:p w14:paraId="68103221" w14:textId="00EC7856"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 Differences between cash and accruals</w:t>
            </w:r>
            <w:r w:rsidR="006F605B" w:rsidRPr="00DC66CD">
              <w:rPr>
                <w:rStyle w:val="FootnoteReference"/>
                <w:rFonts w:ascii="Garamond" w:hAnsi="Garamond"/>
                <w:color w:val="0D0D0D" w:themeColor="text1" w:themeTint="F2"/>
                <w:sz w:val="20"/>
                <w:szCs w:val="20"/>
              </w:rPr>
              <w:footnoteReference w:id="64"/>
            </w:r>
          </w:p>
        </w:tc>
        <w:tc>
          <w:tcPr>
            <w:tcW w:w="0" w:type="auto"/>
            <w:tcBorders>
              <w:top w:val="nil"/>
              <w:left w:val="nil"/>
              <w:bottom w:val="nil"/>
              <w:right w:val="single" w:sz="8" w:space="0" w:color="auto"/>
            </w:tcBorders>
            <w:shd w:val="clear" w:color="000000" w:fill="FFFFFF"/>
            <w:vAlign w:val="center"/>
            <w:hideMark/>
          </w:tcPr>
          <w:p w14:paraId="50601D7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nil"/>
              <w:bottom w:val="nil"/>
              <w:right w:val="dotted" w:sz="4" w:space="0" w:color="auto"/>
            </w:tcBorders>
            <w:shd w:val="clear" w:color="000000" w:fill="FFFFFF"/>
            <w:vAlign w:val="center"/>
          </w:tcPr>
          <w:p w14:paraId="1257334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nil"/>
              <w:right w:val="dotted" w:sz="4" w:space="0" w:color="auto"/>
            </w:tcBorders>
            <w:shd w:val="clear" w:color="000000" w:fill="FFFFFF"/>
            <w:vAlign w:val="center"/>
          </w:tcPr>
          <w:p w14:paraId="3656E47D"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nil"/>
              <w:right w:val="dotted" w:sz="4" w:space="0" w:color="auto"/>
            </w:tcBorders>
            <w:shd w:val="clear" w:color="000000" w:fill="FFFFFF"/>
            <w:vAlign w:val="center"/>
          </w:tcPr>
          <w:p w14:paraId="3E886401"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nil"/>
              <w:right w:val="dotted" w:sz="4" w:space="0" w:color="auto"/>
            </w:tcBorders>
            <w:shd w:val="clear" w:color="000000" w:fill="FFFFFF"/>
            <w:vAlign w:val="center"/>
          </w:tcPr>
          <w:p w14:paraId="117156FA"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nil"/>
              <w:right w:val="double" w:sz="6" w:space="0" w:color="auto"/>
            </w:tcBorders>
            <w:shd w:val="clear" w:color="000000" w:fill="FFFFFF"/>
            <w:vAlign w:val="center"/>
          </w:tcPr>
          <w:p w14:paraId="44227BC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676CCD8B" w14:textId="77777777" w:rsidTr="00131DA1">
        <w:trPr>
          <w:trHeight w:val="281"/>
          <w:jc w:val="center"/>
        </w:trPr>
        <w:tc>
          <w:tcPr>
            <w:tcW w:w="4326" w:type="dxa"/>
            <w:tcBorders>
              <w:top w:val="nil"/>
              <w:left w:val="double" w:sz="6" w:space="0" w:color="auto"/>
              <w:bottom w:val="single" w:sz="4" w:space="0" w:color="auto"/>
              <w:right w:val="dotted" w:sz="4" w:space="0" w:color="auto"/>
            </w:tcBorders>
            <w:shd w:val="clear" w:color="auto" w:fill="auto"/>
            <w:noWrap/>
            <w:vAlign w:val="bottom"/>
            <w:hideMark/>
          </w:tcPr>
          <w:p w14:paraId="0810181F" w14:textId="04836D71"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 Net accumulation of financial assets</w:t>
            </w:r>
            <w:r w:rsidR="006F605B" w:rsidRPr="00DC66CD">
              <w:rPr>
                <w:rStyle w:val="FootnoteReference"/>
                <w:rFonts w:ascii="Garamond" w:hAnsi="Garamond"/>
                <w:color w:val="0D0D0D" w:themeColor="text1" w:themeTint="F2"/>
                <w:sz w:val="20"/>
                <w:szCs w:val="20"/>
              </w:rPr>
              <w:footnoteReference w:id="65"/>
            </w:r>
          </w:p>
        </w:tc>
        <w:tc>
          <w:tcPr>
            <w:tcW w:w="0" w:type="auto"/>
            <w:tcBorders>
              <w:top w:val="nil"/>
              <w:left w:val="nil"/>
              <w:bottom w:val="single" w:sz="4" w:space="0" w:color="auto"/>
              <w:right w:val="single" w:sz="8" w:space="0" w:color="auto"/>
            </w:tcBorders>
            <w:shd w:val="clear" w:color="000000" w:fill="FFFFFF"/>
            <w:vAlign w:val="center"/>
            <w:hideMark/>
          </w:tcPr>
          <w:p w14:paraId="6C7A19E0"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nil"/>
              <w:bottom w:val="single" w:sz="4" w:space="0" w:color="auto"/>
              <w:right w:val="dotted" w:sz="4" w:space="0" w:color="auto"/>
            </w:tcBorders>
            <w:shd w:val="clear" w:color="000000" w:fill="FFFFFF"/>
            <w:vAlign w:val="center"/>
          </w:tcPr>
          <w:p w14:paraId="233FA48E"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single" w:sz="4" w:space="0" w:color="auto"/>
              <w:right w:val="dotted" w:sz="4" w:space="0" w:color="auto"/>
            </w:tcBorders>
            <w:shd w:val="clear" w:color="000000" w:fill="FFFFFF"/>
            <w:vAlign w:val="center"/>
          </w:tcPr>
          <w:p w14:paraId="5B98B0EE"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single" w:sz="4" w:space="0" w:color="auto"/>
              <w:right w:val="dotted" w:sz="4" w:space="0" w:color="auto"/>
            </w:tcBorders>
            <w:shd w:val="clear" w:color="000000" w:fill="FFFFFF"/>
            <w:vAlign w:val="center"/>
          </w:tcPr>
          <w:p w14:paraId="0BC87008"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single" w:sz="4" w:space="0" w:color="auto"/>
              <w:right w:val="dotted" w:sz="4" w:space="0" w:color="auto"/>
            </w:tcBorders>
            <w:shd w:val="clear" w:color="000000" w:fill="FFFFFF"/>
            <w:vAlign w:val="center"/>
          </w:tcPr>
          <w:p w14:paraId="237EA70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single" w:sz="4" w:space="0" w:color="auto"/>
              <w:right w:val="double" w:sz="6" w:space="0" w:color="auto"/>
            </w:tcBorders>
            <w:shd w:val="clear" w:color="000000" w:fill="FFFFFF"/>
            <w:vAlign w:val="center"/>
          </w:tcPr>
          <w:p w14:paraId="4CDA2290"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4792022D" w14:textId="77777777" w:rsidTr="00131DA1">
        <w:trPr>
          <w:trHeight w:val="281"/>
          <w:jc w:val="center"/>
        </w:trPr>
        <w:tc>
          <w:tcPr>
            <w:tcW w:w="4326" w:type="dxa"/>
            <w:tcBorders>
              <w:top w:val="nil"/>
              <w:left w:val="double" w:sz="6" w:space="0" w:color="auto"/>
              <w:bottom w:val="nil"/>
              <w:right w:val="dotted" w:sz="4" w:space="0" w:color="auto"/>
            </w:tcBorders>
            <w:shd w:val="clear" w:color="000000" w:fill="FFFFFF"/>
            <w:vAlign w:val="center"/>
            <w:hideMark/>
          </w:tcPr>
          <w:p w14:paraId="54164887" w14:textId="77777777" w:rsidR="006F605B" w:rsidRPr="00DC66CD" w:rsidRDefault="006F605B" w:rsidP="00131DA1">
            <w:pPr>
              <w:spacing w:after="0" w:line="240" w:lineRule="auto"/>
              <w:jc w:val="both"/>
              <w:rPr>
                <w:rFonts w:ascii="Garamond" w:hAnsi="Garamond"/>
                <w:i/>
                <w:iCs/>
                <w:color w:val="0D0D0D" w:themeColor="text1" w:themeTint="F2"/>
                <w:sz w:val="20"/>
                <w:szCs w:val="20"/>
              </w:rPr>
            </w:pPr>
            <w:r w:rsidRPr="00DC66CD">
              <w:rPr>
                <w:rFonts w:ascii="Garamond" w:hAnsi="Garamond"/>
                <w:i/>
                <w:iCs/>
                <w:color w:val="0D0D0D" w:themeColor="text1" w:themeTint="F2"/>
                <w:sz w:val="20"/>
                <w:szCs w:val="20"/>
              </w:rPr>
              <w:t>of which:</w:t>
            </w:r>
          </w:p>
        </w:tc>
        <w:tc>
          <w:tcPr>
            <w:tcW w:w="0" w:type="auto"/>
            <w:tcBorders>
              <w:top w:val="nil"/>
              <w:left w:val="nil"/>
              <w:bottom w:val="nil"/>
              <w:right w:val="single" w:sz="8" w:space="0" w:color="auto"/>
            </w:tcBorders>
            <w:shd w:val="clear" w:color="000000" w:fill="FFFFFF"/>
            <w:vAlign w:val="center"/>
            <w:hideMark/>
          </w:tcPr>
          <w:p w14:paraId="75E9469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nil"/>
              <w:bottom w:val="nil"/>
              <w:right w:val="dotted" w:sz="4" w:space="0" w:color="auto"/>
            </w:tcBorders>
            <w:shd w:val="clear" w:color="000000" w:fill="FFFFFF"/>
            <w:vAlign w:val="center"/>
          </w:tcPr>
          <w:p w14:paraId="11472AF7"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c>
          <w:tcPr>
            <w:tcW w:w="0" w:type="auto"/>
            <w:tcBorders>
              <w:top w:val="nil"/>
              <w:left w:val="nil"/>
              <w:bottom w:val="nil"/>
              <w:right w:val="dotted" w:sz="4" w:space="0" w:color="auto"/>
            </w:tcBorders>
            <w:shd w:val="clear" w:color="000000" w:fill="FFFFFF"/>
            <w:vAlign w:val="center"/>
          </w:tcPr>
          <w:p w14:paraId="7247FA1A"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c>
          <w:tcPr>
            <w:tcW w:w="0" w:type="auto"/>
            <w:tcBorders>
              <w:top w:val="nil"/>
              <w:left w:val="nil"/>
              <w:bottom w:val="nil"/>
              <w:right w:val="dotted" w:sz="4" w:space="0" w:color="auto"/>
            </w:tcBorders>
            <w:shd w:val="clear" w:color="000000" w:fill="FFFFFF"/>
            <w:vAlign w:val="center"/>
          </w:tcPr>
          <w:p w14:paraId="4E52B660"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c>
          <w:tcPr>
            <w:tcW w:w="0" w:type="auto"/>
            <w:tcBorders>
              <w:top w:val="nil"/>
              <w:left w:val="nil"/>
              <w:bottom w:val="nil"/>
              <w:right w:val="dotted" w:sz="4" w:space="0" w:color="auto"/>
            </w:tcBorders>
            <w:shd w:val="clear" w:color="000000" w:fill="FFFFFF"/>
            <w:vAlign w:val="center"/>
          </w:tcPr>
          <w:p w14:paraId="562B4F53"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c>
          <w:tcPr>
            <w:tcW w:w="0" w:type="auto"/>
            <w:tcBorders>
              <w:top w:val="nil"/>
              <w:left w:val="nil"/>
              <w:bottom w:val="nil"/>
              <w:right w:val="double" w:sz="6" w:space="0" w:color="auto"/>
            </w:tcBorders>
            <w:shd w:val="clear" w:color="000000" w:fill="FFFFFF"/>
            <w:vAlign w:val="center"/>
          </w:tcPr>
          <w:p w14:paraId="568F03CF"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 </w:t>
            </w:r>
          </w:p>
        </w:tc>
      </w:tr>
      <w:tr w:rsidR="006F605B" w:rsidRPr="00DC66CD" w14:paraId="42B25C1D" w14:textId="77777777" w:rsidTr="00131DA1">
        <w:trPr>
          <w:trHeight w:val="281"/>
          <w:jc w:val="center"/>
        </w:trPr>
        <w:tc>
          <w:tcPr>
            <w:tcW w:w="4326" w:type="dxa"/>
            <w:tcBorders>
              <w:top w:val="nil"/>
              <w:left w:val="double" w:sz="6" w:space="0" w:color="auto"/>
              <w:bottom w:val="nil"/>
              <w:right w:val="dotted" w:sz="4" w:space="0" w:color="auto"/>
            </w:tcBorders>
            <w:shd w:val="clear" w:color="000000" w:fill="FFFFFF"/>
            <w:vAlign w:val="center"/>
            <w:hideMark/>
          </w:tcPr>
          <w:p w14:paraId="476A5A5B" w14:textId="183900A8"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 Privatization proceeds</w:t>
            </w:r>
          </w:p>
        </w:tc>
        <w:tc>
          <w:tcPr>
            <w:tcW w:w="0" w:type="auto"/>
            <w:tcBorders>
              <w:top w:val="nil"/>
              <w:left w:val="nil"/>
              <w:bottom w:val="nil"/>
              <w:right w:val="single" w:sz="8" w:space="0" w:color="auto"/>
            </w:tcBorders>
            <w:shd w:val="clear" w:color="000000" w:fill="FFFFFF"/>
            <w:vAlign w:val="center"/>
            <w:hideMark/>
          </w:tcPr>
          <w:p w14:paraId="56191F0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nil"/>
              <w:bottom w:val="nil"/>
              <w:right w:val="dotted" w:sz="4" w:space="0" w:color="auto"/>
            </w:tcBorders>
            <w:shd w:val="clear" w:color="000000" w:fill="FFFFFF"/>
            <w:vAlign w:val="center"/>
          </w:tcPr>
          <w:p w14:paraId="1CC79AA5"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0.0</w:t>
            </w:r>
          </w:p>
        </w:tc>
        <w:tc>
          <w:tcPr>
            <w:tcW w:w="0" w:type="auto"/>
            <w:tcBorders>
              <w:top w:val="nil"/>
              <w:left w:val="nil"/>
              <w:bottom w:val="nil"/>
              <w:right w:val="dotted" w:sz="4" w:space="0" w:color="auto"/>
            </w:tcBorders>
            <w:shd w:val="clear" w:color="000000" w:fill="FFFFFF"/>
            <w:vAlign w:val="center"/>
          </w:tcPr>
          <w:p w14:paraId="30847CA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0.0</w:t>
            </w:r>
          </w:p>
        </w:tc>
        <w:tc>
          <w:tcPr>
            <w:tcW w:w="0" w:type="auto"/>
            <w:tcBorders>
              <w:top w:val="nil"/>
              <w:left w:val="nil"/>
              <w:bottom w:val="nil"/>
              <w:right w:val="dotted" w:sz="4" w:space="0" w:color="auto"/>
            </w:tcBorders>
            <w:shd w:val="clear" w:color="000000" w:fill="FFFFFF"/>
            <w:vAlign w:val="center"/>
          </w:tcPr>
          <w:p w14:paraId="65AE6B1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0.0</w:t>
            </w:r>
          </w:p>
        </w:tc>
        <w:tc>
          <w:tcPr>
            <w:tcW w:w="0" w:type="auto"/>
            <w:tcBorders>
              <w:top w:val="nil"/>
              <w:left w:val="nil"/>
              <w:bottom w:val="nil"/>
              <w:right w:val="dotted" w:sz="4" w:space="0" w:color="auto"/>
            </w:tcBorders>
            <w:shd w:val="clear" w:color="000000" w:fill="FFFFFF"/>
            <w:vAlign w:val="center"/>
          </w:tcPr>
          <w:p w14:paraId="6F4FC83E"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0.0</w:t>
            </w:r>
          </w:p>
        </w:tc>
        <w:tc>
          <w:tcPr>
            <w:tcW w:w="0" w:type="auto"/>
            <w:tcBorders>
              <w:top w:val="nil"/>
              <w:left w:val="nil"/>
              <w:bottom w:val="nil"/>
              <w:right w:val="double" w:sz="6" w:space="0" w:color="auto"/>
            </w:tcBorders>
            <w:shd w:val="clear" w:color="000000" w:fill="FFFFFF"/>
            <w:vAlign w:val="center"/>
          </w:tcPr>
          <w:p w14:paraId="62C1DFC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0.0</w:t>
            </w:r>
          </w:p>
        </w:tc>
      </w:tr>
      <w:tr w:rsidR="006F605B" w:rsidRPr="00DC66CD" w14:paraId="0F7BD499" w14:textId="77777777" w:rsidTr="00131DA1">
        <w:trPr>
          <w:trHeight w:val="281"/>
          <w:jc w:val="center"/>
        </w:trPr>
        <w:tc>
          <w:tcPr>
            <w:tcW w:w="4326" w:type="dxa"/>
            <w:tcBorders>
              <w:top w:val="nil"/>
              <w:left w:val="double" w:sz="6" w:space="0" w:color="auto"/>
              <w:bottom w:val="single" w:sz="4" w:space="0" w:color="auto"/>
              <w:right w:val="dotted" w:sz="4" w:space="0" w:color="auto"/>
            </w:tcBorders>
            <w:shd w:val="clear" w:color="auto" w:fill="auto"/>
            <w:noWrap/>
            <w:vAlign w:val="bottom"/>
            <w:hideMark/>
          </w:tcPr>
          <w:p w14:paraId="4F848C51" w14:textId="2FC2C9E6"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 Valuation effects and other</w:t>
            </w:r>
            <w:r w:rsidR="006F605B" w:rsidRPr="00DC66CD">
              <w:rPr>
                <w:rStyle w:val="FootnoteReference"/>
                <w:rFonts w:ascii="Garamond" w:hAnsi="Garamond"/>
                <w:color w:val="0D0D0D" w:themeColor="text1" w:themeTint="F2"/>
                <w:sz w:val="20"/>
                <w:szCs w:val="20"/>
              </w:rPr>
              <w:footnoteReference w:id="66"/>
            </w:r>
          </w:p>
        </w:tc>
        <w:tc>
          <w:tcPr>
            <w:tcW w:w="0" w:type="auto"/>
            <w:tcBorders>
              <w:top w:val="nil"/>
              <w:left w:val="nil"/>
              <w:bottom w:val="single" w:sz="4" w:space="0" w:color="auto"/>
              <w:right w:val="single" w:sz="8" w:space="0" w:color="auto"/>
            </w:tcBorders>
            <w:shd w:val="clear" w:color="000000" w:fill="FFFFFF"/>
            <w:vAlign w:val="center"/>
            <w:hideMark/>
          </w:tcPr>
          <w:p w14:paraId="2B07D9B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8" w:space="0" w:color="auto"/>
              <w:bottom w:val="single" w:sz="4" w:space="0" w:color="auto"/>
              <w:right w:val="dotted" w:sz="4" w:space="0" w:color="auto"/>
            </w:tcBorders>
            <w:shd w:val="clear" w:color="000000" w:fill="FFFFFF"/>
            <w:vAlign w:val="center"/>
          </w:tcPr>
          <w:p w14:paraId="6738169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single" w:sz="4" w:space="0" w:color="auto"/>
              <w:right w:val="dotted" w:sz="4" w:space="0" w:color="auto"/>
            </w:tcBorders>
            <w:shd w:val="clear" w:color="000000" w:fill="FFFFFF"/>
            <w:vAlign w:val="center"/>
          </w:tcPr>
          <w:p w14:paraId="6DC7D29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single" w:sz="4" w:space="0" w:color="auto"/>
              <w:right w:val="dotted" w:sz="4" w:space="0" w:color="auto"/>
            </w:tcBorders>
            <w:shd w:val="clear" w:color="000000" w:fill="FFFFFF"/>
            <w:vAlign w:val="center"/>
          </w:tcPr>
          <w:p w14:paraId="25E77B26"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single" w:sz="4" w:space="0" w:color="auto"/>
              <w:right w:val="dotted" w:sz="4" w:space="0" w:color="auto"/>
            </w:tcBorders>
            <w:shd w:val="clear" w:color="000000" w:fill="FFFFFF"/>
            <w:vAlign w:val="center"/>
          </w:tcPr>
          <w:p w14:paraId="3C6C179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c>
          <w:tcPr>
            <w:tcW w:w="0" w:type="auto"/>
            <w:tcBorders>
              <w:top w:val="nil"/>
              <w:left w:val="nil"/>
              <w:bottom w:val="single" w:sz="4" w:space="0" w:color="auto"/>
              <w:right w:val="double" w:sz="6" w:space="0" w:color="auto"/>
            </w:tcBorders>
            <w:shd w:val="clear" w:color="000000" w:fill="FFFFFF"/>
            <w:vAlign w:val="center"/>
          </w:tcPr>
          <w:p w14:paraId="19D15A2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6D308CB5" w14:textId="77777777" w:rsidTr="00131DA1">
        <w:trPr>
          <w:trHeight w:val="281"/>
          <w:jc w:val="center"/>
        </w:trPr>
        <w:tc>
          <w:tcPr>
            <w:tcW w:w="4326" w:type="dxa"/>
            <w:tcBorders>
              <w:top w:val="nil"/>
              <w:left w:val="double" w:sz="6" w:space="0" w:color="auto"/>
              <w:bottom w:val="single" w:sz="8" w:space="0" w:color="auto"/>
              <w:right w:val="nil"/>
            </w:tcBorders>
            <w:shd w:val="clear" w:color="auto" w:fill="auto"/>
            <w:noWrap/>
            <w:vAlign w:val="bottom"/>
            <w:hideMark/>
          </w:tcPr>
          <w:p w14:paraId="1C97A9EE" w14:textId="428841D3" w:rsidR="006F605B" w:rsidRPr="00DC66CD" w:rsidRDefault="0072211B" w:rsidP="00131DA1">
            <w:pPr>
              <w:spacing w:after="0" w:line="240" w:lineRule="auto"/>
              <w:jc w:val="both"/>
              <w:rPr>
                <w:rFonts w:ascii="Garamond" w:hAnsi="Garamond"/>
                <w:bCs/>
                <w:color w:val="0D0D0D" w:themeColor="text1" w:themeTint="F2"/>
                <w:sz w:val="20"/>
                <w:szCs w:val="20"/>
              </w:rPr>
            </w:pPr>
            <w:bookmarkStart w:id="90" w:name="RANGE!B18"/>
            <w:r w:rsidRPr="00DC66CD">
              <w:rPr>
                <w:rFonts w:ascii="Garamond" w:hAnsi="Garamond"/>
                <w:bCs/>
                <w:color w:val="0D0D0D" w:themeColor="text1" w:themeTint="F2"/>
                <w:sz w:val="20"/>
                <w:szCs w:val="20"/>
              </w:rPr>
              <w:t xml:space="preserve"> </w:t>
            </w:r>
            <w:r w:rsidR="006F605B" w:rsidRPr="00DC66CD">
              <w:rPr>
                <w:rFonts w:ascii="Garamond" w:hAnsi="Garamond"/>
                <w:bCs/>
                <w:color w:val="0D0D0D" w:themeColor="text1" w:themeTint="F2"/>
                <w:sz w:val="20"/>
                <w:szCs w:val="20"/>
              </w:rPr>
              <w:t>p.m. implicit interest rate on debt</w:t>
            </w:r>
            <w:bookmarkEnd w:id="90"/>
            <w:r w:rsidR="006F605B" w:rsidRPr="00DC66CD">
              <w:rPr>
                <w:rStyle w:val="FootnoteReference"/>
                <w:rFonts w:ascii="Garamond" w:hAnsi="Garamond"/>
                <w:bCs/>
                <w:color w:val="0D0D0D" w:themeColor="text1" w:themeTint="F2"/>
                <w:sz w:val="20"/>
                <w:szCs w:val="20"/>
              </w:rPr>
              <w:footnoteReference w:id="67"/>
            </w:r>
          </w:p>
        </w:tc>
        <w:tc>
          <w:tcPr>
            <w:tcW w:w="0" w:type="auto"/>
            <w:tcBorders>
              <w:top w:val="nil"/>
              <w:left w:val="nil"/>
              <w:bottom w:val="single" w:sz="8" w:space="0" w:color="auto"/>
              <w:right w:val="single" w:sz="8" w:space="0" w:color="auto"/>
            </w:tcBorders>
            <w:shd w:val="clear" w:color="000000" w:fill="FFFFFF"/>
            <w:vAlign w:val="center"/>
            <w:hideMark/>
          </w:tcPr>
          <w:p w14:paraId="015ED9B8"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0" w:type="auto"/>
            <w:tcBorders>
              <w:top w:val="nil"/>
              <w:left w:val="single" w:sz="8" w:space="0" w:color="000000"/>
              <w:bottom w:val="single" w:sz="8" w:space="0" w:color="000000"/>
              <w:right w:val="dotted" w:sz="4" w:space="0" w:color="auto"/>
            </w:tcBorders>
            <w:shd w:val="clear" w:color="auto" w:fill="auto"/>
            <w:vAlign w:val="center"/>
          </w:tcPr>
          <w:p w14:paraId="2ED31B8C" w14:textId="77777777" w:rsidR="006F605B" w:rsidRPr="00DC66CD" w:rsidRDefault="006F605B" w:rsidP="00131DA1">
            <w:pPr>
              <w:spacing w:after="0" w:line="240" w:lineRule="auto"/>
              <w:jc w:val="right"/>
              <w:rPr>
                <w:rFonts w:ascii="Garamond" w:hAnsi="Garamond"/>
                <w:color w:val="000000"/>
                <w:sz w:val="20"/>
                <w:szCs w:val="20"/>
              </w:rPr>
            </w:pPr>
            <w:r w:rsidRPr="00DC66CD">
              <w:rPr>
                <w:rFonts w:ascii="Garamond" w:hAnsi="Garamond"/>
                <w:color w:val="000000"/>
                <w:sz w:val="20"/>
                <w:szCs w:val="20"/>
              </w:rPr>
              <w:t>3.4</w:t>
            </w:r>
          </w:p>
        </w:tc>
        <w:tc>
          <w:tcPr>
            <w:tcW w:w="0" w:type="auto"/>
            <w:tcBorders>
              <w:top w:val="nil"/>
              <w:left w:val="nil"/>
              <w:bottom w:val="single" w:sz="8" w:space="0" w:color="000000"/>
              <w:right w:val="dotted" w:sz="4" w:space="0" w:color="auto"/>
            </w:tcBorders>
            <w:shd w:val="clear" w:color="auto" w:fill="auto"/>
            <w:vAlign w:val="center"/>
          </w:tcPr>
          <w:p w14:paraId="73D48A12" w14:textId="77777777" w:rsidR="006F605B" w:rsidRPr="00DC66CD" w:rsidRDefault="006F605B" w:rsidP="00131DA1">
            <w:pPr>
              <w:spacing w:after="0" w:line="240" w:lineRule="auto"/>
              <w:jc w:val="right"/>
              <w:rPr>
                <w:rFonts w:ascii="Garamond" w:hAnsi="Garamond"/>
                <w:color w:val="000000"/>
                <w:sz w:val="20"/>
                <w:szCs w:val="20"/>
              </w:rPr>
            </w:pPr>
            <w:r w:rsidRPr="00DC66CD">
              <w:rPr>
                <w:rFonts w:ascii="Garamond" w:hAnsi="Garamond"/>
                <w:color w:val="000000"/>
                <w:sz w:val="20"/>
                <w:szCs w:val="20"/>
              </w:rPr>
              <w:t>3.2</w:t>
            </w:r>
          </w:p>
        </w:tc>
        <w:tc>
          <w:tcPr>
            <w:tcW w:w="0" w:type="auto"/>
            <w:tcBorders>
              <w:top w:val="nil"/>
              <w:left w:val="nil"/>
              <w:bottom w:val="single" w:sz="8" w:space="0" w:color="000000"/>
              <w:right w:val="dotted" w:sz="4" w:space="0" w:color="auto"/>
            </w:tcBorders>
            <w:shd w:val="clear" w:color="auto" w:fill="auto"/>
            <w:vAlign w:val="center"/>
          </w:tcPr>
          <w:p w14:paraId="3BC1D36E" w14:textId="77777777" w:rsidR="006F605B" w:rsidRPr="00DC66CD" w:rsidRDefault="006F605B" w:rsidP="00131DA1">
            <w:pPr>
              <w:spacing w:after="0" w:line="240" w:lineRule="auto"/>
              <w:jc w:val="right"/>
              <w:rPr>
                <w:rFonts w:ascii="Garamond" w:hAnsi="Garamond"/>
                <w:color w:val="000000"/>
                <w:sz w:val="20"/>
                <w:szCs w:val="20"/>
              </w:rPr>
            </w:pPr>
            <w:r w:rsidRPr="00DC66CD">
              <w:rPr>
                <w:rFonts w:ascii="Garamond" w:hAnsi="Garamond"/>
                <w:color w:val="000000"/>
                <w:sz w:val="20"/>
                <w:szCs w:val="20"/>
              </w:rPr>
              <w:t>3.7</w:t>
            </w:r>
          </w:p>
        </w:tc>
        <w:tc>
          <w:tcPr>
            <w:tcW w:w="0" w:type="auto"/>
            <w:tcBorders>
              <w:top w:val="nil"/>
              <w:left w:val="nil"/>
              <w:bottom w:val="single" w:sz="8" w:space="0" w:color="000000"/>
              <w:right w:val="dotted" w:sz="4" w:space="0" w:color="auto"/>
            </w:tcBorders>
            <w:shd w:val="clear" w:color="auto" w:fill="auto"/>
            <w:vAlign w:val="center"/>
          </w:tcPr>
          <w:p w14:paraId="15D90100" w14:textId="77777777" w:rsidR="006F605B" w:rsidRPr="00DC66CD" w:rsidRDefault="006F605B" w:rsidP="00131DA1">
            <w:pPr>
              <w:spacing w:after="0" w:line="240" w:lineRule="auto"/>
              <w:jc w:val="right"/>
              <w:rPr>
                <w:rFonts w:ascii="Garamond" w:hAnsi="Garamond"/>
                <w:color w:val="000000"/>
                <w:sz w:val="20"/>
                <w:szCs w:val="20"/>
              </w:rPr>
            </w:pPr>
            <w:r w:rsidRPr="00DC66CD">
              <w:rPr>
                <w:rFonts w:ascii="Garamond" w:hAnsi="Garamond"/>
                <w:color w:val="000000"/>
                <w:sz w:val="20"/>
                <w:szCs w:val="20"/>
              </w:rPr>
              <w:t>4.0</w:t>
            </w:r>
          </w:p>
        </w:tc>
        <w:tc>
          <w:tcPr>
            <w:tcW w:w="0" w:type="auto"/>
            <w:tcBorders>
              <w:top w:val="nil"/>
              <w:left w:val="nil"/>
              <w:bottom w:val="single" w:sz="8" w:space="0" w:color="000000"/>
              <w:right w:val="double" w:sz="6" w:space="0" w:color="auto"/>
            </w:tcBorders>
            <w:shd w:val="clear" w:color="auto" w:fill="auto"/>
            <w:vAlign w:val="center"/>
          </w:tcPr>
          <w:p w14:paraId="41080EE7" w14:textId="77777777" w:rsidR="006F605B" w:rsidRPr="00DC66CD" w:rsidRDefault="006F605B" w:rsidP="00131DA1">
            <w:pPr>
              <w:spacing w:after="0" w:line="240" w:lineRule="auto"/>
              <w:jc w:val="right"/>
              <w:rPr>
                <w:rFonts w:ascii="Garamond" w:hAnsi="Garamond"/>
                <w:color w:val="000000"/>
                <w:sz w:val="20"/>
                <w:szCs w:val="20"/>
              </w:rPr>
            </w:pPr>
            <w:r w:rsidRPr="00DC66CD">
              <w:rPr>
                <w:rFonts w:ascii="Garamond" w:hAnsi="Garamond"/>
                <w:color w:val="000000"/>
                <w:sz w:val="20"/>
                <w:szCs w:val="20"/>
              </w:rPr>
              <w:t>4.2</w:t>
            </w:r>
          </w:p>
        </w:tc>
      </w:tr>
      <w:tr w:rsidR="006F605B" w:rsidRPr="00DC66CD" w14:paraId="6F8049B9" w14:textId="77777777" w:rsidTr="00131DA1">
        <w:trPr>
          <w:trHeight w:val="281"/>
          <w:jc w:val="center"/>
        </w:trPr>
        <w:tc>
          <w:tcPr>
            <w:tcW w:w="9642" w:type="dxa"/>
            <w:gridSpan w:val="7"/>
            <w:tcBorders>
              <w:top w:val="single" w:sz="8" w:space="0" w:color="auto"/>
              <w:left w:val="double" w:sz="6" w:space="0" w:color="auto"/>
              <w:bottom w:val="single" w:sz="8" w:space="0" w:color="auto"/>
              <w:right w:val="double" w:sz="6" w:space="0" w:color="000000"/>
            </w:tcBorders>
            <w:shd w:val="clear" w:color="000000" w:fill="FFFFFF"/>
            <w:vAlign w:val="center"/>
            <w:hideMark/>
          </w:tcPr>
          <w:p w14:paraId="7A92DEF5" w14:textId="77777777" w:rsidR="006F605B" w:rsidRPr="00DC66CD" w:rsidRDefault="006F605B" w:rsidP="00131DA1">
            <w:pPr>
              <w:spacing w:after="0" w:line="240" w:lineRule="auto"/>
              <w:jc w:val="both"/>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Other relevant variables</w:t>
            </w:r>
          </w:p>
        </w:tc>
      </w:tr>
      <w:tr w:rsidR="006F605B" w:rsidRPr="00DC66CD" w14:paraId="36A22466" w14:textId="77777777" w:rsidTr="00131DA1">
        <w:trPr>
          <w:trHeight w:val="281"/>
          <w:jc w:val="center"/>
        </w:trPr>
        <w:tc>
          <w:tcPr>
            <w:tcW w:w="4326" w:type="dxa"/>
            <w:tcBorders>
              <w:top w:val="nil"/>
              <w:left w:val="double" w:sz="6" w:space="0" w:color="auto"/>
              <w:bottom w:val="dotted" w:sz="4" w:space="0" w:color="auto"/>
              <w:right w:val="dotted" w:sz="4" w:space="0" w:color="auto"/>
            </w:tcBorders>
            <w:shd w:val="clear" w:color="auto" w:fill="auto"/>
            <w:noWrap/>
            <w:vAlign w:val="bottom"/>
            <w:hideMark/>
          </w:tcPr>
          <w:p w14:paraId="27992DA1" w14:textId="7D54CC28" w:rsidR="006F605B" w:rsidRPr="00DC66CD" w:rsidRDefault="0072211B" w:rsidP="00131DA1">
            <w:pPr>
              <w:spacing w:after="0" w:line="240" w:lineRule="auto"/>
              <w:jc w:val="both"/>
              <w:rPr>
                <w:rFonts w:ascii="Garamond" w:hAnsi="Garamond"/>
                <w:color w:val="0D0D0D" w:themeColor="text1" w:themeTint="F2"/>
                <w:sz w:val="20"/>
                <w:szCs w:val="20"/>
              </w:rPr>
            </w:pPr>
            <w:bookmarkStart w:id="91" w:name="RANGE!B20"/>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6. Liquid financial assets</w:t>
            </w:r>
            <w:bookmarkEnd w:id="91"/>
            <w:r w:rsidR="006F605B" w:rsidRPr="00DC66CD">
              <w:rPr>
                <w:rStyle w:val="FootnoteReference"/>
                <w:rFonts w:ascii="Garamond" w:hAnsi="Garamond"/>
                <w:color w:val="0D0D0D" w:themeColor="text1" w:themeTint="F2"/>
                <w:sz w:val="20"/>
                <w:szCs w:val="20"/>
              </w:rPr>
              <w:footnoteReference w:id="68"/>
            </w:r>
          </w:p>
        </w:tc>
        <w:tc>
          <w:tcPr>
            <w:tcW w:w="0" w:type="auto"/>
            <w:tcBorders>
              <w:top w:val="nil"/>
              <w:left w:val="nil"/>
              <w:bottom w:val="dotted" w:sz="4" w:space="0" w:color="auto"/>
              <w:right w:val="single" w:sz="8" w:space="0" w:color="auto"/>
            </w:tcBorders>
            <w:shd w:val="clear" w:color="000000" w:fill="FFFFFF"/>
            <w:vAlign w:val="center"/>
            <w:hideMark/>
          </w:tcPr>
          <w:p w14:paraId="3A7830DC" w14:textId="77777777" w:rsidR="006F605B" w:rsidRPr="00DC66CD" w:rsidRDefault="006F605B" w:rsidP="00131DA1">
            <w:pPr>
              <w:spacing w:after="0" w:line="240" w:lineRule="auto"/>
              <w:jc w:val="both"/>
              <w:rPr>
                <w:rFonts w:ascii="Garamond" w:hAnsi="Garamond"/>
                <w:color w:val="0D0D0D" w:themeColor="text1" w:themeTint="F2"/>
                <w:sz w:val="20"/>
                <w:szCs w:val="20"/>
              </w:rPr>
            </w:pPr>
            <w:bookmarkStart w:id="92" w:name="RANGE!C20"/>
            <w:r w:rsidRPr="00DC66CD">
              <w:rPr>
                <w:rFonts w:ascii="Garamond" w:hAnsi="Garamond"/>
                <w:color w:val="0D0D0D" w:themeColor="text1" w:themeTint="F2"/>
                <w:sz w:val="20"/>
                <w:szCs w:val="20"/>
              </w:rPr>
              <w:t> </w:t>
            </w:r>
            <w:bookmarkEnd w:id="92"/>
          </w:p>
        </w:tc>
        <w:tc>
          <w:tcPr>
            <w:tcW w:w="0" w:type="auto"/>
            <w:tcBorders>
              <w:top w:val="nil"/>
              <w:left w:val="nil"/>
              <w:bottom w:val="dotted" w:sz="4" w:space="0" w:color="auto"/>
              <w:right w:val="dotted" w:sz="4" w:space="0" w:color="auto"/>
            </w:tcBorders>
            <w:shd w:val="clear" w:color="000000" w:fill="FFFFFF"/>
            <w:vAlign w:val="center"/>
          </w:tcPr>
          <w:p w14:paraId="2FF74AAE"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c>
          <w:tcPr>
            <w:tcW w:w="0" w:type="auto"/>
            <w:tcBorders>
              <w:top w:val="nil"/>
              <w:left w:val="nil"/>
              <w:bottom w:val="dotted" w:sz="4" w:space="0" w:color="auto"/>
              <w:right w:val="dotted" w:sz="4" w:space="0" w:color="auto"/>
            </w:tcBorders>
            <w:shd w:val="clear" w:color="000000" w:fill="FFFFFF"/>
            <w:vAlign w:val="center"/>
          </w:tcPr>
          <w:p w14:paraId="3CF8B81F"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c>
          <w:tcPr>
            <w:tcW w:w="0" w:type="auto"/>
            <w:tcBorders>
              <w:top w:val="nil"/>
              <w:left w:val="nil"/>
              <w:bottom w:val="dotted" w:sz="4" w:space="0" w:color="auto"/>
              <w:right w:val="dotted" w:sz="4" w:space="0" w:color="auto"/>
            </w:tcBorders>
            <w:shd w:val="clear" w:color="000000" w:fill="FFFFFF"/>
            <w:vAlign w:val="center"/>
          </w:tcPr>
          <w:p w14:paraId="2CBC5EF8"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c>
          <w:tcPr>
            <w:tcW w:w="0" w:type="auto"/>
            <w:tcBorders>
              <w:top w:val="nil"/>
              <w:left w:val="nil"/>
              <w:bottom w:val="dotted" w:sz="4" w:space="0" w:color="auto"/>
              <w:right w:val="dotted" w:sz="4" w:space="0" w:color="auto"/>
            </w:tcBorders>
            <w:shd w:val="clear" w:color="000000" w:fill="FFFFFF"/>
            <w:vAlign w:val="center"/>
          </w:tcPr>
          <w:p w14:paraId="5194248A"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c>
          <w:tcPr>
            <w:tcW w:w="0" w:type="auto"/>
            <w:tcBorders>
              <w:top w:val="nil"/>
              <w:left w:val="nil"/>
              <w:bottom w:val="dotted" w:sz="4" w:space="0" w:color="auto"/>
              <w:right w:val="double" w:sz="6" w:space="0" w:color="auto"/>
            </w:tcBorders>
            <w:shd w:val="clear" w:color="000000" w:fill="FFFFFF"/>
            <w:vAlign w:val="center"/>
          </w:tcPr>
          <w:p w14:paraId="3B4A90CF"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r>
      <w:tr w:rsidR="006F605B" w:rsidRPr="00DC66CD" w14:paraId="2EAD526C" w14:textId="77777777" w:rsidTr="00131DA1">
        <w:trPr>
          <w:trHeight w:val="281"/>
          <w:jc w:val="center"/>
        </w:trPr>
        <w:tc>
          <w:tcPr>
            <w:tcW w:w="4326" w:type="dxa"/>
            <w:tcBorders>
              <w:top w:val="nil"/>
              <w:left w:val="double" w:sz="6" w:space="0" w:color="auto"/>
              <w:bottom w:val="double" w:sz="6" w:space="0" w:color="auto"/>
              <w:right w:val="dotted" w:sz="4" w:space="0" w:color="auto"/>
            </w:tcBorders>
            <w:shd w:val="clear" w:color="000000" w:fill="FFFFFF"/>
            <w:vAlign w:val="center"/>
            <w:hideMark/>
          </w:tcPr>
          <w:p w14:paraId="055B36AC" w14:textId="5B7F1357"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7. Net financial debt (7 = 1 - 6)</w:t>
            </w:r>
          </w:p>
        </w:tc>
        <w:tc>
          <w:tcPr>
            <w:tcW w:w="0" w:type="auto"/>
            <w:tcBorders>
              <w:top w:val="nil"/>
              <w:left w:val="nil"/>
              <w:bottom w:val="double" w:sz="6" w:space="0" w:color="auto"/>
              <w:right w:val="single" w:sz="8" w:space="0" w:color="auto"/>
            </w:tcBorders>
            <w:shd w:val="clear" w:color="000000" w:fill="FFFFFF"/>
            <w:vAlign w:val="center"/>
            <w:hideMark/>
          </w:tcPr>
          <w:p w14:paraId="174D2141" w14:textId="77777777" w:rsidR="006F605B" w:rsidRPr="00DC66CD" w:rsidRDefault="006F605B" w:rsidP="00131DA1">
            <w:pPr>
              <w:spacing w:after="0" w:line="240" w:lineRule="auto"/>
              <w:jc w:val="both"/>
              <w:rPr>
                <w:rFonts w:ascii="Garamond" w:hAnsi="Garamond"/>
                <w:color w:val="0D0D0D" w:themeColor="text1" w:themeTint="F2"/>
                <w:sz w:val="20"/>
                <w:szCs w:val="20"/>
              </w:rPr>
            </w:pPr>
            <w:bookmarkStart w:id="93" w:name="RANGE!C21"/>
            <w:r w:rsidRPr="00DC66CD">
              <w:rPr>
                <w:rFonts w:ascii="Garamond" w:hAnsi="Garamond"/>
                <w:color w:val="0D0D0D" w:themeColor="text1" w:themeTint="F2"/>
                <w:sz w:val="20"/>
                <w:szCs w:val="20"/>
              </w:rPr>
              <w:t> </w:t>
            </w:r>
            <w:bookmarkEnd w:id="93"/>
          </w:p>
        </w:tc>
        <w:tc>
          <w:tcPr>
            <w:tcW w:w="0" w:type="auto"/>
            <w:tcBorders>
              <w:top w:val="nil"/>
              <w:left w:val="nil"/>
              <w:bottom w:val="double" w:sz="6" w:space="0" w:color="auto"/>
              <w:right w:val="dotted" w:sz="4" w:space="0" w:color="auto"/>
            </w:tcBorders>
            <w:shd w:val="clear" w:color="000000" w:fill="FFFFFF"/>
            <w:vAlign w:val="center"/>
          </w:tcPr>
          <w:p w14:paraId="05017A02"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c>
          <w:tcPr>
            <w:tcW w:w="0" w:type="auto"/>
            <w:tcBorders>
              <w:top w:val="nil"/>
              <w:left w:val="nil"/>
              <w:bottom w:val="double" w:sz="6" w:space="0" w:color="auto"/>
              <w:right w:val="dotted" w:sz="4" w:space="0" w:color="auto"/>
            </w:tcBorders>
            <w:shd w:val="clear" w:color="000000" w:fill="FFFFFF"/>
            <w:vAlign w:val="center"/>
          </w:tcPr>
          <w:p w14:paraId="24B24577"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c>
          <w:tcPr>
            <w:tcW w:w="0" w:type="auto"/>
            <w:tcBorders>
              <w:top w:val="nil"/>
              <w:left w:val="nil"/>
              <w:bottom w:val="double" w:sz="6" w:space="0" w:color="auto"/>
              <w:right w:val="dotted" w:sz="4" w:space="0" w:color="auto"/>
            </w:tcBorders>
            <w:shd w:val="clear" w:color="000000" w:fill="FFFFFF"/>
            <w:vAlign w:val="center"/>
          </w:tcPr>
          <w:p w14:paraId="661FBC8C"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c>
          <w:tcPr>
            <w:tcW w:w="0" w:type="auto"/>
            <w:tcBorders>
              <w:top w:val="nil"/>
              <w:left w:val="nil"/>
              <w:bottom w:val="double" w:sz="6" w:space="0" w:color="auto"/>
              <w:right w:val="dotted" w:sz="4" w:space="0" w:color="auto"/>
            </w:tcBorders>
            <w:shd w:val="clear" w:color="000000" w:fill="FFFFFF"/>
            <w:vAlign w:val="center"/>
          </w:tcPr>
          <w:p w14:paraId="6A912A49"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c>
          <w:tcPr>
            <w:tcW w:w="0" w:type="auto"/>
            <w:tcBorders>
              <w:top w:val="nil"/>
              <w:left w:val="nil"/>
              <w:bottom w:val="double" w:sz="6" w:space="0" w:color="auto"/>
              <w:right w:val="double" w:sz="6" w:space="0" w:color="auto"/>
            </w:tcBorders>
            <w:shd w:val="clear" w:color="000000" w:fill="FFFFFF"/>
            <w:vAlign w:val="center"/>
          </w:tcPr>
          <w:p w14:paraId="5E103425"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r>
    </w:tbl>
    <w:p w14:paraId="4A3FD10D"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0D43B512"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94" w:name="_Toc536784317"/>
      <w:bookmarkStart w:id="95" w:name="_Toc30661252"/>
      <w:r w:rsidRPr="00DC66CD">
        <w:rPr>
          <w:rFonts w:ascii="Garamond" w:hAnsi="Garamond"/>
          <w:color w:val="auto"/>
          <w:sz w:val="24"/>
          <w:szCs w:val="24"/>
        </w:rPr>
        <w:t>Tabela 5: Zhvillime ciklike</w:t>
      </w:r>
      <w:bookmarkEnd w:id="94"/>
      <w:bookmarkEnd w:id="95"/>
    </w:p>
    <w:tbl>
      <w:tblPr>
        <w:tblW w:w="9935" w:type="dxa"/>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631"/>
        <w:gridCol w:w="1080"/>
        <w:gridCol w:w="872"/>
        <w:gridCol w:w="865"/>
        <w:gridCol w:w="865"/>
        <w:gridCol w:w="757"/>
        <w:gridCol w:w="865"/>
      </w:tblGrid>
      <w:tr w:rsidR="006F605B" w:rsidRPr="00DC66CD" w14:paraId="271E439F" w14:textId="77777777" w:rsidTr="004F4E33">
        <w:trPr>
          <w:trHeight w:val="275"/>
          <w:jc w:val="center"/>
        </w:trPr>
        <w:tc>
          <w:tcPr>
            <w:tcW w:w="4631" w:type="dxa"/>
            <w:tcBorders>
              <w:top w:val="double" w:sz="4" w:space="0" w:color="auto"/>
              <w:bottom w:val="single" w:sz="4" w:space="0" w:color="auto"/>
              <w:right w:val="single" w:sz="4" w:space="0" w:color="auto"/>
            </w:tcBorders>
            <w:shd w:val="clear" w:color="000000" w:fill="FFFFFF"/>
            <w:vAlign w:val="center"/>
          </w:tcPr>
          <w:p w14:paraId="798622BE"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 of GDP</w:t>
            </w:r>
          </w:p>
        </w:tc>
        <w:tc>
          <w:tcPr>
            <w:tcW w:w="1080" w:type="dxa"/>
            <w:vMerge w:val="restart"/>
            <w:tcBorders>
              <w:top w:val="double" w:sz="4" w:space="0" w:color="auto"/>
              <w:left w:val="single" w:sz="4" w:space="0" w:color="auto"/>
              <w:bottom w:val="nil"/>
              <w:right w:val="single" w:sz="4" w:space="0" w:color="auto"/>
            </w:tcBorders>
            <w:shd w:val="clear" w:color="000000" w:fill="FFFFFF"/>
            <w:vAlign w:val="center"/>
          </w:tcPr>
          <w:p w14:paraId="29EFBD80" w14:textId="77777777" w:rsidR="006F605B" w:rsidRPr="00DC66CD" w:rsidRDefault="006F605B" w:rsidP="004F4E33">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ESA Code</w:t>
            </w:r>
          </w:p>
          <w:p w14:paraId="6D458F52" w14:textId="24B1612F"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872" w:type="dxa"/>
            <w:tcBorders>
              <w:top w:val="double" w:sz="6" w:space="0" w:color="000000"/>
              <w:left w:val="single" w:sz="4" w:space="0" w:color="000000"/>
              <w:bottom w:val="nil"/>
              <w:right w:val="nil"/>
            </w:tcBorders>
            <w:shd w:val="clear" w:color="000000" w:fill="FFFFFF"/>
            <w:vAlign w:val="center"/>
          </w:tcPr>
          <w:p w14:paraId="209822FE"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865" w:type="dxa"/>
            <w:tcBorders>
              <w:top w:val="double" w:sz="6" w:space="0" w:color="000000"/>
              <w:left w:val="dotted" w:sz="4" w:space="0" w:color="000000"/>
              <w:bottom w:val="nil"/>
              <w:right w:val="dotted" w:sz="4" w:space="0" w:color="000000"/>
            </w:tcBorders>
            <w:shd w:val="clear" w:color="000000" w:fill="FFFFFF"/>
            <w:vAlign w:val="center"/>
          </w:tcPr>
          <w:p w14:paraId="07833AD3"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865" w:type="dxa"/>
            <w:tcBorders>
              <w:top w:val="double" w:sz="6" w:space="0" w:color="000000"/>
              <w:left w:val="nil"/>
              <w:bottom w:val="nil"/>
              <w:right w:val="dotted" w:sz="4" w:space="0" w:color="000000"/>
            </w:tcBorders>
            <w:shd w:val="clear" w:color="000000" w:fill="FFFFFF"/>
            <w:vAlign w:val="center"/>
          </w:tcPr>
          <w:p w14:paraId="50746E3E"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757" w:type="dxa"/>
            <w:tcBorders>
              <w:top w:val="double" w:sz="6" w:space="0" w:color="000000"/>
              <w:left w:val="nil"/>
              <w:bottom w:val="nil"/>
              <w:right w:val="dotted" w:sz="4" w:space="0" w:color="000000"/>
            </w:tcBorders>
            <w:shd w:val="clear" w:color="000000" w:fill="FFFFFF"/>
            <w:vAlign w:val="center"/>
          </w:tcPr>
          <w:p w14:paraId="1DB62634"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865" w:type="dxa"/>
            <w:tcBorders>
              <w:top w:val="double" w:sz="6" w:space="0" w:color="000000"/>
              <w:left w:val="nil"/>
              <w:bottom w:val="nil"/>
              <w:right w:val="double" w:sz="6" w:space="0" w:color="000000"/>
            </w:tcBorders>
            <w:shd w:val="clear" w:color="000000" w:fill="FFFFFF"/>
            <w:vAlign w:val="center"/>
          </w:tcPr>
          <w:p w14:paraId="6FE45F05"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0CF3D566" w14:textId="77777777" w:rsidTr="004F4E33">
        <w:trPr>
          <w:trHeight w:val="513"/>
          <w:jc w:val="center"/>
        </w:trPr>
        <w:tc>
          <w:tcPr>
            <w:tcW w:w="4631" w:type="dxa"/>
            <w:tcBorders>
              <w:top w:val="single" w:sz="4" w:space="0" w:color="auto"/>
              <w:bottom w:val="nil"/>
              <w:right w:val="single" w:sz="4" w:space="0" w:color="auto"/>
            </w:tcBorders>
            <w:shd w:val="clear" w:color="000000" w:fill="FFFFFF"/>
            <w:vAlign w:val="center"/>
          </w:tcPr>
          <w:p w14:paraId="4F14E787" w14:textId="43EA001F"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1080" w:type="dxa"/>
            <w:vMerge/>
            <w:tcBorders>
              <w:top w:val="nil"/>
              <w:left w:val="single" w:sz="4" w:space="0" w:color="auto"/>
              <w:bottom w:val="single" w:sz="4" w:space="0" w:color="auto"/>
              <w:right w:val="single" w:sz="4" w:space="0" w:color="auto"/>
            </w:tcBorders>
            <w:shd w:val="clear" w:color="000000" w:fill="FFFFFF"/>
            <w:vAlign w:val="center"/>
          </w:tcPr>
          <w:p w14:paraId="70030BCB"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872" w:type="dxa"/>
            <w:tcBorders>
              <w:top w:val="nil"/>
              <w:left w:val="single" w:sz="4" w:space="0" w:color="000000"/>
              <w:bottom w:val="single" w:sz="4" w:space="0" w:color="000000"/>
              <w:right w:val="nil"/>
            </w:tcBorders>
            <w:shd w:val="clear" w:color="000000" w:fill="FFFFFF"/>
            <w:vAlign w:val="center"/>
          </w:tcPr>
          <w:p w14:paraId="3FE85E36"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865" w:type="dxa"/>
            <w:tcBorders>
              <w:top w:val="nil"/>
              <w:left w:val="dotted" w:sz="4" w:space="0" w:color="000000"/>
              <w:bottom w:val="single" w:sz="4" w:space="0" w:color="000000"/>
              <w:right w:val="dotted" w:sz="4" w:space="0" w:color="000000"/>
            </w:tcBorders>
            <w:shd w:val="clear" w:color="000000" w:fill="FFFFFF"/>
            <w:vAlign w:val="center"/>
          </w:tcPr>
          <w:p w14:paraId="5073140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865" w:type="dxa"/>
            <w:tcBorders>
              <w:top w:val="nil"/>
              <w:left w:val="nil"/>
              <w:bottom w:val="single" w:sz="4" w:space="0" w:color="000000"/>
              <w:right w:val="dotted" w:sz="4" w:space="0" w:color="000000"/>
            </w:tcBorders>
            <w:shd w:val="clear" w:color="000000" w:fill="FFFFFF"/>
            <w:vAlign w:val="center"/>
          </w:tcPr>
          <w:p w14:paraId="69D37B1F"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757" w:type="dxa"/>
            <w:tcBorders>
              <w:top w:val="nil"/>
              <w:left w:val="nil"/>
              <w:bottom w:val="single" w:sz="4" w:space="0" w:color="000000"/>
              <w:right w:val="dotted" w:sz="4" w:space="0" w:color="000000"/>
            </w:tcBorders>
            <w:shd w:val="clear" w:color="000000" w:fill="FFFFFF"/>
            <w:vAlign w:val="center"/>
          </w:tcPr>
          <w:p w14:paraId="712751C4"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865" w:type="dxa"/>
            <w:tcBorders>
              <w:top w:val="nil"/>
              <w:left w:val="nil"/>
              <w:bottom w:val="single" w:sz="4" w:space="0" w:color="000000"/>
              <w:right w:val="double" w:sz="6" w:space="0" w:color="000000"/>
            </w:tcBorders>
            <w:shd w:val="clear" w:color="000000" w:fill="FFFFFF"/>
            <w:vAlign w:val="center"/>
          </w:tcPr>
          <w:p w14:paraId="0C78AF90"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3E7EC777" w14:textId="77777777" w:rsidTr="004F4E33">
        <w:trPr>
          <w:trHeight w:val="431"/>
          <w:jc w:val="center"/>
        </w:trPr>
        <w:tc>
          <w:tcPr>
            <w:tcW w:w="4631" w:type="dxa"/>
            <w:tcBorders>
              <w:top w:val="nil"/>
              <w:bottom w:val="dotted" w:sz="4" w:space="0" w:color="auto"/>
              <w:right w:val="single" w:sz="4" w:space="0" w:color="auto"/>
            </w:tcBorders>
            <w:shd w:val="clear" w:color="000000" w:fill="FFFFFF"/>
            <w:vAlign w:val="center"/>
          </w:tcPr>
          <w:p w14:paraId="014E525F" w14:textId="226B6D6A"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1.</w:t>
            </w:r>
            <w:r w:rsidR="0072211B" w:rsidRPr="00DC66CD">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Real GDP growth (%, y-o-y)</w:t>
            </w:r>
          </w:p>
        </w:tc>
        <w:tc>
          <w:tcPr>
            <w:tcW w:w="1080" w:type="dxa"/>
            <w:tcBorders>
              <w:top w:val="single" w:sz="4" w:space="0" w:color="auto"/>
              <w:left w:val="single" w:sz="4" w:space="0" w:color="auto"/>
              <w:bottom w:val="dotted" w:sz="4" w:space="0" w:color="auto"/>
              <w:right w:val="single" w:sz="4" w:space="0" w:color="auto"/>
            </w:tcBorders>
            <w:shd w:val="clear" w:color="000000" w:fill="FFFFFF"/>
            <w:vAlign w:val="center"/>
          </w:tcPr>
          <w:p w14:paraId="34BAAF5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B1g</w:t>
            </w:r>
          </w:p>
        </w:tc>
        <w:tc>
          <w:tcPr>
            <w:tcW w:w="872" w:type="dxa"/>
            <w:tcBorders>
              <w:top w:val="nil"/>
              <w:left w:val="nil"/>
              <w:bottom w:val="dotted" w:sz="4" w:space="0" w:color="000000"/>
              <w:right w:val="dotted" w:sz="4" w:space="0" w:color="000000"/>
            </w:tcBorders>
            <w:shd w:val="clear" w:color="000000" w:fill="FFFFFF"/>
            <w:vAlign w:val="center"/>
          </w:tcPr>
          <w:p w14:paraId="78E5C2F2"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4.1</w:t>
            </w:r>
          </w:p>
        </w:tc>
        <w:tc>
          <w:tcPr>
            <w:tcW w:w="865" w:type="dxa"/>
            <w:tcBorders>
              <w:top w:val="nil"/>
              <w:left w:val="nil"/>
              <w:bottom w:val="dotted" w:sz="4" w:space="0" w:color="000000"/>
              <w:right w:val="dotted" w:sz="4" w:space="0" w:color="000000"/>
            </w:tcBorders>
            <w:shd w:val="clear" w:color="000000" w:fill="FFFFFF"/>
            <w:vAlign w:val="center"/>
          </w:tcPr>
          <w:p w14:paraId="2174AC8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w:t>
            </w:r>
          </w:p>
        </w:tc>
        <w:tc>
          <w:tcPr>
            <w:tcW w:w="865" w:type="dxa"/>
            <w:tcBorders>
              <w:top w:val="nil"/>
              <w:left w:val="nil"/>
              <w:bottom w:val="dotted" w:sz="4" w:space="0" w:color="000000"/>
              <w:right w:val="dotted" w:sz="4" w:space="0" w:color="000000"/>
            </w:tcBorders>
            <w:shd w:val="clear" w:color="000000" w:fill="FFFFFF"/>
            <w:vAlign w:val="center"/>
          </w:tcPr>
          <w:p w14:paraId="140C450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4.1</w:t>
            </w:r>
          </w:p>
        </w:tc>
        <w:tc>
          <w:tcPr>
            <w:tcW w:w="757" w:type="dxa"/>
            <w:tcBorders>
              <w:top w:val="nil"/>
              <w:left w:val="nil"/>
              <w:bottom w:val="dotted" w:sz="4" w:space="0" w:color="000000"/>
              <w:right w:val="dotted" w:sz="4" w:space="0" w:color="000000"/>
            </w:tcBorders>
            <w:shd w:val="clear" w:color="000000" w:fill="FFFFFF"/>
            <w:vAlign w:val="center"/>
          </w:tcPr>
          <w:p w14:paraId="35C048E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4.0</w:t>
            </w:r>
          </w:p>
        </w:tc>
        <w:tc>
          <w:tcPr>
            <w:tcW w:w="865" w:type="dxa"/>
            <w:tcBorders>
              <w:top w:val="nil"/>
              <w:left w:val="nil"/>
              <w:bottom w:val="dotted" w:sz="4" w:space="0" w:color="000000"/>
              <w:right w:val="double" w:sz="6" w:space="0" w:color="000000"/>
            </w:tcBorders>
            <w:shd w:val="clear" w:color="000000" w:fill="FFFFFF"/>
            <w:vAlign w:val="center"/>
          </w:tcPr>
          <w:p w14:paraId="2CB8897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4.0</w:t>
            </w:r>
          </w:p>
        </w:tc>
      </w:tr>
      <w:tr w:rsidR="006F605B" w:rsidRPr="00DC66CD" w14:paraId="61A608BA" w14:textId="77777777" w:rsidTr="004F4E33">
        <w:trPr>
          <w:trHeight w:val="512"/>
          <w:jc w:val="center"/>
        </w:trPr>
        <w:tc>
          <w:tcPr>
            <w:tcW w:w="4631" w:type="dxa"/>
            <w:tcBorders>
              <w:top w:val="dotted" w:sz="4" w:space="0" w:color="auto"/>
              <w:bottom w:val="dotted" w:sz="4" w:space="0" w:color="auto"/>
              <w:right w:val="single" w:sz="4" w:space="0" w:color="auto"/>
            </w:tcBorders>
            <w:shd w:val="clear" w:color="000000" w:fill="FFFFFF"/>
            <w:vAlign w:val="center"/>
          </w:tcPr>
          <w:p w14:paraId="20B6F846" w14:textId="5B844B38"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2.</w:t>
            </w:r>
            <w:r w:rsidR="0072211B" w:rsidRPr="00DC66CD">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 xml:space="preserve">Net lending of general government </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265F5951"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EDP.B.9</w:t>
            </w:r>
          </w:p>
        </w:tc>
        <w:tc>
          <w:tcPr>
            <w:tcW w:w="872" w:type="dxa"/>
            <w:tcBorders>
              <w:top w:val="nil"/>
              <w:left w:val="nil"/>
              <w:bottom w:val="dotted" w:sz="4" w:space="0" w:color="000000"/>
              <w:right w:val="dotted" w:sz="4" w:space="0" w:color="000000"/>
            </w:tcBorders>
            <w:shd w:val="clear" w:color="000000" w:fill="FFFFFF"/>
            <w:vAlign w:val="center"/>
          </w:tcPr>
          <w:p w14:paraId="32F241A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w:t>
            </w:r>
          </w:p>
        </w:tc>
        <w:tc>
          <w:tcPr>
            <w:tcW w:w="865" w:type="dxa"/>
            <w:tcBorders>
              <w:top w:val="nil"/>
              <w:left w:val="nil"/>
              <w:bottom w:val="dotted" w:sz="4" w:space="0" w:color="000000"/>
              <w:right w:val="dotted" w:sz="4" w:space="0" w:color="000000"/>
            </w:tcBorders>
            <w:shd w:val="clear" w:color="000000" w:fill="FFFFFF"/>
            <w:vAlign w:val="center"/>
          </w:tcPr>
          <w:p w14:paraId="12CCA91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w:t>
            </w:r>
          </w:p>
        </w:tc>
        <w:tc>
          <w:tcPr>
            <w:tcW w:w="865" w:type="dxa"/>
            <w:tcBorders>
              <w:top w:val="nil"/>
              <w:left w:val="nil"/>
              <w:bottom w:val="dotted" w:sz="4" w:space="0" w:color="000000"/>
              <w:right w:val="dotted" w:sz="4" w:space="0" w:color="000000"/>
            </w:tcBorders>
            <w:shd w:val="clear" w:color="000000" w:fill="FFFFFF"/>
            <w:vAlign w:val="center"/>
          </w:tcPr>
          <w:p w14:paraId="507F848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757" w:type="dxa"/>
            <w:tcBorders>
              <w:top w:val="nil"/>
              <w:left w:val="nil"/>
              <w:bottom w:val="dotted" w:sz="4" w:space="0" w:color="000000"/>
              <w:right w:val="dotted" w:sz="4" w:space="0" w:color="000000"/>
            </w:tcBorders>
            <w:shd w:val="clear" w:color="000000" w:fill="FFFFFF"/>
            <w:vAlign w:val="center"/>
          </w:tcPr>
          <w:p w14:paraId="470C69E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-2.0</w:t>
            </w:r>
          </w:p>
        </w:tc>
        <w:tc>
          <w:tcPr>
            <w:tcW w:w="865" w:type="dxa"/>
            <w:tcBorders>
              <w:top w:val="nil"/>
              <w:left w:val="nil"/>
              <w:bottom w:val="dotted" w:sz="4" w:space="0" w:color="000000"/>
              <w:right w:val="double" w:sz="6" w:space="0" w:color="000000"/>
            </w:tcBorders>
            <w:shd w:val="clear" w:color="000000" w:fill="FFFFFF"/>
            <w:vAlign w:val="center"/>
          </w:tcPr>
          <w:p w14:paraId="4248104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w:t>
            </w:r>
          </w:p>
        </w:tc>
      </w:tr>
      <w:tr w:rsidR="006F605B" w:rsidRPr="00DC66CD" w14:paraId="0DF0B490" w14:textId="77777777" w:rsidTr="004F4E33">
        <w:trPr>
          <w:trHeight w:val="539"/>
          <w:jc w:val="center"/>
        </w:trPr>
        <w:tc>
          <w:tcPr>
            <w:tcW w:w="4631" w:type="dxa"/>
            <w:tcBorders>
              <w:top w:val="dotted" w:sz="4" w:space="0" w:color="auto"/>
              <w:bottom w:val="dotted" w:sz="4" w:space="0" w:color="auto"/>
              <w:right w:val="single" w:sz="4" w:space="0" w:color="auto"/>
            </w:tcBorders>
            <w:shd w:val="clear" w:color="000000" w:fill="FFFFFF"/>
            <w:vAlign w:val="center"/>
          </w:tcPr>
          <w:p w14:paraId="39A9AE99" w14:textId="142C0686"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3.</w:t>
            </w:r>
            <w:r w:rsidR="0072211B" w:rsidRPr="00DC66CD">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Interest expenditure</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3D9BF40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EDP.D.41</w:t>
            </w:r>
          </w:p>
        </w:tc>
        <w:tc>
          <w:tcPr>
            <w:tcW w:w="872" w:type="dxa"/>
            <w:tcBorders>
              <w:top w:val="nil"/>
              <w:left w:val="nil"/>
              <w:bottom w:val="dotted" w:sz="4" w:space="0" w:color="000000"/>
              <w:right w:val="dotted" w:sz="4" w:space="0" w:color="000000"/>
            </w:tcBorders>
            <w:shd w:val="clear" w:color="000000" w:fill="FFFFFF"/>
            <w:vAlign w:val="center"/>
          </w:tcPr>
          <w:p w14:paraId="22EE9A1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865" w:type="dxa"/>
            <w:tcBorders>
              <w:top w:val="nil"/>
              <w:left w:val="nil"/>
              <w:bottom w:val="dotted" w:sz="4" w:space="0" w:color="000000"/>
              <w:right w:val="dotted" w:sz="4" w:space="0" w:color="000000"/>
            </w:tcBorders>
            <w:shd w:val="clear" w:color="000000" w:fill="FFFFFF"/>
            <w:vAlign w:val="center"/>
          </w:tcPr>
          <w:p w14:paraId="36998E5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w:t>
            </w:r>
          </w:p>
        </w:tc>
        <w:tc>
          <w:tcPr>
            <w:tcW w:w="865" w:type="dxa"/>
            <w:tcBorders>
              <w:top w:val="nil"/>
              <w:left w:val="nil"/>
              <w:bottom w:val="dotted" w:sz="4" w:space="0" w:color="000000"/>
              <w:right w:val="dotted" w:sz="4" w:space="0" w:color="000000"/>
            </w:tcBorders>
            <w:shd w:val="clear" w:color="000000" w:fill="FFFFFF"/>
            <w:vAlign w:val="center"/>
          </w:tcPr>
          <w:p w14:paraId="3BF6655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w:t>
            </w:r>
          </w:p>
        </w:tc>
        <w:tc>
          <w:tcPr>
            <w:tcW w:w="757" w:type="dxa"/>
            <w:tcBorders>
              <w:top w:val="nil"/>
              <w:left w:val="nil"/>
              <w:bottom w:val="dotted" w:sz="4" w:space="0" w:color="000000"/>
              <w:right w:val="dotted" w:sz="4" w:space="0" w:color="000000"/>
            </w:tcBorders>
            <w:shd w:val="clear" w:color="000000" w:fill="FFFFFF"/>
            <w:vAlign w:val="center"/>
          </w:tcPr>
          <w:p w14:paraId="769B7EB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w:t>
            </w:r>
          </w:p>
        </w:tc>
        <w:tc>
          <w:tcPr>
            <w:tcW w:w="865" w:type="dxa"/>
            <w:tcBorders>
              <w:top w:val="nil"/>
              <w:left w:val="nil"/>
              <w:bottom w:val="dotted" w:sz="4" w:space="0" w:color="000000"/>
              <w:right w:val="double" w:sz="6" w:space="0" w:color="000000"/>
            </w:tcBorders>
            <w:shd w:val="clear" w:color="000000" w:fill="FFFFFF"/>
            <w:vAlign w:val="center"/>
          </w:tcPr>
          <w:p w14:paraId="465A36A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w:t>
            </w:r>
          </w:p>
        </w:tc>
      </w:tr>
      <w:tr w:rsidR="006F605B" w:rsidRPr="00DC66CD" w14:paraId="3FB7A9EC" w14:textId="77777777" w:rsidTr="004F4E33">
        <w:trPr>
          <w:trHeight w:val="525"/>
          <w:jc w:val="center"/>
        </w:trPr>
        <w:tc>
          <w:tcPr>
            <w:tcW w:w="4631" w:type="dxa"/>
            <w:tcBorders>
              <w:top w:val="dotted" w:sz="4" w:space="0" w:color="auto"/>
              <w:bottom w:val="dotted" w:sz="4" w:space="0" w:color="auto"/>
              <w:right w:val="single" w:sz="4" w:space="0" w:color="auto"/>
            </w:tcBorders>
            <w:shd w:val="clear" w:color="000000" w:fill="FFFFFF"/>
            <w:vAlign w:val="center"/>
          </w:tcPr>
          <w:p w14:paraId="664BBBB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4. One-off and other temporary measures</w:t>
            </w:r>
            <w:r w:rsidRPr="00DC66CD">
              <w:rPr>
                <w:rStyle w:val="FootnoteReference"/>
                <w:rFonts w:ascii="Garamond" w:hAnsi="Garamond"/>
                <w:color w:val="0D0D0D" w:themeColor="text1" w:themeTint="F2"/>
                <w:sz w:val="20"/>
                <w:szCs w:val="20"/>
              </w:rPr>
              <w:footnoteReference w:id="69"/>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026E7A83"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dotted" w:sz="4" w:space="0" w:color="000000"/>
              <w:right w:val="dotted" w:sz="4" w:space="0" w:color="000000"/>
            </w:tcBorders>
            <w:shd w:val="clear" w:color="auto" w:fill="auto"/>
          </w:tcPr>
          <w:p w14:paraId="635EAB2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tcPr>
          <w:p w14:paraId="41DA21B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tcPr>
          <w:p w14:paraId="684D1D3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dotted" w:sz="4" w:space="0" w:color="000000"/>
              <w:right w:val="dotted" w:sz="4" w:space="0" w:color="000000"/>
            </w:tcBorders>
            <w:shd w:val="clear" w:color="auto" w:fill="auto"/>
          </w:tcPr>
          <w:p w14:paraId="71667A6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uble" w:sz="6" w:space="0" w:color="000000"/>
            </w:tcBorders>
            <w:shd w:val="clear" w:color="auto" w:fill="auto"/>
          </w:tcPr>
          <w:p w14:paraId="0371CC4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F8A209D" w14:textId="77777777" w:rsidTr="004F4E33">
        <w:trPr>
          <w:trHeight w:val="263"/>
          <w:jc w:val="center"/>
        </w:trPr>
        <w:tc>
          <w:tcPr>
            <w:tcW w:w="4631" w:type="dxa"/>
            <w:tcBorders>
              <w:top w:val="dotted" w:sz="4" w:space="0" w:color="auto"/>
              <w:bottom w:val="dotted" w:sz="4" w:space="0" w:color="auto"/>
              <w:right w:val="single" w:sz="4" w:space="0" w:color="auto"/>
            </w:tcBorders>
            <w:shd w:val="clear" w:color="000000" w:fill="FFFFFF"/>
            <w:vAlign w:val="center"/>
          </w:tcPr>
          <w:p w14:paraId="03FE978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5. Potential GDP growth (%)</w:t>
            </w:r>
            <w:r w:rsidRPr="00DC66CD">
              <w:rPr>
                <w:rStyle w:val="FootnoteReference"/>
                <w:rFonts w:ascii="Garamond" w:hAnsi="Garamond"/>
                <w:color w:val="0D0D0D" w:themeColor="text1" w:themeTint="F2"/>
                <w:sz w:val="20"/>
                <w:szCs w:val="20"/>
              </w:rPr>
              <w:footnoteReference w:id="70"/>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5908EDBD"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single" w:sz="4" w:space="0" w:color="auto"/>
              <w:right w:val="dotted" w:sz="4" w:space="0" w:color="000000"/>
            </w:tcBorders>
            <w:shd w:val="clear" w:color="auto" w:fill="auto"/>
            <w:vAlign w:val="bottom"/>
          </w:tcPr>
          <w:p w14:paraId="46954C9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single" w:sz="4" w:space="0" w:color="auto"/>
              <w:right w:val="dotted" w:sz="4" w:space="0" w:color="000000"/>
            </w:tcBorders>
            <w:shd w:val="clear" w:color="auto" w:fill="auto"/>
            <w:vAlign w:val="bottom"/>
          </w:tcPr>
          <w:p w14:paraId="68A924E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single" w:sz="4" w:space="0" w:color="auto"/>
              <w:right w:val="dotted" w:sz="4" w:space="0" w:color="000000"/>
            </w:tcBorders>
            <w:shd w:val="clear" w:color="auto" w:fill="auto"/>
            <w:vAlign w:val="bottom"/>
          </w:tcPr>
          <w:p w14:paraId="3BF8E9F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single" w:sz="4" w:space="0" w:color="auto"/>
              <w:right w:val="dotted" w:sz="4" w:space="0" w:color="000000"/>
            </w:tcBorders>
            <w:shd w:val="clear" w:color="auto" w:fill="auto"/>
            <w:vAlign w:val="bottom"/>
          </w:tcPr>
          <w:p w14:paraId="57355A5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single" w:sz="4" w:space="0" w:color="auto"/>
              <w:right w:val="double" w:sz="6" w:space="0" w:color="000000"/>
            </w:tcBorders>
            <w:shd w:val="clear" w:color="auto" w:fill="auto"/>
            <w:vAlign w:val="bottom"/>
          </w:tcPr>
          <w:p w14:paraId="34D8784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2C3109C" w14:textId="77777777" w:rsidTr="004F4E33">
        <w:trPr>
          <w:trHeight w:val="263"/>
          <w:jc w:val="center"/>
        </w:trPr>
        <w:tc>
          <w:tcPr>
            <w:tcW w:w="4631" w:type="dxa"/>
            <w:tcBorders>
              <w:top w:val="dotted" w:sz="4" w:space="0" w:color="auto"/>
              <w:bottom w:val="dotted" w:sz="4" w:space="0" w:color="auto"/>
              <w:right w:val="single" w:sz="4" w:space="0" w:color="auto"/>
            </w:tcBorders>
            <w:shd w:val="clear" w:color="000000" w:fill="FFFFFF"/>
            <w:vAlign w:val="center"/>
          </w:tcPr>
          <w:p w14:paraId="2112206C"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Contributions:</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4F728C9A"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dotted" w:sz="4" w:space="0" w:color="000000"/>
              <w:right w:val="dotted" w:sz="4" w:space="0" w:color="000000"/>
            </w:tcBorders>
            <w:shd w:val="clear" w:color="auto" w:fill="auto"/>
            <w:vAlign w:val="bottom"/>
          </w:tcPr>
          <w:p w14:paraId="7888C0B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865" w:type="dxa"/>
            <w:tcBorders>
              <w:top w:val="nil"/>
              <w:left w:val="nil"/>
              <w:bottom w:val="dotted" w:sz="4" w:space="0" w:color="000000"/>
              <w:right w:val="dotted" w:sz="4" w:space="0" w:color="000000"/>
            </w:tcBorders>
            <w:shd w:val="clear" w:color="auto" w:fill="auto"/>
            <w:vAlign w:val="bottom"/>
          </w:tcPr>
          <w:p w14:paraId="3156255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865" w:type="dxa"/>
            <w:tcBorders>
              <w:top w:val="nil"/>
              <w:left w:val="nil"/>
              <w:bottom w:val="dotted" w:sz="4" w:space="0" w:color="000000"/>
              <w:right w:val="dotted" w:sz="4" w:space="0" w:color="000000"/>
            </w:tcBorders>
            <w:shd w:val="clear" w:color="auto" w:fill="auto"/>
            <w:vAlign w:val="bottom"/>
          </w:tcPr>
          <w:p w14:paraId="50E353F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757" w:type="dxa"/>
            <w:tcBorders>
              <w:top w:val="nil"/>
              <w:left w:val="nil"/>
              <w:bottom w:val="dotted" w:sz="4" w:space="0" w:color="000000"/>
              <w:right w:val="dotted" w:sz="4" w:space="0" w:color="000000"/>
            </w:tcBorders>
            <w:shd w:val="clear" w:color="auto" w:fill="auto"/>
            <w:vAlign w:val="bottom"/>
          </w:tcPr>
          <w:p w14:paraId="3C1A2BD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c>
          <w:tcPr>
            <w:tcW w:w="865" w:type="dxa"/>
            <w:tcBorders>
              <w:top w:val="nil"/>
              <w:left w:val="nil"/>
              <w:bottom w:val="dotted" w:sz="4" w:space="0" w:color="000000"/>
              <w:right w:val="double" w:sz="6" w:space="0" w:color="000000"/>
            </w:tcBorders>
            <w:shd w:val="clear" w:color="auto" w:fill="auto"/>
            <w:vAlign w:val="bottom"/>
          </w:tcPr>
          <w:p w14:paraId="5311890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w:t>
            </w:r>
          </w:p>
        </w:tc>
      </w:tr>
      <w:tr w:rsidR="006F605B" w:rsidRPr="00DC66CD" w14:paraId="5065F5EC" w14:textId="77777777" w:rsidTr="004F4E33">
        <w:trPr>
          <w:trHeight w:val="275"/>
          <w:jc w:val="center"/>
        </w:trPr>
        <w:tc>
          <w:tcPr>
            <w:tcW w:w="4631" w:type="dxa"/>
            <w:tcBorders>
              <w:top w:val="dotted" w:sz="4" w:space="0" w:color="auto"/>
              <w:bottom w:val="dotted" w:sz="4" w:space="0" w:color="auto"/>
              <w:right w:val="single" w:sz="4" w:space="0" w:color="auto"/>
            </w:tcBorders>
            <w:shd w:val="clear" w:color="000000" w:fill="FFFFFF"/>
            <w:vAlign w:val="center"/>
          </w:tcPr>
          <w:p w14:paraId="7061118D"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labour</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56EB491B"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dotted" w:sz="4" w:space="0" w:color="000000"/>
              <w:right w:val="dotted" w:sz="4" w:space="0" w:color="000000"/>
            </w:tcBorders>
            <w:shd w:val="clear" w:color="auto" w:fill="auto"/>
          </w:tcPr>
          <w:p w14:paraId="1B60667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tcPr>
          <w:p w14:paraId="5C473B3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tcPr>
          <w:p w14:paraId="33B7AD5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dotted" w:sz="4" w:space="0" w:color="000000"/>
              <w:right w:val="dotted" w:sz="4" w:space="0" w:color="000000"/>
            </w:tcBorders>
            <w:shd w:val="clear" w:color="auto" w:fill="auto"/>
          </w:tcPr>
          <w:p w14:paraId="2881757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uble" w:sz="6" w:space="0" w:color="000000"/>
            </w:tcBorders>
            <w:shd w:val="clear" w:color="auto" w:fill="auto"/>
          </w:tcPr>
          <w:p w14:paraId="09850D9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CBDF4AB" w14:textId="77777777" w:rsidTr="004F4E33">
        <w:trPr>
          <w:trHeight w:val="263"/>
          <w:jc w:val="center"/>
        </w:trPr>
        <w:tc>
          <w:tcPr>
            <w:tcW w:w="4631" w:type="dxa"/>
            <w:tcBorders>
              <w:top w:val="dotted" w:sz="4" w:space="0" w:color="auto"/>
              <w:bottom w:val="dotted" w:sz="4" w:space="0" w:color="auto"/>
              <w:right w:val="single" w:sz="4" w:space="0" w:color="auto"/>
            </w:tcBorders>
            <w:shd w:val="clear" w:color="000000" w:fill="FFFFFF"/>
            <w:vAlign w:val="center"/>
          </w:tcPr>
          <w:p w14:paraId="729849CE"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capital</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57545354"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dotted" w:sz="4" w:space="0" w:color="000000"/>
              <w:right w:val="dotted" w:sz="4" w:space="0" w:color="000000"/>
            </w:tcBorders>
            <w:shd w:val="clear" w:color="auto" w:fill="auto"/>
          </w:tcPr>
          <w:p w14:paraId="590DA22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tcPr>
          <w:p w14:paraId="7B123D1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tcPr>
          <w:p w14:paraId="05BF229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dotted" w:sz="4" w:space="0" w:color="000000"/>
              <w:right w:val="dotted" w:sz="4" w:space="0" w:color="000000"/>
            </w:tcBorders>
            <w:shd w:val="clear" w:color="auto" w:fill="auto"/>
          </w:tcPr>
          <w:p w14:paraId="109E65A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uble" w:sz="6" w:space="0" w:color="000000"/>
            </w:tcBorders>
            <w:shd w:val="clear" w:color="auto" w:fill="auto"/>
          </w:tcPr>
          <w:p w14:paraId="27AE820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0045BB0E" w14:textId="77777777" w:rsidTr="004F4E33">
        <w:trPr>
          <w:trHeight w:val="263"/>
          <w:jc w:val="center"/>
        </w:trPr>
        <w:tc>
          <w:tcPr>
            <w:tcW w:w="4631" w:type="dxa"/>
            <w:tcBorders>
              <w:top w:val="dotted" w:sz="4" w:space="0" w:color="auto"/>
              <w:bottom w:val="dotted" w:sz="4" w:space="0" w:color="auto"/>
              <w:right w:val="single" w:sz="4" w:space="0" w:color="auto"/>
            </w:tcBorders>
            <w:shd w:val="clear" w:color="000000" w:fill="FFFFFF"/>
            <w:vAlign w:val="center"/>
          </w:tcPr>
          <w:p w14:paraId="4E602694"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total factor productivity</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59B4C951"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single" w:sz="4" w:space="0" w:color="auto"/>
              <w:right w:val="dotted" w:sz="4" w:space="0" w:color="000000"/>
            </w:tcBorders>
            <w:shd w:val="clear" w:color="auto" w:fill="auto"/>
          </w:tcPr>
          <w:p w14:paraId="079C023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single" w:sz="4" w:space="0" w:color="auto"/>
              <w:right w:val="dotted" w:sz="4" w:space="0" w:color="000000"/>
            </w:tcBorders>
            <w:shd w:val="clear" w:color="auto" w:fill="auto"/>
          </w:tcPr>
          <w:p w14:paraId="070CDC8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single" w:sz="4" w:space="0" w:color="auto"/>
              <w:right w:val="dotted" w:sz="4" w:space="0" w:color="000000"/>
            </w:tcBorders>
            <w:shd w:val="clear" w:color="auto" w:fill="auto"/>
          </w:tcPr>
          <w:p w14:paraId="13741E6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single" w:sz="4" w:space="0" w:color="auto"/>
              <w:right w:val="dotted" w:sz="4" w:space="0" w:color="000000"/>
            </w:tcBorders>
            <w:shd w:val="clear" w:color="auto" w:fill="auto"/>
          </w:tcPr>
          <w:p w14:paraId="68BE16B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single" w:sz="4" w:space="0" w:color="auto"/>
              <w:right w:val="double" w:sz="6" w:space="0" w:color="000000"/>
            </w:tcBorders>
            <w:shd w:val="clear" w:color="auto" w:fill="auto"/>
          </w:tcPr>
          <w:p w14:paraId="5F7AACD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77646F10" w14:textId="77777777" w:rsidTr="004F4E33">
        <w:trPr>
          <w:trHeight w:val="263"/>
          <w:jc w:val="center"/>
        </w:trPr>
        <w:tc>
          <w:tcPr>
            <w:tcW w:w="4631" w:type="dxa"/>
            <w:tcBorders>
              <w:top w:val="dotted" w:sz="4" w:space="0" w:color="auto"/>
              <w:bottom w:val="dotted" w:sz="4" w:space="0" w:color="auto"/>
              <w:right w:val="single" w:sz="4" w:space="0" w:color="auto"/>
            </w:tcBorders>
            <w:shd w:val="clear" w:color="000000" w:fill="FFFFFF"/>
            <w:vAlign w:val="center"/>
          </w:tcPr>
          <w:p w14:paraId="0E25C0BC" w14:textId="5DDAB02A"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6. Output gap</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595FAC10"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dotted" w:sz="4" w:space="0" w:color="000000"/>
              <w:right w:val="dotted" w:sz="4" w:space="0" w:color="000000"/>
            </w:tcBorders>
            <w:shd w:val="clear" w:color="auto" w:fill="auto"/>
            <w:vAlign w:val="bottom"/>
          </w:tcPr>
          <w:p w14:paraId="4658B9C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vAlign w:val="bottom"/>
          </w:tcPr>
          <w:p w14:paraId="54DB32A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vAlign w:val="bottom"/>
          </w:tcPr>
          <w:p w14:paraId="7831F43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dotted" w:sz="4" w:space="0" w:color="000000"/>
              <w:right w:val="dotted" w:sz="4" w:space="0" w:color="000000"/>
            </w:tcBorders>
            <w:shd w:val="clear" w:color="auto" w:fill="auto"/>
            <w:vAlign w:val="bottom"/>
          </w:tcPr>
          <w:p w14:paraId="2F730F3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uble" w:sz="6" w:space="0" w:color="000000"/>
            </w:tcBorders>
            <w:shd w:val="clear" w:color="auto" w:fill="auto"/>
            <w:vAlign w:val="bottom"/>
          </w:tcPr>
          <w:p w14:paraId="6C1B890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A5E6A8B" w14:textId="77777777" w:rsidTr="004F4E33">
        <w:trPr>
          <w:trHeight w:val="263"/>
          <w:jc w:val="center"/>
        </w:trPr>
        <w:tc>
          <w:tcPr>
            <w:tcW w:w="4631" w:type="dxa"/>
            <w:tcBorders>
              <w:top w:val="dotted" w:sz="4" w:space="0" w:color="auto"/>
              <w:bottom w:val="dotted" w:sz="4" w:space="0" w:color="auto"/>
              <w:right w:val="single" w:sz="4" w:space="0" w:color="auto"/>
            </w:tcBorders>
            <w:shd w:val="clear" w:color="000000" w:fill="FFFFFF"/>
            <w:vAlign w:val="center"/>
          </w:tcPr>
          <w:p w14:paraId="6305A887" w14:textId="3EDC1E19"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7. Cyclical budgetary component</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6B1F3CA6"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single" w:sz="4" w:space="0" w:color="auto"/>
              <w:right w:val="dotted" w:sz="4" w:space="0" w:color="000000"/>
            </w:tcBorders>
            <w:shd w:val="clear" w:color="auto" w:fill="auto"/>
            <w:vAlign w:val="bottom"/>
          </w:tcPr>
          <w:p w14:paraId="2866A4F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single" w:sz="4" w:space="0" w:color="auto"/>
              <w:right w:val="dotted" w:sz="4" w:space="0" w:color="000000"/>
            </w:tcBorders>
            <w:shd w:val="clear" w:color="auto" w:fill="auto"/>
            <w:vAlign w:val="bottom"/>
          </w:tcPr>
          <w:p w14:paraId="04D2761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single" w:sz="4" w:space="0" w:color="auto"/>
              <w:right w:val="dotted" w:sz="4" w:space="0" w:color="000000"/>
            </w:tcBorders>
            <w:shd w:val="clear" w:color="auto" w:fill="auto"/>
            <w:vAlign w:val="bottom"/>
          </w:tcPr>
          <w:p w14:paraId="1909F1B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single" w:sz="4" w:space="0" w:color="auto"/>
              <w:right w:val="dotted" w:sz="4" w:space="0" w:color="000000"/>
            </w:tcBorders>
            <w:shd w:val="clear" w:color="auto" w:fill="auto"/>
            <w:vAlign w:val="bottom"/>
          </w:tcPr>
          <w:p w14:paraId="2D8B597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single" w:sz="4" w:space="0" w:color="auto"/>
              <w:right w:val="double" w:sz="6" w:space="0" w:color="000000"/>
            </w:tcBorders>
            <w:shd w:val="clear" w:color="auto" w:fill="auto"/>
            <w:vAlign w:val="bottom"/>
          </w:tcPr>
          <w:p w14:paraId="55F31AF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00E32678" w14:textId="77777777" w:rsidTr="004F4E33">
        <w:trPr>
          <w:trHeight w:val="263"/>
          <w:jc w:val="center"/>
        </w:trPr>
        <w:tc>
          <w:tcPr>
            <w:tcW w:w="4631" w:type="dxa"/>
            <w:tcBorders>
              <w:top w:val="dotted" w:sz="4" w:space="0" w:color="auto"/>
              <w:bottom w:val="dotted" w:sz="4" w:space="0" w:color="auto"/>
              <w:right w:val="single" w:sz="4" w:space="0" w:color="auto"/>
            </w:tcBorders>
            <w:shd w:val="clear" w:color="000000" w:fill="FFFFFF"/>
            <w:vAlign w:val="center"/>
          </w:tcPr>
          <w:p w14:paraId="432A3727" w14:textId="23CCCBE9"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8. Cyclically-adjusted balance (2-7)</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4592B925"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dotted" w:sz="4" w:space="0" w:color="000000"/>
              <w:right w:val="dotted" w:sz="4" w:space="0" w:color="000000"/>
            </w:tcBorders>
            <w:shd w:val="clear" w:color="auto" w:fill="auto"/>
            <w:vAlign w:val="bottom"/>
          </w:tcPr>
          <w:p w14:paraId="28D5A27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vAlign w:val="bottom"/>
          </w:tcPr>
          <w:p w14:paraId="26C5DFB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vAlign w:val="bottom"/>
          </w:tcPr>
          <w:p w14:paraId="1024ED7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dotted" w:sz="4" w:space="0" w:color="000000"/>
              <w:right w:val="dotted" w:sz="4" w:space="0" w:color="000000"/>
            </w:tcBorders>
            <w:shd w:val="clear" w:color="auto" w:fill="auto"/>
            <w:vAlign w:val="bottom"/>
          </w:tcPr>
          <w:p w14:paraId="73B7A51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uble" w:sz="6" w:space="0" w:color="000000"/>
            </w:tcBorders>
            <w:shd w:val="clear" w:color="auto" w:fill="auto"/>
            <w:vAlign w:val="bottom"/>
          </w:tcPr>
          <w:p w14:paraId="6745EEB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1AE8CACB" w14:textId="77777777" w:rsidTr="004F4E33">
        <w:trPr>
          <w:trHeight w:val="525"/>
          <w:jc w:val="center"/>
        </w:trPr>
        <w:tc>
          <w:tcPr>
            <w:tcW w:w="4631" w:type="dxa"/>
            <w:tcBorders>
              <w:top w:val="dotted" w:sz="4" w:space="0" w:color="auto"/>
              <w:bottom w:val="dotted" w:sz="4" w:space="0" w:color="auto"/>
              <w:right w:val="single" w:sz="4" w:space="0" w:color="auto"/>
            </w:tcBorders>
            <w:shd w:val="clear" w:color="000000" w:fill="FFFFFF"/>
            <w:vAlign w:val="center"/>
          </w:tcPr>
          <w:p w14:paraId="25476A1D" w14:textId="536492ED"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9. Cyclically-adjusted primary balance (8+3)</w:t>
            </w:r>
          </w:p>
        </w:tc>
        <w:tc>
          <w:tcPr>
            <w:tcW w:w="1080" w:type="dxa"/>
            <w:tcBorders>
              <w:top w:val="dotted" w:sz="4" w:space="0" w:color="auto"/>
              <w:left w:val="single" w:sz="4" w:space="0" w:color="auto"/>
              <w:bottom w:val="dotted" w:sz="4" w:space="0" w:color="auto"/>
              <w:right w:val="single" w:sz="4" w:space="0" w:color="auto"/>
            </w:tcBorders>
            <w:shd w:val="clear" w:color="000000" w:fill="FFFFFF"/>
            <w:vAlign w:val="center"/>
          </w:tcPr>
          <w:p w14:paraId="3FBEADE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dotted" w:sz="4" w:space="0" w:color="000000"/>
              <w:right w:val="dotted" w:sz="4" w:space="0" w:color="000000"/>
            </w:tcBorders>
            <w:shd w:val="clear" w:color="auto" w:fill="auto"/>
            <w:vAlign w:val="bottom"/>
          </w:tcPr>
          <w:p w14:paraId="11236F2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vAlign w:val="bottom"/>
          </w:tcPr>
          <w:p w14:paraId="176CB5C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tted" w:sz="4" w:space="0" w:color="000000"/>
            </w:tcBorders>
            <w:shd w:val="clear" w:color="auto" w:fill="auto"/>
            <w:vAlign w:val="bottom"/>
          </w:tcPr>
          <w:p w14:paraId="4085DE5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dotted" w:sz="4" w:space="0" w:color="000000"/>
              <w:right w:val="dotted" w:sz="4" w:space="0" w:color="000000"/>
            </w:tcBorders>
            <w:shd w:val="clear" w:color="auto" w:fill="auto"/>
            <w:vAlign w:val="bottom"/>
          </w:tcPr>
          <w:p w14:paraId="6AAEB98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tted" w:sz="4" w:space="0" w:color="000000"/>
              <w:right w:val="double" w:sz="6" w:space="0" w:color="000000"/>
            </w:tcBorders>
            <w:shd w:val="clear" w:color="auto" w:fill="auto"/>
            <w:vAlign w:val="bottom"/>
          </w:tcPr>
          <w:p w14:paraId="4C0FF2F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A30108D" w14:textId="77777777" w:rsidTr="004F4E33">
        <w:trPr>
          <w:trHeight w:val="275"/>
          <w:jc w:val="center"/>
        </w:trPr>
        <w:tc>
          <w:tcPr>
            <w:tcW w:w="4631" w:type="dxa"/>
            <w:tcBorders>
              <w:top w:val="dotted" w:sz="4" w:space="0" w:color="auto"/>
              <w:right w:val="single" w:sz="4" w:space="0" w:color="auto"/>
            </w:tcBorders>
            <w:shd w:val="clear" w:color="000000" w:fill="FFFFFF"/>
            <w:vAlign w:val="center"/>
          </w:tcPr>
          <w:p w14:paraId="6FB89826" w14:textId="54CC62C5" w:rsidR="006F605B" w:rsidRPr="00DC66CD" w:rsidRDefault="0072211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10. Structural balance (8-4)</w:t>
            </w:r>
          </w:p>
        </w:tc>
        <w:tc>
          <w:tcPr>
            <w:tcW w:w="1080" w:type="dxa"/>
            <w:tcBorders>
              <w:top w:val="dotted" w:sz="4" w:space="0" w:color="auto"/>
              <w:left w:val="single" w:sz="4" w:space="0" w:color="auto"/>
              <w:bottom w:val="double" w:sz="4" w:space="0" w:color="auto"/>
              <w:right w:val="single" w:sz="4" w:space="0" w:color="auto"/>
            </w:tcBorders>
            <w:shd w:val="clear" w:color="000000" w:fill="FFFFFF"/>
            <w:vAlign w:val="center"/>
          </w:tcPr>
          <w:p w14:paraId="17B1D1CF"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w:t>
            </w:r>
          </w:p>
        </w:tc>
        <w:tc>
          <w:tcPr>
            <w:tcW w:w="872" w:type="dxa"/>
            <w:tcBorders>
              <w:top w:val="nil"/>
              <w:left w:val="nil"/>
              <w:bottom w:val="double" w:sz="6" w:space="0" w:color="000000"/>
              <w:right w:val="dotted" w:sz="4" w:space="0" w:color="000000"/>
            </w:tcBorders>
            <w:shd w:val="clear" w:color="auto" w:fill="auto"/>
            <w:vAlign w:val="bottom"/>
          </w:tcPr>
          <w:p w14:paraId="1BCAAA2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uble" w:sz="6" w:space="0" w:color="000000"/>
              <w:right w:val="dotted" w:sz="4" w:space="0" w:color="000000"/>
            </w:tcBorders>
            <w:shd w:val="clear" w:color="auto" w:fill="auto"/>
            <w:vAlign w:val="bottom"/>
          </w:tcPr>
          <w:p w14:paraId="48EF27C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uble" w:sz="6" w:space="0" w:color="000000"/>
              <w:right w:val="dotted" w:sz="4" w:space="0" w:color="000000"/>
            </w:tcBorders>
            <w:shd w:val="clear" w:color="auto" w:fill="auto"/>
            <w:vAlign w:val="bottom"/>
          </w:tcPr>
          <w:p w14:paraId="19D52C2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757" w:type="dxa"/>
            <w:tcBorders>
              <w:top w:val="nil"/>
              <w:left w:val="nil"/>
              <w:bottom w:val="double" w:sz="6" w:space="0" w:color="000000"/>
              <w:right w:val="dotted" w:sz="4" w:space="0" w:color="000000"/>
            </w:tcBorders>
            <w:shd w:val="clear" w:color="auto" w:fill="auto"/>
            <w:vAlign w:val="bottom"/>
          </w:tcPr>
          <w:p w14:paraId="220B6C2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865" w:type="dxa"/>
            <w:tcBorders>
              <w:top w:val="nil"/>
              <w:left w:val="nil"/>
              <w:bottom w:val="double" w:sz="6" w:space="0" w:color="000000"/>
              <w:right w:val="double" w:sz="6" w:space="0" w:color="000000"/>
            </w:tcBorders>
            <w:shd w:val="clear" w:color="auto" w:fill="auto"/>
            <w:vAlign w:val="bottom"/>
          </w:tcPr>
          <w:p w14:paraId="2B40A61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bl>
    <w:p w14:paraId="50F7CF68"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4DDCAEFC" w14:textId="77777777" w:rsidR="006F605B" w:rsidRPr="00DC66CD" w:rsidRDefault="006F605B" w:rsidP="006F605B">
      <w:pPr>
        <w:pStyle w:val="Heading2"/>
        <w:spacing w:before="0" w:line="240" w:lineRule="auto"/>
        <w:ind w:firstLine="284"/>
        <w:rPr>
          <w:rFonts w:ascii="Garamond" w:hAnsi="Garamond"/>
          <w:sz w:val="24"/>
          <w:szCs w:val="24"/>
        </w:rPr>
      </w:pPr>
      <w:bookmarkStart w:id="96" w:name="_Toc536784318"/>
      <w:bookmarkStart w:id="97" w:name="_Toc30661253"/>
      <w:r w:rsidRPr="00DC66CD">
        <w:rPr>
          <w:rFonts w:ascii="Garamond" w:hAnsi="Garamond"/>
          <w:color w:val="auto"/>
          <w:sz w:val="24"/>
          <w:szCs w:val="24"/>
        </w:rPr>
        <w:t>Tabela 6: Divergjenca nga programi i mëparshëm</w:t>
      </w:r>
      <w:bookmarkEnd w:id="96"/>
      <w:bookmarkEnd w:id="97"/>
    </w:p>
    <w:tbl>
      <w:tblPr>
        <w:tblW w:w="9901" w:type="dxa"/>
        <w:tblLook w:val="04A0" w:firstRow="1" w:lastRow="0" w:firstColumn="1" w:lastColumn="0" w:noHBand="0" w:noVBand="1"/>
      </w:tblPr>
      <w:tblGrid>
        <w:gridCol w:w="4552"/>
        <w:gridCol w:w="1069"/>
        <w:gridCol w:w="1070"/>
        <w:gridCol w:w="1070"/>
        <w:gridCol w:w="1070"/>
        <w:gridCol w:w="1070"/>
      </w:tblGrid>
      <w:tr w:rsidR="006F605B" w:rsidRPr="00DC66CD" w14:paraId="7AD309C2" w14:textId="77777777" w:rsidTr="004F4E33">
        <w:trPr>
          <w:trHeight w:val="303"/>
        </w:trPr>
        <w:tc>
          <w:tcPr>
            <w:tcW w:w="0" w:type="auto"/>
            <w:vMerge w:val="restart"/>
            <w:tcBorders>
              <w:top w:val="double" w:sz="6" w:space="0" w:color="auto"/>
              <w:left w:val="double" w:sz="6" w:space="0" w:color="auto"/>
              <w:bottom w:val="single" w:sz="8" w:space="0" w:color="000000"/>
              <w:right w:val="single" w:sz="8" w:space="0" w:color="auto"/>
            </w:tcBorders>
            <w:shd w:val="clear" w:color="000000" w:fill="FFFFFF"/>
            <w:vAlign w:val="center"/>
            <w:hideMark/>
          </w:tcPr>
          <w:p w14:paraId="2631CA19" w14:textId="65413971"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tcBorders>
              <w:top w:val="double" w:sz="6" w:space="0" w:color="auto"/>
              <w:left w:val="nil"/>
              <w:bottom w:val="nil"/>
              <w:right w:val="dotted" w:sz="4" w:space="0" w:color="auto"/>
            </w:tcBorders>
            <w:shd w:val="clear" w:color="000000" w:fill="FFFFFF"/>
            <w:vAlign w:val="center"/>
            <w:hideMark/>
          </w:tcPr>
          <w:p w14:paraId="5F22DEAC" w14:textId="77777777" w:rsidR="006F605B" w:rsidRPr="00DC66CD" w:rsidRDefault="006F605B" w:rsidP="004F4E33">
            <w:pPr>
              <w:spacing w:after="0" w:line="240" w:lineRule="auto"/>
              <w:jc w:val="center"/>
              <w:rPr>
                <w:rFonts w:ascii="Garamond" w:eastAsia="Times New Roman"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57C55229"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47EDDB64"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tted" w:sz="4" w:space="0" w:color="auto"/>
            </w:tcBorders>
            <w:shd w:val="clear" w:color="000000" w:fill="FFFFFF"/>
            <w:vAlign w:val="center"/>
            <w:hideMark/>
          </w:tcPr>
          <w:p w14:paraId="0B0665C5"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c>
          <w:tcPr>
            <w:tcW w:w="0" w:type="auto"/>
            <w:tcBorders>
              <w:top w:val="double" w:sz="6" w:space="0" w:color="auto"/>
              <w:left w:val="nil"/>
              <w:bottom w:val="nil"/>
              <w:right w:val="double" w:sz="6" w:space="0" w:color="auto"/>
            </w:tcBorders>
            <w:shd w:val="clear" w:color="000000" w:fill="FFFFFF"/>
            <w:vAlign w:val="center"/>
            <w:hideMark/>
          </w:tcPr>
          <w:p w14:paraId="0F7AF343"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Year</w:t>
            </w:r>
          </w:p>
        </w:tc>
      </w:tr>
      <w:tr w:rsidR="006F605B" w:rsidRPr="00DC66CD" w14:paraId="4746A67A" w14:textId="77777777" w:rsidTr="004F4E33">
        <w:trPr>
          <w:trHeight w:val="303"/>
        </w:trPr>
        <w:tc>
          <w:tcPr>
            <w:tcW w:w="0" w:type="auto"/>
            <w:vMerge/>
            <w:tcBorders>
              <w:top w:val="double" w:sz="6" w:space="0" w:color="auto"/>
              <w:left w:val="double" w:sz="6" w:space="0" w:color="auto"/>
              <w:bottom w:val="single" w:sz="8" w:space="0" w:color="000000"/>
              <w:right w:val="single" w:sz="8" w:space="0" w:color="auto"/>
            </w:tcBorders>
            <w:vAlign w:val="center"/>
            <w:hideMark/>
          </w:tcPr>
          <w:p w14:paraId="0D2A4F11" w14:textId="77777777" w:rsidR="006F605B" w:rsidRPr="00DC66CD" w:rsidRDefault="006F605B" w:rsidP="004F4E33">
            <w:pPr>
              <w:spacing w:after="0" w:line="240" w:lineRule="auto"/>
              <w:jc w:val="center"/>
              <w:rPr>
                <w:rFonts w:ascii="Garamond" w:hAnsi="Garamond"/>
                <w:b/>
                <w:color w:val="0D0D0D" w:themeColor="text1" w:themeTint="F2"/>
                <w:sz w:val="20"/>
                <w:szCs w:val="20"/>
              </w:rPr>
            </w:pPr>
          </w:p>
        </w:tc>
        <w:tc>
          <w:tcPr>
            <w:tcW w:w="0" w:type="auto"/>
            <w:tcBorders>
              <w:top w:val="nil"/>
              <w:left w:val="nil"/>
              <w:bottom w:val="single" w:sz="8" w:space="0" w:color="auto"/>
              <w:right w:val="dotted" w:sz="4" w:space="0" w:color="auto"/>
            </w:tcBorders>
            <w:shd w:val="clear" w:color="000000" w:fill="FFFFFF"/>
            <w:vAlign w:val="center"/>
            <w:hideMark/>
          </w:tcPr>
          <w:p w14:paraId="2B27EEC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2018</w:t>
            </w:r>
          </w:p>
        </w:tc>
        <w:tc>
          <w:tcPr>
            <w:tcW w:w="0" w:type="auto"/>
            <w:tcBorders>
              <w:top w:val="nil"/>
              <w:left w:val="nil"/>
              <w:bottom w:val="single" w:sz="8" w:space="0" w:color="auto"/>
              <w:right w:val="dotted" w:sz="4" w:space="0" w:color="auto"/>
            </w:tcBorders>
            <w:shd w:val="clear" w:color="000000" w:fill="FFFFFF"/>
            <w:vAlign w:val="center"/>
            <w:hideMark/>
          </w:tcPr>
          <w:p w14:paraId="35FF4911"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2019</w:t>
            </w:r>
          </w:p>
        </w:tc>
        <w:tc>
          <w:tcPr>
            <w:tcW w:w="0" w:type="auto"/>
            <w:tcBorders>
              <w:top w:val="nil"/>
              <w:left w:val="nil"/>
              <w:bottom w:val="single" w:sz="8" w:space="0" w:color="auto"/>
              <w:right w:val="dotted" w:sz="4" w:space="0" w:color="auto"/>
            </w:tcBorders>
            <w:shd w:val="clear" w:color="000000" w:fill="FFFFFF"/>
            <w:vAlign w:val="center"/>
            <w:hideMark/>
          </w:tcPr>
          <w:p w14:paraId="1DA2DAAF"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2020</w:t>
            </w:r>
          </w:p>
        </w:tc>
        <w:tc>
          <w:tcPr>
            <w:tcW w:w="0" w:type="auto"/>
            <w:tcBorders>
              <w:top w:val="nil"/>
              <w:left w:val="nil"/>
              <w:bottom w:val="single" w:sz="8" w:space="0" w:color="auto"/>
              <w:right w:val="dotted" w:sz="4" w:space="0" w:color="auto"/>
            </w:tcBorders>
            <w:shd w:val="clear" w:color="000000" w:fill="FFFFFF"/>
            <w:vAlign w:val="center"/>
            <w:hideMark/>
          </w:tcPr>
          <w:p w14:paraId="0BAC2652"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2021</w:t>
            </w:r>
          </w:p>
        </w:tc>
        <w:tc>
          <w:tcPr>
            <w:tcW w:w="0" w:type="auto"/>
            <w:tcBorders>
              <w:top w:val="nil"/>
              <w:left w:val="nil"/>
              <w:bottom w:val="single" w:sz="8" w:space="0" w:color="auto"/>
              <w:right w:val="double" w:sz="6" w:space="0" w:color="auto"/>
            </w:tcBorders>
            <w:shd w:val="clear" w:color="000000" w:fill="FFFFFF"/>
            <w:vAlign w:val="center"/>
            <w:hideMark/>
          </w:tcPr>
          <w:p w14:paraId="6646DAD9" w14:textId="77777777" w:rsidR="006F605B" w:rsidRPr="00DC66CD" w:rsidRDefault="006F605B" w:rsidP="004F4E33">
            <w:pPr>
              <w:spacing w:after="0" w:line="240" w:lineRule="auto"/>
              <w:jc w:val="center"/>
              <w:rPr>
                <w:rFonts w:ascii="Garamond" w:hAnsi="Garamond"/>
                <w:b/>
                <w:sz w:val="20"/>
                <w:szCs w:val="20"/>
              </w:rPr>
            </w:pPr>
            <w:r w:rsidRPr="00DC66CD">
              <w:rPr>
                <w:rFonts w:ascii="Garamond" w:hAnsi="Garamond"/>
                <w:b/>
                <w:sz w:val="20"/>
                <w:szCs w:val="20"/>
              </w:rPr>
              <w:t>2022</w:t>
            </w:r>
          </w:p>
        </w:tc>
      </w:tr>
      <w:tr w:rsidR="006F605B" w:rsidRPr="00DC66CD" w14:paraId="0B697E1B" w14:textId="77777777" w:rsidTr="00E372C0">
        <w:trPr>
          <w:trHeight w:val="303"/>
        </w:trPr>
        <w:tc>
          <w:tcPr>
            <w:tcW w:w="0" w:type="auto"/>
            <w:gridSpan w:val="6"/>
            <w:tcBorders>
              <w:top w:val="single" w:sz="8" w:space="0" w:color="auto"/>
              <w:left w:val="double" w:sz="6" w:space="0" w:color="auto"/>
              <w:bottom w:val="single" w:sz="4" w:space="0" w:color="auto"/>
              <w:right w:val="double" w:sz="6" w:space="0" w:color="000000"/>
            </w:tcBorders>
            <w:shd w:val="clear" w:color="000000" w:fill="FFFFFF"/>
            <w:hideMark/>
          </w:tcPr>
          <w:p w14:paraId="7C6D6285" w14:textId="77777777" w:rsidR="006F605B" w:rsidRPr="00DC66CD" w:rsidRDefault="006F605B" w:rsidP="00131DA1">
            <w:pPr>
              <w:spacing w:after="0" w:line="240" w:lineRule="auto"/>
              <w:jc w:val="both"/>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1. GDP growth (%, y-o-y)</w:t>
            </w:r>
          </w:p>
        </w:tc>
      </w:tr>
      <w:tr w:rsidR="006F605B" w:rsidRPr="00DC66CD" w14:paraId="28B68702" w14:textId="77777777" w:rsidTr="00E372C0">
        <w:trPr>
          <w:trHeight w:val="303"/>
        </w:trPr>
        <w:tc>
          <w:tcPr>
            <w:tcW w:w="0" w:type="auto"/>
            <w:tcBorders>
              <w:top w:val="nil"/>
              <w:left w:val="double" w:sz="6" w:space="0" w:color="auto"/>
              <w:bottom w:val="dotted" w:sz="4" w:space="0" w:color="auto"/>
              <w:right w:val="single" w:sz="8" w:space="0" w:color="auto"/>
            </w:tcBorders>
            <w:shd w:val="clear" w:color="000000" w:fill="FFFFFF"/>
            <w:hideMark/>
          </w:tcPr>
          <w:p w14:paraId="691799F6" w14:textId="77777777" w:rsidR="006F605B" w:rsidRPr="00DC66CD" w:rsidRDefault="006F605B" w:rsidP="00131DA1">
            <w:pPr>
              <w:spacing w:after="0" w:line="240" w:lineRule="auto"/>
              <w:jc w:val="both"/>
              <w:rPr>
                <w:rFonts w:ascii="Garamond" w:hAnsi="Garamond"/>
                <w:color w:val="0D0D0D" w:themeColor="text1" w:themeTint="F2"/>
                <w:sz w:val="20"/>
                <w:szCs w:val="20"/>
              </w:rPr>
            </w:pPr>
            <w:bookmarkStart w:id="98" w:name="RANGE!B7"/>
            <w:r w:rsidRPr="00DC66CD">
              <w:rPr>
                <w:rFonts w:ascii="Garamond" w:hAnsi="Garamond"/>
                <w:color w:val="0D0D0D" w:themeColor="text1" w:themeTint="F2"/>
                <w:sz w:val="20"/>
                <w:szCs w:val="20"/>
              </w:rPr>
              <w:t>Previous programme</w:t>
            </w:r>
            <w:bookmarkEnd w:id="98"/>
          </w:p>
        </w:tc>
        <w:tc>
          <w:tcPr>
            <w:tcW w:w="0" w:type="auto"/>
            <w:tcBorders>
              <w:top w:val="nil"/>
              <w:left w:val="nil"/>
              <w:bottom w:val="dotted" w:sz="4" w:space="0" w:color="auto"/>
              <w:right w:val="dotted" w:sz="4" w:space="0" w:color="auto"/>
            </w:tcBorders>
            <w:shd w:val="clear" w:color="auto" w:fill="auto"/>
          </w:tcPr>
          <w:p w14:paraId="497A6F7F"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auto" w:fill="auto"/>
          </w:tcPr>
          <w:p w14:paraId="7914420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auto" w:fill="auto"/>
          </w:tcPr>
          <w:p w14:paraId="193555F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auto" w:fill="auto"/>
          </w:tcPr>
          <w:p w14:paraId="2E30B02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uble" w:sz="6" w:space="0" w:color="auto"/>
            </w:tcBorders>
            <w:shd w:val="clear" w:color="auto" w:fill="auto"/>
          </w:tcPr>
          <w:p w14:paraId="1CE217C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5313060E" w14:textId="77777777" w:rsidTr="00E372C0">
        <w:trPr>
          <w:trHeight w:val="303"/>
        </w:trPr>
        <w:tc>
          <w:tcPr>
            <w:tcW w:w="0" w:type="auto"/>
            <w:tcBorders>
              <w:top w:val="nil"/>
              <w:left w:val="double" w:sz="6" w:space="0" w:color="auto"/>
              <w:bottom w:val="dotted" w:sz="4" w:space="0" w:color="auto"/>
              <w:right w:val="single" w:sz="8" w:space="0" w:color="auto"/>
            </w:tcBorders>
            <w:shd w:val="clear" w:color="000000" w:fill="FFFFFF"/>
            <w:hideMark/>
          </w:tcPr>
          <w:p w14:paraId="7D66122B" w14:textId="77777777" w:rsidR="006F605B" w:rsidRPr="00DC66CD" w:rsidRDefault="006F605B" w:rsidP="00131DA1">
            <w:pPr>
              <w:spacing w:after="0" w:line="240" w:lineRule="auto"/>
              <w:jc w:val="both"/>
              <w:rPr>
                <w:rFonts w:ascii="Garamond" w:hAnsi="Garamond"/>
                <w:color w:val="0D0D0D" w:themeColor="text1" w:themeTint="F2"/>
                <w:sz w:val="20"/>
                <w:szCs w:val="20"/>
              </w:rPr>
            </w:pPr>
            <w:bookmarkStart w:id="99" w:name="RANGE!B8"/>
            <w:r w:rsidRPr="00DC66CD">
              <w:rPr>
                <w:rFonts w:ascii="Garamond" w:hAnsi="Garamond"/>
                <w:color w:val="0D0D0D" w:themeColor="text1" w:themeTint="F2"/>
                <w:sz w:val="20"/>
                <w:szCs w:val="20"/>
              </w:rPr>
              <w:t>Latest update</w:t>
            </w:r>
            <w:bookmarkEnd w:id="99"/>
          </w:p>
        </w:tc>
        <w:tc>
          <w:tcPr>
            <w:tcW w:w="0" w:type="auto"/>
            <w:tcBorders>
              <w:top w:val="nil"/>
              <w:left w:val="nil"/>
              <w:bottom w:val="dotted" w:sz="4" w:space="0" w:color="auto"/>
              <w:right w:val="dotted" w:sz="4" w:space="0" w:color="auto"/>
            </w:tcBorders>
            <w:shd w:val="clear" w:color="000000" w:fill="FFFFFF"/>
          </w:tcPr>
          <w:p w14:paraId="4FD3EF8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4.1</w:t>
            </w:r>
          </w:p>
        </w:tc>
        <w:tc>
          <w:tcPr>
            <w:tcW w:w="0" w:type="auto"/>
            <w:tcBorders>
              <w:top w:val="nil"/>
              <w:left w:val="nil"/>
              <w:bottom w:val="dotted" w:sz="4" w:space="0" w:color="auto"/>
              <w:right w:val="dotted" w:sz="4" w:space="0" w:color="auto"/>
            </w:tcBorders>
            <w:shd w:val="clear" w:color="000000" w:fill="FFFFFF"/>
          </w:tcPr>
          <w:p w14:paraId="1099349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w:t>
            </w:r>
          </w:p>
        </w:tc>
        <w:tc>
          <w:tcPr>
            <w:tcW w:w="0" w:type="auto"/>
            <w:tcBorders>
              <w:top w:val="nil"/>
              <w:left w:val="nil"/>
              <w:bottom w:val="dotted" w:sz="4" w:space="0" w:color="auto"/>
              <w:right w:val="dotted" w:sz="4" w:space="0" w:color="auto"/>
            </w:tcBorders>
            <w:shd w:val="clear" w:color="000000" w:fill="FFFFFF"/>
          </w:tcPr>
          <w:p w14:paraId="6084165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4.1</w:t>
            </w:r>
          </w:p>
        </w:tc>
        <w:tc>
          <w:tcPr>
            <w:tcW w:w="0" w:type="auto"/>
            <w:tcBorders>
              <w:top w:val="nil"/>
              <w:left w:val="nil"/>
              <w:bottom w:val="dotted" w:sz="4" w:space="0" w:color="auto"/>
              <w:right w:val="dotted" w:sz="4" w:space="0" w:color="auto"/>
            </w:tcBorders>
            <w:shd w:val="clear" w:color="000000" w:fill="FFFFFF"/>
          </w:tcPr>
          <w:p w14:paraId="465A075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4.0</w:t>
            </w:r>
          </w:p>
        </w:tc>
        <w:tc>
          <w:tcPr>
            <w:tcW w:w="0" w:type="auto"/>
            <w:tcBorders>
              <w:top w:val="nil"/>
              <w:left w:val="nil"/>
              <w:bottom w:val="dotted" w:sz="4" w:space="0" w:color="auto"/>
              <w:right w:val="double" w:sz="6" w:space="0" w:color="auto"/>
            </w:tcBorders>
            <w:shd w:val="clear" w:color="000000" w:fill="FFFFFF"/>
          </w:tcPr>
          <w:p w14:paraId="06D922A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4.0</w:t>
            </w:r>
          </w:p>
        </w:tc>
      </w:tr>
      <w:tr w:rsidR="006F605B" w:rsidRPr="00DC66CD" w14:paraId="6DB541E5" w14:textId="77777777" w:rsidTr="00E372C0">
        <w:trPr>
          <w:trHeight w:val="303"/>
        </w:trPr>
        <w:tc>
          <w:tcPr>
            <w:tcW w:w="0" w:type="auto"/>
            <w:tcBorders>
              <w:top w:val="nil"/>
              <w:left w:val="double" w:sz="6" w:space="0" w:color="auto"/>
              <w:bottom w:val="single" w:sz="8" w:space="0" w:color="auto"/>
              <w:right w:val="single" w:sz="8" w:space="0" w:color="auto"/>
            </w:tcBorders>
            <w:shd w:val="clear" w:color="000000" w:fill="FFFFFF"/>
            <w:hideMark/>
          </w:tcPr>
          <w:p w14:paraId="1BDC396E" w14:textId="77777777" w:rsidR="006F605B" w:rsidRPr="00DC66CD" w:rsidRDefault="006F605B" w:rsidP="00131DA1">
            <w:pPr>
              <w:spacing w:after="0" w:line="240" w:lineRule="auto"/>
              <w:jc w:val="both"/>
              <w:rPr>
                <w:rFonts w:ascii="Garamond" w:hAnsi="Garamond"/>
                <w:color w:val="0D0D0D" w:themeColor="text1" w:themeTint="F2"/>
                <w:sz w:val="20"/>
                <w:szCs w:val="20"/>
              </w:rPr>
            </w:pPr>
            <w:bookmarkStart w:id="100" w:name="RANGE!B9"/>
            <w:r w:rsidRPr="00DC66CD">
              <w:rPr>
                <w:rFonts w:ascii="Garamond" w:hAnsi="Garamond"/>
                <w:color w:val="0D0D0D" w:themeColor="text1" w:themeTint="F2"/>
                <w:sz w:val="20"/>
                <w:szCs w:val="20"/>
              </w:rPr>
              <w:t>Difference (percentage points)</w:t>
            </w:r>
            <w:bookmarkEnd w:id="100"/>
          </w:p>
        </w:tc>
        <w:tc>
          <w:tcPr>
            <w:tcW w:w="0" w:type="auto"/>
            <w:tcBorders>
              <w:top w:val="nil"/>
              <w:left w:val="nil"/>
              <w:bottom w:val="single" w:sz="8" w:space="0" w:color="auto"/>
              <w:right w:val="dotted" w:sz="4" w:space="0" w:color="auto"/>
            </w:tcBorders>
            <w:shd w:val="clear" w:color="000000" w:fill="FFFFFF"/>
          </w:tcPr>
          <w:p w14:paraId="6A93EB7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single" w:sz="8" w:space="0" w:color="auto"/>
              <w:right w:val="dotted" w:sz="4" w:space="0" w:color="auto"/>
            </w:tcBorders>
            <w:shd w:val="clear" w:color="000000" w:fill="FFFFFF"/>
          </w:tcPr>
          <w:p w14:paraId="47BDA23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single" w:sz="8" w:space="0" w:color="auto"/>
              <w:right w:val="dotted" w:sz="4" w:space="0" w:color="auto"/>
            </w:tcBorders>
            <w:shd w:val="clear" w:color="000000" w:fill="FFFFFF"/>
          </w:tcPr>
          <w:p w14:paraId="51047A8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single" w:sz="8" w:space="0" w:color="auto"/>
              <w:right w:val="dotted" w:sz="4" w:space="0" w:color="auto"/>
            </w:tcBorders>
            <w:shd w:val="clear" w:color="000000" w:fill="FFFFFF"/>
          </w:tcPr>
          <w:p w14:paraId="33DDA4D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single" w:sz="8" w:space="0" w:color="auto"/>
              <w:right w:val="double" w:sz="6" w:space="0" w:color="auto"/>
            </w:tcBorders>
            <w:shd w:val="clear" w:color="000000" w:fill="FFFFFF"/>
          </w:tcPr>
          <w:p w14:paraId="5909F2D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7351F970" w14:textId="77777777" w:rsidTr="00E372C0">
        <w:trPr>
          <w:trHeight w:val="303"/>
        </w:trPr>
        <w:tc>
          <w:tcPr>
            <w:tcW w:w="0" w:type="auto"/>
            <w:gridSpan w:val="6"/>
            <w:tcBorders>
              <w:top w:val="single" w:sz="8" w:space="0" w:color="auto"/>
              <w:left w:val="double" w:sz="6" w:space="0" w:color="auto"/>
              <w:bottom w:val="single" w:sz="4" w:space="0" w:color="auto"/>
              <w:right w:val="double" w:sz="6" w:space="0" w:color="000000"/>
            </w:tcBorders>
            <w:shd w:val="clear" w:color="000000" w:fill="FFFFFF"/>
            <w:hideMark/>
          </w:tcPr>
          <w:p w14:paraId="5DADE5B3" w14:textId="43D32308" w:rsidR="006F605B" w:rsidRPr="00DC66CD" w:rsidRDefault="006F605B" w:rsidP="00131DA1">
            <w:pPr>
              <w:spacing w:after="0" w:line="240" w:lineRule="auto"/>
              <w:jc w:val="both"/>
              <w:rPr>
                <w:rFonts w:ascii="Garamond" w:hAnsi="Garamond"/>
                <w:b/>
                <w:bCs/>
                <w:color w:val="0D0D0D" w:themeColor="text1" w:themeTint="F2"/>
                <w:sz w:val="20"/>
                <w:szCs w:val="20"/>
              </w:rPr>
            </w:pPr>
            <w:bookmarkStart w:id="101" w:name="RANGE!B10"/>
            <w:r w:rsidRPr="00DC66CD">
              <w:rPr>
                <w:rFonts w:ascii="Garamond" w:hAnsi="Garamond"/>
                <w:b/>
                <w:bCs/>
                <w:color w:val="0D0D0D" w:themeColor="text1" w:themeTint="F2"/>
                <w:sz w:val="20"/>
                <w:szCs w:val="20"/>
              </w:rPr>
              <w:t>2. General government net lending</w:t>
            </w:r>
            <w:r w:rsidR="0072211B" w:rsidRPr="00DC66CD">
              <w:rPr>
                <w:rFonts w:ascii="Garamond" w:hAnsi="Garamond"/>
                <w:b/>
                <w:bCs/>
                <w:color w:val="0D0D0D" w:themeColor="text1" w:themeTint="F2"/>
                <w:sz w:val="20"/>
                <w:szCs w:val="20"/>
              </w:rPr>
              <w:t xml:space="preserve"> </w:t>
            </w:r>
            <w:r w:rsidRPr="00DC66CD">
              <w:rPr>
                <w:rFonts w:ascii="Garamond" w:hAnsi="Garamond"/>
                <w:b/>
                <w:bCs/>
                <w:color w:val="0D0D0D" w:themeColor="text1" w:themeTint="F2"/>
                <w:sz w:val="20"/>
                <w:szCs w:val="20"/>
              </w:rPr>
              <w:t>(% of GDP)</w:t>
            </w:r>
            <w:bookmarkEnd w:id="101"/>
          </w:p>
        </w:tc>
      </w:tr>
      <w:tr w:rsidR="006F605B" w:rsidRPr="00DC66CD" w14:paraId="0773FC23" w14:textId="77777777" w:rsidTr="00E372C0">
        <w:trPr>
          <w:trHeight w:val="303"/>
        </w:trPr>
        <w:tc>
          <w:tcPr>
            <w:tcW w:w="0" w:type="auto"/>
            <w:tcBorders>
              <w:top w:val="nil"/>
              <w:left w:val="double" w:sz="6" w:space="0" w:color="auto"/>
              <w:bottom w:val="dotted" w:sz="4" w:space="0" w:color="auto"/>
              <w:right w:val="single" w:sz="8" w:space="0" w:color="auto"/>
            </w:tcBorders>
            <w:shd w:val="clear" w:color="000000" w:fill="FFFFFF"/>
            <w:hideMark/>
          </w:tcPr>
          <w:p w14:paraId="2ADB2FBB" w14:textId="77777777" w:rsidR="006F605B" w:rsidRPr="00DC66CD" w:rsidRDefault="006F605B" w:rsidP="00131DA1">
            <w:pPr>
              <w:spacing w:after="0" w:line="240" w:lineRule="auto"/>
              <w:jc w:val="both"/>
              <w:rPr>
                <w:rFonts w:ascii="Garamond" w:hAnsi="Garamond"/>
                <w:color w:val="0D0D0D" w:themeColor="text1" w:themeTint="F2"/>
                <w:sz w:val="20"/>
                <w:szCs w:val="20"/>
              </w:rPr>
            </w:pPr>
            <w:bookmarkStart w:id="102" w:name="RANGE!B11"/>
            <w:r w:rsidRPr="00DC66CD">
              <w:rPr>
                <w:rFonts w:ascii="Garamond" w:hAnsi="Garamond"/>
                <w:color w:val="0D0D0D" w:themeColor="text1" w:themeTint="F2"/>
                <w:sz w:val="20"/>
                <w:szCs w:val="20"/>
              </w:rPr>
              <w:t>Previous programme</w:t>
            </w:r>
            <w:bookmarkEnd w:id="102"/>
          </w:p>
        </w:tc>
        <w:tc>
          <w:tcPr>
            <w:tcW w:w="0" w:type="auto"/>
            <w:tcBorders>
              <w:top w:val="nil"/>
              <w:left w:val="nil"/>
              <w:bottom w:val="dotted" w:sz="4" w:space="0" w:color="auto"/>
              <w:right w:val="dotted" w:sz="4" w:space="0" w:color="auto"/>
            </w:tcBorders>
            <w:shd w:val="clear" w:color="auto" w:fill="auto"/>
          </w:tcPr>
          <w:p w14:paraId="35C2DE18"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auto" w:fill="auto"/>
          </w:tcPr>
          <w:p w14:paraId="0FCF0B4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auto" w:fill="auto"/>
          </w:tcPr>
          <w:p w14:paraId="14F12E8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auto" w:fill="auto"/>
          </w:tcPr>
          <w:p w14:paraId="0392318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uble" w:sz="6" w:space="0" w:color="auto"/>
            </w:tcBorders>
            <w:shd w:val="clear" w:color="auto" w:fill="auto"/>
          </w:tcPr>
          <w:p w14:paraId="1A81FA8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0DEF93DE" w14:textId="77777777" w:rsidTr="00E372C0">
        <w:trPr>
          <w:trHeight w:val="303"/>
        </w:trPr>
        <w:tc>
          <w:tcPr>
            <w:tcW w:w="0" w:type="auto"/>
            <w:tcBorders>
              <w:top w:val="nil"/>
              <w:left w:val="double" w:sz="6" w:space="0" w:color="auto"/>
              <w:bottom w:val="dotted" w:sz="4" w:space="0" w:color="auto"/>
              <w:right w:val="single" w:sz="8" w:space="0" w:color="auto"/>
            </w:tcBorders>
            <w:shd w:val="clear" w:color="000000" w:fill="FFFFFF"/>
            <w:hideMark/>
          </w:tcPr>
          <w:p w14:paraId="079C72F5"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Latest update</w:t>
            </w:r>
          </w:p>
        </w:tc>
        <w:tc>
          <w:tcPr>
            <w:tcW w:w="0" w:type="auto"/>
            <w:tcBorders>
              <w:top w:val="nil"/>
              <w:left w:val="nil"/>
              <w:bottom w:val="dotted" w:sz="4" w:space="0" w:color="auto"/>
              <w:right w:val="dotted" w:sz="4" w:space="0" w:color="auto"/>
            </w:tcBorders>
            <w:shd w:val="clear" w:color="000000" w:fill="FFFFFF"/>
          </w:tcPr>
          <w:p w14:paraId="17F2C2E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w:t>
            </w:r>
          </w:p>
        </w:tc>
        <w:tc>
          <w:tcPr>
            <w:tcW w:w="0" w:type="auto"/>
            <w:tcBorders>
              <w:top w:val="nil"/>
              <w:left w:val="nil"/>
              <w:bottom w:val="dotted" w:sz="4" w:space="0" w:color="auto"/>
              <w:right w:val="dotted" w:sz="4" w:space="0" w:color="auto"/>
            </w:tcBorders>
            <w:shd w:val="clear" w:color="000000" w:fill="FFFFFF"/>
          </w:tcPr>
          <w:p w14:paraId="572AC2B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-1.9</w:t>
            </w:r>
          </w:p>
        </w:tc>
        <w:tc>
          <w:tcPr>
            <w:tcW w:w="0" w:type="auto"/>
            <w:tcBorders>
              <w:top w:val="nil"/>
              <w:left w:val="nil"/>
              <w:bottom w:val="dotted" w:sz="4" w:space="0" w:color="auto"/>
              <w:right w:val="dotted" w:sz="4" w:space="0" w:color="auto"/>
            </w:tcBorders>
            <w:shd w:val="clear" w:color="000000" w:fill="FFFFFF"/>
          </w:tcPr>
          <w:p w14:paraId="1E7DFC2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-2.2</w:t>
            </w:r>
          </w:p>
        </w:tc>
        <w:tc>
          <w:tcPr>
            <w:tcW w:w="0" w:type="auto"/>
            <w:tcBorders>
              <w:top w:val="nil"/>
              <w:left w:val="nil"/>
              <w:bottom w:val="dotted" w:sz="4" w:space="0" w:color="auto"/>
              <w:right w:val="dotted" w:sz="4" w:space="0" w:color="auto"/>
            </w:tcBorders>
            <w:shd w:val="clear" w:color="000000" w:fill="FFFFFF"/>
          </w:tcPr>
          <w:p w14:paraId="623EDA5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-2.0</w:t>
            </w:r>
          </w:p>
        </w:tc>
        <w:tc>
          <w:tcPr>
            <w:tcW w:w="0" w:type="auto"/>
            <w:tcBorders>
              <w:top w:val="nil"/>
              <w:left w:val="nil"/>
              <w:bottom w:val="dotted" w:sz="4" w:space="0" w:color="auto"/>
              <w:right w:val="double" w:sz="6" w:space="0" w:color="auto"/>
            </w:tcBorders>
            <w:shd w:val="clear" w:color="000000" w:fill="FFFFFF"/>
          </w:tcPr>
          <w:p w14:paraId="204B906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w:t>
            </w:r>
          </w:p>
        </w:tc>
      </w:tr>
      <w:tr w:rsidR="006F605B" w:rsidRPr="00DC66CD" w14:paraId="057A7B5C" w14:textId="77777777" w:rsidTr="00E372C0">
        <w:trPr>
          <w:trHeight w:val="303"/>
        </w:trPr>
        <w:tc>
          <w:tcPr>
            <w:tcW w:w="0" w:type="auto"/>
            <w:tcBorders>
              <w:top w:val="nil"/>
              <w:left w:val="double" w:sz="6" w:space="0" w:color="auto"/>
              <w:bottom w:val="single" w:sz="8" w:space="0" w:color="auto"/>
              <w:right w:val="single" w:sz="8" w:space="0" w:color="auto"/>
            </w:tcBorders>
            <w:shd w:val="clear" w:color="000000" w:fill="FFFFFF"/>
            <w:hideMark/>
          </w:tcPr>
          <w:p w14:paraId="3B0853F6"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Difference</w:t>
            </w:r>
          </w:p>
        </w:tc>
        <w:tc>
          <w:tcPr>
            <w:tcW w:w="0" w:type="auto"/>
            <w:tcBorders>
              <w:top w:val="nil"/>
              <w:left w:val="nil"/>
              <w:bottom w:val="single" w:sz="8" w:space="0" w:color="auto"/>
              <w:right w:val="dotted" w:sz="4" w:space="0" w:color="auto"/>
            </w:tcBorders>
            <w:shd w:val="clear" w:color="000000" w:fill="FFFFFF"/>
          </w:tcPr>
          <w:p w14:paraId="4989D39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single" w:sz="8" w:space="0" w:color="auto"/>
              <w:right w:val="dotted" w:sz="4" w:space="0" w:color="auto"/>
            </w:tcBorders>
            <w:shd w:val="clear" w:color="000000" w:fill="FFFFFF"/>
          </w:tcPr>
          <w:p w14:paraId="47863B4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single" w:sz="8" w:space="0" w:color="auto"/>
              <w:right w:val="dotted" w:sz="4" w:space="0" w:color="auto"/>
            </w:tcBorders>
            <w:shd w:val="clear" w:color="000000" w:fill="FFFFFF"/>
          </w:tcPr>
          <w:p w14:paraId="039D690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single" w:sz="8" w:space="0" w:color="auto"/>
              <w:right w:val="dotted" w:sz="4" w:space="0" w:color="auto"/>
            </w:tcBorders>
            <w:shd w:val="clear" w:color="000000" w:fill="FFFFFF"/>
          </w:tcPr>
          <w:p w14:paraId="48D27DD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single" w:sz="8" w:space="0" w:color="auto"/>
              <w:right w:val="double" w:sz="6" w:space="0" w:color="auto"/>
            </w:tcBorders>
            <w:shd w:val="clear" w:color="000000" w:fill="FFFFFF"/>
          </w:tcPr>
          <w:p w14:paraId="4E32949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29FD7AC" w14:textId="77777777" w:rsidTr="00E372C0">
        <w:trPr>
          <w:trHeight w:val="303"/>
        </w:trPr>
        <w:tc>
          <w:tcPr>
            <w:tcW w:w="0" w:type="auto"/>
            <w:gridSpan w:val="6"/>
            <w:tcBorders>
              <w:top w:val="single" w:sz="8" w:space="0" w:color="auto"/>
              <w:left w:val="double" w:sz="6" w:space="0" w:color="auto"/>
              <w:bottom w:val="single" w:sz="4" w:space="0" w:color="auto"/>
              <w:right w:val="double" w:sz="6" w:space="0" w:color="000000"/>
            </w:tcBorders>
            <w:shd w:val="clear" w:color="000000" w:fill="FFFFFF"/>
            <w:hideMark/>
          </w:tcPr>
          <w:p w14:paraId="46DB357D" w14:textId="77777777" w:rsidR="006F605B" w:rsidRPr="00DC66CD" w:rsidRDefault="006F605B" w:rsidP="00131DA1">
            <w:pPr>
              <w:spacing w:after="0" w:line="240" w:lineRule="auto"/>
              <w:jc w:val="both"/>
              <w:rPr>
                <w:rFonts w:ascii="Garamond" w:hAnsi="Garamond"/>
                <w:b/>
                <w:bCs/>
                <w:color w:val="0D0D0D" w:themeColor="text1" w:themeTint="F2"/>
                <w:sz w:val="20"/>
                <w:szCs w:val="20"/>
              </w:rPr>
            </w:pPr>
            <w:r w:rsidRPr="00DC66CD">
              <w:rPr>
                <w:rFonts w:ascii="Garamond" w:hAnsi="Garamond"/>
                <w:b/>
                <w:bCs/>
                <w:color w:val="0D0D0D" w:themeColor="text1" w:themeTint="F2"/>
                <w:sz w:val="20"/>
                <w:szCs w:val="20"/>
              </w:rPr>
              <w:t>3. General government gross debt (% of GDP)</w:t>
            </w:r>
          </w:p>
        </w:tc>
      </w:tr>
      <w:tr w:rsidR="006F605B" w:rsidRPr="00DC66CD" w14:paraId="12E129FB" w14:textId="77777777" w:rsidTr="00E372C0">
        <w:trPr>
          <w:trHeight w:val="303"/>
        </w:trPr>
        <w:tc>
          <w:tcPr>
            <w:tcW w:w="0" w:type="auto"/>
            <w:tcBorders>
              <w:top w:val="nil"/>
              <w:left w:val="double" w:sz="6" w:space="0" w:color="auto"/>
              <w:bottom w:val="dotted" w:sz="4" w:space="0" w:color="auto"/>
              <w:right w:val="single" w:sz="8" w:space="0" w:color="auto"/>
            </w:tcBorders>
            <w:shd w:val="clear" w:color="000000" w:fill="FFFFFF"/>
            <w:hideMark/>
          </w:tcPr>
          <w:p w14:paraId="2921C477"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Previous programme</w:t>
            </w:r>
          </w:p>
        </w:tc>
        <w:tc>
          <w:tcPr>
            <w:tcW w:w="0" w:type="auto"/>
            <w:tcBorders>
              <w:top w:val="nil"/>
              <w:left w:val="nil"/>
              <w:bottom w:val="dotted" w:sz="4" w:space="0" w:color="auto"/>
              <w:right w:val="dotted" w:sz="4" w:space="0" w:color="auto"/>
            </w:tcBorders>
            <w:shd w:val="clear" w:color="auto" w:fill="auto"/>
          </w:tcPr>
          <w:p w14:paraId="0F7AE10D" w14:textId="77777777" w:rsidR="006F605B" w:rsidRPr="00DC66CD" w:rsidRDefault="006F605B" w:rsidP="00131DA1">
            <w:pPr>
              <w:spacing w:after="0" w:line="240" w:lineRule="auto"/>
              <w:jc w:val="center"/>
              <w:rPr>
                <w:rFonts w:ascii="Garamond" w:eastAsia="Times New Roman"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auto" w:fill="auto"/>
          </w:tcPr>
          <w:p w14:paraId="78185EB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auto" w:fill="auto"/>
          </w:tcPr>
          <w:p w14:paraId="59F5F4F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tted" w:sz="4" w:space="0" w:color="auto"/>
            </w:tcBorders>
            <w:shd w:val="clear" w:color="auto" w:fill="auto"/>
          </w:tcPr>
          <w:p w14:paraId="4BC345A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tted" w:sz="4" w:space="0" w:color="auto"/>
              <w:right w:val="double" w:sz="6" w:space="0" w:color="auto"/>
            </w:tcBorders>
            <w:shd w:val="clear" w:color="auto" w:fill="auto"/>
          </w:tcPr>
          <w:p w14:paraId="1D52F72D"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r w:rsidR="006F605B" w:rsidRPr="00DC66CD" w14:paraId="61B39679" w14:textId="77777777" w:rsidTr="00E372C0">
        <w:trPr>
          <w:trHeight w:val="303"/>
        </w:trPr>
        <w:tc>
          <w:tcPr>
            <w:tcW w:w="0" w:type="auto"/>
            <w:tcBorders>
              <w:top w:val="nil"/>
              <w:left w:val="double" w:sz="6" w:space="0" w:color="auto"/>
              <w:bottom w:val="dotted" w:sz="4" w:space="0" w:color="auto"/>
              <w:right w:val="single" w:sz="8" w:space="0" w:color="auto"/>
            </w:tcBorders>
            <w:shd w:val="clear" w:color="000000" w:fill="FFFFFF"/>
            <w:hideMark/>
          </w:tcPr>
          <w:p w14:paraId="6314313D"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Latest update</w:t>
            </w:r>
          </w:p>
        </w:tc>
        <w:tc>
          <w:tcPr>
            <w:tcW w:w="0" w:type="auto"/>
            <w:tcBorders>
              <w:top w:val="nil"/>
              <w:left w:val="nil"/>
              <w:bottom w:val="dotted" w:sz="4" w:space="0" w:color="auto"/>
              <w:right w:val="dotted" w:sz="4" w:space="0" w:color="auto"/>
            </w:tcBorders>
            <w:shd w:val="clear" w:color="000000" w:fill="FFFFFF"/>
          </w:tcPr>
          <w:p w14:paraId="18B1CDB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67.9</w:t>
            </w:r>
          </w:p>
        </w:tc>
        <w:tc>
          <w:tcPr>
            <w:tcW w:w="0" w:type="auto"/>
            <w:tcBorders>
              <w:top w:val="nil"/>
              <w:left w:val="nil"/>
              <w:bottom w:val="dotted" w:sz="4" w:space="0" w:color="auto"/>
              <w:right w:val="dotted" w:sz="4" w:space="0" w:color="auto"/>
            </w:tcBorders>
            <w:shd w:val="clear" w:color="000000" w:fill="FFFFFF"/>
          </w:tcPr>
          <w:p w14:paraId="782D0C03"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66.2</w:t>
            </w:r>
          </w:p>
        </w:tc>
        <w:tc>
          <w:tcPr>
            <w:tcW w:w="0" w:type="auto"/>
            <w:tcBorders>
              <w:top w:val="nil"/>
              <w:left w:val="nil"/>
              <w:bottom w:val="dotted" w:sz="4" w:space="0" w:color="auto"/>
              <w:right w:val="dotted" w:sz="4" w:space="0" w:color="auto"/>
            </w:tcBorders>
            <w:shd w:val="clear" w:color="000000" w:fill="FFFFFF"/>
          </w:tcPr>
          <w:p w14:paraId="7332D3E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65.4</w:t>
            </w:r>
          </w:p>
        </w:tc>
        <w:tc>
          <w:tcPr>
            <w:tcW w:w="0" w:type="auto"/>
            <w:tcBorders>
              <w:top w:val="nil"/>
              <w:left w:val="nil"/>
              <w:bottom w:val="dotted" w:sz="4" w:space="0" w:color="auto"/>
              <w:right w:val="dotted" w:sz="4" w:space="0" w:color="auto"/>
            </w:tcBorders>
            <w:shd w:val="clear" w:color="000000" w:fill="FFFFFF"/>
          </w:tcPr>
          <w:p w14:paraId="7FF979F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62.3</w:t>
            </w:r>
          </w:p>
        </w:tc>
        <w:tc>
          <w:tcPr>
            <w:tcW w:w="0" w:type="auto"/>
            <w:tcBorders>
              <w:top w:val="nil"/>
              <w:left w:val="nil"/>
              <w:bottom w:val="dotted" w:sz="4" w:space="0" w:color="auto"/>
              <w:right w:val="double" w:sz="6" w:space="0" w:color="auto"/>
            </w:tcBorders>
            <w:shd w:val="clear" w:color="000000" w:fill="FFFFFF"/>
          </w:tcPr>
          <w:p w14:paraId="20C932E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62.0</w:t>
            </w:r>
          </w:p>
        </w:tc>
      </w:tr>
      <w:tr w:rsidR="006F605B" w:rsidRPr="00DC66CD" w14:paraId="0E7E6F2E" w14:textId="77777777" w:rsidTr="00E372C0">
        <w:trPr>
          <w:trHeight w:val="303"/>
        </w:trPr>
        <w:tc>
          <w:tcPr>
            <w:tcW w:w="0" w:type="auto"/>
            <w:tcBorders>
              <w:top w:val="nil"/>
              <w:left w:val="double" w:sz="6" w:space="0" w:color="auto"/>
              <w:bottom w:val="double" w:sz="6" w:space="0" w:color="auto"/>
              <w:right w:val="single" w:sz="8" w:space="0" w:color="auto"/>
            </w:tcBorders>
            <w:shd w:val="clear" w:color="000000" w:fill="FFFFFF"/>
            <w:hideMark/>
          </w:tcPr>
          <w:p w14:paraId="41A07AC5" w14:textId="77777777" w:rsidR="006F605B" w:rsidRPr="00DC66CD" w:rsidRDefault="006F605B" w:rsidP="00131DA1">
            <w:pPr>
              <w:spacing w:after="0" w:line="240" w:lineRule="auto"/>
              <w:jc w:val="both"/>
              <w:rPr>
                <w:rFonts w:ascii="Garamond" w:hAnsi="Garamond"/>
                <w:color w:val="0D0D0D" w:themeColor="text1" w:themeTint="F2"/>
                <w:sz w:val="20"/>
                <w:szCs w:val="20"/>
              </w:rPr>
            </w:pPr>
            <w:bookmarkStart w:id="103" w:name="RANGE!B17"/>
            <w:r w:rsidRPr="00DC66CD">
              <w:rPr>
                <w:rFonts w:ascii="Garamond" w:hAnsi="Garamond"/>
                <w:color w:val="0D0D0D" w:themeColor="text1" w:themeTint="F2"/>
                <w:sz w:val="20"/>
                <w:szCs w:val="20"/>
              </w:rPr>
              <w:t>Difference</w:t>
            </w:r>
            <w:bookmarkEnd w:id="103"/>
          </w:p>
        </w:tc>
        <w:tc>
          <w:tcPr>
            <w:tcW w:w="0" w:type="auto"/>
            <w:tcBorders>
              <w:top w:val="nil"/>
              <w:left w:val="nil"/>
              <w:bottom w:val="double" w:sz="6" w:space="0" w:color="auto"/>
              <w:right w:val="dotted" w:sz="4" w:space="0" w:color="auto"/>
            </w:tcBorders>
            <w:shd w:val="clear" w:color="000000" w:fill="FFFFFF"/>
          </w:tcPr>
          <w:p w14:paraId="4492B71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uble" w:sz="6" w:space="0" w:color="auto"/>
              <w:right w:val="dotted" w:sz="4" w:space="0" w:color="auto"/>
            </w:tcBorders>
            <w:shd w:val="clear" w:color="000000" w:fill="FFFFFF"/>
          </w:tcPr>
          <w:p w14:paraId="4B872AA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uble" w:sz="6" w:space="0" w:color="auto"/>
              <w:right w:val="dotted" w:sz="4" w:space="0" w:color="auto"/>
            </w:tcBorders>
            <w:shd w:val="clear" w:color="000000" w:fill="FFFFFF"/>
          </w:tcPr>
          <w:p w14:paraId="1B7B0F3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uble" w:sz="6" w:space="0" w:color="auto"/>
              <w:right w:val="dotted" w:sz="4" w:space="0" w:color="auto"/>
            </w:tcBorders>
            <w:shd w:val="clear" w:color="000000" w:fill="FFFFFF"/>
          </w:tcPr>
          <w:p w14:paraId="5B03C20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c>
          <w:tcPr>
            <w:tcW w:w="0" w:type="auto"/>
            <w:tcBorders>
              <w:top w:val="nil"/>
              <w:left w:val="nil"/>
              <w:bottom w:val="double" w:sz="6" w:space="0" w:color="auto"/>
              <w:right w:val="double" w:sz="6" w:space="0" w:color="auto"/>
            </w:tcBorders>
            <w:shd w:val="clear" w:color="000000" w:fill="FFFFFF"/>
          </w:tcPr>
          <w:p w14:paraId="3A37ECA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w:t>
            </w:r>
          </w:p>
        </w:tc>
      </w:tr>
    </w:tbl>
    <w:p w14:paraId="237BE725"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635F2917"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104" w:name="_Toc30661254"/>
      <w:r w:rsidRPr="00DC66CD">
        <w:rPr>
          <w:rFonts w:ascii="Garamond" w:hAnsi="Garamond"/>
          <w:color w:val="auto"/>
          <w:sz w:val="24"/>
          <w:szCs w:val="24"/>
        </w:rPr>
        <w:t>Tabela 7a: Contingent liabilities</w:t>
      </w:r>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5"/>
        <w:gridCol w:w="1260"/>
        <w:gridCol w:w="1080"/>
      </w:tblGrid>
      <w:tr w:rsidR="006F605B" w:rsidRPr="00DC66CD" w14:paraId="735FCE91" w14:textId="77777777" w:rsidTr="00E372C0">
        <w:tc>
          <w:tcPr>
            <w:tcW w:w="3765" w:type="dxa"/>
            <w:tcBorders>
              <w:top w:val="double" w:sz="4" w:space="0" w:color="auto"/>
              <w:left w:val="double" w:sz="4" w:space="0" w:color="auto"/>
              <w:bottom w:val="single" w:sz="6" w:space="0" w:color="000000"/>
              <w:right w:val="single" w:sz="6" w:space="0" w:color="000000"/>
            </w:tcBorders>
            <w:hideMark/>
          </w:tcPr>
          <w:p w14:paraId="54B84F7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of GDP</w:t>
            </w:r>
          </w:p>
        </w:tc>
        <w:tc>
          <w:tcPr>
            <w:tcW w:w="1260" w:type="dxa"/>
            <w:tcBorders>
              <w:top w:val="double" w:sz="4" w:space="0" w:color="auto"/>
              <w:left w:val="single" w:sz="6" w:space="0" w:color="000000"/>
              <w:bottom w:val="single" w:sz="6" w:space="0" w:color="000000"/>
              <w:right w:val="dotted" w:sz="4" w:space="0" w:color="auto"/>
            </w:tcBorders>
            <w:vAlign w:val="center"/>
            <w:hideMark/>
          </w:tcPr>
          <w:p w14:paraId="3DCD689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Year</w:t>
            </w:r>
          </w:p>
          <w:p w14:paraId="0C3232F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X-1</w:t>
            </w:r>
          </w:p>
        </w:tc>
        <w:tc>
          <w:tcPr>
            <w:tcW w:w="1080" w:type="dxa"/>
            <w:tcBorders>
              <w:top w:val="double" w:sz="4" w:space="0" w:color="auto"/>
              <w:left w:val="dotted" w:sz="4" w:space="0" w:color="auto"/>
              <w:bottom w:val="single" w:sz="6" w:space="0" w:color="000000"/>
              <w:right w:val="double" w:sz="4" w:space="0" w:color="auto"/>
            </w:tcBorders>
            <w:vAlign w:val="center"/>
            <w:hideMark/>
          </w:tcPr>
          <w:p w14:paraId="7CD9D37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Year</w:t>
            </w:r>
          </w:p>
          <w:p w14:paraId="4B93779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X</w:t>
            </w:r>
          </w:p>
        </w:tc>
      </w:tr>
      <w:tr w:rsidR="006F605B" w:rsidRPr="00DC66CD" w14:paraId="07F6654F" w14:textId="77777777" w:rsidTr="00E372C0">
        <w:trPr>
          <w:trHeight w:hRule="exact" w:val="444"/>
        </w:trPr>
        <w:tc>
          <w:tcPr>
            <w:tcW w:w="3765" w:type="dxa"/>
            <w:tcBorders>
              <w:top w:val="dotted" w:sz="4" w:space="0" w:color="auto"/>
              <w:left w:val="double" w:sz="4" w:space="0" w:color="auto"/>
              <w:bottom w:val="dotted" w:sz="4" w:space="0" w:color="auto"/>
              <w:right w:val="single" w:sz="6" w:space="0" w:color="000000"/>
            </w:tcBorders>
            <w:hideMark/>
          </w:tcPr>
          <w:p w14:paraId="3D849466"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 xml:space="preserve">Public guarantees </w:t>
            </w:r>
          </w:p>
        </w:tc>
        <w:tc>
          <w:tcPr>
            <w:tcW w:w="1260" w:type="dxa"/>
            <w:tcBorders>
              <w:top w:val="nil"/>
              <w:left w:val="nil"/>
              <w:bottom w:val="dotted" w:sz="4" w:space="0" w:color="auto"/>
              <w:right w:val="dotted" w:sz="4" w:space="0" w:color="auto"/>
            </w:tcBorders>
            <w:shd w:val="clear" w:color="auto" w:fill="FFFFFF"/>
            <w:vAlign w:val="center"/>
          </w:tcPr>
          <w:p w14:paraId="223DF37C" w14:textId="77777777" w:rsidR="006F605B" w:rsidRPr="00DC66CD" w:rsidRDefault="006F605B" w:rsidP="00131DA1">
            <w:pPr>
              <w:spacing w:after="0" w:line="240" w:lineRule="auto"/>
              <w:jc w:val="center"/>
              <w:rPr>
                <w:rFonts w:ascii="Garamond" w:hAnsi="Garamond"/>
                <w:sz w:val="20"/>
                <w:szCs w:val="20"/>
              </w:rPr>
            </w:pPr>
          </w:p>
        </w:tc>
        <w:tc>
          <w:tcPr>
            <w:tcW w:w="1080" w:type="dxa"/>
            <w:tcBorders>
              <w:top w:val="single" w:sz="8" w:space="0" w:color="auto"/>
              <w:left w:val="nil"/>
              <w:bottom w:val="dotted" w:sz="4" w:space="0" w:color="auto"/>
              <w:right w:val="double" w:sz="6" w:space="0" w:color="000000"/>
            </w:tcBorders>
            <w:shd w:val="clear" w:color="auto" w:fill="FFFFFF"/>
            <w:vAlign w:val="center"/>
          </w:tcPr>
          <w:p w14:paraId="3DB29B23" w14:textId="77777777" w:rsidR="006F605B" w:rsidRPr="00DC66CD" w:rsidRDefault="006F605B" w:rsidP="00131DA1">
            <w:pPr>
              <w:spacing w:after="0" w:line="240" w:lineRule="auto"/>
              <w:jc w:val="center"/>
              <w:rPr>
                <w:rFonts w:ascii="Garamond" w:hAnsi="Garamond"/>
                <w:sz w:val="20"/>
                <w:szCs w:val="20"/>
              </w:rPr>
            </w:pPr>
          </w:p>
        </w:tc>
      </w:tr>
      <w:tr w:rsidR="006F605B" w:rsidRPr="00DC66CD" w14:paraId="060FBE90" w14:textId="77777777" w:rsidTr="00E372C0">
        <w:trPr>
          <w:trHeight w:hRule="exact" w:val="351"/>
        </w:trPr>
        <w:tc>
          <w:tcPr>
            <w:tcW w:w="3765" w:type="dxa"/>
            <w:tcBorders>
              <w:top w:val="dotted" w:sz="4" w:space="0" w:color="auto"/>
              <w:left w:val="double" w:sz="4" w:space="0" w:color="auto"/>
              <w:bottom w:val="dotted" w:sz="4" w:space="0" w:color="auto"/>
              <w:right w:val="single" w:sz="6" w:space="0" w:color="000000"/>
            </w:tcBorders>
            <w:hideMark/>
          </w:tcPr>
          <w:p w14:paraId="12994824" w14:textId="77777777" w:rsidR="006F605B" w:rsidRPr="00DC66CD" w:rsidRDefault="006F605B" w:rsidP="00131DA1">
            <w:pPr>
              <w:spacing w:after="0" w:line="240" w:lineRule="auto"/>
              <w:rPr>
                <w:rFonts w:ascii="Garamond" w:hAnsi="Garamond"/>
                <w:i/>
                <w:sz w:val="20"/>
                <w:szCs w:val="20"/>
              </w:rPr>
            </w:pPr>
            <w:r w:rsidRPr="00DC66CD">
              <w:rPr>
                <w:rFonts w:ascii="Garamond" w:hAnsi="Garamond"/>
                <w:i/>
                <w:sz w:val="20"/>
                <w:szCs w:val="20"/>
              </w:rPr>
              <w:t>Of which: linked to the financial sector</w:t>
            </w:r>
          </w:p>
        </w:tc>
        <w:tc>
          <w:tcPr>
            <w:tcW w:w="1260" w:type="dxa"/>
            <w:tcBorders>
              <w:top w:val="nil"/>
              <w:left w:val="nil"/>
              <w:bottom w:val="nil"/>
              <w:right w:val="dotted" w:sz="4" w:space="0" w:color="auto"/>
            </w:tcBorders>
            <w:shd w:val="clear" w:color="auto" w:fill="FFFFFF"/>
            <w:vAlign w:val="center"/>
            <w:hideMark/>
          </w:tcPr>
          <w:p w14:paraId="1D7148A6" w14:textId="77777777" w:rsidR="006F605B" w:rsidRPr="00DC66CD" w:rsidRDefault="006F605B" w:rsidP="00131DA1">
            <w:pPr>
              <w:spacing w:after="0" w:line="240" w:lineRule="auto"/>
              <w:jc w:val="center"/>
              <w:rPr>
                <w:rFonts w:ascii="Garamond" w:hAnsi="Garamond"/>
                <w:sz w:val="20"/>
                <w:szCs w:val="20"/>
              </w:rPr>
            </w:pPr>
          </w:p>
        </w:tc>
        <w:tc>
          <w:tcPr>
            <w:tcW w:w="1080" w:type="dxa"/>
            <w:tcBorders>
              <w:top w:val="nil"/>
              <w:left w:val="nil"/>
              <w:bottom w:val="nil"/>
              <w:right w:val="double" w:sz="6" w:space="0" w:color="000000"/>
            </w:tcBorders>
            <w:shd w:val="clear" w:color="auto" w:fill="FFFFFF"/>
            <w:vAlign w:val="center"/>
            <w:hideMark/>
          </w:tcPr>
          <w:p w14:paraId="1DFCCB4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optional</w:t>
            </w:r>
          </w:p>
        </w:tc>
      </w:tr>
      <w:tr w:rsidR="006F605B" w:rsidRPr="00DC66CD" w14:paraId="2EDCC6CC" w14:textId="77777777" w:rsidTr="00E372C0">
        <w:trPr>
          <w:trHeight w:hRule="exact" w:val="351"/>
        </w:trPr>
        <w:tc>
          <w:tcPr>
            <w:tcW w:w="3765" w:type="dxa"/>
            <w:tcBorders>
              <w:top w:val="dotted" w:sz="4" w:space="0" w:color="auto"/>
              <w:left w:val="double" w:sz="4" w:space="0" w:color="auto"/>
              <w:bottom w:val="double" w:sz="4" w:space="0" w:color="auto"/>
              <w:right w:val="single" w:sz="6" w:space="0" w:color="000000"/>
            </w:tcBorders>
          </w:tcPr>
          <w:p w14:paraId="250E4446"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Other contingent liabilities</w:t>
            </w:r>
          </w:p>
        </w:tc>
        <w:tc>
          <w:tcPr>
            <w:tcW w:w="1260" w:type="dxa"/>
            <w:tcBorders>
              <w:top w:val="nil"/>
              <w:left w:val="nil"/>
              <w:bottom w:val="double" w:sz="6" w:space="0" w:color="000000"/>
              <w:right w:val="dotted" w:sz="4" w:space="0" w:color="auto"/>
            </w:tcBorders>
            <w:shd w:val="clear" w:color="auto" w:fill="FFFFFF"/>
            <w:vAlign w:val="center"/>
          </w:tcPr>
          <w:p w14:paraId="2F5E007B" w14:textId="77777777" w:rsidR="006F605B" w:rsidRPr="00DC66CD" w:rsidRDefault="006F605B" w:rsidP="00131DA1">
            <w:pPr>
              <w:spacing w:after="0" w:line="240" w:lineRule="auto"/>
              <w:jc w:val="center"/>
              <w:rPr>
                <w:rFonts w:ascii="Garamond" w:hAnsi="Garamond"/>
                <w:sz w:val="20"/>
                <w:szCs w:val="20"/>
              </w:rPr>
            </w:pPr>
          </w:p>
        </w:tc>
        <w:tc>
          <w:tcPr>
            <w:tcW w:w="1080" w:type="dxa"/>
            <w:tcBorders>
              <w:top w:val="nil"/>
              <w:left w:val="nil"/>
              <w:bottom w:val="double" w:sz="6" w:space="0" w:color="000000"/>
              <w:right w:val="double" w:sz="6" w:space="0" w:color="000000"/>
            </w:tcBorders>
            <w:shd w:val="clear" w:color="auto" w:fill="FFFFFF"/>
            <w:vAlign w:val="center"/>
          </w:tcPr>
          <w:p w14:paraId="44453A5C" w14:textId="77777777" w:rsidR="006F605B" w:rsidRPr="00DC66CD" w:rsidRDefault="006F605B" w:rsidP="00131DA1">
            <w:pPr>
              <w:spacing w:after="0" w:line="240" w:lineRule="auto"/>
              <w:jc w:val="center"/>
              <w:rPr>
                <w:rFonts w:ascii="Garamond" w:hAnsi="Garamond"/>
                <w:sz w:val="20"/>
                <w:szCs w:val="20"/>
              </w:rPr>
            </w:pPr>
          </w:p>
        </w:tc>
      </w:tr>
    </w:tbl>
    <w:p w14:paraId="66C33EBF" w14:textId="77777777" w:rsidR="006F605B" w:rsidRPr="00DC66CD" w:rsidRDefault="006F605B" w:rsidP="006F605B">
      <w:pPr>
        <w:spacing w:after="0" w:line="240" w:lineRule="auto"/>
        <w:ind w:firstLine="284"/>
        <w:rPr>
          <w:rFonts w:ascii="Garamond" w:hAnsi="Garamond"/>
          <w:color w:val="0D0D0D" w:themeColor="text1" w:themeTint="F2"/>
          <w:sz w:val="24"/>
          <w:szCs w:val="24"/>
        </w:rPr>
      </w:pPr>
    </w:p>
    <w:p w14:paraId="6B4B1FE4" w14:textId="77777777" w:rsidR="006F605B" w:rsidRPr="00DC66CD" w:rsidRDefault="006F605B" w:rsidP="006F605B">
      <w:pPr>
        <w:pStyle w:val="Heading2"/>
        <w:spacing w:before="0" w:line="240" w:lineRule="auto"/>
        <w:ind w:firstLine="284"/>
        <w:rPr>
          <w:rFonts w:ascii="Garamond" w:hAnsi="Garamond"/>
          <w:color w:val="auto"/>
          <w:sz w:val="24"/>
          <w:szCs w:val="24"/>
        </w:rPr>
      </w:pPr>
      <w:bookmarkStart w:id="105" w:name="_Toc536784321"/>
      <w:bookmarkStart w:id="106" w:name="_Toc30661255"/>
      <w:r w:rsidRPr="00DC66CD">
        <w:rPr>
          <w:rFonts w:ascii="Garamond" w:hAnsi="Garamond"/>
          <w:color w:val="auto"/>
          <w:sz w:val="24"/>
          <w:szCs w:val="24"/>
        </w:rPr>
        <w:t xml:space="preserve">Tabela 9: </w:t>
      </w:r>
      <w:r w:rsidRPr="00DC66CD">
        <w:rPr>
          <w:rStyle w:val="tlid-translation"/>
          <w:rFonts w:ascii="Garamond" w:hAnsi="Garamond"/>
          <w:color w:val="auto"/>
          <w:sz w:val="24"/>
          <w:szCs w:val="24"/>
        </w:rPr>
        <w:t>Tregues të përzgjedhur punësimi dhe socialë</w:t>
      </w:r>
      <w:bookmarkEnd w:id="105"/>
      <w:bookmarkEnd w:id="106"/>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3"/>
        <w:gridCol w:w="1170"/>
        <w:gridCol w:w="859"/>
        <w:gridCol w:w="783"/>
        <w:gridCol w:w="783"/>
        <w:gridCol w:w="783"/>
        <w:gridCol w:w="1176"/>
      </w:tblGrid>
      <w:tr w:rsidR="006F605B" w:rsidRPr="00DC66CD" w14:paraId="65191810" w14:textId="77777777" w:rsidTr="004512E9">
        <w:trPr>
          <w:trHeight w:val="283"/>
          <w:jc w:val="center"/>
        </w:trPr>
        <w:tc>
          <w:tcPr>
            <w:tcW w:w="4323" w:type="dxa"/>
            <w:tcBorders>
              <w:top w:val="double" w:sz="4" w:space="0" w:color="auto"/>
              <w:left w:val="double" w:sz="4" w:space="0" w:color="auto"/>
              <w:bottom w:val="single" w:sz="4" w:space="0" w:color="auto"/>
              <w:right w:val="dotted" w:sz="4" w:space="0" w:color="auto"/>
            </w:tcBorders>
            <w:shd w:val="clear" w:color="000000" w:fill="FFFFFF"/>
            <w:vAlign w:val="center"/>
          </w:tcPr>
          <w:p w14:paraId="3C136D5B" w14:textId="77777777" w:rsidR="006F605B" w:rsidRPr="00DC66CD" w:rsidRDefault="006F605B" w:rsidP="004512E9">
            <w:pPr>
              <w:spacing w:after="0" w:line="240" w:lineRule="auto"/>
              <w:jc w:val="center"/>
              <w:rPr>
                <w:rFonts w:ascii="Garamond" w:hAnsi="Garamond"/>
                <w:b/>
                <w:color w:val="0D0D0D" w:themeColor="text1" w:themeTint="F2"/>
                <w:sz w:val="20"/>
                <w:szCs w:val="20"/>
              </w:rPr>
            </w:pPr>
          </w:p>
        </w:tc>
        <w:tc>
          <w:tcPr>
            <w:tcW w:w="1170" w:type="dxa"/>
            <w:vMerge w:val="restart"/>
            <w:tcBorders>
              <w:top w:val="double" w:sz="4" w:space="0" w:color="auto"/>
              <w:left w:val="dotted" w:sz="4" w:space="0" w:color="auto"/>
              <w:right w:val="single" w:sz="6" w:space="0" w:color="000000"/>
            </w:tcBorders>
            <w:shd w:val="clear" w:color="000000" w:fill="FFFFFF"/>
            <w:vAlign w:val="center"/>
          </w:tcPr>
          <w:p w14:paraId="50571BE4"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Data source</w:t>
            </w:r>
          </w:p>
        </w:tc>
        <w:tc>
          <w:tcPr>
            <w:tcW w:w="859" w:type="dxa"/>
            <w:tcBorders>
              <w:top w:val="double" w:sz="4" w:space="0" w:color="auto"/>
              <w:left w:val="single" w:sz="6" w:space="0" w:color="000000"/>
              <w:bottom w:val="single" w:sz="4" w:space="0" w:color="auto"/>
              <w:right w:val="dotted" w:sz="4" w:space="0" w:color="auto"/>
            </w:tcBorders>
            <w:shd w:val="clear" w:color="000000" w:fill="FFFFFF"/>
            <w:vAlign w:val="center"/>
          </w:tcPr>
          <w:p w14:paraId="38D5DFE2"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Year</w:t>
            </w:r>
          </w:p>
        </w:tc>
        <w:tc>
          <w:tcPr>
            <w:tcW w:w="783" w:type="dxa"/>
            <w:tcBorders>
              <w:top w:val="double" w:sz="4" w:space="0" w:color="auto"/>
              <w:left w:val="dotted" w:sz="4" w:space="0" w:color="auto"/>
              <w:bottom w:val="single" w:sz="4" w:space="0" w:color="auto"/>
              <w:right w:val="dotted" w:sz="4" w:space="0" w:color="auto"/>
            </w:tcBorders>
            <w:shd w:val="clear" w:color="000000" w:fill="FFFFFF"/>
            <w:vAlign w:val="center"/>
          </w:tcPr>
          <w:p w14:paraId="7FFAA3B6"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Year</w:t>
            </w:r>
          </w:p>
        </w:tc>
        <w:tc>
          <w:tcPr>
            <w:tcW w:w="783" w:type="dxa"/>
            <w:tcBorders>
              <w:top w:val="double" w:sz="4" w:space="0" w:color="auto"/>
              <w:left w:val="dotted" w:sz="4" w:space="0" w:color="auto"/>
              <w:bottom w:val="single" w:sz="4" w:space="0" w:color="auto"/>
              <w:right w:val="dotted" w:sz="4" w:space="0" w:color="auto"/>
            </w:tcBorders>
            <w:shd w:val="clear" w:color="000000" w:fill="FFFFFF"/>
            <w:vAlign w:val="center"/>
          </w:tcPr>
          <w:p w14:paraId="4D676950"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Year</w:t>
            </w:r>
          </w:p>
        </w:tc>
        <w:tc>
          <w:tcPr>
            <w:tcW w:w="783" w:type="dxa"/>
            <w:tcBorders>
              <w:top w:val="double" w:sz="4" w:space="0" w:color="auto"/>
              <w:left w:val="dotted" w:sz="4" w:space="0" w:color="auto"/>
              <w:bottom w:val="single" w:sz="4" w:space="0" w:color="auto"/>
              <w:right w:val="dotted" w:sz="4" w:space="0" w:color="auto"/>
            </w:tcBorders>
            <w:shd w:val="clear" w:color="000000" w:fill="FFFFFF"/>
            <w:vAlign w:val="center"/>
          </w:tcPr>
          <w:p w14:paraId="134006FE"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Year</w:t>
            </w:r>
          </w:p>
        </w:tc>
        <w:tc>
          <w:tcPr>
            <w:tcW w:w="1176" w:type="dxa"/>
            <w:tcBorders>
              <w:top w:val="double" w:sz="4" w:space="0" w:color="auto"/>
              <w:left w:val="dotted" w:sz="4" w:space="0" w:color="auto"/>
              <w:bottom w:val="single" w:sz="4" w:space="0" w:color="auto"/>
              <w:right w:val="double" w:sz="4" w:space="0" w:color="auto"/>
            </w:tcBorders>
            <w:shd w:val="clear" w:color="000000" w:fill="FFFFFF"/>
            <w:vAlign w:val="center"/>
          </w:tcPr>
          <w:p w14:paraId="1A590B74"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Year</w:t>
            </w:r>
          </w:p>
        </w:tc>
      </w:tr>
      <w:tr w:rsidR="006F605B" w:rsidRPr="00DC66CD" w14:paraId="4E5984BE" w14:textId="77777777" w:rsidTr="004512E9">
        <w:trPr>
          <w:trHeight w:val="283"/>
          <w:jc w:val="center"/>
        </w:trPr>
        <w:tc>
          <w:tcPr>
            <w:tcW w:w="4323" w:type="dxa"/>
            <w:tcBorders>
              <w:top w:val="single" w:sz="4" w:space="0" w:color="auto"/>
              <w:left w:val="double" w:sz="4" w:space="0" w:color="auto"/>
              <w:bottom w:val="single" w:sz="4" w:space="0" w:color="auto"/>
              <w:right w:val="dotted" w:sz="4" w:space="0" w:color="auto"/>
            </w:tcBorders>
            <w:vAlign w:val="center"/>
          </w:tcPr>
          <w:p w14:paraId="0EBCFD20" w14:textId="77777777" w:rsidR="006F605B" w:rsidRPr="00DC66CD" w:rsidRDefault="006F605B" w:rsidP="004512E9">
            <w:pPr>
              <w:spacing w:after="0" w:line="240" w:lineRule="auto"/>
              <w:jc w:val="center"/>
              <w:rPr>
                <w:rFonts w:ascii="Garamond" w:hAnsi="Garamond"/>
                <w:b/>
                <w:color w:val="0D0D0D" w:themeColor="text1" w:themeTint="F2"/>
                <w:sz w:val="20"/>
                <w:szCs w:val="20"/>
              </w:rPr>
            </w:pPr>
          </w:p>
        </w:tc>
        <w:tc>
          <w:tcPr>
            <w:tcW w:w="1170" w:type="dxa"/>
            <w:vMerge/>
            <w:tcBorders>
              <w:left w:val="dotted" w:sz="4" w:space="0" w:color="auto"/>
              <w:bottom w:val="single" w:sz="4" w:space="0" w:color="auto"/>
              <w:right w:val="single" w:sz="6" w:space="0" w:color="000000"/>
            </w:tcBorders>
            <w:vAlign w:val="center"/>
          </w:tcPr>
          <w:p w14:paraId="034769E7" w14:textId="77777777" w:rsidR="006F605B" w:rsidRPr="00DC66CD" w:rsidRDefault="006F605B" w:rsidP="004512E9">
            <w:pPr>
              <w:spacing w:after="0" w:line="240" w:lineRule="auto"/>
              <w:jc w:val="center"/>
              <w:rPr>
                <w:rFonts w:ascii="Garamond" w:hAnsi="Garamond"/>
                <w:b/>
                <w:color w:val="0D0D0D" w:themeColor="text1" w:themeTint="F2"/>
                <w:sz w:val="20"/>
                <w:szCs w:val="20"/>
              </w:rPr>
            </w:pPr>
          </w:p>
        </w:tc>
        <w:tc>
          <w:tcPr>
            <w:tcW w:w="859" w:type="dxa"/>
            <w:tcBorders>
              <w:top w:val="single" w:sz="4" w:space="0" w:color="auto"/>
              <w:left w:val="single" w:sz="6" w:space="0" w:color="000000"/>
              <w:bottom w:val="single" w:sz="4" w:space="0" w:color="auto"/>
              <w:right w:val="dotted" w:sz="4" w:space="0" w:color="auto"/>
            </w:tcBorders>
            <w:shd w:val="clear" w:color="000000" w:fill="FFFFFF"/>
            <w:vAlign w:val="center"/>
          </w:tcPr>
          <w:p w14:paraId="65B67C03"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sz w:val="20"/>
                <w:szCs w:val="20"/>
              </w:rPr>
              <w:t>2015</w:t>
            </w:r>
          </w:p>
        </w:tc>
        <w:tc>
          <w:tcPr>
            <w:tcW w:w="783" w:type="dxa"/>
            <w:tcBorders>
              <w:top w:val="single" w:sz="4" w:space="0" w:color="auto"/>
              <w:left w:val="dotted" w:sz="4" w:space="0" w:color="auto"/>
              <w:bottom w:val="single" w:sz="4" w:space="0" w:color="auto"/>
              <w:right w:val="dotted" w:sz="4" w:space="0" w:color="auto"/>
            </w:tcBorders>
            <w:shd w:val="clear" w:color="000000" w:fill="FFFFFF"/>
            <w:vAlign w:val="center"/>
          </w:tcPr>
          <w:p w14:paraId="24C068AB"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2016</w:t>
            </w:r>
          </w:p>
        </w:tc>
        <w:tc>
          <w:tcPr>
            <w:tcW w:w="783" w:type="dxa"/>
            <w:tcBorders>
              <w:top w:val="single" w:sz="4" w:space="0" w:color="auto"/>
              <w:left w:val="dotted" w:sz="4" w:space="0" w:color="auto"/>
              <w:bottom w:val="single" w:sz="4" w:space="0" w:color="auto"/>
              <w:right w:val="dotted" w:sz="4" w:space="0" w:color="auto"/>
            </w:tcBorders>
            <w:shd w:val="clear" w:color="000000" w:fill="FFFFFF"/>
            <w:vAlign w:val="center"/>
          </w:tcPr>
          <w:p w14:paraId="047C2FFB"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sz w:val="20"/>
                <w:szCs w:val="20"/>
              </w:rPr>
              <w:t>2017</w:t>
            </w:r>
          </w:p>
        </w:tc>
        <w:tc>
          <w:tcPr>
            <w:tcW w:w="783" w:type="dxa"/>
            <w:tcBorders>
              <w:top w:val="single" w:sz="4" w:space="0" w:color="auto"/>
              <w:left w:val="dotted" w:sz="4" w:space="0" w:color="auto"/>
              <w:bottom w:val="single" w:sz="4" w:space="0" w:color="auto"/>
              <w:right w:val="dotted" w:sz="4" w:space="0" w:color="auto"/>
            </w:tcBorders>
            <w:shd w:val="clear" w:color="000000" w:fill="FFFFFF"/>
            <w:vAlign w:val="center"/>
          </w:tcPr>
          <w:p w14:paraId="2B496B14"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2018</w:t>
            </w:r>
          </w:p>
        </w:tc>
        <w:tc>
          <w:tcPr>
            <w:tcW w:w="1176" w:type="dxa"/>
            <w:tcBorders>
              <w:top w:val="single" w:sz="4" w:space="0" w:color="auto"/>
              <w:left w:val="dotted" w:sz="4" w:space="0" w:color="auto"/>
              <w:bottom w:val="single" w:sz="4" w:space="0" w:color="auto"/>
              <w:right w:val="double" w:sz="4" w:space="0" w:color="auto"/>
            </w:tcBorders>
            <w:shd w:val="clear" w:color="000000" w:fill="FFFFFF"/>
            <w:vAlign w:val="center"/>
          </w:tcPr>
          <w:p w14:paraId="3A9DAF44"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Q.2/2019</w:t>
            </w:r>
          </w:p>
        </w:tc>
      </w:tr>
      <w:tr w:rsidR="006F605B" w:rsidRPr="00DC66CD" w14:paraId="6B8FC180" w14:textId="77777777" w:rsidTr="00E372C0">
        <w:trPr>
          <w:trHeight w:val="283"/>
          <w:jc w:val="center"/>
        </w:trPr>
        <w:tc>
          <w:tcPr>
            <w:tcW w:w="4323" w:type="dxa"/>
            <w:tcBorders>
              <w:top w:val="single" w:sz="4" w:space="0" w:color="auto"/>
              <w:left w:val="double" w:sz="4" w:space="0" w:color="auto"/>
              <w:bottom w:val="dashSmallGap" w:sz="4" w:space="0" w:color="auto"/>
              <w:right w:val="dotted" w:sz="4" w:space="0" w:color="auto"/>
            </w:tcBorders>
            <w:shd w:val="clear" w:color="000000" w:fill="FFFFFF"/>
            <w:vAlign w:val="center"/>
          </w:tcPr>
          <w:p w14:paraId="5B4639F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 Labour market participation rate (%) total (20-64 years old)</w:t>
            </w:r>
          </w:p>
        </w:tc>
        <w:tc>
          <w:tcPr>
            <w:tcW w:w="1170" w:type="dxa"/>
            <w:tcBorders>
              <w:top w:val="single" w:sz="4" w:space="0" w:color="auto"/>
              <w:left w:val="dotted" w:sz="4" w:space="0" w:color="auto"/>
              <w:bottom w:val="dashSmallGap" w:sz="4" w:space="0" w:color="auto"/>
              <w:right w:val="single" w:sz="6" w:space="0" w:color="000000"/>
            </w:tcBorders>
            <w:shd w:val="clear" w:color="000000" w:fill="FFFFFF"/>
            <w:vAlign w:val="center"/>
          </w:tcPr>
          <w:p w14:paraId="302AF434"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INSTAT</w:t>
            </w:r>
          </w:p>
        </w:tc>
        <w:tc>
          <w:tcPr>
            <w:tcW w:w="859" w:type="dxa"/>
            <w:tcBorders>
              <w:top w:val="single" w:sz="4" w:space="0" w:color="auto"/>
              <w:left w:val="single" w:sz="6" w:space="0" w:color="000000"/>
              <w:bottom w:val="dashSmallGap" w:sz="4" w:space="0" w:color="auto"/>
              <w:right w:val="dotted" w:sz="4" w:space="0" w:color="auto"/>
            </w:tcBorders>
            <w:shd w:val="clear" w:color="auto" w:fill="auto"/>
          </w:tcPr>
          <w:p w14:paraId="7AE7343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64,2</w:t>
            </w:r>
          </w:p>
        </w:tc>
        <w:tc>
          <w:tcPr>
            <w:tcW w:w="783" w:type="dxa"/>
            <w:tcBorders>
              <w:top w:val="single" w:sz="4" w:space="0" w:color="auto"/>
              <w:left w:val="dotted" w:sz="4" w:space="0" w:color="auto"/>
              <w:bottom w:val="dashSmallGap" w:sz="4" w:space="0" w:color="auto"/>
              <w:right w:val="dotted" w:sz="4" w:space="0" w:color="auto"/>
            </w:tcBorders>
            <w:shd w:val="clear" w:color="auto" w:fill="auto"/>
          </w:tcPr>
          <w:p w14:paraId="12CA630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66.2</w:t>
            </w:r>
          </w:p>
        </w:tc>
        <w:tc>
          <w:tcPr>
            <w:tcW w:w="783" w:type="dxa"/>
            <w:tcBorders>
              <w:top w:val="single" w:sz="4" w:space="0" w:color="auto"/>
              <w:left w:val="dotted" w:sz="4" w:space="0" w:color="auto"/>
              <w:bottom w:val="dashSmallGap" w:sz="4" w:space="0" w:color="auto"/>
              <w:right w:val="dotted" w:sz="4" w:space="0" w:color="auto"/>
            </w:tcBorders>
            <w:shd w:val="clear" w:color="auto" w:fill="auto"/>
          </w:tcPr>
          <w:p w14:paraId="794660A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66.8</w:t>
            </w:r>
          </w:p>
        </w:tc>
        <w:tc>
          <w:tcPr>
            <w:tcW w:w="783" w:type="dxa"/>
            <w:tcBorders>
              <w:top w:val="single" w:sz="4" w:space="0" w:color="auto"/>
              <w:left w:val="dotted" w:sz="4" w:space="0" w:color="auto"/>
              <w:bottom w:val="dashSmallGap" w:sz="4" w:space="0" w:color="auto"/>
              <w:right w:val="dotted" w:sz="4" w:space="0" w:color="auto"/>
            </w:tcBorders>
            <w:shd w:val="clear" w:color="auto" w:fill="auto"/>
          </w:tcPr>
          <w:p w14:paraId="1BF6E7B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 68,3 </w:t>
            </w:r>
          </w:p>
        </w:tc>
        <w:tc>
          <w:tcPr>
            <w:tcW w:w="1176" w:type="dxa"/>
            <w:tcBorders>
              <w:top w:val="single" w:sz="4" w:space="0" w:color="auto"/>
              <w:left w:val="dotted" w:sz="4" w:space="0" w:color="auto"/>
              <w:bottom w:val="dashSmallGap" w:sz="4" w:space="0" w:color="auto"/>
              <w:right w:val="double" w:sz="4" w:space="0" w:color="auto"/>
            </w:tcBorders>
            <w:shd w:val="clear" w:color="auto" w:fill="auto"/>
          </w:tcPr>
          <w:p w14:paraId="6A23696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 69,8</w:t>
            </w:r>
          </w:p>
        </w:tc>
      </w:tr>
      <w:tr w:rsidR="006F605B" w:rsidRPr="00DC66CD" w14:paraId="7E03A941"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04FF3BF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4EAC654C"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46B6E40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73,4</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7156F56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 74,1</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30122D5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 75,8</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4632FD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76,9 </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2C2E0F0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77,8</w:t>
            </w:r>
          </w:p>
        </w:tc>
      </w:tr>
      <w:tr w:rsidR="006F605B" w:rsidRPr="00DC66CD" w14:paraId="2F970EA3"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6D810C6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-female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0AC60445"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699E82B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55,1</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010A64E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 58,3</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06CEB0E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 57,7</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264D7A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59,7</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31B2B35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61,9</w:t>
            </w:r>
          </w:p>
        </w:tc>
      </w:tr>
      <w:tr w:rsidR="006F605B" w:rsidRPr="00DC66CD" w14:paraId="08A946E8"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51194A9F"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 Employment rate (%) total</w:t>
            </w:r>
          </w:p>
          <w:p w14:paraId="52509392"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(20-64 years old)</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783A31C3"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6B93EAF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52,9</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24AAF48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55,9</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D72D7C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57,4</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9CD8C4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59,3 </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6D8B00C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61,4</w:t>
            </w:r>
          </w:p>
        </w:tc>
      </w:tr>
      <w:tr w:rsidR="006F605B" w:rsidRPr="00DC66CD" w14:paraId="6D8DFCF0"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6111F4BE"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08E6FB49"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2042E65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60,5</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18AF0F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61,9</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0A4A31E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64,3</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5B6866E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66,7</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4F40371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68,4</w:t>
            </w:r>
          </w:p>
        </w:tc>
      </w:tr>
      <w:tr w:rsidR="006F605B" w:rsidRPr="00DC66CD" w14:paraId="22D72C49"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7B2D7AFF"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-female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1AD47390"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6362169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45,5</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5091F9B"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49,7</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0A0E501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50,3</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6223EAA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52,4 </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16ED25F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54,6</w:t>
            </w:r>
          </w:p>
        </w:tc>
      </w:tr>
      <w:tr w:rsidR="006F605B" w:rsidRPr="00DC66CD" w14:paraId="7BE42935"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33CAAA0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3. Unemployment rate (%) total</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00E9F9FC"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2B27DC7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17,5</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33408EC1"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15.6</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EB14DD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14,1</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030399B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12,8</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3C2BEB0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11,5</w:t>
            </w:r>
          </w:p>
        </w:tc>
      </w:tr>
      <w:tr w:rsidR="006F605B" w:rsidRPr="00DC66CD" w14:paraId="6F0CF599"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7B0DD9E6"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5D6D524D"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45FB36A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17,5</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516C86F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16,4</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B82E44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15.1</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777C989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13,2</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01F6AB0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11,6</w:t>
            </w:r>
          </w:p>
        </w:tc>
      </w:tr>
      <w:tr w:rsidR="006F605B" w:rsidRPr="00DC66CD" w14:paraId="5693E278"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5F36F3A8"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-female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5A2E555D"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3E8DA8C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17,4</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5B8FB10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14,6</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32874D3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12,8</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0BAABBA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12,3</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2FEDF31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11,4</w:t>
            </w:r>
          </w:p>
        </w:tc>
      </w:tr>
      <w:tr w:rsidR="006F605B" w:rsidRPr="00DC66CD" w14:paraId="423E8341"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0263EE03"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4. Long-term unemployment rate (%) total</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4EAEA974"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NES</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1DA7A21C"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 47,5</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4302C3EB"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58</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5C22ED9B"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51</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430227FA"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50</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44C48566"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48</w:t>
            </w:r>
          </w:p>
        </w:tc>
      </w:tr>
      <w:tr w:rsidR="006F605B" w:rsidRPr="00DC66CD" w14:paraId="61E869CF"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733E2F5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33AB6843"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NES</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51CBA0CA"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51</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0BE4460B"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48</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4F5FD39C"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49</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2A45E9AE"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45</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5722822A"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46</w:t>
            </w:r>
          </w:p>
        </w:tc>
      </w:tr>
      <w:tr w:rsidR="006F605B" w:rsidRPr="00DC66CD" w14:paraId="4401083D"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2C302143"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-female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4D78D2DE"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NES</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2F3E6C16"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49</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08C54EE1"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52</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46FBAC6"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51</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D5CF7C7"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55</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129A4977"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54</w:t>
            </w:r>
          </w:p>
        </w:tc>
      </w:tr>
      <w:tr w:rsidR="006F605B" w:rsidRPr="00DC66CD" w14:paraId="52B49417"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76A5D3DD"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5. Youth unemployment (15-24 years old) rate (%) total</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52BDBEF8"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5454095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33,2</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36F6E888"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28.9</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39437D67"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25.9</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6D2EA3A5"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23.1</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3148D8DE"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20,9</w:t>
            </w:r>
          </w:p>
        </w:tc>
      </w:tr>
      <w:tr w:rsidR="006F605B" w:rsidRPr="00DC66CD" w14:paraId="01DB2A29"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74A20F38"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082EC185"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04C2CDA2"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32,3</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05769D0"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29,7</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74831F9C"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27,0</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656095B6"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23,1</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455C52A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21,0</w:t>
            </w:r>
          </w:p>
        </w:tc>
      </w:tr>
      <w:tr w:rsidR="006F605B" w:rsidRPr="00DC66CD" w14:paraId="434540C7"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4FED0C6F"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-female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5402D83D"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0C2E8BC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34,7</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70B62A09"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27,8</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1777910F"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 xml:space="preserve">24,0 </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6104B49A"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23,1</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0C917514" w14:textId="77777777" w:rsidR="006F605B" w:rsidRPr="00DC66CD" w:rsidRDefault="006F605B" w:rsidP="00131DA1">
            <w:pPr>
              <w:spacing w:after="0" w:line="240" w:lineRule="auto"/>
              <w:jc w:val="center"/>
              <w:rPr>
                <w:rFonts w:ascii="Garamond" w:hAnsi="Garamond"/>
                <w:sz w:val="20"/>
                <w:szCs w:val="20"/>
              </w:rPr>
            </w:pPr>
            <w:r w:rsidRPr="00DC66CD">
              <w:rPr>
                <w:rFonts w:ascii="Garamond" w:hAnsi="Garamond"/>
                <w:sz w:val="20"/>
                <w:szCs w:val="20"/>
              </w:rPr>
              <w:t>20,8</w:t>
            </w:r>
          </w:p>
        </w:tc>
      </w:tr>
      <w:tr w:rsidR="006F605B" w:rsidRPr="00DC66CD" w14:paraId="7D5F88E7"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52D2FB31"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6. Young people (15-24 years old) not in employment, education or training (NEET), in %</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02FB6C08" w14:textId="77777777" w:rsidR="006F605B" w:rsidRPr="00DC66CD" w:rsidRDefault="006F605B" w:rsidP="00131DA1">
            <w:pPr>
              <w:spacing w:after="0" w:line="240" w:lineRule="auto"/>
              <w:rPr>
                <w:rFonts w:ascii="Garamond" w:hAnsi="Garamond"/>
                <w:color w:val="0D0D0D" w:themeColor="text1" w:themeTint="F2"/>
                <w:sz w:val="20"/>
                <w:szCs w:val="20"/>
              </w:rPr>
            </w:pPr>
          </w:p>
          <w:p w14:paraId="026C3199" w14:textId="77777777" w:rsidR="006F605B" w:rsidRPr="00DC66CD" w:rsidRDefault="006F605B" w:rsidP="00131DA1">
            <w:pPr>
              <w:spacing w:after="0" w:line="240" w:lineRule="auto"/>
              <w:rPr>
                <w:rFonts w:ascii="Garamond" w:hAnsi="Garamond"/>
                <w:sz w:val="20"/>
                <w:szCs w:val="20"/>
              </w:rPr>
            </w:pPr>
            <w:r w:rsidRPr="00DC66CD">
              <w:rPr>
                <w:rFonts w:ascii="Garamond" w:hAnsi="Garamond"/>
                <w:color w:val="0D0D0D" w:themeColor="text1" w:themeTint="F2"/>
                <w:sz w:val="20"/>
                <w:szCs w:val="20"/>
              </w:rPr>
              <w:t>INSTAT</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0BB76107"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32,8</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511F4A0"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30,0</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6CE25AFC"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29,7</w:t>
            </w: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42C95A6B"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26,5</w:t>
            </w: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419E9FA6"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24,8</w:t>
            </w:r>
          </w:p>
        </w:tc>
      </w:tr>
      <w:tr w:rsidR="006F605B" w:rsidRPr="00DC66CD" w14:paraId="4EDEEDB7"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551411CF"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7. Early school leavers, in % (Eurostat definition)</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7DFC10D5"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4A1EA507"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4ADDBE1"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6CD91483"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5EF4D442"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717FCCC1"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21AF6CE1"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59526B02" w14:textId="77777777" w:rsidR="006F605B" w:rsidRPr="00DC66CD" w:rsidRDefault="006F605B" w:rsidP="00131DA1">
            <w:pPr>
              <w:pStyle w:val="Default"/>
              <w:rPr>
                <w:rFonts w:ascii="Garamond" w:hAnsi="Garamond"/>
                <w:sz w:val="20"/>
                <w:szCs w:val="20"/>
                <w:lang w:val="sq-AL"/>
              </w:rPr>
            </w:pPr>
            <w:r w:rsidRPr="00DC66CD">
              <w:rPr>
                <w:rFonts w:ascii="Garamond" w:hAnsi="Garamond"/>
                <w:sz w:val="20"/>
                <w:szCs w:val="20"/>
                <w:lang w:val="sq-AL"/>
              </w:rPr>
              <w:t>8. PISA Rating</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49E00A49"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32F77534"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5A5807D5"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7E315C34"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46AB3153"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30900F80"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1CDC2A50"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61F0C33C"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9. PIAAC rating</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6C7ECA48"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5723252A"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7A55A395"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4271777A"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6014FFA"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4B65D654"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5AAB3A92"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454FF1B7"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10. Participants rate in early childhood education or care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26F8CB3B"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3199506E"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61AF5610"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E85964E"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05E3F6CC"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157F9607"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3CC39CF7"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75F2DD6F"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11. Gini coefficient</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0125E8D5"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2661F073"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65220AE"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67BC7B54"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44D42BFB"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1AA811E7"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0960718E"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3769859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12. Inequality of income distribution S80/S20 (income quintile ratio)</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66371E90"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e</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6B9C6E4D"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6B4060B4"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FCAC66A"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412A8F13"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18BF9915"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20F7664F"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53F10D88"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13. Social protection expenditure in % of GDP</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61A0F60B"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e</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770BE374"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E21C2B8"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1037BDC6"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45781FDC"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2C6B06FA"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14F9E8D3"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4E1CB519"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14. Health expenditure in % of GDP</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3E5C561A"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e</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775FEB00"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35C74ABF"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398B6305"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3362844B"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657A040A"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254E239F"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52659D6D"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15. At-risk-of-poverty before social transfers, % of the population</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1F552FF9"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e</w:t>
            </w: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221E20FA"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78E3CF2A"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568F6EE0"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579D6183"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4BB2CC22"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07DE5063"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41B95A7C"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16. Poverty rate</w:t>
            </w:r>
          </w:p>
          <w:p w14:paraId="7ED12B13"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(Please indicate which data are available for your country)</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396E648D"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dashSmallGap" w:sz="4" w:space="0" w:color="auto"/>
              <w:right w:val="dotted" w:sz="4" w:space="0" w:color="auto"/>
            </w:tcBorders>
            <w:shd w:val="clear" w:color="auto" w:fill="auto"/>
            <w:vAlign w:val="center"/>
          </w:tcPr>
          <w:p w14:paraId="5B143762"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319D935A"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052ABAFE"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vAlign w:val="center"/>
          </w:tcPr>
          <w:p w14:paraId="535446D6"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vAlign w:val="center"/>
          </w:tcPr>
          <w:p w14:paraId="632E7228"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76F081F6" w14:textId="77777777" w:rsidTr="00E372C0">
        <w:trPr>
          <w:trHeight w:val="283"/>
          <w:jc w:val="center"/>
        </w:trPr>
        <w:tc>
          <w:tcPr>
            <w:tcW w:w="4323" w:type="dxa"/>
            <w:tcBorders>
              <w:top w:val="dashSmallGap" w:sz="4" w:space="0" w:color="auto"/>
              <w:left w:val="double" w:sz="4" w:space="0" w:color="auto"/>
              <w:bottom w:val="single" w:sz="4" w:space="0" w:color="auto"/>
              <w:right w:val="dotted" w:sz="4" w:space="0" w:color="auto"/>
            </w:tcBorders>
            <w:shd w:val="clear" w:color="000000" w:fill="FFFFFF"/>
            <w:vAlign w:val="center"/>
          </w:tcPr>
          <w:p w14:paraId="76BE8FFF"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17. Poverty gap</w:t>
            </w:r>
          </w:p>
          <w:p w14:paraId="07A72605"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(Please indicate which data are available for your country)</w:t>
            </w:r>
          </w:p>
        </w:tc>
        <w:tc>
          <w:tcPr>
            <w:tcW w:w="1170" w:type="dxa"/>
            <w:tcBorders>
              <w:top w:val="dashSmallGap" w:sz="4" w:space="0" w:color="auto"/>
              <w:left w:val="dotted" w:sz="4" w:space="0" w:color="auto"/>
              <w:bottom w:val="single" w:sz="4" w:space="0" w:color="auto"/>
              <w:right w:val="single" w:sz="6" w:space="0" w:color="000000"/>
            </w:tcBorders>
            <w:shd w:val="clear" w:color="000000" w:fill="FFFFFF"/>
          </w:tcPr>
          <w:p w14:paraId="326A5560"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single" w:sz="4" w:space="0" w:color="auto"/>
              <w:right w:val="dotted" w:sz="4" w:space="0" w:color="auto"/>
            </w:tcBorders>
            <w:shd w:val="clear" w:color="auto" w:fill="auto"/>
            <w:vAlign w:val="center"/>
          </w:tcPr>
          <w:p w14:paraId="345A0942"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single" w:sz="4" w:space="0" w:color="auto"/>
              <w:right w:val="dotted" w:sz="4" w:space="0" w:color="auto"/>
            </w:tcBorders>
            <w:shd w:val="clear" w:color="auto" w:fill="auto"/>
            <w:vAlign w:val="center"/>
          </w:tcPr>
          <w:p w14:paraId="7D220A74"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single" w:sz="4" w:space="0" w:color="auto"/>
              <w:right w:val="dotted" w:sz="4" w:space="0" w:color="auto"/>
            </w:tcBorders>
            <w:shd w:val="clear" w:color="auto" w:fill="auto"/>
            <w:vAlign w:val="center"/>
          </w:tcPr>
          <w:p w14:paraId="1DF81069"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single" w:sz="4" w:space="0" w:color="auto"/>
              <w:right w:val="dotted" w:sz="4" w:space="0" w:color="auto"/>
            </w:tcBorders>
            <w:shd w:val="clear" w:color="auto" w:fill="auto"/>
            <w:vAlign w:val="center"/>
          </w:tcPr>
          <w:p w14:paraId="509A40D2"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single" w:sz="4" w:space="0" w:color="auto"/>
              <w:right w:val="double" w:sz="4" w:space="0" w:color="auto"/>
            </w:tcBorders>
            <w:shd w:val="clear" w:color="auto" w:fill="auto"/>
            <w:vAlign w:val="center"/>
          </w:tcPr>
          <w:p w14:paraId="48B5865D"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1348AE6A" w14:textId="77777777" w:rsidTr="00E372C0">
        <w:trPr>
          <w:trHeight w:val="283"/>
          <w:jc w:val="center"/>
        </w:trPr>
        <w:tc>
          <w:tcPr>
            <w:tcW w:w="9877" w:type="dxa"/>
            <w:gridSpan w:val="7"/>
            <w:tcBorders>
              <w:top w:val="single" w:sz="4" w:space="0" w:color="auto"/>
              <w:left w:val="double" w:sz="4" w:space="0" w:color="auto"/>
              <w:bottom w:val="single" w:sz="4" w:space="0" w:color="auto"/>
              <w:right w:val="double" w:sz="4" w:space="0" w:color="auto"/>
            </w:tcBorders>
            <w:shd w:val="clear" w:color="000000" w:fill="FFFFFF"/>
          </w:tcPr>
          <w:p w14:paraId="03B6B4F4" w14:textId="77777777" w:rsidR="006F605B" w:rsidRPr="00DC66CD" w:rsidRDefault="006F605B" w:rsidP="00131DA1">
            <w:pPr>
              <w:spacing w:after="0" w:line="240" w:lineRule="auto"/>
              <w:jc w:val="center"/>
              <w:rPr>
                <w:rFonts w:ascii="Garamond" w:hAnsi="Garamond"/>
                <w:color w:val="0D0D0D" w:themeColor="text1" w:themeTint="F2"/>
                <w:sz w:val="20"/>
                <w:szCs w:val="20"/>
              </w:rPr>
            </w:pPr>
            <w:r w:rsidRPr="00DC66CD">
              <w:rPr>
                <w:rFonts w:ascii="Garamond" w:hAnsi="Garamond"/>
                <w:color w:val="0D0D0D" w:themeColor="text1" w:themeTint="F2"/>
                <w:sz w:val="20"/>
                <w:szCs w:val="20"/>
              </w:rPr>
              <w:t>Other indicators used in the EU Social Scoreboard</w:t>
            </w:r>
          </w:p>
        </w:tc>
      </w:tr>
      <w:tr w:rsidR="006F605B" w:rsidRPr="00DC66CD" w14:paraId="6F7F364E" w14:textId="77777777" w:rsidTr="00E372C0">
        <w:trPr>
          <w:trHeight w:val="283"/>
          <w:jc w:val="center"/>
        </w:trPr>
        <w:tc>
          <w:tcPr>
            <w:tcW w:w="4323" w:type="dxa"/>
            <w:tcBorders>
              <w:top w:val="single" w:sz="4" w:space="0" w:color="auto"/>
              <w:left w:val="double" w:sz="4" w:space="0" w:color="auto"/>
              <w:bottom w:val="dashSmallGap" w:sz="4" w:space="0" w:color="auto"/>
              <w:right w:val="dotted" w:sz="4" w:space="0" w:color="auto"/>
            </w:tcBorders>
            <w:shd w:val="clear" w:color="000000" w:fill="FFFFFF"/>
            <w:vAlign w:val="center"/>
          </w:tcPr>
          <w:p w14:paraId="6657CDB4"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18. Real adjusted GDHI – per capita in PPS (Index 2008=100)</w:t>
            </w:r>
          </w:p>
        </w:tc>
        <w:tc>
          <w:tcPr>
            <w:tcW w:w="1170" w:type="dxa"/>
            <w:tcBorders>
              <w:top w:val="single" w:sz="4" w:space="0" w:color="auto"/>
              <w:left w:val="dotted" w:sz="4" w:space="0" w:color="auto"/>
              <w:bottom w:val="dashSmallGap" w:sz="4" w:space="0" w:color="auto"/>
              <w:right w:val="single" w:sz="6" w:space="0" w:color="000000"/>
            </w:tcBorders>
            <w:shd w:val="clear" w:color="000000" w:fill="FFFFFF"/>
          </w:tcPr>
          <w:p w14:paraId="517B713E"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single" w:sz="4" w:space="0" w:color="auto"/>
              <w:left w:val="single" w:sz="6" w:space="0" w:color="000000"/>
              <w:bottom w:val="dashSmallGap" w:sz="4" w:space="0" w:color="auto"/>
              <w:right w:val="dotted" w:sz="4" w:space="0" w:color="auto"/>
            </w:tcBorders>
            <w:shd w:val="clear" w:color="auto" w:fill="auto"/>
          </w:tcPr>
          <w:p w14:paraId="07B44539"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single" w:sz="4" w:space="0" w:color="auto"/>
              <w:left w:val="dotted" w:sz="4" w:space="0" w:color="auto"/>
              <w:bottom w:val="dashSmallGap" w:sz="4" w:space="0" w:color="auto"/>
              <w:right w:val="dotted" w:sz="4" w:space="0" w:color="auto"/>
            </w:tcBorders>
            <w:shd w:val="clear" w:color="auto" w:fill="auto"/>
          </w:tcPr>
          <w:p w14:paraId="29D04C30"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single" w:sz="4" w:space="0" w:color="auto"/>
              <w:left w:val="dotted" w:sz="4" w:space="0" w:color="auto"/>
              <w:bottom w:val="dashSmallGap" w:sz="4" w:space="0" w:color="auto"/>
              <w:right w:val="dotted" w:sz="4" w:space="0" w:color="auto"/>
            </w:tcBorders>
            <w:shd w:val="clear" w:color="auto" w:fill="auto"/>
          </w:tcPr>
          <w:p w14:paraId="370794EC"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single" w:sz="4" w:space="0" w:color="auto"/>
              <w:left w:val="dotted" w:sz="4" w:space="0" w:color="auto"/>
              <w:bottom w:val="dashSmallGap" w:sz="4" w:space="0" w:color="auto"/>
              <w:right w:val="dotted" w:sz="4" w:space="0" w:color="auto"/>
            </w:tcBorders>
            <w:shd w:val="clear" w:color="auto" w:fill="auto"/>
          </w:tcPr>
          <w:p w14:paraId="38E8E027"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single" w:sz="4" w:space="0" w:color="auto"/>
              <w:left w:val="dotted" w:sz="4" w:space="0" w:color="auto"/>
              <w:bottom w:val="dashSmallGap" w:sz="4" w:space="0" w:color="auto"/>
              <w:right w:val="double" w:sz="4" w:space="0" w:color="auto"/>
            </w:tcBorders>
            <w:shd w:val="clear" w:color="auto" w:fill="auto"/>
          </w:tcPr>
          <w:p w14:paraId="58EBF768"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09062682"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7E535341"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19. Impact of social transfers (other than pensions) on poverty reduction</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5DADEDCE"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7488E827"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33F04B9"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63A4FE0E"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BB3388D"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358D4E6B"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7BE5DE02" w14:textId="77777777" w:rsidTr="00E372C0">
        <w:trPr>
          <w:trHeight w:val="283"/>
          <w:jc w:val="center"/>
        </w:trPr>
        <w:tc>
          <w:tcPr>
            <w:tcW w:w="4323" w:type="dxa"/>
            <w:tcBorders>
              <w:top w:val="dashSmallGap" w:sz="4" w:space="0" w:color="auto"/>
              <w:left w:val="double" w:sz="4" w:space="0" w:color="auto"/>
              <w:bottom w:val="dashSmallGap" w:sz="4" w:space="0" w:color="auto"/>
              <w:right w:val="dotted" w:sz="4" w:space="0" w:color="auto"/>
            </w:tcBorders>
            <w:shd w:val="clear" w:color="000000" w:fill="FFFFFF"/>
            <w:vAlign w:val="center"/>
          </w:tcPr>
          <w:p w14:paraId="4BFFEF37"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20. Self-reported unmet need for medical care</w:t>
            </w:r>
          </w:p>
        </w:tc>
        <w:tc>
          <w:tcPr>
            <w:tcW w:w="1170" w:type="dxa"/>
            <w:tcBorders>
              <w:top w:val="dashSmallGap" w:sz="4" w:space="0" w:color="auto"/>
              <w:left w:val="dotted" w:sz="4" w:space="0" w:color="auto"/>
              <w:bottom w:val="dashSmallGap" w:sz="4" w:space="0" w:color="auto"/>
              <w:right w:val="single" w:sz="6" w:space="0" w:color="000000"/>
            </w:tcBorders>
            <w:shd w:val="clear" w:color="000000" w:fill="FFFFFF"/>
          </w:tcPr>
          <w:p w14:paraId="3488EE58"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dashSmallGap" w:sz="4" w:space="0" w:color="auto"/>
              <w:right w:val="dotted" w:sz="4" w:space="0" w:color="auto"/>
            </w:tcBorders>
            <w:shd w:val="clear" w:color="auto" w:fill="auto"/>
          </w:tcPr>
          <w:p w14:paraId="042C65E3"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364D669E"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52669B3B"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ashSmallGap" w:sz="4" w:space="0" w:color="auto"/>
              <w:right w:val="dotted" w:sz="4" w:space="0" w:color="auto"/>
            </w:tcBorders>
            <w:shd w:val="clear" w:color="auto" w:fill="auto"/>
          </w:tcPr>
          <w:p w14:paraId="455E0C7C"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ashSmallGap" w:sz="4" w:space="0" w:color="auto"/>
              <w:right w:val="double" w:sz="4" w:space="0" w:color="auto"/>
            </w:tcBorders>
            <w:shd w:val="clear" w:color="auto" w:fill="auto"/>
          </w:tcPr>
          <w:p w14:paraId="4411DA06"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r w:rsidR="006F605B" w:rsidRPr="00DC66CD" w14:paraId="2ECA45DB" w14:textId="77777777" w:rsidTr="00E372C0">
        <w:trPr>
          <w:trHeight w:val="283"/>
          <w:jc w:val="center"/>
        </w:trPr>
        <w:tc>
          <w:tcPr>
            <w:tcW w:w="4323" w:type="dxa"/>
            <w:tcBorders>
              <w:top w:val="dashSmallGap" w:sz="4" w:space="0" w:color="auto"/>
              <w:left w:val="double" w:sz="4" w:space="0" w:color="auto"/>
              <w:bottom w:val="double" w:sz="4" w:space="0" w:color="auto"/>
              <w:right w:val="dotted" w:sz="4" w:space="0" w:color="auto"/>
            </w:tcBorders>
            <w:shd w:val="clear" w:color="000000" w:fill="FFFFFF"/>
            <w:vAlign w:val="center"/>
          </w:tcPr>
          <w:p w14:paraId="3C82FE05" w14:textId="215EE5E1"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21. Individuals</w:t>
            </w:r>
            <w:r w:rsidR="002C582E" w:rsidRPr="00DC66CD">
              <w:rPr>
                <w:rFonts w:ascii="Garamond" w:hAnsi="Garamond"/>
                <w:color w:val="0D0D0D" w:themeColor="text1" w:themeTint="F2"/>
                <w:sz w:val="20"/>
                <w:szCs w:val="20"/>
              </w:rPr>
              <w:t>’</w:t>
            </w:r>
            <w:r w:rsidRPr="00DC66CD">
              <w:rPr>
                <w:rFonts w:ascii="Garamond" w:hAnsi="Garamond"/>
                <w:color w:val="0D0D0D" w:themeColor="text1" w:themeTint="F2"/>
                <w:sz w:val="20"/>
                <w:szCs w:val="20"/>
              </w:rPr>
              <w:t xml:space="preserve"> level of digital skills (% of individuals with basic or above basic overall digital skills)</w:t>
            </w:r>
          </w:p>
        </w:tc>
        <w:tc>
          <w:tcPr>
            <w:tcW w:w="1170" w:type="dxa"/>
            <w:tcBorders>
              <w:top w:val="dashSmallGap" w:sz="4" w:space="0" w:color="auto"/>
              <w:left w:val="dotted" w:sz="4" w:space="0" w:color="auto"/>
              <w:bottom w:val="double" w:sz="4" w:space="0" w:color="auto"/>
              <w:right w:val="single" w:sz="6" w:space="0" w:color="000000"/>
            </w:tcBorders>
            <w:shd w:val="clear" w:color="000000" w:fill="FFFFFF"/>
          </w:tcPr>
          <w:p w14:paraId="0857D312"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859" w:type="dxa"/>
            <w:tcBorders>
              <w:top w:val="dashSmallGap" w:sz="4" w:space="0" w:color="auto"/>
              <w:left w:val="single" w:sz="6" w:space="0" w:color="000000"/>
              <w:bottom w:val="double" w:sz="4" w:space="0" w:color="auto"/>
              <w:right w:val="dotted" w:sz="4" w:space="0" w:color="auto"/>
            </w:tcBorders>
            <w:shd w:val="clear" w:color="auto" w:fill="auto"/>
          </w:tcPr>
          <w:p w14:paraId="2C49176E"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ouble" w:sz="4" w:space="0" w:color="auto"/>
              <w:right w:val="dotted" w:sz="4" w:space="0" w:color="auto"/>
            </w:tcBorders>
            <w:shd w:val="clear" w:color="auto" w:fill="auto"/>
          </w:tcPr>
          <w:p w14:paraId="0B14B227"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ouble" w:sz="4" w:space="0" w:color="auto"/>
              <w:right w:val="dotted" w:sz="4" w:space="0" w:color="auto"/>
            </w:tcBorders>
            <w:shd w:val="clear" w:color="auto" w:fill="auto"/>
          </w:tcPr>
          <w:p w14:paraId="340337D1"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783" w:type="dxa"/>
            <w:tcBorders>
              <w:top w:val="dashSmallGap" w:sz="4" w:space="0" w:color="auto"/>
              <w:left w:val="dotted" w:sz="4" w:space="0" w:color="auto"/>
              <w:bottom w:val="double" w:sz="4" w:space="0" w:color="auto"/>
              <w:right w:val="dotted" w:sz="4" w:space="0" w:color="auto"/>
            </w:tcBorders>
            <w:shd w:val="clear" w:color="auto" w:fill="auto"/>
          </w:tcPr>
          <w:p w14:paraId="7A8128DC"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c>
          <w:tcPr>
            <w:tcW w:w="1176" w:type="dxa"/>
            <w:tcBorders>
              <w:top w:val="dashSmallGap" w:sz="4" w:space="0" w:color="auto"/>
              <w:left w:val="dotted" w:sz="4" w:space="0" w:color="auto"/>
              <w:bottom w:val="double" w:sz="4" w:space="0" w:color="auto"/>
              <w:right w:val="double" w:sz="4" w:space="0" w:color="auto"/>
            </w:tcBorders>
            <w:shd w:val="clear" w:color="auto" w:fill="auto"/>
          </w:tcPr>
          <w:p w14:paraId="48097B41" w14:textId="77777777" w:rsidR="006F605B" w:rsidRPr="00DC66CD" w:rsidRDefault="006F605B" w:rsidP="00131DA1">
            <w:pPr>
              <w:spacing w:after="0" w:line="240" w:lineRule="auto"/>
              <w:jc w:val="center"/>
              <w:rPr>
                <w:rFonts w:ascii="Garamond" w:hAnsi="Garamond"/>
                <w:color w:val="0D0D0D" w:themeColor="text1" w:themeTint="F2"/>
                <w:sz w:val="20"/>
                <w:szCs w:val="20"/>
              </w:rPr>
            </w:pPr>
          </w:p>
        </w:tc>
      </w:tr>
    </w:tbl>
    <w:p w14:paraId="20E6A2D9" w14:textId="77777777" w:rsidR="006F605B" w:rsidRPr="00DC66CD" w:rsidRDefault="006F605B" w:rsidP="006F605B">
      <w:pPr>
        <w:snapToGrid w:val="0"/>
        <w:spacing w:after="0" w:line="240" w:lineRule="auto"/>
        <w:ind w:firstLine="284"/>
        <w:rPr>
          <w:rFonts w:ascii="Garamond" w:hAnsi="Garamond"/>
          <w:sz w:val="24"/>
          <w:szCs w:val="24"/>
        </w:rPr>
      </w:pPr>
    </w:p>
    <w:p w14:paraId="4B0232D4" w14:textId="77777777" w:rsidR="006F605B" w:rsidRPr="00DC66CD" w:rsidRDefault="006F605B" w:rsidP="006F605B">
      <w:pPr>
        <w:pStyle w:val="Heading2"/>
        <w:snapToGrid w:val="0"/>
        <w:spacing w:before="0" w:line="240" w:lineRule="auto"/>
        <w:ind w:firstLine="284"/>
        <w:rPr>
          <w:rFonts w:ascii="Garamond" w:hAnsi="Garamond"/>
          <w:color w:val="auto"/>
          <w:sz w:val="24"/>
          <w:szCs w:val="24"/>
        </w:rPr>
      </w:pPr>
      <w:bookmarkStart w:id="107" w:name="_Toc30661256"/>
      <w:r w:rsidRPr="00DC66CD">
        <w:rPr>
          <w:rFonts w:ascii="Garamond" w:hAnsi="Garamond"/>
          <w:color w:val="auto"/>
          <w:sz w:val="24"/>
          <w:szCs w:val="24"/>
        </w:rPr>
        <w:t>Tabela 10a: Kostot e masave të reformave strukturore</w:t>
      </w:r>
      <w:bookmarkEnd w:id="107"/>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683"/>
        <w:gridCol w:w="1684"/>
        <w:gridCol w:w="1684"/>
        <w:gridCol w:w="1684"/>
        <w:gridCol w:w="1941"/>
      </w:tblGrid>
      <w:tr w:rsidR="006F605B" w:rsidRPr="00DC66CD" w14:paraId="6949C472" w14:textId="77777777" w:rsidTr="00131DA1">
        <w:tc>
          <w:tcPr>
            <w:tcW w:w="9493" w:type="dxa"/>
            <w:gridSpan w:val="6"/>
            <w:shd w:val="clear" w:color="auto" w:fill="E5DFEC" w:themeFill="accent4" w:themeFillTint="33"/>
          </w:tcPr>
          <w:p w14:paraId="2E64BA3F"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01: Liberalizimi i mëtejshëm i tregut të energjisë</w:t>
            </w:r>
            <w:r w:rsidRPr="00DC66CD">
              <w:rPr>
                <w:rStyle w:val="FootnoteReference"/>
                <w:rFonts w:ascii="Garamond" w:hAnsi="Garamond"/>
                <w:b/>
                <w:sz w:val="20"/>
                <w:szCs w:val="20"/>
              </w:rPr>
              <w:footnoteReference w:id="71"/>
            </w:r>
          </w:p>
        </w:tc>
      </w:tr>
      <w:tr w:rsidR="006F605B" w:rsidRPr="00DC66CD" w14:paraId="6F45D393" w14:textId="77777777" w:rsidTr="004512E9">
        <w:tc>
          <w:tcPr>
            <w:tcW w:w="817" w:type="dxa"/>
            <w:vAlign w:val="center"/>
          </w:tcPr>
          <w:p w14:paraId="4E024725"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4870285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11C8598A"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4E1FC4F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33D5378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15BF845E"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40BCC73C" w14:textId="77777777" w:rsidTr="00131DA1">
        <w:tc>
          <w:tcPr>
            <w:tcW w:w="817" w:type="dxa"/>
          </w:tcPr>
          <w:p w14:paraId="64D2AEE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018CC18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FE99B0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FEC675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center"/>
          </w:tcPr>
          <w:p w14:paraId="7B44F16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vAlign w:val="center"/>
          </w:tcPr>
          <w:p w14:paraId="1EEE8DA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2616B594" w14:textId="77777777" w:rsidTr="00131DA1">
        <w:tc>
          <w:tcPr>
            <w:tcW w:w="817" w:type="dxa"/>
          </w:tcPr>
          <w:p w14:paraId="25342FE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5E1E61F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EA24C8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35DB4A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7CE9131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148DFC5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527BBFC8" w14:textId="77777777" w:rsidTr="00131DA1">
        <w:tc>
          <w:tcPr>
            <w:tcW w:w="817" w:type="dxa"/>
          </w:tcPr>
          <w:p w14:paraId="5040C109"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5F3A610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5DA9B69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52CF9A2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15979F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60A91AF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70794959"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624"/>
        <w:gridCol w:w="1648"/>
        <w:gridCol w:w="1661"/>
        <w:gridCol w:w="1656"/>
        <w:gridCol w:w="1888"/>
      </w:tblGrid>
      <w:tr w:rsidR="006F605B" w:rsidRPr="00DC66CD" w14:paraId="2D22EDB1" w14:textId="77777777" w:rsidTr="00131DA1">
        <w:tc>
          <w:tcPr>
            <w:tcW w:w="9493" w:type="dxa"/>
            <w:gridSpan w:val="6"/>
            <w:shd w:val="clear" w:color="auto" w:fill="E5DFEC" w:themeFill="accent4" w:themeFillTint="33"/>
          </w:tcPr>
          <w:p w14:paraId="77FFD889" w14:textId="4C0B67B0"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 xml:space="preserve">Masa e reformës 02: </w:t>
            </w:r>
            <w:r w:rsidRPr="00DC66CD">
              <w:rPr>
                <w:rFonts w:ascii="Garamond" w:hAnsi="Garamond"/>
                <w:b/>
                <w:color w:val="0D0D0D"/>
                <w:sz w:val="20"/>
                <w:szCs w:val="20"/>
              </w:rPr>
              <w:t xml:space="preserve">Diversifikimi i burimeve të energjisë përmes promovimit të burimeve të rinovueshme të energjisë dhe përmirësimi i </w:t>
            </w:r>
            <w:r w:rsidR="008403BE" w:rsidRPr="00DC66CD">
              <w:rPr>
                <w:rFonts w:ascii="Garamond" w:hAnsi="Garamond"/>
                <w:b/>
                <w:color w:val="0D0D0D"/>
                <w:sz w:val="20"/>
                <w:szCs w:val="20"/>
              </w:rPr>
              <w:t>eficienc</w:t>
            </w:r>
            <w:r w:rsidRPr="00DC66CD">
              <w:rPr>
                <w:rFonts w:ascii="Garamond" w:hAnsi="Garamond"/>
                <w:b/>
                <w:color w:val="0D0D0D"/>
                <w:sz w:val="20"/>
                <w:szCs w:val="20"/>
              </w:rPr>
              <w:t>ës së energjisë</w:t>
            </w:r>
          </w:p>
        </w:tc>
      </w:tr>
      <w:tr w:rsidR="006F605B" w:rsidRPr="00DC66CD" w14:paraId="2870F2C0" w14:textId="77777777" w:rsidTr="004512E9">
        <w:tc>
          <w:tcPr>
            <w:tcW w:w="817" w:type="dxa"/>
            <w:vAlign w:val="center"/>
          </w:tcPr>
          <w:p w14:paraId="300564C3"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59F74EED"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7F9BBBE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1483822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1424DCBA"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653474C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74B5D0AA" w14:textId="77777777" w:rsidTr="00131DA1">
        <w:tc>
          <w:tcPr>
            <w:tcW w:w="817" w:type="dxa"/>
          </w:tcPr>
          <w:p w14:paraId="101D7E4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56822B0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5ABA99F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345,227.80</w:t>
            </w:r>
          </w:p>
        </w:tc>
        <w:tc>
          <w:tcPr>
            <w:tcW w:w="1684" w:type="dxa"/>
          </w:tcPr>
          <w:p w14:paraId="43B094E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684E5B4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210FC2E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345,227.80</w:t>
            </w:r>
          </w:p>
        </w:tc>
      </w:tr>
      <w:tr w:rsidR="006F605B" w:rsidRPr="00DC66CD" w14:paraId="509768B3" w14:textId="77777777" w:rsidTr="00131DA1">
        <w:tc>
          <w:tcPr>
            <w:tcW w:w="817" w:type="dxa"/>
          </w:tcPr>
          <w:p w14:paraId="7E13106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3C6928F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29566F9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210,306.30</w:t>
            </w:r>
          </w:p>
        </w:tc>
        <w:tc>
          <w:tcPr>
            <w:tcW w:w="1684" w:type="dxa"/>
          </w:tcPr>
          <w:p w14:paraId="7402D89A"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2C3C7E5D" w14:textId="77777777" w:rsidR="006F605B" w:rsidRPr="00DC66CD" w:rsidRDefault="006F605B" w:rsidP="00131DA1">
            <w:pPr>
              <w:snapToGrid w:val="0"/>
              <w:spacing w:after="0" w:line="240" w:lineRule="auto"/>
              <w:jc w:val="right"/>
              <w:rPr>
                <w:rFonts w:ascii="Garamond" w:hAnsi="Garamond"/>
                <w:sz w:val="20"/>
                <w:szCs w:val="20"/>
              </w:rPr>
            </w:pPr>
          </w:p>
        </w:tc>
        <w:tc>
          <w:tcPr>
            <w:tcW w:w="1941" w:type="dxa"/>
          </w:tcPr>
          <w:p w14:paraId="27C8775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210,306.30</w:t>
            </w:r>
          </w:p>
        </w:tc>
      </w:tr>
      <w:tr w:rsidR="006F605B" w:rsidRPr="00DC66CD" w14:paraId="44A1BFBB" w14:textId="77777777" w:rsidTr="00131DA1">
        <w:tc>
          <w:tcPr>
            <w:tcW w:w="817" w:type="dxa"/>
          </w:tcPr>
          <w:p w14:paraId="5B986CEC"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0197880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2D4A5CC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108,097.29</w:t>
            </w:r>
          </w:p>
        </w:tc>
        <w:tc>
          <w:tcPr>
            <w:tcW w:w="1684" w:type="dxa"/>
          </w:tcPr>
          <w:p w14:paraId="18D5BE72"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5AF7E854" w14:textId="77777777" w:rsidR="006F605B" w:rsidRPr="00DC66CD" w:rsidRDefault="006F605B" w:rsidP="00131DA1">
            <w:pPr>
              <w:snapToGrid w:val="0"/>
              <w:spacing w:after="0" w:line="240" w:lineRule="auto"/>
              <w:jc w:val="right"/>
              <w:rPr>
                <w:rFonts w:ascii="Garamond" w:hAnsi="Garamond"/>
                <w:sz w:val="20"/>
                <w:szCs w:val="20"/>
              </w:rPr>
            </w:pPr>
          </w:p>
        </w:tc>
        <w:tc>
          <w:tcPr>
            <w:tcW w:w="1941" w:type="dxa"/>
          </w:tcPr>
          <w:p w14:paraId="7398B69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108,097.29</w:t>
            </w:r>
          </w:p>
        </w:tc>
      </w:tr>
    </w:tbl>
    <w:p w14:paraId="0C4552F6"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634"/>
        <w:gridCol w:w="1650"/>
        <w:gridCol w:w="1662"/>
        <w:gridCol w:w="1658"/>
        <w:gridCol w:w="1872"/>
      </w:tblGrid>
      <w:tr w:rsidR="006F605B" w:rsidRPr="00DC66CD" w14:paraId="55A580B8" w14:textId="77777777" w:rsidTr="00131DA1">
        <w:tc>
          <w:tcPr>
            <w:tcW w:w="9493" w:type="dxa"/>
            <w:gridSpan w:val="6"/>
            <w:shd w:val="clear" w:color="auto" w:fill="E5DFEC" w:themeFill="accent4" w:themeFillTint="33"/>
          </w:tcPr>
          <w:p w14:paraId="5A8C5BAA" w14:textId="143CF76B"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03: Rehabilitimi dhe ndërtimi i segmentit hekurudhor Durrës</w:t>
            </w:r>
            <w:r w:rsidR="0042617D" w:rsidRPr="00DC66CD">
              <w:rPr>
                <w:rFonts w:ascii="Garamond" w:hAnsi="Garamond"/>
                <w:b/>
                <w:sz w:val="20"/>
                <w:szCs w:val="20"/>
              </w:rPr>
              <w:t>–</w:t>
            </w:r>
            <w:r w:rsidRPr="00DC66CD">
              <w:rPr>
                <w:rFonts w:ascii="Garamond" w:hAnsi="Garamond"/>
                <w:b/>
                <w:sz w:val="20"/>
                <w:szCs w:val="20"/>
              </w:rPr>
              <w:t>Rinas</w:t>
            </w:r>
            <w:r w:rsidR="0042617D" w:rsidRPr="00DC66CD">
              <w:rPr>
                <w:rFonts w:ascii="Garamond" w:hAnsi="Garamond"/>
                <w:b/>
                <w:sz w:val="20"/>
                <w:szCs w:val="20"/>
              </w:rPr>
              <w:t>–</w:t>
            </w:r>
            <w:r w:rsidRPr="00DC66CD">
              <w:rPr>
                <w:rFonts w:ascii="Garamond" w:hAnsi="Garamond"/>
                <w:b/>
                <w:sz w:val="20"/>
                <w:szCs w:val="20"/>
              </w:rPr>
              <w:t>Tiranë</w:t>
            </w:r>
          </w:p>
        </w:tc>
      </w:tr>
      <w:tr w:rsidR="006F605B" w:rsidRPr="00DC66CD" w14:paraId="160C060C" w14:textId="77777777" w:rsidTr="004512E9">
        <w:tc>
          <w:tcPr>
            <w:tcW w:w="817" w:type="dxa"/>
            <w:vAlign w:val="center"/>
          </w:tcPr>
          <w:p w14:paraId="4947E54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6633340C"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r w:rsidRPr="00DC66CD">
              <w:rPr>
                <w:rStyle w:val="FootnoteReference"/>
                <w:rFonts w:ascii="Garamond" w:hAnsi="Garamond"/>
                <w:b/>
                <w:sz w:val="20"/>
                <w:szCs w:val="20"/>
              </w:rPr>
              <w:footnoteReference w:id="72"/>
            </w:r>
          </w:p>
        </w:tc>
        <w:tc>
          <w:tcPr>
            <w:tcW w:w="1684" w:type="dxa"/>
            <w:vAlign w:val="center"/>
          </w:tcPr>
          <w:p w14:paraId="5560A219"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77378EF1"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2973A90A"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5528B74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76284DB5" w14:textId="77777777" w:rsidTr="00131DA1">
        <w:tc>
          <w:tcPr>
            <w:tcW w:w="817" w:type="dxa"/>
          </w:tcPr>
          <w:p w14:paraId="6650B95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41E46880"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7289BB0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69.8</w:t>
            </w:r>
          </w:p>
        </w:tc>
        <w:tc>
          <w:tcPr>
            <w:tcW w:w="1684" w:type="dxa"/>
          </w:tcPr>
          <w:p w14:paraId="28DA100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3.72</w:t>
            </w:r>
          </w:p>
        </w:tc>
        <w:tc>
          <w:tcPr>
            <w:tcW w:w="1684" w:type="dxa"/>
          </w:tcPr>
          <w:p w14:paraId="50A4E36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6.06</w:t>
            </w:r>
          </w:p>
        </w:tc>
        <w:tc>
          <w:tcPr>
            <w:tcW w:w="1941" w:type="dxa"/>
          </w:tcPr>
          <w:p w14:paraId="60B40B7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79.58</w:t>
            </w:r>
          </w:p>
        </w:tc>
      </w:tr>
      <w:tr w:rsidR="006F605B" w:rsidRPr="00DC66CD" w14:paraId="67C38605" w14:textId="77777777" w:rsidTr="00131DA1">
        <w:tc>
          <w:tcPr>
            <w:tcW w:w="817" w:type="dxa"/>
          </w:tcPr>
          <w:p w14:paraId="033A208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67FE939D"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2C71CD3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24D9DBD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0.87</w:t>
            </w:r>
          </w:p>
        </w:tc>
        <w:tc>
          <w:tcPr>
            <w:tcW w:w="1684" w:type="dxa"/>
          </w:tcPr>
          <w:p w14:paraId="54D4B24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5.00</w:t>
            </w:r>
          </w:p>
        </w:tc>
        <w:tc>
          <w:tcPr>
            <w:tcW w:w="1941" w:type="dxa"/>
          </w:tcPr>
          <w:p w14:paraId="7EC85DC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5.87</w:t>
            </w:r>
          </w:p>
        </w:tc>
      </w:tr>
      <w:tr w:rsidR="006F605B" w:rsidRPr="00DC66CD" w14:paraId="3A20214B" w14:textId="77777777" w:rsidTr="00131DA1">
        <w:tc>
          <w:tcPr>
            <w:tcW w:w="817" w:type="dxa"/>
          </w:tcPr>
          <w:p w14:paraId="52F95418"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421BF43C"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457581A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7FAE38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7EF80E1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5.00</w:t>
            </w:r>
          </w:p>
        </w:tc>
        <w:tc>
          <w:tcPr>
            <w:tcW w:w="1941" w:type="dxa"/>
          </w:tcPr>
          <w:p w14:paraId="0D420E0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5.00</w:t>
            </w:r>
          </w:p>
        </w:tc>
      </w:tr>
    </w:tbl>
    <w:p w14:paraId="7DAA076B"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628"/>
        <w:gridCol w:w="1651"/>
        <w:gridCol w:w="1662"/>
        <w:gridCol w:w="1658"/>
        <w:gridCol w:w="1876"/>
      </w:tblGrid>
      <w:tr w:rsidR="006F605B" w:rsidRPr="00DC66CD" w14:paraId="2F20A8B4" w14:textId="77777777" w:rsidTr="00131DA1">
        <w:tc>
          <w:tcPr>
            <w:tcW w:w="9493" w:type="dxa"/>
            <w:gridSpan w:val="6"/>
            <w:shd w:val="clear" w:color="auto" w:fill="E5DFEC" w:themeFill="accent4" w:themeFillTint="33"/>
          </w:tcPr>
          <w:p w14:paraId="7EEB9784"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04: Defragmentimi dhe konsolidimi i tokës bujqësore</w:t>
            </w:r>
          </w:p>
        </w:tc>
      </w:tr>
      <w:tr w:rsidR="006F605B" w:rsidRPr="00DC66CD" w14:paraId="50207815" w14:textId="77777777" w:rsidTr="004512E9">
        <w:tc>
          <w:tcPr>
            <w:tcW w:w="817" w:type="dxa"/>
            <w:vAlign w:val="center"/>
          </w:tcPr>
          <w:p w14:paraId="12F4BDB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521EAB0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7D95444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62692BDC"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77C48FA1"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4AC7053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6D7A999B" w14:textId="77777777" w:rsidTr="00131DA1">
        <w:tc>
          <w:tcPr>
            <w:tcW w:w="817" w:type="dxa"/>
          </w:tcPr>
          <w:p w14:paraId="08AB9AB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3A5A42B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9880</w:t>
            </w:r>
          </w:p>
        </w:tc>
        <w:tc>
          <w:tcPr>
            <w:tcW w:w="1684" w:type="dxa"/>
          </w:tcPr>
          <w:p w14:paraId="33BDDB64"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242915</w:t>
            </w:r>
          </w:p>
        </w:tc>
        <w:tc>
          <w:tcPr>
            <w:tcW w:w="1684" w:type="dxa"/>
          </w:tcPr>
          <w:p w14:paraId="159669AA"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46606C89"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161943</w:t>
            </w:r>
          </w:p>
        </w:tc>
        <w:tc>
          <w:tcPr>
            <w:tcW w:w="1941" w:type="dxa"/>
          </w:tcPr>
          <w:p w14:paraId="7C308C12"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414738</w:t>
            </w:r>
          </w:p>
        </w:tc>
      </w:tr>
      <w:tr w:rsidR="006F605B" w:rsidRPr="00DC66CD" w14:paraId="46EA5A28" w14:textId="77777777" w:rsidTr="00131DA1">
        <w:tc>
          <w:tcPr>
            <w:tcW w:w="817" w:type="dxa"/>
          </w:tcPr>
          <w:p w14:paraId="1363ADF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7214E04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9880</w:t>
            </w:r>
          </w:p>
        </w:tc>
        <w:tc>
          <w:tcPr>
            <w:tcW w:w="1684" w:type="dxa"/>
          </w:tcPr>
          <w:p w14:paraId="25ECC296"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251012</w:t>
            </w:r>
          </w:p>
        </w:tc>
        <w:tc>
          <w:tcPr>
            <w:tcW w:w="1684" w:type="dxa"/>
          </w:tcPr>
          <w:p w14:paraId="06F1B05D"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01079849" w14:textId="77777777" w:rsidR="006F605B" w:rsidRPr="00DC66CD" w:rsidRDefault="006F605B" w:rsidP="00131DA1">
            <w:pPr>
              <w:snapToGrid w:val="0"/>
              <w:spacing w:after="0" w:line="240" w:lineRule="auto"/>
              <w:jc w:val="right"/>
              <w:rPr>
                <w:rFonts w:ascii="Garamond" w:hAnsi="Garamond"/>
                <w:sz w:val="20"/>
                <w:szCs w:val="20"/>
              </w:rPr>
            </w:pPr>
          </w:p>
        </w:tc>
        <w:tc>
          <w:tcPr>
            <w:tcW w:w="1941" w:type="dxa"/>
          </w:tcPr>
          <w:p w14:paraId="1B69DA5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260892</w:t>
            </w:r>
          </w:p>
        </w:tc>
      </w:tr>
      <w:tr w:rsidR="006F605B" w:rsidRPr="00DC66CD" w14:paraId="330FC148" w14:textId="77777777" w:rsidTr="00131DA1">
        <w:tc>
          <w:tcPr>
            <w:tcW w:w="817" w:type="dxa"/>
          </w:tcPr>
          <w:p w14:paraId="27917CF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1375174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9880</w:t>
            </w:r>
          </w:p>
        </w:tc>
        <w:tc>
          <w:tcPr>
            <w:tcW w:w="1684" w:type="dxa"/>
          </w:tcPr>
          <w:p w14:paraId="0E0BEEE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255061</w:t>
            </w:r>
          </w:p>
        </w:tc>
        <w:tc>
          <w:tcPr>
            <w:tcW w:w="1684" w:type="dxa"/>
          </w:tcPr>
          <w:p w14:paraId="7AD97034"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02B27BFF" w14:textId="77777777" w:rsidR="006F605B" w:rsidRPr="00DC66CD" w:rsidRDefault="006F605B" w:rsidP="00131DA1">
            <w:pPr>
              <w:snapToGrid w:val="0"/>
              <w:spacing w:after="0" w:line="240" w:lineRule="auto"/>
              <w:jc w:val="right"/>
              <w:rPr>
                <w:rFonts w:ascii="Garamond" w:hAnsi="Garamond"/>
                <w:sz w:val="20"/>
                <w:szCs w:val="20"/>
              </w:rPr>
            </w:pPr>
          </w:p>
        </w:tc>
        <w:tc>
          <w:tcPr>
            <w:tcW w:w="1941" w:type="dxa"/>
          </w:tcPr>
          <w:p w14:paraId="144B97EB" w14:textId="77777777" w:rsidR="006F605B" w:rsidRPr="00DC66CD" w:rsidRDefault="006F605B" w:rsidP="00131DA1">
            <w:pPr>
              <w:spacing w:after="0" w:line="240" w:lineRule="auto"/>
              <w:jc w:val="right"/>
              <w:rPr>
                <w:rFonts w:ascii="Garamond" w:hAnsi="Garamond"/>
                <w:sz w:val="20"/>
                <w:szCs w:val="20"/>
              </w:rPr>
            </w:pPr>
            <w:r w:rsidRPr="00DC66CD">
              <w:rPr>
                <w:rFonts w:ascii="Garamond" w:hAnsi="Garamond"/>
                <w:sz w:val="20"/>
                <w:szCs w:val="20"/>
              </w:rPr>
              <w:t>264941</w:t>
            </w:r>
          </w:p>
        </w:tc>
      </w:tr>
    </w:tbl>
    <w:p w14:paraId="7E76A664"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630"/>
        <w:gridCol w:w="1647"/>
        <w:gridCol w:w="1660"/>
        <w:gridCol w:w="1655"/>
        <w:gridCol w:w="1886"/>
      </w:tblGrid>
      <w:tr w:rsidR="006F605B" w:rsidRPr="00DC66CD" w14:paraId="5B2A80FA" w14:textId="77777777" w:rsidTr="00131DA1">
        <w:tc>
          <w:tcPr>
            <w:tcW w:w="9493" w:type="dxa"/>
            <w:gridSpan w:val="6"/>
            <w:shd w:val="clear" w:color="auto" w:fill="E5DFEC" w:themeFill="accent4" w:themeFillTint="33"/>
          </w:tcPr>
          <w:p w14:paraId="28DA5639"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05: Reforme e sektorit të ujësjellës-kanalizimeve</w:t>
            </w:r>
          </w:p>
        </w:tc>
      </w:tr>
      <w:tr w:rsidR="006F605B" w:rsidRPr="00DC66CD" w14:paraId="532A1957" w14:textId="77777777" w:rsidTr="004512E9">
        <w:tc>
          <w:tcPr>
            <w:tcW w:w="817" w:type="dxa"/>
            <w:vAlign w:val="center"/>
          </w:tcPr>
          <w:p w14:paraId="08A2E079"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6B8A39C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30D76D7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539071A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67662A8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557A62B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0534CC7D" w14:textId="77777777" w:rsidTr="00131DA1">
        <w:tc>
          <w:tcPr>
            <w:tcW w:w="817" w:type="dxa"/>
          </w:tcPr>
          <w:p w14:paraId="111AF90C"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52D0FE0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416,667</w:t>
            </w:r>
          </w:p>
        </w:tc>
        <w:tc>
          <w:tcPr>
            <w:tcW w:w="1684" w:type="dxa"/>
          </w:tcPr>
          <w:p w14:paraId="36AF178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345,833</w:t>
            </w:r>
          </w:p>
        </w:tc>
        <w:tc>
          <w:tcPr>
            <w:tcW w:w="1684" w:type="dxa"/>
          </w:tcPr>
          <w:p w14:paraId="7625A77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3,333,333</w:t>
            </w:r>
          </w:p>
        </w:tc>
        <w:tc>
          <w:tcPr>
            <w:tcW w:w="1684" w:type="dxa"/>
          </w:tcPr>
          <w:p w14:paraId="1D95BCB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85,267,167</w:t>
            </w:r>
          </w:p>
        </w:tc>
        <w:tc>
          <w:tcPr>
            <w:tcW w:w="1941" w:type="dxa"/>
          </w:tcPr>
          <w:p w14:paraId="1475C5E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89,363,000</w:t>
            </w:r>
          </w:p>
        </w:tc>
      </w:tr>
      <w:tr w:rsidR="006F605B" w:rsidRPr="00DC66CD" w14:paraId="459F6EC5" w14:textId="77777777" w:rsidTr="00131DA1">
        <w:tc>
          <w:tcPr>
            <w:tcW w:w="817" w:type="dxa"/>
          </w:tcPr>
          <w:p w14:paraId="55958E08"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6576B2B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416,667</w:t>
            </w:r>
          </w:p>
        </w:tc>
        <w:tc>
          <w:tcPr>
            <w:tcW w:w="1684" w:type="dxa"/>
          </w:tcPr>
          <w:p w14:paraId="15B28F8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345,833</w:t>
            </w:r>
          </w:p>
        </w:tc>
        <w:tc>
          <w:tcPr>
            <w:tcW w:w="1684" w:type="dxa"/>
          </w:tcPr>
          <w:p w14:paraId="7E38728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3,333,333</w:t>
            </w:r>
          </w:p>
        </w:tc>
        <w:tc>
          <w:tcPr>
            <w:tcW w:w="1684" w:type="dxa"/>
          </w:tcPr>
          <w:p w14:paraId="568F5C8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93,885,750</w:t>
            </w:r>
          </w:p>
        </w:tc>
        <w:tc>
          <w:tcPr>
            <w:tcW w:w="1941" w:type="dxa"/>
          </w:tcPr>
          <w:p w14:paraId="54DD374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94,648,250</w:t>
            </w:r>
          </w:p>
        </w:tc>
      </w:tr>
      <w:tr w:rsidR="006F605B" w:rsidRPr="00DC66CD" w14:paraId="6A500516" w14:textId="77777777" w:rsidTr="00131DA1">
        <w:tc>
          <w:tcPr>
            <w:tcW w:w="817" w:type="dxa"/>
          </w:tcPr>
          <w:p w14:paraId="106967B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36BBA8E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416,667</w:t>
            </w:r>
          </w:p>
        </w:tc>
        <w:tc>
          <w:tcPr>
            <w:tcW w:w="1684" w:type="dxa"/>
          </w:tcPr>
          <w:p w14:paraId="584B50D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345,833</w:t>
            </w:r>
          </w:p>
        </w:tc>
        <w:tc>
          <w:tcPr>
            <w:tcW w:w="1684" w:type="dxa"/>
          </w:tcPr>
          <w:p w14:paraId="5C69981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3,333,333</w:t>
            </w:r>
          </w:p>
        </w:tc>
        <w:tc>
          <w:tcPr>
            <w:tcW w:w="1684" w:type="dxa"/>
          </w:tcPr>
          <w:p w14:paraId="59FD26A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95,719,083</w:t>
            </w:r>
          </w:p>
        </w:tc>
        <w:tc>
          <w:tcPr>
            <w:tcW w:w="1941" w:type="dxa"/>
          </w:tcPr>
          <w:p w14:paraId="5FC02B7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99,814,916</w:t>
            </w:r>
          </w:p>
        </w:tc>
      </w:tr>
    </w:tbl>
    <w:p w14:paraId="1AE0182D"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629"/>
        <w:gridCol w:w="1651"/>
        <w:gridCol w:w="1663"/>
        <w:gridCol w:w="1658"/>
        <w:gridCol w:w="1874"/>
      </w:tblGrid>
      <w:tr w:rsidR="006F605B" w:rsidRPr="00DC66CD" w14:paraId="4B39AC75" w14:textId="77777777" w:rsidTr="00131DA1">
        <w:tc>
          <w:tcPr>
            <w:tcW w:w="9493" w:type="dxa"/>
            <w:gridSpan w:val="6"/>
            <w:shd w:val="clear" w:color="auto" w:fill="E5DFEC" w:themeFill="accent4" w:themeFillTint="33"/>
          </w:tcPr>
          <w:p w14:paraId="220C4181"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06: Rritja e standardeve të shërbimeve në sektorin e turizmit</w:t>
            </w:r>
          </w:p>
        </w:tc>
      </w:tr>
      <w:tr w:rsidR="006F605B" w:rsidRPr="00DC66CD" w14:paraId="36947C55" w14:textId="77777777" w:rsidTr="004512E9">
        <w:tc>
          <w:tcPr>
            <w:tcW w:w="817" w:type="dxa"/>
            <w:vAlign w:val="center"/>
          </w:tcPr>
          <w:p w14:paraId="7E99DFFD"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7032E4C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6B80318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2FFA37D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2D3D9E9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2FFA762D"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7E3CEA67" w14:textId="77777777" w:rsidTr="00131DA1">
        <w:tc>
          <w:tcPr>
            <w:tcW w:w="817" w:type="dxa"/>
          </w:tcPr>
          <w:p w14:paraId="7972968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3C04B3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1B6ABB3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689DF80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center"/>
          </w:tcPr>
          <w:p w14:paraId="0F4077A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vAlign w:val="center"/>
          </w:tcPr>
          <w:p w14:paraId="373B6FC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709FC819" w14:textId="77777777" w:rsidTr="00131DA1">
        <w:tc>
          <w:tcPr>
            <w:tcW w:w="817" w:type="dxa"/>
          </w:tcPr>
          <w:p w14:paraId="01F976F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5A54C96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1BF43B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2194D4E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65B7DE6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59DC39B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7E91BCB7" w14:textId="77777777" w:rsidTr="00131DA1">
        <w:tc>
          <w:tcPr>
            <w:tcW w:w="817" w:type="dxa"/>
          </w:tcPr>
          <w:p w14:paraId="3CCC4904"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0419E18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6FED4E3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7DDF1FF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73DB6F7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445150B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3801A294"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627"/>
        <w:gridCol w:w="1650"/>
        <w:gridCol w:w="1662"/>
        <w:gridCol w:w="1657"/>
        <w:gridCol w:w="1880"/>
      </w:tblGrid>
      <w:tr w:rsidR="006F605B" w:rsidRPr="00DC66CD" w14:paraId="36F4BB88" w14:textId="77777777" w:rsidTr="00131DA1">
        <w:tc>
          <w:tcPr>
            <w:tcW w:w="9493" w:type="dxa"/>
            <w:gridSpan w:val="6"/>
            <w:shd w:val="clear" w:color="auto" w:fill="E5DFEC" w:themeFill="accent4" w:themeFillTint="33"/>
          </w:tcPr>
          <w:p w14:paraId="31C6E966"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07: Reforma e taksës së pasurisë dhe krijimi i kadastrës fiskale</w:t>
            </w:r>
          </w:p>
        </w:tc>
      </w:tr>
      <w:tr w:rsidR="006F605B" w:rsidRPr="00DC66CD" w14:paraId="278C422D" w14:textId="77777777" w:rsidTr="004512E9">
        <w:tc>
          <w:tcPr>
            <w:tcW w:w="817" w:type="dxa"/>
            <w:vAlign w:val="center"/>
          </w:tcPr>
          <w:p w14:paraId="65CB2333"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3D1250B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02AF599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1C0DD3C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59821072"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6DBDDB2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457F5168" w14:textId="77777777" w:rsidTr="00131DA1">
        <w:tc>
          <w:tcPr>
            <w:tcW w:w="817" w:type="dxa"/>
          </w:tcPr>
          <w:p w14:paraId="4AD3936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31CA0B0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24192</w:t>
            </w:r>
          </w:p>
        </w:tc>
        <w:tc>
          <w:tcPr>
            <w:tcW w:w="1684" w:type="dxa"/>
          </w:tcPr>
          <w:p w14:paraId="2F1662D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1300000</w:t>
            </w:r>
          </w:p>
        </w:tc>
        <w:tc>
          <w:tcPr>
            <w:tcW w:w="1684" w:type="dxa"/>
          </w:tcPr>
          <w:p w14:paraId="08D999C9"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1EED6DCB" w14:textId="77777777" w:rsidR="006F605B" w:rsidRPr="00DC66CD" w:rsidRDefault="006F605B" w:rsidP="00131DA1">
            <w:pPr>
              <w:snapToGrid w:val="0"/>
              <w:spacing w:after="0" w:line="240" w:lineRule="auto"/>
              <w:jc w:val="right"/>
              <w:rPr>
                <w:rFonts w:ascii="Garamond" w:hAnsi="Garamond"/>
                <w:sz w:val="20"/>
                <w:szCs w:val="20"/>
              </w:rPr>
            </w:pPr>
          </w:p>
        </w:tc>
        <w:tc>
          <w:tcPr>
            <w:tcW w:w="1941" w:type="dxa"/>
          </w:tcPr>
          <w:p w14:paraId="1599B9F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1324192</w:t>
            </w:r>
          </w:p>
        </w:tc>
      </w:tr>
      <w:tr w:rsidR="006F605B" w:rsidRPr="00DC66CD" w14:paraId="5A515D9F" w14:textId="77777777" w:rsidTr="00131DA1">
        <w:tc>
          <w:tcPr>
            <w:tcW w:w="817" w:type="dxa"/>
          </w:tcPr>
          <w:p w14:paraId="4062CA1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28F0916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24192</w:t>
            </w:r>
          </w:p>
        </w:tc>
        <w:tc>
          <w:tcPr>
            <w:tcW w:w="1684" w:type="dxa"/>
          </w:tcPr>
          <w:p w14:paraId="3005FDB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1000000</w:t>
            </w:r>
          </w:p>
        </w:tc>
        <w:tc>
          <w:tcPr>
            <w:tcW w:w="1684" w:type="dxa"/>
          </w:tcPr>
          <w:p w14:paraId="70E3609F"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tcPr>
          <w:p w14:paraId="5DFE995D" w14:textId="77777777" w:rsidR="006F605B" w:rsidRPr="00DC66CD" w:rsidRDefault="006F605B" w:rsidP="00131DA1">
            <w:pPr>
              <w:snapToGrid w:val="0"/>
              <w:spacing w:after="0" w:line="240" w:lineRule="auto"/>
              <w:jc w:val="right"/>
              <w:rPr>
                <w:rFonts w:ascii="Garamond" w:hAnsi="Garamond"/>
                <w:sz w:val="20"/>
                <w:szCs w:val="20"/>
              </w:rPr>
            </w:pPr>
          </w:p>
        </w:tc>
        <w:tc>
          <w:tcPr>
            <w:tcW w:w="1941" w:type="dxa"/>
          </w:tcPr>
          <w:p w14:paraId="0B4E6A5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1024192</w:t>
            </w:r>
          </w:p>
        </w:tc>
      </w:tr>
    </w:tbl>
    <w:p w14:paraId="7E817F70"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629"/>
        <w:gridCol w:w="1651"/>
        <w:gridCol w:w="1663"/>
        <w:gridCol w:w="1658"/>
        <w:gridCol w:w="1874"/>
      </w:tblGrid>
      <w:tr w:rsidR="006F605B" w:rsidRPr="00DC66CD" w14:paraId="11652CE4" w14:textId="77777777" w:rsidTr="00131DA1">
        <w:tc>
          <w:tcPr>
            <w:tcW w:w="9493" w:type="dxa"/>
            <w:gridSpan w:val="6"/>
            <w:shd w:val="clear" w:color="auto" w:fill="E5DFEC" w:themeFill="accent4" w:themeFillTint="33"/>
          </w:tcPr>
          <w:p w14:paraId="4902F45B"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 xml:space="preserve">Masa e reformës 08: Zhvillimi i kuadrit ligjor në mbështetje të </w:t>
            </w:r>
            <w:r w:rsidRPr="00DC66CD">
              <w:rPr>
                <w:rFonts w:ascii="Garamond" w:hAnsi="Garamond"/>
                <w:b/>
                <w:i/>
                <w:sz w:val="20"/>
                <w:szCs w:val="20"/>
              </w:rPr>
              <w:t>start up inovative</w:t>
            </w:r>
          </w:p>
        </w:tc>
      </w:tr>
      <w:tr w:rsidR="006F605B" w:rsidRPr="00DC66CD" w14:paraId="35CFC557" w14:textId="77777777" w:rsidTr="004512E9">
        <w:tc>
          <w:tcPr>
            <w:tcW w:w="817" w:type="dxa"/>
            <w:vAlign w:val="center"/>
          </w:tcPr>
          <w:p w14:paraId="7177D48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1D215DF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241EB09D"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486A2F62"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2CA88CD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5930879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33FB8456" w14:textId="77777777" w:rsidTr="00131DA1">
        <w:tc>
          <w:tcPr>
            <w:tcW w:w="817" w:type="dxa"/>
          </w:tcPr>
          <w:p w14:paraId="7ED267A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68DE813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3B0F692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5941DF0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center"/>
          </w:tcPr>
          <w:p w14:paraId="4F15CB8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vAlign w:val="center"/>
          </w:tcPr>
          <w:p w14:paraId="122F19C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71619450" w14:textId="77777777" w:rsidTr="00131DA1">
        <w:tc>
          <w:tcPr>
            <w:tcW w:w="817" w:type="dxa"/>
          </w:tcPr>
          <w:p w14:paraId="5310A9D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414F70D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1FA8F7F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303DB55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A62B90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4861F78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27D550FB" w14:textId="77777777" w:rsidTr="00131DA1">
        <w:tc>
          <w:tcPr>
            <w:tcW w:w="817" w:type="dxa"/>
          </w:tcPr>
          <w:p w14:paraId="4783A99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210DC85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28CAA9B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1DC8BC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4E9EAD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1CE211E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3D906CC3"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630"/>
        <w:gridCol w:w="1651"/>
        <w:gridCol w:w="1662"/>
        <w:gridCol w:w="1658"/>
        <w:gridCol w:w="1874"/>
      </w:tblGrid>
      <w:tr w:rsidR="006F605B" w:rsidRPr="00DC66CD" w14:paraId="401003DF" w14:textId="77777777" w:rsidTr="00131DA1">
        <w:tc>
          <w:tcPr>
            <w:tcW w:w="9493" w:type="dxa"/>
            <w:gridSpan w:val="6"/>
            <w:shd w:val="clear" w:color="auto" w:fill="E5DFEC" w:themeFill="accent4" w:themeFillTint="33"/>
          </w:tcPr>
          <w:p w14:paraId="68A9402E"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09: Përmirësimi i aksesit në financë për NVM-të</w:t>
            </w:r>
          </w:p>
        </w:tc>
      </w:tr>
      <w:tr w:rsidR="006F605B" w:rsidRPr="00DC66CD" w14:paraId="37A68783" w14:textId="77777777" w:rsidTr="004512E9">
        <w:tc>
          <w:tcPr>
            <w:tcW w:w="817" w:type="dxa"/>
            <w:vAlign w:val="center"/>
          </w:tcPr>
          <w:p w14:paraId="41714FB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330BE0D2"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69BC9AC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0389960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504CB7E5"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2A37BEFC"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50BFDA22" w14:textId="77777777" w:rsidTr="00131DA1">
        <w:tc>
          <w:tcPr>
            <w:tcW w:w="817" w:type="dxa"/>
          </w:tcPr>
          <w:p w14:paraId="0AA98EC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25D60D4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c>
          <w:tcPr>
            <w:tcW w:w="1684" w:type="dxa"/>
            <w:vAlign w:val="bottom"/>
          </w:tcPr>
          <w:p w14:paraId="1FC8391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0</w:t>
            </w:r>
          </w:p>
        </w:tc>
        <w:tc>
          <w:tcPr>
            <w:tcW w:w="1684" w:type="dxa"/>
            <w:vAlign w:val="bottom"/>
          </w:tcPr>
          <w:p w14:paraId="5F43924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0</w:t>
            </w:r>
          </w:p>
        </w:tc>
        <w:tc>
          <w:tcPr>
            <w:tcW w:w="1684" w:type="dxa"/>
            <w:vAlign w:val="bottom"/>
          </w:tcPr>
          <w:p w14:paraId="3E4EB27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0</w:t>
            </w:r>
          </w:p>
        </w:tc>
        <w:tc>
          <w:tcPr>
            <w:tcW w:w="1941" w:type="dxa"/>
          </w:tcPr>
          <w:p w14:paraId="6C21337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r>
      <w:tr w:rsidR="006F605B" w:rsidRPr="00DC66CD" w14:paraId="7E8408F8" w14:textId="77777777" w:rsidTr="00131DA1">
        <w:tc>
          <w:tcPr>
            <w:tcW w:w="817" w:type="dxa"/>
          </w:tcPr>
          <w:p w14:paraId="6B2020E4"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4A9AC32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c>
          <w:tcPr>
            <w:tcW w:w="1684" w:type="dxa"/>
            <w:vAlign w:val="bottom"/>
          </w:tcPr>
          <w:p w14:paraId="2E3DF14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0</w:t>
            </w:r>
          </w:p>
        </w:tc>
        <w:tc>
          <w:tcPr>
            <w:tcW w:w="1684" w:type="dxa"/>
            <w:vAlign w:val="bottom"/>
          </w:tcPr>
          <w:p w14:paraId="195F2F6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0</w:t>
            </w:r>
          </w:p>
        </w:tc>
        <w:tc>
          <w:tcPr>
            <w:tcW w:w="1684" w:type="dxa"/>
            <w:vAlign w:val="bottom"/>
          </w:tcPr>
          <w:p w14:paraId="73A9613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0</w:t>
            </w:r>
          </w:p>
        </w:tc>
        <w:tc>
          <w:tcPr>
            <w:tcW w:w="1941" w:type="dxa"/>
          </w:tcPr>
          <w:p w14:paraId="440492E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r>
      <w:tr w:rsidR="006F605B" w:rsidRPr="00DC66CD" w14:paraId="7BF15616" w14:textId="77777777" w:rsidTr="00131DA1">
        <w:tc>
          <w:tcPr>
            <w:tcW w:w="817" w:type="dxa"/>
          </w:tcPr>
          <w:p w14:paraId="2A5911A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3605E0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c>
          <w:tcPr>
            <w:tcW w:w="1684" w:type="dxa"/>
            <w:vAlign w:val="bottom"/>
          </w:tcPr>
          <w:p w14:paraId="1A860D4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0</w:t>
            </w:r>
          </w:p>
        </w:tc>
        <w:tc>
          <w:tcPr>
            <w:tcW w:w="1684" w:type="dxa"/>
            <w:vAlign w:val="bottom"/>
          </w:tcPr>
          <w:p w14:paraId="23B7F90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0</w:t>
            </w:r>
          </w:p>
        </w:tc>
        <w:tc>
          <w:tcPr>
            <w:tcW w:w="1684" w:type="dxa"/>
            <w:vAlign w:val="bottom"/>
          </w:tcPr>
          <w:p w14:paraId="63D9E0D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0</w:t>
            </w:r>
          </w:p>
        </w:tc>
        <w:tc>
          <w:tcPr>
            <w:tcW w:w="1941" w:type="dxa"/>
          </w:tcPr>
          <w:p w14:paraId="389309F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r>
    </w:tbl>
    <w:p w14:paraId="74808DA3"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629"/>
        <w:gridCol w:w="1651"/>
        <w:gridCol w:w="1663"/>
        <w:gridCol w:w="1658"/>
        <w:gridCol w:w="1874"/>
      </w:tblGrid>
      <w:tr w:rsidR="006F605B" w:rsidRPr="00DC66CD" w14:paraId="1ABFDF0D" w14:textId="77777777" w:rsidTr="004512E9">
        <w:tc>
          <w:tcPr>
            <w:tcW w:w="9493" w:type="dxa"/>
            <w:gridSpan w:val="6"/>
            <w:shd w:val="clear" w:color="auto" w:fill="E5DFEC" w:themeFill="accent4" w:themeFillTint="33"/>
            <w:vAlign w:val="center"/>
          </w:tcPr>
          <w:p w14:paraId="02C6ABF7" w14:textId="77777777" w:rsidR="006F605B" w:rsidRPr="00DC66CD" w:rsidRDefault="006F605B" w:rsidP="004512E9">
            <w:pPr>
              <w:snapToGrid w:val="0"/>
              <w:spacing w:after="0" w:line="240" w:lineRule="auto"/>
              <w:rPr>
                <w:rFonts w:ascii="Garamond" w:hAnsi="Garamond"/>
                <w:b/>
                <w:sz w:val="20"/>
                <w:szCs w:val="20"/>
              </w:rPr>
            </w:pPr>
            <w:r w:rsidRPr="00DC66CD">
              <w:rPr>
                <w:rFonts w:ascii="Garamond" w:hAnsi="Garamond"/>
                <w:b/>
                <w:sz w:val="20"/>
                <w:szCs w:val="20"/>
              </w:rPr>
              <w:t xml:space="preserve">Masa e reformës 10: Modernizimi i instrumenteve të pagesave </w:t>
            </w:r>
            <w:r w:rsidRPr="00DC66CD">
              <w:rPr>
                <w:rFonts w:ascii="Garamond" w:hAnsi="Garamond"/>
                <w:b/>
                <w:i/>
                <w:sz w:val="20"/>
                <w:szCs w:val="20"/>
              </w:rPr>
              <w:t>retail</w:t>
            </w:r>
          </w:p>
        </w:tc>
      </w:tr>
      <w:tr w:rsidR="006F605B" w:rsidRPr="00DC66CD" w14:paraId="42230BF5" w14:textId="77777777" w:rsidTr="004512E9">
        <w:tc>
          <w:tcPr>
            <w:tcW w:w="817" w:type="dxa"/>
            <w:vAlign w:val="center"/>
          </w:tcPr>
          <w:p w14:paraId="4DDCB1A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2698C39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4D9442DC"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4BD5C4F1"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62F1354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5A95DBED"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59455342" w14:textId="77777777" w:rsidTr="00131DA1">
        <w:tc>
          <w:tcPr>
            <w:tcW w:w="817" w:type="dxa"/>
          </w:tcPr>
          <w:p w14:paraId="558E8F5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591D040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931103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7A48996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E31C27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65FDEBA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713BB686" w14:textId="77777777" w:rsidTr="00131DA1">
        <w:tc>
          <w:tcPr>
            <w:tcW w:w="817" w:type="dxa"/>
          </w:tcPr>
          <w:p w14:paraId="5397E7A9"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059F32B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76839D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47EE36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12E62C5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234034F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0F7FA226" w14:textId="77777777" w:rsidTr="00131DA1">
        <w:tc>
          <w:tcPr>
            <w:tcW w:w="817" w:type="dxa"/>
          </w:tcPr>
          <w:p w14:paraId="1AD61CA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2315205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7C86408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566919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AEB8B1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0943F7A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2E7C4A4C"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629"/>
        <w:gridCol w:w="1651"/>
        <w:gridCol w:w="1663"/>
        <w:gridCol w:w="1658"/>
        <w:gridCol w:w="1874"/>
      </w:tblGrid>
      <w:tr w:rsidR="006F605B" w:rsidRPr="00DC66CD" w14:paraId="01413256" w14:textId="77777777" w:rsidTr="00131DA1">
        <w:tc>
          <w:tcPr>
            <w:tcW w:w="9493" w:type="dxa"/>
            <w:gridSpan w:val="6"/>
            <w:shd w:val="clear" w:color="auto" w:fill="E5DFEC" w:themeFill="accent4" w:themeFillTint="33"/>
          </w:tcPr>
          <w:p w14:paraId="713B0BD1"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11: Përmirësimi i kapaciteteve institucionale të sistemit të kërkimit dhe inovacionit</w:t>
            </w:r>
          </w:p>
        </w:tc>
      </w:tr>
      <w:tr w:rsidR="006F605B" w:rsidRPr="00DC66CD" w14:paraId="6D3D9478" w14:textId="77777777" w:rsidTr="004512E9">
        <w:tc>
          <w:tcPr>
            <w:tcW w:w="817" w:type="dxa"/>
            <w:vAlign w:val="center"/>
          </w:tcPr>
          <w:p w14:paraId="3D34C5D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2C959BB9"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0283E16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1869D933"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2FBE2B49"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2D8F4B0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5A396AD4" w14:textId="77777777" w:rsidTr="00131DA1">
        <w:tc>
          <w:tcPr>
            <w:tcW w:w="817" w:type="dxa"/>
          </w:tcPr>
          <w:p w14:paraId="6E75AC6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3363484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2D89E7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B4315F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67AD7D9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05B70B4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12B4DBA9" w14:textId="77777777" w:rsidTr="00131DA1">
        <w:tc>
          <w:tcPr>
            <w:tcW w:w="817" w:type="dxa"/>
          </w:tcPr>
          <w:p w14:paraId="67C4296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6B74F47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0D42F5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6729AF1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52E066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11B9747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3DCC9BCC" w14:textId="77777777" w:rsidTr="00131DA1">
        <w:tc>
          <w:tcPr>
            <w:tcW w:w="817" w:type="dxa"/>
          </w:tcPr>
          <w:p w14:paraId="3F5B963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379FBD0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623ED6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2B57F1F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67EA97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2DC6C6F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6D81AA50"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628"/>
        <w:gridCol w:w="1651"/>
        <w:gridCol w:w="1662"/>
        <w:gridCol w:w="1658"/>
        <w:gridCol w:w="1876"/>
      </w:tblGrid>
      <w:tr w:rsidR="006F605B" w:rsidRPr="00DC66CD" w14:paraId="30F2E8F1" w14:textId="77777777" w:rsidTr="00131DA1">
        <w:tc>
          <w:tcPr>
            <w:tcW w:w="9493" w:type="dxa"/>
            <w:gridSpan w:val="6"/>
            <w:shd w:val="clear" w:color="auto" w:fill="E5DFEC" w:themeFill="accent4" w:themeFillTint="33"/>
          </w:tcPr>
          <w:p w14:paraId="226FAAA9"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 xml:space="preserve">Masa e reformës 12: Zhvillimi i infrastrukturës </w:t>
            </w:r>
            <w:r w:rsidRPr="00DC66CD">
              <w:rPr>
                <w:rFonts w:ascii="Garamond" w:hAnsi="Garamond"/>
                <w:b/>
                <w:i/>
                <w:sz w:val="20"/>
                <w:szCs w:val="20"/>
              </w:rPr>
              <w:t>broadband</w:t>
            </w:r>
            <w:r w:rsidRPr="00DC66CD">
              <w:rPr>
                <w:rFonts w:ascii="Garamond" w:hAnsi="Garamond"/>
                <w:b/>
                <w:sz w:val="20"/>
                <w:szCs w:val="20"/>
              </w:rPr>
              <w:t xml:space="preserve"> për ekonominë digjitale</w:t>
            </w:r>
          </w:p>
        </w:tc>
      </w:tr>
      <w:tr w:rsidR="006F605B" w:rsidRPr="00DC66CD" w14:paraId="752D6B27" w14:textId="77777777" w:rsidTr="004512E9">
        <w:tc>
          <w:tcPr>
            <w:tcW w:w="817" w:type="dxa"/>
            <w:vAlign w:val="center"/>
          </w:tcPr>
          <w:p w14:paraId="71DF2D5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19DAF02C"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7F3C76D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4DA6F78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1973F54E"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1096685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770DDBBB" w14:textId="77777777" w:rsidTr="00131DA1">
        <w:tc>
          <w:tcPr>
            <w:tcW w:w="817" w:type="dxa"/>
          </w:tcPr>
          <w:p w14:paraId="6A74B50C"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1A526D3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c>
          <w:tcPr>
            <w:tcW w:w="1684" w:type="dxa"/>
          </w:tcPr>
          <w:p w14:paraId="6733D6D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520000</w:t>
            </w:r>
          </w:p>
        </w:tc>
        <w:tc>
          <w:tcPr>
            <w:tcW w:w="1684" w:type="dxa"/>
          </w:tcPr>
          <w:p w14:paraId="4AC6522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354B27D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1F4361D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525500</w:t>
            </w:r>
          </w:p>
        </w:tc>
      </w:tr>
      <w:tr w:rsidR="006F605B" w:rsidRPr="00DC66CD" w14:paraId="2CD8D2AD" w14:textId="77777777" w:rsidTr="00131DA1">
        <w:tc>
          <w:tcPr>
            <w:tcW w:w="817" w:type="dxa"/>
          </w:tcPr>
          <w:p w14:paraId="69B3989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29F16B8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c>
          <w:tcPr>
            <w:tcW w:w="1684" w:type="dxa"/>
          </w:tcPr>
          <w:p w14:paraId="2DB6633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4908508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5F05287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63ED977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r>
      <w:tr w:rsidR="006F605B" w:rsidRPr="00DC66CD" w14:paraId="671711AA" w14:textId="77777777" w:rsidTr="00131DA1">
        <w:tc>
          <w:tcPr>
            <w:tcW w:w="817" w:type="dxa"/>
          </w:tcPr>
          <w:p w14:paraId="151708E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2FBD0F1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c>
          <w:tcPr>
            <w:tcW w:w="1684" w:type="dxa"/>
          </w:tcPr>
          <w:p w14:paraId="02F7927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6EB979F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5C88400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720C90A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r>
    </w:tbl>
    <w:p w14:paraId="7B0D9845"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626"/>
        <w:gridCol w:w="1648"/>
        <w:gridCol w:w="1661"/>
        <w:gridCol w:w="1657"/>
        <w:gridCol w:w="1884"/>
      </w:tblGrid>
      <w:tr w:rsidR="006F605B" w:rsidRPr="00DC66CD" w14:paraId="79712F99" w14:textId="77777777" w:rsidTr="00131DA1">
        <w:tc>
          <w:tcPr>
            <w:tcW w:w="9493" w:type="dxa"/>
            <w:gridSpan w:val="6"/>
            <w:shd w:val="clear" w:color="auto" w:fill="E5DFEC" w:themeFill="accent4" w:themeFillTint="33"/>
          </w:tcPr>
          <w:p w14:paraId="53979663" w14:textId="2847E51E" w:rsidR="006F605B" w:rsidRPr="00DC66CD" w:rsidRDefault="006F605B" w:rsidP="00131DA1">
            <w:pPr>
              <w:spacing w:after="0" w:line="240" w:lineRule="auto"/>
              <w:rPr>
                <w:rFonts w:ascii="Garamond" w:hAnsi="Garamond"/>
                <w:b/>
                <w:color w:val="0D0D0D" w:themeColor="text1" w:themeTint="F2"/>
                <w:sz w:val="20"/>
                <w:szCs w:val="20"/>
              </w:rPr>
            </w:pPr>
            <w:r w:rsidRPr="00DC66CD">
              <w:rPr>
                <w:rFonts w:ascii="Garamond" w:hAnsi="Garamond"/>
                <w:b/>
                <w:color w:val="0D0D0D" w:themeColor="text1" w:themeTint="F2"/>
                <w:sz w:val="20"/>
                <w:szCs w:val="20"/>
              </w:rPr>
              <w:t>Masa e reformës 13:</w:t>
            </w:r>
            <w:r w:rsidR="0042617D" w:rsidRPr="00DC66CD">
              <w:rPr>
                <w:rFonts w:ascii="Garamond" w:hAnsi="Garamond"/>
                <w:b/>
                <w:color w:val="0D0D0D" w:themeColor="text1" w:themeTint="F2"/>
                <w:sz w:val="20"/>
                <w:szCs w:val="20"/>
              </w:rPr>
              <w:t xml:space="preserve"> </w:t>
            </w:r>
            <w:r w:rsidRPr="00DC66CD">
              <w:rPr>
                <w:rFonts w:ascii="Garamond" w:hAnsi="Garamond"/>
                <w:b/>
                <w:color w:val="0D0D0D" w:themeColor="text1" w:themeTint="F2"/>
                <w:sz w:val="20"/>
                <w:szCs w:val="20"/>
              </w:rPr>
              <w:t>Lehtësimi i lëvizjes ndërkufitare të mallrave</w:t>
            </w:r>
          </w:p>
        </w:tc>
      </w:tr>
      <w:tr w:rsidR="006F605B" w:rsidRPr="00DC66CD" w14:paraId="6A5B6E6F" w14:textId="77777777" w:rsidTr="004512E9">
        <w:tc>
          <w:tcPr>
            <w:tcW w:w="817" w:type="dxa"/>
            <w:vAlign w:val="center"/>
          </w:tcPr>
          <w:p w14:paraId="063C0668"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Viti</w:t>
            </w:r>
          </w:p>
        </w:tc>
        <w:tc>
          <w:tcPr>
            <w:tcW w:w="1683" w:type="dxa"/>
            <w:vAlign w:val="center"/>
          </w:tcPr>
          <w:p w14:paraId="47CE8724" w14:textId="5498B00E"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Pagat</w:t>
            </w:r>
          </w:p>
        </w:tc>
        <w:tc>
          <w:tcPr>
            <w:tcW w:w="1684" w:type="dxa"/>
            <w:vAlign w:val="center"/>
          </w:tcPr>
          <w:p w14:paraId="5923553B"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sz w:val="20"/>
                <w:szCs w:val="20"/>
              </w:rPr>
              <w:t>Mallrat dhe shërbimet</w:t>
            </w:r>
          </w:p>
        </w:tc>
        <w:tc>
          <w:tcPr>
            <w:tcW w:w="1684" w:type="dxa"/>
            <w:vAlign w:val="center"/>
          </w:tcPr>
          <w:p w14:paraId="3B899A84"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Subvencione dhe transferime</w:t>
            </w:r>
          </w:p>
        </w:tc>
        <w:tc>
          <w:tcPr>
            <w:tcW w:w="1684" w:type="dxa"/>
            <w:vAlign w:val="center"/>
          </w:tcPr>
          <w:p w14:paraId="28F98AE1" w14:textId="77777777" w:rsidR="006F605B" w:rsidRPr="00DC66CD" w:rsidRDefault="006F605B" w:rsidP="004512E9">
            <w:pPr>
              <w:spacing w:after="0" w:line="240" w:lineRule="auto"/>
              <w:jc w:val="center"/>
              <w:rPr>
                <w:rFonts w:ascii="Garamond" w:eastAsia="Times New Roman" w:hAnsi="Garamond"/>
                <w:b/>
                <w:sz w:val="20"/>
                <w:szCs w:val="20"/>
              </w:rPr>
            </w:pPr>
            <w:r w:rsidRPr="00DC66CD">
              <w:rPr>
                <w:rFonts w:ascii="Garamond" w:eastAsia="Times New Roman" w:hAnsi="Garamond"/>
                <w:b/>
                <w:color w:val="0D0D0D"/>
                <w:sz w:val="20"/>
                <w:szCs w:val="20"/>
              </w:rPr>
              <w:t>Shpenzimet kapitale</w:t>
            </w:r>
          </w:p>
          <w:p w14:paraId="085193D0" w14:textId="77777777" w:rsidR="006F605B" w:rsidRPr="00DC66CD" w:rsidRDefault="006F605B" w:rsidP="004512E9">
            <w:pPr>
              <w:spacing w:after="0" w:line="240" w:lineRule="auto"/>
              <w:jc w:val="center"/>
              <w:rPr>
                <w:rFonts w:ascii="Garamond" w:hAnsi="Garamond"/>
                <w:b/>
                <w:color w:val="0D0D0D" w:themeColor="text1" w:themeTint="F2"/>
                <w:sz w:val="20"/>
                <w:szCs w:val="20"/>
              </w:rPr>
            </w:pPr>
          </w:p>
        </w:tc>
        <w:tc>
          <w:tcPr>
            <w:tcW w:w="1941" w:type="dxa"/>
            <w:vAlign w:val="center"/>
          </w:tcPr>
          <w:p w14:paraId="3CA03D46" w14:textId="77777777" w:rsidR="006F605B" w:rsidRPr="00DC66CD" w:rsidRDefault="006F605B" w:rsidP="004512E9">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Total</w:t>
            </w:r>
          </w:p>
        </w:tc>
      </w:tr>
      <w:tr w:rsidR="006F605B" w:rsidRPr="00DC66CD" w14:paraId="3D8CDAD9" w14:textId="77777777" w:rsidTr="00131DA1">
        <w:tc>
          <w:tcPr>
            <w:tcW w:w="817" w:type="dxa"/>
          </w:tcPr>
          <w:p w14:paraId="50A88784"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2020</w:t>
            </w:r>
          </w:p>
        </w:tc>
        <w:tc>
          <w:tcPr>
            <w:tcW w:w="1683" w:type="dxa"/>
          </w:tcPr>
          <w:p w14:paraId="6C63C212"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0</w:t>
            </w:r>
          </w:p>
        </w:tc>
        <w:tc>
          <w:tcPr>
            <w:tcW w:w="1684" w:type="dxa"/>
          </w:tcPr>
          <w:p w14:paraId="4A1914B0"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0</w:t>
            </w:r>
          </w:p>
        </w:tc>
        <w:tc>
          <w:tcPr>
            <w:tcW w:w="1684" w:type="dxa"/>
          </w:tcPr>
          <w:p w14:paraId="3F3B905C"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0</w:t>
            </w:r>
          </w:p>
        </w:tc>
        <w:tc>
          <w:tcPr>
            <w:tcW w:w="1684" w:type="dxa"/>
          </w:tcPr>
          <w:p w14:paraId="6B1DECE4"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60.000</w:t>
            </w:r>
          </w:p>
        </w:tc>
        <w:tc>
          <w:tcPr>
            <w:tcW w:w="1941" w:type="dxa"/>
          </w:tcPr>
          <w:p w14:paraId="7615CE00"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60.0000</w:t>
            </w:r>
          </w:p>
        </w:tc>
      </w:tr>
      <w:tr w:rsidR="006F605B" w:rsidRPr="00DC66CD" w14:paraId="73786D0E" w14:textId="77777777" w:rsidTr="00131DA1">
        <w:tc>
          <w:tcPr>
            <w:tcW w:w="817" w:type="dxa"/>
          </w:tcPr>
          <w:p w14:paraId="5FB4929E"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2021</w:t>
            </w:r>
          </w:p>
        </w:tc>
        <w:tc>
          <w:tcPr>
            <w:tcW w:w="1683" w:type="dxa"/>
          </w:tcPr>
          <w:p w14:paraId="2D69A4CC"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0</w:t>
            </w:r>
          </w:p>
        </w:tc>
        <w:tc>
          <w:tcPr>
            <w:tcW w:w="1684" w:type="dxa"/>
          </w:tcPr>
          <w:p w14:paraId="48E3E114"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0</w:t>
            </w:r>
          </w:p>
        </w:tc>
        <w:tc>
          <w:tcPr>
            <w:tcW w:w="1684" w:type="dxa"/>
          </w:tcPr>
          <w:p w14:paraId="693E943B"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0</w:t>
            </w:r>
          </w:p>
        </w:tc>
        <w:tc>
          <w:tcPr>
            <w:tcW w:w="1684" w:type="dxa"/>
          </w:tcPr>
          <w:p w14:paraId="20C97EB7"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190.000</w:t>
            </w:r>
          </w:p>
        </w:tc>
        <w:tc>
          <w:tcPr>
            <w:tcW w:w="1941" w:type="dxa"/>
          </w:tcPr>
          <w:p w14:paraId="6D0EFFCE"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190.000</w:t>
            </w:r>
          </w:p>
        </w:tc>
      </w:tr>
      <w:tr w:rsidR="006F605B" w:rsidRPr="00DC66CD" w14:paraId="52EAA630" w14:textId="77777777" w:rsidTr="00131DA1">
        <w:tc>
          <w:tcPr>
            <w:tcW w:w="817" w:type="dxa"/>
          </w:tcPr>
          <w:p w14:paraId="6DFCAF97"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2022</w:t>
            </w:r>
          </w:p>
        </w:tc>
        <w:tc>
          <w:tcPr>
            <w:tcW w:w="1683" w:type="dxa"/>
          </w:tcPr>
          <w:p w14:paraId="11E9174A"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0</w:t>
            </w:r>
          </w:p>
        </w:tc>
        <w:tc>
          <w:tcPr>
            <w:tcW w:w="1684" w:type="dxa"/>
          </w:tcPr>
          <w:p w14:paraId="362F26DC"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0</w:t>
            </w:r>
          </w:p>
        </w:tc>
        <w:tc>
          <w:tcPr>
            <w:tcW w:w="1684" w:type="dxa"/>
          </w:tcPr>
          <w:p w14:paraId="49F28982"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0</w:t>
            </w:r>
          </w:p>
        </w:tc>
        <w:tc>
          <w:tcPr>
            <w:tcW w:w="1684" w:type="dxa"/>
          </w:tcPr>
          <w:p w14:paraId="789213EB"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2.500.000</w:t>
            </w:r>
          </w:p>
        </w:tc>
        <w:tc>
          <w:tcPr>
            <w:tcW w:w="1941" w:type="dxa"/>
          </w:tcPr>
          <w:p w14:paraId="17131A75" w14:textId="77777777" w:rsidR="006F605B" w:rsidRPr="00DC66CD" w:rsidRDefault="006F605B" w:rsidP="00131DA1">
            <w:pPr>
              <w:spacing w:after="0" w:line="240" w:lineRule="auto"/>
              <w:jc w:val="right"/>
              <w:rPr>
                <w:rFonts w:ascii="Garamond" w:hAnsi="Garamond"/>
                <w:color w:val="0D0D0D" w:themeColor="text1" w:themeTint="F2"/>
                <w:sz w:val="20"/>
                <w:szCs w:val="20"/>
              </w:rPr>
            </w:pPr>
            <w:r w:rsidRPr="00DC66CD">
              <w:rPr>
                <w:rFonts w:ascii="Garamond" w:hAnsi="Garamond"/>
                <w:color w:val="0D0D0D" w:themeColor="text1" w:themeTint="F2"/>
                <w:sz w:val="20"/>
                <w:szCs w:val="20"/>
              </w:rPr>
              <w:t>2.500.000</w:t>
            </w:r>
          </w:p>
        </w:tc>
      </w:tr>
    </w:tbl>
    <w:p w14:paraId="4B27420B" w14:textId="77777777" w:rsidR="00131DA1" w:rsidRPr="00DC66CD" w:rsidRDefault="00131DA1"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629"/>
        <w:gridCol w:w="1651"/>
        <w:gridCol w:w="1663"/>
        <w:gridCol w:w="1658"/>
        <w:gridCol w:w="1874"/>
      </w:tblGrid>
      <w:tr w:rsidR="006F605B" w:rsidRPr="00DC66CD" w14:paraId="1F8F246B" w14:textId="77777777" w:rsidTr="0042617D">
        <w:tc>
          <w:tcPr>
            <w:tcW w:w="9280" w:type="dxa"/>
            <w:gridSpan w:val="6"/>
            <w:shd w:val="clear" w:color="auto" w:fill="E5DFEC" w:themeFill="accent4" w:themeFillTint="33"/>
          </w:tcPr>
          <w:p w14:paraId="1B337152" w14:textId="5C93AC5A" w:rsidR="006F605B" w:rsidRPr="00DC66CD" w:rsidRDefault="006F605B" w:rsidP="0042617D">
            <w:pPr>
              <w:snapToGrid w:val="0"/>
              <w:spacing w:after="0" w:line="240" w:lineRule="auto"/>
              <w:rPr>
                <w:rFonts w:ascii="Garamond" w:hAnsi="Garamond"/>
                <w:b/>
                <w:sz w:val="20"/>
                <w:szCs w:val="20"/>
              </w:rPr>
            </w:pPr>
            <w:r w:rsidRPr="00DC66CD">
              <w:rPr>
                <w:rFonts w:ascii="Garamond" w:hAnsi="Garamond"/>
                <w:b/>
                <w:sz w:val="20"/>
                <w:szCs w:val="20"/>
              </w:rPr>
              <w:t>Masa e reformës 14: Finalizimi i reformës kur</w:t>
            </w:r>
            <w:r w:rsidR="0042617D" w:rsidRPr="00DC66CD">
              <w:rPr>
                <w:rFonts w:ascii="Garamond" w:hAnsi="Garamond"/>
                <w:b/>
                <w:sz w:val="20"/>
                <w:szCs w:val="20"/>
              </w:rPr>
              <w:t>r</w:t>
            </w:r>
            <w:r w:rsidRPr="00DC66CD">
              <w:rPr>
                <w:rFonts w:ascii="Garamond" w:hAnsi="Garamond"/>
                <w:b/>
                <w:sz w:val="20"/>
                <w:szCs w:val="20"/>
              </w:rPr>
              <w:t>ikulare parauniversitare, trajnimi dhe punësimi i mësuesve</w:t>
            </w:r>
          </w:p>
        </w:tc>
      </w:tr>
      <w:tr w:rsidR="006F605B" w:rsidRPr="00DC66CD" w14:paraId="6F35BF25" w14:textId="77777777" w:rsidTr="0042617D">
        <w:tc>
          <w:tcPr>
            <w:tcW w:w="805" w:type="dxa"/>
            <w:vAlign w:val="center"/>
          </w:tcPr>
          <w:p w14:paraId="5174D73D"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29" w:type="dxa"/>
            <w:vAlign w:val="center"/>
          </w:tcPr>
          <w:p w14:paraId="0A722C1C"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51" w:type="dxa"/>
            <w:vAlign w:val="center"/>
          </w:tcPr>
          <w:p w14:paraId="5912E5B1"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63" w:type="dxa"/>
            <w:vAlign w:val="center"/>
          </w:tcPr>
          <w:p w14:paraId="4502A7FE"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58" w:type="dxa"/>
            <w:vAlign w:val="center"/>
          </w:tcPr>
          <w:p w14:paraId="11F39C4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874" w:type="dxa"/>
            <w:vAlign w:val="center"/>
          </w:tcPr>
          <w:p w14:paraId="49C03EC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3EA3E0D8" w14:textId="77777777" w:rsidTr="0042617D">
        <w:tc>
          <w:tcPr>
            <w:tcW w:w="805" w:type="dxa"/>
          </w:tcPr>
          <w:p w14:paraId="7BF2E0A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29" w:type="dxa"/>
          </w:tcPr>
          <w:p w14:paraId="2FA079C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51" w:type="dxa"/>
          </w:tcPr>
          <w:p w14:paraId="3A6D63F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63" w:type="dxa"/>
          </w:tcPr>
          <w:p w14:paraId="11A016C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58" w:type="dxa"/>
          </w:tcPr>
          <w:p w14:paraId="45969E4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874" w:type="dxa"/>
          </w:tcPr>
          <w:p w14:paraId="3E43807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77016429" w14:textId="77777777" w:rsidTr="0042617D">
        <w:tc>
          <w:tcPr>
            <w:tcW w:w="805" w:type="dxa"/>
          </w:tcPr>
          <w:p w14:paraId="2FF59E3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29" w:type="dxa"/>
          </w:tcPr>
          <w:p w14:paraId="7CC3F62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51" w:type="dxa"/>
          </w:tcPr>
          <w:p w14:paraId="04C7234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63" w:type="dxa"/>
          </w:tcPr>
          <w:p w14:paraId="66A0AD2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58" w:type="dxa"/>
          </w:tcPr>
          <w:p w14:paraId="3D1FE65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874" w:type="dxa"/>
          </w:tcPr>
          <w:p w14:paraId="0BD49FC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75A94F15" w14:textId="77777777" w:rsidTr="0042617D">
        <w:tc>
          <w:tcPr>
            <w:tcW w:w="805" w:type="dxa"/>
          </w:tcPr>
          <w:p w14:paraId="0B6C69D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29" w:type="dxa"/>
          </w:tcPr>
          <w:p w14:paraId="5924203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51" w:type="dxa"/>
          </w:tcPr>
          <w:p w14:paraId="59F494A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63" w:type="dxa"/>
          </w:tcPr>
          <w:p w14:paraId="16F8A19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58" w:type="dxa"/>
          </w:tcPr>
          <w:p w14:paraId="5B5CEC0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874" w:type="dxa"/>
          </w:tcPr>
          <w:p w14:paraId="16D7F39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7B4BC74B"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630"/>
        <w:gridCol w:w="1649"/>
        <w:gridCol w:w="1661"/>
        <w:gridCol w:w="1657"/>
        <w:gridCol w:w="1880"/>
      </w:tblGrid>
      <w:tr w:rsidR="006F605B" w:rsidRPr="00DC66CD" w14:paraId="470822A4" w14:textId="77777777" w:rsidTr="00131DA1">
        <w:tc>
          <w:tcPr>
            <w:tcW w:w="9493" w:type="dxa"/>
            <w:gridSpan w:val="6"/>
            <w:shd w:val="clear" w:color="auto" w:fill="E5DFEC" w:themeFill="accent4" w:themeFillTint="33"/>
          </w:tcPr>
          <w:p w14:paraId="25299364"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15: Arsimi përfshirës</w:t>
            </w:r>
          </w:p>
        </w:tc>
      </w:tr>
      <w:tr w:rsidR="006F605B" w:rsidRPr="00DC66CD" w14:paraId="65505827" w14:textId="77777777" w:rsidTr="004512E9">
        <w:tc>
          <w:tcPr>
            <w:tcW w:w="817" w:type="dxa"/>
            <w:vAlign w:val="center"/>
          </w:tcPr>
          <w:p w14:paraId="1E25DA1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2D2BE55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080A1DAA"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0720BB2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0DB9A4F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25F93AC5"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08E5EFDB" w14:textId="77777777" w:rsidTr="00131DA1">
        <w:tc>
          <w:tcPr>
            <w:tcW w:w="817" w:type="dxa"/>
          </w:tcPr>
          <w:p w14:paraId="5652C009"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tcPr>
          <w:p w14:paraId="3F9DFA6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468000</w:t>
            </w:r>
          </w:p>
        </w:tc>
        <w:tc>
          <w:tcPr>
            <w:tcW w:w="1684" w:type="dxa"/>
            <w:vAlign w:val="bottom"/>
          </w:tcPr>
          <w:p w14:paraId="2A9B1E4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center"/>
          </w:tcPr>
          <w:p w14:paraId="1BE6394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bottom"/>
          </w:tcPr>
          <w:p w14:paraId="6A2F3ED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3189A75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468000</w:t>
            </w:r>
          </w:p>
        </w:tc>
      </w:tr>
      <w:tr w:rsidR="006F605B" w:rsidRPr="00DC66CD" w14:paraId="18F5022A" w14:textId="77777777" w:rsidTr="00131DA1">
        <w:tc>
          <w:tcPr>
            <w:tcW w:w="817" w:type="dxa"/>
          </w:tcPr>
          <w:p w14:paraId="782F54F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4ADB483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491400</w:t>
            </w:r>
          </w:p>
        </w:tc>
        <w:tc>
          <w:tcPr>
            <w:tcW w:w="1684" w:type="dxa"/>
            <w:vAlign w:val="bottom"/>
          </w:tcPr>
          <w:p w14:paraId="596F5B7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center"/>
          </w:tcPr>
          <w:p w14:paraId="2016035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bottom"/>
          </w:tcPr>
          <w:p w14:paraId="078AB8D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6FE0AA5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491400</w:t>
            </w:r>
          </w:p>
        </w:tc>
      </w:tr>
      <w:tr w:rsidR="006F605B" w:rsidRPr="00DC66CD" w14:paraId="23095E09" w14:textId="77777777" w:rsidTr="00131DA1">
        <w:tc>
          <w:tcPr>
            <w:tcW w:w="817" w:type="dxa"/>
          </w:tcPr>
          <w:p w14:paraId="0A60BE48"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3C708C6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514800</w:t>
            </w:r>
          </w:p>
        </w:tc>
        <w:tc>
          <w:tcPr>
            <w:tcW w:w="1684" w:type="dxa"/>
            <w:vAlign w:val="bottom"/>
          </w:tcPr>
          <w:p w14:paraId="44C70064"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vAlign w:val="center"/>
          </w:tcPr>
          <w:p w14:paraId="2166E647" w14:textId="77777777" w:rsidR="006F605B" w:rsidRPr="00DC66CD" w:rsidRDefault="006F605B" w:rsidP="00131DA1">
            <w:pPr>
              <w:snapToGrid w:val="0"/>
              <w:spacing w:after="0" w:line="240" w:lineRule="auto"/>
              <w:jc w:val="right"/>
              <w:rPr>
                <w:rFonts w:ascii="Garamond" w:hAnsi="Garamond"/>
                <w:sz w:val="20"/>
                <w:szCs w:val="20"/>
              </w:rPr>
            </w:pPr>
          </w:p>
        </w:tc>
        <w:tc>
          <w:tcPr>
            <w:tcW w:w="1684" w:type="dxa"/>
            <w:vAlign w:val="bottom"/>
          </w:tcPr>
          <w:p w14:paraId="039D057E" w14:textId="77777777" w:rsidR="006F605B" w:rsidRPr="00DC66CD" w:rsidRDefault="006F605B" w:rsidP="00131DA1">
            <w:pPr>
              <w:snapToGrid w:val="0"/>
              <w:spacing w:after="0" w:line="240" w:lineRule="auto"/>
              <w:jc w:val="right"/>
              <w:rPr>
                <w:rFonts w:ascii="Garamond" w:hAnsi="Garamond"/>
                <w:sz w:val="20"/>
                <w:szCs w:val="20"/>
              </w:rPr>
            </w:pPr>
          </w:p>
        </w:tc>
        <w:tc>
          <w:tcPr>
            <w:tcW w:w="1941" w:type="dxa"/>
          </w:tcPr>
          <w:p w14:paraId="39E8622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514800</w:t>
            </w:r>
            <w:r w:rsidRPr="00DC66CD">
              <w:rPr>
                <w:rStyle w:val="FootnoteReference"/>
                <w:rFonts w:ascii="Garamond" w:hAnsi="Garamond"/>
                <w:sz w:val="20"/>
                <w:szCs w:val="20"/>
              </w:rPr>
              <w:footnoteReference w:id="73"/>
            </w:r>
          </w:p>
        </w:tc>
      </w:tr>
    </w:tbl>
    <w:p w14:paraId="39695523"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629"/>
        <w:gridCol w:w="1651"/>
        <w:gridCol w:w="1663"/>
        <w:gridCol w:w="1658"/>
        <w:gridCol w:w="1874"/>
      </w:tblGrid>
      <w:tr w:rsidR="006F605B" w:rsidRPr="00DC66CD" w14:paraId="63A543A7" w14:textId="77777777" w:rsidTr="00131DA1">
        <w:tc>
          <w:tcPr>
            <w:tcW w:w="9493" w:type="dxa"/>
            <w:gridSpan w:val="6"/>
            <w:shd w:val="clear" w:color="auto" w:fill="E5DFEC" w:themeFill="accent4" w:themeFillTint="33"/>
          </w:tcPr>
          <w:p w14:paraId="18F3FFB3"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16: Modernizimi i sistemit të financimit të arsimit të hershëm parashkollor</w:t>
            </w:r>
          </w:p>
        </w:tc>
      </w:tr>
      <w:tr w:rsidR="006F605B" w:rsidRPr="00DC66CD" w14:paraId="3C2D0206" w14:textId="77777777" w:rsidTr="004512E9">
        <w:tc>
          <w:tcPr>
            <w:tcW w:w="817" w:type="dxa"/>
            <w:vAlign w:val="center"/>
          </w:tcPr>
          <w:p w14:paraId="56213E6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5463BC0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113029E3"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7FC3B3CA"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11D553C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3FFBDBD3"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37CB6D4D" w14:textId="77777777" w:rsidTr="00131DA1">
        <w:tc>
          <w:tcPr>
            <w:tcW w:w="817" w:type="dxa"/>
          </w:tcPr>
          <w:p w14:paraId="25B367E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vAlign w:val="bottom"/>
          </w:tcPr>
          <w:p w14:paraId="6EA542C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bottom"/>
          </w:tcPr>
          <w:p w14:paraId="54FFF24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center"/>
          </w:tcPr>
          <w:p w14:paraId="79FDB4B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 mn</w:t>
            </w:r>
          </w:p>
        </w:tc>
        <w:tc>
          <w:tcPr>
            <w:tcW w:w="1684" w:type="dxa"/>
            <w:vAlign w:val="bottom"/>
          </w:tcPr>
          <w:p w14:paraId="150A385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4420C25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 mn</w:t>
            </w:r>
          </w:p>
        </w:tc>
      </w:tr>
      <w:tr w:rsidR="006F605B" w:rsidRPr="00DC66CD" w14:paraId="3E4A1B36" w14:textId="77777777" w:rsidTr="00131DA1">
        <w:tc>
          <w:tcPr>
            <w:tcW w:w="817" w:type="dxa"/>
          </w:tcPr>
          <w:p w14:paraId="122CEE94"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vAlign w:val="bottom"/>
          </w:tcPr>
          <w:p w14:paraId="60C961C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bottom"/>
          </w:tcPr>
          <w:p w14:paraId="28BA04F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035D252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 mn</w:t>
            </w:r>
          </w:p>
        </w:tc>
        <w:tc>
          <w:tcPr>
            <w:tcW w:w="1684" w:type="dxa"/>
            <w:vAlign w:val="bottom"/>
          </w:tcPr>
          <w:p w14:paraId="27668C6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2425195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 mn</w:t>
            </w:r>
          </w:p>
        </w:tc>
      </w:tr>
      <w:tr w:rsidR="006F605B" w:rsidRPr="00DC66CD" w14:paraId="3F5C92F8" w14:textId="77777777" w:rsidTr="00131DA1">
        <w:tc>
          <w:tcPr>
            <w:tcW w:w="817" w:type="dxa"/>
          </w:tcPr>
          <w:p w14:paraId="3C02C314"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vAlign w:val="bottom"/>
          </w:tcPr>
          <w:p w14:paraId="5102B5A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bottom"/>
          </w:tcPr>
          <w:p w14:paraId="6FFF83E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tcPr>
          <w:p w14:paraId="38745CF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 mn</w:t>
            </w:r>
          </w:p>
        </w:tc>
        <w:tc>
          <w:tcPr>
            <w:tcW w:w="1684" w:type="dxa"/>
            <w:vAlign w:val="bottom"/>
          </w:tcPr>
          <w:p w14:paraId="631FF33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41" w:type="dxa"/>
          </w:tcPr>
          <w:p w14:paraId="5BC212E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 mn</w:t>
            </w:r>
          </w:p>
        </w:tc>
      </w:tr>
    </w:tbl>
    <w:p w14:paraId="5D7F0683"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630"/>
        <w:gridCol w:w="1647"/>
        <w:gridCol w:w="1660"/>
        <w:gridCol w:w="1655"/>
        <w:gridCol w:w="1886"/>
      </w:tblGrid>
      <w:tr w:rsidR="006F605B" w:rsidRPr="00DC66CD" w14:paraId="76F5FD59" w14:textId="77777777" w:rsidTr="00131DA1">
        <w:tc>
          <w:tcPr>
            <w:tcW w:w="9493" w:type="dxa"/>
            <w:gridSpan w:val="6"/>
            <w:shd w:val="clear" w:color="auto" w:fill="E5DFEC" w:themeFill="accent4" w:themeFillTint="33"/>
          </w:tcPr>
          <w:p w14:paraId="6D29C84C"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17: Përmirësimi i cilësisë dhe shtrirjes së AFP-së duke siguruar lidhjet me tregun e punës</w:t>
            </w:r>
          </w:p>
        </w:tc>
      </w:tr>
      <w:tr w:rsidR="006F605B" w:rsidRPr="00DC66CD" w14:paraId="6982BA86" w14:textId="77777777" w:rsidTr="004512E9">
        <w:tc>
          <w:tcPr>
            <w:tcW w:w="817" w:type="dxa"/>
            <w:vAlign w:val="center"/>
          </w:tcPr>
          <w:p w14:paraId="5605355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83" w:type="dxa"/>
            <w:vAlign w:val="center"/>
          </w:tcPr>
          <w:p w14:paraId="20DC4E1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84" w:type="dxa"/>
            <w:vAlign w:val="center"/>
          </w:tcPr>
          <w:p w14:paraId="3EAD332E"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84" w:type="dxa"/>
            <w:vAlign w:val="center"/>
          </w:tcPr>
          <w:p w14:paraId="15914F9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84" w:type="dxa"/>
            <w:vAlign w:val="center"/>
          </w:tcPr>
          <w:p w14:paraId="02A73292"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41" w:type="dxa"/>
            <w:vAlign w:val="center"/>
          </w:tcPr>
          <w:p w14:paraId="634BAEEE"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4497B935" w14:textId="77777777" w:rsidTr="00131DA1">
        <w:tc>
          <w:tcPr>
            <w:tcW w:w="817" w:type="dxa"/>
          </w:tcPr>
          <w:p w14:paraId="573AA44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83" w:type="dxa"/>
            <w:vAlign w:val="center"/>
          </w:tcPr>
          <w:p w14:paraId="7FBC624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578,512</w:t>
            </w:r>
          </w:p>
        </w:tc>
        <w:tc>
          <w:tcPr>
            <w:tcW w:w="1684" w:type="dxa"/>
            <w:vAlign w:val="center"/>
          </w:tcPr>
          <w:p w14:paraId="7913F42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1,875,180</w:t>
            </w:r>
          </w:p>
        </w:tc>
        <w:tc>
          <w:tcPr>
            <w:tcW w:w="1684" w:type="dxa"/>
            <w:vAlign w:val="bottom"/>
          </w:tcPr>
          <w:p w14:paraId="0D8A171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center"/>
          </w:tcPr>
          <w:p w14:paraId="05A3C91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5,802,647</w:t>
            </w:r>
          </w:p>
        </w:tc>
        <w:tc>
          <w:tcPr>
            <w:tcW w:w="1941" w:type="dxa"/>
            <w:vAlign w:val="bottom"/>
          </w:tcPr>
          <w:p w14:paraId="7766FA2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8,256,339</w:t>
            </w:r>
          </w:p>
        </w:tc>
      </w:tr>
      <w:tr w:rsidR="006F605B" w:rsidRPr="00DC66CD" w14:paraId="3AF54755" w14:textId="77777777" w:rsidTr="00131DA1">
        <w:tc>
          <w:tcPr>
            <w:tcW w:w="817" w:type="dxa"/>
          </w:tcPr>
          <w:p w14:paraId="0BA8F6A8"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83" w:type="dxa"/>
          </w:tcPr>
          <w:p w14:paraId="6C0B3AA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578,512</w:t>
            </w:r>
          </w:p>
        </w:tc>
        <w:tc>
          <w:tcPr>
            <w:tcW w:w="1684" w:type="dxa"/>
            <w:vAlign w:val="center"/>
          </w:tcPr>
          <w:p w14:paraId="05D7397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2,309,380</w:t>
            </w:r>
          </w:p>
        </w:tc>
        <w:tc>
          <w:tcPr>
            <w:tcW w:w="1684" w:type="dxa"/>
            <w:vAlign w:val="bottom"/>
          </w:tcPr>
          <w:p w14:paraId="2CC582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center"/>
          </w:tcPr>
          <w:p w14:paraId="302FE9A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7,268,200</w:t>
            </w:r>
          </w:p>
        </w:tc>
        <w:tc>
          <w:tcPr>
            <w:tcW w:w="1941" w:type="dxa"/>
            <w:vAlign w:val="bottom"/>
          </w:tcPr>
          <w:p w14:paraId="392426E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10,156,092</w:t>
            </w:r>
          </w:p>
        </w:tc>
      </w:tr>
      <w:tr w:rsidR="006F605B" w:rsidRPr="00DC66CD" w14:paraId="65AD7639" w14:textId="77777777" w:rsidTr="00131DA1">
        <w:tc>
          <w:tcPr>
            <w:tcW w:w="817" w:type="dxa"/>
          </w:tcPr>
          <w:p w14:paraId="6EBE526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83" w:type="dxa"/>
          </w:tcPr>
          <w:p w14:paraId="166D3BE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578,512</w:t>
            </w:r>
          </w:p>
        </w:tc>
        <w:tc>
          <w:tcPr>
            <w:tcW w:w="1684" w:type="dxa"/>
            <w:vAlign w:val="center"/>
          </w:tcPr>
          <w:p w14:paraId="779FBCC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1,824,380</w:t>
            </w:r>
          </w:p>
        </w:tc>
        <w:tc>
          <w:tcPr>
            <w:tcW w:w="1684" w:type="dxa"/>
            <w:vAlign w:val="bottom"/>
          </w:tcPr>
          <w:p w14:paraId="461ABA9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84" w:type="dxa"/>
            <w:vAlign w:val="center"/>
          </w:tcPr>
          <w:p w14:paraId="0A74529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4,753,500</w:t>
            </w:r>
          </w:p>
        </w:tc>
        <w:tc>
          <w:tcPr>
            <w:tcW w:w="1941" w:type="dxa"/>
            <w:vAlign w:val="bottom"/>
          </w:tcPr>
          <w:p w14:paraId="2B909B9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7,156,392</w:t>
            </w:r>
          </w:p>
        </w:tc>
      </w:tr>
    </w:tbl>
    <w:p w14:paraId="4A9D5368" w14:textId="77777777" w:rsidR="006F605B" w:rsidRPr="00DC66CD" w:rsidRDefault="006F605B" w:rsidP="006F605B">
      <w:pPr>
        <w:snapToGrid w:val="0"/>
        <w:spacing w:after="0" w:line="240" w:lineRule="auto"/>
        <w:ind w:firstLine="284"/>
        <w:rPr>
          <w:rFonts w:ascii="Garamond" w:hAnsi="Garamond"/>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670"/>
        <w:gridCol w:w="1670"/>
        <w:gridCol w:w="1671"/>
        <w:gridCol w:w="1670"/>
        <w:gridCol w:w="1984"/>
      </w:tblGrid>
      <w:tr w:rsidR="006F605B" w:rsidRPr="00DC66CD" w14:paraId="53C63A32" w14:textId="77777777" w:rsidTr="00131DA1">
        <w:tc>
          <w:tcPr>
            <w:tcW w:w="9493" w:type="dxa"/>
            <w:gridSpan w:val="6"/>
            <w:shd w:val="clear" w:color="auto" w:fill="E5DFEC" w:themeFill="accent4" w:themeFillTint="33"/>
          </w:tcPr>
          <w:p w14:paraId="10958970"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18: Përmirësimi i punësueshmërisë të punëkërkuesve të papunë më vulnerabël përmes adresimit më të mirë të PNP-ve dhe shërbimeve të punësimit</w:t>
            </w:r>
          </w:p>
        </w:tc>
      </w:tr>
      <w:tr w:rsidR="006F605B" w:rsidRPr="00DC66CD" w14:paraId="719DAA00" w14:textId="77777777" w:rsidTr="004512E9">
        <w:tc>
          <w:tcPr>
            <w:tcW w:w="828" w:type="dxa"/>
            <w:vAlign w:val="center"/>
          </w:tcPr>
          <w:p w14:paraId="76B365F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670" w:type="dxa"/>
            <w:vAlign w:val="center"/>
          </w:tcPr>
          <w:p w14:paraId="5B5B410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670" w:type="dxa"/>
            <w:vAlign w:val="center"/>
          </w:tcPr>
          <w:p w14:paraId="56DA2E9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671" w:type="dxa"/>
            <w:vAlign w:val="center"/>
          </w:tcPr>
          <w:p w14:paraId="0B392AAD"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670" w:type="dxa"/>
            <w:vAlign w:val="center"/>
          </w:tcPr>
          <w:p w14:paraId="2B26D29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84" w:type="dxa"/>
            <w:vAlign w:val="center"/>
          </w:tcPr>
          <w:p w14:paraId="0B69B6FC"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4C11CE1F" w14:textId="77777777" w:rsidTr="00131DA1">
        <w:tc>
          <w:tcPr>
            <w:tcW w:w="9493" w:type="dxa"/>
            <w:gridSpan w:val="6"/>
          </w:tcPr>
          <w:p w14:paraId="488FB4A4" w14:textId="77777777" w:rsidR="006F605B" w:rsidRPr="00DC66CD" w:rsidRDefault="006F605B" w:rsidP="00131DA1">
            <w:pPr>
              <w:snapToGrid w:val="0"/>
              <w:spacing w:after="0" w:line="240" w:lineRule="auto"/>
              <w:rPr>
                <w:rFonts w:ascii="Garamond" w:hAnsi="Garamond"/>
                <w:i/>
                <w:sz w:val="20"/>
                <w:szCs w:val="20"/>
              </w:rPr>
            </w:pPr>
            <w:r w:rsidRPr="00DC66CD">
              <w:rPr>
                <w:rFonts w:ascii="Garamond" w:hAnsi="Garamond"/>
                <w:i/>
                <w:sz w:val="20"/>
                <w:szCs w:val="20"/>
              </w:rPr>
              <w:t>Investimi për rindërtimin dhe riorganizimin e zyrave të punësimit, rajonale dhe lokale (euro)</w:t>
            </w:r>
            <w:r w:rsidRPr="00DC66CD">
              <w:rPr>
                <w:rStyle w:val="FootnoteReference"/>
                <w:rFonts w:ascii="Garamond" w:hAnsi="Garamond"/>
                <w:i/>
                <w:sz w:val="20"/>
                <w:szCs w:val="20"/>
              </w:rPr>
              <w:footnoteReference w:id="74"/>
            </w:r>
          </w:p>
        </w:tc>
      </w:tr>
      <w:tr w:rsidR="006F605B" w:rsidRPr="00DC66CD" w14:paraId="08D4A7A5" w14:textId="77777777" w:rsidTr="00131DA1">
        <w:tc>
          <w:tcPr>
            <w:tcW w:w="828" w:type="dxa"/>
          </w:tcPr>
          <w:p w14:paraId="621D4D3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70" w:type="dxa"/>
          </w:tcPr>
          <w:p w14:paraId="1928C5B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tcPr>
          <w:p w14:paraId="4C3521C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2D5D4FD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tcPr>
          <w:p w14:paraId="6FCBE92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803,804</w:t>
            </w:r>
          </w:p>
        </w:tc>
        <w:tc>
          <w:tcPr>
            <w:tcW w:w="1984" w:type="dxa"/>
          </w:tcPr>
          <w:p w14:paraId="7CBD64E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803,804</w:t>
            </w:r>
          </w:p>
        </w:tc>
      </w:tr>
      <w:tr w:rsidR="006F605B" w:rsidRPr="00DC66CD" w14:paraId="5C4909D2" w14:textId="77777777" w:rsidTr="00131DA1">
        <w:tc>
          <w:tcPr>
            <w:tcW w:w="828" w:type="dxa"/>
          </w:tcPr>
          <w:p w14:paraId="6130218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70" w:type="dxa"/>
          </w:tcPr>
          <w:p w14:paraId="0E8442C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tcPr>
          <w:p w14:paraId="03022E8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05C0866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tcPr>
          <w:p w14:paraId="45F1EE1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w:t>
            </w:r>
            <w:r w:rsidRPr="00DC66CD">
              <w:rPr>
                <w:rStyle w:val="FootnoteReference"/>
                <w:rFonts w:ascii="Garamond" w:hAnsi="Garamond"/>
                <w:sz w:val="20"/>
                <w:szCs w:val="20"/>
              </w:rPr>
              <w:footnoteReference w:id="75"/>
            </w:r>
          </w:p>
        </w:tc>
        <w:tc>
          <w:tcPr>
            <w:tcW w:w="1984" w:type="dxa"/>
          </w:tcPr>
          <w:p w14:paraId="6D471DA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w:t>
            </w:r>
            <w:r w:rsidRPr="00DC66CD">
              <w:rPr>
                <w:rStyle w:val="FootnoteReference"/>
                <w:rFonts w:ascii="Garamond" w:hAnsi="Garamond"/>
                <w:sz w:val="20"/>
                <w:szCs w:val="20"/>
              </w:rPr>
              <w:footnoteReference w:id="76"/>
            </w:r>
          </w:p>
        </w:tc>
      </w:tr>
      <w:tr w:rsidR="006F605B" w:rsidRPr="00DC66CD" w14:paraId="194B5F19" w14:textId="77777777" w:rsidTr="00131DA1">
        <w:tc>
          <w:tcPr>
            <w:tcW w:w="828" w:type="dxa"/>
          </w:tcPr>
          <w:p w14:paraId="790AB73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70" w:type="dxa"/>
          </w:tcPr>
          <w:p w14:paraId="2B22E74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tcPr>
          <w:p w14:paraId="75109C2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1942CDC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tcPr>
          <w:p w14:paraId="32DCDD8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w:t>
            </w:r>
          </w:p>
        </w:tc>
        <w:tc>
          <w:tcPr>
            <w:tcW w:w="1984" w:type="dxa"/>
          </w:tcPr>
          <w:p w14:paraId="5E2A56A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w:t>
            </w:r>
          </w:p>
        </w:tc>
      </w:tr>
      <w:tr w:rsidR="006F605B" w:rsidRPr="00DC66CD" w14:paraId="456C08B2" w14:textId="77777777" w:rsidTr="00131DA1">
        <w:tc>
          <w:tcPr>
            <w:tcW w:w="9493" w:type="dxa"/>
            <w:gridSpan w:val="6"/>
          </w:tcPr>
          <w:p w14:paraId="7B8C036B" w14:textId="77777777" w:rsidR="006F605B" w:rsidRPr="00DC66CD" w:rsidRDefault="006F605B" w:rsidP="00131DA1">
            <w:pPr>
              <w:snapToGrid w:val="0"/>
              <w:spacing w:after="0" w:line="240" w:lineRule="auto"/>
              <w:rPr>
                <w:rFonts w:ascii="Garamond" w:hAnsi="Garamond"/>
                <w:i/>
                <w:sz w:val="20"/>
                <w:szCs w:val="20"/>
              </w:rPr>
            </w:pPr>
            <w:r w:rsidRPr="00DC66CD">
              <w:rPr>
                <w:rFonts w:ascii="Garamond" w:hAnsi="Garamond"/>
                <w:i/>
                <w:sz w:val="20"/>
                <w:szCs w:val="20"/>
              </w:rPr>
              <w:t>Ndërmjetësimet e kryera nga Zyrat e Punësimit (mln euro)</w:t>
            </w:r>
          </w:p>
        </w:tc>
      </w:tr>
      <w:tr w:rsidR="006F605B" w:rsidRPr="00DC66CD" w14:paraId="7E2EAC42" w14:textId="77777777" w:rsidTr="00131DA1">
        <w:tc>
          <w:tcPr>
            <w:tcW w:w="828" w:type="dxa"/>
          </w:tcPr>
          <w:p w14:paraId="5C9672F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70" w:type="dxa"/>
          </w:tcPr>
          <w:p w14:paraId="12C694C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54,224</w:t>
            </w:r>
          </w:p>
        </w:tc>
        <w:tc>
          <w:tcPr>
            <w:tcW w:w="1670" w:type="dxa"/>
          </w:tcPr>
          <w:p w14:paraId="67465E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11A7F84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tcPr>
          <w:p w14:paraId="73ECE72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626CACD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54,224</w:t>
            </w:r>
          </w:p>
        </w:tc>
      </w:tr>
      <w:tr w:rsidR="006F605B" w:rsidRPr="00DC66CD" w14:paraId="7648E392" w14:textId="77777777" w:rsidTr="00131DA1">
        <w:tc>
          <w:tcPr>
            <w:tcW w:w="828" w:type="dxa"/>
          </w:tcPr>
          <w:p w14:paraId="5F93541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70" w:type="dxa"/>
          </w:tcPr>
          <w:p w14:paraId="320ECB5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62,304</w:t>
            </w:r>
          </w:p>
        </w:tc>
        <w:tc>
          <w:tcPr>
            <w:tcW w:w="1670" w:type="dxa"/>
          </w:tcPr>
          <w:p w14:paraId="7C9C2E5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0EAA6FA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tcPr>
          <w:p w14:paraId="3B89845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25A6424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62,304</w:t>
            </w:r>
          </w:p>
        </w:tc>
      </w:tr>
      <w:tr w:rsidR="006F605B" w:rsidRPr="00DC66CD" w14:paraId="2CAFC188" w14:textId="77777777" w:rsidTr="00131DA1">
        <w:tc>
          <w:tcPr>
            <w:tcW w:w="828" w:type="dxa"/>
          </w:tcPr>
          <w:p w14:paraId="654F531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70" w:type="dxa"/>
          </w:tcPr>
          <w:p w14:paraId="2F32BD4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-21,043</w:t>
            </w:r>
          </w:p>
        </w:tc>
        <w:tc>
          <w:tcPr>
            <w:tcW w:w="1670" w:type="dxa"/>
          </w:tcPr>
          <w:p w14:paraId="4893D0D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69BF9A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tcPr>
          <w:p w14:paraId="769ADF4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2E73D4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-21,043</w:t>
            </w:r>
            <w:r w:rsidRPr="00DC66CD">
              <w:rPr>
                <w:rStyle w:val="FootnoteReference"/>
                <w:rFonts w:ascii="Garamond" w:hAnsi="Garamond"/>
                <w:sz w:val="20"/>
                <w:szCs w:val="20"/>
              </w:rPr>
              <w:footnoteReference w:id="77"/>
            </w:r>
          </w:p>
        </w:tc>
      </w:tr>
      <w:tr w:rsidR="006F605B" w:rsidRPr="00DC66CD" w14:paraId="3A4F671B" w14:textId="77777777" w:rsidTr="00131DA1">
        <w:tc>
          <w:tcPr>
            <w:tcW w:w="9493" w:type="dxa"/>
            <w:gridSpan w:val="6"/>
          </w:tcPr>
          <w:p w14:paraId="6DA050FA" w14:textId="77777777" w:rsidR="006F605B" w:rsidRPr="00DC66CD" w:rsidRDefault="006F605B" w:rsidP="00131DA1">
            <w:pPr>
              <w:snapToGrid w:val="0"/>
              <w:spacing w:after="0" w:line="240" w:lineRule="auto"/>
              <w:rPr>
                <w:rFonts w:ascii="Garamond" w:hAnsi="Garamond"/>
                <w:i/>
                <w:sz w:val="20"/>
                <w:szCs w:val="20"/>
              </w:rPr>
            </w:pPr>
            <w:r w:rsidRPr="00DC66CD">
              <w:rPr>
                <w:rFonts w:ascii="Garamond" w:hAnsi="Garamond"/>
                <w:i/>
                <w:sz w:val="20"/>
                <w:szCs w:val="20"/>
              </w:rPr>
              <w:t>Zbatimi i programeve të nxitjes së punësimit (euro)</w:t>
            </w:r>
          </w:p>
        </w:tc>
      </w:tr>
      <w:tr w:rsidR="006F605B" w:rsidRPr="00DC66CD" w14:paraId="392019D0" w14:textId="77777777" w:rsidTr="00131DA1">
        <w:tc>
          <w:tcPr>
            <w:tcW w:w="828" w:type="dxa"/>
          </w:tcPr>
          <w:p w14:paraId="13333A0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70" w:type="dxa"/>
          </w:tcPr>
          <w:p w14:paraId="2F45A909" w14:textId="77777777" w:rsidR="006F605B" w:rsidRPr="00DC66CD" w:rsidRDefault="006F605B" w:rsidP="00131DA1">
            <w:pPr>
              <w:snapToGrid w:val="0"/>
              <w:spacing w:after="0" w:line="240" w:lineRule="auto"/>
              <w:jc w:val="right"/>
              <w:rPr>
                <w:rFonts w:ascii="Garamond" w:hAnsi="Garamond"/>
                <w:sz w:val="20"/>
                <w:szCs w:val="20"/>
              </w:rPr>
            </w:pPr>
          </w:p>
        </w:tc>
        <w:tc>
          <w:tcPr>
            <w:tcW w:w="1670" w:type="dxa"/>
          </w:tcPr>
          <w:p w14:paraId="1E72823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29FAE19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487,805</w:t>
            </w:r>
          </w:p>
        </w:tc>
        <w:tc>
          <w:tcPr>
            <w:tcW w:w="1670" w:type="dxa"/>
          </w:tcPr>
          <w:p w14:paraId="18ADDEC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614898F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487,805</w:t>
            </w:r>
          </w:p>
        </w:tc>
      </w:tr>
      <w:tr w:rsidR="006F605B" w:rsidRPr="00DC66CD" w14:paraId="3C9162C1" w14:textId="77777777" w:rsidTr="00131DA1">
        <w:tc>
          <w:tcPr>
            <w:tcW w:w="828" w:type="dxa"/>
          </w:tcPr>
          <w:p w14:paraId="1F8B064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70" w:type="dxa"/>
          </w:tcPr>
          <w:p w14:paraId="337B75E1" w14:textId="77777777" w:rsidR="006F605B" w:rsidRPr="00DC66CD" w:rsidRDefault="006F605B" w:rsidP="00131DA1">
            <w:pPr>
              <w:snapToGrid w:val="0"/>
              <w:spacing w:after="0" w:line="240" w:lineRule="auto"/>
              <w:jc w:val="right"/>
              <w:rPr>
                <w:rFonts w:ascii="Garamond" w:hAnsi="Garamond"/>
                <w:sz w:val="20"/>
                <w:szCs w:val="20"/>
              </w:rPr>
            </w:pPr>
          </w:p>
        </w:tc>
        <w:tc>
          <w:tcPr>
            <w:tcW w:w="1670" w:type="dxa"/>
          </w:tcPr>
          <w:p w14:paraId="22660E2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4039F11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406,504</w:t>
            </w:r>
          </w:p>
        </w:tc>
        <w:tc>
          <w:tcPr>
            <w:tcW w:w="1670" w:type="dxa"/>
          </w:tcPr>
          <w:p w14:paraId="09E1FF8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3E14BC8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406,504</w:t>
            </w:r>
          </w:p>
        </w:tc>
      </w:tr>
      <w:tr w:rsidR="006F605B" w:rsidRPr="00DC66CD" w14:paraId="264DA0E5" w14:textId="77777777" w:rsidTr="00131DA1">
        <w:tc>
          <w:tcPr>
            <w:tcW w:w="828" w:type="dxa"/>
          </w:tcPr>
          <w:p w14:paraId="30866C8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70" w:type="dxa"/>
          </w:tcPr>
          <w:p w14:paraId="2FFECF96" w14:textId="77777777" w:rsidR="006F605B" w:rsidRPr="00DC66CD" w:rsidRDefault="006F605B" w:rsidP="00131DA1">
            <w:pPr>
              <w:snapToGrid w:val="0"/>
              <w:spacing w:after="0" w:line="240" w:lineRule="auto"/>
              <w:jc w:val="right"/>
              <w:rPr>
                <w:rFonts w:ascii="Garamond" w:hAnsi="Garamond"/>
                <w:sz w:val="20"/>
                <w:szCs w:val="20"/>
              </w:rPr>
            </w:pPr>
          </w:p>
        </w:tc>
        <w:tc>
          <w:tcPr>
            <w:tcW w:w="1670" w:type="dxa"/>
          </w:tcPr>
          <w:p w14:paraId="5D6E851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73F45D6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w:t>
            </w:r>
          </w:p>
        </w:tc>
        <w:tc>
          <w:tcPr>
            <w:tcW w:w="1670" w:type="dxa"/>
          </w:tcPr>
          <w:p w14:paraId="00B126E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272DE24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w:t>
            </w:r>
            <w:r w:rsidRPr="00DC66CD">
              <w:rPr>
                <w:rStyle w:val="FootnoteReference"/>
                <w:rFonts w:ascii="Garamond" w:hAnsi="Garamond"/>
                <w:sz w:val="20"/>
                <w:szCs w:val="20"/>
              </w:rPr>
              <w:footnoteReference w:id="78"/>
            </w:r>
          </w:p>
        </w:tc>
      </w:tr>
      <w:tr w:rsidR="006F605B" w:rsidRPr="00DC66CD" w14:paraId="3D535744" w14:textId="77777777" w:rsidTr="00131DA1">
        <w:tc>
          <w:tcPr>
            <w:tcW w:w="9493" w:type="dxa"/>
            <w:gridSpan w:val="6"/>
          </w:tcPr>
          <w:p w14:paraId="0B2248E6" w14:textId="77777777" w:rsidR="006F605B" w:rsidRPr="00DC66CD" w:rsidRDefault="006F605B" w:rsidP="00131DA1">
            <w:pPr>
              <w:snapToGrid w:val="0"/>
              <w:spacing w:after="0" w:line="240" w:lineRule="auto"/>
              <w:rPr>
                <w:rFonts w:ascii="Garamond" w:hAnsi="Garamond"/>
                <w:i/>
                <w:sz w:val="20"/>
                <w:szCs w:val="20"/>
              </w:rPr>
            </w:pPr>
            <w:r w:rsidRPr="00DC66CD">
              <w:rPr>
                <w:rFonts w:ascii="Garamond" w:hAnsi="Garamond"/>
                <w:i/>
                <w:sz w:val="20"/>
                <w:szCs w:val="20"/>
              </w:rPr>
              <w:t>Trajnimi në QFP (euro)</w:t>
            </w:r>
          </w:p>
        </w:tc>
      </w:tr>
      <w:tr w:rsidR="006F605B" w:rsidRPr="00DC66CD" w14:paraId="4B20FAC4" w14:textId="77777777" w:rsidTr="00131DA1">
        <w:tc>
          <w:tcPr>
            <w:tcW w:w="828" w:type="dxa"/>
          </w:tcPr>
          <w:p w14:paraId="4147944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70" w:type="dxa"/>
          </w:tcPr>
          <w:p w14:paraId="72100503" w14:textId="77777777" w:rsidR="006F605B" w:rsidRPr="00DC66CD" w:rsidRDefault="006F605B" w:rsidP="00131DA1">
            <w:pPr>
              <w:snapToGrid w:val="0"/>
              <w:spacing w:after="0" w:line="240" w:lineRule="auto"/>
              <w:jc w:val="right"/>
              <w:rPr>
                <w:rFonts w:ascii="Garamond" w:hAnsi="Garamond"/>
                <w:sz w:val="20"/>
                <w:szCs w:val="20"/>
              </w:rPr>
            </w:pPr>
          </w:p>
        </w:tc>
        <w:tc>
          <w:tcPr>
            <w:tcW w:w="1670" w:type="dxa"/>
          </w:tcPr>
          <w:p w14:paraId="6B9D3E2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0A660D9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115,401</w:t>
            </w:r>
          </w:p>
        </w:tc>
        <w:tc>
          <w:tcPr>
            <w:tcW w:w="1670" w:type="dxa"/>
          </w:tcPr>
          <w:p w14:paraId="08247FA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7B42C23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115,401</w:t>
            </w:r>
          </w:p>
        </w:tc>
      </w:tr>
      <w:tr w:rsidR="006F605B" w:rsidRPr="00DC66CD" w14:paraId="4A53ECCF" w14:textId="77777777" w:rsidTr="00131DA1">
        <w:tc>
          <w:tcPr>
            <w:tcW w:w="828" w:type="dxa"/>
          </w:tcPr>
          <w:p w14:paraId="4B40FBC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70" w:type="dxa"/>
          </w:tcPr>
          <w:p w14:paraId="1707110E" w14:textId="77777777" w:rsidR="006F605B" w:rsidRPr="00DC66CD" w:rsidRDefault="006F605B" w:rsidP="00131DA1">
            <w:pPr>
              <w:snapToGrid w:val="0"/>
              <w:spacing w:after="0" w:line="240" w:lineRule="auto"/>
              <w:jc w:val="right"/>
              <w:rPr>
                <w:rFonts w:ascii="Garamond" w:hAnsi="Garamond"/>
                <w:sz w:val="20"/>
                <w:szCs w:val="20"/>
              </w:rPr>
            </w:pPr>
          </w:p>
        </w:tc>
        <w:tc>
          <w:tcPr>
            <w:tcW w:w="1670" w:type="dxa"/>
          </w:tcPr>
          <w:p w14:paraId="0525F5D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1C54217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16,092</w:t>
            </w:r>
          </w:p>
        </w:tc>
        <w:tc>
          <w:tcPr>
            <w:tcW w:w="1670" w:type="dxa"/>
          </w:tcPr>
          <w:p w14:paraId="6294206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67ABF14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16,092</w:t>
            </w:r>
          </w:p>
        </w:tc>
      </w:tr>
      <w:tr w:rsidR="006F605B" w:rsidRPr="00DC66CD" w14:paraId="72BE334C" w14:textId="77777777" w:rsidTr="00131DA1">
        <w:tc>
          <w:tcPr>
            <w:tcW w:w="828" w:type="dxa"/>
          </w:tcPr>
          <w:p w14:paraId="10B0AE0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70" w:type="dxa"/>
          </w:tcPr>
          <w:p w14:paraId="650FDF95" w14:textId="77777777" w:rsidR="006F605B" w:rsidRPr="00DC66CD" w:rsidRDefault="006F605B" w:rsidP="00131DA1">
            <w:pPr>
              <w:snapToGrid w:val="0"/>
              <w:spacing w:after="0" w:line="240" w:lineRule="auto"/>
              <w:jc w:val="right"/>
              <w:rPr>
                <w:rFonts w:ascii="Garamond" w:hAnsi="Garamond"/>
                <w:sz w:val="20"/>
                <w:szCs w:val="20"/>
              </w:rPr>
            </w:pPr>
          </w:p>
        </w:tc>
        <w:tc>
          <w:tcPr>
            <w:tcW w:w="1670" w:type="dxa"/>
          </w:tcPr>
          <w:p w14:paraId="2D01501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2669561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8,170</w:t>
            </w:r>
          </w:p>
        </w:tc>
        <w:tc>
          <w:tcPr>
            <w:tcW w:w="1670" w:type="dxa"/>
          </w:tcPr>
          <w:p w14:paraId="3218C03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7A92F49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8,170</w:t>
            </w:r>
          </w:p>
        </w:tc>
      </w:tr>
      <w:tr w:rsidR="006F605B" w:rsidRPr="00DC66CD" w14:paraId="203B9062" w14:textId="77777777" w:rsidTr="00131DA1">
        <w:tc>
          <w:tcPr>
            <w:tcW w:w="9493" w:type="dxa"/>
            <w:gridSpan w:val="6"/>
          </w:tcPr>
          <w:p w14:paraId="05C2E0ED" w14:textId="77777777" w:rsidR="006F605B" w:rsidRPr="00DC66CD" w:rsidRDefault="006F605B" w:rsidP="00131DA1">
            <w:pPr>
              <w:snapToGrid w:val="0"/>
              <w:spacing w:after="0" w:line="240" w:lineRule="auto"/>
              <w:rPr>
                <w:rFonts w:ascii="Garamond" w:hAnsi="Garamond"/>
                <w:i/>
                <w:sz w:val="20"/>
                <w:szCs w:val="20"/>
              </w:rPr>
            </w:pPr>
            <w:r w:rsidRPr="00DC66CD">
              <w:rPr>
                <w:rFonts w:ascii="Garamond" w:hAnsi="Garamond"/>
                <w:i/>
                <w:sz w:val="20"/>
                <w:szCs w:val="20"/>
              </w:rPr>
              <w:t>Përfitimet nga papunësia (euro)</w:t>
            </w:r>
          </w:p>
        </w:tc>
      </w:tr>
      <w:tr w:rsidR="006F605B" w:rsidRPr="00DC66CD" w14:paraId="113EE097" w14:textId="77777777" w:rsidTr="00131DA1">
        <w:tc>
          <w:tcPr>
            <w:tcW w:w="828" w:type="dxa"/>
          </w:tcPr>
          <w:p w14:paraId="281EC07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670" w:type="dxa"/>
            <w:vAlign w:val="bottom"/>
          </w:tcPr>
          <w:p w14:paraId="3ECB60C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vAlign w:val="bottom"/>
          </w:tcPr>
          <w:p w14:paraId="1B4CF60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72866F4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eastAsia="Times New Roman" w:hAnsi="Garamond"/>
                <w:sz w:val="20"/>
                <w:szCs w:val="20"/>
              </w:rPr>
              <w:t>556,185</w:t>
            </w:r>
          </w:p>
        </w:tc>
        <w:tc>
          <w:tcPr>
            <w:tcW w:w="1670" w:type="dxa"/>
            <w:vAlign w:val="bottom"/>
          </w:tcPr>
          <w:p w14:paraId="2A68251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786336E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eastAsia="Times New Roman" w:hAnsi="Garamond"/>
                <w:sz w:val="20"/>
                <w:szCs w:val="20"/>
              </w:rPr>
              <w:t>556,185</w:t>
            </w:r>
          </w:p>
        </w:tc>
      </w:tr>
      <w:tr w:rsidR="006F605B" w:rsidRPr="00DC66CD" w14:paraId="0CA9DB79" w14:textId="77777777" w:rsidTr="00131DA1">
        <w:tc>
          <w:tcPr>
            <w:tcW w:w="828" w:type="dxa"/>
          </w:tcPr>
          <w:p w14:paraId="343AC73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670" w:type="dxa"/>
            <w:vAlign w:val="bottom"/>
          </w:tcPr>
          <w:p w14:paraId="4DF951F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vAlign w:val="bottom"/>
          </w:tcPr>
          <w:p w14:paraId="70CA210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15631C5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330,057</w:t>
            </w:r>
          </w:p>
        </w:tc>
        <w:tc>
          <w:tcPr>
            <w:tcW w:w="1670" w:type="dxa"/>
            <w:vAlign w:val="bottom"/>
          </w:tcPr>
          <w:p w14:paraId="1643BC1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tcPr>
          <w:p w14:paraId="3F93301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330,057</w:t>
            </w:r>
          </w:p>
        </w:tc>
      </w:tr>
      <w:tr w:rsidR="006F605B" w:rsidRPr="00DC66CD" w14:paraId="40428DED" w14:textId="77777777" w:rsidTr="00131DA1">
        <w:tc>
          <w:tcPr>
            <w:tcW w:w="828" w:type="dxa"/>
          </w:tcPr>
          <w:p w14:paraId="6B556C0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670" w:type="dxa"/>
            <w:vAlign w:val="bottom"/>
          </w:tcPr>
          <w:p w14:paraId="471D1AE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0" w:type="dxa"/>
            <w:vAlign w:val="bottom"/>
          </w:tcPr>
          <w:p w14:paraId="429F220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671" w:type="dxa"/>
          </w:tcPr>
          <w:p w14:paraId="6DEA6E1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w:t>
            </w:r>
            <w:r w:rsidRPr="00DC66CD">
              <w:rPr>
                <w:rStyle w:val="FootnoteReference"/>
                <w:rFonts w:ascii="Garamond" w:hAnsi="Garamond"/>
                <w:sz w:val="20"/>
                <w:szCs w:val="20"/>
              </w:rPr>
              <w:footnoteReference w:id="79"/>
            </w:r>
          </w:p>
        </w:tc>
        <w:tc>
          <w:tcPr>
            <w:tcW w:w="1670" w:type="dxa"/>
            <w:vAlign w:val="bottom"/>
          </w:tcPr>
          <w:p w14:paraId="558F587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4" w:type="dxa"/>
            <w:vAlign w:val="center"/>
          </w:tcPr>
          <w:p w14:paraId="7742299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w:t>
            </w:r>
          </w:p>
        </w:tc>
      </w:tr>
    </w:tbl>
    <w:p w14:paraId="544B918A" w14:textId="77777777" w:rsidR="006F605B" w:rsidRPr="00DC66CD" w:rsidRDefault="006F605B" w:rsidP="006F605B">
      <w:pPr>
        <w:snapToGrid w:val="0"/>
        <w:spacing w:after="0" w:line="240" w:lineRule="auto"/>
        <w:ind w:firstLine="284"/>
        <w:jc w:val="right"/>
        <w:rPr>
          <w:rFonts w:ascii="Garamond" w:hAnsi="Garamond"/>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740"/>
        <w:gridCol w:w="1518"/>
        <w:gridCol w:w="1742"/>
        <w:gridCol w:w="1701"/>
        <w:gridCol w:w="1985"/>
      </w:tblGrid>
      <w:tr w:rsidR="006F605B" w:rsidRPr="00DC66CD" w14:paraId="1CDF7730" w14:textId="77777777" w:rsidTr="00131DA1">
        <w:tc>
          <w:tcPr>
            <w:tcW w:w="9493" w:type="dxa"/>
            <w:gridSpan w:val="6"/>
            <w:shd w:val="clear" w:color="auto" w:fill="E5DFEC" w:themeFill="accent4" w:themeFillTint="33"/>
          </w:tcPr>
          <w:p w14:paraId="721B502B"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19: Fuqizimi i mbrojtjes sociale dhe masat e përfshirjes sociale</w:t>
            </w:r>
          </w:p>
        </w:tc>
      </w:tr>
      <w:tr w:rsidR="006F605B" w:rsidRPr="00DC66CD" w14:paraId="41AB3E16" w14:textId="77777777" w:rsidTr="004512E9">
        <w:tc>
          <w:tcPr>
            <w:tcW w:w="807" w:type="dxa"/>
            <w:vAlign w:val="center"/>
          </w:tcPr>
          <w:p w14:paraId="43EC1FC3"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740" w:type="dxa"/>
            <w:vAlign w:val="center"/>
          </w:tcPr>
          <w:p w14:paraId="548B65F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Pagat</w:t>
            </w:r>
          </w:p>
        </w:tc>
        <w:tc>
          <w:tcPr>
            <w:tcW w:w="1518" w:type="dxa"/>
            <w:vAlign w:val="center"/>
          </w:tcPr>
          <w:p w14:paraId="02D289D3"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Mallrat dhe Shërbimet</w:t>
            </w:r>
          </w:p>
        </w:tc>
        <w:tc>
          <w:tcPr>
            <w:tcW w:w="1742" w:type="dxa"/>
            <w:vAlign w:val="center"/>
          </w:tcPr>
          <w:p w14:paraId="61FE0AC3"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Subvencione dhe transferime</w:t>
            </w:r>
          </w:p>
        </w:tc>
        <w:tc>
          <w:tcPr>
            <w:tcW w:w="1701" w:type="dxa"/>
            <w:vAlign w:val="center"/>
          </w:tcPr>
          <w:p w14:paraId="69EFD40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Shpenzimet Kapitale</w:t>
            </w:r>
          </w:p>
        </w:tc>
        <w:tc>
          <w:tcPr>
            <w:tcW w:w="1985" w:type="dxa"/>
            <w:vAlign w:val="center"/>
          </w:tcPr>
          <w:p w14:paraId="30A4E9D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03B6504C" w14:textId="77777777" w:rsidTr="00131DA1">
        <w:tc>
          <w:tcPr>
            <w:tcW w:w="807" w:type="dxa"/>
          </w:tcPr>
          <w:p w14:paraId="6179A43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740" w:type="dxa"/>
            <w:vAlign w:val="bottom"/>
          </w:tcPr>
          <w:p w14:paraId="129CA93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518" w:type="dxa"/>
            <w:vAlign w:val="bottom"/>
          </w:tcPr>
          <w:p w14:paraId="1F15874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742" w:type="dxa"/>
          </w:tcPr>
          <w:p w14:paraId="17F30A1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2.8 mn</w:t>
            </w:r>
          </w:p>
        </w:tc>
        <w:tc>
          <w:tcPr>
            <w:tcW w:w="1701" w:type="dxa"/>
            <w:vAlign w:val="bottom"/>
          </w:tcPr>
          <w:p w14:paraId="61D67AF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5" w:type="dxa"/>
          </w:tcPr>
          <w:p w14:paraId="7C37CCB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2.8 mn</w:t>
            </w:r>
          </w:p>
        </w:tc>
      </w:tr>
      <w:tr w:rsidR="006F605B" w:rsidRPr="00DC66CD" w14:paraId="21B6A011" w14:textId="77777777" w:rsidTr="00131DA1">
        <w:tc>
          <w:tcPr>
            <w:tcW w:w="807" w:type="dxa"/>
          </w:tcPr>
          <w:p w14:paraId="04331AC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740" w:type="dxa"/>
            <w:vAlign w:val="bottom"/>
          </w:tcPr>
          <w:p w14:paraId="3797DDE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518" w:type="dxa"/>
            <w:vAlign w:val="bottom"/>
          </w:tcPr>
          <w:p w14:paraId="5827A51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742" w:type="dxa"/>
          </w:tcPr>
          <w:p w14:paraId="03F4CDC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3.6 mn</w:t>
            </w:r>
          </w:p>
        </w:tc>
        <w:tc>
          <w:tcPr>
            <w:tcW w:w="1701" w:type="dxa"/>
            <w:vAlign w:val="bottom"/>
          </w:tcPr>
          <w:p w14:paraId="6187192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985" w:type="dxa"/>
          </w:tcPr>
          <w:p w14:paraId="16DC6FB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3.6 mn</w:t>
            </w:r>
          </w:p>
        </w:tc>
      </w:tr>
      <w:tr w:rsidR="006F605B" w:rsidRPr="00DC66CD" w14:paraId="2C619174" w14:textId="77777777" w:rsidTr="00131DA1">
        <w:tc>
          <w:tcPr>
            <w:tcW w:w="807" w:type="dxa"/>
          </w:tcPr>
          <w:p w14:paraId="762764D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740" w:type="dxa"/>
            <w:vAlign w:val="bottom"/>
          </w:tcPr>
          <w:p w14:paraId="6053B26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518" w:type="dxa"/>
            <w:vAlign w:val="bottom"/>
          </w:tcPr>
          <w:p w14:paraId="05F07C8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742" w:type="dxa"/>
          </w:tcPr>
          <w:p w14:paraId="75E60FB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4.4 mn</w:t>
            </w:r>
          </w:p>
        </w:tc>
        <w:tc>
          <w:tcPr>
            <w:tcW w:w="1701" w:type="dxa"/>
            <w:vAlign w:val="bottom"/>
          </w:tcPr>
          <w:p w14:paraId="15F60D64" w14:textId="77777777" w:rsidR="006F605B" w:rsidRPr="00DC66CD" w:rsidRDefault="006F605B" w:rsidP="00131DA1">
            <w:pPr>
              <w:snapToGrid w:val="0"/>
              <w:spacing w:after="0" w:line="240" w:lineRule="auto"/>
              <w:jc w:val="right"/>
              <w:rPr>
                <w:rFonts w:ascii="Garamond" w:eastAsia="Open Sans Light" w:hAnsi="Garamond"/>
                <w:sz w:val="20"/>
                <w:szCs w:val="20"/>
              </w:rPr>
            </w:pPr>
            <w:r w:rsidRPr="00DC66CD">
              <w:rPr>
                <w:rFonts w:ascii="Garamond" w:hAnsi="Garamond"/>
                <w:sz w:val="20"/>
                <w:szCs w:val="20"/>
              </w:rPr>
              <w:t>0</w:t>
            </w:r>
          </w:p>
        </w:tc>
        <w:tc>
          <w:tcPr>
            <w:tcW w:w="1985" w:type="dxa"/>
          </w:tcPr>
          <w:p w14:paraId="1B6C7F6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4.4 mn</w:t>
            </w:r>
          </w:p>
        </w:tc>
      </w:tr>
    </w:tbl>
    <w:p w14:paraId="3615D799" w14:textId="77777777" w:rsidR="006F605B" w:rsidRPr="00DC66CD" w:rsidRDefault="006F605B" w:rsidP="006F605B">
      <w:pPr>
        <w:snapToGrid w:val="0"/>
        <w:spacing w:after="0" w:line="240" w:lineRule="auto"/>
        <w:ind w:firstLine="284"/>
        <w:rPr>
          <w:rFonts w:ascii="Garamond" w:eastAsia="Arial Narrow" w:hAnsi="Garamond"/>
          <w:bCs/>
          <w:sz w:val="24"/>
          <w:szCs w:val="24"/>
        </w:rPr>
      </w:pPr>
    </w:p>
    <w:p w14:paraId="7EFCD4DB" w14:textId="77777777" w:rsidR="006F605B" w:rsidRPr="00DC66CD" w:rsidRDefault="006F605B" w:rsidP="006F605B">
      <w:pPr>
        <w:pStyle w:val="Heading2"/>
        <w:snapToGrid w:val="0"/>
        <w:spacing w:before="0" w:line="240" w:lineRule="auto"/>
        <w:ind w:firstLine="284"/>
        <w:rPr>
          <w:rFonts w:ascii="Garamond" w:hAnsi="Garamond"/>
          <w:b w:val="0"/>
          <w:i/>
          <w:color w:val="auto"/>
          <w:sz w:val="24"/>
          <w:szCs w:val="24"/>
        </w:rPr>
      </w:pPr>
      <w:bookmarkStart w:id="108" w:name="_Toc30661257"/>
      <w:r w:rsidRPr="00DC66CD">
        <w:rPr>
          <w:rFonts w:ascii="Garamond" w:hAnsi="Garamond"/>
          <w:b w:val="0"/>
          <w:i/>
          <w:color w:val="auto"/>
          <w:sz w:val="24"/>
          <w:szCs w:val="24"/>
        </w:rPr>
        <w:t>Tabela 10b: Financimi i masave të reformave strukturore</w:t>
      </w:r>
      <w:bookmarkEnd w:id="10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014"/>
        <w:gridCol w:w="1014"/>
        <w:gridCol w:w="1121"/>
        <w:gridCol w:w="1008"/>
        <w:gridCol w:w="1006"/>
        <w:gridCol w:w="1094"/>
        <w:gridCol w:w="1270"/>
        <w:gridCol w:w="1119"/>
      </w:tblGrid>
      <w:tr w:rsidR="006F605B" w:rsidRPr="00DC66CD" w14:paraId="50573189" w14:textId="77777777" w:rsidTr="00131DA1">
        <w:tc>
          <w:tcPr>
            <w:tcW w:w="9634" w:type="dxa"/>
            <w:gridSpan w:val="9"/>
            <w:shd w:val="clear" w:color="auto" w:fill="E5DFEC" w:themeFill="accent4" w:themeFillTint="33"/>
          </w:tcPr>
          <w:p w14:paraId="447ED25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01: Liberalizimi i mëtejshëm i tregut të energjisë</w:t>
            </w:r>
          </w:p>
        </w:tc>
      </w:tr>
      <w:tr w:rsidR="006F605B" w:rsidRPr="00DC66CD" w14:paraId="2373BE42" w14:textId="77777777" w:rsidTr="004512E9">
        <w:tc>
          <w:tcPr>
            <w:tcW w:w="1026" w:type="dxa"/>
            <w:vAlign w:val="center"/>
          </w:tcPr>
          <w:p w14:paraId="3C1432E1"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26" w:type="dxa"/>
            <w:vAlign w:val="center"/>
          </w:tcPr>
          <w:p w14:paraId="6DF0C0F8" w14:textId="53DFC2A4"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26" w:type="dxa"/>
            <w:vAlign w:val="center"/>
          </w:tcPr>
          <w:p w14:paraId="4827E520" w14:textId="05402F6C"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026" w:type="dxa"/>
            <w:vAlign w:val="center"/>
          </w:tcPr>
          <w:p w14:paraId="3D8DE05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026" w:type="dxa"/>
            <w:vAlign w:val="center"/>
          </w:tcPr>
          <w:p w14:paraId="06E4D3D6" w14:textId="1DB5BCC2"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026" w:type="dxa"/>
            <w:vAlign w:val="center"/>
          </w:tcPr>
          <w:p w14:paraId="139F64E1"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026" w:type="dxa"/>
            <w:vAlign w:val="center"/>
          </w:tcPr>
          <w:p w14:paraId="64EDBEB0" w14:textId="60171B04"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Huate e projekteve</w:t>
            </w:r>
          </w:p>
        </w:tc>
        <w:tc>
          <w:tcPr>
            <w:tcW w:w="1296" w:type="dxa"/>
            <w:vAlign w:val="center"/>
          </w:tcPr>
          <w:p w14:paraId="0FB95390" w14:textId="0BF5067A" w:rsidR="006F605B" w:rsidRPr="00DC66CD" w:rsidRDefault="0042617D" w:rsidP="004512E9">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156" w:type="dxa"/>
            <w:vAlign w:val="center"/>
          </w:tcPr>
          <w:p w14:paraId="53C764D2"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32DF8C66" w14:textId="77777777" w:rsidTr="00131DA1">
        <w:tc>
          <w:tcPr>
            <w:tcW w:w="1026" w:type="dxa"/>
          </w:tcPr>
          <w:p w14:paraId="2A56A80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2020 - 2022</w:t>
            </w:r>
          </w:p>
        </w:tc>
        <w:tc>
          <w:tcPr>
            <w:tcW w:w="1026" w:type="dxa"/>
          </w:tcPr>
          <w:p w14:paraId="59788A94"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tcPr>
          <w:p w14:paraId="0069238A"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tcPr>
          <w:p w14:paraId="5C851B7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 mn</w:t>
            </w:r>
            <w:r w:rsidRPr="00DC66CD">
              <w:rPr>
                <w:rStyle w:val="FootnoteReference"/>
                <w:rFonts w:ascii="Garamond" w:hAnsi="Garamond"/>
                <w:sz w:val="20"/>
                <w:szCs w:val="20"/>
              </w:rPr>
              <w:footnoteReference w:id="80"/>
            </w:r>
          </w:p>
        </w:tc>
        <w:tc>
          <w:tcPr>
            <w:tcW w:w="1026" w:type="dxa"/>
          </w:tcPr>
          <w:p w14:paraId="797B256D"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tcPr>
          <w:p w14:paraId="0457D19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15 mn</w:t>
            </w:r>
            <w:r w:rsidRPr="00DC66CD">
              <w:rPr>
                <w:rStyle w:val="FootnoteReference"/>
                <w:rFonts w:ascii="Garamond" w:hAnsi="Garamond"/>
                <w:sz w:val="20"/>
                <w:szCs w:val="20"/>
              </w:rPr>
              <w:footnoteReference w:id="81"/>
            </w:r>
          </w:p>
        </w:tc>
        <w:tc>
          <w:tcPr>
            <w:tcW w:w="1026" w:type="dxa"/>
          </w:tcPr>
          <w:p w14:paraId="381065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50 mn</w:t>
            </w:r>
            <w:r w:rsidRPr="00DC66CD">
              <w:rPr>
                <w:rStyle w:val="FootnoteReference"/>
                <w:rFonts w:ascii="Garamond" w:hAnsi="Garamond"/>
                <w:sz w:val="20"/>
                <w:szCs w:val="20"/>
              </w:rPr>
              <w:footnoteReference w:id="82"/>
            </w:r>
          </w:p>
        </w:tc>
        <w:tc>
          <w:tcPr>
            <w:tcW w:w="1296" w:type="dxa"/>
          </w:tcPr>
          <w:p w14:paraId="68166CF4" w14:textId="77777777" w:rsidR="006F605B" w:rsidRPr="00DC66CD" w:rsidRDefault="006F605B" w:rsidP="00131DA1">
            <w:pPr>
              <w:snapToGrid w:val="0"/>
              <w:spacing w:after="0" w:line="240" w:lineRule="auto"/>
              <w:jc w:val="right"/>
              <w:rPr>
                <w:rFonts w:ascii="Garamond" w:hAnsi="Garamond"/>
                <w:sz w:val="20"/>
                <w:szCs w:val="20"/>
              </w:rPr>
            </w:pPr>
          </w:p>
        </w:tc>
        <w:tc>
          <w:tcPr>
            <w:tcW w:w="1156" w:type="dxa"/>
          </w:tcPr>
          <w:p w14:paraId="3F5ECCB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70 mn</w:t>
            </w:r>
          </w:p>
        </w:tc>
      </w:tr>
    </w:tbl>
    <w:p w14:paraId="451A06B0"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296"/>
        <w:gridCol w:w="981"/>
        <w:gridCol w:w="1229"/>
        <w:gridCol w:w="887"/>
        <w:gridCol w:w="877"/>
        <w:gridCol w:w="1229"/>
        <w:gridCol w:w="1120"/>
        <w:gridCol w:w="1296"/>
      </w:tblGrid>
      <w:tr w:rsidR="006F605B" w:rsidRPr="00DC66CD" w14:paraId="3AE2C44E" w14:textId="77777777" w:rsidTr="00131DA1">
        <w:tc>
          <w:tcPr>
            <w:tcW w:w="9634" w:type="dxa"/>
            <w:gridSpan w:val="9"/>
            <w:shd w:val="clear" w:color="auto" w:fill="E5DFEC" w:themeFill="accent4" w:themeFillTint="33"/>
          </w:tcPr>
          <w:p w14:paraId="127F5B6B"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 xml:space="preserve">Masa e reformës 02: </w:t>
            </w:r>
            <w:r w:rsidRPr="00DC66CD">
              <w:rPr>
                <w:rFonts w:ascii="Garamond" w:hAnsi="Garamond"/>
                <w:b/>
                <w:color w:val="0D0D0D"/>
                <w:sz w:val="20"/>
                <w:szCs w:val="20"/>
              </w:rPr>
              <w:t>Diversifikimi i burimeve të energjisë përmes promovimit të burimeve të rinovueshme të energjisë dhe përmirësimeve të efikasitetit të energjisë</w:t>
            </w:r>
          </w:p>
        </w:tc>
      </w:tr>
      <w:tr w:rsidR="006F605B" w:rsidRPr="00DC66CD" w14:paraId="21A38198" w14:textId="77777777" w:rsidTr="004512E9">
        <w:tc>
          <w:tcPr>
            <w:tcW w:w="719" w:type="dxa"/>
            <w:vAlign w:val="center"/>
          </w:tcPr>
          <w:p w14:paraId="2891B32A"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296" w:type="dxa"/>
            <w:vAlign w:val="center"/>
          </w:tcPr>
          <w:p w14:paraId="78930907" w14:textId="38FD0476"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981" w:type="dxa"/>
            <w:vAlign w:val="center"/>
          </w:tcPr>
          <w:p w14:paraId="3BCE4947" w14:textId="26F1E1C1"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229" w:type="dxa"/>
            <w:vAlign w:val="center"/>
          </w:tcPr>
          <w:p w14:paraId="73DE0CD2"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887" w:type="dxa"/>
            <w:vAlign w:val="center"/>
          </w:tcPr>
          <w:p w14:paraId="289EC0F0" w14:textId="71745FA9"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877" w:type="dxa"/>
            <w:vAlign w:val="center"/>
          </w:tcPr>
          <w:p w14:paraId="6D5C7959"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229" w:type="dxa"/>
            <w:vAlign w:val="center"/>
          </w:tcPr>
          <w:p w14:paraId="0FA83416" w14:textId="254A271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Huat e projekteve</w:t>
            </w:r>
          </w:p>
        </w:tc>
        <w:tc>
          <w:tcPr>
            <w:tcW w:w="1120" w:type="dxa"/>
            <w:vAlign w:val="center"/>
          </w:tcPr>
          <w:p w14:paraId="42E2E112" w14:textId="2E30BCC7" w:rsidR="006F605B" w:rsidRPr="00DC66CD" w:rsidRDefault="0042617D" w:rsidP="004512E9">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296" w:type="dxa"/>
            <w:vAlign w:val="center"/>
          </w:tcPr>
          <w:p w14:paraId="14E1486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1BFA5FDC" w14:textId="77777777" w:rsidTr="00131DA1">
        <w:tc>
          <w:tcPr>
            <w:tcW w:w="9634" w:type="dxa"/>
            <w:gridSpan w:val="9"/>
          </w:tcPr>
          <w:p w14:paraId="18AF6675" w14:textId="3648E371" w:rsidR="006F605B" w:rsidRPr="00DC66CD" w:rsidRDefault="006F605B" w:rsidP="00131DA1">
            <w:pPr>
              <w:snapToGrid w:val="0"/>
              <w:spacing w:after="0" w:line="240" w:lineRule="auto"/>
              <w:rPr>
                <w:rFonts w:ascii="Garamond" w:hAnsi="Garamond"/>
                <w:sz w:val="20"/>
                <w:szCs w:val="20"/>
              </w:rPr>
            </w:pPr>
            <w:r w:rsidRPr="00DC66CD">
              <w:rPr>
                <w:rFonts w:ascii="Garamond" w:hAnsi="Garamond"/>
                <w:b/>
                <w:color w:val="0D0D0D"/>
                <w:sz w:val="20"/>
                <w:szCs w:val="20"/>
              </w:rPr>
              <w:t xml:space="preserve">Përmirësimet e </w:t>
            </w:r>
            <w:r w:rsidR="0042617D" w:rsidRPr="00DC66CD">
              <w:rPr>
                <w:rFonts w:ascii="Garamond" w:hAnsi="Garamond"/>
                <w:b/>
                <w:color w:val="0D0D0D"/>
                <w:sz w:val="20"/>
                <w:szCs w:val="20"/>
              </w:rPr>
              <w:t>eficiencës</w:t>
            </w:r>
            <w:r w:rsidRPr="00DC66CD">
              <w:rPr>
                <w:rFonts w:ascii="Garamond" w:hAnsi="Garamond"/>
                <w:b/>
                <w:color w:val="0D0D0D"/>
                <w:sz w:val="20"/>
                <w:szCs w:val="20"/>
              </w:rPr>
              <w:t xml:space="preserve"> së energjisë</w:t>
            </w:r>
          </w:p>
        </w:tc>
      </w:tr>
      <w:tr w:rsidR="006F605B" w:rsidRPr="00DC66CD" w14:paraId="1049F0EF" w14:textId="77777777" w:rsidTr="00131DA1">
        <w:tc>
          <w:tcPr>
            <w:tcW w:w="719" w:type="dxa"/>
          </w:tcPr>
          <w:p w14:paraId="6F3C4E1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296" w:type="dxa"/>
          </w:tcPr>
          <w:p w14:paraId="778CBA0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345,227.80</w:t>
            </w:r>
          </w:p>
        </w:tc>
        <w:tc>
          <w:tcPr>
            <w:tcW w:w="981" w:type="dxa"/>
            <w:vAlign w:val="bottom"/>
          </w:tcPr>
          <w:p w14:paraId="6CC940C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7FC7394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87" w:type="dxa"/>
            <w:vAlign w:val="bottom"/>
          </w:tcPr>
          <w:p w14:paraId="18EE60E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77" w:type="dxa"/>
            <w:vAlign w:val="bottom"/>
          </w:tcPr>
          <w:p w14:paraId="0C07F8E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28E462E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0" w:type="dxa"/>
            <w:vAlign w:val="bottom"/>
          </w:tcPr>
          <w:p w14:paraId="5CB2049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3467E1B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345,227.80</w:t>
            </w:r>
          </w:p>
        </w:tc>
      </w:tr>
      <w:tr w:rsidR="006F605B" w:rsidRPr="00DC66CD" w14:paraId="60D0B5A4" w14:textId="77777777" w:rsidTr="00131DA1">
        <w:tc>
          <w:tcPr>
            <w:tcW w:w="719" w:type="dxa"/>
          </w:tcPr>
          <w:p w14:paraId="7FACCC0C"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296" w:type="dxa"/>
          </w:tcPr>
          <w:p w14:paraId="231CF6A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210,306.30</w:t>
            </w:r>
          </w:p>
        </w:tc>
        <w:tc>
          <w:tcPr>
            <w:tcW w:w="981" w:type="dxa"/>
            <w:vAlign w:val="bottom"/>
          </w:tcPr>
          <w:p w14:paraId="292F15B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0E62194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87" w:type="dxa"/>
            <w:vAlign w:val="bottom"/>
          </w:tcPr>
          <w:p w14:paraId="646F966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77" w:type="dxa"/>
            <w:vAlign w:val="bottom"/>
          </w:tcPr>
          <w:p w14:paraId="27EA95D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6D82FC1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0" w:type="dxa"/>
            <w:vAlign w:val="bottom"/>
          </w:tcPr>
          <w:p w14:paraId="550E1E4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19AB6F1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210,306.30</w:t>
            </w:r>
          </w:p>
        </w:tc>
      </w:tr>
      <w:tr w:rsidR="006F605B" w:rsidRPr="00DC66CD" w14:paraId="0AD82B93" w14:textId="77777777" w:rsidTr="00131DA1">
        <w:tc>
          <w:tcPr>
            <w:tcW w:w="719" w:type="dxa"/>
          </w:tcPr>
          <w:p w14:paraId="41D545F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296" w:type="dxa"/>
          </w:tcPr>
          <w:p w14:paraId="2DE927F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108,097.29</w:t>
            </w:r>
          </w:p>
        </w:tc>
        <w:tc>
          <w:tcPr>
            <w:tcW w:w="981" w:type="dxa"/>
            <w:vAlign w:val="bottom"/>
          </w:tcPr>
          <w:p w14:paraId="64ADDF8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7D661B5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87" w:type="dxa"/>
            <w:vAlign w:val="bottom"/>
          </w:tcPr>
          <w:p w14:paraId="51346AE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77" w:type="dxa"/>
            <w:vAlign w:val="bottom"/>
          </w:tcPr>
          <w:p w14:paraId="62F692C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2869111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0" w:type="dxa"/>
            <w:vAlign w:val="bottom"/>
          </w:tcPr>
          <w:p w14:paraId="61C084E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31B86A7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sz w:val="20"/>
                <w:szCs w:val="20"/>
              </w:rPr>
              <w:t>108,097.29</w:t>
            </w:r>
          </w:p>
        </w:tc>
      </w:tr>
      <w:tr w:rsidR="006F605B" w:rsidRPr="00DC66CD" w14:paraId="4E14C797" w14:textId="77777777" w:rsidTr="00131DA1">
        <w:tc>
          <w:tcPr>
            <w:tcW w:w="9634" w:type="dxa"/>
            <w:gridSpan w:val="9"/>
          </w:tcPr>
          <w:p w14:paraId="220C548F" w14:textId="7CD2FEBA" w:rsidR="006F605B" w:rsidRPr="00DC66CD" w:rsidRDefault="006F605B" w:rsidP="0042617D">
            <w:pPr>
              <w:snapToGrid w:val="0"/>
              <w:spacing w:after="0" w:line="240" w:lineRule="auto"/>
              <w:rPr>
                <w:rFonts w:ascii="Garamond" w:hAnsi="Garamond"/>
                <w:sz w:val="20"/>
                <w:szCs w:val="20"/>
              </w:rPr>
            </w:pPr>
            <w:r w:rsidRPr="00DC66CD">
              <w:rPr>
                <w:rFonts w:ascii="Garamond" w:hAnsi="Garamond"/>
                <w:b/>
                <w:sz w:val="20"/>
                <w:szCs w:val="20"/>
              </w:rPr>
              <w:t xml:space="preserve">Promovimi i burimeve të energjisë së rinovueshme (Mbështetje financiare për RES FiT </w:t>
            </w:r>
            <w:r w:rsidR="0042617D" w:rsidRPr="00DC66CD">
              <w:rPr>
                <w:rFonts w:ascii="Garamond" w:hAnsi="Garamond"/>
                <w:b/>
                <w:sz w:val="20"/>
                <w:szCs w:val="20"/>
              </w:rPr>
              <w:t>dhe</w:t>
            </w:r>
            <w:r w:rsidRPr="00DC66CD">
              <w:rPr>
                <w:rFonts w:ascii="Garamond" w:hAnsi="Garamond"/>
                <w:b/>
                <w:sz w:val="20"/>
                <w:szCs w:val="20"/>
              </w:rPr>
              <w:t xml:space="preserve"> FiP (KpD)</w:t>
            </w:r>
          </w:p>
        </w:tc>
      </w:tr>
      <w:tr w:rsidR="006F605B" w:rsidRPr="00DC66CD" w14:paraId="735034B5" w14:textId="77777777" w:rsidTr="00131DA1">
        <w:tc>
          <w:tcPr>
            <w:tcW w:w="719" w:type="dxa"/>
          </w:tcPr>
          <w:p w14:paraId="0E39DD4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296" w:type="dxa"/>
          </w:tcPr>
          <w:p w14:paraId="5CEB86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982,723.43</w:t>
            </w:r>
          </w:p>
        </w:tc>
        <w:tc>
          <w:tcPr>
            <w:tcW w:w="981" w:type="dxa"/>
            <w:vAlign w:val="bottom"/>
          </w:tcPr>
          <w:p w14:paraId="52977B3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185DD7F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87" w:type="dxa"/>
            <w:vAlign w:val="bottom"/>
          </w:tcPr>
          <w:p w14:paraId="6332544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77" w:type="dxa"/>
            <w:vAlign w:val="bottom"/>
          </w:tcPr>
          <w:p w14:paraId="1CD7065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001A674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0" w:type="dxa"/>
            <w:vAlign w:val="bottom"/>
          </w:tcPr>
          <w:p w14:paraId="0FF919C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625F0BA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982,723.43</w:t>
            </w:r>
          </w:p>
        </w:tc>
      </w:tr>
      <w:tr w:rsidR="006F605B" w:rsidRPr="00DC66CD" w14:paraId="384C95BD" w14:textId="77777777" w:rsidTr="00131DA1">
        <w:tc>
          <w:tcPr>
            <w:tcW w:w="719" w:type="dxa"/>
          </w:tcPr>
          <w:p w14:paraId="67030AF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296" w:type="dxa"/>
          </w:tcPr>
          <w:p w14:paraId="7AC9D397" w14:textId="77777777" w:rsidR="006F605B" w:rsidRPr="00DC66CD" w:rsidRDefault="006F605B" w:rsidP="00131DA1">
            <w:pPr>
              <w:snapToGrid w:val="0"/>
              <w:spacing w:after="0" w:line="240" w:lineRule="auto"/>
              <w:jc w:val="right"/>
              <w:rPr>
                <w:rFonts w:ascii="Garamond" w:hAnsi="Garamond"/>
                <w:sz w:val="20"/>
                <w:szCs w:val="20"/>
              </w:rPr>
            </w:pPr>
          </w:p>
        </w:tc>
        <w:tc>
          <w:tcPr>
            <w:tcW w:w="981" w:type="dxa"/>
            <w:vAlign w:val="bottom"/>
          </w:tcPr>
          <w:p w14:paraId="2BC74AD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178E945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87" w:type="dxa"/>
            <w:vAlign w:val="bottom"/>
          </w:tcPr>
          <w:p w14:paraId="53DD819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77" w:type="dxa"/>
            <w:vAlign w:val="bottom"/>
          </w:tcPr>
          <w:p w14:paraId="73C1F36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72A34C9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0" w:type="dxa"/>
            <w:vAlign w:val="bottom"/>
          </w:tcPr>
          <w:p w14:paraId="7DBE5A6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0AA00781" w14:textId="77777777" w:rsidR="006F605B" w:rsidRPr="00DC66CD" w:rsidRDefault="006F605B" w:rsidP="00131DA1">
            <w:pPr>
              <w:snapToGrid w:val="0"/>
              <w:spacing w:after="0" w:line="240" w:lineRule="auto"/>
              <w:jc w:val="right"/>
              <w:rPr>
                <w:rFonts w:ascii="Garamond" w:hAnsi="Garamond"/>
                <w:sz w:val="20"/>
                <w:szCs w:val="20"/>
              </w:rPr>
            </w:pPr>
          </w:p>
        </w:tc>
      </w:tr>
      <w:tr w:rsidR="006F605B" w:rsidRPr="00DC66CD" w14:paraId="006B2C00" w14:textId="77777777" w:rsidTr="00131DA1">
        <w:tc>
          <w:tcPr>
            <w:tcW w:w="719" w:type="dxa"/>
          </w:tcPr>
          <w:p w14:paraId="6D193E2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296" w:type="dxa"/>
          </w:tcPr>
          <w:p w14:paraId="7C71B3AE" w14:textId="77777777" w:rsidR="006F605B" w:rsidRPr="00DC66CD" w:rsidRDefault="006F605B" w:rsidP="00131DA1">
            <w:pPr>
              <w:snapToGrid w:val="0"/>
              <w:spacing w:after="0" w:line="240" w:lineRule="auto"/>
              <w:jc w:val="right"/>
              <w:rPr>
                <w:rFonts w:ascii="Garamond" w:hAnsi="Garamond"/>
                <w:sz w:val="20"/>
                <w:szCs w:val="20"/>
              </w:rPr>
            </w:pPr>
          </w:p>
        </w:tc>
        <w:tc>
          <w:tcPr>
            <w:tcW w:w="981" w:type="dxa"/>
            <w:vAlign w:val="bottom"/>
          </w:tcPr>
          <w:p w14:paraId="31071AD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789E657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87" w:type="dxa"/>
            <w:vAlign w:val="bottom"/>
          </w:tcPr>
          <w:p w14:paraId="6FA7E75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877" w:type="dxa"/>
            <w:vAlign w:val="bottom"/>
          </w:tcPr>
          <w:p w14:paraId="1761DAC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2012E1B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0" w:type="dxa"/>
            <w:vAlign w:val="bottom"/>
          </w:tcPr>
          <w:p w14:paraId="0F6A89D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0535EA53" w14:textId="77777777" w:rsidR="006F605B" w:rsidRPr="00DC66CD" w:rsidRDefault="006F605B" w:rsidP="00131DA1">
            <w:pPr>
              <w:snapToGrid w:val="0"/>
              <w:spacing w:after="0" w:line="240" w:lineRule="auto"/>
              <w:jc w:val="right"/>
              <w:rPr>
                <w:rFonts w:ascii="Garamond" w:hAnsi="Garamond"/>
                <w:sz w:val="20"/>
                <w:szCs w:val="20"/>
              </w:rPr>
            </w:pPr>
          </w:p>
        </w:tc>
      </w:tr>
    </w:tbl>
    <w:p w14:paraId="2A83B82B"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16"/>
        <w:gridCol w:w="1116"/>
        <w:gridCol w:w="1116"/>
        <w:gridCol w:w="1117"/>
        <w:gridCol w:w="1116"/>
        <w:gridCol w:w="1116"/>
        <w:gridCol w:w="1116"/>
        <w:gridCol w:w="1117"/>
      </w:tblGrid>
      <w:tr w:rsidR="006F605B" w:rsidRPr="00DC66CD" w14:paraId="35B46C7B" w14:textId="77777777" w:rsidTr="00131DA1">
        <w:tc>
          <w:tcPr>
            <w:tcW w:w="9634" w:type="dxa"/>
            <w:gridSpan w:val="9"/>
            <w:shd w:val="clear" w:color="auto" w:fill="E5DFEC" w:themeFill="accent4" w:themeFillTint="33"/>
          </w:tcPr>
          <w:p w14:paraId="1A3D1DF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03: Rehabilitimi dhe ndërtimi i segmentit hekurudhor Durrës-Rinas-Tiranë</w:t>
            </w:r>
          </w:p>
        </w:tc>
      </w:tr>
      <w:tr w:rsidR="006F605B" w:rsidRPr="00DC66CD" w14:paraId="27B450CA" w14:textId="77777777" w:rsidTr="004512E9">
        <w:tc>
          <w:tcPr>
            <w:tcW w:w="704" w:type="dxa"/>
            <w:vAlign w:val="center"/>
          </w:tcPr>
          <w:p w14:paraId="65B28CA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116" w:type="dxa"/>
            <w:vAlign w:val="center"/>
          </w:tcPr>
          <w:p w14:paraId="0DCABC49" w14:textId="5FEAE142"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116" w:type="dxa"/>
            <w:vAlign w:val="center"/>
          </w:tcPr>
          <w:p w14:paraId="35A5F94A" w14:textId="66C0AA9A"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116" w:type="dxa"/>
            <w:vAlign w:val="center"/>
          </w:tcPr>
          <w:p w14:paraId="3B594B4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117" w:type="dxa"/>
            <w:vAlign w:val="center"/>
          </w:tcPr>
          <w:p w14:paraId="6BA98987" w14:textId="00A1375C"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116" w:type="dxa"/>
            <w:vAlign w:val="center"/>
          </w:tcPr>
          <w:p w14:paraId="620DFCB9"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116" w:type="dxa"/>
            <w:vAlign w:val="center"/>
          </w:tcPr>
          <w:p w14:paraId="4DA528A3" w14:textId="70095CDA"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Huat e projekteve</w:t>
            </w:r>
          </w:p>
        </w:tc>
        <w:tc>
          <w:tcPr>
            <w:tcW w:w="1116" w:type="dxa"/>
            <w:vAlign w:val="center"/>
          </w:tcPr>
          <w:p w14:paraId="5414D07A" w14:textId="15AF51F2" w:rsidR="006F605B" w:rsidRPr="00DC66CD" w:rsidRDefault="004512E9" w:rsidP="004512E9">
            <w:pPr>
              <w:snapToGrid w:val="0"/>
              <w:spacing w:after="0" w:line="240" w:lineRule="auto"/>
              <w:jc w:val="center"/>
              <w:rPr>
                <w:rFonts w:ascii="Garamond" w:hAnsi="Garamond"/>
                <w:b/>
                <w:sz w:val="20"/>
                <w:szCs w:val="20"/>
              </w:rPr>
            </w:pPr>
            <w:r w:rsidRPr="00DC66CD">
              <w:rPr>
                <w:rFonts w:ascii="Garamond" w:hAnsi="Garamond"/>
                <w:b/>
                <w:sz w:val="20"/>
                <w:szCs w:val="20"/>
              </w:rPr>
              <w:t>Për</w:t>
            </w:r>
            <w:r w:rsidR="006F605B" w:rsidRPr="00DC66CD">
              <w:rPr>
                <w:rFonts w:ascii="Garamond" w:hAnsi="Garamond"/>
                <w:b/>
                <w:sz w:val="20"/>
                <w:szCs w:val="20"/>
              </w:rPr>
              <w:t xml:space="preserve"> t</w:t>
            </w:r>
            <w:r w:rsidRPr="00DC66CD">
              <w:rPr>
                <w:rFonts w:ascii="Garamond" w:hAnsi="Garamond"/>
                <w:b/>
                <w:sz w:val="20"/>
                <w:szCs w:val="20"/>
              </w:rPr>
              <w:t>’</w:t>
            </w:r>
            <w:r w:rsidR="006F605B" w:rsidRPr="00DC66CD">
              <w:rPr>
                <w:rFonts w:ascii="Garamond" w:hAnsi="Garamond"/>
                <w:b/>
                <w:sz w:val="20"/>
                <w:szCs w:val="20"/>
              </w:rPr>
              <w:t>u vendosur</w:t>
            </w:r>
          </w:p>
        </w:tc>
        <w:tc>
          <w:tcPr>
            <w:tcW w:w="1117" w:type="dxa"/>
            <w:vAlign w:val="center"/>
          </w:tcPr>
          <w:p w14:paraId="3D8EBB4D"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47BB4B91" w14:textId="77777777" w:rsidTr="00131DA1">
        <w:tc>
          <w:tcPr>
            <w:tcW w:w="704" w:type="dxa"/>
          </w:tcPr>
          <w:p w14:paraId="4B8C2AB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116" w:type="dxa"/>
          </w:tcPr>
          <w:p w14:paraId="5B4FF72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6.06</w:t>
            </w:r>
          </w:p>
        </w:tc>
        <w:tc>
          <w:tcPr>
            <w:tcW w:w="1116" w:type="dxa"/>
          </w:tcPr>
          <w:p w14:paraId="25C8E43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6.06</w:t>
            </w:r>
          </w:p>
        </w:tc>
        <w:tc>
          <w:tcPr>
            <w:tcW w:w="1116" w:type="dxa"/>
          </w:tcPr>
          <w:p w14:paraId="26E6E38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0.00</w:t>
            </w:r>
          </w:p>
        </w:tc>
        <w:tc>
          <w:tcPr>
            <w:tcW w:w="1117" w:type="dxa"/>
          </w:tcPr>
          <w:p w14:paraId="02B4511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26.00</w:t>
            </w:r>
          </w:p>
        </w:tc>
        <w:tc>
          <w:tcPr>
            <w:tcW w:w="1116" w:type="dxa"/>
          </w:tcPr>
          <w:p w14:paraId="5A97DA6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10.65</w:t>
            </w:r>
          </w:p>
        </w:tc>
        <w:tc>
          <w:tcPr>
            <w:tcW w:w="1116" w:type="dxa"/>
          </w:tcPr>
          <w:p w14:paraId="0EA1EB8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36.87</w:t>
            </w:r>
          </w:p>
        </w:tc>
        <w:tc>
          <w:tcPr>
            <w:tcW w:w="1116" w:type="dxa"/>
          </w:tcPr>
          <w:p w14:paraId="74D633B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n/a</w:t>
            </w:r>
          </w:p>
        </w:tc>
        <w:tc>
          <w:tcPr>
            <w:tcW w:w="1117" w:type="dxa"/>
          </w:tcPr>
          <w:p w14:paraId="588A2BB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79.58</w:t>
            </w:r>
          </w:p>
        </w:tc>
      </w:tr>
      <w:tr w:rsidR="006F605B" w:rsidRPr="00DC66CD" w14:paraId="7D8B6BC9" w14:textId="77777777" w:rsidTr="00131DA1">
        <w:tc>
          <w:tcPr>
            <w:tcW w:w="704" w:type="dxa"/>
          </w:tcPr>
          <w:p w14:paraId="774ED5D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116" w:type="dxa"/>
          </w:tcPr>
          <w:p w14:paraId="266E5C9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5.00</w:t>
            </w:r>
          </w:p>
        </w:tc>
        <w:tc>
          <w:tcPr>
            <w:tcW w:w="1116" w:type="dxa"/>
          </w:tcPr>
          <w:p w14:paraId="72E3E63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2C03135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0.00</w:t>
            </w:r>
          </w:p>
        </w:tc>
        <w:tc>
          <w:tcPr>
            <w:tcW w:w="1117" w:type="dxa"/>
          </w:tcPr>
          <w:p w14:paraId="0D0997C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0.00</w:t>
            </w:r>
          </w:p>
        </w:tc>
        <w:tc>
          <w:tcPr>
            <w:tcW w:w="1116" w:type="dxa"/>
          </w:tcPr>
          <w:p w14:paraId="4411208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0.87</w:t>
            </w:r>
          </w:p>
        </w:tc>
        <w:tc>
          <w:tcPr>
            <w:tcW w:w="1116" w:type="dxa"/>
          </w:tcPr>
          <w:p w14:paraId="60190C4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0.00</w:t>
            </w:r>
          </w:p>
        </w:tc>
        <w:tc>
          <w:tcPr>
            <w:tcW w:w="1116" w:type="dxa"/>
          </w:tcPr>
          <w:p w14:paraId="3BF976C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n/a</w:t>
            </w:r>
          </w:p>
        </w:tc>
        <w:tc>
          <w:tcPr>
            <w:tcW w:w="1117" w:type="dxa"/>
          </w:tcPr>
          <w:p w14:paraId="6C4DBE5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5.87</w:t>
            </w:r>
          </w:p>
        </w:tc>
      </w:tr>
      <w:tr w:rsidR="006F605B" w:rsidRPr="00DC66CD" w14:paraId="5803B00B" w14:textId="77777777" w:rsidTr="00131DA1">
        <w:tc>
          <w:tcPr>
            <w:tcW w:w="704" w:type="dxa"/>
          </w:tcPr>
          <w:p w14:paraId="68B3051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116" w:type="dxa"/>
          </w:tcPr>
          <w:p w14:paraId="36D8168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5.00</w:t>
            </w:r>
          </w:p>
        </w:tc>
        <w:tc>
          <w:tcPr>
            <w:tcW w:w="1116" w:type="dxa"/>
          </w:tcPr>
          <w:p w14:paraId="1AE62A7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0AF6F74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0.00</w:t>
            </w:r>
          </w:p>
        </w:tc>
        <w:tc>
          <w:tcPr>
            <w:tcW w:w="1117" w:type="dxa"/>
          </w:tcPr>
          <w:p w14:paraId="3F78806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0.00</w:t>
            </w:r>
          </w:p>
        </w:tc>
        <w:tc>
          <w:tcPr>
            <w:tcW w:w="1116" w:type="dxa"/>
          </w:tcPr>
          <w:p w14:paraId="0CE20E8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0.00</w:t>
            </w:r>
          </w:p>
        </w:tc>
        <w:tc>
          <w:tcPr>
            <w:tcW w:w="1116" w:type="dxa"/>
          </w:tcPr>
          <w:p w14:paraId="57547CE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0.00</w:t>
            </w:r>
          </w:p>
        </w:tc>
        <w:tc>
          <w:tcPr>
            <w:tcW w:w="1116" w:type="dxa"/>
          </w:tcPr>
          <w:p w14:paraId="5F49842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n/a</w:t>
            </w:r>
          </w:p>
        </w:tc>
        <w:tc>
          <w:tcPr>
            <w:tcW w:w="1117" w:type="dxa"/>
          </w:tcPr>
          <w:p w14:paraId="226000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5.00</w:t>
            </w:r>
          </w:p>
        </w:tc>
      </w:tr>
    </w:tbl>
    <w:p w14:paraId="20857442"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16"/>
        <w:gridCol w:w="1116"/>
        <w:gridCol w:w="1116"/>
        <w:gridCol w:w="1117"/>
        <w:gridCol w:w="1116"/>
        <w:gridCol w:w="1116"/>
        <w:gridCol w:w="1116"/>
        <w:gridCol w:w="1117"/>
      </w:tblGrid>
      <w:tr w:rsidR="006F605B" w:rsidRPr="00DC66CD" w14:paraId="6B0EC172" w14:textId="77777777" w:rsidTr="00131DA1">
        <w:tc>
          <w:tcPr>
            <w:tcW w:w="9634" w:type="dxa"/>
            <w:gridSpan w:val="9"/>
            <w:shd w:val="clear" w:color="auto" w:fill="E5DFEC" w:themeFill="accent4" w:themeFillTint="33"/>
          </w:tcPr>
          <w:p w14:paraId="3AC9CEC9"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04: Defragmentimi dhe konsolidimi i tokës bujqësore</w:t>
            </w:r>
          </w:p>
        </w:tc>
      </w:tr>
      <w:tr w:rsidR="006F605B" w:rsidRPr="00DC66CD" w14:paraId="507FBDED" w14:textId="77777777" w:rsidTr="004512E9">
        <w:tc>
          <w:tcPr>
            <w:tcW w:w="704" w:type="dxa"/>
            <w:vAlign w:val="center"/>
          </w:tcPr>
          <w:p w14:paraId="302016B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116" w:type="dxa"/>
            <w:vAlign w:val="center"/>
          </w:tcPr>
          <w:p w14:paraId="5A155941" w14:textId="3FE483E9"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116" w:type="dxa"/>
            <w:vAlign w:val="center"/>
          </w:tcPr>
          <w:p w14:paraId="000DF17A" w14:textId="6D808D80"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116" w:type="dxa"/>
            <w:vAlign w:val="center"/>
          </w:tcPr>
          <w:p w14:paraId="31F5872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117" w:type="dxa"/>
            <w:vAlign w:val="center"/>
          </w:tcPr>
          <w:p w14:paraId="334E8EA1" w14:textId="3DBA2AED"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116" w:type="dxa"/>
            <w:vAlign w:val="center"/>
          </w:tcPr>
          <w:p w14:paraId="67C2851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116" w:type="dxa"/>
            <w:vAlign w:val="center"/>
          </w:tcPr>
          <w:p w14:paraId="2C788B9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116" w:type="dxa"/>
            <w:vAlign w:val="center"/>
          </w:tcPr>
          <w:p w14:paraId="278FD73B" w14:textId="54362F1C" w:rsidR="006F605B" w:rsidRPr="00DC66CD" w:rsidRDefault="004512E9" w:rsidP="004512E9">
            <w:pPr>
              <w:snapToGrid w:val="0"/>
              <w:spacing w:after="0" w:line="240" w:lineRule="auto"/>
              <w:jc w:val="center"/>
              <w:rPr>
                <w:rFonts w:ascii="Garamond" w:hAnsi="Garamond"/>
                <w:b/>
                <w:sz w:val="20"/>
                <w:szCs w:val="20"/>
              </w:rPr>
            </w:pPr>
            <w:r w:rsidRPr="00DC66CD">
              <w:rPr>
                <w:rFonts w:ascii="Garamond" w:hAnsi="Garamond"/>
                <w:b/>
                <w:sz w:val="20"/>
                <w:szCs w:val="20"/>
              </w:rPr>
              <w:t>Për</w:t>
            </w:r>
            <w:r w:rsidR="006F605B" w:rsidRPr="00DC66CD">
              <w:rPr>
                <w:rFonts w:ascii="Garamond" w:hAnsi="Garamond"/>
                <w:b/>
                <w:sz w:val="20"/>
                <w:szCs w:val="20"/>
              </w:rPr>
              <w:t xml:space="preserve"> t</w:t>
            </w:r>
            <w:r w:rsidRPr="00DC66CD">
              <w:rPr>
                <w:rFonts w:ascii="Garamond" w:hAnsi="Garamond"/>
                <w:b/>
                <w:sz w:val="20"/>
                <w:szCs w:val="20"/>
              </w:rPr>
              <w:t>’</w:t>
            </w:r>
            <w:r w:rsidR="006F605B" w:rsidRPr="00DC66CD">
              <w:rPr>
                <w:rFonts w:ascii="Garamond" w:hAnsi="Garamond"/>
                <w:b/>
                <w:sz w:val="20"/>
                <w:szCs w:val="20"/>
              </w:rPr>
              <w:t>u vendosur</w:t>
            </w:r>
          </w:p>
        </w:tc>
        <w:tc>
          <w:tcPr>
            <w:tcW w:w="1117" w:type="dxa"/>
            <w:vAlign w:val="center"/>
          </w:tcPr>
          <w:p w14:paraId="5440AED3"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33DA5F0E" w14:textId="77777777" w:rsidTr="00131DA1">
        <w:tc>
          <w:tcPr>
            <w:tcW w:w="704" w:type="dxa"/>
          </w:tcPr>
          <w:p w14:paraId="4FA60EC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116" w:type="dxa"/>
          </w:tcPr>
          <w:p w14:paraId="3092C94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414738</w:t>
            </w:r>
          </w:p>
        </w:tc>
        <w:tc>
          <w:tcPr>
            <w:tcW w:w="1116" w:type="dxa"/>
            <w:vAlign w:val="bottom"/>
          </w:tcPr>
          <w:p w14:paraId="0A409DD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6BF3C39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vAlign w:val="bottom"/>
          </w:tcPr>
          <w:p w14:paraId="01A2DE6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603A125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2EDF85E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5020C77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tcPr>
          <w:p w14:paraId="1491AE5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414738</w:t>
            </w:r>
          </w:p>
        </w:tc>
      </w:tr>
      <w:tr w:rsidR="006F605B" w:rsidRPr="00DC66CD" w14:paraId="1C939D9C" w14:textId="77777777" w:rsidTr="00131DA1">
        <w:tc>
          <w:tcPr>
            <w:tcW w:w="704" w:type="dxa"/>
          </w:tcPr>
          <w:p w14:paraId="5B7D63F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116" w:type="dxa"/>
          </w:tcPr>
          <w:p w14:paraId="746FF5C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260892</w:t>
            </w:r>
          </w:p>
        </w:tc>
        <w:tc>
          <w:tcPr>
            <w:tcW w:w="1116" w:type="dxa"/>
            <w:vAlign w:val="bottom"/>
          </w:tcPr>
          <w:p w14:paraId="0635D73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5A8D80A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vAlign w:val="bottom"/>
          </w:tcPr>
          <w:p w14:paraId="018CE78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1599DDC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4ADD478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260DC22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tcPr>
          <w:p w14:paraId="78DEF61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260892</w:t>
            </w:r>
          </w:p>
        </w:tc>
      </w:tr>
      <w:tr w:rsidR="006F605B" w:rsidRPr="00DC66CD" w14:paraId="759AF2C9" w14:textId="77777777" w:rsidTr="00131DA1">
        <w:tc>
          <w:tcPr>
            <w:tcW w:w="704" w:type="dxa"/>
          </w:tcPr>
          <w:p w14:paraId="661227A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116" w:type="dxa"/>
          </w:tcPr>
          <w:p w14:paraId="61877A5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264941</w:t>
            </w:r>
          </w:p>
        </w:tc>
        <w:tc>
          <w:tcPr>
            <w:tcW w:w="1116" w:type="dxa"/>
            <w:vAlign w:val="bottom"/>
          </w:tcPr>
          <w:p w14:paraId="256E666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175B59B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vAlign w:val="bottom"/>
          </w:tcPr>
          <w:p w14:paraId="268E2C6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3749701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175DD69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05FDDCC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tcPr>
          <w:p w14:paraId="770AD50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264941</w:t>
            </w:r>
          </w:p>
        </w:tc>
      </w:tr>
    </w:tbl>
    <w:p w14:paraId="5460FE6E"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149"/>
        <w:gridCol w:w="990"/>
        <w:gridCol w:w="1121"/>
        <w:gridCol w:w="821"/>
        <w:gridCol w:w="1149"/>
        <w:gridCol w:w="1166"/>
        <w:gridCol w:w="1257"/>
        <w:gridCol w:w="1266"/>
      </w:tblGrid>
      <w:tr w:rsidR="006F605B" w:rsidRPr="00DC66CD" w14:paraId="30C22F3F" w14:textId="77777777" w:rsidTr="00131DA1">
        <w:tc>
          <w:tcPr>
            <w:tcW w:w="9634" w:type="dxa"/>
            <w:gridSpan w:val="9"/>
            <w:shd w:val="clear" w:color="auto" w:fill="E5DFEC" w:themeFill="accent4" w:themeFillTint="33"/>
          </w:tcPr>
          <w:p w14:paraId="280DB414"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Masa e reformës 05: Reforma e sektorit të ujësjellës-kanalizimeve</w:t>
            </w:r>
          </w:p>
        </w:tc>
      </w:tr>
      <w:tr w:rsidR="006F605B" w:rsidRPr="00DC66CD" w14:paraId="785349CC" w14:textId="77777777" w:rsidTr="004512E9">
        <w:tc>
          <w:tcPr>
            <w:tcW w:w="733" w:type="dxa"/>
            <w:vAlign w:val="center"/>
          </w:tcPr>
          <w:p w14:paraId="249B3E6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176" w:type="dxa"/>
            <w:vAlign w:val="center"/>
          </w:tcPr>
          <w:p w14:paraId="72B5F04C" w14:textId="274946C9"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06" w:type="dxa"/>
            <w:vAlign w:val="center"/>
          </w:tcPr>
          <w:p w14:paraId="48D08F9E" w14:textId="3FB537C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994" w:type="dxa"/>
            <w:vAlign w:val="center"/>
          </w:tcPr>
          <w:p w14:paraId="04226B8E"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781" w:type="dxa"/>
            <w:vAlign w:val="center"/>
          </w:tcPr>
          <w:p w14:paraId="3784E12E" w14:textId="2A0D9333"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176" w:type="dxa"/>
            <w:vAlign w:val="center"/>
          </w:tcPr>
          <w:p w14:paraId="7FBF7D32"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176" w:type="dxa"/>
            <w:vAlign w:val="center"/>
          </w:tcPr>
          <w:p w14:paraId="7032DF0C"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96" w:type="dxa"/>
            <w:vAlign w:val="center"/>
          </w:tcPr>
          <w:p w14:paraId="6AA3C12C" w14:textId="1100872B" w:rsidR="006F605B" w:rsidRPr="00DC66CD" w:rsidRDefault="004512E9" w:rsidP="004512E9">
            <w:pPr>
              <w:snapToGrid w:val="0"/>
              <w:spacing w:after="0" w:line="240" w:lineRule="auto"/>
              <w:jc w:val="center"/>
              <w:rPr>
                <w:rFonts w:ascii="Garamond" w:hAnsi="Garamond"/>
                <w:b/>
                <w:sz w:val="20"/>
                <w:szCs w:val="20"/>
              </w:rPr>
            </w:pPr>
            <w:r w:rsidRPr="00DC66CD">
              <w:rPr>
                <w:rFonts w:ascii="Garamond" w:hAnsi="Garamond"/>
                <w:b/>
                <w:sz w:val="20"/>
                <w:szCs w:val="20"/>
              </w:rPr>
              <w:t>Për</w:t>
            </w:r>
            <w:r w:rsidR="006F605B" w:rsidRPr="00DC66CD">
              <w:rPr>
                <w:rFonts w:ascii="Garamond" w:hAnsi="Garamond"/>
                <w:b/>
                <w:sz w:val="20"/>
                <w:szCs w:val="20"/>
              </w:rPr>
              <w:t xml:space="preserve"> t</w:t>
            </w:r>
            <w:r w:rsidRPr="00DC66CD">
              <w:rPr>
                <w:rFonts w:ascii="Garamond" w:hAnsi="Garamond"/>
                <w:b/>
                <w:sz w:val="20"/>
                <w:szCs w:val="20"/>
              </w:rPr>
              <w:t>’</w:t>
            </w:r>
            <w:r w:rsidR="006F605B" w:rsidRPr="00DC66CD">
              <w:rPr>
                <w:rFonts w:ascii="Garamond" w:hAnsi="Garamond"/>
                <w:b/>
                <w:sz w:val="20"/>
                <w:szCs w:val="20"/>
              </w:rPr>
              <w:t>u vendosur</w:t>
            </w:r>
          </w:p>
        </w:tc>
        <w:tc>
          <w:tcPr>
            <w:tcW w:w="1296" w:type="dxa"/>
            <w:vAlign w:val="center"/>
          </w:tcPr>
          <w:p w14:paraId="2736B1E4"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0C2A7F48" w14:textId="77777777" w:rsidTr="00131DA1">
        <w:tc>
          <w:tcPr>
            <w:tcW w:w="733" w:type="dxa"/>
          </w:tcPr>
          <w:p w14:paraId="2E430C6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176" w:type="dxa"/>
          </w:tcPr>
          <w:p w14:paraId="5D3E7CB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85267167</w:t>
            </w:r>
          </w:p>
        </w:tc>
        <w:tc>
          <w:tcPr>
            <w:tcW w:w="1006" w:type="dxa"/>
          </w:tcPr>
          <w:p w14:paraId="4142668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94" w:type="dxa"/>
          </w:tcPr>
          <w:p w14:paraId="2B63DC7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781" w:type="dxa"/>
          </w:tcPr>
          <w:p w14:paraId="310D035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76" w:type="dxa"/>
          </w:tcPr>
          <w:p w14:paraId="5B45F91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34295650</w:t>
            </w:r>
          </w:p>
        </w:tc>
        <w:tc>
          <w:tcPr>
            <w:tcW w:w="1176" w:type="dxa"/>
          </w:tcPr>
          <w:p w14:paraId="2671FB6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11789517</w:t>
            </w:r>
          </w:p>
        </w:tc>
        <w:tc>
          <w:tcPr>
            <w:tcW w:w="1296" w:type="dxa"/>
          </w:tcPr>
          <w:p w14:paraId="7DC6E85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52CC8C2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131352334</w:t>
            </w:r>
          </w:p>
        </w:tc>
      </w:tr>
      <w:tr w:rsidR="006F605B" w:rsidRPr="00DC66CD" w14:paraId="1C85F76F" w14:textId="77777777" w:rsidTr="00131DA1">
        <w:tc>
          <w:tcPr>
            <w:tcW w:w="733" w:type="dxa"/>
          </w:tcPr>
          <w:p w14:paraId="556193F8"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176" w:type="dxa"/>
          </w:tcPr>
          <w:p w14:paraId="1B766E6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93885750</w:t>
            </w:r>
          </w:p>
        </w:tc>
        <w:tc>
          <w:tcPr>
            <w:tcW w:w="1006" w:type="dxa"/>
          </w:tcPr>
          <w:p w14:paraId="29755E8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94" w:type="dxa"/>
          </w:tcPr>
          <w:p w14:paraId="16B8FC8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781" w:type="dxa"/>
          </w:tcPr>
          <w:p w14:paraId="51BB739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76" w:type="dxa"/>
          </w:tcPr>
          <w:p w14:paraId="1F4E77C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29393950</w:t>
            </w:r>
          </w:p>
        </w:tc>
        <w:tc>
          <w:tcPr>
            <w:tcW w:w="1176" w:type="dxa"/>
          </w:tcPr>
          <w:p w14:paraId="20567DF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27825000</w:t>
            </w:r>
          </w:p>
        </w:tc>
        <w:tc>
          <w:tcPr>
            <w:tcW w:w="1296" w:type="dxa"/>
          </w:tcPr>
          <w:p w14:paraId="312B30B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60F7C67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151104700</w:t>
            </w:r>
          </w:p>
        </w:tc>
      </w:tr>
      <w:tr w:rsidR="006F605B" w:rsidRPr="00DC66CD" w14:paraId="3020FA80" w14:textId="77777777" w:rsidTr="00131DA1">
        <w:tc>
          <w:tcPr>
            <w:tcW w:w="733" w:type="dxa"/>
          </w:tcPr>
          <w:p w14:paraId="5A72313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176" w:type="dxa"/>
          </w:tcPr>
          <w:p w14:paraId="69D8022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95719083</w:t>
            </w:r>
          </w:p>
        </w:tc>
        <w:tc>
          <w:tcPr>
            <w:tcW w:w="1006" w:type="dxa"/>
          </w:tcPr>
          <w:p w14:paraId="1ED7317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94" w:type="dxa"/>
          </w:tcPr>
          <w:p w14:paraId="40925F6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781" w:type="dxa"/>
          </w:tcPr>
          <w:p w14:paraId="4A62C7D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76" w:type="dxa"/>
          </w:tcPr>
          <w:p w14:paraId="4A99394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43052283</w:t>
            </w:r>
          </w:p>
        </w:tc>
        <w:tc>
          <w:tcPr>
            <w:tcW w:w="1176" w:type="dxa"/>
          </w:tcPr>
          <w:p w14:paraId="73373F2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12500000</w:t>
            </w:r>
          </w:p>
        </w:tc>
        <w:tc>
          <w:tcPr>
            <w:tcW w:w="1296" w:type="dxa"/>
          </w:tcPr>
          <w:p w14:paraId="297E4CE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6D59FBE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151271366</w:t>
            </w:r>
          </w:p>
        </w:tc>
      </w:tr>
    </w:tbl>
    <w:p w14:paraId="7C36BB77"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16"/>
        <w:gridCol w:w="1116"/>
        <w:gridCol w:w="1116"/>
        <w:gridCol w:w="1117"/>
        <w:gridCol w:w="1116"/>
        <w:gridCol w:w="1116"/>
        <w:gridCol w:w="1116"/>
        <w:gridCol w:w="1117"/>
      </w:tblGrid>
      <w:tr w:rsidR="006F605B" w:rsidRPr="00DC66CD" w14:paraId="7CAECB60" w14:textId="77777777" w:rsidTr="00131DA1">
        <w:tc>
          <w:tcPr>
            <w:tcW w:w="9634" w:type="dxa"/>
            <w:gridSpan w:val="9"/>
            <w:shd w:val="clear" w:color="auto" w:fill="E5DFEC" w:themeFill="accent4" w:themeFillTint="33"/>
          </w:tcPr>
          <w:p w14:paraId="5AC2C28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06: Rritja e standardeve të shërbimeve në sektorin e turizmit</w:t>
            </w:r>
          </w:p>
        </w:tc>
      </w:tr>
      <w:tr w:rsidR="006F605B" w:rsidRPr="00DC66CD" w14:paraId="0291D3E7" w14:textId="77777777" w:rsidTr="004512E9">
        <w:tc>
          <w:tcPr>
            <w:tcW w:w="704" w:type="dxa"/>
            <w:vAlign w:val="center"/>
          </w:tcPr>
          <w:p w14:paraId="58BD238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116" w:type="dxa"/>
            <w:vAlign w:val="center"/>
          </w:tcPr>
          <w:p w14:paraId="6B07C8A1" w14:textId="76140EAF"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116" w:type="dxa"/>
            <w:vAlign w:val="center"/>
          </w:tcPr>
          <w:p w14:paraId="24A8AE3E" w14:textId="3721E9EB"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116" w:type="dxa"/>
            <w:vAlign w:val="center"/>
          </w:tcPr>
          <w:p w14:paraId="76314DC6"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117" w:type="dxa"/>
            <w:vAlign w:val="center"/>
          </w:tcPr>
          <w:p w14:paraId="5C81892F" w14:textId="36AF8F20"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116" w:type="dxa"/>
            <w:vAlign w:val="center"/>
          </w:tcPr>
          <w:p w14:paraId="7078AB69"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116" w:type="dxa"/>
            <w:vAlign w:val="center"/>
          </w:tcPr>
          <w:p w14:paraId="6054C517"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116" w:type="dxa"/>
            <w:vAlign w:val="center"/>
          </w:tcPr>
          <w:p w14:paraId="2F19FD91" w14:textId="51B20D28"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P</w:t>
            </w:r>
            <w:r w:rsidR="004512E9" w:rsidRPr="00DC66CD">
              <w:rPr>
                <w:rFonts w:ascii="Garamond" w:hAnsi="Garamond"/>
                <w:b/>
                <w:sz w:val="20"/>
                <w:szCs w:val="20"/>
              </w:rPr>
              <w:t>ë</w:t>
            </w:r>
            <w:r w:rsidRPr="00DC66CD">
              <w:rPr>
                <w:rFonts w:ascii="Garamond" w:hAnsi="Garamond"/>
                <w:b/>
                <w:sz w:val="20"/>
                <w:szCs w:val="20"/>
              </w:rPr>
              <w:t>r t</w:t>
            </w:r>
            <w:r w:rsidR="004512E9" w:rsidRPr="00DC66CD">
              <w:rPr>
                <w:rFonts w:ascii="Garamond" w:hAnsi="Garamond"/>
                <w:b/>
                <w:sz w:val="20"/>
                <w:szCs w:val="20"/>
              </w:rPr>
              <w:t>’</w:t>
            </w:r>
            <w:r w:rsidRPr="00DC66CD">
              <w:rPr>
                <w:rFonts w:ascii="Garamond" w:hAnsi="Garamond"/>
                <w:b/>
                <w:sz w:val="20"/>
                <w:szCs w:val="20"/>
              </w:rPr>
              <w:t>u vendosur</w:t>
            </w:r>
          </w:p>
        </w:tc>
        <w:tc>
          <w:tcPr>
            <w:tcW w:w="1117" w:type="dxa"/>
            <w:vAlign w:val="center"/>
          </w:tcPr>
          <w:p w14:paraId="132160F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539D9CF1" w14:textId="77777777" w:rsidTr="00131DA1">
        <w:tc>
          <w:tcPr>
            <w:tcW w:w="704" w:type="dxa"/>
          </w:tcPr>
          <w:p w14:paraId="2F7AF52C"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116" w:type="dxa"/>
          </w:tcPr>
          <w:p w14:paraId="1B1C71E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2D4B72E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4282FD2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tcPr>
          <w:p w14:paraId="36368BB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659B07C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078659C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482DE94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tcPr>
          <w:p w14:paraId="245B0A0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76D08AB3" w14:textId="77777777" w:rsidTr="00131DA1">
        <w:tc>
          <w:tcPr>
            <w:tcW w:w="704" w:type="dxa"/>
          </w:tcPr>
          <w:p w14:paraId="609AABE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116" w:type="dxa"/>
          </w:tcPr>
          <w:p w14:paraId="28C2B64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50D6D1E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5C4043A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tcPr>
          <w:p w14:paraId="2870D76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0C0473E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21DFCE9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220671D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tcPr>
          <w:p w14:paraId="6C4A3B4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2C579A0E" w14:textId="77777777" w:rsidTr="00131DA1">
        <w:tc>
          <w:tcPr>
            <w:tcW w:w="704" w:type="dxa"/>
          </w:tcPr>
          <w:p w14:paraId="3965DD8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116" w:type="dxa"/>
          </w:tcPr>
          <w:p w14:paraId="13F1530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2C0BD19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5C75879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tcPr>
          <w:p w14:paraId="23DEB87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3257919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6477FD1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tcPr>
          <w:p w14:paraId="6A35CCB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7" w:type="dxa"/>
          </w:tcPr>
          <w:p w14:paraId="2CFACB5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37BDCF92"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1076"/>
        <w:gridCol w:w="1076"/>
        <w:gridCol w:w="1076"/>
        <w:gridCol w:w="1076"/>
        <w:gridCol w:w="1076"/>
        <w:gridCol w:w="1076"/>
        <w:gridCol w:w="1076"/>
        <w:gridCol w:w="1076"/>
      </w:tblGrid>
      <w:tr w:rsidR="006F605B" w:rsidRPr="00DC66CD" w14:paraId="755F611D" w14:textId="77777777" w:rsidTr="00131DA1">
        <w:tc>
          <w:tcPr>
            <w:tcW w:w="9634" w:type="dxa"/>
            <w:gridSpan w:val="9"/>
            <w:shd w:val="clear" w:color="auto" w:fill="E5DFEC" w:themeFill="accent4" w:themeFillTint="33"/>
          </w:tcPr>
          <w:p w14:paraId="07D0EEA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07: Reforma e taksës së pasurisë dhe krijimi i kadastrës fiskale</w:t>
            </w:r>
          </w:p>
        </w:tc>
      </w:tr>
      <w:tr w:rsidR="006F605B" w:rsidRPr="00DC66CD" w14:paraId="4F16EB26" w14:textId="77777777" w:rsidTr="004512E9">
        <w:tc>
          <w:tcPr>
            <w:tcW w:w="1026" w:type="dxa"/>
            <w:vAlign w:val="center"/>
          </w:tcPr>
          <w:p w14:paraId="671D9270"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76" w:type="dxa"/>
            <w:vAlign w:val="center"/>
          </w:tcPr>
          <w:p w14:paraId="7487CB18" w14:textId="7BC9E0C1"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76" w:type="dxa"/>
            <w:vAlign w:val="center"/>
          </w:tcPr>
          <w:p w14:paraId="188753F4" w14:textId="43DF6451"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076" w:type="dxa"/>
            <w:vAlign w:val="center"/>
          </w:tcPr>
          <w:p w14:paraId="1AAC716A"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076" w:type="dxa"/>
            <w:vAlign w:val="center"/>
          </w:tcPr>
          <w:p w14:paraId="6487A4B4" w14:textId="08127F11"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076" w:type="dxa"/>
            <w:vAlign w:val="center"/>
          </w:tcPr>
          <w:p w14:paraId="42C68C3F"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076" w:type="dxa"/>
            <w:vAlign w:val="center"/>
          </w:tcPr>
          <w:p w14:paraId="55FF1438"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076" w:type="dxa"/>
            <w:vAlign w:val="center"/>
          </w:tcPr>
          <w:p w14:paraId="35B77F30" w14:textId="4FE27C47" w:rsidR="006F605B" w:rsidRPr="00DC66CD" w:rsidRDefault="0042617D" w:rsidP="004512E9">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076" w:type="dxa"/>
            <w:vAlign w:val="center"/>
          </w:tcPr>
          <w:p w14:paraId="5B971BE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619788C9" w14:textId="77777777" w:rsidTr="00131DA1">
        <w:tc>
          <w:tcPr>
            <w:tcW w:w="1026" w:type="dxa"/>
          </w:tcPr>
          <w:p w14:paraId="3D47F668"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076" w:type="dxa"/>
          </w:tcPr>
          <w:p w14:paraId="0CC4D95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24192</w:t>
            </w:r>
          </w:p>
        </w:tc>
        <w:tc>
          <w:tcPr>
            <w:tcW w:w="1076" w:type="dxa"/>
            <w:vAlign w:val="bottom"/>
          </w:tcPr>
          <w:p w14:paraId="76D18A4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5FB1E8A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4737576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312143F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1300000</w:t>
            </w:r>
          </w:p>
        </w:tc>
        <w:tc>
          <w:tcPr>
            <w:tcW w:w="1076" w:type="dxa"/>
            <w:vAlign w:val="bottom"/>
          </w:tcPr>
          <w:p w14:paraId="6438447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5DA8B51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2C3753D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1324192</w:t>
            </w:r>
          </w:p>
        </w:tc>
      </w:tr>
      <w:tr w:rsidR="006F605B" w:rsidRPr="00DC66CD" w14:paraId="126FA1CF" w14:textId="77777777" w:rsidTr="00131DA1">
        <w:tc>
          <w:tcPr>
            <w:tcW w:w="1026" w:type="dxa"/>
          </w:tcPr>
          <w:p w14:paraId="0D677DA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076" w:type="dxa"/>
          </w:tcPr>
          <w:p w14:paraId="564B77E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24192</w:t>
            </w:r>
          </w:p>
        </w:tc>
        <w:tc>
          <w:tcPr>
            <w:tcW w:w="1076" w:type="dxa"/>
            <w:vAlign w:val="bottom"/>
          </w:tcPr>
          <w:p w14:paraId="2844DBA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74AA4DC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4475F40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7C1E8CD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1000000</w:t>
            </w:r>
          </w:p>
        </w:tc>
        <w:tc>
          <w:tcPr>
            <w:tcW w:w="1076" w:type="dxa"/>
            <w:vAlign w:val="bottom"/>
          </w:tcPr>
          <w:p w14:paraId="3B0D58E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0A18CFF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74EF111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1024192</w:t>
            </w:r>
          </w:p>
        </w:tc>
      </w:tr>
      <w:tr w:rsidR="006F605B" w:rsidRPr="00DC66CD" w14:paraId="4AA7E575" w14:textId="77777777" w:rsidTr="00131DA1">
        <w:tc>
          <w:tcPr>
            <w:tcW w:w="1026" w:type="dxa"/>
          </w:tcPr>
          <w:p w14:paraId="5F9F3ED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076" w:type="dxa"/>
          </w:tcPr>
          <w:p w14:paraId="7B39AFB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24192</w:t>
            </w:r>
          </w:p>
        </w:tc>
        <w:tc>
          <w:tcPr>
            <w:tcW w:w="1076" w:type="dxa"/>
            <w:vAlign w:val="bottom"/>
          </w:tcPr>
          <w:p w14:paraId="6F17E15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022DA8C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2CB13EE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26C6DE8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36533A1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31E8001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2C58184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24192</w:t>
            </w:r>
          </w:p>
        </w:tc>
      </w:tr>
    </w:tbl>
    <w:p w14:paraId="261AA3E7"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202"/>
        <w:gridCol w:w="1005"/>
        <w:gridCol w:w="1229"/>
        <w:gridCol w:w="927"/>
        <w:gridCol w:w="933"/>
        <w:gridCol w:w="1216"/>
        <w:gridCol w:w="1229"/>
        <w:gridCol w:w="1125"/>
      </w:tblGrid>
      <w:tr w:rsidR="006F605B" w:rsidRPr="00DC66CD" w14:paraId="38EB9ECE" w14:textId="77777777" w:rsidTr="00131DA1">
        <w:tc>
          <w:tcPr>
            <w:tcW w:w="9634" w:type="dxa"/>
            <w:gridSpan w:val="9"/>
            <w:shd w:val="clear" w:color="auto" w:fill="E5DFEC" w:themeFill="accent4" w:themeFillTint="33"/>
          </w:tcPr>
          <w:p w14:paraId="670EAC0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 xml:space="preserve">Masa e reformës 08: Zhvillimi i kuadrit ligjor në mbështetje të </w:t>
            </w:r>
            <w:r w:rsidRPr="00DC66CD">
              <w:rPr>
                <w:rFonts w:ascii="Garamond" w:hAnsi="Garamond"/>
                <w:b/>
                <w:i/>
                <w:sz w:val="20"/>
                <w:szCs w:val="20"/>
              </w:rPr>
              <w:t>start up inovative</w:t>
            </w:r>
          </w:p>
        </w:tc>
      </w:tr>
      <w:tr w:rsidR="006F605B" w:rsidRPr="00DC66CD" w14:paraId="4B798C11" w14:textId="77777777" w:rsidTr="004512E9">
        <w:tc>
          <w:tcPr>
            <w:tcW w:w="768" w:type="dxa"/>
            <w:vAlign w:val="center"/>
          </w:tcPr>
          <w:p w14:paraId="42381921"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202" w:type="dxa"/>
            <w:vAlign w:val="center"/>
          </w:tcPr>
          <w:p w14:paraId="7D28EE16" w14:textId="5EF39001"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05" w:type="dxa"/>
            <w:vAlign w:val="center"/>
          </w:tcPr>
          <w:p w14:paraId="2642BFCC" w14:textId="25F0DBAE"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229" w:type="dxa"/>
            <w:vAlign w:val="center"/>
          </w:tcPr>
          <w:p w14:paraId="69C4CE0C"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927" w:type="dxa"/>
            <w:vAlign w:val="center"/>
          </w:tcPr>
          <w:p w14:paraId="3E219380" w14:textId="48A16ABE"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933" w:type="dxa"/>
            <w:vAlign w:val="center"/>
          </w:tcPr>
          <w:p w14:paraId="292479F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216" w:type="dxa"/>
            <w:vAlign w:val="center"/>
          </w:tcPr>
          <w:p w14:paraId="77685BE9"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29" w:type="dxa"/>
            <w:vAlign w:val="center"/>
          </w:tcPr>
          <w:p w14:paraId="799AEFA7" w14:textId="42F213F3" w:rsidR="006F605B" w:rsidRPr="00DC66CD" w:rsidRDefault="0042617D" w:rsidP="004512E9">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125" w:type="dxa"/>
            <w:vAlign w:val="center"/>
          </w:tcPr>
          <w:p w14:paraId="47E8DD2B" w14:textId="77777777" w:rsidR="006F605B" w:rsidRPr="00DC66CD" w:rsidRDefault="006F605B" w:rsidP="004512E9">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1306408D" w14:textId="77777777" w:rsidTr="00131DA1">
        <w:tc>
          <w:tcPr>
            <w:tcW w:w="768" w:type="dxa"/>
          </w:tcPr>
          <w:p w14:paraId="10FF530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202" w:type="dxa"/>
            <w:vAlign w:val="bottom"/>
          </w:tcPr>
          <w:p w14:paraId="2E20E7C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5" w:type="dxa"/>
            <w:vAlign w:val="bottom"/>
          </w:tcPr>
          <w:p w14:paraId="3F683B3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1CB3C3B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27" w:type="dxa"/>
            <w:vAlign w:val="bottom"/>
          </w:tcPr>
          <w:p w14:paraId="3767C8B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33" w:type="dxa"/>
            <w:vAlign w:val="bottom"/>
          </w:tcPr>
          <w:p w14:paraId="238C567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59DE1DB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3926294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5" w:type="dxa"/>
            <w:vAlign w:val="bottom"/>
          </w:tcPr>
          <w:p w14:paraId="080A6D0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2A11B65D" w14:textId="77777777" w:rsidTr="00131DA1">
        <w:tc>
          <w:tcPr>
            <w:tcW w:w="768" w:type="dxa"/>
          </w:tcPr>
          <w:p w14:paraId="71E716D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202" w:type="dxa"/>
            <w:vAlign w:val="bottom"/>
          </w:tcPr>
          <w:p w14:paraId="496544F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5" w:type="dxa"/>
            <w:vAlign w:val="bottom"/>
          </w:tcPr>
          <w:p w14:paraId="4D12F35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6B0D70D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27" w:type="dxa"/>
            <w:vAlign w:val="bottom"/>
          </w:tcPr>
          <w:p w14:paraId="7DAF096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33" w:type="dxa"/>
            <w:vAlign w:val="bottom"/>
          </w:tcPr>
          <w:p w14:paraId="3F09774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6931F98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3D3E408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5" w:type="dxa"/>
            <w:vAlign w:val="bottom"/>
          </w:tcPr>
          <w:p w14:paraId="183E536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03EC52B2" w14:textId="77777777" w:rsidTr="00131DA1">
        <w:tc>
          <w:tcPr>
            <w:tcW w:w="768" w:type="dxa"/>
          </w:tcPr>
          <w:p w14:paraId="048DC68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202" w:type="dxa"/>
            <w:vAlign w:val="bottom"/>
          </w:tcPr>
          <w:p w14:paraId="4E052FF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5" w:type="dxa"/>
            <w:vAlign w:val="bottom"/>
          </w:tcPr>
          <w:p w14:paraId="380DB5D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0105481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27" w:type="dxa"/>
            <w:vAlign w:val="bottom"/>
          </w:tcPr>
          <w:p w14:paraId="42ABEF3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33" w:type="dxa"/>
            <w:vAlign w:val="bottom"/>
          </w:tcPr>
          <w:p w14:paraId="59055F7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3E2CEE1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5CB5C9B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5" w:type="dxa"/>
            <w:vAlign w:val="bottom"/>
          </w:tcPr>
          <w:p w14:paraId="4508F6A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1C2D3635"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1023"/>
        <w:gridCol w:w="1009"/>
        <w:gridCol w:w="1229"/>
        <w:gridCol w:w="978"/>
        <w:gridCol w:w="973"/>
        <w:gridCol w:w="1216"/>
        <w:gridCol w:w="1229"/>
        <w:gridCol w:w="1062"/>
      </w:tblGrid>
      <w:tr w:rsidR="006F605B" w:rsidRPr="00DC66CD" w14:paraId="4C8BCF89" w14:textId="77777777" w:rsidTr="00131DA1">
        <w:tc>
          <w:tcPr>
            <w:tcW w:w="9634" w:type="dxa"/>
            <w:gridSpan w:val="9"/>
            <w:shd w:val="clear" w:color="auto" w:fill="E5DFEC" w:themeFill="accent4" w:themeFillTint="33"/>
          </w:tcPr>
          <w:p w14:paraId="0D8543E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09: Përmirësimi i aksesit në financë për NVM-të</w:t>
            </w:r>
          </w:p>
        </w:tc>
      </w:tr>
      <w:tr w:rsidR="006F605B" w:rsidRPr="00DC66CD" w14:paraId="4A314444" w14:textId="77777777" w:rsidTr="0042617D">
        <w:tc>
          <w:tcPr>
            <w:tcW w:w="915" w:type="dxa"/>
            <w:vAlign w:val="center"/>
          </w:tcPr>
          <w:p w14:paraId="2AA59EF3"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23" w:type="dxa"/>
            <w:vAlign w:val="center"/>
          </w:tcPr>
          <w:p w14:paraId="2ECFA480" w14:textId="3FDC15F1"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09" w:type="dxa"/>
            <w:vAlign w:val="center"/>
          </w:tcPr>
          <w:p w14:paraId="6EE67C44" w14:textId="6FA994B4"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229" w:type="dxa"/>
            <w:vAlign w:val="center"/>
          </w:tcPr>
          <w:p w14:paraId="1B3A3EA2"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978" w:type="dxa"/>
            <w:vAlign w:val="center"/>
          </w:tcPr>
          <w:p w14:paraId="24817F21" w14:textId="5BF43C80"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973" w:type="dxa"/>
            <w:vAlign w:val="center"/>
          </w:tcPr>
          <w:p w14:paraId="16F6EA42"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216" w:type="dxa"/>
            <w:vAlign w:val="center"/>
          </w:tcPr>
          <w:p w14:paraId="1985B494"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29" w:type="dxa"/>
            <w:vAlign w:val="center"/>
          </w:tcPr>
          <w:p w14:paraId="396D59FF" w14:textId="26E735B9"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062" w:type="dxa"/>
            <w:vAlign w:val="center"/>
          </w:tcPr>
          <w:p w14:paraId="33226960"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6345F64B" w14:textId="77777777" w:rsidTr="00131DA1">
        <w:tc>
          <w:tcPr>
            <w:tcW w:w="915" w:type="dxa"/>
          </w:tcPr>
          <w:p w14:paraId="5F14CDF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023" w:type="dxa"/>
          </w:tcPr>
          <w:p w14:paraId="3C2ED18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c>
          <w:tcPr>
            <w:tcW w:w="1009" w:type="dxa"/>
            <w:vAlign w:val="bottom"/>
          </w:tcPr>
          <w:p w14:paraId="6B28FC7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1E6B161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78" w:type="dxa"/>
            <w:vAlign w:val="bottom"/>
          </w:tcPr>
          <w:p w14:paraId="0D3B195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73" w:type="dxa"/>
            <w:vAlign w:val="bottom"/>
          </w:tcPr>
          <w:p w14:paraId="2F48062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7921076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03267A6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62" w:type="dxa"/>
          </w:tcPr>
          <w:p w14:paraId="76317AE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r>
      <w:tr w:rsidR="006F605B" w:rsidRPr="00DC66CD" w14:paraId="386FE71D" w14:textId="77777777" w:rsidTr="00131DA1">
        <w:tc>
          <w:tcPr>
            <w:tcW w:w="915" w:type="dxa"/>
          </w:tcPr>
          <w:p w14:paraId="0E06998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023" w:type="dxa"/>
          </w:tcPr>
          <w:p w14:paraId="2E3B9FD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c>
          <w:tcPr>
            <w:tcW w:w="1009" w:type="dxa"/>
            <w:vAlign w:val="bottom"/>
          </w:tcPr>
          <w:p w14:paraId="406EC00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73C8F79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78" w:type="dxa"/>
            <w:vAlign w:val="bottom"/>
          </w:tcPr>
          <w:p w14:paraId="7FCE9CF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73" w:type="dxa"/>
            <w:vAlign w:val="bottom"/>
          </w:tcPr>
          <w:p w14:paraId="346986F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4F6C026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7DA524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62" w:type="dxa"/>
          </w:tcPr>
          <w:p w14:paraId="4379F31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r>
      <w:tr w:rsidR="006F605B" w:rsidRPr="00DC66CD" w14:paraId="0F74873A" w14:textId="77777777" w:rsidTr="00131DA1">
        <w:tc>
          <w:tcPr>
            <w:tcW w:w="915" w:type="dxa"/>
          </w:tcPr>
          <w:p w14:paraId="380225F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023" w:type="dxa"/>
          </w:tcPr>
          <w:p w14:paraId="45784EA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c>
          <w:tcPr>
            <w:tcW w:w="1009" w:type="dxa"/>
            <w:vAlign w:val="bottom"/>
          </w:tcPr>
          <w:p w14:paraId="336F0EA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4692D5C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78" w:type="dxa"/>
            <w:vAlign w:val="bottom"/>
          </w:tcPr>
          <w:p w14:paraId="0A20A98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73" w:type="dxa"/>
            <w:vAlign w:val="bottom"/>
          </w:tcPr>
          <w:p w14:paraId="2213B51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6918386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6137E47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62" w:type="dxa"/>
          </w:tcPr>
          <w:p w14:paraId="3843788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00000"/>
                <w:sz w:val="20"/>
                <w:szCs w:val="20"/>
              </w:rPr>
              <w:t>27,259</w:t>
            </w:r>
          </w:p>
        </w:tc>
      </w:tr>
    </w:tbl>
    <w:p w14:paraId="047472EC"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202"/>
        <w:gridCol w:w="1005"/>
        <w:gridCol w:w="1229"/>
        <w:gridCol w:w="927"/>
        <w:gridCol w:w="933"/>
        <w:gridCol w:w="1216"/>
        <w:gridCol w:w="1229"/>
        <w:gridCol w:w="1125"/>
      </w:tblGrid>
      <w:tr w:rsidR="006F605B" w:rsidRPr="00DC66CD" w14:paraId="236F1AE1" w14:textId="77777777" w:rsidTr="00131DA1">
        <w:tc>
          <w:tcPr>
            <w:tcW w:w="9634" w:type="dxa"/>
            <w:gridSpan w:val="9"/>
            <w:shd w:val="clear" w:color="auto" w:fill="E5DFEC" w:themeFill="accent4" w:themeFillTint="33"/>
          </w:tcPr>
          <w:p w14:paraId="026979B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 xml:space="preserve">Masa e reformës 10: Modernizimi i instrumenteve të pagesave </w:t>
            </w:r>
            <w:r w:rsidRPr="00DC66CD">
              <w:rPr>
                <w:rFonts w:ascii="Garamond" w:hAnsi="Garamond"/>
                <w:b/>
                <w:i/>
                <w:sz w:val="20"/>
                <w:szCs w:val="20"/>
              </w:rPr>
              <w:t>retail</w:t>
            </w:r>
          </w:p>
        </w:tc>
      </w:tr>
      <w:tr w:rsidR="006F605B" w:rsidRPr="00DC66CD" w14:paraId="7425948E" w14:textId="77777777" w:rsidTr="0042617D">
        <w:tc>
          <w:tcPr>
            <w:tcW w:w="768" w:type="dxa"/>
            <w:vAlign w:val="center"/>
          </w:tcPr>
          <w:p w14:paraId="7866E275"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202" w:type="dxa"/>
            <w:vAlign w:val="center"/>
          </w:tcPr>
          <w:p w14:paraId="1E0AA69B" w14:textId="58AB48CB"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05" w:type="dxa"/>
            <w:vAlign w:val="center"/>
          </w:tcPr>
          <w:p w14:paraId="19A644C7" w14:textId="524D6703"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229" w:type="dxa"/>
            <w:vAlign w:val="center"/>
          </w:tcPr>
          <w:p w14:paraId="1AA9502D"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927" w:type="dxa"/>
            <w:vAlign w:val="center"/>
          </w:tcPr>
          <w:p w14:paraId="6C758591" w14:textId="43C1D191"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933" w:type="dxa"/>
            <w:vAlign w:val="center"/>
          </w:tcPr>
          <w:p w14:paraId="739206DB"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216" w:type="dxa"/>
            <w:vAlign w:val="center"/>
          </w:tcPr>
          <w:p w14:paraId="441DF113"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29" w:type="dxa"/>
            <w:vAlign w:val="center"/>
          </w:tcPr>
          <w:p w14:paraId="4BB646EF" w14:textId="606D0B1A"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125" w:type="dxa"/>
            <w:vAlign w:val="center"/>
          </w:tcPr>
          <w:p w14:paraId="2ACC2148"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2D00A969" w14:textId="77777777" w:rsidTr="00131DA1">
        <w:tc>
          <w:tcPr>
            <w:tcW w:w="768" w:type="dxa"/>
          </w:tcPr>
          <w:p w14:paraId="60C0FDC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202" w:type="dxa"/>
            <w:vAlign w:val="bottom"/>
          </w:tcPr>
          <w:p w14:paraId="66D48E3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5" w:type="dxa"/>
            <w:vAlign w:val="bottom"/>
          </w:tcPr>
          <w:p w14:paraId="036196E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51E7B0A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27" w:type="dxa"/>
            <w:vAlign w:val="bottom"/>
          </w:tcPr>
          <w:p w14:paraId="406FE29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33" w:type="dxa"/>
            <w:vAlign w:val="bottom"/>
          </w:tcPr>
          <w:p w14:paraId="1F55578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280AF21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46F62A5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5" w:type="dxa"/>
            <w:vAlign w:val="bottom"/>
          </w:tcPr>
          <w:p w14:paraId="6CC3C24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4E9E5E83" w14:textId="77777777" w:rsidTr="00131DA1">
        <w:tc>
          <w:tcPr>
            <w:tcW w:w="768" w:type="dxa"/>
          </w:tcPr>
          <w:p w14:paraId="0D6FDA9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202" w:type="dxa"/>
            <w:vAlign w:val="bottom"/>
          </w:tcPr>
          <w:p w14:paraId="17229F1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5" w:type="dxa"/>
            <w:vAlign w:val="bottom"/>
          </w:tcPr>
          <w:p w14:paraId="263DF7F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325EAAE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27" w:type="dxa"/>
            <w:vAlign w:val="bottom"/>
          </w:tcPr>
          <w:p w14:paraId="74D02B0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33" w:type="dxa"/>
            <w:vAlign w:val="bottom"/>
          </w:tcPr>
          <w:p w14:paraId="710F78B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7997084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3225791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5" w:type="dxa"/>
            <w:vAlign w:val="bottom"/>
          </w:tcPr>
          <w:p w14:paraId="62A427F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38C94B14" w14:textId="77777777" w:rsidTr="00131DA1">
        <w:tc>
          <w:tcPr>
            <w:tcW w:w="768" w:type="dxa"/>
          </w:tcPr>
          <w:p w14:paraId="2C9CA66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202" w:type="dxa"/>
            <w:vAlign w:val="bottom"/>
          </w:tcPr>
          <w:p w14:paraId="10A7821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5" w:type="dxa"/>
            <w:vAlign w:val="bottom"/>
          </w:tcPr>
          <w:p w14:paraId="0536CF0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22B1002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27" w:type="dxa"/>
            <w:vAlign w:val="bottom"/>
          </w:tcPr>
          <w:p w14:paraId="7B5EE1D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33" w:type="dxa"/>
            <w:vAlign w:val="bottom"/>
          </w:tcPr>
          <w:p w14:paraId="020B6FA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0BC7B62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07A4F25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25" w:type="dxa"/>
            <w:vAlign w:val="bottom"/>
          </w:tcPr>
          <w:p w14:paraId="5DF2704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1D520C91"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010"/>
        <w:gridCol w:w="1011"/>
        <w:gridCol w:w="1121"/>
        <w:gridCol w:w="1003"/>
        <w:gridCol w:w="1002"/>
        <w:gridCol w:w="1102"/>
        <w:gridCol w:w="1268"/>
        <w:gridCol w:w="1134"/>
      </w:tblGrid>
      <w:tr w:rsidR="006F605B" w:rsidRPr="00DC66CD" w14:paraId="23DEB5EA" w14:textId="77777777" w:rsidTr="00131DA1">
        <w:tc>
          <w:tcPr>
            <w:tcW w:w="9634" w:type="dxa"/>
            <w:gridSpan w:val="9"/>
            <w:shd w:val="clear" w:color="auto" w:fill="E5DFEC" w:themeFill="accent4" w:themeFillTint="33"/>
          </w:tcPr>
          <w:p w14:paraId="6FB8E96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11: Përmirësimi i kapaciteteve institucionale të sistemit të kërkimit dhe inovacionit</w:t>
            </w:r>
          </w:p>
        </w:tc>
      </w:tr>
      <w:tr w:rsidR="006F605B" w:rsidRPr="00DC66CD" w14:paraId="517201C3" w14:textId="77777777" w:rsidTr="0042617D">
        <w:tc>
          <w:tcPr>
            <w:tcW w:w="1023" w:type="dxa"/>
            <w:vAlign w:val="center"/>
          </w:tcPr>
          <w:p w14:paraId="31F58CFA"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23" w:type="dxa"/>
            <w:vAlign w:val="center"/>
          </w:tcPr>
          <w:p w14:paraId="342E2ACA" w14:textId="7F61812B"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24" w:type="dxa"/>
            <w:vAlign w:val="center"/>
          </w:tcPr>
          <w:p w14:paraId="6A2C444C" w14:textId="0357621D"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024" w:type="dxa"/>
            <w:vAlign w:val="center"/>
          </w:tcPr>
          <w:p w14:paraId="3F450B4D"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022" w:type="dxa"/>
            <w:vAlign w:val="center"/>
          </w:tcPr>
          <w:p w14:paraId="56CF4DD5" w14:textId="7D91840F"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023" w:type="dxa"/>
            <w:vAlign w:val="center"/>
          </w:tcPr>
          <w:p w14:paraId="69E9BB71"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023" w:type="dxa"/>
            <w:vAlign w:val="center"/>
          </w:tcPr>
          <w:p w14:paraId="46C8E0CD"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96" w:type="dxa"/>
            <w:vAlign w:val="center"/>
          </w:tcPr>
          <w:p w14:paraId="2364F0E4" w14:textId="59CD9679"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176" w:type="dxa"/>
            <w:vAlign w:val="center"/>
          </w:tcPr>
          <w:p w14:paraId="727A1B30"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2C1B0A39" w14:textId="77777777" w:rsidTr="00131DA1">
        <w:tc>
          <w:tcPr>
            <w:tcW w:w="1023" w:type="dxa"/>
          </w:tcPr>
          <w:p w14:paraId="1DBA837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023" w:type="dxa"/>
          </w:tcPr>
          <w:p w14:paraId="175215B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4" w:type="dxa"/>
          </w:tcPr>
          <w:p w14:paraId="4318E5A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4" w:type="dxa"/>
          </w:tcPr>
          <w:p w14:paraId="2D2E0F8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2" w:type="dxa"/>
          </w:tcPr>
          <w:p w14:paraId="5B16972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3" w:type="dxa"/>
          </w:tcPr>
          <w:p w14:paraId="0CB2206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3" w:type="dxa"/>
          </w:tcPr>
          <w:p w14:paraId="2891790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6FDC5C6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76" w:type="dxa"/>
          </w:tcPr>
          <w:p w14:paraId="73D0CB7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0481E37F" w14:textId="77777777" w:rsidTr="00131DA1">
        <w:tc>
          <w:tcPr>
            <w:tcW w:w="1023" w:type="dxa"/>
          </w:tcPr>
          <w:p w14:paraId="2463ECC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023" w:type="dxa"/>
          </w:tcPr>
          <w:p w14:paraId="287F270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4" w:type="dxa"/>
          </w:tcPr>
          <w:p w14:paraId="3108C26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4" w:type="dxa"/>
          </w:tcPr>
          <w:p w14:paraId="3816F69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2" w:type="dxa"/>
          </w:tcPr>
          <w:p w14:paraId="63FE940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3" w:type="dxa"/>
          </w:tcPr>
          <w:p w14:paraId="3882ECC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3" w:type="dxa"/>
          </w:tcPr>
          <w:p w14:paraId="11C336C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09198D5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76" w:type="dxa"/>
          </w:tcPr>
          <w:p w14:paraId="3450380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3CCBE9AE" w14:textId="77777777" w:rsidTr="00131DA1">
        <w:tc>
          <w:tcPr>
            <w:tcW w:w="1023" w:type="dxa"/>
          </w:tcPr>
          <w:p w14:paraId="0601442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023" w:type="dxa"/>
          </w:tcPr>
          <w:p w14:paraId="79A0247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4" w:type="dxa"/>
          </w:tcPr>
          <w:p w14:paraId="0FA2FD9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4" w:type="dxa"/>
          </w:tcPr>
          <w:p w14:paraId="7AE6302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2" w:type="dxa"/>
          </w:tcPr>
          <w:p w14:paraId="6BD3881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3" w:type="dxa"/>
          </w:tcPr>
          <w:p w14:paraId="2D18AE8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3" w:type="dxa"/>
          </w:tcPr>
          <w:p w14:paraId="26EB3DB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29AC625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76" w:type="dxa"/>
          </w:tcPr>
          <w:p w14:paraId="55446B0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75D079C5"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1020"/>
        <w:gridCol w:w="1006"/>
        <w:gridCol w:w="1229"/>
        <w:gridCol w:w="969"/>
        <w:gridCol w:w="990"/>
        <w:gridCol w:w="1216"/>
        <w:gridCol w:w="1220"/>
        <w:gridCol w:w="1085"/>
      </w:tblGrid>
      <w:tr w:rsidR="006F605B" w:rsidRPr="00DC66CD" w14:paraId="79FFCDA7" w14:textId="77777777" w:rsidTr="00131DA1">
        <w:tc>
          <w:tcPr>
            <w:tcW w:w="9634" w:type="dxa"/>
            <w:gridSpan w:val="9"/>
            <w:shd w:val="clear" w:color="auto" w:fill="E5DFEC" w:themeFill="accent4" w:themeFillTint="33"/>
          </w:tcPr>
          <w:p w14:paraId="59DC784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 xml:space="preserve">Masa e reformës 12: </w:t>
            </w:r>
            <w:r w:rsidRPr="00DC66CD">
              <w:rPr>
                <w:rFonts w:ascii="Garamond" w:hAnsi="Garamond"/>
                <w:b/>
                <w:color w:val="0D0D0D" w:themeColor="text1" w:themeTint="F2"/>
                <w:sz w:val="20"/>
                <w:szCs w:val="20"/>
              </w:rPr>
              <w:t xml:space="preserve">Zhvillimi i infrastrukturës </w:t>
            </w:r>
            <w:r w:rsidRPr="00DC66CD">
              <w:rPr>
                <w:rFonts w:ascii="Garamond" w:hAnsi="Garamond"/>
                <w:b/>
                <w:i/>
                <w:color w:val="0D0D0D" w:themeColor="text1" w:themeTint="F2"/>
                <w:sz w:val="20"/>
                <w:szCs w:val="20"/>
              </w:rPr>
              <w:t>broadband</w:t>
            </w:r>
            <w:r w:rsidRPr="00DC66CD">
              <w:rPr>
                <w:rFonts w:ascii="Garamond" w:hAnsi="Garamond"/>
                <w:b/>
                <w:color w:val="0D0D0D" w:themeColor="text1" w:themeTint="F2"/>
                <w:sz w:val="20"/>
                <w:szCs w:val="20"/>
              </w:rPr>
              <w:t xml:space="preserve"> për ekonominë digjitale</w:t>
            </w:r>
          </w:p>
        </w:tc>
      </w:tr>
      <w:tr w:rsidR="006F605B" w:rsidRPr="00DC66CD" w14:paraId="7353A2F5" w14:textId="77777777" w:rsidTr="0042617D">
        <w:tc>
          <w:tcPr>
            <w:tcW w:w="899" w:type="dxa"/>
            <w:vAlign w:val="center"/>
          </w:tcPr>
          <w:p w14:paraId="65817BE6"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20" w:type="dxa"/>
            <w:vAlign w:val="center"/>
          </w:tcPr>
          <w:p w14:paraId="337B06B0" w14:textId="7A997362"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06" w:type="dxa"/>
            <w:vAlign w:val="center"/>
          </w:tcPr>
          <w:p w14:paraId="11BC6981" w14:textId="4F033BEA"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229" w:type="dxa"/>
            <w:vAlign w:val="center"/>
          </w:tcPr>
          <w:p w14:paraId="04282BFF"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969" w:type="dxa"/>
            <w:vAlign w:val="center"/>
          </w:tcPr>
          <w:p w14:paraId="142C769C" w14:textId="5284323A"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990" w:type="dxa"/>
            <w:vAlign w:val="center"/>
          </w:tcPr>
          <w:p w14:paraId="08CEEF27"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216" w:type="dxa"/>
            <w:vAlign w:val="center"/>
          </w:tcPr>
          <w:p w14:paraId="05B972A7"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20" w:type="dxa"/>
            <w:vAlign w:val="center"/>
          </w:tcPr>
          <w:p w14:paraId="36702F16" w14:textId="4466E6CE"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085" w:type="dxa"/>
            <w:vAlign w:val="center"/>
          </w:tcPr>
          <w:p w14:paraId="08CB1E3C"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7217D119" w14:textId="77777777" w:rsidTr="00131DA1">
        <w:tc>
          <w:tcPr>
            <w:tcW w:w="899" w:type="dxa"/>
          </w:tcPr>
          <w:p w14:paraId="6A9F95E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020" w:type="dxa"/>
          </w:tcPr>
          <w:p w14:paraId="074787E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c>
          <w:tcPr>
            <w:tcW w:w="1006" w:type="dxa"/>
            <w:vAlign w:val="bottom"/>
          </w:tcPr>
          <w:p w14:paraId="5E367F5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6BC00A3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9" w:type="dxa"/>
            <w:vAlign w:val="bottom"/>
          </w:tcPr>
          <w:p w14:paraId="4153CE9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90" w:type="dxa"/>
          </w:tcPr>
          <w:p w14:paraId="472A74E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520000</w:t>
            </w:r>
          </w:p>
        </w:tc>
        <w:tc>
          <w:tcPr>
            <w:tcW w:w="1216" w:type="dxa"/>
            <w:vAlign w:val="bottom"/>
          </w:tcPr>
          <w:p w14:paraId="42D415F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0" w:type="dxa"/>
            <w:vAlign w:val="bottom"/>
          </w:tcPr>
          <w:p w14:paraId="5D5B803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85" w:type="dxa"/>
          </w:tcPr>
          <w:p w14:paraId="1A52B5D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525500</w:t>
            </w:r>
          </w:p>
        </w:tc>
      </w:tr>
      <w:tr w:rsidR="006F605B" w:rsidRPr="00DC66CD" w14:paraId="2900A686" w14:textId="77777777" w:rsidTr="00131DA1">
        <w:tc>
          <w:tcPr>
            <w:tcW w:w="899" w:type="dxa"/>
          </w:tcPr>
          <w:p w14:paraId="16BDA8E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020" w:type="dxa"/>
          </w:tcPr>
          <w:p w14:paraId="0505E42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c>
          <w:tcPr>
            <w:tcW w:w="1006" w:type="dxa"/>
            <w:vAlign w:val="bottom"/>
          </w:tcPr>
          <w:p w14:paraId="4E0ED9D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2AC85BA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9" w:type="dxa"/>
            <w:vAlign w:val="bottom"/>
          </w:tcPr>
          <w:p w14:paraId="63721A1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90" w:type="dxa"/>
          </w:tcPr>
          <w:p w14:paraId="2B5FFC8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1C67EA3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0" w:type="dxa"/>
            <w:vAlign w:val="bottom"/>
          </w:tcPr>
          <w:p w14:paraId="5991F12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85" w:type="dxa"/>
          </w:tcPr>
          <w:p w14:paraId="4EDDAB4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r>
      <w:tr w:rsidR="006F605B" w:rsidRPr="00DC66CD" w14:paraId="3A1D7A60" w14:textId="77777777" w:rsidTr="00131DA1">
        <w:tc>
          <w:tcPr>
            <w:tcW w:w="899" w:type="dxa"/>
          </w:tcPr>
          <w:p w14:paraId="1901337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020" w:type="dxa"/>
          </w:tcPr>
          <w:p w14:paraId="5E1FBBA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c>
          <w:tcPr>
            <w:tcW w:w="1006" w:type="dxa"/>
            <w:vAlign w:val="bottom"/>
          </w:tcPr>
          <w:p w14:paraId="026E358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590869A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9" w:type="dxa"/>
            <w:vAlign w:val="bottom"/>
          </w:tcPr>
          <w:p w14:paraId="32CA6EA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90" w:type="dxa"/>
          </w:tcPr>
          <w:p w14:paraId="1B031F7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61DAA6D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0" w:type="dxa"/>
            <w:vAlign w:val="bottom"/>
          </w:tcPr>
          <w:p w14:paraId="1C3F700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85" w:type="dxa"/>
          </w:tcPr>
          <w:p w14:paraId="48BA9CC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5500</w:t>
            </w:r>
          </w:p>
        </w:tc>
      </w:tr>
    </w:tbl>
    <w:p w14:paraId="17EC86ED"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022"/>
        <w:gridCol w:w="1004"/>
        <w:gridCol w:w="1229"/>
        <w:gridCol w:w="963"/>
        <w:gridCol w:w="986"/>
        <w:gridCol w:w="1229"/>
        <w:gridCol w:w="1208"/>
        <w:gridCol w:w="1112"/>
      </w:tblGrid>
      <w:tr w:rsidR="006F605B" w:rsidRPr="00DC66CD" w14:paraId="04DBB0EF" w14:textId="77777777" w:rsidTr="00131DA1">
        <w:tc>
          <w:tcPr>
            <w:tcW w:w="9634" w:type="dxa"/>
            <w:gridSpan w:val="9"/>
            <w:shd w:val="clear" w:color="auto" w:fill="E5DFEC" w:themeFill="accent4" w:themeFillTint="33"/>
          </w:tcPr>
          <w:p w14:paraId="6800E19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 xml:space="preserve">Masa e reformës 13: </w:t>
            </w:r>
            <w:r w:rsidRPr="00DC66CD">
              <w:rPr>
                <w:rFonts w:ascii="Garamond" w:hAnsi="Garamond"/>
                <w:b/>
                <w:color w:val="0D0D0D" w:themeColor="text1" w:themeTint="F2"/>
                <w:sz w:val="20"/>
                <w:szCs w:val="20"/>
              </w:rPr>
              <w:t>Lehtësimi i lëvizjes ndërkufitare të mallrave</w:t>
            </w:r>
          </w:p>
        </w:tc>
      </w:tr>
      <w:tr w:rsidR="006F605B" w:rsidRPr="00DC66CD" w14:paraId="4C146210" w14:textId="77777777" w:rsidTr="0042617D">
        <w:tc>
          <w:tcPr>
            <w:tcW w:w="881" w:type="dxa"/>
            <w:vAlign w:val="center"/>
          </w:tcPr>
          <w:p w14:paraId="7B1F6815"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22" w:type="dxa"/>
            <w:vAlign w:val="center"/>
          </w:tcPr>
          <w:p w14:paraId="7EE8F4B9" w14:textId="1D4929F9"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04" w:type="dxa"/>
            <w:vAlign w:val="center"/>
          </w:tcPr>
          <w:p w14:paraId="4A014A3A" w14:textId="403595D1"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229" w:type="dxa"/>
            <w:vAlign w:val="center"/>
          </w:tcPr>
          <w:p w14:paraId="2E897800"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963" w:type="dxa"/>
            <w:vAlign w:val="center"/>
          </w:tcPr>
          <w:p w14:paraId="6ACD652D" w14:textId="3487C1CC"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986" w:type="dxa"/>
            <w:vAlign w:val="center"/>
          </w:tcPr>
          <w:p w14:paraId="64AF4CA2"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229" w:type="dxa"/>
            <w:vAlign w:val="center"/>
          </w:tcPr>
          <w:p w14:paraId="341BC23D"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08" w:type="dxa"/>
            <w:vAlign w:val="center"/>
          </w:tcPr>
          <w:p w14:paraId="27F75A68" w14:textId="3E4488C5"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112" w:type="dxa"/>
            <w:vAlign w:val="center"/>
          </w:tcPr>
          <w:p w14:paraId="5753FCC1"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5AD633F0" w14:textId="77777777" w:rsidTr="00131DA1">
        <w:tc>
          <w:tcPr>
            <w:tcW w:w="881" w:type="dxa"/>
          </w:tcPr>
          <w:p w14:paraId="4502D38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022" w:type="dxa"/>
            <w:vAlign w:val="center"/>
          </w:tcPr>
          <w:p w14:paraId="1878F7F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4" w:type="dxa"/>
          </w:tcPr>
          <w:p w14:paraId="73CCD0F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tcPr>
          <w:p w14:paraId="1379433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3" w:type="dxa"/>
          </w:tcPr>
          <w:p w14:paraId="2E1534E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86" w:type="dxa"/>
            <w:vAlign w:val="center"/>
          </w:tcPr>
          <w:p w14:paraId="7E9C6A0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tcPr>
          <w:p w14:paraId="519C40A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themeColor="text1" w:themeTint="F2"/>
                <w:sz w:val="20"/>
                <w:szCs w:val="20"/>
              </w:rPr>
              <w:t>60.000</w:t>
            </w:r>
          </w:p>
        </w:tc>
        <w:tc>
          <w:tcPr>
            <w:tcW w:w="1208" w:type="dxa"/>
          </w:tcPr>
          <w:p w14:paraId="7269CDE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2" w:type="dxa"/>
          </w:tcPr>
          <w:p w14:paraId="600C81A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themeColor="text1" w:themeTint="F2"/>
                <w:sz w:val="20"/>
                <w:szCs w:val="20"/>
              </w:rPr>
              <w:t>60.000</w:t>
            </w:r>
          </w:p>
        </w:tc>
      </w:tr>
      <w:tr w:rsidR="006F605B" w:rsidRPr="00DC66CD" w14:paraId="36695A2A" w14:textId="77777777" w:rsidTr="00131DA1">
        <w:tc>
          <w:tcPr>
            <w:tcW w:w="881" w:type="dxa"/>
          </w:tcPr>
          <w:p w14:paraId="6693635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022" w:type="dxa"/>
            <w:vAlign w:val="center"/>
          </w:tcPr>
          <w:p w14:paraId="3F56E2B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4" w:type="dxa"/>
          </w:tcPr>
          <w:p w14:paraId="03434AD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tcPr>
          <w:p w14:paraId="479BBA5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3" w:type="dxa"/>
          </w:tcPr>
          <w:p w14:paraId="3C49062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86" w:type="dxa"/>
            <w:vAlign w:val="center"/>
          </w:tcPr>
          <w:p w14:paraId="587D255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tcPr>
          <w:p w14:paraId="540F208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themeColor="text1" w:themeTint="F2"/>
                <w:sz w:val="20"/>
                <w:szCs w:val="20"/>
              </w:rPr>
              <w:t>190.000</w:t>
            </w:r>
          </w:p>
        </w:tc>
        <w:tc>
          <w:tcPr>
            <w:tcW w:w="1208" w:type="dxa"/>
          </w:tcPr>
          <w:p w14:paraId="63608AC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2" w:type="dxa"/>
          </w:tcPr>
          <w:p w14:paraId="09B9C28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themeColor="text1" w:themeTint="F2"/>
                <w:sz w:val="20"/>
                <w:szCs w:val="20"/>
              </w:rPr>
              <w:t>190.000</w:t>
            </w:r>
          </w:p>
        </w:tc>
      </w:tr>
      <w:tr w:rsidR="006F605B" w:rsidRPr="00DC66CD" w14:paraId="5A631C9C" w14:textId="77777777" w:rsidTr="00131DA1">
        <w:tc>
          <w:tcPr>
            <w:tcW w:w="881" w:type="dxa"/>
          </w:tcPr>
          <w:p w14:paraId="02B4C6E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022" w:type="dxa"/>
            <w:vAlign w:val="center"/>
          </w:tcPr>
          <w:p w14:paraId="6C3FC7B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4" w:type="dxa"/>
          </w:tcPr>
          <w:p w14:paraId="65DC8C1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tcPr>
          <w:p w14:paraId="58F8624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3" w:type="dxa"/>
          </w:tcPr>
          <w:p w14:paraId="4BDFB9B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86" w:type="dxa"/>
            <w:vAlign w:val="center"/>
          </w:tcPr>
          <w:p w14:paraId="60E3FBC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tcPr>
          <w:p w14:paraId="253F669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themeColor="text1" w:themeTint="F2"/>
                <w:sz w:val="20"/>
                <w:szCs w:val="20"/>
              </w:rPr>
              <w:t>2.500.000</w:t>
            </w:r>
          </w:p>
        </w:tc>
        <w:tc>
          <w:tcPr>
            <w:tcW w:w="1208" w:type="dxa"/>
          </w:tcPr>
          <w:p w14:paraId="0C4EE85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2" w:type="dxa"/>
          </w:tcPr>
          <w:p w14:paraId="4A347B1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color w:val="0D0D0D" w:themeColor="text1" w:themeTint="F2"/>
                <w:sz w:val="20"/>
                <w:szCs w:val="20"/>
              </w:rPr>
              <w:t>2.500.000</w:t>
            </w:r>
          </w:p>
        </w:tc>
      </w:tr>
    </w:tbl>
    <w:p w14:paraId="274D8529"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022"/>
        <w:gridCol w:w="1006"/>
        <w:gridCol w:w="1229"/>
        <w:gridCol w:w="969"/>
        <w:gridCol w:w="964"/>
        <w:gridCol w:w="1216"/>
        <w:gridCol w:w="1217"/>
        <w:gridCol w:w="1116"/>
      </w:tblGrid>
      <w:tr w:rsidR="006F605B" w:rsidRPr="00DC66CD" w14:paraId="0F84EE04" w14:textId="77777777" w:rsidTr="00131DA1">
        <w:tc>
          <w:tcPr>
            <w:tcW w:w="9634" w:type="dxa"/>
            <w:gridSpan w:val="9"/>
            <w:shd w:val="clear" w:color="auto" w:fill="E5DFEC" w:themeFill="accent4" w:themeFillTint="33"/>
          </w:tcPr>
          <w:p w14:paraId="63FA2C5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14: Finalizimi i reformës kurikulare para-universitare, trajnimi dhe punësimi i mësuesve</w:t>
            </w:r>
          </w:p>
        </w:tc>
      </w:tr>
      <w:tr w:rsidR="006F605B" w:rsidRPr="00DC66CD" w14:paraId="01CB9FC7" w14:textId="77777777" w:rsidTr="0042617D">
        <w:tc>
          <w:tcPr>
            <w:tcW w:w="895" w:type="dxa"/>
            <w:vAlign w:val="center"/>
          </w:tcPr>
          <w:p w14:paraId="79ABB716"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22" w:type="dxa"/>
            <w:vAlign w:val="center"/>
          </w:tcPr>
          <w:p w14:paraId="4B9BCA91" w14:textId="5C53EEA3"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06" w:type="dxa"/>
            <w:vAlign w:val="center"/>
          </w:tcPr>
          <w:p w14:paraId="32B6F504" w14:textId="3432B605"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229" w:type="dxa"/>
            <w:vAlign w:val="center"/>
          </w:tcPr>
          <w:p w14:paraId="2FE27A36"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969" w:type="dxa"/>
            <w:vAlign w:val="center"/>
          </w:tcPr>
          <w:p w14:paraId="1E7748B4" w14:textId="0A67F989"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964" w:type="dxa"/>
            <w:vAlign w:val="center"/>
          </w:tcPr>
          <w:p w14:paraId="612CE81F"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216" w:type="dxa"/>
            <w:vAlign w:val="center"/>
          </w:tcPr>
          <w:p w14:paraId="12D1D916"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17" w:type="dxa"/>
            <w:vAlign w:val="center"/>
          </w:tcPr>
          <w:p w14:paraId="1781E315" w14:textId="3716DADC"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116" w:type="dxa"/>
            <w:vAlign w:val="center"/>
          </w:tcPr>
          <w:p w14:paraId="6CF1580B"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00050D5C" w14:textId="77777777" w:rsidTr="00131DA1">
        <w:tc>
          <w:tcPr>
            <w:tcW w:w="895" w:type="dxa"/>
          </w:tcPr>
          <w:p w14:paraId="7BBD397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2019</w:t>
            </w:r>
          </w:p>
        </w:tc>
        <w:tc>
          <w:tcPr>
            <w:tcW w:w="1022" w:type="dxa"/>
            <w:vAlign w:val="center"/>
          </w:tcPr>
          <w:p w14:paraId="255319A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6" w:type="dxa"/>
          </w:tcPr>
          <w:p w14:paraId="000AD5F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tcPr>
          <w:p w14:paraId="3ABDFE4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9" w:type="dxa"/>
          </w:tcPr>
          <w:p w14:paraId="25CFC19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4" w:type="dxa"/>
            <w:vAlign w:val="center"/>
          </w:tcPr>
          <w:p w14:paraId="2E423A8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center"/>
          </w:tcPr>
          <w:p w14:paraId="3DCD5A1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7" w:type="dxa"/>
          </w:tcPr>
          <w:p w14:paraId="0A05EB8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center"/>
          </w:tcPr>
          <w:p w14:paraId="2029D60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5520000</w:t>
            </w:r>
          </w:p>
        </w:tc>
      </w:tr>
      <w:tr w:rsidR="006F605B" w:rsidRPr="00DC66CD" w14:paraId="3519CD69" w14:textId="77777777" w:rsidTr="00131DA1">
        <w:tc>
          <w:tcPr>
            <w:tcW w:w="895" w:type="dxa"/>
          </w:tcPr>
          <w:p w14:paraId="5CDE401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022" w:type="dxa"/>
            <w:vAlign w:val="bottom"/>
          </w:tcPr>
          <w:p w14:paraId="554D78A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6" w:type="dxa"/>
            <w:vAlign w:val="bottom"/>
          </w:tcPr>
          <w:p w14:paraId="1819FB7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37D05CB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9" w:type="dxa"/>
            <w:vAlign w:val="bottom"/>
          </w:tcPr>
          <w:p w14:paraId="4F82C96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4" w:type="dxa"/>
            <w:vAlign w:val="bottom"/>
          </w:tcPr>
          <w:p w14:paraId="677643B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3F10E3F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7" w:type="dxa"/>
            <w:vAlign w:val="bottom"/>
          </w:tcPr>
          <w:p w14:paraId="0606CA8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4D93AB2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52058310" w14:textId="77777777" w:rsidTr="00131DA1">
        <w:tc>
          <w:tcPr>
            <w:tcW w:w="895" w:type="dxa"/>
          </w:tcPr>
          <w:p w14:paraId="39EA119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022" w:type="dxa"/>
            <w:vAlign w:val="bottom"/>
          </w:tcPr>
          <w:p w14:paraId="63B246B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6" w:type="dxa"/>
            <w:vAlign w:val="bottom"/>
          </w:tcPr>
          <w:p w14:paraId="494ED6E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70975D9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9" w:type="dxa"/>
            <w:vAlign w:val="bottom"/>
          </w:tcPr>
          <w:p w14:paraId="79EF605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4" w:type="dxa"/>
            <w:vAlign w:val="bottom"/>
          </w:tcPr>
          <w:p w14:paraId="6F500A2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6CA3441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7" w:type="dxa"/>
            <w:vAlign w:val="bottom"/>
          </w:tcPr>
          <w:p w14:paraId="4E77841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5A14261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3C2139F5" w14:textId="77777777" w:rsidTr="00131DA1">
        <w:tc>
          <w:tcPr>
            <w:tcW w:w="895" w:type="dxa"/>
          </w:tcPr>
          <w:p w14:paraId="3881E6B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022" w:type="dxa"/>
            <w:vAlign w:val="bottom"/>
          </w:tcPr>
          <w:p w14:paraId="6A7BBAA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06" w:type="dxa"/>
            <w:vAlign w:val="bottom"/>
          </w:tcPr>
          <w:p w14:paraId="27B4E59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29" w:type="dxa"/>
            <w:vAlign w:val="bottom"/>
          </w:tcPr>
          <w:p w14:paraId="61D8F04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9" w:type="dxa"/>
            <w:vAlign w:val="bottom"/>
          </w:tcPr>
          <w:p w14:paraId="5A85C70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964" w:type="dxa"/>
            <w:vAlign w:val="bottom"/>
          </w:tcPr>
          <w:p w14:paraId="59303F9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6" w:type="dxa"/>
            <w:vAlign w:val="bottom"/>
          </w:tcPr>
          <w:p w14:paraId="2B044F9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17" w:type="dxa"/>
            <w:vAlign w:val="bottom"/>
          </w:tcPr>
          <w:p w14:paraId="5F6EDFA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16" w:type="dxa"/>
            <w:vAlign w:val="bottom"/>
          </w:tcPr>
          <w:p w14:paraId="3B86C43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61B941A5"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013"/>
        <w:gridCol w:w="1013"/>
        <w:gridCol w:w="1121"/>
        <w:gridCol w:w="1007"/>
        <w:gridCol w:w="1004"/>
        <w:gridCol w:w="1102"/>
        <w:gridCol w:w="1268"/>
        <w:gridCol w:w="1121"/>
      </w:tblGrid>
      <w:tr w:rsidR="006F605B" w:rsidRPr="00DC66CD" w14:paraId="0D9DB198" w14:textId="77777777" w:rsidTr="00131DA1">
        <w:tc>
          <w:tcPr>
            <w:tcW w:w="9634" w:type="dxa"/>
            <w:gridSpan w:val="9"/>
            <w:shd w:val="clear" w:color="auto" w:fill="E5DFEC" w:themeFill="accent4" w:themeFillTint="33"/>
          </w:tcPr>
          <w:p w14:paraId="1B18486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15: Arsimi përfshirës</w:t>
            </w:r>
          </w:p>
        </w:tc>
      </w:tr>
      <w:tr w:rsidR="006F605B" w:rsidRPr="00DC66CD" w14:paraId="5D4DB41E" w14:textId="77777777" w:rsidTr="0042617D">
        <w:tc>
          <w:tcPr>
            <w:tcW w:w="1026" w:type="dxa"/>
            <w:vAlign w:val="center"/>
          </w:tcPr>
          <w:p w14:paraId="75B2CD76"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26" w:type="dxa"/>
            <w:vAlign w:val="center"/>
          </w:tcPr>
          <w:p w14:paraId="67811F60" w14:textId="4B98C929"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26" w:type="dxa"/>
            <w:vAlign w:val="center"/>
          </w:tcPr>
          <w:p w14:paraId="5F9D9B49" w14:textId="0E2052B8"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026" w:type="dxa"/>
            <w:vAlign w:val="center"/>
          </w:tcPr>
          <w:p w14:paraId="3C5B3190"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026" w:type="dxa"/>
            <w:vAlign w:val="center"/>
          </w:tcPr>
          <w:p w14:paraId="11892653" w14:textId="187D9AE3"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026" w:type="dxa"/>
            <w:vAlign w:val="center"/>
          </w:tcPr>
          <w:p w14:paraId="558FFCCB"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026" w:type="dxa"/>
            <w:vAlign w:val="center"/>
          </w:tcPr>
          <w:p w14:paraId="0FE1CBE5"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96" w:type="dxa"/>
            <w:vAlign w:val="center"/>
          </w:tcPr>
          <w:p w14:paraId="6457C2FE" w14:textId="0D8D0374"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156" w:type="dxa"/>
            <w:vAlign w:val="center"/>
          </w:tcPr>
          <w:p w14:paraId="15E069F6"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3AD6A972" w14:textId="77777777" w:rsidTr="00131DA1">
        <w:tc>
          <w:tcPr>
            <w:tcW w:w="1026" w:type="dxa"/>
          </w:tcPr>
          <w:p w14:paraId="0903D41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2019</w:t>
            </w:r>
          </w:p>
        </w:tc>
        <w:tc>
          <w:tcPr>
            <w:tcW w:w="1026" w:type="dxa"/>
            <w:vAlign w:val="center"/>
          </w:tcPr>
          <w:p w14:paraId="72ED47F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439920</w:t>
            </w:r>
          </w:p>
        </w:tc>
        <w:tc>
          <w:tcPr>
            <w:tcW w:w="1026" w:type="dxa"/>
          </w:tcPr>
          <w:p w14:paraId="13EF542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tcPr>
          <w:p w14:paraId="5F7C52A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tcPr>
          <w:p w14:paraId="3F7ACAF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vAlign w:val="center"/>
          </w:tcPr>
          <w:p w14:paraId="64CA70A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vAlign w:val="center"/>
          </w:tcPr>
          <w:p w14:paraId="4551871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63B8934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56" w:type="dxa"/>
            <w:vAlign w:val="center"/>
          </w:tcPr>
          <w:p w14:paraId="3AF7431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439920</w:t>
            </w:r>
          </w:p>
        </w:tc>
      </w:tr>
      <w:tr w:rsidR="006F605B" w:rsidRPr="00DC66CD" w14:paraId="6B252085" w14:textId="77777777" w:rsidTr="00131DA1">
        <w:tc>
          <w:tcPr>
            <w:tcW w:w="1026" w:type="dxa"/>
          </w:tcPr>
          <w:p w14:paraId="582F423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026" w:type="dxa"/>
          </w:tcPr>
          <w:p w14:paraId="280B527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468000</w:t>
            </w:r>
          </w:p>
        </w:tc>
        <w:tc>
          <w:tcPr>
            <w:tcW w:w="1026" w:type="dxa"/>
          </w:tcPr>
          <w:p w14:paraId="5567014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tcPr>
          <w:p w14:paraId="6BA8280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tcPr>
          <w:p w14:paraId="2D137ED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vAlign w:val="center"/>
          </w:tcPr>
          <w:p w14:paraId="5FF5B4E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vAlign w:val="center"/>
          </w:tcPr>
          <w:p w14:paraId="7028ED1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6D1D2F0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56" w:type="dxa"/>
          </w:tcPr>
          <w:p w14:paraId="13A2E48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468000</w:t>
            </w:r>
          </w:p>
        </w:tc>
      </w:tr>
      <w:tr w:rsidR="006F605B" w:rsidRPr="00DC66CD" w14:paraId="291982FB" w14:textId="77777777" w:rsidTr="00131DA1">
        <w:tc>
          <w:tcPr>
            <w:tcW w:w="1026" w:type="dxa"/>
          </w:tcPr>
          <w:p w14:paraId="0A5D9198"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026" w:type="dxa"/>
          </w:tcPr>
          <w:p w14:paraId="42A730B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491400</w:t>
            </w:r>
          </w:p>
        </w:tc>
        <w:tc>
          <w:tcPr>
            <w:tcW w:w="1026" w:type="dxa"/>
          </w:tcPr>
          <w:p w14:paraId="230399D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tcPr>
          <w:p w14:paraId="5C30C48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tcPr>
          <w:p w14:paraId="55EFAA6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vAlign w:val="center"/>
          </w:tcPr>
          <w:p w14:paraId="6669494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26" w:type="dxa"/>
            <w:vAlign w:val="center"/>
          </w:tcPr>
          <w:p w14:paraId="702DC99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296" w:type="dxa"/>
          </w:tcPr>
          <w:p w14:paraId="279A9B2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156" w:type="dxa"/>
          </w:tcPr>
          <w:p w14:paraId="713F6BD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491400</w:t>
            </w:r>
          </w:p>
        </w:tc>
      </w:tr>
      <w:tr w:rsidR="006F605B" w:rsidRPr="00DC66CD" w14:paraId="6AD14C6E" w14:textId="77777777" w:rsidTr="00131DA1">
        <w:tc>
          <w:tcPr>
            <w:tcW w:w="1026" w:type="dxa"/>
          </w:tcPr>
          <w:p w14:paraId="52C2A98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026" w:type="dxa"/>
          </w:tcPr>
          <w:p w14:paraId="10EE91C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514800</w:t>
            </w:r>
          </w:p>
        </w:tc>
        <w:tc>
          <w:tcPr>
            <w:tcW w:w="1026" w:type="dxa"/>
          </w:tcPr>
          <w:p w14:paraId="2B5B9B85"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tcPr>
          <w:p w14:paraId="746A0C70"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tcPr>
          <w:p w14:paraId="236C1DB3"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vAlign w:val="center"/>
          </w:tcPr>
          <w:p w14:paraId="05BC1CFE"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vAlign w:val="center"/>
          </w:tcPr>
          <w:p w14:paraId="1CB10242" w14:textId="77777777" w:rsidR="006F605B" w:rsidRPr="00DC66CD" w:rsidRDefault="006F605B" w:rsidP="00131DA1">
            <w:pPr>
              <w:snapToGrid w:val="0"/>
              <w:spacing w:after="0" w:line="240" w:lineRule="auto"/>
              <w:jc w:val="right"/>
              <w:rPr>
                <w:rFonts w:ascii="Garamond" w:hAnsi="Garamond"/>
                <w:sz w:val="20"/>
                <w:szCs w:val="20"/>
              </w:rPr>
            </w:pPr>
          </w:p>
        </w:tc>
        <w:tc>
          <w:tcPr>
            <w:tcW w:w="1296" w:type="dxa"/>
          </w:tcPr>
          <w:p w14:paraId="4DB06A7A" w14:textId="77777777" w:rsidR="006F605B" w:rsidRPr="00DC66CD" w:rsidRDefault="006F605B" w:rsidP="00131DA1">
            <w:pPr>
              <w:snapToGrid w:val="0"/>
              <w:spacing w:after="0" w:line="240" w:lineRule="auto"/>
              <w:jc w:val="right"/>
              <w:rPr>
                <w:rFonts w:ascii="Garamond" w:hAnsi="Garamond"/>
                <w:sz w:val="20"/>
                <w:szCs w:val="20"/>
              </w:rPr>
            </w:pPr>
          </w:p>
        </w:tc>
        <w:tc>
          <w:tcPr>
            <w:tcW w:w="1156" w:type="dxa"/>
          </w:tcPr>
          <w:p w14:paraId="03F1B59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514800</w:t>
            </w:r>
          </w:p>
        </w:tc>
      </w:tr>
    </w:tbl>
    <w:p w14:paraId="7A6E1696"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013"/>
        <w:gridCol w:w="1013"/>
        <w:gridCol w:w="1121"/>
        <w:gridCol w:w="1007"/>
        <w:gridCol w:w="1005"/>
        <w:gridCol w:w="1102"/>
        <w:gridCol w:w="1268"/>
        <w:gridCol w:w="1116"/>
      </w:tblGrid>
      <w:tr w:rsidR="006F605B" w:rsidRPr="00DC66CD" w14:paraId="0BB197F7" w14:textId="77777777" w:rsidTr="00131DA1">
        <w:tc>
          <w:tcPr>
            <w:tcW w:w="9634" w:type="dxa"/>
            <w:gridSpan w:val="9"/>
            <w:shd w:val="clear" w:color="auto" w:fill="E5DFEC" w:themeFill="accent4" w:themeFillTint="33"/>
          </w:tcPr>
          <w:p w14:paraId="6C6577C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16: Modernizimi i sistemit të financimit të arsimit të hershëm parashkollor</w:t>
            </w:r>
          </w:p>
        </w:tc>
      </w:tr>
      <w:tr w:rsidR="006F605B" w:rsidRPr="00DC66CD" w14:paraId="22FFB0C1" w14:textId="77777777" w:rsidTr="0042617D">
        <w:tc>
          <w:tcPr>
            <w:tcW w:w="1026" w:type="dxa"/>
            <w:vAlign w:val="center"/>
          </w:tcPr>
          <w:p w14:paraId="371FA3E4"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26" w:type="dxa"/>
            <w:vAlign w:val="center"/>
          </w:tcPr>
          <w:p w14:paraId="53DF2E67" w14:textId="668A932E"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26" w:type="dxa"/>
            <w:vAlign w:val="center"/>
          </w:tcPr>
          <w:p w14:paraId="340417AF" w14:textId="69A447F1"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026" w:type="dxa"/>
            <w:vAlign w:val="center"/>
          </w:tcPr>
          <w:p w14:paraId="1C0D6E7E"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026" w:type="dxa"/>
            <w:vAlign w:val="center"/>
          </w:tcPr>
          <w:p w14:paraId="4A548A0D" w14:textId="09120B2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026" w:type="dxa"/>
            <w:vAlign w:val="center"/>
          </w:tcPr>
          <w:p w14:paraId="2840E9FE"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026" w:type="dxa"/>
            <w:vAlign w:val="center"/>
          </w:tcPr>
          <w:p w14:paraId="5D5D83DF"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296" w:type="dxa"/>
            <w:vAlign w:val="center"/>
          </w:tcPr>
          <w:p w14:paraId="6798F09B" w14:textId="6B910A5E"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156" w:type="dxa"/>
            <w:vAlign w:val="center"/>
          </w:tcPr>
          <w:p w14:paraId="7153480B"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78578292" w14:textId="77777777" w:rsidTr="00131DA1">
        <w:tc>
          <w:tcPr>
            <w:tcW w:w="1026" w:type="dxa"/>
          </w:tcPr>
          <w:p w14:paraId="462C9F2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Total</w:t>
            </w:r>
          </w:p>
        </w:tc>
        <w:tc>
          <w:tcPr>
            <w:tcW w:w="1026" w:type="dxa"/>
            <w:vAlign w:val="center"/>
          </w:tcPr>
          <w:p w14:paraId="38E34AA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 mn</w:t>
            </w:r>
          </w:p>
        </w:tc>
        <w:tc>
          <w:tcPr>
            <w:tcW w:w="1026" w:type="dxa"/>
          </w:tcPr>
          <w:p w14:paraId="02B2CEB2"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tcPr>
          <w:p w14:paraId="20B02BBA"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tcPr>
          <w:p w14:paraId="218A46BB"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vAlign w:val="center"/>
          </w:tcPr>
          <w:p w14:paraId="50C83B57" w14:textId="77777777" w:rsidR="006F605B" w:rsidRPr="00DC66CD" w:rsidRDefault="006F605B" w:rsidP="00131DA1">
            <w:pPr>
              <w:snapToGrid w:val="0"/>
              <w:spacing w:after="0" w:line="240" w:lineRule="auto"/>
              <w:jc w:val="right"/>
              <w:rPr>
                <w:rFonts w:ascii="Garamond" w:hAnsi="Garamond"/>
                <w:sz w:val="20"/>
                <w:szCs w:val="20"/>
              </w:rPr>
            </w:pPr>
          </w:p>
        </w:tc>
        <w:tc>
          <w:tcPr>
            <w:tcW w:w="1026" w:type="dxa"/>
            <w:vAlign w:val="center"/>
          </w:tcPr>
          <w:p w14:paraId="2C99566B" w14:textId="77777777" w:rsidR="006F605B" w:rsidRPr="00DC66CD" w:rsidRDefault="006F605B" w:rsidP="00131DA1">
            <w:pPr>
              <w:snapToGrid w:val="0"/>
              <w:spacing w:after="0" w:line="240" w:lineRule="auto"/>
              <w:jc w:val="right"/>
              <w:rPr>
                <w:rFonts w:ascii="Garamond" w:hAnsi="Garamond"/>
                <w:sz w:val="20"/>
                <w:szCs w:val="20"/>
              </w:rPr>
            </w:pPr>
          </w:p>
        </w:tc>
        <w:tc>
          <w:tcPr>
            <w:tcW w:w="1296" w:type="dxa"/>
          </w:tcPr>
          <w:p w14:paraId="11950A3C" w14:textId="77777777" w:rsidR="006F605B" w:rsidRPr="00DC66CD" w:rsidRDefault="006F605B" w:rsidP="00131DA1">
            <w:pPr>
              <w:snapToGrid w:val="0"/>
              <w:spacing w:after="0" w:line="240" w:lineRule="auto"/>
              <w:jc w:val="right"/>
              <w:rPr>
                <w:rFonts w:ascii="Garamond" w:hAnsi="Garamond"/>
                <w:sz w:val="20"/>
                <w:szCs w:val="20"/>
              </w:rPr>
            </w:pPr>
          </w:p>
        </w:tc>
        <w:tc>
          <w:tcPr>
            <w:tcW w:w="1156" w:type="dxa"/>
            <w:vAlign w:val="center"/>
          </w:tcPr>
          <w:p w14:paraId="1DB65E9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2.64 mn</w:t>
            </w:r>
          </w:p>
        </w:tc>
      </w:tr>
    </w:tbl>
    <w:p w14:paraId="50391253"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117"/>
        <w:gridCol w:w="1117"/>
        <w:gridCol w:w="1117"/>
        <w:gridCol w:w="1118"/>
        <w:gridCol w:w="1117"/>
        <w:gridCol w:w="1117"/>
        <w:gridCol w:w="960"/>
        <w:gridCol w:w="1275"/>
      </w:tblGrid>
      <w:tr w:rsidR="006F605B" w:rsidRPr="00DC66CD" w14:paraId="424E7D91" w14:textId="77777777" w:rsidTr="00131DA1">
        <w:tc>
          <w:tcPr>
            <w:tcW w:w="9634" w:type="dxa"/>
            <w:gridSpan w:val="9"/>
            <w:shd w:val="clear" w:color="auto" w:fill="E5DFEC" w:themeFill="accent4" w:themeFillTint="33"/>
          </w:tcPr>
          <w:p w14:paraId="3880DA9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17: Përmirësimi i cilësisë së mbulimit dhe shtrirjes së AFP-së duke siguruar lidhjet me tregun e punës</w:t>
            </w:r>
          </w:p>
        </w:tc>
      </w:tr>
      <w:tr w:rsidR="006F605B" w:rsidRPr="00DC66CD" w14:paraId="336124B9" w14:textId="77777777" w:rsidTr="0042617D">
        <w:tc>
          <w:tcPr>
            <w:tcW w:w="696" w:type="dxa"/>
            <w:vAlign w:val="center"/>
          </w:tcPr>
          <w:p w14:paraId="5833EBAE"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117" w:type="dxa"/>
            <w:vAlign w:val="center"/>
          </w:tcPr>
          <w:p w14:paraId="5AE56167" w14:textId="6C1F9598"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117" w:type="dxa"/>
            <w:vAlign w:val="center"/>
          </w:tcPr>
          <w:p w14:paraId="2CD69B8A" w14:textId="7E445DBA"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117" w:type="dxa"/>
            <w:vAlign w:val="center"/>
          </w:tcPr>
          <w:p w14:paraId="4019BEEC"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118" w:type="dxa"/>
            <w:vAlign w:val="center"/>
          </w:tcPr>
          <w:p w14:paraId="36BE29A5" w14:textId="5E68DFE9"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117" w:type="dxa"/>
            <w:vAlign w:val="center"/>
          </w:tcPr>
          <w:p w14:paraId="3850647A"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117" w:type="dxa"/>
            <w:vAlign w:val="center"/>
          </w:tcPr>
          <w:p w14:paraId="7F2B655F"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960" w:type="dxa"/>
            <w:vAlign w:val="center"/>
          </w:tcPr>
          <w:p w14:paraId="3EDCF189" w14:textId="772AB571"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275" w:type="dxa"/>
            <w:vAlign w:val="center"/>
          </w:tcPr>
          <w:p w14:paraId="3D2AF0B5"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102F08C9" w14:textId="77777777" w:rsidTr="00131DA1">
        <w:tc>
          <w:tcPr>
            <w:tcW w:w="696" w:type="dxa"/>
          </w:tcPr>
          <w:p w14:paraId="30CAA64C"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117" w:type="dxa"/>
          </w:tcPr>
          <w:p w14:paraId="695A8A5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5506339</w:t>
            </w:r>
          </w:p>
        </w:tc>
        <w:tc>
          <w:tcPr>
            <w:tcW w:w="1117" w:type="dxa"/>
          </w:tcPr>
          <w:p w14:paraId="51796E6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0</w:t>
            </w:r>
          </w:p>
        </w:tc>
        <w:tc>
          <w:tcPr>
            <w:tcW w:w="1117" w:type="dxa"/>
          </w:tcPr>
          <w:p w14:paraId="3A8CBCC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0</w:t>
            </w:r>
          </w:p>
        </w:tc>
        <w:tc>
          <w:tcPr>
            <w:tcW w:w="1118" w:type="dxa"/>
          </w:tcPr>
          <w:p w14:paraId="443419C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0</w:t>
            </w:r>
          </w:p>
        </w:tc>
        <w:tc>
          <w:tcPr>
            <w:tcW w:w="1117" w:type="dxa"/>
          </w:tcPr>
          <w:p w14:paraId="1DCECE0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sz w:val="20"/>
                <w:szCs w:val="20"/>
              </w:rPr>
              <w:t>1,250,000</w:t>
            </w:r>
          </w:p>
        </w:tc>
        <w:tc>
          <w:tcPr>
            <w:tcW w:w="1117" w:type="dxa"/>
          </w:tcPr>
          <w:p w14:paraId="21C396E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sz w:val="20"/>
                <w:szCs w:val="20"/>
              </w:rPr>
              <w:t>1,500,000</w:t>
            </w:r>
          </w:p>
        </w:tc>
        <w:tc>
          <w:tcPr>
            <w:tcW w:w="960" w:type="dxa"/>
          </w:tcPr>
          <w:p w14:paraId="677FD428"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0</w:t>
            </w:r>
          </w:p>
        </w:tc>
        <w:tc>
          <w:tcPr>
            <w:tcW w:w="1275" w:type="dxa"/>
          </w:tcPr>
          <w:p w14:paraId="2DFAF8F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00000"/>
                <w:sz w:val="20"/>
                <w:szCs w:val="20"/>
              </w:rPr>
              <w:t>8,256,339</w:t>
            </w:r>
          </w:p>
        </w:tc>
      </w:tr>
      <w:tr w:rsidR="006F605B" w:rsidRPr="00DC66CD" w14:paraId="40646504" w14:textId="77777777" w:rsidTr="00131DA1">
        <w:tc>
          <w:tcPr>
            <w:tcW w:w="696" w:type="dxa"/>
          </w:tcPr>
          <w:p w14:paraId="7770B8B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117" w:type="dxa"/>
          </w:tcPr>
          <w:p w14:paraId="3A6A6EE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5356092</w:t>
            </w:r>
          </w:p>
        </w:tc>
        <w:tc>
          <w:tcPr>
            <w:tcW w:w="1117" w:type="dxa"/>
          </w:tcPr>
          <w:p w14:paraId="202DD05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0</w:t>
            </w:r>
          </w:p>
        </w:tc>
        <w:tc>
          <w:tcPr>
            <w:tcW w:w="1117" w:type="dxa"/>
          </w:tcPr>
          <w:p w14:paraId="189F52F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0</w:t>
            </w:r>
          </w:p>
        </w:tc>
        <w:tc>
          <w:tcPr>
            <w:tcW w:w="1118" w:type="dxa"/>
          </w:tcPr>
          <w:p w14:paraId="333E4C4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0</w:t>
            </w:r>
          </w:p>
        </w:tc>
        <w:tc>
          <w:tcPr>
            <w:tcW w:w="1117" w:type="dxa"/>
          </w:tcPr>
          <w:p w14:paraId="78023B3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sz w:val="20"/>
                <w:szCs w:val="20"/>
              </w:rPr>
              <w:t>2,100,000</w:t>
            </w:r>
          </w:p>
        </w:tc>
        <w:tc>
          <w:tcPr>
            <w:tcW w:w="1117" w:type="dxa"/>
          </w:tcPr>
          <w:p w14:paraId="08A719A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sz w:val="20"/>
                <w:szCs w:val="20"/>
              </w:rPr>
              <w:t>2,700,000</w:t>
            </w:r>
          </w:p>
        </w:tc>
        <w:tc>
          <w:tcPr>
            <w:tcW w:w="960" w:type="dxa"/>
          </w:tcPr>
          <w:p w14:paraId="0D90FA8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0</w:t>
            </w:r>
          </w:p>
        </w:tc>
        <w:tc>
          <w:tcPr>
            <w:tcW w:w="1275" w:type="dxa"/>
          </w:tcPr>
          <w:p w14:paraId="0DE90B5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00000"/>
                <w:sz w:val="20"/>
                <w:szCs w:val="20"/>
              </w:rPr>
              <w:t>10,156,092</w:t>
            </w:r>
          </w:p>
        </w:tc>
      </w:tr>
      <w:tr w:rsidR="006F605B" w:rsidRPr="00DC66CD" w14:paraId="0CA17797" w14:textId="77777777" w:rsidTr="00131DA1">
        <w:tc>
          <w:tcPr>
            <w:tcW w:w="696" w:type="dxa"/>
          </w:tcPr>
          <w:p w14:paraId="6684199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117" w:type="dxa"/>
          </w:tcPr>
          <w:p w14:paraId="74D61569"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5206392</w:t>
            </w:r>
          </w:p>
        </w:tc>
        <w:tc>
          <w:tcPr>
            <w:tcW w:w="1117" w:type="dxa"/>
          </w:tcPr>
          <w:p w14:paraId="5400446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0</w:t>
            </w:r>
          </w:p>
        </w:tc>
        <w:tc>
          <w:tcPr>
            <w:tcW w:w="1117" w:type="dxa"/>
          </w:tcPr>
          <w:p w14:paraId="294CBC39"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0</w:t>
            </w:r>
          </w:p>
        </w:tc>
        <w:tc>
          <w:tcPr>
            <w:tcW w:w="1118" w:type="dxa"/>
          </w:tcPr>
          <w:p w14:paraId="7FDD8EE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0</w:t>
            </w:r>
          </w:p>
        </w:tc>
        <w:tc>
          <w:tcPr>
            <w:tcW w:w="1117" w:type="dxa"/>
          </w:tcPr>
          <w:p w14:paraId="71C01699"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sz w:val="20"/>
                <w:szCs w:val="20"/>
              </w:rPr>
              <w:t>1,150,000</w:t>
            </w:r>
          </w:p>
        </w:tc>
        <w:tc>
          <w:tcPr>
            <w:tcW w:w="1117" w:type="dxa"/>
          </w:tcPr>
          <w:p w14:paraId="712FCDF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sz w:val="20"/>
                <w:szCs w:val="20"/>
              </w:rPr>
              <w:t>800,000</w:t>
            </w:r>
          </w:p>
        </w:tc>
        <w:tc>
          <w:tcPr>
            <w:tcW w:w="960" w:type="dxa"/>
          </w:tcPr>
          <w:p w14:paraId="51FD433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0</w:t>
            </w:r>
          </w:p>
        </w:tc>
        <w:tc>
          <w:tcPr>
            <w:tcW w:w="1275" w:type="dxa"/>
          </w:tcPr>
          <w:p w14:paraId="7C09522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00000"/>
                <w:sz w:val="20"/>
                <w:szCs w:val="20"/>
              </w:rPr>
              <w:t>7,156,392</w:t>
            </w:r>
          </w:p>
        </w:tc>
      </w:tr>
    </w:tbl>
    <w:p w14:paraId="29759208"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1076"/>
        <w:gridCol w:w="1076"/>
        <w:gridCol w:w="1076"/>
        <w:gridCol w:w="1076"/>
        <w:gridCol w:w="1076"/>
        <w:gridCol w:w="1076"/>
        <w:gridCol w:w="1076"/>
        <w:gridCol w:w="1076"/>
      </w:tblGrid>
      <w:tr w:rsidR="006F605B" w:rsidRPr="00DC66CD" w14:paraId="4945BBAD" w14:textId="77777777" w:rsidTr="00131DA1">
        <w:tc>
          <w:tcPr>
            <w:tcW w:w="9634" w:type="dxa"/>
            <w:gridSpan w:val="9"/>
            <w:shd w:val="clear" w:color="auto" w:fill="E5DFEC" w:themeFill="accent4" w:themeFillTint="33"/>
          </w:tcPr>
          <w:p w14:paraId="1E6FFCE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18: Përmirësimi i punësueshmërisë të punëkërkuesve të papunë më vulnerabël përmes adresimit më të mirë të PNP-ve dhe shërbimeve të punësimit</w:t>
            </w:r>
          </w:p>
        </w:tc>
      </w:tr>
      <w:tr w:rsidR="006F605B" w:rsidRPr="00DC66CD" w14:paraId="7A27837F" w14:textId="77777777" w:rsidTr="0042617D">
        <w:tc>
          <w:tcPr>
            <w:tcW w:w="1026" w:type="dxa"/>
            <w:vAlign w:val="center"/>
          </w:tcPr>
          <w:p w14:paraId="133DB790"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76" w:type="dxa"/>
            <w:vAlign w:val="center"/>
          </w:tcPr>
          <w:p w14:paraId="41B7CF60" w14:textId="3D04A80A"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qendror</w:t>
            </w:r>
          </w:p>
        </w:tc>
        <w:tc>
          <w:tcPr>
            <w:tcW w:w="1076" w:type="dxa"/>
            <w:vAlign w:val="center"/>
          </w:tcPr>
          <w:p w14:paraId="439B7B54" w14:textId="479DBCC5"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 xml:space="preserve">Buxheti </w:t>
            </w:r>
            <w:r w:rsidR="0042617D" w:rsidRPr="00DC66CD">
              <w:rPr>
                <w:rFonts w:ascii="Garamond" w:hAnsi="Garamond"/>
                <w:b/>
                <w:sz w:val="20"/>
                <w:szCs w:val="20"/>
              </w:rPr>
              <w:t>lokal</w:t>
            </w:r>
          </w:p>
        </w:tc>
        <w:tc>
          <w:tcPr>
            <w:tcW w:w="1076" w:type="dxa"/>
            <w:vAlign w:val="center"/>
          </w:tcPr>
          <w:p w14:paraId="3ED71D1B"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076" w:type="dxa"/>
            <w:vAlign w:val="center"/>
          </w:tcPr>
          <w:p w14:paraId="5D847B9C" w14:textId="5ED45023"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076" w:type="dxa"/>
            <w:vAlign w:val="center"/>
          </w:tcPr>
          <w:p w14:paraId="3E86F19B"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076" w:type="dxa"/>
            <w:vAlign w:val="center"/>
          </w:tcPr>
          <w:p w14:paraId="59EF8A4B"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076" w:type="dxa"/>
            <w:vAlign w:val="center"/>
          </w:tcPr>
          <w:p w14:paraId="559947EC" w14:textId="077A37E2"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076" w:type="dxa"/>
            <w:vAlign w:val="center"/>
          </w:tcPr>
          <w:p w14:paraId="7468F90E"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5C99C97B" w14:textId="77777777" w:rsidTr="00131DA1">
        <w:tc>
          <w:tcPr>
            <w:tcW w:w="1026" w:type="dxa"/>
          </w:tcPr>
          <w:p w14:paraId="58EC914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2019</w:t>
            </w:r>
          </w:p>
        </w:tc>
        <w:tc>
          <w:tcPr>
            <w:tcW w:w="1076" w:type="dxa"/>
            <w:vAlign w:val="bottom"/>
          </w:tcPr>
          <w:p w14:paraId="068D36A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7276FF9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5A38D41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512C8CA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351BF16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0C07D78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23E32B5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6,650</w:t>
            </w:r>
          </w:p>
        </w:tc>
        <w:tc>
          <w:tcPr>
            <w:tcW w:w="1076" w:type="dxa"/>
          </w:tcPr>
          <w:p w14:paraId="5D03247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6,650</w:t>
            </w:r>
          </w:p>
        </w:tc>
      </w:tr>
      <w:tr w:rsidR="006F605B" w:rsidRPr="00DC66CD" w14:paraId="5ED843C3" w14:textId="77777777" w:rsidTr="00131DA1">
        <w:tc>
          <w:tcPr>
            <w:tcW w:w="1026" w:type="dxa"/>
          </w:tcPr>
          <w:p w14:paraId="12D36A0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076" w:type="dxa"/>
            <w:vAlign w:val="bottom"/>
          </w:tcPr>
          <w:p w14:paraId="53962E3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4377878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5B977C4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5D87335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26C8728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72DDB506"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3E76922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w:t>
            </w:r>
            <w:r w:rsidRPr="00DC66CD">
              <w:rPr>
                <w:rStyle w:val="FootnoteReference"/>
                <w:rFonts w:ascii="Garamond" w:hAnsi="Garamond"/>
                <w:sz w:val="20"/>
                <w:szCs w:val="20"/>
              </w:rPr>
              <w:footnoteReference w:id="83"/>
            </w:r>
          </w:p>
        </w:tc>
        <w:tc>
          <w:tcPr>
            <w:tcW w:w="1076" w:type="dxa"/>
            <w:vAlign w:val="bottom"/>
          </w:tcPr>
          <w:p w14:paraId="65D2B0D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3381A695" w14:textId="77777777" w:rsidTr="00131DA1">
        <w:tc>
          <w:tcPr>
            <w:tcW w:w="1026" w:type="dxa"/>
          </w:tcPr>
          <w:p w14:paraId="29AC672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076" w:type="dxa"/>
            <w:vAlign w:val="bottom"/>
          </w:tcPr>
          <w:p w14:paraId="55FD4E4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71B0EC3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2B62951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7FFEFD5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744A700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66B808E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3D3AF38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 xml:space="preserve"> -</w:t>
            </w:r>
          </w:p>
        </w:tc>
        <w:tc>
          <w:tcPr>
            <w:tcW w:w="1076" w:type="dxa"/>
            <w:vAlign w:val="bottom"/>
          </w:tcPr>
          <w:p w14:paraId="199CE81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4DA500BE" w14:textId="77777777" w:rsidTr="00131DA1">
        <w:tc>
          <w:tcPr>
            <w:tcW w:w="1026" w:type="dxa"/>
          </w:tcPr>
          <w:p w14:paraId="0FE07A3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076" w:type="dxa"/>
            <w:vAlign w:val="bottom"/>
          </w:tcPr>
          <w:p w14:paraId="31BE8DB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7650771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07F632C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0B06F2C2"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249BB69F"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04B9C9C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tcPr>
          <w:p w14:paraId="667FA7B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 xml:space="preserve"> -</w:t>
            </w:r>
          </w:p>
        </w:tc>
        <w:tc>
          <w:tcPr>
            <w:tcW w:w="1076" w:type="dxa"/>
            <w:vAlign w:val="bottom"/>
          </w:tcPr>
          <w:p w14:paraId="4A522D69"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4E1A4C91"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1076"/>
        <w:gridCol w:w="1077"/>
        <w:gridCol w:w="1076"/>
        <w:gridCol w:w="1077"/>
        <w:gridCol w:w="1076"/>
        <w:gridCol w:w="1077"/>
        <w:gridCol w:w="1076"/>
        <w:gridCol w:w="1077"/>
      </w:tblGrid>
      <w:tr w:rsidR="006F605B" w:rsidRPr="00DC66CD" w14:paraId="0C750695" w14:textId="77777777" w:rsidTr="00131DA1">
        <w:tc>
          <w:tcPr>
            <w:tcW w:w="9634" w:type="dxa"/>
            <w:gridSpan w:val="9"/>
            <w:shd w:val="clear" w:color="auto" w:fill="E5DFEC" w:themeFill="accent4" w:themeFillTint="33"/>
          </w:tcPr>
          <w:p w14:paraId="61F844D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b/>
                <w:sz w:val="20"/>
                <w:szCs w:val="20"/>
              </w:rPr>
              <w:t>Masa e reformës 19: Forcimi i mbrojtjes sociale dhe masat e përfshirjes sociale</w:t>
            </w:r>
          </w:p>
        </w:tc>
      </w:tr>
      <w:tr w:rsidR="006F605B" w:rsidRPr="00DC66CD" w14:paraId="4947E669" w14:textId="77777777" w:rsidTr="0042617D">
        <w:tc>
          <w:tcPr>
            <w:tcW w:w="1022" w:type="dxa"/>
            <w:vAlign w:val="center"/>
          </w:tcPr>
          <w:p w14:paraId="008A30E3"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Viti</w:t>
            </w:r>
          </w:p>
        </w:tc>
        <w:tc>
          <w:tcPr>
            <w:tcW w:w="1076" w:type="dxa"/>
            <w:vAlign w:val="center"/>
          </w:tcPr>
          <w:p w14:paraId="50823521"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Buxheti Qendror</w:t>
            </w:r>
          </w:p>
        </w:tc>
        <w:tc>
          <w:tcPr>
            <w:tcW w:w="1077" w:type="dxa"/>
            <w:vAlign w:val="center"/>
          </w:tcPr>
          <w:p w14:paraId="2E3D0377"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Buxheti Lokal</w:t>
            </w:r>
          </w:p>
        </w:tc>
        <w:tc>
          <w:tcPr>
            <w:tcW w:w="1076" w:type="dxa"/>
            <w:vAlign w:val="center"/>
          </w:tcPr>
          <w:p w14:paraId="75BAAE50"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Burime të tjera kombëtare të financave publike</w:t>
            </w:r>
          </w:p>
        </w:tc>
        <w:tc>
          <w:tcPr>
            <w:tcW w:w="1077" w:type="dxa"/>
            <w:vAlign w:val="center"/>
          </w:tcPr>
          <w:p w14:paraId="15BE3B36" w14:textId="12133692"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Fondet IPA</w:t>
            </w:r>
          </w:p>
        </w:tc>
        <w:tc>
          <w:tcPr>
            <w:tcW w:w="1076" w:type="dxa"/>
            <w:vAlign w:val="center"/>
          </w:tcPr>
          <w:p w14:paraId="3DF23BBE"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Grante të tjera</w:t>
            </w:r>
          </w:p>
        </w:tc>
        <w:tc>
          <w:tcPr>
            <w:tcW w:w="1077" w:type="dxa"/>
            <w:vAlign w:val="center"/>
          </w:tcPr>
          <w:p w14:paraId="10EAB98C"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Hua projektesh</w:t>
            </w:r>
          </w:p>
        </w:tc>
        <w:tc>
          <w:tcPr>
            <w:tcW w:w="1076" w:type="dxa"/>
            <w:vAlign w:val="center"/>
          </w:tcPr>
          <w:p w14:paraId="17DCFB51" w14:textId="05271255" w:rsidR="006F605B" w:rsidRPr="00DC66CD" w:rsidRDefault="0042617D" w:rsidP="0042617D">
            <w:pPr>
              <w:snapToGrid w:val="0"/>
              <w:spacing w:after="0" w:line="240" w:lineRule="auto"/>
              <w:jc w:val="center"/>
              <w:rPr>
                <w:rFonts w:ascii="Garamond" w:hAnsi="Garamond"/>
                <w:b/>
                <w:sz w:val="20"/>
                <w:szCs w:val="20"/>
              </w:rPr>
            </w:pPr>
            <w:r w:rsidRPr="00DC66CD">
              <w:rPr>
                <w:rFonts w:ascii="Garamond" w:hAnsi="Garamond"/>
                <w:b/>
                <w:sz w:val="20"/>
                <w:szCs w:val="20"/>
              </w:rPr>
              <w:t>Për t’u vendosur</w:t>
            </w:r>
          </w:p>
        </w:tc>
        <w:tc>
          <w:tcPr>
            <w:tcW w:w="1077" w:type="dxa"/>
            <w:vAlign w:val="center"/>
          </w:tcPr>
          <w:p w14:paraId="13A20288" w14:textId="77777777" w:rsidR="006F605B" w:rsidRPr="00DC66CD" w:rsidRDefault="006F605B" w:rsidP="0042617D">
            <w:pPr>
              <w:snapToGrid w:val="0"/>
              <w:spacing w:after="0" w:line="240" w:lineRule="auto"/>
              <w:jc w:val="center"/>
              <w:rPr>
                <w:rFonts w:ascii="Garamond" w:hAnsi="Garamond"/>
                <w:b/>
                <w:sz w:val="20"/>
                <w:szCs w:val="20"/>
              </w:rPr>
            </w:pPr>
            <w:r w:rsidRPr="00DC66CD">
              <w:rPr>
                <w:rFonts w:ascii="Garamond" w:hAnsi="Garamond"/>
                <w:b/>
                <w:sz w:val="20"/>
                <w:szCs w:val="20"/>
              </w:rPr>
              <w:t>Totali</w:t>
            </w:r>
          </w:p>
        </w:tc>
      </w:tr>
      <w:tr w:rsidR="006F605B" w:rsidRPr="00DC66CD" w14:paraId="0DA2D777" w14:textId="77777777" w:rsidTr="00131DA1">
        <w:tc>
          <w:tcPr>
            <w:tcW w:w="1022" w:type="dxa"/>
          </w:tcPr>
          <w:p w14:paraId="665F1D2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2020</w:t>
            </w:r>
          </w:p>
        </w:tc>
        <w:tc>
          <w:tcPr>
            <w:tcW w:w="1076" w:type="dxa"/>
            <w:vAlign w:val="bottom"/>
          </w:tcPr>
          <w:p w14:paraId="69EEB7F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061535B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76B94D1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3DCE84D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36CB8CD1"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39E5FDC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47466D1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73D3564E"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4D2F3FE9" w14:textId="77777777" w:rsidTr="00131DA1">
        <w:tc>
          <w:tcPr>
            <w:tcW w:w="1022" w:type="dxa"/>
          </w:tcPr>
          <w:p w14:paraId="3B309DB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2021</w:t>
            </w:r>
          </w:p>
        </w:tc>
        <w:tc>
          <w:tcPr>
            <w:tcW w:w="1076" w:type="dxa"/>
            <w:vAlign w:val="bottom"/>
          </w:tcPr>
          <w:p w14:paraId="531F32C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6EEB9FB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605BC5EA"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3BC47AF3"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7BAD870D"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4B23089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1A0C6C7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69AA814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r w:rsidR="006F605B" w:rsidRPr="00DC66CD" w14:paraId="37EE745B" w14:textId="77777777" w:rsidTr="00131DA1">
        <w:tc>
          <w:tcPr>
            <w:tcW w:w="1022" w:type="dxa"/>
          </w:tcPr>
          <w:p w14:paraId="28B3BEC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2022</w:t>
            </w:r>
          </w:p>
        </w:tc>
        <w:tc>
          <w:tcPr>
            <w:tcW w:w="1076" w:type="dxa"/>
            <w:vAlign w:val="bottom"/>
          </w:tcPr>
          <w:p w14:paraId="12AB098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46983D3B"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5971D015"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7E4892B0"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41305AB4"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77149377"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6" w:type="dxa"/>
            <w:vAlign w:val="bottom"/>
          </w:tcPr>
          <w:p w14:paraId="6B6A2188"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c>
          <w:tcPr>
            <w:tcW w:w="1077" w:type="dxa"/>
            <w:vAlign w:val="bottom"/>
          </w:tcPr>
          <w:p w14:paraId="61954E6C" w14:textId="77777777" w:rsidR="006F605B" w:rsidRPr="00DC66CD" w:rsidRDefault="006F605B" w:rsidP="00131DA1">
            <w:pPr>
              <w:snapToGrid w:val="0"/>
              <w:spacing w:after="0" w:line="240" w:lineRule="auto"/>
              <w:jc w:val="right"/>
              <w:rPr>
                <w:rFonts w:ascii="Garamond" w:hAnsi="Garamond"/>
                <w:sz w:val="20"/>
                <w:szCs w:val="20"/>
              </w:rPr>
            </w:pPr>
            <w:r w:rsidRPr="00DC66CD">
              <w:rPr>
                <w:rFonts w:ascii="Garamond" w:hAnsi="Garamond"/>
                <w:sz w:val="20"/>
                <w:szCs w:val="20"/>
              </w:rPr>
              <w:t>0</w:t>
            </w:r>
          </w:p>
        </w:tc>
      </w:tr>
    </w:tbl>
    <w:p w14:paraId="51F288D8" w14:textId="77777777" w:rsidR="006F605B" w:rsidRPr="00DC66CD" w:rsidRDefault="006F605B" w:rsidP="006F605B">
      <w:pPr>
        <w:snapToGrid w:val="0"/>
        <w:spacing w:after="0" w:line="240" w:lineRule="auto"/>
        <w:ind w:firstLine="284"/>
        <w:rPr>
          <w:rFonts w:ascii="Garamond" w:hAnsi="Garamond"/>
          <w:sz w:val="24"/>
          <w:szCs w:val="24"/>
        </w:rPr>
      </w:pPr>
    </w:p>
    <w:p w14:paraId="6078B2BD" w14:textId="1786DEA2" w:rsidR="006F605B" w:rsidRPr="00DC66CD" w:rsidRDefault="006F605B" w:rsidP="006F605B">
      <w:pPr>
        <w:snapToGrid w:val="0"/>
        <w:spacing w:after="0" w:line="240" w:lineRule="auto"/>
        <w:ind w:firstLine="284"/>
        <w:rPr>
          <w:rFonts w:ascii="Garamond" w:hAnsi="Garamond"/>
          <w:i/>
          <w:sz w:val="24"/>
          <w:szCs w:val="24"/>
        </w:rPr>
      </w:pPr>
      <w:bookmarkStart w:id="109" w:name="_Toc30661258"/>
      <w:r w:rsidRPr="00DC66CD">
        <w:rPr>
          <w:rFonts w:ascii="Garamond" w:hAnsi="Garamond"/>
          <w:i/>
          <w:sz w:val="24"/>
          <w:szCs w:val="24"/>
        </w:rPr>
        <w:t>Tabela 11: Raportimi mbi zbatimin e masave të reformave strukturore të ERP</w:t>
      </w:r>
      <w:r w:rsidR="0042617D" w:rsidRPr="00DC66CD">
        <w:rPr>
          <w:rFonts w:ascii="Garamond" w:hAnsi="Garamond"/>
          <w:i/>
          <w:sz w:val="24"/>
          <w:szCs w:val="24"/>
        </w:rPr>
        <w:t>-së,</w:t>
      </w:r>
      <w:r w:rsidRPr="00DC66CD">
        <w:rPr>
          <w:rFonts w:ascii="Garamond" w:hAnsi="Garamond"/>
          <w:i/>
          <w:sz w:val="24"/>
          <w:szCs w:val="24"/>
        </w:rPr>
        <w:t xml:space="preserve"> </w:t>
      </w:r>
      <w:r w:rsidR="00433A3A" w:rsidRPr="00DC66CD">
        <w:rPr>
          <w:rFonts w:ascii="Garamond" w:hAnsi="Garamond"/>
          <w:i/>
          <w:sz w:val="24"/>
          <w:szCs w:val="24"/>
        </w:rPr>
        <w:t>2019–</w:t>
      </w:r>
      <w:r w:rsidRPr="00DC66CD">
        <w:rPr>
          <w:rFonts w:ascii="Garamond" w:hAnsi="Garamond"/>
          <w:i/>
          <w:sz w:val="24"/>
          <w:szCs w:val="24"/>
        </w:rPr>
        <w:t>2021</w:t>
      </w:r>
      <w:r w:rsidRPr="00DC66CD">
        <w:rPr>
          <w:rStyle w:val="FootnoteReference"/>
          <w:rFonts w:ascii="Garamond" w:hAnsi="Garamond"/>
          <w:i/>
          <w:sz w:val="24"/>
          <w:szCs w:val="24"/>
        </w:rPr>
        <w:footnoteReference w:id="84"/>
      </w:r>
      <w:bookmarkEnd w:id="1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6026"/>
        <w:gridCol w:w="1615"/>
      </w:tblGrid>
      <w:tr w:rsidR="006F605B" w:rsidRPr="00DC66CD" w14:paraId="633DECF7" w14:textId="77777777" w:rsidTr="0042617D">
        <w:tc>
          <w:tcPr>
            <w:tcW w:w="883" w:type="pct"/>
            <w:shd w:val="clear" w:color="auto" w:fill="E5DFEC" w:themeFill="accent4" w:themeFillTint="33"/>
            <w:vAlign w:val="center"/>
          </w:tcPr>
          <w:p w14:paraId="116DE88F" w14:textId="77777777" w:rsidR="006F605B" w:rsidRPr="00DC66CD" w:rsidRDefault="006F605B" w:rsidP="0042617D">
            <w:pPr>
              <w:spacing w:after="0" w:line="240" w:lineRule="auto"/>
              <w:jc w:val="center"/>
              <w:rPr>
                <w:rFonts w:ascii="Garamond" w:hAnsi="Garamond"/>
                <w:b/>
                <w:sz w:val="20"/>
                <w:szCs w:val="20"/>
              </w:rPr>
            </w:pPr>
          </w:p>
        </w:tc>
        <w:tc>
          <w:tcPr>
            <w:tcW w:w="3247" w:type="pct"/>
            <w:shd w:val="clear" w:color="auto" w:fill="E5DFEC" w:themeFill="accent4" w:themeFillTint="33"/>
            <w:vAlign w:val="center"/>
          </w:tcPr>
          <w:p w14:paraId="407F7F01" w14:textId="77777777" w:rsidR="006F605B" w:rsidRPr="00DC66CD" w:rsidRDefault="006F605B" w:rsidP="0042617D">
            <w:pPr>
              <w:spacing w:after="0" w:line="240" w:lineRule="auto"/>
              <w:jc w:val="center"/>
              <w:rPr>
                <w:rFonts w:ascii="Garamond" w:hAnsi="Garamond"/>
                <w:b/>
                <w:sz w:val="20"/>
                <w:szCs w:val="20"/>
              </w:rPr>
            </w:pPr>
            <w:r w:rsidRPr="00DC66CD">
              <w:rPr>
                <w:rFonts w:ascii="Garamond" w:hAnsi="Garamond"/>
                <w:b/>
                <w:sz w:val="20"/>
                <w:szCs w:val="20"/>
              </w:rPr>
              <w:t>Liberalizimi i mëtejshëm i tregut të energjisë</w:t>
            </w:r>
          </w:p>
        </w:tc>
        <w:tc>
          <w:tcPr>
            <w:tcW w:w="870" w:type="pct"/>
            <w:shd w:val="clear" w:color="auto" w:fill="E5DFEC" w:themeFill="accent4" w:themeFillTint="33"/>
            <w:vAlign w:val="center"/>
          </w:tcPr>
          <w:p w14:paraId="76382705" w14:textId="48992674" w:rsidR="006F605B" w:rsidRPr="00DC66CD" w:rsidRDefault="006F605B" w:rsidP="0042617D">
            <w:pPr>
              <w:spacing w:after="0" w:line="240" w:lineRule="auto"/>
              <w:jc w:val="center"/>
              <w:rPr>
                <w:rFonts w:ascii="Garamond" w:hAnsi="Garamond"/>
                <w:b/>
                <w:sz w:val="20"/>
                <w:szCs w:val="20"/>
              </w:rPr>
            </w:pPr>
            <w:r w:rsidRPr="00DC66CD">
              <w:rPr>
                <w:rFonts w:ascii="Garamond" w:hAnsi="Garamond"/>
                <w:b/>
                <w:sz w:val="20"/>
                <w:szCs w:val="20"/>
              </w:rPr>
              <w:t>Statusi i zbatimit të reformës (1</w:t>
            </w:r>
            <w:r w:rsidR="0042617D" w:rsidRPr="00DC66CD">
              <w:rPr>
                <w:rFonts w:ascii="Garamond" w:hAnsi="Garamond"/>
                <w:b/>
                <w:sz w:val="20"/>
                <w:szCs w:val="20"/>
              </w:rPr>
              <w:t>–</w:t>
            </w:r>
            <w:r w:rsidRPr="00DC66CD">
              <w:rPr>
                <w:rFonts w:ascii="Garamond" w:hAnsi="Garamond"/>
                <w:b/>
                <w:sz w:val="20"/>
                <w:szCs w:val="20"/>
              </w:rPr>
              <w:t>5)</w:t>
            </w:r>
          </w:p>
        </w:tc>
      </w:tr>
      <w:tr w:rsidR="006F605B" w:rsidRPr="00DC66CD" w14:paraId="1A326094" w14:textId="77777777" w:rsidTr="000C7F2D">
        <w:tc>
          <w:tcPr>
            <w:tcW w:w="883" w:type="pct"/>
            <w:vMerge w:val="restart"/>
          </w:tcPr>
          <w:p w14:paraId="59B8AD33" w14:textId="703F1C06"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Aktivitetet e planifikuara për 2019</w:t>
            </w:r>
            <w:r w:rsidR="00561509" w:rsidRPr="00DC66CD">
              <w:rPr>
                <w:rFonts w:ascii="Garamond" w:hAnsi="Garamond"/>
                <w:sz w:val="20"/>
                <w:szCs w:val="20"/>
              </w:rPr>
              <w:t>-ën</w:t>
            </w:r>
          </w:p>
        </w:tc>
        <w:tc>
          <w:tcPr>
            <w:tcW w:w="3247" w:type="pct"/>
          </w:tcPr>
          <w:p w14:paraId="1CD965D4" w14:textId="77777777" w:rsidR="006F605B" w:rsidRPr="00DC66CD" w:rsidRDefault="006F605B" w:rsidP="00131DA1">
            <w:pPr>
              <w:spacing w:after="0" w:line="240" w:lineRule="auto"/>
              <w:jc w:val="both"/>
              <w:rPr>
                <w:rFonts w:ascii="Garamond" w:hAnsi="Garamond"/>
                <w:sz w:val="20"/>
                <w:szCs w:val="20"/>
              </w:rPr>
            </w:pPr>
            <w:r w:rsidRPr="00DC66CD">
              <w:rPr>
                <w:rFonts w:ascii="Garamond" w:hAnsi="Garamond"/>
                <w:sz w:val="20"/>
                <w:szCs w:val="20"/>
              </w:rPr>
              <w:t>Liberalizimi i tregut të energjisë elektrike (konsumatorë në tregun e lirë)</w:t>
            </w:r>
          </w:p>
        </w:tc>
        <w:tc>
          <w:tcPr>
            <w:tcW w:w="870" w:type="pct"/>
          </w:tcPr>
          <w:p w14:paraId="5B2449DC"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4</w:t>
            </w:r>
          </w:p>
        </w:tc>
      </w:tr>
      <w:tr w:rsidR="006F605B" w:rsidRPr="00DC66CD" w14:paraId="2A83CE3D" w14:textId="77777777" w:rsidTr="000C7F2D">
        <w:tc>
          <w:tcPr>
            <w:tcW w:w="883" w:type="pct"/>
            <w:vMerge/>
          </w:tcPr>
          <w:p w14:paraId="19AFD793" w14:textId="77777777" w:rsidR="006F605B" w:rsidRPr="00DC66CD" w:rsidRDefault="006F605B" w:rsidP="00131DA1">
            <w:pPr>
              <w:spacing w:after="0" w:line="240" w:lineRule="auto"/>
              <w:rPr>
                <w:rFonts w:ascii="Garamond" w:hAnsi="Garamond"/>
                <w:sz w:val="20"/>
                <w:szCs w:val="20"/>
              </w:rPr>
            </w:pPr>
          </w:p>
        </w:tc>
        <w:tc>
          <w:tcPr>
            <w:tcW w:w="3247" w:type="pct"/>
          </w:tcPr>
          <w:p w14:paraId="09EDD2A9"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Ndarja e aktiviteteve të shpërndarjes nga furnizimi</w:t>
            </w:r>
          </w:p>
        </w:tc>
        <w:tc>
          <w:tcPr>
            <w:tcW w:w="870" w:type="pct"/>
          </w:tcPr>
          <w:p w14:paraId="03B74FFA"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4</w:t>
            </w:r>
          </w:p>
        </w:tc>
      </w:tr>
      <w:tr w:rsidR="006F605B" w:rsidRPr="00DC66CD" w14:paraId="1F3C7494" w14:textId="77777777" w:rsidTr="000C7F2D">
        <w:tc>
          <w:tcPr>
            <w:tcW w:w="883" w:type="pct"/>
            <w:vMerge/>
          </w:tcPr>
          <w:p w14:paraId="1D8BB847" w14:textId="77777777" w:rsidR="006F605B" w:rsidRPr="00DC66CD" w:rsidRDefault="006F605B" w:rsidP="00131DA1">
            <w:pPr>
              <w:spacing w:after="0" w:line="240" w:lineRule="auto"/>
              <w:rPr>
                <w:rFonts w:ascii="Garamond" w:hAnsi="Garamond"/>
                <w:sz w:val="20"/>
                <w:szCs w:val="20"/>
              </w:rPr>
            </w:pPr>
          </w:p>
        </w:tc>
        <w:tc>
          <w:tcPr>
            <w:tcW w:w="3247" w:type="pct"/>
          </w:tcPr>
          <w:p w14:paraId="14294587"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Themelimi i Bursës shqiptare të Energjisë</w:t>
            </w:r>
          </w:p>
        </w:tc>
        <w:tc>
          <w:tcPr>
            <w:tcW w:w="870" w:type="pct"/>
          </w:tcPr>
          <w:p w14:paraId="0E5CF555"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3</w:t>
            </w:r>
          </w:p>
        </w:tc>
      </w:tr>
      <w:tr w:rsidR="006F605B" w:rsidRPr="00DC66CD" w14:paraId="702CA3DB" w14:textId="77777777" w:rsidTr="000C7F2D">
        <w:tc>
          <w:tcPr>
            <w:tcW w:w="883" w:type="pct"/>
            <w:vMerge/>
          </w:tcPr>
          <w:p w14:paraId="6D511C2B" w14:textId="77777777" w:rsidR="006F605B" w:rsidRPr="00DC66CD" w:rsidRDefault="006F605B" w:rsidP="00131DA1">
            <w:pPr>
              <w:spacing w:after="0" w:line="240" w:lineRule="auto"/>
              <w:rPr>
                <w:rFonts w:ascii="Garamond" w:hAnsi="Garamond"/>
                <w:sz w:val="20"/>
                <w:szCs w:val="20"/>
              </w:rPr>
            </w:pPr>
          </w:p>
        </w:tc>
        <w:tc>
          <w:tcPr>
            <w:tcW w:w="3247" w:type="pct"/>
          </w:tcPr>
          <w:p w14:paraId="5BB2859F"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Siguria e furnizimit</w:t>
            </w:r>
          </w:p>
        </w:tc>
        <w:tc>
          <w:tcPr>
            <w:tcW w:w="870" w:type="pct"/>
          </w:tcPr>
          <w:p w14:paraId="6ABD0318"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3</w:t>
            </w:r>
          </w:p>
        </w:tc>
      </w:tr>
      <w:tr w:rsidR="006F605B" w:rsidRPr="00DC66CD" w14:paraId="6F96C8A5" w14:textId="77777777" w:rsidTr="000C7F2D">
        <w:tc>
          <w:tcPr>
            <w:tcW w:w="883" w:type="pct"/>
            <w:vMerge w:val="restart"/>
          </w:tcPr>
          <w:p w14:paraId="7B96F739" w14:textId="77777777" w:rsidR="006F605B" w:rsidRPr="00DC66CD" w:rsidRDefault="006F605B" w:rsidP="00131DA1">
            <w:pPr>
              <w:spacing w:after="0"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3247" w:type="pct"/>
          </w:tcPr>
          <w:p w14:paraId="699750D9" w14:textId="0BF4217A" w:rsidR="006F605B" w:rsidRPr="00DC66CD" w:rsidRDefault="006F605B" w:rsidP="00131DA1">
            <w:pPr>
              <w:spacing w:after="0" w:line="240" w:lineRule="auto"/>
              <w:jc w:val="both"/>
              <w:rPr>
                <w:rFonts w:ascii="Garamond" w:hAnsi="Garamond"/>
                <w:sz w:val="20"/>
                <w:szCs w:val="20"/>
              </w:rPr>
            </w:pPr>
            <w:r w:rsidRPr="00DC66CD">
              <w:rPr>
                <w:rFonts w:ascii="Garamond" w:hAnsi="Garamond"/>
                <w:sz w:val="20"/>
                <w:szCs w:val="20"/>
                <w:lang w:eastAsia="en-GB"/>
              </w:rPr>
              <w:t>Aktualisht janë 98 konsumatorë të lidhur në rrjetin 35 kV por deri tani vetëm 1/3 e tyre (28 konsumatorë) që janë të lidhur në rrjetin 35 kV, kanë zgjedhur të sigurojnë energjinë elektrike të nevojshme në tregun e liberalizuar</w:t>
            </w:r>
            <w:r w:rsidRPr="00DC66CD">
              <w:rPr>
                <w:rFonts w:ascii="Garamond" w:hAnsi="Garamond"/>
                <w:sz w:val="20"/>
                <w:szCs w:val="20"/>
              </w:rPr>
              <w:t>. Pjesa tjetër furnizohet ende nga Furnizuesi i Mundësisë se Fundit, me çmime me të larta</w:t>
            </w:r>
            <w:r w:rsidR="0072211B" w:rsidRPr="00DC66CD">
              <w:rPr>
                <w:rFonts w:ascii="Garamond" w:hAnsi="Garamond"/>
                <w:sz w:val="20"/>
                <w:szCs w:val="20"/>
              </w:rPr>
              <w:t xml:space="preserve"> </w:t>
            </w:r>
            <w:r w:rsidRPr="00DC66CD">
              <w:rPr>
                <w:rFonts w:ascii="Garamond" w:hAnsi="Garamond"/>
                <w:sz w:val="20"/>
                <w:szCs w:val="20"/>
              </w:rPr>
              <w:t>dhe të parregulluara</w:t>
            </w:r>
            <w:r w:rsidR="0072211B" w:rsidRPr="00DC66CD">
              <w:rPr>
                <w:rFonts w:ascii="Garamond" w:hAnsi="Garamond"/>
                <w:sz w:val="20"/>
                <w:szCs w:val="20"/>
              </w:rPr>
              <w:t xml:space="preserve"> </w:t>
            </w:r>
            <w:r w:rsidRPr="00DC66CD">
              <w:rPr>
                <w:rFonts w:ascii="Garamond" w:hAnsi="Garamond"/>
                <w:sz w:val="20"/>
                <w:szCs w:val="20"/>
              </w:rPr>
              <w:t>t</w:t>
            </w:r>
            <w:r w:rsidR="008B5731">
              <w:rPr>
                <w:rFonts w:ascii="Garamond" w:hAnsi="Garamond"/>
                <w:sz w:val="20"/>
                <w:szCs w:val="20"/>
              </w:rPr>
              <w:t>ë</w:t>
            </w:r>
            <w:r w:rsidRPr="00DC66CD">
              <w:rPr>
                <w:rFonts w:ascii="Garamond" w:hAnsi="Garamond"/>
                <w:sz w:val="20"/>
                <w:szCs w:val="20"/>
              </w:rPr>
              <w:t xml:space="preserve"> përllogaritura sipas metodologjisë së aprovuar nga ERE. </w:t>
            </w:r>
          </w:p>
          <w:p w14:paraId="6D057A82" w14:textId="5E8836CC" w:rsidR="006F605B" w:rsidRPr="00DC66CD" w:rsidRDefault="006F605B" w:rsidP="00131DA1">
            <w:pPr>
              <w:pStyle w:val="NormalWeb"/>
              <w:spacing w:before="0" w:beforeAutospacing="0" w:after="0" w:afterAutospacing="0"/>
              <w:jc w:val="both"/>
              <w:rPr>
                <w:rFonts w:ascii="Garamond" w:hAnsi="Garamond"/>
                <w:sz w:val="20"/>
                <w:szCs w:val="20"/>
              </w:rPr>
            </w:pPr>
            <w:r w:rsidRPr="00DC66CD">
              <w:rPr>
                <w:rFonts w:ascii="Garamond" w:hAnsi="Garamond"/>
                <w:sz w:val="20"/>
                <w:szCs w:val="20"/>
                <w:lang w:eastAsia="en-GB"/>
              </w:rPr>
              <w:t xml:space="preserve">Të gjithë konsumatorët e lidhur në 35 kV, deri në fund të vitit 2019 nuk do të jenë në gjendje të sigurojnë energjinë elektrike të nevojshme nga OSHEE </w:t>
            </w:r>
            <w:r w:rsidR="00561509" w:rsidRPr="00DC66CD">
              <w:rPr>
                <w:rFonts w:ascii="Garamond" w:hAnsi="Garamond"/>
                <w:sz w:val="20"/>
                <w:szCs w:val="20"/>
                <w:lang w:eastAsia="en-GB"/>
              </w:rPr>
              <w:t xml:space="preserve">sh.a </w:t>
            </w:r>
            <w:r w:rsidRPr="00DC66CD">
              <w:rPr>
                <w:rFonts w:ascii="Garamond" w:hAnsi="Garamond"/>
                <w:sz w:val="20"/>
                <w:szCs w:val="20"/>
                <w:lang w:eastAsia="en-GB"/>
              </w:rPr>
              <w:t>si Furnizues i Mundësisë së Fundit</w:t>
            </w:r>
            <w:r w:rsidR="00561509" w:rsidRPr="00DC66CD">
              <w:rPr>
                <w:rFonts w:ascii="Garamond" w:hAnsi="Garamond"/>
                <w:sz w:val="20"/>
                <w:szCs w:val="20"/>
                <w:lang w:eastAsia="en-GB"/>
              </w:rPr>
              <w:t>,</w:t>
            </w:r>
            <w:r w:rsidRPr="00DC66CD">
              <w:rPr>
                <w:rFonts w:ascii="Garamond" w:hAnsi="Garamond"/>
                <w:sz w:val="20"/>
                <w:szCs w:val="20"/>
                <w:lang w:eastAsia="en-GB"/>
              </w:rPr>
              <w:t xml:space="preserve"> </w:t>
            </w:r>
            <w:r w:rsidRPr="00DC66CD">
              <w:rPr>
                <w:rFonts w:ascii="Garamond" w:eastAsia="Arial Narrow" w:hAnsi="Garamond"/>
                <w:sz w:val="20"/>
                <w:szCs w:val="20"/>
              </w:rPr>
              <w:t>në përputhje me dispozitat e ndryshimeve të bëra në ligjin për sektorin e energjisë</w:t>
            </w:r>
            <w:r w:rsidRPr="00DC66CD">
              <w:rPr>
                <w:rFonts w:ascii="Garamond" w:hAnsi="Garamond"/>
                <w:sz w:val="20"/>
                <w:szCs w:val="20"/>
              </w:rPr>
              <w:t xml:space="preserve"> elektrike të ndryshuar.</w:t>
            </w:r>
          </w:p>
        </w:tc>
        <w:tc>
          <w:tcPr>
            <w:tcW w:w="870" w:type="pct"/>
          </w:tcPr>
          <w:p w14:paraId="0639B9BA" w14:textId="77777777" w:rsidR="006F605B" w:rsidRPr="00DC66CD" w:rsidRDefault="006F605B" w:rsidP="00131DA1">
            <w:pPr>
              <w:spacing w:after="0" w:line="240" w:lineRule="auto"/>
              <w:rPr>
                <w:rFonts w:ascii="Garamond" w:hAnsi="Garamond"/>
                <w:sz w:val="20"/>
                <w:szCs w:val="20"/>
              </w:rPr>
            </w:pPr>
          </w:p>
        </w:tc>
      </w:tr>
      <w:tr w:rsidR="006F605B" w:rsidRPr="00DC66CD" w14:paraId="30032C34" w14:textId="77777777" w:rsidTr="000C7F2D">
        <w:tc>
          <w:tcPr>
            <w:tcW w:w="883" w:type="pct"/>
            <w:vMerge/>
          </w:tcPr>
          <w:p w14:paraId="069C4500" w14:textId="77777777" w:rsidR="006F605B" w:rsidRPr="00DC66CD" w:rsidRDefault="006F605B" w:rsidP="00131DA1">
            <w:pPr>
              <w:spacing w:after="0" w:line="240" w:lineRule="auto"/>
              <w:rPr>
                <w:rFonts w:ascii="Garamond" w:hAnsi="Garamond"/>
                <w:sz w:val="20"/>
                <w:szCs w:val="20"/>
              </w:rPr>
            </w:pPr>
          </w:p>
        </w:tc>
        <w:tc>
          <w:tcPr>
            <w:tcW w:w="3247" w:type="pct"/>
          </w:tcPr>
          <w:p w14:paraId="340FC992" w14:textId="07D5A14F"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Themelimi i tr</w:t>
            </w:r>
            <w:r w:rsidR="00276B1A" w:rsidRPr="00DC66CD">
              <w:rPr>
                <w:rFonts w:ascii="Garamond" w:hAnsi="Garamond"/>
                <w:color w:val="auto"/>
                <w:sz w:val="20"/>
                <w:szCs w:val="20"/>
                <w:lang w:val="sq-AL"/>
              </w:rPr>
              <w:t>i</w:t>
            </w:r>
            <w:r w:rsidRPr="00DC66CD">
              <w:rPr>
                <w:rFonts w:ascii="Garamond" w:hAnsi="Garamond"/>
                <w:color w:val="auto"/>
                <w:sz w:val="20"/>
                <w:szCs w:val="20"/>
                <w:lang w:val="sq-AL"/>
              </w:rPr>
              <w:t xml:space="preserve"> kompanive bija sikurse përcaktuar me</w:t>
            </w:r>
            <w:r w:rsidR="0072211B" w:rsidRPr="00DC66CD">
              <w:rPr>
                <w:rFonts w:ascii="Garamond" w:hAnsi="Garamond"/>
                <w:color w:val="auto"/>
                <w:sz w:val="20"/>
                <w:szCs w:val="20"/>
                <w:lang w:val="sq-AL"/>
              </w:rPr>
              <w:t xml:space="preserve"> </w:t>
            </w:r>
            <w:r w:rsidR="00561509" w:rsidRPr="00DC66CD">
              <w:rPr>
                <w:rFonts w:ascii="Garamond" w:hAnsi="Garamond"/>
                <w:color w:val="auto"/>
                <w:sz w:val="20"/>
                <w:szCs w:val="20"/>
                <w:lang w:val="sq-AL"/>
              </w:rPr>
              <w:t xml:space="preserve">urdhrin </w:t>
            </w:r>
            <w:r w:rsidRPr="00DC66CD">
              <w:rPr>
                <w:rFonts w:ascii="Garamond" w:hAnsi="Garamond"/>
                <w:color w:val="auto"/>
                <w:sz w:val="20"/>
                <w:szCs w:val="20"/>
                <w:lang w:val="sq-AL"/>
              </w:rPr>
              <w:t xml:space="preserve">e </w:t>
            </w:r>
            <w:r w:rsidR="00561509" w:rsidRPr="00DC66CD">
              <w:rPr>
                <w:rFonts w:ascii="Garamond" w:hAnsi="Garamond"/>
                <w:color w:val="auto"/>
                <w:sz w:val="20"/>
                <w:szCs w:val="20"/>
                <w:lang w:val="sq-AL"/>
              </w:rPr>
              <w:t xml:space="preserve">ministrit </w:t>
            </w:r>
            <w:r w:rsidR="00E33D88" w:rsidRPr="00DC66CD">
              <w:rPr>
                <w:rFonts w:ascii="Garamond" w:hAnsi="Garamond"/>
                <w:color w:val="auto"/>
                <w:sz w:val="20"/>
                <w:szCs w:val="20"/>
                <w:lang w:val="sq-AL"/>
              </w:rPr>
              <w:t xml:space="preserve">nr. </w:t>
            </w:r>
            <w:r w:rsidRPr="00DC66CD">
              <w:rPr>
                <w:rFonts w:ascii="Garamond" w:hAnsi="Garamond"/>
                <w:color w:val="auto"/>
                <w:sz w:val="20"/>
                <w:szCs w:val="20"/>
                <w:lang w:val="sq-AL"/>
              </w:rPr>
              <w:t>157, datë 12.2.2018</w:t>
            </w:r>
            <w:r w:rsidR="00561509" w:rsidRPr="00DC66CD">
              <w:rPr>
                <w:rFonts w:ascii="Garamond" w:hAnsi="Garamond"/>
                <w:color w:val="auto"/>
                <w:sz w:val="20"/>
                <w:szCs w:val="20"/>
                <w:lang w:val="sq-AL"/>
              </w:rPr>
              <w:t>,</w:t>
            </w:r>
            <w:r w:rsidRPr="00DC66CD">
              <w:rPr>
                <w:rFonts w:ascii="Garamond" w:hAnsi="Garamond"/>
                <w:color w:val="auto"/>
                <w:sz w:val="20"/>
                <w:szCs w:val="20"/>
                <w:lang w:val="sq-AL"/>
              </w:rPr>
              <w:t xml:space="preserve"> </w:t>
            </w:r>
            <w:r w:rsidR="002A29AD" w:rsidRPr="00DC66CD">
              <w:rPr>
                <w:rFonts w:ascii="Garamond" w:hAnsi="Garamond"/>
                <w:color w:val="auto"/>
                <w:sz w:val="20"/>
                <w:szCs w:val="20"/>
                <w:lang w:val="sq-AL"/>
              </w:rPr>
              <w:t>“</w:t>
            </w:r>
            <w:r w:rsidRPr="00DC66CD">
              <w:rPr>
                <w:rFonts w:ascii="Garamond" w:hAnsi="Garamond"/>
                <w:color w:val="auto"/>
                <w:sz w:val="20"/>
                <w:szCs w:val="20"/>
                <w:lang w:val="sq-AL"/>
              </w:rPr>
              <w:t>Për krijimin e tr</w:t>
            </w:r>
            <w:r w:rsidR="00276B1A" w:rsidRPr="00DC66CD">
              <w:rPr>
                <w:rFonts w:ascii="Garamond" w:hAnsi="Garamond"/>
                <w:color w:val="auto"/>
                <w:sz w:val="20"/>
                <w:szCs w:val="20"/>
                <w:lang w:val="sq-AL"/>
              </w:rPr>
              <w:t>i</w:t>
            </w:r>
            <w:r w:rsidRPr="00DC66CD">
              <w:rPr>
                <w:rFonts w:ascii="Garamond" w:hAnsi="Garamond"/>
                <w:color w:val="auto"/>
                <w:sz w:val="20"/>
                <w:szCs w:val="20"/>
                <w:lang w:val="sq-AL"/>
              </w:rPr>
              <w:t xml:space="preserve"> kompanive të kontrolluara nga Operatori i Shpërndarjes së Energjisë Elektrike</w:t>
            </w:r>
            <w:r w:rsidR="002A29AD" w:rsidRPr="00DC66CD">
              <w:rPr>
                <w:rFonts w:ascii="Garamond" w:hAnsi="Garamond"/>
                <w:color w:val="auto"/>
                <w:sz w:val="20"/>
                <w:szCs w:val="20"/>
                <w:lang w:val="sq-AL"/>
              </w:rPr>
              <w:t>”</w:t>
            </w:r>
            <w:r w:rsidRPr="00DC66CD">
              <w:rPr>
                <w:rFonts w:ascii="Garamond" w:hAnsi="Garamond"/>
                <w:color w:val="auto"/>
                <w:sz w:val="20"/>
                <w:szCs w:val="20"/>
                <w:lang w:val="sq-AL"/>
              </w:rPr>
              <w:t xml:space="preserve">, ka përfunduar në </w:t>
            </w:r>
            <w:r w:rsidR="00561509" w:rsidRPr="00DC66CD">
              <w:rPr>
                <w:rFonts w:ascii="Garamond" w:hAnsi="Garamond"/>
                <w:color w:val="auto"/>
                <w:sz w:val="20"/>
                <w:szCs w:val="20"/>
                <w:lang w:val="sq-AL"/>
              </w:rPr>
              <w:t xml:space="preserve">mars </w:t>
            </w:r>
            <w:r w:rsidRPr="00DC66CD">
              <w:rPr>
                <w:rFonts w:ascii="Garamond" w:hAnsi="Garamond"/>
                <w:color w:val="auto"/>
                <w:sz w:val="20"/>
                <w:szCs w:val="20"/>
                <w:lang w:val="sq-AL"/>
              </w:rPr>
              <w:t>2018 dhe ERE ka dhënë edhe licencat përkatëse për këto tr</w:t>
            </w:r>
            <w:r w:rsidR="00276B1A" w:rsidRPr="00DC66CD">
              <w:rPr>
                <w:rFonts w:ascii="Garamond" w:hAnsi="Garamond"/>
                <w:color w:val="auto"/>
                <w:sz w:val="20"/>
                <w:szCs w:val="20"/>
                <w:lang w:val="sq-AL"/>
              </w:rPr>
              <w:t>i</w:t>
            </w:r>
            <w:r w:rsidRPr="00DC66CD">
              <w:rPr>
                <w:rFonts w:ascii="Garamond" w:hAnsi="Garamond"/>
                <w:color w:val="auto"/>
                <w:sz w:val="20"/>
                <w:szCs w:val="20"/>
                <w:lang w:val="sq-AL"/>
              </w:rPr>
              <w:t xml:space="preserve"> kompani bija sipas aktivitetit t</w:t>
            </w:r>
            <w:r w:rsidR="008B5731">
              <w:rPr>
                <w:rFonts w:ascii="Garamond" w:hAnsi="Garamond"/>
                <w:color w:val="auto"/>
                <w:sz w:val="20"/>
                <w:szCs w:val="20"/>
                <w:lang w:val="sq-AL"/>
              </w:rPr>
              <w:t>ë</w:t>
            </w:r>
            <w:r w:rsidRPr="00DC66CD">
              <w:rPr>
                <w:rFonts w:ascii="Garamond" w:hAnsi="Garamond"/>
                <w:color w:val="auto"/>
                <w:sz w:val="20"/>
                <w:szCs w:val="20"/>
                <w:lang w:val="sq-AL"/>
              </w:rPr>
              <w:t xml:space="preserve"> tyre përkatës.</w:t>
            </w:r>
          </w:p>
          <w:p w14:paraId="5CB4C532" w14:textId="77777777" w:rsidR="006F605B" w:rsidRPr="00DC66CD" w:rsidRDefault="006F605B" w:rsidP="00131DA1">
            <w:pPr>
              <w:pStyle w:val="Default"/>
              <w:jc w:val="both"/>
              <w:rPr>
                <w:rFonts w:ascii="Garamond" w:hAnsi="Garamond"/>
                <w:color w:val="auto"/>
                <w:sz w:val="20"/>
                <w:szCs w:val="20"/>
                <w:lang w:val="sq-AL"/>
              </w:rPr>
            </w:pPr>
          </w:p>
          <w:p w14:paraId="1DFE033B" w14:textId="2BBD88A6"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 xml:space="preserve">OSHEE </w:t>
            </w:r>
            <w:r w:rsidR="00561509" w:rsidRPr="00DC66CD">
              <w:rPr>
                <w:rFonts w:ascii="Garamond" w:hAnsi="Garamond"/>
                <w:color w:val="auto"/>
                <w:sz w:val="20"/>
                <w:szCs w:val="20"/>
                <w:lang w:val="sq-AL"/>
              </w:rPr>
              <w:t xml:space="preserve">sh.a., </w:t>
            </w:r>
            <w:r w:rsidRPr="00DC66CD">
              <w:rPr>
                <w:rFonts w:ascii="Garamond" w:hAnsi="Garamond"/>
                <w:color w:val="auto"/>
                <w:sz w:val="20"/>
                <w:szCs w:val="20"/>
                <w:lang w:val="sq-AL"/>
              </w:rPr>
              <w:t>me shkresën</w:t>
            </w:r>
            <w:r w:rsidR="00E33D88" w:rsidRPr="00DC66CD">
              <w:rPr>
                <w:rFonts w:ascii="Garamond" w:hAnsi="Garamond"/>
                <w:color w:val="auto"/>
                <w:sz w:val="20"/>
                <w:szCs w:val="20"/>
                <w:lang w:val="sq-AL"/>
              </w:rPr>
              <w:t xml:space="preserve"> nr. </w:t>
            </w:r>
            <w:r w:rsidRPr="00DC66CD">
              <w:rPr>
                <w:rFonts w:ascii="Garamond" w:hAnsi="Garamond"/>
                <w:color w:val="auto"/>
                <w:sz w:val="20"/>
                <w:szCs w:val="20"/>
                <w:lang w:val="sq-AL"/>
              </w:rPr>
              <w:t xml:space="preserve">21171 </w:t>
            </w:r>
            <w:r w:rsidR="00561509" w:rsidRPr="00DC66CD">
              <w:rPr>
                <w:rFonts w:ascii="Garamond" w:hAnsi="Garamond"/>
                <w:color w:val="auto"/>
                <w:sz w:val="20"/>
                <w:szCs w:val="20"/>
                <w:lang w:val="sq-AL"/>
              </w:rPr>
              <w:t xml:space="preserve">prot., </w:t>
            </w:r>
            <w:r w:rsidRPr="00DC66CD">
              <w:rPr>
                <w:rFonts w:ascii="Garamond" w:hAnsi="Garamond"/>
                <w:color w:val="auto"/>
                <w:sz w:val="20"/>
                <w:szCs w:val="20"/>
                <w:lang w:val="sq-AL"/>
              </w:rPr>
              <w:t>datë 26.11.2018</w:t>
            </w:r>
            <w:r w:rsidR="00561509" w:rsidRPr="00DC66CD">
              <w:rPr>
                <w:rFonts w:ascii="Garamond" w:hAnsi="Garamond"/>
                <w:color w:val="auto"/>
                <w:sz w:val="20"/>
                <w:szCs w:val="20"/>
                <w:lang w:val="sq-AL"/>
              </w:rPr>
              <w:t>,</w:t>
            </w:r>
            <w:r w:rsidR="0072211B" w:rsidRPr="00DC66CD">
              <w:rPr>
                <w:rFonts w:ascii="Garamond" w:hAnsi="Garamond"/>
                <w:color w:val="auto"/>
                <w:sz w:val="20"/>
                <w:szCs w:val="20"/>
                <w:lang w:val="sq-AL"/>
              </w:rPr>
              <w:t xml:space="preserve"> </w:t>
            </w:r>
            <w:r w:rsidRPr="00DC66CD">
              <w:rPr>
                <w:rFonts w:ascii="Garamond" w:hAnsi="Garamond"/>
                <w:color w:val="auto"/>
                <w:sz w:val="20"/>
                <w:szCs w:val="20"/>
                <w:lang w:val="sq-AL"/>
              </w:rPr>
              <w:t xml:space="preserve">drejtuar </w:t>
            </w:r>
            <w:r w:rsidR="00561509" w:rsidRPr="00DC66CD">
              <w:rPr>
                <w:rFonts w:ascii="Garamond" w:hAnsi="Garamond"/>
                <w:color w:val="auto"/>
                <w:sz w:val="20"/>
                <w:szCs w:val="20"/>
                <w:lang w:val="sq-AL"/>
              </w:rPr>
              <w:t xml:space="preserve">ministrit </w:t>
            </w:r>
            <w:r w:rsidRPr="00DC66CD">
              <w:rPr>
                <w:rFonts w:ascii="Garamond" w:hAnsi="Garamond"/>
                <w:color w:val="auto"/>
                <w:sz w:val="20"/>
                <w:szCs w:val="20"/>
                <w:lang w:val="sq-AL"/>
              </w:rPr>
              <w:t xml:space="preserve">të Infrastrukturës dhe Energjisë ka kërkuar udhëzime shtesë lidhur me ndarjen e mëtejshëm të OSHEE sh.a. Më tej, OSHEE </w:t>
            </w:r>
            <w:r w:rsidR="00561509" w:rsidRPr="00DC66CD">
              <w:rPr>
                <w:rFonts w:ascii="Garamond" w:hAnsi="Garamond"/>
                <w:color w:val="auto"/>
                <w:sz w:val="20"/>
                <w:szCs w:val="20"/>
                <w:lang w:val="sq-AL"/>
              </w:rPr>
              <w:t xml:space="preserve">sh.a. </w:t>
            </w:r>
            <w:r w:rsidRPr="00DC66CD">
              <w:rPr>
                <w:rFonts w:ascii="Garamond" w:hAnsi="Garamond"/>
                <w:color w:val="auto"/>
                <w:sz w:val="20"/>
                <w:szCs w:val="20"/>
                <w:lang w:val="sq-AL"/>
              </w:rPr>
              <w:t>ka kërkuar një afat të përshtatshëm për të krijuar strukturat e duhura ekzekutive dhe për të menaxhuar proceset e ndarjes s</w:t>
            </w:r>
            <w:r w:rsidR="00561509" w:rsidRPr="00DC66CD">
              <w:rPr>
                <w:rFonts w:ascii="Garamond" w:hAnsi="Garamond"/>
                <w:color w:val="auto"/>
                <w:sz w:val="20"/>
                <w:szCs w:val="20"/>
                <w:lang w:val="sq-AL"/>
              </w:rPr>
              <w:t>ë</w:t>
            </w:r>
            <w:r w:rsidRPr="00DC66CD">
              <w:rPr>
                <w:rFonts w:ascii="Garamond" w:hAnsi="Garamond"/>
                <w:color w:val="auto"/>
                <w:sz w:val="20"/>
                <w:szCs w:val="20"/>
                <w:lang w:val="sq-AL"/>
              </w:rPr>
              <w:t xml:space="preserve"> portofolit</w:t>
            </w:r>
            <w:r w:rsidR="00561509" w:rsidRPr="00DC66CD">
              <w:rPr>
                <w:rFonts w:ascii="Garamond" w:hAnsi="Garamond"/>
                <w:color w:val="auto"/>
                <w:sz w:val="20"/>
                <w:szCs w:val="20"/>
                <w:lang w:val="sq-AL"/>
              </w:rPr>
              <w:t>,</w:t>
            </w:r>
            <w:r w:rsidRPr="00DC66CD">
              <w:rPr>
                <w:rFonts w:ascii="Garamond" w:hAnsi="Garamond"/>
                <w:color w:val="auto"/>
                <w:sz w:val="20"/>
                <w:szCs w:val="20"/>
                <w:lang w:val="sq-AL"/>
              </w:rPr>
              <w:t xml:space="preserve"> n</w:t>
            </w:r>
            <w:r w:rsidR="00561509" w:rsidRPr="00DC66CD">
              <w:rPr>
                <w:rFonts w:ascii="Garamond" w:hAnsi="Garamond"/>
                <w:color w:val="auto"/>
                <w:sz w:val="20"/>
                <w:szCs w:val="20"/>
                <w:lang w:val="sq-AL"/>
              </w:rPr>
              <w:t>ë</w:t>
            </w:r>
            <w:r w:rsidRPr="00DC66CD">
              <w:rPr>
                <w:rFonts w:ascii="Garamond" w:hAnsi="Garamond"/>
                <w:color w:val="auto"/>
                <w:sz w:val="20"/>
                <w:szCs w:val="20"/>
                <w:lang w:val="sq-AL"/>
              </w:rPr>
              <w:t xml:space="preserve"> përputhje me funksionet dhe aktivitetet që secila nga këto kompani do të kryejë.</w:t>
            </w:r>
          </w:p>
          <w:p w14:paraId="34CEAFC6" w14:textId="77777777" w:rsidR="006F605B" w:rsidRPr="00DC66CD" w:rsidRDefault="006F605B" w:rsidP="00131DA1">
            <w:pPr>
              <w:pStyle w:val="Default"/>
              <w:jc w:val="both"/>
              <w:rPr>
                <w:rFonts w:ascii="Garamond" w:hAnsi="Garamond"/>
                <w:color w:val="auto"/>
                <w:sz w:val="20"/>
                <w:szCs w:val="20"/>
                <w:lang w:val="sq-AL"/>
              </w:rPr>
            </w:pPr>
          </w:p>
          <w:p w14:paraId="783A0163" w14:textId="21300500"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Së fundmi, OSHEE kërkoi rishikimin dhe plotësimin e kornizës ligjore</w:t>
            </w:r>
            <w:r w:rsidR="00561509" w:rsidRPr="00DC66CD">
              <w:rPr>
                <w:rFonts w:ascii="Garamond" w:hAnsi="Garamond"/>
                <w:color w:val="auto"/>
                <w:sz w:val="20"/>
                <w:szCs w:val="20"/>
                <w:lang w:val="sq-AL"/>
              </w:rPr>
              <w:t>,</w:t>
            </w:r>
            <w:r w:rsidRPr="00DC66CD">
              <w:rPr>
                <w:rFonts w:ascii="Garamond" w:hAnsi="Garamond"/>
                <w:color w:val="auto"/>
                <w:sz w:val="20"/>
                <w:szCs w:val="20"/>
                <w:lang w:val="sq-AL"/>
              </w:rPr>
              <w:t xml:space="preserve"> në përputhje me detyrimet e saj për të siguruar një furnizim të vazhdueshëm me energji elektrike</w:t>
            </w:r>
            <w:r w:rsidR="0072211B" w:rsidRPr="00DC66CD">
              <w:rPr>
                <w:rFonts w:ascii="Garamond" w:hAnsi="Garamond"/>
                <w:color w:val="auto"/>
                <w:sz w:val="20"/>
                <w:szCs w:val="20"/>
                <w:lang w:val="sq-AL"/>
              </w:rPr>
              <w:t xml:space="preserve"> </w:t>
            </w:r>
            <w:r w:rsidRPr="00DC66CD">
              <w:rPr>
                <w:rFonts w:ascii="Garamond" w:hAnsi="Garamond"/>
                <w:color w:val="auto"/>
                <w:sz w:val="20"/>
                <w:szCs w:val="20"/>
                <w:lang w:val="sq-AL"/>
              </w:rPr>
              <w:t>dhe sipas standardeve të cilësisë për klientët e saj.</w:t>
            </w:r>
          </w:p>
          <w:p w14:paraId="64543796" w14:textId="77777777" w:rsidR="006F605B" w:rsidRPr="00DC66CD" w:rsidRDefault="006F605B" w:rsidP="00131DA1">
            <w:pPr>
              <w:pStyle w:val="Default"/>
              <w:jc w:val="both"/>
              <w:rPr>
                <w:rFonts w:ascii="Garamond" w:hAnsi="Garamond"/>
                <w:color w:val="auto"/>
                <w:sz w:val="20"/>
                <w:szCs w:val="20"/>
                <w:lang w:val="sq-AL"/>
              </w:rPr>
            </w:pPr>
          </w:p>
          <w:p w14:paraId="0DE562D1" w14:textId="0F70C576"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Me vendimin nr</w:t>
            </w:r>
            <w:r w:rsidR="00561509" w:rsidRPr="00DC66CD">
              <w:rPr>
                <w:rFonts w:ascii="Garamond" w:hAnsi="Garamond"/>
                <w:color w:val="auto"/>
                <w:sz w:val="20"/>
                <w:szCs w:val="20"/>
                <w:lang w:val="sq-AL"/>
              </w:rPr>
              <w:t>.</w:t>
            </w:r>
            <w:r w:rsidRPr="00DC66CD">
              <w:rPr>
                <w:rFonts w:ascii="Garamond" w:hAnsi="Garamond"/>
                <w:color w:val="auto"/>
                <w:sz w:val="20"/>
                <w:szCs w:val="20"/>
                <w:lang w:val="sq-AL"/>
              </w:rPr>
              <w:t xml:space="preserve"> 264, të datës 20 dhjetor 2018, Bordi i ERE-s ka rënë dakord për të vendosur një periudhë tranzitore prej 12 muajsh për transferimin e licencave të mësipërme. Deri në fund të periudhës kalimtare (12 muaj), aktivitetet në sistemin e shpërndarjes së energjisë elektrike, furnizimi me energji elektrike dhe detyrimi i shërbimit universal të furnizimit me energji elektrike, do të vazhdojnë të kryhen nga OSHEE sh.a</w:t>
            </w:r>
            <w:r w:rsidR="00561509" w:rsidRPr="00DC66CD">
              <w:rPr>
                <w:rFonts w:ascii="Garamond" w:hAnsi="Garamond"/>
                <w:color w:val="auto"/>
                <w:sz w:val="20"/>
                <w:szCs w:val="20"/>
                <w:lang w:val="sq-AL"/>
              </w:rPr>
              <w:t>.</w:t>
            </w:r>
          </w:p>
          <w:p w14:paraId="340C9FED" w14:textId="77777777" w:rsidR="006F605B" w:rsidRPr="00DC66CD" w:rsidRDefault="007777D4" w:rsidP="00131DA1">
            <w:pPr>
              <w:pStyle w:val="Default"/>
              <w:jc w:val="both"/>
              <w:rPr>
                <w:rFonts w:ascii="Garamond" w:hAnsi="Garamond"/>
                <w:color w:val="auto"/>
                <w:sz w:val="20"/>
                <w:szCs w:val="20"/>
                <w:lang w:val="sq-AL"/>
              </w:rPr>
            </w:pPr>
            <w:hyperlink r:id="rId105" w:history="1">
              <w:r w:rsidR="006F605B" w:rsidRPr="00DC66CD">
                <w:rPr>
                  <w:rStyle w:val="Hyperlink"/>
                  <w:rFonts w:ascii="Garamond" w:hAnsi="Garamond"/>
                  <w:sz w:val="20"/>
                  <w:szCs w:val="20"/>
                  <w:lang w:val="sq-AL"/>
                </w:rPr>
                <w:t>http://www.ere.gov.al/doc/VENDIM_NR.264_2018_opt.pdf</w:t>
              </w:r>
            </w:hyperlink>
          </w:p>
          <w:p w14:paraId="6360232F" w14:textId="77777777" w:rsidR="006F605B" w:rsidRPr="00DC66CD" w:rsidRDefault="006F605B" w:rsidP="00131DA1">
            <w:pPr>
              <w:pStyle w:val="Default"/>
              <w:jc w:val="both"/>
              <w:rPr>
                <w:rFonts w:ascii="Garamond" w:hAnsi="Garamond"/>
                <w:color w:val="auto"/>
                <w:sz w:val="20"/>
                <w:szCs w:val="20"/>
                <w:lang w:val="sq-AL"/>
              </w:rPr>
            </w:pPr>
          </w:p>
          <w:p w14:paraId="7A32A4FA" w14:textId="21D8AFA8"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OSHEE sh.a</w:t>
            </w:r>
            <w:r w:rsidR="00561509" w:rsidRPr="00DC66CD">
              <w:rPr>
                <w:rFonts w:ascii="Garamond" w:hAnsi="Garamond"/>
                <w:color w:val="auto"/>
                <w:sz w:val="20"/>
                <w:szCs w:val="20"/>
                <w:lang w:val="sq-AL"/>
              </w:rPr>
              <w:t>.,</w:t>
            </w:r>
            <w:r w:rsidRPr="00DC66CD">
              <w:rPr>
                <w:rFonts w:ascii="Garamond" w:hAnsi="Garamond"/>
                <w:color w:val="auto"/>
                <w:sz w:val="20"/>
                <w:szCs w:val="20"/>
                <w:lang w:val="sq-AL"/>
              </w:rPr>
              <w:t xml:space="preserve"> me shkres</w:t>
            </w:r>
            <w:r w:rsidR="00561509" w:rsidRPr="00DC66CD">
              <w:rPr>
                <w:rFonts w:ascii="Garamond" w:hAnsi="Garamond"/>
                <w:color w:val="auto"/>
                <w:sz w:val="20"/>
                <w:szCs w:val="20"/>
                <w:lang w:val="sq-AL"/>
              </w:rPr>
              <w:t>ën</w:t>
            </w:r>
            <w:r w:rsidR="00E33D88" w:rsidRPr="00DC66CD">
              <w:rPr>
                <w:rFonts w:ascii="Garamond" w:hAnsi="Garamond"/>
                <w:color w:val="auto"/>
                <w:sz w:val="20"/>
                <w:szCs w:val="20"/>
                <w:lang w:val="sq-AL"/>
              </w:rPr>
              <w:t xml:space="preserve"> nr. </w:t>
            </w:r>
            <w:r w:rsidRPr="00DC66CD">
              <w:rPr>
                <w:rFonts w:ascii="Garamond" w:hAnsi="Garamond"/>
                <w:color w:val="auto"/>
                <w:sz w:val="20"/>
                <w:szCs w:val="20"/>
                <w:lang w:val="sq-AL"/>
              </w:rPr>
              <w:t xml:space="preserve">18103 </w:t>
            </w:r>
            <w:r w:rsidR="00561509" w:rsidRPr="00DC66CD">
              <w:rPr>
                <w:rFonts w:ascii="Garamond" w:hAnsi="Garamond"/>
                <w:color w:val="auto"/>
                <w:sz w:val="20"/>
                <w:szCs w:val="20"/>
                <w:lang w:val="sq-AL"/>
              </w:rPr>
              <w:t xml:space="preserve">prot. </w:t>
            </w:r>
            <w:r w:rsidRPr="00DC66CD">
              <w:rPr>
                <w:rFonts w:ascii="Garamond" w:hAnsi="Garamond"/>
                <w:color w:val="auto"/>
                <w:sz w:val="20"/>
                <w:szCs w:val="20"/>
                <w:lang w:val="sq-AL"/>
              </w:rPr>
              <w:t>datë 29.8.2019, drejtuar MIE</w:t>
            </w:r>
            <w:r w:rsidR="00561509" w:rsidRPr="00DC66CD">
              <w:rPr>
                <w:rFonts w:ascii="Garamond" w:hAnsi="Garamond"/>
                <w:color w:val="auto"/>
                <w:sz w:val="20"/>
                <w:szCs w:val="20"/>
                <w:lang w:val="sq-AL"/>
              </w:rPr>
              <w:t>-s</w:t>
            </w:r>
            <w:r w:rsidRPr="00DC66CD">
              <w:rPr>
                <w:rFonts w:ascii="Garamond" w:hAnsi="Garamond"/>
                <w:color w:val="auto"/>
                <w:sz w:val="20"/>
                <w:szCs w:val="20"/>
                <w:lang w:val="sq-AL"/>
              </w:rPr>
              <w:t xml:space="preserve"> ka informuar</w:t>
            </w:r>
            <w:r w:rsidR="0072211B" w:rsidRPr="00DC66CD">
              <w:rPr>
                <w:rFonts w:ascii="Garamond" w:hAnsi="Garamond"/>
                <w:color w:val="auto"/>
                <w:sz w:val="20"/>
                <w:szCs w:val="20"/>
                <w:lang w:val="sq-AL"/>
              </w:rPr>
              <w:t xml:space="preserve"> </w:t>
            </w:r>
            <w:r w:rsidRPr="00DC66CD">
              <w:rPr>
                <w:rFonts w:ascii="Garamond" w:hAnsi="Garamond"/>
                <w:color w:val="auto"/>
                <w:sz w:val="20"/>
                <w:szCs w:val="20"/>
                <w:lang w:val="sq-AL"/>
              </w:rPr>
              <w:t>për punën përgatitore të kryer prej</w:t>
            </w:r>
            <w:r w:rsidR="00561509" w:rsidRPr="00DC66CD">
              <w:rPr>
                <w:rFonts w:ascii="Garamond" w:hAnsi="Garamond"/>
                <w:color w:val="auto"/>
                <w:sz w:val="20"/>
                <w:szCs w:val="20"/>
                <w:lang w:val="sq-AL"/>
              </w:rPr>
              <w:t xml:space="preserve"> saj në kuadër të këtij procesi</w:t>
            </w:r>
            <w:r w:rsidRPr="00DC66CD">
              <w:rPr>
                <w:rFonts w:ascii="Garamond" w:hAnsi="Garamond"/>
                <w:color w:val="auto"/>
                <w:sz w:val="20"/>
                <w:szCs w:val="20"/>
                <w:lang w:val="sq-AL"/>
              </w:rPr>
              <w:t xml:space="preserve"> dhe</w:t>
            </w:r>
            <w:r w:rsidR="00561509" w:rsidRPr="00DC66CD">
              <w:rPr>
                <w:rFonts w:ascii="Garamond" w:hAnsi="Garamond"/>
                <w:color w:val="auto"/>
                <w:sz w:val="20"/>
                <w:szCs w:val="20"/>
                <w:lang w:val="sq-AL"/>
              </w:rPr>
              <w:t>,</w:t>
            </w:r>
            <w:r w:rsidRPr="00DC66CD">
              <w:rPr>
                <w:rFonts w:ascii="Garamond" w:hAnsi="Garamond"/>
                <w:color w:val="auto"/>
                <w:sz w:val="20"/>
                <w:szCs w:val="20"/>
                <w:lang w:val="sq-AL"/>
              </w:rPr>
              <w:t xml:space="preserve"> gjithashtu</w:t>
            </w:r>
            <w:r w:rsidR="00561509" w:rsidRPr="00DC66CD">
              <w:rPr>
                <w:rFonts w:ascii="Garamond" w:hAnsi="Garamond"/>
                <w:color w:val="auto"/>
                <w:sz w:val="20"/>
                <w:szCs w:val="20"/>
                <w:lang w:val="sq-AL"/>
              </w:rPr>
              <w:t>,</w:t>
            </w:r>
            <w:r w:rsidRPr="00DC66CD">
              <w:rPr>
                <w:rFonts w:ascii="Garamond" w:hAnsi="Garamond"/>
                <w:color w:val="auto"/>
                <w:sz w:val="20"/>
                <w:szCs w:val="20"/>
                <w:lang w:val="sq-AL"/>
              </w:rPr>
              <w:t xml:space="preserve"> ka propozuar që të ndërmerren edhe disa hapa të tjerë në koordinim me MIE</w:t>
            </w:r>
            <w:r w:rsidR="00561509" w:rsidRPr="00DC66CD">
              <w:rPr>
                <w:rFonts w:ascii="Garamond" w:hAnsi="Garamond"/>
                <w:color w:val="auto"/>
                <w:sz w:val="20"/>
                <w:szCs w:val="20"/>
                <w:lang w:val="sq-AL"/>
              </w:rPr>
              <w:t>-n</w:t>
            </w:r>
            <w:r w:rsidRPr="00DC66CD">
              <w:rPr>
                <w:rFonts w:ascii="Garamond" w:hAnsi="Garamond"/>
                <w:color w:val="auto"/>
                <w:sz w:val="20"/>
                <w:szCs w:val="20"/>
                <w:lang w:val="sq-AL"/>
              </w:rPr>
              <w:t>, në mënyrë që të finalizohet procesi i ndarjes se OSHEE sh.a</w:t>
            </w:r>
            <w:r w:rsidR="00561509" w:rsidRPr="00DC66CD">
              <w:rPr>
                <w:rFonts w:ascii="Garamond" w:hAnsi="Garamond"/>
                <w:color w:val="auto"/>
                <w:sz w:val="20"/>
                <w:szCs w:val="20"/>
                <w:lang w:val="sq-AL"/>
              </w:rPr>
              <w:t>.</w:t>
            </w:r>
            <w:r w:rsidRPr="00DC66CD">
              <w:rPr>
                <w:rFonts w:ascii="Garamond" w:hAnsi="Garamond"/>
                <w:color w:val="auto"/>
                <w:sz w:val="20"/>
                <w:szCs w:val="20"/>
                <w:lang w:val="sq-AL"/>
              </w:rPr>
              <w:t>, sipas afateve të përcaktuara nga ERE (bazuar n</w:t>
            </w:r>
            <w:r w:rsidR="00561509" w:rsidRPr="00DC66CD">
              <w:rPr>
                <w:rFonts w:ascii="Garamond" w:hAnsi="Garamond"/>
                <w:color w:val="auto"/>
                <w:sz w:val="20"/>
                <w:szCs w:val="20"/>
                <w:lang w:val="sq-AL"/>
              </w:rPr>
              <w:t>ë</w:t>
            </w:r>
            <w:r w:rsidRPr="00DC66CD">
              <w:rPr>
                <w:rFonts w:ascii="Garamond" w:hAnsi="Garamond"/>
                <w:color w:val="auto"/>
                <w:sz w:val="20"/>
                <w:szCs w:val="20"/>
                <w:lang w:val="sq-AL"/>
              </w:rPr>
              <w:t xml:space="preserve"> </w:t>
            </w:r>
            <w:r w:rsidR="00561509" w:rsidRPr="00DC66CD">
              <w:rPr>
                <w:rFonts w:ascii="Garamond" w:hAnsi="Garamond"/>
                <w:color w:val="auto"/>
                <w:sz w:val="20"/>
                <w:szCs w:val="20"/>
                <w:lang w:val="sq-AL"/>
              </w:rPr>
              <w:t xml:space="preserve">vendimin </w:t>
            </w:r>
            <w:r w:rsidRPr="00DC66CD">
              <w:rPr>
                <w:rFonts w:ascii="Garamond" w:hAnsi="Garamond"/>
                <w:color w:val="auto"/>
                <w:sz w:val="20"/>
                <w:szCs w:val="20"/>
                <w:lang w:val="sq-AL"/>
              </w:rPr>
              <w:t>nr.</w:t>
            </w:r>
            <w:r w:rsidR="00561509" w:rsidRPr="00DC66CD">
              <w:rPr>
                <w:rFonts w:ascii="Garamond" w:hAnsi="Garamond"/>
                <w:color w:val="auto"/>
                <w:sz w:val="20"/>
                <w:szCs w:val="20"/>
                <w:lang w:val="sq-AL"/>
              </w:rPr>
              <w:t xml:space="preserve"> </w:t>
            </w:r>
            <w:r w:rsidRPr="00DC66CD">
              <w:rPr>
                <w:rFonts w:ascii="Garamond" w:hAnsi="Garamond"/>
                <w:color w:val="auto"/>
                <w:sz w:val="20"/>
                <w:szCs w:val="20"/>
                <w:lang w:val="sq-AL"/>
              </w:rPr>
              <w:t>264 datë 20.12.2018).</w:t>
            </w:r>
          </w:p>
          <w:p w14:paraId="03F00209" w14:textId="77777777" w:rsidR="006F605B" w:rsidRPr="00DC66CD" w:rsidRDefault="006F605B" w:rsidP="00131DA1">
            <w:pPr>
              <w:pStyle w:val="Default"/>
              <w:jc w:val="both"/>
              <w:rPr>
                <w:rFonts w:ascii="Garamond" w:hAnsi="Garamond"/>
                <w:color w:val="auto"/>
                <w:sz w:val="20"/>
                <w:szCs w:val="20"/>
                <w:lang w:val="sq-AL"/>
              </w:rPr>
            </w:pPr>
          </w:p>
          <w:p w14:paraId="298AC672" w14:textId="6DA7F533"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 xml:space="preserve">Nisur nga kjo, </w:t>
            </w:r>
            <w:r w:rsidR="00561509" w:rsidRPr="00DC66CD">
              <w:rPr>
                <w:rFonts w:ascii="Garamond" w:hAnsi="Garamond"/>
                <w:color w:val="auto"/>
                <w:sz w:val="20"/>
                <w:szCs w:val="20"/>
                <w:lang w:val="sq-AL"/>
              </w:rPr>
              <w:t xml:space="preserve">ministri </w:t>
            </w:r>
            <w:r w:rsidRPr="00DC66CD">
              <w:rPr>
                <w:rFonts w:ascii="Garamond" w:hAnsi="Garamond"/>
                <w:color w:val="auto"/>
                <w:sz w:val="20"/>
                <w:szCs w:val="20"/>
                <w:lang w:val="sq-AL"/>
              </w:rPr>
              <w:t>i Infrastrukturës dhe Energjisë ka nxjerr</w:t>
            </w:r>
            <w:r w:rsidR="00561509" w:rsidRPr="00DC66CD">
              <w:rPr>
                <w:rFonts w:ascii="Garamond" w:hAnsi="Garamond"/>
                <w:color w:val="auto"/>
                <w:sz w:val="20"/>
                <w:szCs w:val="20"/>
                <w:lang w:val="sq-AL"/>
              </w:rPr>
              <w:t>ë</w:t>
            </w:r>
            <w:r w:rsidR="0072211B" w:rsidRPr="00DC66CD">
              <w:rPr>
                <w:rFonts w:ascii="Garamond" w:hAnsi="Garamond"/>
                <w:color w:val="auto"/>
                <w:sz w:val="20"/>
                <w:szCs w:val="20"/>
                <w:lang w:val="sq-AL"/>
              </w:rPr>
              <w:t xml:space="preserve"> </w:t>
            </w:r>
            <w:r w:rsidR="00561509" w:rsidRPr="00DC66CD">
              <w:rPr>
                <w:rFonts w:ascii="Garamond" w:hAnsi="Garamond"/>
                <w:color w:val="auto"/>
                <w:sz w:val="20"/>
                <w:szCs w:val="20"/>
                <w:lang w:val="sq-AL"/>
              </w:rPr>
              <w:t xml:space="preserve">urdhrin </w:t>
            </w:r>
            <w:r w:rsidR="00E33D88" w:rsidRPr="00DC66CD">
              <w:rPr>
                <w:rFonts w:ascii="Garamond" w:hAnsi="Garamond"/>
                <w:color w:val="auto"/>
                <w:sz w:val="20"/>
                <w:szCs w:val="20"/>
                <w:lang w:val="sq-AL"/>
              </w:rPr>
              <w:t xml:space="preserve">nr. </w:t>
            </w:r>
            <w:r w:rsidR="00561509" w:rsidRPr="00DC66CD">
              <w:rPr>
                <w:rFonts w:ascii="Garamond" w:hAnsi="Garamond"/>
                <w:color w:val="auto"/>
                <w:sz w:val="20"/>
                <w:szCs w:val="20"/>
                <w:lang w:val="sq-AL"/>
              </w:rPr>
              <w:t>341, datë 17.</w:t>
            </w:r>
            <w:r w:rsidRPr="00DC66CD">
              <w:rPr>
                <w:rFonts w:ascii="Garamond" w:hAnsi="Garamond"/>
                <w:color w:val="auto"/>
                <w:sz w:val="20"/>
                <w:szCs w:val="20"/>
                <w:lang w:val="sq-AL"/>
              </w:rPr>
              <w:t>9.2019</w:t>
            </w:r>
            <w:r w:rsidR="00561509" w:rsidRPr="00DC66CD">
              <w:rPr>
                <w:rFonts w:ascii="Garamond" w:hAnsi="Garamond"/>
                <w:color w:val="auto"/>
                <w:sz w:val="20"/>
                <w:szCs w:val="20"/>
                <w:lang w:val="sq-AL"/>
              </w:rPr>
              <w:t>,</w:t>
            </w:r>
            <w:r w:rsidRPr="00DC66CD">
              <w:rPr>
                <w:rFonts w:ascii="Garamond" w:hAnsi="Garamond"/>
                <w:color w:val="auto"/>
                <w:sz w:val="20"/>
                <w:szCs w:val="20"/>
                <w:lang w:val="sq-AL"/>
              </w:rPr>
              <w:t xml:space="preserve"> </w:t>
            </w:r>
            <w:r w:rsidR="002A29AD" w:rsidRPr="00DC66CD">
              <w:rPr>
                <w:rFonts w:ascii="Garamond" w:hAnsi="Garamond"/>
                <w:color w:val="auto"/>
                <w:sz w:val="20"/>
                <w:szCs w:val="20"/>
                <w:lang w:val="sq-AL"/>
              </w:rPr>
              <w:t>“</w:t>
            </w:r>
            <w:r w:rsidRPr="00DC66CD">
              <w:rPr>
                <w:rFonts w:ascii="Garamond" w:hAnsi="Garamond"/>
                <w:color w:val="auto"/>
                <w:sz w:val="20"/>
                <w:szCs w:val="20"/>
                <w:lang w:val="sq-AL"/>
              </w:rPr>
              <w:t xml:space="preserve">Për krijimin e një </w:t>
            </w:r>
            <w:r w:rsidR="00561509" w:rsidRPr="00DC66CD">
              <w:rPr>
                <w:rFonts w:ascii="Garamond" w:hAnsi="Garamond"/>
                <w:color w:val="auto"/>
                <w:sz w:val="20"/>
                <w:szCs w:val="20"/>
                <w:lang w:val="sq-AL"/>
              </w:rPr>
              <w:t xml:space="preserve">grupi pune </w:t>
            </w:r>
            <w:r w:rsidRPr="00DC66CD">
              <w:rPr>
                <w:rFonts w:ascii="Garamond" w:hAnsi="Garamond"/>
                <w:color w:val="auto"/>
                <w:sz w:val="20"/>
                <w:szCs w:val="20"/>
                <w:lang w:val="sq-AL"/>
              </w:rPr>
              <w:t>për analizimin dhe vlerësimin e zgjidhjeve ligjore për ndarjen e OSHEE</w:t>
            </w:r>
            <w:r w:rsidR="002A29AD" w:rsidRPr="00DC66CD">
              <w:rPr>
                <w:rFonts w:ascii="Garamond" w:hAnsi="Garamond"/>
                <w:color w:val="auto"/>
                <w:sz w:val="20"/>
                <w:szCs w:val="20"/>
                <w:lang w:val="sq-AL"/>
              </w:rPr>
              <w:t>”</w:t>
            </w:r>
            <w:r w:rsidRPr="00DC66CD">
              <w:rPr>
                <w:rFonts w:ascii="Garamond" w:hAnsi="Garamond"/>
                <w:color w:val="auto"/>
                <w:sz w:val="20"/>
                <w:szCs w:val="20"/>
                <w:lang w:val="sq-AL"/>
              </w:rPr>
              <w:t>.</w:t>
            </w:r>
          </w:p>
          <w:p w14:paraId="4BEBDF93" w14:textId="77777777" w:rsidR="006F605B" w:rsidRPr="00DC66CD" w:rsidRDefault="006F605B" w:rsidP="00131DA1">
            <w:pPr>
              <w:pStyle w:val="Default"/>
              <w:jc w:val="both"/>
              <w:rPr>
                <w:rFonts w:ascii="Garamond" w:hAnsi="Garamond"/>
                <w:color w:val="auto"/>
                <w:sz w:val="20"/>
                <w:szCs w:val="20"/>
                <w:lang w:val="sq-AL"/>
              </w:rPr>
            </w:pPr>
          </w:p>
          <w:p w14:paraId="32ECF447" w14:textId="03F73076"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 xml:space="preserve">Aktualisht, </w:t>
            </w:r>
            <w:r w:rsidR="00561509" w:rsidRPr="00DC66CD">
              <w:rPr>
                <w:rFonts w:ascii="Garamond" w:hAnsi="Garamond"/>
                <w:color w:val="auto"/>
                <w:sz w:val="20"/>
                <w:szCs w:val="20"/>
                <w:lang w:val="sq-AL"/>
              </w:rPr>
              <w:t xml:space="preserve">grupi i punës </w:t>
            </w:r>
            <w:r w:rsidRPr="00DC66CD">
              <w:rPr>
                <w:rFonts w:ascii="Garamond" w:hAnsi="Garamond"/>
                <w:color w:val="auto"/>
                <w:sz w:val="20"/>
                <w:szCs w:val="20"/>
                <w:lang w:val="sq-AL"/>
              </w:rPr>
              <w:t xml:space="preserve">ka përgatitur dhe analizuar aktet nënligjore që nga fillimi i këtij procesi dhe raporti përfundimtar si dhe rekomandimet e </w:t>
            </w:r>
            <w:r w:rsidR="00561509" w:rsidRPr="00DC66CD">
              <w:rPr>
                <w:rFonts w:ascii="Garamond" w:hAnsi="Garamond"/>
                <w:color w:val="auto"/>
                <w:sz w:val="20"/>
                <w:szCs w:val="20"/>
                <w:lang w:val="sq-AL"/>
              </w:rPr>
              <w:t xml:space="preserve">grupit të punës </w:t>
            </w:r>
            <w:r w:rsidRPr="00DC66CD">
              <w:rPr>
                <w:rFonts w:ascii="Garamond" w:hAnsi="Garamond"/>
                <w:color w:val="auto"/>
                <w:sz w:val="20"/>
                <w:szCs w:val="20"/>
                <w:lang w:val="sq-AL"/>
              </w:rPr>
              <w:t>do t</w:t>
            </w:r>
            <w:r w:rsidR="002C582E" w:rsidRPr="00DC66CD">
              <w:rPr>
                <w:rFonts w:ascii="Garamond" w:hAnsi="Garamond"/>
                <w:color w:val="auto"/>
                <w:sz w:val="20"/>
                <w:szCs w:val="20"/>
                <w:lang w:val="sq-AL"/>
              </w:rPr>
              <w:t>’</w:t>
            </w:r>
            <w:r w:rsidRPr="00DC66CD">
              <w:rPr>
                <w:rFonts w:ascii="Garamond" w:hAnsi="Garamond"/>
                <w:color w:val="auto"/>
                <w:sz w:val="20"/>
                <w:szCs w:val="20"/>
                <w:lang w:val="sq-AL"/>
              </w:rPr>
              <w:t xml:space="preserve">i dorëzohen </w:t>
            </w:r>
            <w:r w:rsidR="00561509" w:rsidRPr="00DC66CD">
              <w:rPr>
                <w:rFonts w:ascii="Garamond" w:hAnsi="Garamond"/>
                <w:color w:val="auto"/>
                <w:sz w:val="20"/>
                <w:szCs w:val="20"/>
                <w:lang w:val="sq-AL"/>
              </w:rPr>
              <w:t xml:space="preserve">ministrit </w:t>
            </w:r>
            <w:r w:rsidRPr="00DC66CD">
              <w:rPr>
                <w:rFonts w:ascii="Garamond" w:hAnsi="Garamond"/>
                <w:color w:val="auto"/>
                <w:sz w:val="20"/>
                <w:szCs w:val="20"/>
                <w:lang w:val="sq-AL"/>
              </w:rPr>
              <w:t>të Infrastrukturës dhe Energjisë, i cili do të vendosë nëse aktet nënligjore të propozuara nga OSHEE</w:t>
            </w:r>
            <w:r w:rsidR="00561509" w:rsidRPr="00DC66CD">
              <w:rPr>
                <w:rFonts w:ascii="Garamond" w:hAnsi="Garamond"/>
                <w:color w:val="auto"/>
                <w:sz w:val="20"/>
                <w:szCs w:val="20"/>
                <w:lang w:val="sq-AL"/>
              </w:rPr>
              <w:t>-ja</w:t>
            </w:r>
            <w:r w:rsidRPr="00DC66CD">
              <w:rPr>
                <w:rFonts w:ascii="Garamond" w:hAnsi="Garamond"/>
                <w:color w:val="auto"/>
                <w:sz w:val="20"/>
                <w:szCs w:val="20"/>
                <w:lang w:val="sq-AL"/>
              </w:rPr>
              <w:t xml:space="preserve"> në kuadrin e procesit të ndarjes, janë të nevojshme të bëhen dhe nëse do t</w:t>
            </w:r>
            <w:r w:rsidR="00561509" w:rsidRPr="00DC66CD">
              <w:rPr>
                <w:rFonts w:ascii="Garamond" w:hAnsi="Garamond"/>
                <w:color w:val="auto"/>
                <w:sz w:val="20"/>
                <w:szCs w:val="20"/>
                <w:lang w:val="sq-AL"/>
              </w:rPr>
              <w:t>ë</w:t>
            </w:r>
            <w:r w:rsidRPr="00DC66CD">
              <w:rPr>
                <w:rFonts w:ascii="Garamond" w:hAnsi="Garamond"/>
                <w:color w:val="auto"/>
                <w:sz w:val="20"/>
                <w:szCs w:val="20"/>
                <w:lang w:val="sq-AL"/>
              </w:rPr>
              <w:t xml:space="preserve"> vazhdoj</w:t>
            </w:r>
            <w:r w:rsidR="00561509" w:rsidRPr="00DC66CD">
              <w:rPr>
                <w:rFonts w:ascii="Garamond" w:hAnsi="Garamond"/>
                <w:color w:val="auto"/>
                <w:sz w:val="20"/>
                <w:szCs w:val="20"/>
                <w:lang w:val="sq-AL"/>
              </w:rPr>
              <w:t>ë</w:t>
            </w:r>
            <w:r w:rsidRPr="00DC66CD">
              <w:rPr>
                <w:rFonts w:ascii="Garamond" w:hAnsi="Garamond"/>
                <w:color w:val="auto"/>
                <w:sz w:val="20"/>
                <w:szCs w:val="20"/>
                <w:lang w:val="sq-AL"/>
              </w:rPr>
              <w:t xml:space="preserve"> puna për hartimin e tyre.</w:t>
            </w:r>
          </w:p>
          <w:p w14:paraId="47641485" w14:textId="14FCE4EA" w:rsidR="006F605B" w:rsidRPr="00DC66CD" w:rsidRDefault="006F605B" w:rsidP="00561509">
            <w:pPr>
              <w:pStyle w:val="Default"/>
              <w:jc w:val="both"/>
              <w:rPr>
                <w:rFonts w:ascii="Garamond" w:hAnsi="Garamond"/>
                <w:color w:val="auto"/>
                <w:sz w:val="20"/>
                <w:szCs w:val="20"/>
                <w:lang w:val="sq-AL"/>
              </w:rPr>
            </w:pPr>
            <w:r w:rsidRPr="00DC66CD">
              <w:rPr>
                <w:rFonts w:ascii="Garamond" w:hAnsi="Garamond"/>
                <w:color w:val="auto"/>
                <w:sz w:val="20"/>
                <w:szCs w:val="20"/>
                <w:lang w:val="sq-AL"/>
              </w:rPr>
              <w:t>Sidoqoftë, ndarja efektive e OSHEE</w:t>
            </w:r>
            <w:r w:rsidR="00561509" w:rsidRPr="00DC66CD">
              <w:rPr>
                <w:rFonts w:ascii="Garamond" w:hAnsi="Garamond"/>
                <w:color w:val="auto"/>
                <w:sz w:val="20"/>
                <w:szCs w:val="20"/>
                <w:lang w:val="sq-AL"/>
              </w:rPr>
              <w:t>-së</w:t>
            </w:r>
            <w:r w:rsidRPr="00DC66CD">
              <w:rPr>
                <w:rFonts w:ascii="Garamond" w:hAnsi="Garamond"/>
                <w:color w:val="auto"/>
                <w:sz w:val="20"/>
                <w:szCs w:val="20"/>
                <w:lang w:val="sq-AL"/>
              </w:rPr>
              <w:t xml:space="preserve"> do të ndodh</w:t>
            </w:r>
            <w:r w:rsidR="00561509" w:rsidRPr="00DC66CD">
              <w:rPr>
                <w:rFonts w:ascii="Garamond" w:hAnsi="Garamond"/>
                <w:color w:val="auto"/>
                <w:sz w:val="20"/>
                <w:szCs w:val="20"/>
                <w:lang w:val="sq-AL"/>
              </w:rPr>
              <w:t>ë</w:t>
            </w:r>
            <w:r w:rsidR="0072211B" w:rsidRPr="00DC66CD">
              <w:rPr>
                <w:rFonts w:ascii="Garamond" w:hAnsi="Garamond"/>
                <w:color w:val="auto"/>
                <w:sz w:val="20"/>
                <w:szCs w:val="20"/>
                <w:lang w:val="sq-AL"/>
              </w:rPr>
              <w:t xml:space="preserve"> </w:t>
            </w:r>
            <w:r w:rsidRPr="00DC66CD">
              <w:rPr>
                <w:rFonts w:ascii="Garamond" w:hAnsi="Garamond"/>
                <w:color w:val="auto"/>
                <w:sz w:val="20"/>
                <w:szCs w:val="20"/>
                <w:lang w:val="sq-AL"/>
              </w:rPr>
              <w:t>duke filluar nga 1 janari 2020.</w:t>
            </w:r>
          </w:p>
        </w:tc>
        <w:tc>
          <w:tcPr>
            <w:tcW w:w="870" w:type="pct"/>
          </w:tcPr>
          <w:p w14:paraId="65740C27" w14:textId="77777777" w:rsidR="006F605B" w:rsidRPr="00DC66CD" w:rsidRDefault="006F605B" w:rsidP="00131DA1">
            <w:pPr>
              <w:spacing w:after="0" w:line="240" w:lineRule="auto"/>
              <w:rPr>
                <w:rFonts w:ascii="Garamond" w:hAnsi="Garamond"/>
                <w:sz w:val="20"/>
                <w:szCs w:val="20"/>
              </w:rPr>
            </w:pPr>
          </w:p>
        </w:tc>
      </w:tr>
      <w:tr w:rsidR="006F605B" w:rsidRPr="00DC66CD" w14:paraId="14BFDD3C" w14:textId="77777777" w:rsidTr="000C7F2D">
        <w:tc>
          <w:tcPr>
            <w:tcW w:w="883" w:type="pct"/>
            <w:vMerge/>
          </w:tcPr>
          <w:p w14:paraId="04C3A049" w14:textId="77777777" w:rsidR="006F605B" w:rsidRPr="00DC66CD" w:rsidRDefault="006F605B" w:rsidP="00131DA1">
            <w:pPr>
              <w:spacing w:after="0" w:line="240" w:lineRule="auto"/>
              <w:rPr>
                <w:rFonts w:ascii="Garamond" w:hAnsi="Garamond"/>
                <w:sz w:val="20"/>
                <w:szCs w:val="20"/>
              </w:rPr>
            </w:pPr>
          </w:p>
        </w:tc>
        <w:tc>
          <w:tcPr>
            <w:tcW w:w="3247" w:type="pct"/>
          </w:tcPr>
          <w:p w14:paraId="5FE8B861" w14:textId="3E080C33" w:rsidR="006F605B" w:rsidRPr="00DC66CD" w:rsidRDefault="006F605B" w:rsidP="00131DA1">
            <w:pPr>
              <w:spacing w:after="0" w:line="240" w:lineRule="auto"/>
              <w:jc w:val="both"/>
              <w:rPr>
                <w:rFonts w:ascii="Garamond" w:hAnsi="Garamond"/>
                <w:sz w:val="20"/>
                <w:szCs w:val="20"/>
              </w:rPr>
            </w:pPr>
            <w:r w:rsidRPr="00DC66CD">
              <w:rPr>
                <w:rFonts w:ascii="Garamond" w:eastAsia="Arial Narrow" w:hAnsi="Garamond"/>
                <w:sz w:val="20"/>
                <w:szCs w:val="20"/>
              </w:rPr>
              <w:t>Këshilli i Ministrave ka miratuar vendimin</w:t>
            </w:r>
            <w:r w:rsidR="00E33D88" w:rsidRPr="00DC66CD">
              <w:rPr>
                <w:rFonts w:ascii="Garamond" w:eastAsia="Arial Narrow" w:hAnsi="Garamond"/>
                <w:sz w:val="20"/>
                <w:szCs w:val="20"/>
              </w:rPr>
              <w:t xml:space="preserve"> nr. </w:t>
            </w:r>
            <w:r w:rsidRPr="00DC66CD">
              <w:rPr>
                <w:rFonts w:ascii="Garamond" w:hAnsi="Garamond"/>
                <w:sz w:val="20"/>
                <w:szCs w:val="20"/>
              </w:rPr>
              <w:t>322, datë 15.5.2019</w:t>
            </w:r>
            <w:r w:rsidR="00561509" w:rsidRPr="00DC66CD">
              <w:rPr>
                <w:rFonts w:ascii="Garamond" w:hAnsi="Garamond"/>
                <w:sz w:val="20"/>
                <w:szCs w:val="20"/>
              </w:rPr>
              <w:t>,</w:t>
            </w:r>
            <w:r w:rsidRPr="00DC66CD">
              <w:rPr>
                <w:rFonts w:ascii="Garamond" w:hAnsi="Garamond"/>
                <w:sz w:val="20"/>
                <w:szCs w:val="20"/>
              </w:rPr>
              <w:t xml:space="preserve"> </w:t>
            </w:r>
            <w:r w:rsidR="002A29AD" w:rsidRPr="00DC66CD">
              <w:rPr>
                <w:rFonts w:ascii="Garamond" w:hAnsi="Garamond"/>
                <w:sz w:val="20"/>
                <w:szCs w:val="20"/>
              </w:rPr>
              <w:t>“</w:t>
            </w:r>
            <w:r w:rsidR="00561509" w:rsidRPr="00DC66CD">
              <w:rPr>
                <w:rFonts w:ascii="Garamond" w:hAnsi="Garamond"/>
                <w:sz w:val="20"/>
                <w:szCs w:val="20"/>
              </w:rPr>
              <w:t>Për</w:t>
            </w:r>
            <w:r w:rsidRPr="00DC66CD">
              <w:rPr>
                <w:rFonts w:ascii="Garamond" w:hAnsi="Garamond"/>
                <w:sz w:val="20"/>
                <w:szCs w:val="20"/>
              </w:rPr>
              <w:t xml:space="preserve"> </w:t>
            </w:r>
            <w:r w:rsidR="00561509" w:rsidRPr="00DC66CD">
              <w:rPr>
                <w:rFonts w:ascii="Garamond" w:hAnsi="Garamond"/>
                <w:sz w:val="20"/>
                <w:szCs w:val="20"/>
              </w:rPr>
              <w:t xml:space="preserve">krijimin </w:t>
            </w:r>
            <w:r w:rsidRPr="00DC66CD">
              <w:rPr>
                <w:rFonts w:ascii="Garamond" w:hAnsi="Garamond"/>
                <w:sz w:val="20"/>
                <w:szCs w:val="20"/>
              </w:rPr>
              <w:t xml:space="preserve">dhe përcaktimin e formës ligjore dhe të strukturës së pronësisë së kapitalit të </w:t>
            </w:r>
            <w:r w:rsidR="00561509" w:rsidRPr="00DC66CD">
              <w:rPr>
                <w:rFonts w:ascii="Garamond" w:hAnsi="Garamond"/>
                <w:sz w:val="20"/>
                <w:szCs w:val="20"/>
              </w:rPr>
              <w:t>operatorit të tregut</w:t>
            </w:r>
            <w:r w:rsidR="002A29AD" w:rsidRPr="00DC66CD">
              <w:rPr>
                <w:rFonts w:ascii="Garamond" w:hAnsi="Garamond"/>
                <w:sz w:val="20"/>
                <w:szCs w:val="20"/>
              </w:rPr>
              <w:t>”</w:t>
            </w:r>
            <w:r w:rsidRPr="00DC66CD">
              <w:rPr>
                <w:rFonts w:ascii="Garamond" w:hAnsi="Garamond"/>
                <w:sz w:val="20"/>
                <w:szCs w:val="20"/>
              </w:rPr>
              <w:t>;</w:t>
            </w:r>
          </w:p>
          <w:p w14:paraId="7DF6535A" w14:textId="77777777" w:rsidR="006F605B" w:rsidRPr="00DC66CD" w:rsidRDefault="006F605B" w:rsidP="00131DA1">
            <w:pPr>
              <w:spacing w:after="0" w:line="240" w:lineRule="auto"/>
              <w:jc w:val="both"/>
              <w:rPr>
                <w:rFonts w:ascii="Garamond" w:eastAsia="Arial Narrow" w:hAnsi="Garamond"/>
                <w:sz w:val="20"/>
                <w:szCs w:val="20"/>
              </w:rPr>
            </w:pPr>
          </w:p>
          <w:p w14:paraId="6DE89609" w14:textId="466B36D5" w:rsidR="006F605B" w:rsidRPr="00DC66CD" w:rsidRDefault="006F605B" w:rsidP="00131DA1">
            <w:pPr>
              <w:spacing w:after="0" w:line="240" w:lineRule="auto"/>
              <w:jc w:val="both"/>
              <w:rPr>
                <w:rFonts w:ascii="Garamond" w:eastAsia="Arial Narrow" w:hAnsi="Garamond"/>
                <w:sz w:val="20"/>
                <w:szCs w:val="20"/>
              </w:rPr>
            </w:pPr>
            <w:r w:rsidRPr="00DC66CD">
              <w:rPr>
                <w:rFonts w:ascii="Garamond" w:eastAsia="Arial Narrow" w:hAnsi="Garamond"/>
                <w:sz w:val="20"/>
                <w:szCs w:val="20"/>
              </w:rPr>
              <w:t>Këshilli i Ministrave ka miratuar vendimin</w:t>
            </w:r>
            <w:r w:rsidR="00E33D88" w:rsidRPr="00DC66CD">
              <w:rPr>
                <w:rFonts w:ascii="Garamond" w:eastAsia="Arial Narrow" w:hAnsi="Garamond"/>
                <w:sz w:val="20"/>
                <w:szCs w:val="20"/>
              </w:rPr>
              <w:t xml:space="preserve"> nr. </w:t>
            </w:r>
            <w:r w:rsidRPr="00DC66CD">
              <w:rPr>
                <w:rFonts w:ascii="Garamond" w:hAnsi="Garamond"/>
                <w:sz w:val="20"/>
                <w:szCs w:val="20"/>
              </w:rPr>
              <w:t xml:space="preserve">609, datë 11.9.2019, </w:t>
            </w:r>
            <w:r w:rsidR="002A29AD" w:rsidRPr="00DC66CD">
              <w:rPr>
                <w:rFonts w:ascii="Garamond" w:hAnsi="Garamond"/>
                <w:sz w:val="20"/>
                <w:szCs w:val="20"/>
              </w:rPr>
              <w:t>“</w:t>
            </w:r>
            <w:r w:rsidRPr="00DC66CD">
              <w:rPr>
                <w:rFonts w:ascii="Garamond" w:hAnsi="Garamond"/>
                <w:sz w:val="20"/>
                <w:szCs w:val="20"/>
              </w:rPr>
              <w:t>Për përcaktimin e kritereve dhe procedurave të përzgjedhjes së pjesëmarrësve në kapitalin e operatorit të tregut</w:t>
            </w:r>
            <w:r w:rsidR="00561509" w:rsidRPr="00DC66CD">
              <w:rPr>
                <w:rFonts w:ascii="Garamond" w:hAnsi="Garamond"/>
                <w:sz w:val="20"/>
                <w:szCs w:val="20"/>
              </w:rPr>
              <w:t>”.</w:t>
            </w:r>
          </w:p>
          <w:p w14:paraId="0ED0B84E" w14:textId="0CA22C3A" w:rsidR="006F605B" w:rsidRPr="00DC66CD" w:rsidRDefault="006F605B" w:rsidP="00360C4A">
            <w:pPr>
              <w:spacing w:after="0" w:line="240" w:lineRule="auto"/>
              <w:jc w:val="both"/>
              <w:rPr>
                <w:rFonts w:ascii="Garamond" w:hAnsi="Garamond"/>
                <w:sz w:val="20"/>
                <w:szCs w:val="20"/>
              </w:rPr>
            </w:pPr>
            <w:r w:rsidRPr="00DC66CD">
              <w:rPr>
                <w:rFonts w:ascii="Garamond" w:hAnsi="Garamond"/>
                <w:sz w:val="20"/>
                <w:szCs w:val="20"/>
              </w:rPr>
              <w:t xml:space="preserve">Ne grup pune është krijuar për draftimin e kritereve dhe </w:t>
            </w:r>
            <w:r w:rsidR="00561509" w:rsidRPr="00DC66CD">
              <w:rPr>
                <w:rFonts w:ascii="Garamond" w:hAnsi="Garamond"/>
                <w:sz w:val="20"/>
                <w:szCs w:val="20"/>
              </w:rPr>
              <w:t xml:space="preserve">në </w:t>
            </w:r>
            <w:r w:rsidRPr="00DC66CD">
              <w:rPr>
                <w:rFonts w:ascii="Garamond" w:hAnsi="Garamond"/>
                <w:sz w:val="20"/>
                <w:szCs w:val="20"/>
              </w:rPr>
              <w:t>vlerësimin e përzgjedhjes se pjesëmarrësve n</w:t>
            </w:r>
            <w:r w:rsidR="00360C4A">
              <w:rPr>
                <w:rFonts w:ascii="Garamond" w:hAnsi="Garamond"/>
                <w:sz w:val="20"/>
                <w:szCs w:val="20"/>
              </w:rPr>
              <w:t>ë</w:t>
            </w:r>
            <w:r w:rsidRPr="00DC66CD">
              <w:rPr>
                <w:rFonts w:ascii="Garamond" w:hAnsi="Garamond"/>
                <w:sz w:val="20"/>
                <w:szCs w:val="20"/>
              </w:rPr>
              <w:t xml:space="preserve"> kapitalin e tregut. Ky proces është n</w:t>
            </w:r>
            <w:r w:rsidR="00561509" w:rsidRPr="00DC66CD">
              <w:rPr>
                <w:rFonts w:ascii="Garamond" w:hAnsi="Garamond"/>
                <w:sz w:val="20"/>
                <w:szCs w:val="20"/>
              </w:rPr>
              <w:t>ë</w:t>
            </w:r>
            <w:r w:rsidRPr="00DC66CD">
              <w:rPr>
                <w:rFonts w:ascii="Garamond" w:hAnsi="Garamond"/>
                <w:sz w:val="20"/>
                <w:szCs w:val="20"/>
              </w:rPr>
              <w:t xml:space="preserve"> vijim. </w:t>
            </w:r>
          </w:p>
        </w:tc>
        <w:tc>
          <w:tcPr>
            <w:tcW w:w="870" w:type="pct"/>
          </w:tcPr>
          <w:p w14:paraId="783B4480" w14:textId="77777777" w:rsidR="006F605B" w:rsidRPr="00DC66CD" w:rsidRDefault="006F605B" w:rsidP="00131DA1">
            <w:pPr>
              <w:spacing w:after="0" w:line="240" w:lineRule="auto"/>
              <w:rPr>
                <w:rFonts w:ascii="Garamond" w:hAnsi="Garamond"/>
                <w:sz w:val="20"/>
                <w:szCs w:val="20"/>
              </w:rPr>
            </w:pPr>
          </w:p>
        </w:tc>
      </w:tr>
      <w:tr w:rsidR="006F605B" w:rsidRPr="00DC66CD" w14:paraId="7AA5CCD9" w14:textId="77777777" w:rsidTr="000C7F2D">
        <w:tc>
          <w:tcPr>
            <w:tcW w:w="883" w:type="pct"/>
            <w:vMerge/>
          </w:tcPr>
          <w:p w14:paraId="1F970EA8" w14:textId="77777777" w:rsidR="006F605B" w:rsidRPr="00DC66CD" w:rsidRDefault="006F605B" w:rsidP="00131DA1">
            <w:pPr>
              <w:spacing w:after="0" w:line="240" w:lineRule="auto"/>
              <w:rPr>
                <w:rFonts w:ascii="Garamond" w:hAnsi="Garamond"/>
                <w:sz w:val="20"/>
                <w:szCs w:val="20"/>
              </w:rPr>
            </w:pPr>
          </w:p>
        </w:tc>
        <w:tc>
          <w:tcPr>
            <w:tcW w:w="3247" w:type="pct"/>
          </w:tcPr>
          <w:p w14:paraId="0119FDEE" w14:textId="3368B7B4"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Inves</w:t>
            </w:r>
            <w:r w:rsidR="00561509" w:rsidRPr="00DC66CD">
              <w:rPr>
                <w:rFonts w:ascii="Garamond" w:hAnsi="Garamond"/>
                <w:color w:val="auto"/>
                <w:sz w:val="20"/>
                <w:szCs w:val="20"/>
                <w:lang w:val="sq-AL"/>
              </w:rPr>
              <w:t xml:space="preserve">timet në rrjetin e shpërndarjes/të </w:t>
            </w:r>
            <w:r w:rsidRPr="00DC66CD">
              <w:rPr>
                <w:rFonts w:ascii="Garamond" w:hAnsi="Garamond"/>
                <w:color w:val="auto"/>
                <w:sz w:val="20"/>
                <w:szCs w:val="20"/>
                <w:lang w:val="sq-AL"/>
              </w:rPr>
              <w:t>transmetimit dhe t</w:t>
            </w:r>
            <w:r w:rsidR="00561509" w:rsidRPr="00DC66CD">
              <w:rPr>
                <w:rFonts w:ascii="Garamond" w:hAnsi="Garamond"/>
                <w:color w:val="auto"/>
                <w:sz w:val="20"/>
                <w:szCs w:val="20"/>
                <w:lang w:val="sq-AL"/>
              </w:rPr>
              <w:t>ë</w:t>
            </w:r>
            <w:r w:rsidRPr="00DC66CD">
              <w:rPr>
                <w:rFonts w:ascii="Garamond" w:hAnsi="Garamond"/>
                <w:color w:val="auto"/>
                <w:sz w:val="20"/>
                <w:szCs w:val="20"/>
                <w:lang w:val="sq-AL"/>
              </w:rPr>
              <w:t xml:space="preserve"> gjenerimit (</w:t>
            </w:r>
            <w:r w:rsidR="00561509" w:rsidRPr="00DC66CD">
              <w:rPr>
                <w:rFonts w:ascii="Garamond" w:hAnsi="Garamond"/>
                <w:color w:val="auto"/>
                <w:sz w:val="20"/>
                <w:szCs w:val="20"/>
                <w:lang w:val="sq-AL"/>
              </w:rPr>
              <w:t xml:space="preserve">përfundimi </w:t>
            </w:r>
            <w:r w:rsidRPr="00DC66CD">
              <w:rPr>
                <w:rFonts w:ascii="Garamond" w:hAnsi="Garamond"/>
                <w:color w:val="auto"/>
                <w:sz w:val="20"/>
                <w:szCs w:val="20"/>
                <w:lang w:val="sq-AL"/>
              </w:rPr>
              <w:t xml:space="preserve">i projektit në sistemin e transmetimit </w:t>
            </w:r>
            <w:r w:rsidR="00561509" w:rsidRPr="00DC66CD">
              <w:rPr>
                <w:rFonts w:ascii="Garamond" w:hAnsi="Garamond"/>
                <w:color w:val="auto"/>
                <w:sz w:val="20"/>
                <w:szCs w:val="20"/>
                <w:lang w:val="sq-AL"/>
              </w:rPr>
              <w:t xml:space="preserve">ndërtimi </w:t>
            </w:r>
            <w:r w:rsidRPr="00DC66CD">
              <w:rPr>
                <w:rFonts w:ascii="Garamond" w:hAnsi="Garamond"/>
                <w:color w:val="auto"/>
                <w:sz w:val="20"/>
                <w:szCs w:val="20"/>
                <w:lang w:val="sq-AL"/>
              </w:rPr>
              <w:t>i linjës s</w:t>
            </w:r>
            <w:r w:rsidR="00561509" w:rsidRPr="00DC66CD">
              <w:rPr>
                <w:rFonts w:ascii="Garamond" w:hAnsi="Garamond"/>
                <w:color w:val="auto"/>
                <w:sz w:val="20"/>
                <w:szCs w:val="20"/>
                <w:lang w:val="sq-AL"/>
              </w:rPr>
              <w:t>ë</w:t>
            </w:r>
            <w:r w:rsidRPr="00DC66CD">
              <w:rPr>
                <w:rFonts w:ascii="Garamond" w:hAnsi="Garamond"/>
                <w:color w:val="auto"/>
                <w:sz w:val="20"/>
                <w:szCs w:val="20"/>
                <w:lang w:val="sq-AL"/>
              </w:rPr>
              <w:t xml:space="preserve"> </w:t>
            </w:r>
            <w:r w:rsidR="00561509" w:rsidRPr="00DC66CD">
              <w:rPr>
                <w:rFonts w:ascii="Garamond" w:hAnsi="Garamond"/>
                <w:color w:val="auto"/>
                <w:sz w:val="20"/>
                <w:szCs w:val="20"/>
                <w:lang w:val="sq-AL"/>
              </w:rPr>
              <w:t>interkoneksionit</w:t>
            </w:r>
            <w:r w:rsidRPr="00DC66CD">
              <w:rPr>
                <w:rFonts w:ascii="Garamond" w:hAnsi="Garamond"/>
                <w:color w:val="auto"/>
                <w:sz w:val="20"/>
                <w:szCs w:val="20"/>
                <w:lang w:val="sq-AL"/>
              </w:rPr>
              <w:t xml:space="preserve"> 400 kV (S</w:t>
            </w:r>
            <w:r w:rsidR="00561509" w:rsidRPr="00DC66CD">
              <w:rPr>
                <w:rFonts w:ascii="Garamond" w:hAnsi="Garamond"/>
                <w:color w:val="auto"/>
                <w:sz w:val="20"/>
                <w:szCs w:val="20"/>
                <w:lang w:val="sq-AL"/>
              </w:rPr>
              <w:t>hqipëri–</w:t>
            </w:r>
            <w:r w:rsidRPr="00DC66CD">
              <w:rPr>
                <w:rFonts w:ascii="Garamond" w:hAnsi="Garamond"/>
                <w:color w:val="auto"/>
                <w:sz w:val="20"/>
                <w:szCs w:val="20"/>
                <w:lang w:val="sq-AL"/>
              </w:rPr>
              <w:t>NRM)</w:t>
            </w:r>
            <w:r w:rsidR="00561509" w:rsidRPr="00DC66CD">
              <w:rPr>
                <w:rFonts w:ascii="Garamond" w:hAnsi="Garamond"/>
                <w:color w:val="auto"/>
                <w:sz w:val="20"/>
                <w:szCs w:val="20"/>
                <w:lang w:val="sq-AL"/>
              </w:rPr>
              <w:t>;</w:t>
            </w:r>
            <w:r w:rsidRPr="00DC66CD">
              <w:rPr>
                <w:rFonts w:ascii="Garamond" w:hAnsi="Garamond"/>
                <w:color w:val="auto"/>
                <w:sz w:val="20"/>
                <w:szCs w:val="20"/>
                <w:lang w:val="sq-AL"/>
              </w:rPr>
              <w:t xml:space="preserve"> </w:t>
            </w:r>
            <w:r w:rsidR="00561509" w:rsidRPr="00DC66CD">
              <w:rPr>
                <w:rFonts w:ascii="Garamond" w:hAnsi="Garamond"/>
                <w:color w:val="auto"/>
                <w:sz w:val="20"/>
                <w:szCs w:val="20"/>
                <w:lang w:val="sq-AL"/>
              </w:rPr>
              <w:t>aktivitetet e planifikuara 2019–</w:t>
            </w:r>
            <w:r w:rsidRPr="00DC66CD">
              <w:rPr>
                <w:rFonts w:ascii="Garamond" w:hAnsi="Garamond"/>
                <w:color w:val="auto"/>
                <w:sz w:val="20"/>
                <w:szCs w:val="20"/>
                <w:lang w:val="sq-AL"/>
              </w:rPr>
              <w:t xml:space="preserve">2021 - Implementimi i projektit të Linjës se </w:t>
            </w:r>
            <w:r w:rsidR="00561509" w:rsidRPr="00DC66CD">
              <w:rPr>
                <w:rFonts w:ascii="Garamond" w:hAnsi="Garamond"/>
                <w:color w:val="auto"/>
                <w:sz w:val="20"/>
                <w:szCs w:val="20"/>
                <w:lang w:val="sq-AL"/>
              </w:rPr>
              <w:t>interkoneksionit 400 kV Elbasan (Shqipëri)–</w:t>
            </w:r>
            <w:r w:rsidRPr="00DC66CD">
              <w:rPr>
                <w:rFonts w:ascii="Garamond" w:hAnsi="Garamond"/>
                <w:color w:val="auto"/>
                <w:sz w:val="20"/>
                <w:szCs w:val="20"/>
                <w:lang w:val="sq-AL"/>
              </w:rPr>
              <w:t xml:space="preserve">Manastir (NRM) </w:t>
            </w:r>
            <w:r w:rsidR="00561509" w:rsidRPr="00DC66CD">
              <w:rPr>
                <w:rFonts w:ascii="Garamond" w:hAnsi="Garamond"/>
                <w:color w:val="auto"/>
                <w:sz w:val="20"/>
                <w:szCs w:val="20"/>
                <w:lang w:val="sq-AL"/>
              </w:rPr>
              <w:t xml:space="preserve">loti 1 dhe loti </w:t>
            </w:r>
            <w:r w:rsidRPr="00DC66CD">
              <w:rPr>
                <w:rFonts w:ascii="Garamond" w:hAnsi="Garamond"/>
                <w:color w:val="auto"/>
                <w:sz w:val="20"/>
                <w:szCs w:val="20"/>
                <w:lang w:val="sq-AL"/>
              </w:rPr>
              <w:t>2.</w:t>
            </w:r>
          </w:p>
          <w:p w14:paraId="5D2F3E18" w14:textId="3208F1D5"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 xml:space="preserve">Ndërtimi i linjës se </w:t>
            </w:r>
            <w:r w:rsidR="008C34D3" w:rsidRPr="00DC66CD">
              <w:rPr>
                <w:rFonts w:ascii="Garamond" w:hAnsi="Garamond"/>
                <w:color w:val="auto"/>
                <w:sz w:val="20"/>
                <w:szCs w:val="20"/>
                <w:lang w:val="sq-AL"/>
              </w:rPr>
              <w:t>interkoneksionit</w:t>
            </w:r>
            <w:r w:rsidRPr="00DC66CD">
              <w:rPr>
                <w:rFonts w:ascii="Garamond" w:hAnsi="Garamond"/>
                <w:color w:val="auto"/>
                <w:sz w:val="20"/>
                <w:szCs w:val="20"/>
                <w:lang w:val="sq-AL"/>
              </w:rPr>
              <w:t xml:space="preserve"> 400 KV Elbasan-Manastir, aktualisht është në procesin e tenderimit për zgjedhjen e kontraktuesve (për kontratat e zbatimit) për të dyja projektet. Më 10 korrik 2019, kompanitë përkatëse kanë paraqitur aplikimet e tyre për fazën e para kualifikimit. </w:t>
            </w:r>
          </w:p>
          <w:p w14:paraId="786E061E" w14:textId="6FBDCACC"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OST</w:t>
            </w:r>
            <w:r w:rsidR="008C34D3" w:rsidRPr="00DC66CD">
              <w:rPr>
                <w:rFonts w:ascii="Garamond" w:hAnsi="Garamond"/>
                <w:color w:val="auto"/>
                <w:sz w:val="20"/>
                <w:szCs w:val="20"/>
                <w:lang w:val="sq-AL"/>
              </w:rPr>
              <w:t>-ja</w:t>
            </w:r>
            <w:r w:rsidRPr="00DC66CD">
              <w:rPr>
                <w:rFonts w:ascii="Garamond" w:hAnsi="Garamond"/>
                <w:color w:val="auto"/>
                <w:sz w:val="20"/>
                <w:szCs w:val="20"/>
                <w:lang w:val="sq-AL"/>
              </w:rPr>
              <w:t xml:space="preserve"> aktualisht është në proces të vlerësimit të përzgjedhjes së aplikan</w:t>
            </w:r>
            <w:r w:rsidR="008C34D3" w:rsidRPr="00DC66CD">
              <w:rPr>
                <w:rFonts w:ascii="Garamond" w:hAnsi="Garamond"/>
                <w:color w:val="auto"/>
                <w:sz w:val="20"/>
                <w:szCs w:val="20"/>
                <w:lang w:val="sq-AL"/>
              </w:rPr>
              <w:t>tëve që do të kalojnë këtë fazë</w:t>
            </w:r>
            <w:r w:rsidRPr="00DC66CD">
              <w:rPr>
                <w:rFonts w:ascii="Garamond" w:hAnsi="Garamond"/>
                <w:color w:val="auto"/>
                <w:sz w:val="20"/>
                <w:szCs w:val="20"/>
                <w:lang w:val="sq-AL"/>
              </w:rPr>
              <w:t xml:space="preserve"> (pasi të vlerësohen nga banka K</w:t>
            </w:r>
            <w:r w:rsidR="008C34D3" w:rsidRPr="00DC66CD">
              <w:rPr>
                <w:rFonts w:ascii="Garamond" w:hAnsi="Garamond"/>
                <w:color w:val="auto"/>
                <w:sz w:val="20"/>
                <w:szCs w:val="20"/>
                <w:lang w:val="sq-AL"/>
              </w:rPr>
              <w:t>f</w:t>
            </w:r>
            <w:r w:rsidRPr="00DC66CD">
              <w:rPr>
                <w:rFonts w:ascii="Garamond" w:hAnsi="Garamond"/>
                <w:color w:val="auto"/>
                <w:sz w:val="20"/>
                <w:szCs w:val="20"/>
                <w:lang w:val="sq-AL"/>
              </w:rPr>
              <w:t>W për vërejtje ose jo)</w:t>
            </w:r>
            <w:r w:rsidR="008C34D3" w:rsidRPr="00DC66CD">
              <w:rPr>
                <w:rFonts w:ascii="Garamond" w:hAnsi="Garamond"/>
                <w:color w:val="auto"/>
                <w:sz w:val="20"/>
                <w:szCs w:val="20"/>
                <w:lang w:val="sq-AL"/>
              </w:rPr>
              <w:t>,</w:t>
            </w:r>
            <w:r w:rsidRPr="00DC66CD">
              <w:rPr>
                <w:rFonts w:ascii="Garamond" w:hAnsi="Garamond"/>
                <w:color w:val="auto"/>
                <w:sz w:val="20"/>
                <w:szCs w:val="20"/>
                <w:lang w:val="sq-AL"/>
              </w:rPr>
              <w:t xml:space="preserve"> OST do të vazhdojë më tej me procesin e tenderimit, deri në selektimin e kompanive fituese për secilin projekt t</w:t>
            </w:r>
            <w:r w:rsidR="008C34D3" w:rsidRPr="00DC66CD">
              <w:rPr>
                <w:rFonts w:ascii="Garamond" w:hAnsi="Garamond"/>
                <w:color w:val="auto"/>
                <w:sz w:val="20"/>
                <w:szCs w:val="20"/>
                <w:lang w:val="sq-AL"/>
              </w:rPr>
              <w:t>ë</w:t>
            </w:r>
            <w:r w:rsidRPr="00DC66CD">
              <w:rPr>
                <w:rFonts w:ascii="Garamond" w:hAnsi="Garamond"/>
                <w:color w:val="auto"/>
                <w:sz w:val="20"/>
                <w:szCs w:val="20"/>
                <w:lang w:val="sq-AL"/>
              </w:rPr>
              <w:t xml:space="preserve"> loteve.</w:t>
            </w:r>
          </w:p>
          <w:p w14:paraId="2FEDABAE" w14:textId="77777777" w:rsidR="006F605B" w:rsidRPr="00DC66CD" w:rsidRDefault="006F605B" w:rsidP="00131DA1">
            <w:pPr>
              <w:pStyle w:val="Default"/>
              <w:jc w:val="both"/>
              <w:rPr>
                <w:rFonts w:ascii="Garamond" w:hAnsi="Garamond"/>
                <w:color w:val="auto"/>
                <w:sz w:val="20"/>
                <w:szCs w:val="20"/>
                <w:lang w:val="sq-AL"/>
              </w:rPr>
            </w:pPr>
          </w:p>
          <w:p w14:paraId="4BDFF293" w14:textId="5639FA4C"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Uljet e mëtejshme t</w:t>
            </w:r>
            <w:r w:rsidR="008B5731">
              <w:rPr>
                <w:rFonts w:ascii="Garamond" w:hAnsi="Garamond"/>
                <w:color w:val="auto"/>
                <w:sz w:val="20"/>
                <w:szCs w:val="20"/>
                <w:lang w:val="sq-AL"/>
              </w:rPr>
              <w:t>ë</w:t>
            </w:r>
            <w:r w:rsidRPr="00DC66CD">
              <w:rPr>
                <w:rFonts w:ascii="Garamond" w:hAnsi="Garamond"/>
                <w:color w:val="auto"/>
                <w:sz w:val="20"/>
                <w:szCs w:val="20"/>
                <w:lang w:val="sq-AL"/>
              </w:rPr>
              <w:t xml:space="preserve"> humbjeve n</w:t>
            </w:r>
            <w:r w:rsidR="00360C4A">
              <w:rPr>
                <w:rFonts w:ascii="Garamond" w:hAnsi="Garamond"/>
                <w:color w:val="auto"/>
                <w:sz w:val="20"/>
                <w:szCs w:val="20"/>
                <w:lang w:val="sq-AL"/>
              </w:rPr>
              <w:t>ë</w:t>
            </w:r>
            <w:r w:rsidRPr="00DC66CD">
              <w:rPr>
                <w:rFonts w:ascii="Garamond" w:hAnsi="Garamond"/>
                <w:color w:val="auto"/>
                <w:sz w:val="20"/>
                <w:szCs w:val="20"/>
                <w:lang w:val="sq-AL"/>
              </w:rPr>
              <w:t xml:space="preserve"> sistemin e shpërndarjes - Niveli i humbjeve të energjisë elektrike në rrjetin e shpërndarjes</w:t>
            </w:r>
            <w:r w:rsidR="008C34D3" w:rsidRPr="00DC66CD">
              <w:rPr>
                <w:rFonts w:ascii="Garamond" w:hAnsi="Garamond"/>
                <w:color w:val="auto"/>
                <w:sz w:val="20"/>
                <w:szCs w:val="20"/>
                <w:lang w:val="sq-AL"/>
              </w:rPr>
              <w:t>,</w:t>
            </w:r>
            <w:r w:rsidR="0072211B" w:rsidRPr="00DC66CD">
              <w:rPr>
                <w:rFonts w:ascii="Garamond" w:hAnsi="Garamond"/>
                <w:color w:val="auto"/>
                <w:sz w:val="20"/>
                <w:szCs w:val="20"/>
                <w:lang w:val="sq-AL"/>
              </w:rPr>
              <w:t xml:space="preserve"> </w:t>
            </w:r>
            <w:r w:rsidR="008C34D3" w:rsidRPr="00DC66CD">
              <w:rPr>
                <w:rFonts w:ascii="Garamond" w:hAnsi="Garamond"/>
                <w:color w:val="auto"/>
                <w:sz w:val="20"/>
                <w:szCs w:val="20"/>
                <w:lang w:val="sq-AL"/>
              </w:rPr>
              <w:t xml:space="preserve">viti </w:t>
            </w:r>
            <w:r w:rsidRPr="00DC66CD">
              <w:rPr>
                <w:rFonts w:ascii="Garamond" w:hAnsi="Garamond"/>
                <w:color w:val="auto"/>
                <w:sz w:val="20"/>
                <w:szCs w:val="20"/>
                <w:lang w:val="sq-AL"/>
              </w:rPr>
              <w:t>2018 - 23.96%;</w:t>
            </w:r>
            <w:r w:rsidR="0072211B" w:rsidRPr="00DC66CD">
              <w:rPr>
                <w:rFonts w:ascii="Garamond" w:hAnsi="Garamond"/>
                <w:color w:val="auto"/>
                <w:sz w:val="20"/>
                <w:szCs w:val="20"/>
                <w:lang w:val="sq-AL"/>
              </w:rPr>
              <w:t xml:space="preserve"> </w:t>
            </w:r>
            <w:r w:rsidR="008C34D3" w:rsidRPr="00DC66CD">
              <w:rPr>
                <w:rFonts w:ascii="Garamond" w:hAnsi="Garamond"/>
                <w:color w:val="auto"/>
                <w:sz w:val="20"/>
                <w:szCs w:val="20"/>
                <w:lang w:val="sq-AL"/>
              </w:rPr>
              <w:t xml:space="preserve">viti </w:t>
            </w:r>
            <w:r w:rsidRPr="00DC66CD">
              <w:rPr>
                <w:rFonts w:ascii="Garamond" w:hAnsi="Garamond"/>
                <w:color w:val="auto"/>
                <w:sz w:val="20"/>
                <w:szCs w:val="20"/>
                <w:lang w:val="sq-AL"/>
              </w:rPr>
              <w:t>2019 (</w:t>
            </w:r>
            <w:r w:rsidR="008C34D3" w:rsidRPr="00DC66CD">
              <w:rPr>
                <w:rFonts w:ascii="Garamond" w:hAnsi="Garamond"/>
                <w:color w:val="auto"/>
                <w:sz w:val="20"/>
                <w:szCs w:val="20"/>
                <w:lang w:val="sq-AL"/>
              </w:rPr>
              <w:t>janar–korrik</w:t>
            </w:r>
            <w:r w:rsidRPr="00DC66CD">
              <w:rPr>
                <w:rFonts w:ascii="Garamond" w:hAnsi="Garamond"/>
                <w:color w:val="auto"/>
                <w:sz w:val="20"/>
                <w:szCs w:val="20"/>
                <w:lang w:val="sq-AL"/>
              </w:rPr>
              <w:t>) - 23.10%</w:t>
            </w:r>
          </w:p>
          <w:p w14:paraId="6969CC5D" w14:textId="77777777"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Rritja e mëtejshme e arkëtimeve.</w:t>
            </w:r>
          </w:p>
          <w:p w14:paraId="1AD1F942" w14:textId="77777777" w:rsidR="006F605B" w:rsidRPr="00DC66CD" w:rsidRDefault="006F605B" w:rsidP="00131DA1">
            <w:pPr>
              <w:pStyle w:val="Default"/>
              <w:jc w:val="both"/>
              <w:rPr>
                <w:rFonts w:ascii="Garamond" w:hAnsi="Garamond"/>
                <w:color w:val="auto"/>
                <w:sz w:val="20"/>
                <w:szCs w:val="20"/>
                <w:lang w:val="sq-AL"/>
              </w:rPr>
            </w:pPr>
            <w:r w:rsidRPr="00DC66CD">
              <w:rPr>
                <w:rFonts w:ascii="Garamond" w:hAnsi="Garamond"/>
                <w:color w:val="auto"/>
                <w:sz w:val="20"/>
                <w:szCs w:val="20"/>
                <w:lang w:val="sq-AL"/>
              </w:rPr>
              <w:t>Viti 2018 - 101.9%</w:t>
            </w:r>
          </w:p>
          <w:p w14:paraId="04541AEB" w14:textId="6CAB8946" w:rsidR="006F605B" w:rsidRPr="00DC66CD" w:rsidRDefault="006F605B" w:rsidP="00131DA1">
            <w:pPr>
              <w:spacing w:after="0" w:line="240" w:lineRule="auto"/>
              <w:jc w:val="both"/>
              <w:rPr>
                <w:rFonts w:ascii="Garamond" w:hAnsi="Garamond"/>
                <w:sz w:val="20"/>
                <w:szCs w:val="20"/>
              </w:rPr>
            </w:pPr>
            <w:r w:rsidRPr="00DC66CD">
              <w:rPr>
                <w:rFonts w:ascii="Garamond" w:hAnsi="Garamond"/>
                <w:sz w:val="20"/>
                <w:szCs w:val="20"/>
              </w:rPr>
              <w:t>Viti 2019 (</w:t>
            </w:r>
            <w:r w:rsidR="008C34D3" w:rsidRPr="00DC66CD">
              <w:rPr>
                <w:rFonts w:ascii="Garamond" w:hAnsi="Garamond"/>
                <w:sz w:val="20"/>
                <w:szCs w:val="20"/>
              </w:rPr>
              <w:t>janar–korrik</w:t>
            </w:r>
            <w:r w:rsidRPr="00DC66CD">
              <w:rPr>
                <w:rFonts w:ascii="Garamond" w:hAnsi="Garamond"/>
                <w:sz w:val="20"/>
                <w:szCs w:val="20"/>
              </w:rPr>
              <w:t>) - 96.56%</w:t>
            </w:r>
          </w:p>
        </w:tc>
        <w:tc>
          <w:tcPr>
            <w:tcW w:w="870" w:type="pct"/>
          </w:tcPr>
          <w:p w14:paraId="299956DB" w14:textId="77777777" w:rsidR="006F605B" w:rsidRPr="00DC66CD" w:rsidRDefault="006F605B" w:rsidP="00131DA1">
            <w:pPr>
              <w:spacing w:after="0" w:line="240" w:lineRule="auto"/>
              <w:rPr>
                <w:rFonts w:ascii="Garamond" w:hAnsi="Garamond"/>
                <w:sz w:val="20"/>
                <w:szCs w:val="20"/>
              </w:rPr>
            </w:pPr>
          </w:p>
        </w:tc>
      </w:tr>
    </w:tbl>
    <w:p w14:paraId="45B09100"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5913"/>
        <w:gridCol w:w="1679"/>
      </w:tblGrid>
      <w:tr w:rsidR="006F605B" w:rsidRPr="00DC66CD" w14:paraId="0CCAAD49" w14:textId="77777777" w:rsidTr="008C34D3">
        <w:tc>
          <w:tcPr>
            <w:tcW w:w="1723" w:type="dxa"/>
            <w:shd w:val="clear" w:color="auto" w:fill="E5DFEC" w:themeFill="accent4" w:themeFillTint="33"/>
            <w:vAlign w:val="center"/>
          </w:tcPr>
          <w:p w14:paraId="21B783B2" w14:textId="77777777" w:rsidR="006F605B" w:rsidRPr="00DC66CD" w:rsidRDefault="006F605B" w:rsidP="008C34D3">
            <w:pPr>
              <w:widowControl w:val="0"/>
              <w:spacing w:after="0" w:line="240" w:lineRule="auto"/>
              <w:jc w:val="center"/>
              <w:rPr>
                <w:rFonts w:ascii="Garamond" w:hAnsi="Garamond"/>
                <w:sz w:val="20"/>
                <w:szCs w:val="20"/>
              </w:rPr>
            </w:pPr>
          </w:p>
        </w:tc>
        <w:tc>
          <w:tcPr>
            <w:tcW w:w="6176" w:type="dxa"/>
            <w:shd w:val="clear" w:color="auto" w:fill="E5DFEC" w:themeFill="accent4" w:themeFillTint="33"/>
            <w:vAlign w:val="center"/>
          </w:tcPr>
          <w:p w14:paraId="1843FD36" w14:textId="77777777" w:rsidR="006F605B" w:rsidRPr="00DC66CD" w:rsidRDefault="006F605B" w:rsidP="008C34D3">
            <w:pPr>
              <w:widowControl w:val="0"/>
              <w:spacing w:after="0" w:line="240" w:lineRule="auto"/>
              <w:jc w:val="center"/>
              <w:rPr>
                <w:rFonts w:ascii="Garamond" w:hAnsi="Garamond"/>
                <w:b/>
                <w:sz w:val="20"/>
                <w:szCs w:val="20"/>
              </w:rPr>
            </w:pPr>
            <w:r w:rsidRPr="00DC66CD">
              <w:rPr>
                <w:rFonts w:ascii="Garamond" w:hAnsi="Garamond"/>
                <w:b/>
                <w:sz w:val="20"/>
                <w:szCs w:val="20"/>
              </w:rPr>
              <w:t>Diversifikimi i burimeve të energjisë përmes promovimit të burimeve të rinovueshme të energjisë dhe përmirësimeve të efikasitetit të energjisë</w:t>
            </w:r>
          </w:p>
        </w:tc>
        <w:tc>
          <w:tcPr>
            <w:tcW w:w="1723" w:type="dxa"/>
            <w:shd w:val="clear" w:color="auto" w:fill="E5DFEC" w:themeFill="accent4" w:themeFillTint="33"/>
            <w:vAlign w:val="center"/>
          </w:tcPr>
          <w:p w14:paraId="0355C747" w14:textId="0814473F" w:rsidR="006F605B" w:rsidRPr="00DC66CD" w:rsidRDefault="006F605B" w:rsidP="008C34D3">
            <w:pPr>
              <w:widowControl w:val="0"/>
              <w:spacing w:after="0" w:line="240" w:lineRule="auto"/>
              <w:jc w:val="center"/>
              <w:rPr>
                <w:rFonts w:ascii="Garamond" w:hAnsi="Garamond"/>
                <w:b/>
                <w:sz w:val="20"/>
                <w:szCs w:val="20"/>
              </w:rPr>
            </w:pPr>
            <w:r w:rsidRPr="00DC66CD">
              <w:rPr>
                <w:rFonts w:ascii="Garamond" w:hAnsi="Garamond"/>
                <w:b/>
                <w:sz w:val="20"/>
                <w:szCs w:val="20"/>
              </w:rPr>
              <w:t>Statusi i zbatimit të reformës (1</w:t>
            </w:r>
            <w:r w:rsidR="008C34D3" w:rsidRPr="00DC66CD">
              <w:rPr>
                <w:rFonts w:ascii="Garamond" w:hAnsi="Garamond"/>
                <w:b/>
                <w:sz w:val="20"/>
                <w:szCs w:val="20"/>
              </w:rPr>
              <w:t>–</w:t>
            </w:r>
            <w:r w:rsidRPr="00DC66CD">
              <w:rPr>
                <w:rFonts w:ascii="Garamond" w:hAnsi="Garamond"/>
                <w:b/>
                <w:sz w:val="20"/>
                <w:szCs w:val="20"/>
              </w:rPr>
              <w:t>5)</w:t>
            </w:r>
          </w:p>
        </w:tc>
      </w:tr>
      <w:tr w:rsidR="006F605B" w:rsidRPr="00DC66CD" w14:paraId="4A883746" w14:textId="77777777" w:rsidTr="00E372C0">
        <w:tc>
          <w:tcPr>
            <w:tcW w:w="1723" w:type="dxa"/>
            <w:vMerge w:val="restart"/>
            <w:shd w:val="clear" w:color="auto" w:fill="auto"/>
          </w:tcPr>
          <w:p w14:paraId="56668FBA" w14:textId="30735A19"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Aktivitetet e planifikuara për 2019</w:t>
            </w:r>
            <w:r w:rsidR="008C34D3" w:rsidRPr="00DC66CD">
              <w:rPr>
                <w:rFonts w:ascii="Garamond" w:hAnsi="Garamond"/>
                <w:sz w:val="20"/>
                <w:szCs w:val="20"/>
              </w:rPr>
              <w:t>-ën</w:t>
            </w:r>
          </w:p>
        </w:tc>
        <w:tc>
          <w:tcPr>
            <w:tcW w:w="6176" w:type="dxa"/>
            <w:shd w:val="clear" w:color="auto" w:fill="auto"/>
          </w:tcPr>
          <w:p w14:paraId="37A4B3FA"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Përmirësimi i mëtutjeshëm i kornizës ligjore dhe rregullatore për sektorin e rinovueshëm dhe efikasitetin e energjisë.</w:t>
            </w:r>
          </w:p>
        </w:tc>
        <w:tc>
          <w:tcPr>
            <w:tcW w:w="1723" w:type="dxa"/>
            <w:shd w:val="clear" w:color="auto" w:fill="auto"/>
          </w:tcPr>
          <w:p w14:paraId="44995CC1"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1</w:t>
            </w:r>
          </w:p>
        </w:tc>
      </w:tr>
      <w:tr w:rsidR="006F605B" w:rsidRPr="00DC66CD" w14:paraId="34B9FE1A" w14:textId="77777777" w:rsidTr="00E372C0">
        <w:tc>
          <w:tcPr>
            <w:tcW w:w="1723" w:type="dxa"/>
            <w:vMerge/>
            <w:shd w:val="clear" w:color="auto" w:fill="auto"/>
          </w:tcPr>
          <w:p w14:paraId="66BD4621"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063847B1" w14:textId="4CC7689F" w:rsidR="006F605B" w:rsidRPr="00DC66CD" w:rsidRDefault="006F605B" w:rsidP="008C34D3">
            <w:pPr>
              <w:widowControl w:val="0"/>
              <w:spacing w:after="0" w:line="240" w:lineRule="auto"/>
              <w:rPr>
                <w:rFonts w:ascii="Garamond" w:hAnsi="Garamond"/>
                <w:sz w:val="20"/>
                <w:szCs w:val="20"/>
              </w:rPr>
            </w:pPr>
            <w:r w:rsidRPr="00DC66CD">
              <w:rPr>
                <w:rFonts w:ascii="Garamond" w:hAnsi="Garamond"/>
                <w:sz w:val="20"/>
                <w:szCs w:val="20"/>
              </w:rPr>
              <w:t xml:space="preserve">Zbatimi i </w:t>
            </w:r>
            <w:r w:rsidR="008C34D3" w:rsidRPr="00DC66CD">
              <w:rPr>
                <w:rFonts w:ascii="Garamond" w:hAnsi="Garamond"/>
                <w:sz w:val="20"/>
                <w:szCs w:val="20"/>
              </w:rPr>
              <w:t xml:space="preserve">projektit </w:t>
            </w:r>
            <w:r w:rsidR="002A29AD" w:rsidRPr="00DC66CD">
              <w:rPr>
                <w:rFonts w:ascii="Garamond" w:hAnsi="Garamond"/>
                <w:sz w:val="20"/>
                <w:szCs w:val="20"/>
              </w:rPr>
              <w:t>“</w:t>
            </w:r>
            <w:r w:rsidRPr="00DC66CD">
              <w:rPr>
                <w:rFonts w:ascii="Garamond" w:hAnsi="Garamond"/>
                <w:sz w:val="20"/>
                <w:szCs w:val="20"/>
              </w:rPr>
              <w:t>Impianti PV 100 MW Ak</w:t>
            </w:r>
            <w:r w:rsidR="008C34D3" w:rsidRPr="00DC66CD">
              <w:rPr>
                <w:rFonts w:ascii="Garamond" w:hAnsi="Garamond"/>
                <w:sz w:val="20"/>
                <w:szCs w:val="20"/>
              </w:rPr>
              <w:t>ë</w:t>
            </w:r>
            <w:r w:rsidRPr="00DC66CD">
              <w:rPr>
                <w:rFonts w:ascii="Garamond" w:hAnsi="Garamond"/>
                <w:sz w:val="20"/>
                <w:szCs w:val="20"/>
              </w:rPr>
              <w:t>rnia</w:t>
            </w:r>
            <w:r w:rsidR="002A29AD" w:rsidRPr="00DC66CD">
              <w:rPr>
                <w:rFonts w:ascii="Garamond" w:hAnsi="Garamond"/>
                <w:sz w:val="20"/>
                <w:szCs w:val="20"/>
              </w:rPr>
              <w:t>”</w:t>
            </w:r>
          </w:p>
        </w:tc>
        <w:tc>
          <w:tcPr>
            <w:tcW w:w="1723" w:type="dxa"/>
            <w:shd w:val="clear" w:color="auto" w:fill="auto"/>
          </w:tcPr>
          <w:p w14:paraId="382313C3"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4</w:t>
            </w:r>
          </w:p>
        </w:tc>
      </w:tr>
      <w:tr w:rsidR="006F605B" w:rsidRPr="00DC66CD" w14:paraId="636FCA85" w14:textId="77777777" w:rsidTr="00E372C0">
        <w:tc>
          <w:tcPr>
            <w:tcW w:w="1723" w:type="dxa"/>
            <w:vMerge/>
            <w:shd w:val="clear" w:color="auto" w:fill="auto"/>
          </w:tcPr>
          <w:p w14:paraId="5E55F240"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223B740B" w14:textId="0A327C18" w:rsidR="006F605B" w:rsidRPr="00DC66CD" w:rsidRDefault="006F605B" w:rsidP="008C34D3">
            <w:pPr>
              <w:widowControl w:val="0"/>
              <w:spacing w:after="0" w:line="240" w:lineRule="auto"/>
              <w:rPr>
                <w:rFonts w:ascii="Garamond" w:hAnsi="Garamond"/>
                <w:sz w:val="20"/>
                <w:szCs w:val="20"/>
              </w:rPr>
            </w:pPr>
            <w:r w:rsidRPr="00DC66CD">
              <w:rPr>
                <w:rFonts w:ascii="Garamond" w:hAnsi="Garamond"/>
                <w:sz w:val="20"/>
                <w:szCs w:val="20"/>
              </w:rPr>
              <w:t>Zbatimi i Projektit për Auditimin e Energjisë së Stokut të Ndërtesave Publike dhe pajisjen e tyre me Certifikata të të Performancës s</w:t>
            </w:r>
            <w:r w:rsidR="008C34D3" w:rsidRPr="00DC66CD">
              <w:rPr>
                <w:rFonts w:ascii="Garamond" w:hAnsi="Garamond"/>
                <w:sz w:val="20"/>
                <w:szCs w:val="20"/>
              </w:rPr>
              <w:t>ë</w:t>
            </w:r>
            <w:r w:rsidRPr="00DC66CD">
              <w:rPr>
                <w:rFonts w:ascii="Garamond" w:hAnsi="Garamond"/>
                <w:sz w:val="20"/>
                <w:szCs w:val="20"/>
              </w:rPr>
              <w:t xml:space="preserve"> Ndërtesës</w:t>
            </w:r>
          </w:p>
        </w:tc>
        <w:tc>
          <w:tcPr>
            <w:tcW w:w="1723" w:type="dxa"/>
            <w:shd w:val="clear" w:color="auto" w:fill="auto"/>
          </w:tcPr>
          <w:p w14:paraId="5DDF87F6"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4</w:t>
            </w:r>
          </w:p>
        </w:tc>
      </w:tr>
      <w:tr w:rsidR="006F605B" w:rsidRPr="00DC66CD" w14:paraId="57CEAEAF" w14:textId="77777777" w:rsidTr="00E372C0">
        <w:tc>
          <w:tcPr>
            <w:tcW w:w="1723" w:type="dxa"/>
            <w:vMerge w:val="restart"/>
            <w:shd w:val="clear" w:color="auto" w:fill="auto"/>
          </w:tcPr>
          <w:p w14:paraId="52B94E92"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6176" w:type="dxa"/>
            <w:shd w:val="clear" w:color="auto" w:fill="auto"/>
          </w:tcPr>
          <w:p w14:paraId="2A08135A" w14:textId="5D4F19AC" w:rsidR="006F605B" w:rsidRPr="00DC66CD" w:rsidRDefault="006F605B" w:rsidP="00131DA1">
            <w:pPr>
              <w:widowControl w:val="0"/>
              <w:spacing w:after="0" w:line="240" w:lineRule="auto"/>
              <w:jc w:val="both"/>
              <w:rPr>
                <w:rFonts w:ascii="Garamond" w:hAnsi="Garamond"/>
                <w:sz w:val="20"/>
                <w:szCs w:val="20"/>
              </w:rPr>
            </w:pPr>
            <w:r w:rsidRPr="00DC66CD">
              <w:rPr>
                <w:rFonts w:ascii="Garamond" w:hAnsi="Garamond"/>
                <w:sz w:val="20"/>
                <w:szCs w:val="20"/>
              </w:rPr>
              <w:t xml:space="preserve">Legjislacioni dytësor sipas </w:t>
            </w:r>
            <w:r w:rsidR="008C34D3" w:rsidRPr="00DC66CD">
              <w:rPr>
                <w:rFonts w:ascii="Garamond" w:hAnsi="Garamond"/>
                <w:sz w:val="20"/>
                <w:szCs w:val="20"/>
              </w:rPr>
              <w:t xml:space="preserve">ligjit nr.  </w:t>
            </w:r>
            <w:r w:rsidRPr="00DC66CD">
              <w:rPr>
                <w:rFonts w:ascii="Garamond" w:hAnsi="Garamond"/>
                <w:sz w:val="20"/>
                <w:szCs w:val="20"/>
              </w:rPr>
              <w:t>7/2017</w:t>
            </w:r>
            <w:r w:rsidR="008C34D3" w:rsidRPr="00DC66CD">
              <w:rPr>
                <w:rFonts w:ascii="Garamond" w:hAnsi="Garamond"/>
                <w:sz w:val="20"/>
                <w:szCs w:val="20"/>
              </w:rPr>
              <w:t>,</w:t>
            </w:r>
            <w:r w:rsidRPr="00DC66CD">
              <w:rPr>
                <w:rFonts w:ascii="Garamond" w:hAnsi="Garamond"/>
                <w:sz w:val="20"/>
                <w:szCs w:val="20"/>
              </w:rPr>
              <w:t xml:space="preserve"> plotësisht i harmonizuar me </w:t>
            </w:r>
            <w:r w:rsidR="008C34D3" w:rsidRPr="00DC66CD">
              <w:rPr>
                <w:rFonts w:ascii="Garamond" w:hAnsi="Garamond"/>
                <w:sz w:val="20"/>
                <w:szCs w:val="20"/>
              </w:rPr>
              <w:t xml:space="preserve">direktivën </w:t>
            </w:r>
            <w:r w:rsidRPr="00DC66CD">
              <w:rPr>
                <w:rFonts w:ascii="Garamond" w:hAnsi="Garamond"/>
                <w:sz w:val="20"/>
                <w:szCs w:val="20"/>
              </w:rPr>
              <w:t>2009/72/EC, nuk është miratuar plotësisht. Një pjesë e akteve nënligjore janë miratuar/rishikuar në vitin 2019, si vijon:</w:t>
            </w:r>
          </w:p>
          <w:p w14:paraId="12DB3525" w14:textId="76610E16" w:rsidR="006F605B" w:rsidRPr="00DC66CD" w:rsidRDefault="006F605B" w:rsidP="008C34D3">
            <w:pPr>
              <w:pStyle w:val="BodyText"/>
              <w:ind w:left="0"/>
              <w:jc w:val="both"/>
              <w:rPr>
                <w:rFonts w:ascii="Garamond" w:eastAsia="Calibri" w:hAnsi="Garamond"/>
                <w:sz w:val="20"/>
                <w:szCs w:val="20"/>
                <w:lang w:val="sq-AL"/>
              </w:rPr>
            </w:pPr>
            <w:r w:rsidRPr="00DC66CD">
              <w:rPr>
                <w:rFonts w:ascii="Garamond" w:eastAsia="Calibri" w:hAnsi="Garamond"/>
                <w:b/>
                <w:sz w:val="20"/>
                <w:szCs w:val="20"/>
                <w:lang w:val="sq-AL"/>
              </w:rPr>
              <w:t xml:space="preserve">1. Plani i </w:t>
            </w:r>
            <w:r w:rsidR="008C34D3" w:rsidRPr="00DC66CD">
              <w:rPr>
                <w:rFonts w:ascii="Garamond" w:eastAsia="Calibri" w:hAnsi="Garamond"/>
                <w:b/>
                <w:sz w:val="20"/>
                <w:szCs w:val="20"/>
                <w:lang w:val="sq-AL"/>
              </w:rPr>
              <w:t xml:space="preserve">veprimit </w:t>
            </w:r>
            <w:r w:rsidRPr="00DC66CD">
              <w:rPr>
                <w:rFonts w:ascii="Garamond" w:eastAsia="Calibri" w:hAnsi="Garamond"/>
                <w:b/>
                <w:sz w:val="20"/>
                <w:szCs w:val="20"/>
                <w:lang w:val="sq-AL"/>
              </w:rPr>
              <w:t>të BRE</w:t>
            </w:r>
            <w:r w:rsidR="008C34D3" w:rsidRPr="00DC66CD">
              <w:rPr>
                <w:rFonts w:ascii="Garamond" w:eastAsia="Calibri" w:hAnsi="Garamond"/>
                <w:b/>
                <w:sz w:val="20"/>
                <w:szCs w:val="20"/>
                <w:lang w:val="sq-AL"/>
              </w:rPr>
              <w:t>-së</w:t>
            </w:r>
            <w:r w:rsidRPr="00DC66CD">
              <w:rPr>
                <w:rFonts w:ascii="Garamond" w:eastAsia="Calibri" w:hAnsi="Garamond"/>
                <w:b/>
                <w:sz w:val="20"/>
                <w:szCs w:val="20"/>
                <w:lang w:val="sq-AL"/>
              </w:rPr>
              <w:t xml:space="preserve"> </w:t>
            </w:r>
            <w:r w:rsidRPr="00DC66CD">
              <w:rPr>
                <w:rFonts w:ascii="Garamond" w:eastAsia="Calibri" w:hAnsi="Garamond"/>
                <w:sz w:val="20"/>
                <w:szCs w:val="20"/>
                <w:lang w:val="sq-AL"/>
              </w:rPr>
              <w:t>që përcakton udhërrëfyesin për arritjen e objektivit kombëtar të konsumit të BRE (38%) në vitin 2020 është rishikuar (VKM 580, datë 28.8.2019) me objektiva të r</w:t>
            </w:r>
            <w:r w:rsidR="008C34D3" w:rsidRPr="00DC66CD">
              <w:rPr>
                <w:rFonts w:ascii="Garamond" w:eastAsia="Calibri" w:hAnsi="Garamond"/>
                <w:sz w:val="20"/>
                <w:szCs w:val="20"/>
                <w:lang w:val="sq-AL"/>
              </w:rPr>
              <w:t>inj</w:t>
            </w:r>
            <w:r w:rsidRPr="00DC66CD">
              <w:rPr>
                <w:rFonts w:ascii="Garamond" w:eastAsia="Calibri" w:hAnsi="Garamond"/>
                <w:sz w:val="20"/>
                <w:szCs w:val="20"/>
                <w:lang w:val="sq-AL"/>
              </w:rPr>
              <w:t xml:space="preserve"> që parashikojnë zgjerimin e kapaciteteve të instaluara të PV-ve nga 120 </w:t>
            </w:r>
            <w:r w:rsidR="008C34D3" w:rsidRPr="00DC66CD">
              <w:rPr>
                <w:rFonts w:ascii="Garamond" w:eastAsia="Calibri" w:hAnsi="Garamond"/>
                <w:sz w:val="20"/>
                <w:szCs w:val="20"/>
                <w:lang w:val="sq-AL"/>
              </w:rPr>
              <w:t>mw</w:t>
            </w:r>
            <w:r w:rsidRPr="00DC66CD">
              <w:rPr>
                <w:rFonts w:ascii="Garamond" w:eastAsia="Calibri" w:hAnsi="Garamond"/>
                <w:sz w:val="20"/>
                <w:szCs w:val="20"/>
                <w:lang w:val="sq-AL"/>
              </w:rPr>
              <w:t xml:space="preserve"> në 490 </w:t>
            </w:r>
            <w:r w:rsidR="008C34D3" w:rsidRPr="00DC66CD">
              <w:rPr>
                <w:rFonts w:ascii="Garamond" w:eastAsia="Calibri" w:hAnsi="Garamond"/>
                <w:sz w:val="20"/>
                <w:szCs w:val="20"/>
                <w:lang w:val="sq-AL"/>
              </w:rPr>
              <w:t>m</w:t>
            </w:r>
            <w:r w:rsidRPr="00DC66CD">
              <w:rPr>
                <w:rFonts w:ascii="Garamond" w:eastAsia="Calibri" w:hAnsi="Garamond"/>
                <w:sz w:val="20"/>
                <w:szCs w:val="20"/>
                <w:lang w:val="sq-AL"/>
              </w:rPr>
              <w:t xml:space="preserve">W, të eolikëve nga 70 </w:t>
            </w:r>
            <w:r w:rsidR="008C34D3" w:rsidRPr="00DC66CD">
              <w:rPr>
                <w:rFonts w:ascii="Garamond" w:eastAsia="Calibri" w:hAnsi="Garamond"/>
                <w:sz w:val="20"/>
                <w:szCs w:val="20"/>
                <w:lang w:val="sq-AL"/>
              </w:rPr>
              <w:t>mw</w:t>
            </w:r>
            <w:r w:rsidRPr="00DC66CD">
              <w:rPr>
                <w:rFonts w:ascii="Garamond" w:eastAsia="Calibri" w:hAnsi="Garamond"/>
                <w:sz w:val="20"/>
                <w:szCs w:val="20"/>
                <w:lang w:val="sq-AL"/>
              </w:rPr>
              <w:t xml:space="preserve"> në 150 </w:t>
            </w:r>
            <w:r w:rsidR="008C34D3" w:rsidRPr="00DC66CD">
              <w:rPr>
                <w:rFonts w:ascii="Garamond" w:eastAsia="Calibri" w:hAnsi="Garamond"/>
                <w:sz w:val="20"/>
                <w:szCs w:val="20"/>
                <w:lang w:val="sq-AL"/>
              </w:rPr>
              <w:t>mw,</w:t>
            </w:r>
            <w:r w:rsidRPr="00DC66CD">
              <w:rPr>
                <w:rFonts w:ascii="Garamond" w:eastAsia="Calibri" w:hAnsi="Garamond"/>
                <w:sz w:val="20"/>
                <w:szCs w:val="20"/>
                <w:lang w:val="sq-AL"/>
              </w:rPr>
              <w:t xml:space="preserve"> si dhe uljen e kapaciteteve të instaluar të </w:t>
            </w:r>
            <w:r w:rsidR="008C34D3" w:rsidRPr="00DC66CD">
              <w:rPr>
                <w:rFonts w:ascii="Garamond" w:eastAsia="Calibri" w:hAnsi="Garamond"/>
                <w:sz w:val="20"/>
                <w:szCs w:val="20"/>
                <w:lang w:val="sq-AL"/>
              </w:rPr>
              <w:t xml:space="preserve">hidrocentraleve </w:t>
            </w:r>
            <w:r w:rsidRPr="00DC66CD">
              <w:rPr>
                <w:rFonts w:ascii="Garamond" w:eastAsia="Calibri" w:hAnsi="Garamond"/>
                <w:sz w:val="20"/>
                <w:szCs w:val="20"/>
                <w:lang w:val="sq-AL"/>
              </w:rPr>
              <w:t xml:space="preserve">nga 600 </w:t>
            </w:r>
            <w:r w:rsidR="008C34D3" w:rsidRPr="00DC66CD">
              <w:rPr>
                <w:rFonts w:ascii="Garamond" w:eastAsia="Calibri" w:hAnsi="Garamond"/>
                <w:sz w:val="20"/>
                <w:szCs w:val="20"/>
                <w:lang w:val="sq-AL"/>
              </w:rPr>
              <w:t xml:space="preserve">mw </w:t>
            </w:r>
            <w:r w:rsidRPr="00DC66CD">
              <w:rPr>
                <w:rFonts w:ascii="Garamond" w:eastAsia="Calibri" w:hAnsi="Garamond"/>
                <w:sz w:val="20"/>
                <w:szCs w:val="20"/>
                <w:lang w:val="sq-AL"/>
              </w:rPr>
              <w:t xml:space="preserve">në 57 </w:t>
            </w:r>
            <w:r w:rsidR="008C34D3" w:rsidRPr="00DC66CD">
              <w:rPr>
                <w:rFonts w:ascii="Garamond" w:eastAsia="Calibri" w:hAnsi="Garamond"/>
                <w:sz w:val="20"/>
                <w:szCs w:val="20"/>
                <w:lang w:val="sq-AL"/>
              </w:rPr>
              <w:t>mw</w:t>
            </w:r>
            <w:r w:rsidRPr="00DC66CD">
              <w:rPr>
                <w:rFonts w:ascii="Garamond" w:eastAsia="Calibri" w:hAnsi="Garamond"/>
                <w:sz w:val="20"/>
                <w:szCs w:val="20"/>
                <w:lang w:val="sq-AL"/>
              </w:rPr>
              <w:t>.</w:t>
            </w:r>
          </w:p>
        </w:tc>
        <w:tc>
          <w:tcPr>
            <w:tcW w:w="1723" w:type="dxa"/>
            <w:shd w:val="clear" w:color="auto" w:fill="auto"/>
          </w:tcPr>
          <w:p w14:paraId="7E9290EC"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73A09986" w14:textId="77777777" w:rsidTr="00E372C0">
        <w:tc>
          <w:tcPr>
            <w:tcW w:w="1723" w:type="dxa"/>
            <w:vMerge/>
            <w:shd w:val="clear" w:color="auto" w:fill="auto"/>
          </w:tcPr>
          <w:p w14:paraId="2F1060A4"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22585117" w14:textId="62947D83" w:rsidR="006F605B" w:rsidRPr="00DC66CD" w:rsidRDefault="006F605B" w:rsidP="008C34D3">
            <w:pPr>
              <w:widowControl w:val="0"/>
              <w:spacing w:after="0" w:line="240" w:lineRule="auto"/>
              <w:rPr>
                <w:rFonts w:ascii="Garamond" w:hAnsi="Garamond"/>
                <w:sz w:val="20"/>
                <w:szCs w:val="20"/>
              </w:rPr>
            </w:pPr>
            <w:r w:rsidRPr="00DC66CD">
              <w:rPr>
                <w:rFonts w:ascii="Garamond" w:hAnsi="Garamond"/>
                <w:sz w:val="20"/>
                <w:szCs w:val="20"/>
              </w:rPr>
              <w:t>1. Një skemë e matjes neto për blerjen e energjisë së tepërt të prodhuar nga vetë prodhuesit e vegjël është në veprim që nga qershori i aprovuar</w:t>
            </w:r>
            <w:r w:rsidR="008C34D3" w:rsidRPr="00DC66CD">
              <w:rPr>
                <w:rFonts w:ascii="Garamond" w:hAnsi="Garamond"/>
                <w:sz w:val="20"/>
                <w:szCs w:val="20"/>
              </w:rPr>
              <w:t>,</w:t>
            </w:r>
            <w:r w:rsidRPr="00DC66CD">
              <w:rPr>
                <w:rFonts w:ascii="Garamond" w:hAnsi="Garamond"/>
                <w:sz w:val="20"/>
                <w:szCs w:val="20"/>
              </w:rPr>
              <w:t xml:space="preserve"> </w:t>
            </w:r>
            <w:r w:rsidR="008C34D3" w:rsidRPr="00DC66CD">
              <w:rPr>
                <w:rFonts w:ascii="Garamond" w:hAnsi="Garamond"/>
                <w:sz w:val="20"/>
                <w:szCs w:val="20"/>
              </w:rPr>
              <w:t xml:space="preserve">bazuar </w:t>
            </w:r>
            <w:r w:rsidRPr="00DC66CD">
              <w:rPr>
                <w:rFonts w:ascii="Garamond" w:hAnsi="Garamond"/>
                <w:sz w:val="20"/>
                <w:szCs w:val="20"/>
              </w:rPr>
              <w:t>në pikën 4</w:t>
            </w:r>
            <w:r w:rsidR="008C34D3" w:rsidRPr="00DC66CD">
              <w:rPr>
                <w:rFonts w:ascii="Garamond" w:hAnsi="Garamond"/>
                <w:sz w:val="20"/>
                <w:szCs w:val="20"/>
              </w:rPr>
              <w:t>,</w:t>
            </w:r>
            <w:r w:rsidRPr="00DC66CD">
              <w:rPr>
                <w:rFonts w:ascii="Garamond" w:hAnsi="Garamond"/>
                <w:sz w:val="20"/>
                <w:szCs w:val="20"/>
              </w:rPr>
              <w:t xml:space="preserve"> të nenit 15</w:t>
            </w:r>
            <w:r w:rsidR="008C34D3" w:rsidRPr="00DC66CD">
              <w:rPr>
                <w:rFonts w:ascii="Garamond" w:hAnsi="Garamond"/>
                <w:sz w:val="20"/>
                <w:szCs w:val="20"/>
              </w:rPr>
              <w:t>,</w:t>
            </w:r>
            <w:r w:rsidRPr="00DC66CD">
              <w:rPr>
                <w:rFonts w:ascii="Garamond" w:hAnsi="Garamond"/>
                <w:sz w:val="20"/>
                <w:szCs w:val="20"/>
              </w:rPr>
              <w:t xml:space="preserve"> të </w:t>
            </w:r>
            <w:r w:rsidR="008C34D3" w:rsidRPr="00DC66CD">
              <w:rPr>
                <w:rFonts w:ascii="Garamond" w:hAnsi="Garamond"/>
                <w:sz w:val="20"/>
                <w:szCs w:val="20"/>
              </w:rPr>
              <w:t xml:space="preserve">ligjit </w:t>
            </w:r>
            <w:r w:rsidR="00E33D88" w:rsidRPr="00DC66CD">
              <w:rPr>
                <w:rFonts w:ascii="Garamond" w:hAnsi="Garamond"/>
                <w:sz w:val="20"/>
                <w:szCs w:val="20"/>
              </w:rPr>
              <w:t xml:space="preserve">nr. </w:t>
            </w:r>
            <w:r w:rsidRPr="00DC66CD">
              <w:rPr>
                <w:rFonts w:ascii="Garamond" w:hAnsi="Garamond"/>
                <w:sz w:val="20"/>
                <w:szCs w:val="20"/>
              </w:rPr>
              <w:t xml:space="preserve">7/2017, u miratua me </w:t>
            </w:r>
            <w:r w:rsidR="008C34D3" w:rsidRPr="00DC66CD">
              <w:rPr>
                <w:rFonts w:ascii="Garamond" w:hAnsi="Garamond"/>
                <w:sz w:val="20"/>
                <w:szCs w:val="20"/>
              </w:rPr>
              <w:t xml:space="preserve">udhëzimin </w:t>
            </w:r>
            <w:r w:rsidR="00E33D88" w:rsidRPr="00DC66CD">
              <w:rPr>
                <w:rFonts w:ascii="Garamond" w:hAnsi="Garamond"/>
                <w:b/>
                <w:sz w:val="20"/>
                <w:szCs w:val="20"/>
              </w:rPr>
              <w:t>nr.</w:t>
            </w:r>
            <w:r w:rsidR="00E33D88" w:rsidRPr="00DC66CD">
              <w:rPr>
                <w:rFonts w:ascii="Garamond" w:hAnsi="Garamond"/>
                <w:sz w:val="20"/>
                <w:szCs w:val="20"/>
              </w:rPr>
              <w:t xml:space="preserve"> </w:t>
            </w:r>
            <w:r w:rsidRPr="00DC66CD">
              <w:rPr>
                <w:rFonts w:ascii="Garamond" w:hAnsi="Garamond"/>
                <w:b/>
                <w:sz w:val="20"/>
                <w:szCs w:val="20"/>
              </w:rPr>
              <w:t>3, dat</w:t>
            </w:r>
            <w:r w:rsidR="008C34D3" w:rsidRPr="00DC66CD">
              <w:rPr>
                <w:rFonts w:ascii="Garamond" w:hAnsi="Garamond"/>
                <w:b/>
                <w:sz w:val="20"/>
                <w:szCs w:val="20"/>
              </w:rPr>
              <w:t>ë 20.</w:t>
            </w:r>
            <w:r w:rsidRPr="00DC66CD">
              <w:rPr>
                <w:rFonts w:ascii="Garamond" w:hAnsi="Garamond"/>
                <w:b/>
                <w:sz w:val="20"/>
                <w:szCs w:val="20"/>
              </w:rPr>
              <w:t>6.2019</w:t>
            </w:r>
            <w:r w:rsidR="008C34D3"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Për miratimin e procedurës lehtësuese të autorizimit për lidhjen në sistemin e shpërndarjes së projekteve të vogla të energjisë së rinovueshme nga dielli të prodhuar nga vetë prodhuesit</w:t>
            </w:r>
            <w:r w:rsidR="002A29AD" w:rsidRPr="00DC66CD">
              <w:rPr>
                <w:rFonts w:ascii="Garamond" w:hAnsi="Garamond"/>
                <w:i/>
                <w:sz w:val="20"/>
                <w:szCs w:val="20"/>
              </w:rPr>
              <w:t>”</w:t>
            </w:r>
            <w:r w:rsidRPr="00DC66CD">
              <w:rPr>
                <w:rFonts w:ascii="Garamond" w:hAnsi="Garamond"/>
                <w:i/>
                <w:sz w:val="20"/>
                <w:szCs w:val="20"/>
              </w:rPr>
              <w:t>.</w:t>
            </w:r>
          </w:p>
        </w:tc>
        <w:tc>
          <w:tcPr>
            <w:tcW w:w="1723" w:type="dxa"/>
            <w:shd w:val="clear" w:color="auto" w:fill="auto"/>
          </w:tcPr>
          <w:p w14:paraId="312BAD35"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3</w:t>
            </w:r>
          </w:p>
        </w:tc>
      </w:tr>
      <w:tr w:rsidR="006F605B" w:rsidRPr="00DC66CD" w14:paraId="3F329906" w14:textId="77777777" w:rsidTr="00E372C0">
        <w:tc>
          <w:tcPr>
            <w:tcW w:w="1723" w:type="dxa"/>
            <w:vMerge/>
            <w:shd w:val="clear" w:color="auto" w:fill="auto"/>
          </w:tcPr>
          <w:p w14:paraId="732EB09F"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613AC935" w14:textId="59172A4E" w:rsidR="006F605B" w:rsidRPr="00DC66CD" w:rsidRDefault="006F605B" w:rsidP="00AF41B5">
            <w:pPr>
              <w:widowControl w:val="0"/>
              <w:suppressAutoHyphens/>
              <w:spacing w:after="0" w:line="240" w:lineRule="auto"/>
              <w:jc w:val="both"/>
              <w:rPr>
                <w:rFonts w:ascii="Garamond" w:hAnsi="Garamond"/>
                <w:sz w:val="20"/>
                <w:szCs w:val="20"/>
              </w:rPr>
            </w:pPr>
            <w:r w:rsidRPr="00DC66CD">
              <w:rPr>
                <w:rFonts w:ascii="Garamond" w:hAnsi="Garamond"/>
                <w:sz w:val="20"/>
                <w:szCs w:val="20"/>
              </w:rPr>
              <w:t xml:space="preserve">2. Shqipëria ka miratuar një seri ligjesh dhe rregullore që synojnë të kontribuojnë në rritjen e kombëtare të </w:t>
            </w:r>
            <w:r w:rsidR="008C34D3" w:rsidRPr="00DC66CD">
              <w:rPr>
                <w:rFonts w:ascii="Garamond" w:hAnsi="Garamond"/>
                <w:sz w:val="20"/>
                <w:szCs w:val="20"/>
              </w:rPr>
              <w:t>eficiencës</w:t>
            </w:r>
            <w:r w:rsidRPr="00DC66CD">
              <w:rPr>
                <w:rFonts w:ascii="Garamond" w:hAnsi="Garamond"/>
                <w:sz w:val="20"/>
                <w:szCs w:val="20"/>
              </w:rPr>
              <w:t xml:space="preserve"> s</w:t>
            </w:r>
            <w:r w:rsidR="008C34D3" w:rsidRPr="00DC66CD">
              <w:rPr>
                <w:rFonts w:ascii="Garamond" w:hAnsi="Garamond"/>
                <w:sz w:val="20"/>
                <w:szCs w:val="20"/>
              </w:rPr>
              <w:t>ë</w:t>
            </w:r>
            <w:r w:rsidRPr="00DC66CD">
              <w:rPr>
                <w:rFonts w:ascii="Garamond" w:hAnsi="Garamond"/>
                <w:sz w:val="20"/>
                <w:szCs w:val="20"/>
              </w:rPr>
              <w:t xml:space="preserve"> energjisë: </w:t>
            </w:r>
            <w:r w:rsidR="008C34D3" w:rsidRPr="00DC66CD">
              <w:rPr>
                <w:rFonts w:ascii="Garamond" w:hAnsi="Garamond"/>
                <w:sz w:val="20"/>
                <w:szCs w:val="20"/>
              </w:rPr>
              <w:t xml:space="preserve">ligji </w:t>
            </w:r>
            <w:r w:rsidR="00E33D88" w:rsidRPr="00DC66CD">
              <w:rPr>
                <w:rFonts w:ascii="Garamond" w:hAnsi="Garamond"/>
                <w:sz w:val="20"/>
                <w:szCs w:val="20"/>
              </w:rPr>
              <w:t xml:space="preserve">nr. </w:t>
            </w:r>
            <w:r w:rsidRPr="00DC66CD">
              <w:rPr>
                <w:rFonts w:ascii="Garamond" w:hAnsi="Garamond"/>
                <w:sz w:val="20"/>
                <w:szCs w:val="20"/>
              </w:rPr>
              <w:t xml:space="preserve">124/2015, datë 12.11.2015 </w:t>
            </w:r>
            <w:r w:rsidR="002A29AD" w:rsidRPr="00DC66CD">
              <w:rPr>
                <w:rFonts w:ascii="Garamond" w:hAnsi="Garamond"/>
                <w:sz w:val="20"/>
                <w:szCs w:val="20"/>
              </w:rPr>
              <w:t>“</w:t>
            </w:r>
            <w:r w:rsidRPr="00DC66CD">
              <w:rPr>
                <w:rFonts w:ascii="Garamond" w:hAnsi="Garamond"/>
                <w:sz w:val="20"/>
                <w:szCs w:val="20"/>
              </w:rPr>
              <w:t xml:space="preserve">Për </w:t>
            </w:r>
            <w:r w:rsidR="008C34D3" w:rsidRPr="00DC66CD">
              <w:rPr>
                <w:rFonts w:ascii="Garamond" w:hAnsi="Garamond"/>
                <w:sz w:val="20"/>
                <w:szCs w:val="20"/>
              </w:rPr>
              <w:t>eficiencën</w:t>
            </w:r>
            <w:r w:rsidRPr="00DC66CD">
              <w:rPr>
                <w:rFonts w:ascii="Garamond" w:hAnsi="Garamond"/>
                <w:sz w:val="20"/>
                <w:szCs w:val="20"/>
              </w:rPr>
              <w:t xml:space="preserve"> e energjisë</w:t>
            </w:r>
            <w:r w:rsidR="002A29AD" w:rsidRPr="00DC66CD">
              <w:rPr>
                <w:rFonts w:ascii="Garamond" w:hAnsi="Garamond"/>
                <w:sz w:val="20"/>
                <w:szCs w:val="20"/>
              </w:rPr>
              <w:t>”</w:t>
            </w:r>
            <w:r w:rsidRPr="00DC66CD">
              <w:rPr>
                <w:rFonts w:ascii="Garamond" w:hAnsi="Garamond"/>
                <w:sz w:val="20"/>
                <w:szCs w:val="20"/>
              </w:rPr>
              <w:t xml:space="preserve">, i cili pjesërisht është në përputhje me </w:t>
            </w:r>
            <w:r w:rsidR="008C34D3" w:rsidRPr="00DC66CD">
              <w:rPr>
                <w:rFonts w:ascii="Garamond" w:hAnsi="Garamond"/>
                <w:sz w:val="20"/>
                <w:szCs w:val="20"/>
              </w:rPr>
              <w:t xml:space="preserve">direktivën </w:t>
            </w:r>
            <w:r w:rsidRPr="00DC66CD">
              <w:rPr>
                <w:rFonts w:ascii="Garamond" w:hAnsi="Garamond"/>
                <w:sz w:val="20"/>
                <w:szCs w:val="20"/>
              </w:rPr>
              <w:t>2012/27/BE. MIE</w:t>
            </w:r>
            <w:r w:rsidR="008C34D3" w:rsidRPr="00DC66CD">
              <w:rPr>
                <w:rFonts w:ascii="Garamond" w:hAnsi="Garamond"/>
                <w:sz w:val="20"/>
                <w:szCs w:val="20"/>
              </w:rPr>
              <w:t>,</w:t>
            </w:r>
            <w:r w:rsidRPr="00DC66CD">
              <w:rPr>
                <w:rFonts w:ascii="Garamond" w:hAnsi="Garamond"/>
                <w:sz w:val="20"/>
                <w:szCs w:val="20"/>
              </w:rPr>
              <w:t xml:space="preserve"> me ndihmën e Bankës Evropiane për Rindërtim dhe Zhvillim (BERZH) po rishikon </w:t>
            </w:r>
            <w:r w:rsidR="00AF41B5" w:rsidRPr="00DC66CD">
              <w:rPr>
                <w:rFonts w:ascii="Garamond" w:hAnsi="Garamond"/>
                <w:sz w:val="20"/>
                <w:szCs w:val="20"/>
              </w:rPr>
              <w:t xml:space="preserve">ligjin </w:t>
            </w:r>
            <w:r w:rsidRPr="00DC66CD">
              <w:rPr>
                <w:rFonts w:ascii="Garamond" w:hAnsi="Garamond"/>
                <w:sz w:val="20"/>
                <w:szCs w:val="20"/>
              </w:rPr>
              <w:t>ekzistues</w:t>
            </w:r>
            <w:r w:rsidR="00AF41B5" w:rsidRPr="00DC66CD">
              <w:rPr>
                <w:rFonts w:ascii="Garamond" w:hAnsi="Garamond"/>
                <w:sz w:val="20"/>
                <w:szCs w:val="20"/>
              </w:rPr>
              <w:t>,</w:t>
            </w:r>
            <w:r w:rsidRPr="00DC66CD">
              <w:rPr>
                <w:rFonts w:ascii="Garamond" w:hAnsi="Garamond"/>
                <w:sz w:val="20"/>
                <w:szCs w:val="20"/>
              </w:rPr>
              <w:t xml:space="preserve"> duke synuar përafrimin e plotë të tij me dispozitat e </w:t>
            </w:r>
            <w:r w:rsidR="00AF41B5" w:rsidRPr="00DC66CD">
              <w:rPr>
                <w:rFonts w:ascii="Garamond" w:hAnsi="Garamond"/>
                <w:sz w:val="20"/>
                <w:szCs w:val="20"/>
              </w:rPr>
              <w:t xml:space="preserve">direktivës </w:t>
            </w:r>
            <w:r w:rsidRPr="00DC66CD">
              <w:rPr>
                <w:rFonts w:ascii="Garamond" w:hAnsi="Garamond"/>
                <w:sz w:val="20"/>
                <w:szCs w:val="20"/>
              </w:rPr>
              <w:t xml:space="preserve">2012/27/BE. Ndryshimet do të përfshijnë përfshirjen e elementeve që aktualisht mungojnë në </w:t>
            </w:r>
            <w:r w:rsidR="00AF41B5" w:rsidRPr="00DC66CD">
              <w:rPr>
                <w:rFonts w:ascii="Garamond" w:hAnsi="Garamond"/>
                <w:sz w:val="20"/>
                <w:szCs w:val="20"/>
              </w:rPr>
              <w:t xml:space="preserve">ligjin </w:t>
            </w:r>
            <w:r w:rsidRPr="00DC66CD">
              <w:rPr>
                <w:rFonts w:ascii="Garamond" w:hAnsi="Garamond"/>
                <w:sz w:val="20"/>
                <w:szCs w:val="20"/>
              </w:rPr>
              <w:t>124/2015</w:t>
            </w:r>
            <w:r w:rsidR="00AF41B5" w:rsidRPr="00DC66CD">
              <w:rPr>
                <w:rFonts w:ascii="Garamond" w:hAnsi="Garamond"/>
                <w:sz w:val="20"/>
                <w:szCs w:val="20"/>
              </w:rPr>
              <w:t>,</w:t>
            </w:r>
            <w:r w:rsidRPr="00DC66CD">
              <w:rPr>
                <w:rFonts w:ascii="Garamond" w:hAnsi="Garamond"/>
                <w:sz w:val="20"/>
                <w:szCs w:val="20"/>
              </w:rPr>
              <w:t xml:space="preserve"> të 12.11.2015, përfshirë </w:t>
            </w:r>
            <w:r w:rsidRPr="00DC66CD">
              <w:rPr>
                <w:rFonts w:ascii="Garamond" w:hAnsi="Garamond"/>
                <w:b/>
                <w:sz w:val="20"/>
                <w:szCs w:val="20"/>
              </w:rPr>
              <w:t>nenin 4</w:t>
            </w:r>
            <w:r w:rsidR="00AF41B5"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Rinovimi i ndërtesave</w:t>
            </w:r>
            <w:r w:rsidR="002A29AD" w:rsidRPr="00DC66CD">
              <w:rPr>
                <w:rFonts w:ascii="Garamond" w:hAnsi="Garamond"/>
                <w:i/>
                <w:sz w:val="20"/>
                <w:szCs w:val="20"/>
              </w:rPr>
              <w:t>”</w:t>
            </w:r>
            <w:r w:rsidRPr="00DC66CD">
              <w:rPr>
                <w:rFonts w:ascii="Garamond" w:hAnsi="Garamond"/>
                <w:sz w:val="20"/>
                <w:szCs w:val="20"/>
              </w:rPr>
              <w:t xml:space="preserve">, </w:t>
            </w:r>
            <w:r w:rsidRPr="00DC66CD">
              <w:rPr>
                <w:rFonts w:ascii="Garamond" w:hAnsi="Garamond"/>
                <w:b/>
                <w:sz w:val="20"/>
                <w:szCs w:val="20"/>
              </w:rPr>
              <w:t>neni 7</w:t>
            </w:r>
            <w:r w:rsidR="00AF41B5"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Skemat e detyrimit të efikasitetit energjetik</w:t>
            </w:r>
            <w:r w:rsidR="002A29AD" w:rsidRPr="00DC66CD">
              <w:rPr>
                <w:rFonts w:ascii="Garamond" w:hAnsi="Garamond"/>
                <w:i/>
                <w:sz w:val="20"/>
                <w:szCs w:val="20"/>
              </w:rPr>
              <w:t>”</w:t>
            </w:r>
            <w:r w:rsidRPr="00DC66CD">
              <w:rPr>
                <w:rFonts w:ascii="Garamond" w:hAnsi="Garamond"/>
                <w:sz w:val="20"/>
                <w:szCs w:val="20"/>
              </w:rPr>
              <w:t xml:space="preserve">, </w:t>
            </w:r>
            <w:r w:rsidRPr="00DC66CD">
              <w:rPr>
                <w:rFonts w:ascii="Garamond" w:hAnsi="Garamond"/>
                <w:b/>
                <w:sz w:val="20"/>
                <w:szCs w:val="20"/>
              </w:rPr>
              <w:t>neni 14</w:t>
            </w:r>
            <w:r w:rsidR="00AF41B5"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Promovimi i efikasitetit në ngrohje dhe ftohje</w:t>
            </w:r>
            <w:r w:rsidR="002A29AD" w:rsidRPr="00DC66CD">
              <w:rPr>
                <w:rFonts w:ascii="Garamond" w:hAnsi="Garamond"/>
                <w:i/>
                <w:sz w:val="20"/>
                <w:szCs w:val="20"/>
              </w:rPr>
              <w:t>”</w:t>
            </w:r>
            <w:r w:rsidR="00772573" w:rsidRPr="00DC66CD">
              <w:rPr>
                <w:rFonts w:ascii="Garamond" w:hAnsi="Garamond"/>
                <w:sz w:val="20"/>
                <w:szCs w:val="20"/>
              </w:rPr>
              <w:t>,</w:t>
            </w:r>
            <w:r w:rsidRPr="00DC66CD">
              <w:rPr>
                <w:rFonts w:ascii="Garamond" w:hAnsi="Garamond"/>
                <w:sz w:val="20"/>
                <w:szCs w:val="20"/>
              </w:rPr>
              <w:t xml:space="preserve"> </w:t>
            </w:r>
            <w:r w:rsidR="00AF41B5" w:rsidRPr="00DC66CD">
              <w:rPr>
                <w:rFonts w:ascii="Garamond" w:hAnsi="Garamond"/>
                <w:b/>
                <w:sz w:val="20"/>
                <w:szCs w:val="20"/>
              </w:rPr>
              <w:t xml:space="preserve">neni </w:t>
            </w:r>
            <w:r w:rsidRPr="00DC66CD">
              <w:rPr>
                <w:rFonts w:ascii="Garamond" w:hAnsi="Garamond"/>
                <w:b/>
                <w:sz w:val="20"/>
                <w:szCs w:val="20"/>
              </w:rPr>
              <w:t>15</w:t>
            </w:r>
            <w:r w:rsidR="00AF41B5"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Transformimi i energjisë, transmetimi dhe shpërndarja</w:t>
            </w:r>
            <w:r w:rsidR="002A29AD" w:rsidRPr="00DC66CD">
              <w:rPr>
                <w:rFonts w:ascii="Garamond" w:hAnsi="Garamond"/>
                <w:i/>
                <w:sz w:val="20"/>
                <w:szCs w:val="20"/>
              </w:rPr>
              <w:t>”</w:t>
            </w:r>
            <w:r w:rsidRPr="00DC66CD">
              <w:rPr>
                <w:rFonts w:ascii="Garamond" w:hAnsi="Garamond"/>
                <w:sz w:val="20"/>
                <w:szCs w:val="20"/>
              </w:rPr>
              <w:t xml:space="preserve"> dhe </w:t>
            </w:r>
            <w:r w:rsidRPr="00DC66CD">
              <w:rPr>
                <w:rFonts w:ascii="Garamond" w:hAnsi="Garamond"/>
                <w:b/>
                <w:sz w:val="20"/>
                <w:szCs w:val="20"/>
              </w:rPr>
              <w:t>neni 24</w:t>
            </w:r>
            <w:r w:rsidR="00AF41B5"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Rishikimi dhe monitorimi i zbatimit</w:t>
            </w:r>
            <w:r w:rsidR="002A29AD" w:rsidRPr="00DC66CD">
              <w:rPr>
                <w:rFonts w:ascii="Garamond" w:hAnsi="Garamond"/>
                <w:i/>
                <w:sz w:val="20"/>
                <w:szCs w:val="20"/>
              </w:rPr>
              <w:t>”</w:t>
            </w:r>
            <w:r w:rsidRPr="00DC66CD">
              <w:rPr>
                <w:rFonts w:ascii="Garamond" w:hAnsi="Garamond"/>
                <w:i/>
                <w:sz w:val="20"/>
                <w:szCs w:val="20"/>
              </w:rPr>
              <w:t>.</w:t>
            </w:r>
            <w:r w:rsidRPr="00DC66CD">
              <w:rPr>
                <w:rFonts w:ascii="Garamond" w:hAnsi="Garamond"/>
                <w:sz w:val="20"/>
                <w:szCs w:val="20"/>
              </w:rPr>
              <w:t xml:space="preserve"> Drafti i tretë i ligjit për ndryshimin pritet të përfundojë në fund të tetorit 2019 dhe një proces konsultimi me palët e interesuara do të zhvillohet deri në fund të nëntorit 2019. Ligji i rishikuar për </w:t>
            </w:r>
            <w:r w:rsidR="00AF41B5" w:rsidRPr="00DC66CD">
              <w:rPr>
                <w:rFonts w:ascii="Garamond" w:hAnsi="Garamond"/>
                <w:sz w:val="20"/>
                <w:szCs w:val="20"/>
              </w:rPr>
              <w:t xml:space="preserve">eficiencën </w:t>
            </w:r>
            <w:r w:rsidRPr="00DC66CD">
              <w:rPr>
                <w:rFonts w:ascii="Garamond" w:hAnsi="Garamond"/>
                <w:sz w:val="20"/>
                <w:szCs w:val="20"/>
              </w:rPr>
              <w:t xml:space="preserve">e </w:t>
            </w:r>
            <w:r w:rsidR="00AF41B5" w:rsidRPr="00DC66CD">
              <w:rPr>
                <w:rFonts w:ascii="Garamond" w:hAnsi="Garamond"/>
                <w:sz w:val="20"/>
                <w:szCs w:val="20"/>
              </w:rPr>
              <w:t xml:space="preserve">energjisë </w:t>
            </w:r>
            <w:r w:rsidRPr="00DC66CD">
              <w:rPr>
                <w:rFonts w:ascii="Garamond" w:hAnsi="Garamond"/>
                <w:sz w:val="20"/>
                <w:szCs w:val="20"/>
              </w:rPr>
              <w:t>pritet të miratohet nga tremujori i dytë i vitit 2020. Legjislacioni sekondar nuk është përfunduar plotësisht. Një pjesë e akteve nënligjore janë miratuar/rishikuar në vitin 2019, si vijon:</w:t>
            </w:r>
          </w:p>
        </w:tc>
        <w:tc>
          <w:tcPr>
            <w:tcW w:w="1723" w:type="dxa"/>
            <w:shd w:val="clear" w:color="auto" w:fill="auto"/>
          </w:tcPr>
          <w:p w14:paraId="2745E36D"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3</w:t>
            </w:r>
          </w:p>
        </w:tc>
      </w:tr>
      <w:tr w:rsidR="006F605B" w:rsidRPr="00DC66CD" w14:paraId="7D2EA915" w14:textId="77777777" w:rsidTr="00E372C0">
        <w:tc>
          <w:tcPr>
            <w:tcW w:w="1723" w:type="dxa"/>
            <w:vMerge/>
            <w:shd w:val="clear" w:color="auto" w:fill="auto"/>
          </w:tcPr>
          <w:p w14:paraId="13255F83"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1BCDE063" w14:textId="4533279C" w:rsidR="006F605B" w:rsidRPr="00DC66CD" w:rsidRDefault="006F605B" w:rsidP="00AF41B5">
            <w:pPr>
              <w:widowControl w:val="0"/>
              <w:suppressAutoHyphens/>
              <w:spacing w:after="0" w:line="240" w:lineRule="auto"/>
              <w:jc w:val="both"/>
              <w:rPr>
                <w:rFonts w:ascii="Garamond" w:hAnsi="Garamond"/>
                <w:sz w:val="20"/>
                <w:szCs w:val="20"/>
              </w:rPr>
            </w:pPr>
            <w:r w:rsidRPr="00DC66CD">
              <w:rPr>
                <w:rFonts w:ascii="Garamond" w:hAnsi="Garamond"/>
                <w:sz w:val="20"/>
                <w:szCs w:val="20"/>
              </w:rPr>
              <w:t xml:space="preserve">2. Miratimi i </w:t>
            </w:r>
            <w:r w:rsidR="00AF41B5" w:rsidRPr="00DC66CD">
              <w:rPr>
                <w:rFonts w:ascii="Garamond" w:hAnsi="Garamond"/>
                <w:sz w:val="20"/>
                <w:szCs w:val="20"/>
              </w:rPr>
              <w:t xml:space="preserve">rregullores </w:t>
            </w:r>
            <w:r w:rsidRPr="00DC66CD">
              <w:rPr>
                <w:rFonts w:ascii="Garamond" w:hAnsi="Garamond"/>
                <w:sz w:val="20"/>
                <w:szCs w:val="20"/>
              </w:rPr>
              <w:t xml:space="preserve">së aprovuar me </w:t>
            </w:r>
            <w:r w:rsidRPr="00DC66CD">
              <w:rPr>
                <w:rFonts w:ascii="Garamond" w:hAnsi="Garamond"/>
                <w:b/>
                <w:sz w:val="20"/>
                <w:szCs w:val="20"/>
              </w:rPr>
              <w:t>VKM</w:t>
            </w:r>
            <w:r w:rsidR="00E33D88" w:rsidRPr="00DC66CD">
              <w:rPr>
                <w:rFonts w:ascii="Garamond" w:hAnsi="Garamond"/>
                <w:b/>
                <w:sz w:val="20"/>
                <w:szCs w:val="20"/>
              </w:rPr>
              <w:t xml:space="preserve"> nr. </w:t>
            </w:r>
            <w:r w:rsidRPr="00DC66CD">
              <w:rPr>
                <w:rFonts w:ascii="Garamond" w:hAnsi="Garamond"/>
                <w:b/>
                <w:sz w:val="20"/>
                <w:szCs w:val="20"/>
              </w:rPr>
              <w:t>407</w:t>
            </w:r>
            <w:r w:rsidR="00AF41B5" w:rsidRPr="00DC66CD">
              <w:rPr>
                <w:rFonts w:ascii="Garamond" w:hAnsi="Garamond"/>
                <w:b/>
                <w:sz w:val="20"/>
                <w:szCs w:val="20"/>
              </w:rPr>
              <w:t>,</w:t>
            </w:r>
            <w:r w:rsidRPr="00DC66CD">
              <w:rPr>
                <w:rFonts w:ascii="Garamond" w:hAnsi="Garamond"/>
                <w:b/>
                <w:sz w:val="20"/>
                <w:szCs w:val="20"/>
              </w:rPr>
              <w:t xml:space="preserve"> datë 19.6.2019</w:t>
            </w:r>
            <w:r w:rsidR="00AF41B5"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Për miratimin e rregullores për kategoritë, kushtet, kualifikimin dhe kërkesat e përvojës për certifikimin e auditorëve të energjisë</w:t>
            </w:r>
            <w:r w:rsidR="002A29AD" w:rsidRPr="00DC66CD">
              <w:rPr>
                <w:rFonts w:ascii="Garamond" w:hAnsi="Garamond"/>
                <w:i/>
                <w:sz w:val="20"/>
                <w:szCs w:val="20"/>
              </w:rPr>
              <w:t>”</w:t>
            </w:r>
            <w:r w:rsidRPr="00DC66CD">
              <w:rPr>
                <w:rFonts w:ascii="Garamond" w:hAnsi="Garamond"/>
                <w:sz w:val="20"/>
                <w:szCs w:val="20"/>
              </w:rPr>
              <w:t>, e cila është miratuar në tremujorin e dytë të 2019</w:t>
            </w:r>
            <w:r w:rsidR="00AF41B5" w:rsidRPr="00DC66CD">
              <w:rPr>
                <w:rFonts w:ascii="Garamond" w:hAnsi="Garamond"/>
                <w:sz w:val="20"/>
                <w:szCs w:val="20"/>
              </w:rPr>
              <w:t>,</w:t>
            </w:r>
            <w:r w:rsidRPr="00DC66CD">
              <w:rPr>
                <w:rFonts w:ascii="Garamond" w:hAnsi="Garamond"/>
                <w:sz w:val="20"/>
                <w:szCs w:val="20"/>
              </w:rPr>
              <w:t xml:space="preserve"> siç përcaktohet në </w:t>
            </w:r>
            <w:r w:rsidRPr="00DC66CD">
              <w:rPr>
                <w:rFonts w:ascii="Garamond" w:hAnsi="Garamond"/>
                <w:b/>
                <w:sz w:val="20"/>
                <w:szCs w:val="20"/>
              </w:rPr>
              <w:t>nenin 17</w:t>
            </w:r>
            <w:r w:rsidR="00AF41B5" w:rsidRPr="00DC66CD">
              <w:rPr>
                <w:rFonts w:ascii="Garamond" w:hAnsi="Garamond"/>
                <w:b/>
                <w:sz w:val="20"/>
                <w:szCs w:val="20"/>
              </w:rPr>
              <w:t>,</w:t>
            </w:r>
            <w:r w:rsidRPr="00DC66CD">
              <w:rPr>
                <w:rFonts w:ascii="Garamond" w:hAnsi="Garamond"/>
                <w:b/>
                <w:sz w:val="20"/>
                <w:szCs w:val="20"/>
              </w:rPr>
              <w:t xml:space="preserve"> të ligjit 124/2015</w:t>
            </w:r>
            <w:r w:rsidR="00AF41B5"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Për efikasitetin e energjisë</w:t>
            </w:r>
            <w:r w:rsidR="002A29AD" w:rsidRPr="00DC66CD">
              <w:rPr>
                <w:rFonts w:ascii="Garamond" w:hAnsi="Garamond"/>
                <w:i/>
                <w:sz w:val="20"/>
                <w:szCs w:val="20"/>
              </w:rPr>
              <w:t>”</w:t>
            </w:r>
            <w:r w:rsidRPr="00DC66CD">
              <w:rPr>
                <w:rFonts w:ascii="Garamond" w:hAnsi="Garamond"/>
                <w:sz w:val="20"/>
                <w:szCs w:val="20"/>
              </w:rPr>
              <w:t xml:space="preserve">, që përcakton procedurën, kategoritë, kushtet dhe kërkesat e kualifikimit dhe përvojës profesionale të </w:t>
            </w:r>
            <w:r w:rsidR="00AF41B5" w:rsidRPr="00DC66CD">
              <w:rPr>
                <w:rFonts w:ascii="Garamond" w:hAnsi="Garamond"/>
                <w:sz w:val="20"/>
                <w:szCs w:val="20"/>
              </w:rPr>
              <w:t>audituesve të energjisë</w:t>
            </w:r>
            <w:r w:rsidRPr="00DC66CD">
              <w:rPr>
                <w:rFonts w:ascii="Garamond" w:hAnsi="Garamond"/>
                <w:sz w:val="20"/>
                <w:szCs w:val="20"/>
              </w:rPr>
              <w:t>.</w:t>
            </w:r>
          </w:p>
        </w:tc>
        <w:tc>
          <w:tcPr>
            <w:tcW w:w="1723" w:type="dxa"/>
            <w:shd w:val="clear" w:color="auto" w:fill="auto"/>
          </w:tcPr>
          <w:p w14:paraId="4425E77E"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1</w:t>
            </w:r>
          </w:p>
        </w:tc>
      </w:tr>
      <w:tr w:rsidR="006F605B" w:rsidRPr="00DC66CD" w14:paraId="3B95C3F2" w14:textId="77777777" w:rsidTr="00E372C0">
        <w:tc>
          <w:tcPr>
            <w:tcW w:w="1723" w:type="dxa"/>
            <w:vMerge/>
            <w:shd w:val="clear" w:color="auto" w:fill="auto"/>
          </w:tcPr>
          <w:p w14:paraId="02198271"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27ADED9D" w14:textId="694244EA" w:rsidR="006F605B" w:rsidRPr="00DC66CD" w:rsidRDefault="006F605B" w:rsidP="00131DA1">
            <w:pPr>
              <w:widowControl w:val="0"/>
              <w:spacing w:after="0" w:line="240" w:lineRule="auto"/>
              <w:jc w:val="both"/>
              <w:rPr>
                <w:rFonts w:ascii="Garamond" w:hAnsi="Garamond"/>
                <w:sz w:val="20"/>
                <w:szCs w:val="20"/>
              </w:rPr>
            </w:pPr>
            <w:r w:rsidRPr="00DC66CD">
              <w:rPr>
                <w:rFonts w:ascii="Garamond" w:hAnsi="Garamond"/>
                <w:sz w:val="20"/>
                <w:szCs w:val="20"/>
              </w:rPr>
              <w:t xml:space="preserve">3. Miratimi i </w:t>
            </w:r>
            <w:r w:rsidR="00AF41B5" w:rsidRPr="00DC66CD">
              <w:rPr>
                <w:rFonts w:ascii="Garamond" w:hAnsi="Garamond"/>
                <w:sz w:val="20"/>
                <w:szCs w:val="20"/>
              </w:rPr>
              <w:t xml:space="preserve">rregullores </w:t>
            </w:r>
            <w:r w:rsidRPr="00DC66CD">
              <w:rPr>
                <w:rFonts w:ascii="Garamond" w:hAnsi="Garamond"/>
                <w:sz w:val="20"/>
                <w:szCs w:val="20"/>
              </w:rPr>
              <w:t xml:space="preserve">së aprovuar me </w:t>
            </w:r>
            <w:r w:rsidRPr="00DC66CD">
              <w:rPr>
                <w:rFonts w:ascii="Garamond" w:hAnsi="Garamond"/>
                <w:b/>
                <w:sz w:val="20"/>
                <w:szCs w:val="20"/>
              </w:rPr>
              <w:t>VKM</w:t>
            </w:r>
            <w:r w:rsidR="00AF41B5" w:rsidRPr="00DC66CD">
              <w:rPr>
                <w:rFonts w:ascii="Garamond" w:hAnsi="Garamond"/>
                <w:b/>
                <w:sz w:val="20"/>
                <w:szCs w:val="20"/>
              </w:rPr>
              <w:t>-në</w:t>
            </w:r>
            <w:r w:rsidR="00E33D88" w:rsidRPr="00DC66CD">
              <w:rPr>
                <w:rFonts w:ascii="Garamond" w:hAnsi="Garamond"/>
                <w:b/>
                <w:sz w:val="20"/>
                <w:szCs w:val="20"/>
              </w:rPr>
              <w:t xml:space="preserve"> nr. </w:t>
            </w:r>
            <w:r w:rsidRPr="00DC66CD">
              <w:rPr>
                <w:rFonts w:ascii="Garamond" w:hAnsi="Garamond"/>
                <w:b/>
                <w:sz w:val="20"/>
                <w:szCs w:val="20"/>
              </w:rPr>
              <w:t>342</w:t>
            </w:r>
            <w:r w:rsidR="00AF41B5" w:rsidRPr="00DC66CD">
              <w:rPr>
                <w:rFonts w:ascii="Garamond" w:hAnsi="Garamond"/>
                <w:b/>
                <w:sz w:val="20"/>
                <w:szCs w:val="20"/>
              </w:rPr>
              <w:t>, datë 22.</w:t>
            </w:r>
            <w:r w:rsidRPr="00DC66CD">
              <w:rPr>
                <w:rFonts w:ascii="Garamond" w:hAnsi="Garamond"/>
                <w:b/>
                <w:sz w:val="20"/>
                <w:szCs w:val="20"/>
              </w:rPr>
              <w:t>5.2019</w:t>
            </w:r>
            <w:r w:rsidR="00AF41B5"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Për miratimin e kategorive, kushteve dhe kërkesave të kualifikimi</w:t>
            </w:r>
            <w:r w:rsidR="00AF41B5" w:rsidRPr="00DC66CD">
              <w:rPr>
                <w:rFonts w:ascii="Garamond" w:hAnsi="Garamond"/>
                <w:i/>
                <w:sz w:val="20"/>
                <w:szCs w:val="20"/>
              </w:rPr>
              <w:t>t për menaxherët e energjisë te</w:t>
            </w:r>
            <w:r w:rsidRPr="00DC66CD">
              <w:rPr>
                <w:rFonts w:ascii="Garamond" w:hAnsi="Garamond"/>
                <w:i/>
                <w:sz w:val="20"/>
                <w:szCs w:val="20"/>
              </w:rPr>
              <w:t xml:space="preserve"> konsumatorët e mëdhenj të energjisë</w:t>
            </w:r>
            <w:r w:rsidR="002A29AD" w:rsidRPr="00DC66CD">
              <w:rPr>
                <w:rFonts w:ascii="Garamond" w:hAnsi="Garamond"/>
                <w:i/>
                <w:sz w:val="20"/>
                <w:szCs w:val="20"/>
              </w:rPr>
              <w:t>”</w:t>
            </w:r>
            <w:r w:rsidRPr="00DC66CD">
              <w:rPr>
                <w:rFonts w:ascii="Garamond" w:hAnsi="Garamond"/>
                <w:sz w:val="20"/>
                <w:szCs w:val="20"/>
              </w:rPr>
              <w:t xml:space="preserve">, parashikuar në </w:t>
            </w:r>
            <w:r w:rsidRPr="00DC66CD">
              <w:rPr>
                <w:rFonts w:ascii="Garamond" w:hAnsi="Garamond"/>
                <w:b/>
                <w:sz w:val="20"/>
                <w:szCs w:val="20"/>
              </w:rPr>
              <w:t>nenin 10</w:t>
            </w:r>
            <w:r w:rsidR="00AF41B5" w:rsidRPr="00DC66CD">
              <w:rPr>
                <w:rFonts w:ascii="Garamond" w:hAnsi="Garamond"/>
                <w:b/>
                <w:sz w:val="20"/>
                <w:szCs w:val="20"/>
              </w:rPr>
              <w:t>,</w:t>
            </w:r>
            <w:r w:rsidRPr="00DC66CD">
              <w:rPr>
                <w:rFonts w:ascii="Garamond" w:hAnsi="Garamond"/>
                <w:b/>
                <w:sz w:val="20"/>
                <w:szCs w:val="20"/>
              </w:rPr>
              <w:t xml:space="preserve"> të </w:t>
            </w:r>
            <w:r w:rsidR="00AF41B5" w:rsidRPr="00DC66CD">
              <w:rPr>
                <w:rFonts w:ascii="Garamond" w:hAnsi="Garamond"/>
                <w:b/>
                <w:sz w:val="20"/>
                <w:szCs w:val="20"/>
              </w:rPr>
              <w:t xml:space="preserve">ligjit </w:t>
            </w:r>
            <w:r w:rsidR="00E33D88" w:rsidRPr="00DC66CD">
              <w:rPr>
                <w:rFonts w:ascii="Garamond" w:hAnsi="Garamond"/>
                <w:b/>
                <w:sz w:val="20"/>
                <w:szCs w:val="20"/>
              </w:rPr>
              <w:t xml:space="preserve">nr. </w:t>
            </w:r>
            <w:r w:rsidR="00AF41B5" w:rsidRPr="00DC66CD">
              <w:rPr>
                <w:rFonts w:ascii="Garamond" w:hAnsi="Garamond"/>
                <w:b/>
                <w:sz w:val="20"/>
                <w:szCs w:val="20"/>
              </w:rPr>
              <w:t>124/</w:t>
            </w:r>
            <w:r w:rsidRPr="00DC66CD">
              <w:rPr>
                <w:rFonts w:ascii="Garamond" w:hAnsi="Garamond"/>
                <w:b/>
                <w:sz w:val="20"/>
                <w:szCs w:val="20"/>
              </w:rPr>
              <w:t>2015</w:t>
            </w:r>
            <w:r w:rsidR="00AF41B5" w:rsidRPr="00DC66CD">
              <w:rPr>
                <w:rFonts w:ascii="Garamond" w:hAnsi="Garamond"/>
                <w:b/>
                <w:sz w:val="20"/>
                <w:szCs w:val="20"/>
              </w:rPr>
              <w:t>,</w:t>
            </w:r>
            <w:r w:rsidRPr="00DC66CD">
              <w:rPr>
                <w:rFonts w:ascii="Garamond" w:hAnsi="Garamond"/>
                <w:b/>
                <w:sz w:val="20"/>
                <w:szCs w:val="20"/>
              </w:rPr>
              <w:t xml:space="preserve"> </w:t>
            </w:r>
            <w:r w:rsidR="002A29AD" w:rsidRPr="00DC66CD">
              <w:rPr>
                <w:rFonts w:ascii="Garamond" w:hAnsi="Garamond"/>
                <w:sz w:val="20"/>
                <w:szCs w:val="20"/>
              </w:rPr>
              <w:t>“</w:t>
            </w:r>
            <w:r w:rsidRPr="00DC66CD">
              <w:rPr>
                <w:rFonts w:ascii="Garamond" w:hAnsi="Garamond"/>
                <w:sz w:val="20"/>
                <w:szCs w:val="20"/>
              </w:rPr>
              <w:t>Për efikasitetin e energjisë</w:t>
            </w:r>
            <w:r w:rsidR="002A29AD" w:rsidRPr="00DC66CD">
              <w:rPr>
                <w:rFonts w:ascii="Garamond" w:hAnsi="Garamond"/>
                <w:sz w:val="20"/>
                <w:szCs w:val="20"/>
              </w:rPr>
              <w:t>”</w:t>
            </w:r>
            <w:r w:rsidRPr="00DC66CD">
              <w:rPr>
                <w:rFonts w:ascii="Garamond" w:hAnsi="Garamond"/>
                <w:sz w:val="20"/>
                <w:szCs w:val="20"/>
              </w:rPr>
              <w:t>, që përcakton procedurën, kategoritë, kushtet dhe kërkesat e kualifikimit dhe përvojës profesionale të menaxherëve të energjisë.</w:t>
            </w:r>
          </w:p>
        </w:tc>
        <w:tc>
          <w:tcPr>
            <w:tcW w:w="1723" w:type="dxa"/>
            <w:shd w:val="clear" w:color="auto" w:fill="auto"/>
          </w:tcPr>
          <w:p w14:paraId="56815B3B" w14:textId="77777777" w:rsidR="006F605B" w:rsidRPr="00DC66CD" w:rsidRDefault="006F605B" w:rsidP="00131DA1">
            <w:pPr>
              <w:widowControl w:val="0"/>
              <w:spacing w:after="0" w:line="240" w:lineRule="auto"/>
              <w:rPr>
                <w:rFonts w:ascii="Garamond" w:hAnsi="Garamond"/>
                <w:sz w:val="20"/>
                <w:szCs w:val="20"/>
              </w:rPr>
            </w:pPr>
            <w:r w:rsidRPr="00DC66CD">
              <w:rPr>
                <w:rFonts w:ascii="Garamond" w:hAnsi="Garamond"/>
                <w:sz w:val="20"/>
                <w:szCs w:val="20"/>
              </w:rPr>
              <w:t>1</w:t>
            </w:r>
          </w:p>
        </w:tc>
      </w:tr>
      <w:tr w:rsidR="006F605B" w:rsidRPr="00DC66CD" w14:paraId="06816AAC" w14:textId="77777777" w:rsidTr="00E372C0">
        <w:tc>
          <w:tcPr>
            <w:tcW w:w="1723" w:type="dxa"/>
            <w:vMerge/>
            <w:shd w:val="clear" w:color="auto" w:fill="auto"/>
          </w:tcPr>
          <w:p w14:paraId="7B8AE8C3"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1B10767B" w14:textId="53B53E78" w:rsidR="006F605B" w:rsidRPr="00DC66CD" w:rsidRDefault="006F605B" w:rsidP="00131DA1">
            <w:pPr>
              <w:widowControl w:val="0"/>
              <w:spacing w:after="0" w:line="240" w:lineRule="auto"/>
              <w:jc w:val="both"/>
              <w:rPr>
                <w:rFonts w:ascii="Garamond" w:hAnsi="Garamond"/>
                <w:sz w:val="20"/>
                <w:szCs w:val="20"/>
              </w:rPr>
            </w:pPr>
            <w:r w:rsidRPr="00DC66CD">
              <w:rPr>
                <w:rFonts w:ascii="Garamond" w:hAnsi="Garamond"/>
                <w:sz w:val="20"/>
                <w:szCs w:val="20"/>
              </w:rPr>
              <w:t xml:space="preserve">4. Themelimi i </w:t>
            </w:r>
            <w:r w:rsidRPr="00DC66CD">
              <w:rPr>
                <w:rFonts w:ascii="Garamond" w:hAnsi="Garamond"/>
                <w:b/>
                <w:sz w:val="20"/>
                <w:szCs w:val="20"/>
              </w:rPr>
              <w:t xml:space="preserve">Fondit të </w:t>
            </w:r>
            <w:r w:rsidR="00AF41B5" w:rsidRPr="00DC66CD">
              <w:rPr>
                <w:rFonts w:ascii="Garamond" w:hAnsi="Garamond"/>
                <w:b/>
                <w:sz w:val="20"/>
                <w:szCs w:val="20"/>
              </w:rPr>
              <w:t>Eficiencës</w:t>
            </w:r>
            <w:r w:rsidRPr="00DC66CD">
              <w:rPr>
                <w:rFonts w:ascii="Garamond" w:hAnsi="Garamond"/>
                <w:b/>
                <w:sz w:val="20"/>
                <w:szCs w:val="20"/>
              </w:rPr>
              <w:t xml:space="preserve"> së Energjisë</w:t>
            </w:r>
            <w:r w:rsidRPr="00DC66CD">
              <w:rPr>
                <w:rFonts w:ascii="Garamond" w:hAnsi="Garamond"/>
                <w:sz w:val="20"/>
                <w:szCs w:val="20"/>
              </w:rPr>
              <w:t xml:space="preserve"> është në përgatitje e sipër. Grupi i punës mbështetet nga një konsulent i financuar nga UNDP</w:t>
            </w:r>
            <w:r w:rsidR="00AF41B5" w:rsidRPr="00DC66CD">
              <w:rPr>
                <w:rFonts w:ascii="Garamond" w:hAnsi="Garamond"/>
                <w:sz w:val="20"/>
                <w:szCs w:val="20"/>
              </w:rPr>
              <w:t>-ja. Draft</w:t>
            </w:r>
            <w:r w:rsidRPr="00DC66CD">
              <w:rPr>
                <w:rFonts w:ascii="Garamond" w:hAnsi="Garamond"/>
                <w:sz w:val="20"/>
                <w:szCs w:val="20"/>
              </w:rPr>
              <w:t>dokumentet janë në zhvillim e sipër dhe në proces konsultimi.</w:t>
            </w:r>
          </w:p>
        </w:tc>
        <w:tc>
          <w:tcPr>
            <w:tcW w:w="1723" w:type="dxa"/>
            <w:shd w:val="clear" w:color="auto" w:fill="auto"/>
          </w:tcPr>
          <w:p w14:paraId="619E070D" w14:textId="77777777" w:rsidR="006F605B" w:rsidRPr="00DC66CD" w:rsidRDefault="006F605B" w:rsidP="00131DA1">
            <w:pPr>
              <w:widowControl w:val="0"/>
              <w:spacing w:after="0" w:line="240" w:lineRule="auto"/>
              <w:rPr>
                <w:rFonts w:ascii="Garamond" w:hAnsi="Garamond"/>
                <w:sz w:val="20"/>
                <w:szCs w:val="20"/>
              </w:rPr>
            </w:pPr>
          </w:p>
        </w:tc>
      </w:tr>
      <w:tr w:rsidR="006F605B" w:rsidRPr="00DC66CD" w14:paraId="11274A55" w14:textId="77777777" w:rsidTr="00E372C0">
        <w:tc>
          <w:tcPr>
            <w:tcW w:w="1723" w:type="dxa"/>
            <w:vMerge/>
            <w:shd w:val="clear" w:color="auto" w:fill="auto"/>
          </w:tcPr>
          <w:p w14:paraId="2DE60002"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6B9B170E" w14:textId="6429C8AB" w:rsidR="006F605B" w:rsidRPr="00DC66CD" w:rsidRDefault="006F605B" w:rsidP="00131DA1">
            <w:pPr>
              <w:widowControl w:val="0"/>
              <w:shd w:val="clear" w:color="auto" w:fill="FFFFFF"/>
              <w:spacing w:after="0" w:line="240" w:lineRule="auto"/>
              <w:jc w:val="both"/>
              <w:rPr>
                <w:rFonts w:ascii="Garamond" w:hAnsi="Garamond"/>
                <w:sz w:val="20"/>
                <w:szCs w:val="20"/>
              </w:rPr>
            </w:pPr>
            <w:r w:rsidRPr="00DC66CD">
              <w:rPr>
                <w:rFonts w:ascii="Garamond" w:hAnsi="Garamond"/>
                <w:sz w:val="20"/>
                <w:szCs w:val="20"/>
              </w:rPr>
              <w:t xml:space="preserve">Bazuar në </w:t>
            </w:r>
            <w:r w:rsidR="00AF41B5" w:rsidRPr="00DC66CD">
              <w:rPr>
                <w:rFonts w:ascii="Garamond" w:hAnsi="Garamond"/>
                <w:b/>
                <w:sz w:val="20"/>
                <w:szCs w:val="20"/>
              </w:rPr>
              <w:t xml:space="preserve">ligjin </w:t>
            </w:r>
            <w:r w:rsidR="00E33D88" w:rsidRPr="00DC66CD">
              <w:rPr>
                <w:rFonts w:ascii="Garamond" w:hAnsi="Garamond"/>
                <w:b/>
                <w:sz w:val="20"/>
                <w:szCs w:val="20"/>
              </w:rPr>
              <w:t xml:space="preserve">nr. </w:t>
            </w:r>
            <w:r w:rsidRPr="00DC66CD">
              <w:rPr>
                <w:rFonts w:ascii="Garamond" w:hAnsi="Garamond"/>
                <w:b/>
                <w:sz w:val="20"/>
                <w:szCs w:val="20"/>
              </w:rPr>
              <w:t>116/2016</w:t>
            </w:r>
            <w:r w:rsidR="00AF41B5" w:rsidRPr="00DC66CD">
              <w:rPr>
                <w:rFonts w:ascii="Garamond" w:hAnsi="Garamond"/>
                <w:b/>
                <w:sz w:val="20"/>
                <w:szCs w:val="20"/>
              </w:rPr>
              <w:t>,</w:t>
            </w:r>
            <w:r w:rsidRPr="00DC66CD">
              <w:rPr>
                <w:rFonts w:ascii="Garamond" w:hAnsi="Garamond"/>
                <w:sz w:val="20"/>
                <w:szCs w:val="20"/>
              </w:rPr>
              <w:t xml:space="preserve"> </w:t>
            </w:r>
            <w:r w:rsidR="002A29AD" w:rsidRPr="00DC66CD">
              <w:rPr>
                <w:rFonts w:ascii="Garamond" w:hAnsi="Garamond"/>
                <w:i/>
                <w:sz w:val="20"/>
                <w:szCs w:val="20"/>
              </w:rPr>
              <w:t>“</w:t>
            </w:r>
            <w:r w:rsidRPr="00DC66CD">
              <w:rPr>
                <w:rFonts w:ascii="Garamond" w:hAnsi="Garamond"/>
                <w:i/>
                <w:sz w:val="20"/>
                <w:szCs w:val="20"/>
              </w:rPr>
              <w:t xml:space="preserve">Për </w:t>
            </w:r>
            <w:r w:rsidR="00AF41B5" w:rsidRPr="00DC66CD">
              <w:rPr>
                <w:rFonts w:ascii="Garamond" w:hAnsi="Garamond"/>
                <w:i/>
                <w:sz w:val="20"/>
                <w:szCs w:val="20"/>
              </w:rPr>
              <w:t>performancën e energjisë në ndërtesa</w:t>
            </w:r>
            <w:r w:rsidR="002A29AD" w:rsidRPr="00DC66CD">
              <w:rPr>
                <w:rFonts w:ascii="Garamond" w:hAnsi="Garamond"/>
                <w:i/>
                <w:sz w:val="20"/>
                <w:szCs w:val="20"/>
              </w:rPr>
              <w:t>”</w:t>
            </w:r>
            <w:r w:rsidRPr="00DC66CD">
              <w:rPr>
                <w:rFonts w:ascii="Garamond" w:hAnsi="Garamond"/>
                <w:sz w:val="20"/>
                <w:szCs w:val="20"/>
              </w:rPr>
              <w:t xml:space="preserve"> që pjesërisht është në përputhje me </w:t>
            </w:r>
            <w:r w:rsidR="00AF41B5" w:rsidRPr="00DC66CD">
              <w:rPr>
                <w:rFonts w:ascii="Garamond" w:hAnsi="Garamond"/>
                <w:sz w:val="20"/>
                <w:szCs w:val="20"/>
              </w:rPr>
              <w:t xml:space="preserve">direktivën </w:t>
            </w:r>
            <w:r w:rsidRPr="00DC66CD">
              <w:rPr>
                <w:rFonts w:ascii="Garamond" w:hAnsi="Garamond"/>
                <w:sz w:val="20"/>
                <w:szCs w:val="20"/>
              </w:rPr>
              <w:t>2010/31/BE për performancën energjetike të ndërtesave. Konsulencë po sigurohet nga BERZH</w:t>
            </w:r>
            <w:r w:rsidR="00AF41B5" w:rsidRPr="00DC66CD">
              <w:rPr>
                <w:rFonts w:ascii="Garamond" w:hAnsi="Garamond"/>
                <w:sz w:val="20"/>
                <w:szCs w:val="20"/>
              </w:rPr>
              <w:t>-i</w:t>
            </w:r>
            <w:r w:rsidRPr="00DC66CD">
              <w:rPr>
                <w:rFonts w:ascii="Garamond" w:hAnsi="Garamond"/>
                <w:sz w:val="20"/>
                <w:szCs w:val="20"/>
              </w:rPr>
              <w:t xml:space="preserve"> në përgatitjen e masave nënligjore për VKM-të që janë planifikuar të përgatiten</w:t>
            </w:r>
            <w:r w:rsidR="004613EF" w:rsidRPr="00DC66CD">
              <w:rPr>
                <w:rFonts w:ascii="Garamond" w:hAnsi="Garamond"/>
                <w:sz w:val="20"/>
                <w:szCs w:val="20"/>
              </w:rPr>
              <w:t>,</w:t>
            </w:r>
            <w:r w:rsidRPr="00DC66CD">
              <w:rPr>
                <w:rFonts w:ascii="Garamond" w:hAnsi="Garamond"/>
                <w:sz w:val="20"/>
                <w:szCs w:val="20"/>
              </w:rPr>
              <w:t xml:space="preserve"> si: </w:t>
            </w:r>
          </w:p>
          <w:p w14:paraId="37D0551E" w14:textId="59626668" w:rsidR="006F605B" w:rsidRPr="00DC66CD" w:rsidRDefault="006F605B" w:rsidP="004613EF">
            <w:pPr>
              <w:widowControl w:val="0"/>
              <w:shd w:val="clear" w:color="auto" w:fill="FFFFFF"/>
              <w:spacing w:after="0" w:line="240" w:lineRule="auto"/>
              <w:jc w:val="both"/>
              <w:rPr>
                <w:rFonts w:ascii="Garamond" w:hAnsi="Garamond"/>
                <w:sz w:val="20"/>
                <w:szCs w:val="20"/>
              </w:rPr>
            </w:pPr>
            <w:r w:rsidRPr="00DC66CD">
              <w:rPr>
                <w:rFonts w:ascii="Garamond" w:eastAsiaTheme="minorHAnsi" w:hAnsi="Garamond"/>
                <w:sz w:val="20"/>
                <w:szCs w:val="20"/>
              </w:rPr>
              <w:t>5. Draft</w:t>
            </w:r>
            <w:r w:rsidR="004613EF" w:rsidRPr="00DC66CD">
              <w:rPr>
                <w:rFonts w:ascii="Garamond" w:eastAsiaTheme="minorHAnsi" w:hAnsi="Garamond"/>
                <w:sz w:val="20"/>
                <w:szCs w:val="20"/>
              </w:rPr>
              <w:t xml:space="preserve">vendimi i </w:t>
            </w:r>
            <w:r w:rsidRPr="00DC66CD">
              <w:rPr>
                <w:rFonts w:ascii="Garamond" w:eastAsiaTheme="minorHAnsi" w:hAnsi="Garamond"/>
                <w:sz w:val="20"/>
                <w:szCs w:val="20"/>
              </w:rPr>
              <w:t>KM-</w:t>
            </w:r>
            <w:r w:rsidR="004613EF" w:rsidRPr="00DC66CD">
              <w:rPr>
                <w:rFonts w:ascii="Garamond" w:eastAsiaTheme="minorHAnsi" w:hAnsi="Garamond"/>
                <w:sz w:val="20"/>
                <w:szCs w:val="20"/>
              </w:rPr>
              <w:t>së,</w:t>
            </w:r>
            <w:r w:rsidRPr="00DC66CD">
              <w:rPr>
                <w:rFonts w:ascii="Garamond" w:eastAsiaTheme="minorHAnsi" w:hAnsi="Garamond"/>
                <w:sz w:val="20"/>
                <w:szCs w:val="20"/>
              </w:rPr>
              <w:t xml:space="preserve"> </w:t>
            </w:r>
            <w:r w:rsidR="002A29AD" w:rsidRPr="00DC66CD">
              <w:rPr>
                <w:rFonts w:ascii="Garamond" w:eastAsiaTheme="minorHAnsi" w:hAnsi="Garamond"/>
                <w:i/>
                <w:sz w:val="20"/>
                <w:szCs w:val="20"/>
              </w:rPr>
              <w:t>“</w:t>
            </w:r>
            <w:r w:rsidRPr="00DC66CD">
              <w:rPr>
                <w:rFonts w:ascii="Garamond" w:eastAsiaTheme="minorHAnsi" w:hAnsi="Garamond"/>
                <w:i/>
                <w:sz w:val="20"/>
                <w:szCs w:val="20"/>
              </w:rPr>
              <w:t>Për kërkesat minimale për performancën energjetike të ndërtesave dhe elementeve të ndërtimit</w:t>
            </w:r>
            <w:r w:rsidR="002A29AD" w:rsidRPr="00DC66CD">
              <w:rPr>
                <w:rFonts w:ascii="Garamond" w:eastAsiaTheme="minorHAnsi" w:hAnsi="Garamond"/>
                <w:i/>
                <w:sz w:val="20"/>
                <w:szCs w:val="20"/>
              </w:rPr>
              <w:t>”</w:t>
            </w:r>
          </w:p>
        </w:tc>
        <w:tc>
          <w:tcPr>
            <w:tcW w:w="1723" w:type="dxa"/>
            <w:shd w:val="clear" w:color="auto" w:fill="auto"/>
          </w:tcPr>
          <w:p w14:paraId="4E5E426E" w14:textId="77777777" w:rsidR="006F605B" w:rsidRPr="00DC66CD" w:rsidRDefault="006F605B" w:rsidP="00131DA1">
            <w:pPr>
              <w:widowControl w:val="0"/>
              <w:spacing w:after="0" w:line="240" w:lineRule="auto"/>
              <w:rPr>
                <w:rFonts w:ascii="Garamond" w:hAnsi="Garamond"/>
                <w:sz w:val="20"/>
                <w:szCs w:val="20"/>
              </w:rPr>
            </w:pPr>
          </w:p>
        </w:tc>
      </w:tr>
      <w:tr w:rsidR="006F605B" w:rsidRPr="00DC66CD" w14:paraId="26CA8634" w14:textId="77777777" w:rsidTr="00E372C0">
        <w:tc>
          <w:tcPr>
            <w:tcW w:w="1723" w:type="dxa"/>
            <w:vMerge/>
            <w:shd w:val="clear" w:color="auto" w:fill="auto"/>
          </w:tcPr>
          <w:p w14:paraId="2B5B6696"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6C7B5BCF" w14:textId="4CBED229" w:rsidR="006F605B" w:rsidRPr="00DC66CD" w:rsidRDefault="006F605B" w:rsidP="004613EF">
            <w:pPr>
              <w:spacing w:after="0" w:line="240" w:lineRule="auto"/>
              <w:jc w:val="both"/>
              <w:rPr>
                <w:rFonts w:ascii="Garamond" w:hAnsi="Garamond"/>
                <w:sz w:val="20"/>
                <w:szCs w:val="20"/>
              </w:rPr>
            </w:pPr>
            <w:r w:rsidRPr="00DC66CD">
              <w:rPr>
                <w:rFonts w:ascii="Garamond" w:hAnsi="Garamond"/>
                <w:sz w:val="20"/>
                <w:szCs w:val="20"/>
              </w:rPr>
              <w:t xml:space="preserve">6. </w:t>
            </w:r>
            <w:r w:rsidR="004613EF" w:rsidRPr="00DC66CD">
              <w:rPr>
                <w:rFonts w:ascii="Garamond" w:eastAsiaTheme="minorHAnsi" w:hAnsi="Garamond"/>
                <w:sz w:val="20"/>
                <w:szCs w:val="20"/>
              </w:rPr>
              <w:t>Draftvendimi i KM-së,</w:t>
            </w:r>
            <w:r w:rsidR="004613EF" w:rsidRPr="00DC66CD">
              <w:rPr>
                <w:rFonts w:ascii="Garamond" w:hAnsi="Garamond"/>
                <w:i/>
                <w:sz w:val="20"/>
                <w:szCs w:val="20"/>
              </w:rPr>
              <w:t xml:space="preserve"> </w:t>
            </w:r>
            <w:r w:rsidR="002A29AD" w:rsidRPr="00DC66CD">
              <w:rPr>
                <w:rFonts w:ascii="Garamond" w:hAnsi="Garamond"/>
                <w:i/>
                <w:sz w:val="20"/>
                <w:szCs w:val="20"/>
              </w:rPr>
              <w:t>“</w:t>
            </w:r>
            <w:r w:rsidRPr="00DC66CD">
              <w:rPr>
                <w:rFonts w:ascii="Garamond" w:hAnsi="Garamond"/>
                <w:i/>
                <w:sz w:val="20"/>
                <w:szCs w:val="20"/>
              </w:rPr>
              <w:t xml:space="preserve">Për </w:t>
            </w:r>
            <w:r w:rsidR="004613EF" w:rsidRPr="00DC66CD">
              <w:rPr>
                <w:rFonts w:ascii="Garamond" w:hAnsi="Garamond"/>
                <w:i/>
                <w:sz w:val="20"/>
                <w:szCs w:val="20"/>
              </w:rPr>
              <w:t xml:space="preserve">metodologjinë </w:t>
            </w:r>
            <w:r w:rsidRPr="00DC66CD">
              <w:rPr>
                <w:rFonts w:ascii="Garamond" w:hAnsi="Garamond"/>
                <w:i/>
                <w:sz w:val="20"/>
                <w:szCs w:val="20"/>
              </w:rPr>
              <w:t>e llogaritjes se performancës se energjisë në ndërtesë</w:t>
            </w:r>
            <w:r w:rsidR="002A29AD" w:rsidRPr="00DC66CD">
              <w:rPr>
                <w:rFonts w:ascii="Garamond" w:hAnsi="Garamond"/>
                <w:i/>
                <w:sz w:val="20"/>
                <w:szCs w:val="20"/>
              </w:rPr>
              <w:t>”</w:t>
            </w:r>
            <w:r w:rsidRPr="00DC66CD">
              <w:rPr>
                <w:rFonts w:ascii="Garamond" w:hAnsi="Garamond"/>
                <w:sz w:val="20"/>
                <w:szCs w:val="20"/>
              </w:rPr>
              <w:t xml:space="preserve">, bazuar në </w:t>
            </w:r>
            <w:r w:rsidR="004613EF" w:rsidRPr="00DC66CD">
              <w:rPr>
                <w:rFonts w:ascii="Garamond" w:hAnsi="Garamond"/>
                <w:sz w:val="20"/>
                <w:szCs w:val="20"/>
              </w:rPr>
              <w:t xml:space="preserve">ligjin </w:t>
            </w:r>
            <w:r w:rsidR="00E33D88" w:rsidRPr="00DC66CD">
              <w:rPr>
                <w:rFonts w:ascii="Garamond" w:hAnsi="Garamond"/>
                <w:sz w:val="20"/>
                <w:szCs w:val="20"/>
              </w:rPr>
              <w:t xml:space="preserve">nr. </w:t>
            </w:r>
            <w:r w:rsidRPr="00DC66CD">
              <w:rPr>
                <w:rFonts w:ascii="Garamond" w:hAnsi="Garamond"/>
                <w:sz w:val="20"/>
                <w:szCs w:val="20"/>
              </w:rPr>
              <w:t xml:space="preserve">116/2016, </w:t>
            </w:r>
            <w:r w:rsidR="004613EF" w:rsidRPr="00DC66CD">
              <w:rPr>
                <w:rFonts w:ascii="Garamond" w:hAnsi="Garamond"/>
                <w:sz w:val="20"/>
                <w:szCs w:val="20"/>
              </w:rPr>
              <w:t>i</w:t>
            </w:r>
            <w:r w:rsidRPr="00DC66CD">
              <w:rPr>
                <w:rFonts w:ascii="Garamond" w:hAnsi="Garamond"/>
                <w:sz w:val="20"/>
                <w:szCs w:val="20"/>
              </w:rPr>
              <w:t xml:space="preserve"> cil</w:t>
            </w:r>
            <w:r w:rsidR="004613EF" w:rsidRPr="00DC66CD">
              <w:rPr>
                <w:rFonts w:ascii="Garamond" w:hAnsi="Garamond"/>
                <w:sz w:val="20"/>
                <w:szCs w:val="20"/>
              </w:rPr>
              <w:t>i</w:t>
            </w:r>
            <w:r w:rsidRPr="00DC66CD">
              <w:rPr>
                <w:rFonts w:ascii="Garamond" w:hAnsi="Garamond"/>
                <w:sz w:val="20"/>
                <w:szCs w:val="20"/>
              </w:rPr>
              <w:t xml:space="preserve"> është duke u përgatitur dhe parashikuar të miratohet brenda vitit 2020.</w:t>
            </w:r>
          </w:p>
        </w:tc>
        <w:tc>
          <w:tcPr>
            <w:tcW w:w="1723" w:type="dxa"/>
            <w:shd w:val="clear" w:color="auto" w:fill="auto"/>
          </w:tcPr>
          <w:p w14:paraId="537E13CD" w14:textId="77777777" w:rsidR="006F605B" w:rsidRPr="00DC66CD" w:rsidRDefault="006F605B" w:rsidP="00131DA1">
            <w:pPr>
              <w:widowControl w:val="0"/>
              <w:spacing w:after="0" w:line="240" w:lineRule="auto"/>
              <w:rPr>
                <w:rFonts w:ascii="Garamond" w:hAnsi="Garamond"/>
                <w:sz w:val="20"/>
                <w:szCs w:val="20"/>
              </w:rPr>
            </w:pPr>
          </w:p>
        </w:tc>
      </w:tr>
      <w:tr w:rsidR="006F605B" w:rsidRPr="00DC66CD" w14:paraId="08813C7B" w14:textId="77777777" w:rsidTr="00E372C0">
        <w:tc>
          <w:tcPr>
            <w:tcW w:w="1723" w:type="dxa"/>
            <w:vMerge/>
            <w:shd w:val="clear" w:color="auto" w:fill="auto"/>
          </w:tcPr>
          <w:p w14:paraId="428B2D7E" w14:textId="77777777" w:rsidR="006F605B" w:rsidRPr="00DC66CD" w:rsidRDefault="006F605B" w:rsidP="00131DA1">
            <w:pPr>
              <w:widowControl w:val="0"/>
              <w:spacing w:after="0" w:line="240" w:lineRule="auto"/>
              <w:rPr>
                <w:rFonts w:ascii="Garamond" w:hAnsi="Garamond"/>
                <w:sz w:val="20"/>
                <w:szCs w:val="20"/>
              </w:rPr>
            </w:pPr>
          </w:p>
        </w:tc>
        <w:tc>
          <w:tcPr>
            <w:tcW w:w="6176" w:type="dxa"/>
            <w:shd w:val="clear" w:color="auto" w:fill="auto"/>
          </w:tcPr>
          <w:p w14:paraId="705D01E1" w14:textId="640D4FB1" w:rsidR="006F605B" w:rsidRPr="00DC66CD" w:rsidRDefault="006F605B" w:rsidP="004613EF">
            <w:pPr>
              <w:shd w:val="clear" w:color="auto" w:fill="FFFFFF"/>
              <w:spacing w:after="0" w:line="240" w:lineRule="auto"/>
              <w:rPr>
                <w:rFonts w:ascii="Garamond" w:hAnsi="Garamond"/>
                <w:sz w:val="20"/>
                <w:szCs w:val="20"/>
              </w:rPr>
            </w:pPr>
            <w:r w:rsidRPr="00DC66CD">
              <w:rPr>
                <w:rFonts w:ascii="Garamond" w:hAnsi="Garamond"/>
                <w:sz w:val="20"/>
                <w:szCs w:val="20"/>
              </w:rPr>
              <w:t xml:space="preserve">7. </w:t>
            </w:r>
            <w:r w:rsidR="004613EF" w:rsidRPr="00DC66CD">
              <w:rPr>
                <w:rFonts w:ascii="Garamond" w:eastAsiaTheme="minorHAnsi" w:hAnsi="Garamond"/>
                <w:sz w:val="20"/>
                <w:szCs w:val="20"/>
              </w:rPr>
              <w:t>Draftvendimi i KM-së,</w:t>
            </w:r>
            <w:r w:rsidR="004613EF" w:rsidRPr="00DC66CD">
              <w:rPr>
                <w:rFonts w:ascii="Garamond" w:hAnsi="Garamond"/>
                <w:i/>
                <w:sz w:val="20"/>
                <w:szCs w:val="20"/>
              </w:rPr>
              <w:t xml:space="preserve"> </w:t>
            </w:r>
            <w:r w:rsidR="002A29AD" w:rsidRPr="00DC66CD">
              <w:rPr>
                <w:rFonts w:ascii="Garamond" w:hAnsi="Garamond"/>
                <w:i/>
                <w:sz w:val="20"/>
                <w:szCs w:val="20"/>
              </w:rPr>
              <w:t>“</w:t>
            </w:r>
            <w:r w:rsidRPr="00DC66CD">
              <w:rPr>
                <w:rFonts w:ascii="Garamond" w:hAnsi="Garamond"/>
                <w:i/>
                <w:sz w:val="20"/>
                <w:szCs w:val="20"/>
              </w:rPr>
              <w:t xml:space="preserve">Rregullorja për </w:t>
            </w:r>
            <w:r w:rsidR="004613EF" w:rsidRPr="00DC66CD">
              <w:rPr>
                <w:rFonts w:ascii="Garamond" w:hAnsi="Garamond"/>
                <w:i/>
                <w:sz w:val="20"/>
                <w:szCs w:val="20"/>
              </w:rPr>
              <w:t>certifikatën e performancës së energ</w:t>
            </w:r>
            <w:r w:rsidRPr="00DC66CD">
              <w:rPr>
                <w:rFonts w:ascii="Garamond" w:hAnsi="Garamond"/>
                <w:i/>
                <w:sz w:val="20"/>
                <w:szCs w:val="20"/>
              </w:rPr>
              <w:t xml:space="preserve">jisë </w:t>
            </w:r>
            <w:r w:rsidR="002A29AD" w:rsidRPr="00DC66CD">
              <w:rPr>
                <w:rFonts w:ascii="Garamond" w:hAnsi="Garamond"/>
                <w:i/>
                <w:sz w:val="20"/>
                <w:szCs w:val="20"/>
              </w:rPr>
              <w:t>“</w:t>
            </w:r>
            <w:r w:rsidRPr="00DC66CD">
              <w:rPr>
                <w:rFonts w:ascii="Garamond" w:hAnsi="Garamond"/>
                <w:sz w:val="20"/>
                <w:szCs w:val="20"/>
              </w:rPr>
              <w:t xml:space="preserve"> bazuar në </w:t>
            </w:r>
            <w:r w:rsidR="004613EF" w:rsidRPr="00DC66CD">
              <w:rPr>
                <w:rFonts w:ascii="Garamond" w:hAnsi="Garamond"/>
                <w:b/>
                <w:sz w:val="20"/>
                <w:szCs w:val="20"/>
              </w:rPr>
              <w:t>ligjin nr.</w:t>
            </w:r>
            <w:r w:rsidRPr="00DC66CD">
              <w:rPr>
                <w:rFonts w:ascii="Garamond" w:hAnsi="Garamond"/>
                <w:b/>
                <w:sz w:val="20"/>
                <w:szCs w:val="20"/>
              </w:rPr>
              <w:t xml:space="preserve"> 116/2016,</w:t>
            </w:r>
            <w:r w:rsidRPr="00DC66CD">
              <w:rPr>
                <w:rFonts w:ascii="Garamond" w:hAnsi="Garamond"/>
                <w:sz w:val="20"/>
                <w:szCs w:val="20"/>
              </w:rPr>
              <w:t xml:space="preserve"> </w:t>
            </w:r>
            <w:r w:rsidR="004613EF" w:rsidRPr="00DC66CD">
              <w:rPr>
                <w:rFonts w:ascii="Garamond" w:hAnsi="Garamond"/>
                <w:sz w:val="20"/>
                <w:szCs w:val="20"/>
              </w:rPr>
              <w:t>i</w:t>
            </w:r>
            <w:r w:rsidRPr="00DC66CD">
              <w:rPr>
                <w:rFonts w:ascii="Garamond" w:hAnsi="Garamond"/>
                <w:sz w:val="20"/>
                <w:szCs w:val="20"/>
              </w:rPr>
              <w:t xml:space="preserve"> cil</w:t>
            </w:r>
            <w:r w:rsidR="004613EF" w:rsidRPr="00DC66CD">
              <w:rPr>
                <w:rFonts w:ascii="Garamond" w:hAnsi="Garamond"/>
                <w:sz w:val="20"/>
                <w:szCs w:val="20"/>
              </w:rPr>
              <w:t>i</w:t>
            </w:r>
            <w:r w:rsidRPr="00DC66CD">
              <w:rPr>
                <w:rFonts w:ascii="Garamond" w:hAnsi="Garamond"/>
                <w:sz w:val="20"/>
                <w:szCs w:val="20"/>
              </w:rPr>
              <w:t xml:space="preserve"> është duke u përgatitur dhe </w:t>
            </w:r>
            <w:r w:rsidR="004613EF" w:rsidRPr="00DC66CD">
              <w:rPr>
                <w:rFonts w:ascii="Garamond" w:hAnsi="Garamond"/>
                <w:sz w:val="20"/>
                <w:szCs w:val="20"/>
              </w:rPr>
              <w:t>ai</w:t>
            </w:r>
            <w:r w:rsidRPr="00DC66CD">
              <w:rPr>
                <w:rFonts w:ascii="Garamond" w:hAnsi="Garamond"/>
                <w:sz w:val="20"/>
                <w:szCs w:val="20"/>
              </w:rPr>
              <w:t xml:space="preserve"> parashikohet të miratohet brenda vitit 2020.</w:t>
            </w:r>
          </w:p>
        </w:tc>
        <w:tc>
          <w:tcPr>
            <w:tcW w:w="1723" w:type="dxa"/>
            <w:shd w:val="clear" w:color="auto" w:fill="auto"/>
          </w:tcPr>
          <w:p w14:paraId="3B1DFD0A" w14:textId="77777777" w:rsidR="006F605B" w:rsidRPr="00DC66CD" w:rsidRDefault="006F605B" w:rsidP="00131DA1">
            <w:pPr>
              <w:widowControl w:val="0"/>
              <w:spacing w:after="0" w:line="240" w:lineRule="auto"/>
              <w:rPr>
                <w:rFonts w:ascii="Garamond" w:hAnsi="Garamond"/>
                <w:sz w:val="20"/>
                <w:szCs w:val="20"/>
              </w:rPr>
            </w:pPr>
          </w:p>
        </w:tc>
      </w:tr>
    </w:tbl>
    <w:p w14:paraId="60F9F7F9"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5910"/>
        <w:gridCol w:w="1680"/>
      </w:tblGrid>
      <w:tr w:rsidR="006F605B" w:rsidRPr="00DC66CD" w14:paraId="71207282" w14:textId="77777777" w:rsidTr="004613EF">
        <w:tc>
          <w:tcPr>
            <w:tcW w:w="1723" w:type="dxa"/>
            <w:shd w:val="clear" w:color="auto" w:fill="E5DFEC" w:themeFill="accent4" w:themeFillTint="33"/>
            <w:vAlign w:val="center"/>
          </w:tcPr>
          <w:p w14:paraId="70AAFB9F" w14:textId="77777777" w:rsidR="006F605B" w:rsidRPr="00DC66CD" w:rsidRDefault="006F605B" w:rsidP="004613EF">
            <w:pPr>
              <w:snapToGrid w:val="0"/>
              <w:spacing w:line="240" w:lineRule="auto"/>
              <w:jc w:val="center"/>
              <w:rPr>
                <w:rFonts w:ascii="Garamond" w:hAnsi="Garamond"/>
                <w:b/>
                <w:sz w:val="20"/>
                <w:szCs w:val="20"/>
              </w:rPr>
            </w:pPr>
          </w:p>
        </w:tc>
        <w:tc>
          <w:tcPr>
            <w:tcW w:w="6176" w:type="dxa"/>
            <w:shd w:val="clear" w:color="auto" w:fill="E5DFEC" w:themeFill="accent4" w:themeFillTint="33"/>
            <w:vAlign w:val="center"/>
          </w:tcPr>
          <w:p w14:paraId="6A83FFBD" w14:textId="77777777" w:rsidR="006F605B" w:rsidRPr="00DC66CD" w:rsidRDefault="006F605B" w:rsidP="004613EF">
            <w:pPr>
              <w:snapToGrid w:val="0"/>
              <w:spacing w:line="240" w:lineRule="auto"/>
              <w:jc w:val="center"/>
              <w:rPr>
                <w:rFonts w:ascii="Garamond" w:hAnsi="Garamond"/>
                <w:b/>
                <w:sz w:val="20"/>
                <w:szCs w:val="20"/>
              </w:rPr>
            </w:pPr>
            <w:r w:rsidRPr="00DC66CD">
              <w:rPr>
                <w:rFonts w:ascii="Garamond" w:hAnsi="Garamond"/>
                <w:b/>
                <w:sz w:val="20"/>
                <w:szCs w:val="20"/>
              </w:rPr>
              <w:t>Diversifikimi i burimeve të energjisë përmes zhvillimit të sektorit të gazit</w:t>
            </w:r>
          </w:p>
        </w:tc>
        <w:tc>
          <w:tcPr>
            <w:tcW w:w="1723" w:type="dxa"/>
            <w:shd w:val="clear" w:color="auto" w:fill="E5DFEC" w:themeFill="accent4" w:themeFillTint="33"/>
            <w:vAlign w:val="center"/>
          </w:tcPr>
          <w:p w14:paraId="64F6F4F6" w14:textId="4E6CDB58" w:rsidR="006F605B" w:rsidRPr="00DC66CD" w:rsidRDefault="00443306" w:rsidP="004613EF">
            <w:pPr>
              <w:snapToGrid w:val="0"/>
              <w:spacing w:line="240" w:lineRule="auto"/>
              <w:jc w:val="center"/>
              <w:rPr>
                <w:rFonts w:ascii="Garamond" w:hAnsi="Garamond"/>
                <w:b/>
                <w:sz w:val="20"/>
                <w:szCs w:val="20"/>
              </w:rPr>
            </w:pPr>
            <w:r w:rsidRPr="00DC66CD">
              <w:rPr>
                <w:rFonts w:ascii="Garamond" w:hAnsi="Garamond"/>
                <w:b/>
                <w:sz w:val="20"/>
                <w:szCs w:val="20"/>
              </w:rPr>
              <w:t>Statusi i zbatimit të reformës (1–5)</w:t>
            </w:r>
          </w:p>
        </w:tc>
      </w:tr>
      <w:tr w:rsidR="006F605B" w:rsidRPr="00DC66CD" w14:paraId="753D259D" w14:textId="77777777" w:rsidTr="00131DA1">
        <w:tc>
          <w:tcPr>
            <w:tcW w:w="1723" w:type="dxa"/>
            <w:vMerge w:val="restart"/>
          </w:tcPr>
          <w:p w14:paraId="04D5C9B6" w14:textId="7BFC91D3"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Aktivitetet e planifikuara për 2019</w:t>
            </w:r>
            <w:r w:rsidR="004613EF" w:rsidRPr="00DC66CD">
              <w:rPr>
                <w:rFonts w:ascii="Garamond" w:hAnsi="Garamond"/>
                <w:sz w:val="20"/>
                <w:szCs w:val="20"/>
              </w:rPr>
              <w:t>-ën</w:t>
            </w:r>
          </w:p>
        </w:tc>
        <w:tc>
          <w:tcPr>
            <w:tcW w:w="6176" w:type="dxa"/>
          </w:tcPr>
          <w:p w14:paraId="18A7EE90" w14:textId="452DADE3" w:rsidR="006F605B" w:rsidRPr="00DC66CD" w:rsidRDefault="006F605B" w:rsidP="00E223C5">
            <w:pPr>
              <w:snapToGrid w:val="0"/>
              <w:spacing w:line="240" w:lineRule="auto"/>
              <w:rPr>
                <w:rFonts w:ascii="Garamond" w:hAnsi="Garamond"/>
                <w:sz w:val="20"/>
                <w:szCs w:val="20"/>
              </w:rPr>
            </w:pPr>
            <w:r w:rsidRPr="00DC66CD">
              <w:rPr>
                <w:rFonts w:ascii="Garamond" w:hAnsi="Garamond"/>
                <w:sz w:val="20"/>
                <w:szCs w:val="20"/>
              </w:rPr>
              <w:t>Miratimi i Ma</w:t>
            </w:r>
            <w:r w:rsidR="00E223C5" w:rsidRPr="00DC66CD">
              <w:rPr>
                <w:rFonts w:ascii="Garamond" w:hAnsi="Garamond"/>
                <w:sz w:val="20"/>
                <w:szCs w:val="20"/>
              </w:rPr>
              <w:t>sterpl</w:t>
            </w:r>
            <w:r w:rsidRPr="00DC66CD">
              <w:rPr>
                <w:rFonts w:ascii="Garamond" w:hAnsi="Garamond"/>
                <w:sz w:val="20"/>
                <w:szCs w:val="20"/>
              </w:rPr>
              <w:t>anit të Gazit për Shqipërinë dhe Plani i Identifikimit të Projektit (miratuar nga VKM</w:t>
            </w:r>
            <w:r w:rsidR="00E223C5" w:rsidRPr="00DC66CD">
              <w:rPr>
                <w:rFonts w:ascii="Garamond" w:hAnsi="Garamond"/>
                <w:sz w:val="20"/>
                <w:szCs w:val="20"/>
              </w:rPr>
              <w:t>-në</w:t>
            </w:r>
            <w:r w:rsidR="00E33D88" w:rsidRPr="00DC66CD">
              <w:rPr>
                <w:rFonts w:ascii="Garamond" w:hAnsi="Garamond"/>
                <w:sz w:val="20"/>
                <w:szCs w:val="20"/>
              </w:rPr>
              <w:t xml:space="preserve"> nr. </w:t>
            </w:r>
            <w:r w:rsidR="00E223C5" w:rsidRPr="00DC66CD">
              <w:rPr>
                <w:rFonts w:ascii="Garamond" w:hAnsi="Garamond"/>
                <w:sz w:val="20"/>
                <w:szCs w:val="20"/>
              </w:rPr>
              <w:t>87, datë 14.</w:t>
            </w:r>
            <w:r w:rsidRPr="00DC66CD">
              <w:rPr>
                <w:rFonts w:ascii="Garamond" w:hAnsi="Garamond"/>
                <w:sz w:val="20"/>
                <w:szCs w:val="20"/>
              </w:rPr>
              <w:t>2.2018), të cilat konsiderohen si Plani Sektorial Kombëtar për sektorin e gazit</w:t>
            </w:r>
            <w:r w:rsidR="00E223C5" w:rsidRPr="00DC66CD">
              <w:rPr>
                <w:rFonts w:ascii="Garamond" w:hAnsi="Garamond"/>
                <w:sz w:val="20"/>
                <w:szCs w:val="20"/>
              </w:rPr>
              <w:t>.</w:t>
            </w:r>
          </w:p>
        </w:tc>
        <w:tc>
          <w:tcPr>
            <w:tcW w:w="1723" w:type="dxa"/>
          </w:tcPr>
          <w:p w14:paraId="7D77BA90" w14:textId="77777777" w:rsidR="006F605B" w:rsidRPr="00DC66CD" w:rsidRDefault="006F605B" w:rsidP="00131DA1">
            <w:pPr>
              <w:snapToGrid w:val="0"/>
              <w:spacing w:line="240" w:lineRule="auto"/>
              <w:rPr>
                <w:rFonts w:ascii="Garamond" w:hAnsi="Garamond"/>
                <w:sz w:val="20"/>
                <w:szCs w:val="20"/>
              </w:rPr>
            </w:pPr>
          </w:p>
        </w:tc>
      </w:tr>
      <w:tr w:rsidR="006F605B" w:rsidRPr="00DC66CD" w14:paraId="06487E22" w14:textId="77777777" w:rsidTr="00131DA1">
        <w:tc>
          <w:tcPr>
            <w:tcW w:w="1723" w:type="dxa"/>
            <w:vMerge/>
          </w:tcPr>
          <w:p w14:paraId="45D8E940" w14:textId="77777777" w:rsidR="006F605B" w:rsidRPr="00DC66CD" w:rsidRDefault="006F605B" w:rsidP="00131DA1">
            <w:pPr>
              <w:snapToGrid w:val="0"/>
              <w:spacing w:line="240" w:lineRule="auto"/>
              <w:rPr>
                <w:rFonts w:ascii="Garamond" w:hAnsi="Garamond"/>
                <w:sz w:val="20"/>
                <w:szCs w:val="20"/>
              </w:rPr>
            </w:pPr>
          </w:p>
        </w:tc>
        <w:tc>
          <w:tcPr>
            <w:tcW w:w="6176" w:type="dxa"/>
          </w:tcPr>
          <w:p w14:paraId="2D7927C6" w14:textId="4DE64BB3"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Përgatitja nga Konsulenti SUEZ IPF6, i dizajnit teknik paraprak për pjesën shqiptare dhe malazeze të tubacionit IAP, në kuadrin e grantit 2.5 milion</w:t>
            </w:r>
            <w:r w:rsidR="00310FDE" w:rsidRPr="00DC66CD">
              <w:rPr>
                <w:rFonts w:ascii="Garamond" w:hAnsi="Garamond"/>
                <w:sz w:val="20"/>
                <w:szCs w:val="20"/>
              </w:rPr>
              <w:t>ë e</w:t>
            </w:r>
            <w:r w:rsidRPr="00DC66CD">
              <w:rPr>
                <w:rFonts w:ascii="Garamond" w:hAnsi="Garamond"/>
                <w:sz w:val="20"/>
                <w:szCs w:val="20"/>
              </w:rPr>
              <w:t>uro financim nga WBIF</w:t>
            </w:r>
          </w:p>
        </w:tc>
        <w:tc>
          <w:tcPr>
            <w:tcW w:w="1723" w:type="dxa"/>
          </w:tcPr>
          <w:p w14:paraId="1BF7A382" w14:textId="77777777" w:rsidR="006F605B" w:rsidRPr="00DC66CD" w:rsidRDefault="006F605B" w:rsidP="00131DA1">
            <w:pPr>
              <w:snapToGrid w:val="0"/>
              <w:spacing w:line="240" w:lineRule="auto"/>
              <w:rPr>
                <w:rFonts w:ascii="Garamond" w:hAnsi="Garamond"/>
                <w:sz w:val="20"/>
                <w:szCs w:val="20"/>
              </w:rPr>
            </w:pPr>
          </w:p>
        </w:tc>
      </w:tr>
      <w:tr w:rsidR="006F605B" w:rsidRPr="00DC66CD" w14:paraId="43AD04F2" w14:textId="77777777" w:rsidTr="00131DA1">
        <w:tc>
          <w:tcPr>
            <w:tcW w:w="1723" w:type="dxa"/>
            <w:vMerge/>
          </w:tcPr>
          <w:p w14:paraId="261B91E7" w14:textId="77777777" w:rsidR="006F605B" w:rsidRPr="00DC66CD" w:rsidRDefault="006F605B" w:rsidP="00131DA1">
            <w:pPr>
              <w:snapToGrid w:val="0"/>
              <w:spacing w:line="240" w:lineRule="auto"/>
              <w:rPr>
                <w:rFonts w:ascii="Garamond" w:hAnsi="Garamond"/>
                <w:sz w:val="20"/>
                <w:szCs w:val="20"/>
              </w:rPr>
            </w:pPr>
          </w:p>
        </w:tc>
        <w:tc>
          <w:tcPr>
            <w:tcW w:w="6176" w:type="dxa"/>
          </w:tcPr>
          <w:p w14:paraId="0AB92390" w14:textId="7D7629BC" w:rsidR="006F605B" w:rsidRPr="00DC66CD" w:rsidRDefault="006F605B" w:rsidP="00B477B3">
            <w:pPr>
              <w:snapToGrid w:val="0"/>
              <w:spacing w:line="240" w:lineRule="auto"/>
              <w:rPr>
                <w:rFonts w:ascii="Garamond" w:hAnsi="Garamond"/>
                <w:sz w:val="20"/>
                <w:szCs w:val="20"/>
              </w:rPr>
            </w:pPr>
            <w:r w:rsidRPr="00DC66CD">
              <w:rPr>
                <w:rFonts w:ascii="Garamond" w:hAnsi="Garamond"/>
                <w:sz w:val="20"/>
                <w:szCs w:val="20"/>
              </w:rPr>
              <w:t>Përfundimi i përgatitjes nga Konsulenti COWI IPF4 i studimit të parafizibilitetit për projektin ALKOGAP (ndërlidhja e gazit Shqipëri</w:t>
            </w:r>
            <w:r w:rsidR="00B477B3" w:rsidRPr="00DC66CD">
              <w:rPr>
                <w:rFonts w:ascii="Garamond" w:hAnsi="Garamond"/>
                <w:sz w:val="20"/>
                <w:szCs w:val="20"/>
              </w:rPr>
              <w:t>–</w:t>
            </w:r>
            <w:r w:rsidRPr="00DC66CD">
              <w:rPr>
                <w:rFonts w:ascii="Garamond" w:hAnsi="Garamond"/>
                <w:sz w:val="20"/>
                <w:szCs w:val="20"/>
              </w:rPr>
              <w:t>Kosovë), në kuadrin e grantit 0,3 milion</w:t>
            </w:r>
            <w:r w:rsidR="00B477B3" w:rsidRPr="00DC66CD">
              <w:rPr>
                <w:rFonts w:ascii="Garamond" w:hAnsi="Garamond"/>
                <w:sz w:val="20"/>
                <w:szCs w:val="20"/>
              </w:rPr>
              <w:t>`</w:t>
            </w:r>
            <w:r w:rsidRPr="00DC66CD">
              <w:rPr>
                <w:rFonts w:ascii="Garamond" w:hAnsi="Garamond"/>
                <w:sz w:val="20"/>
                <w:szCs w:val="20"/>
              </w:rPr>
              <w:t xml:space="preserve"> </w:t>
            </w:r>
            <w:r w:rsidR="00310FDE" w:rsidRPr="00DC66CD">
              <w:rPr>
                <w:rFonts w:ascii="Garamond" w:hAnsi="Garamond"/>
                <w:sz w:val="20"/>
                <w:szCs w:val="20"/>
              </w:rPr>
              <w:t>e</w:t>
            </w:r>
            <w:r w:rsidRPr="00DC66CD">
              <w:rPr>
                <w:rFonts w:ascii="Garamond" w:hAnsi="Garamond"/>
                <w:sz w:val="20"/>
                <w:szCs w:val="20"/>
              </w:rPr>
              <w:t>uro financim nga WBIF</w:t>
            </w:r>
            <w:r w:rsidR="00B477B3" w:rsidRPr="00DC66CD">
              <w:rPr>
                <w:rFonts w:ascii="Garamond" w:hAnsi="Garamond"/>
                <w:sz w:val="20"/>
                <w:szCs w:val="20"/>
              </w:rPr>
              <w:t>-ja</w:t>
            </w:r>
          </w:p>
        </w:tc>
        <w:tc>
          <w:tcPr>
            <w:tcW w:w="1723" w:type="dxa"/>
          </w:tcPr>
          <w:p w14:paraId="7B95FA37" w14:textId="77777777" w:rsidR="006F605B" w:rsidRPr="00DC66CD" w:rsidRDefault="006F605B" w:rsidP="00131DA1">
            <w:pPr>
              <w:snapToGrid w:val="0"/>
              <w:spacing w:line="240" w:lineRule="auto"/>
              <w:rPr>
                <w:rFonts w:ascii="Garamond" w:hAnsi="Garamond"/>
                <w:sz w:val="20"/>
                <w:szCs w:val="20"/>
              </w:rPr>
            </w:pPr>
          </w:p>
        </w:tc>
      </w:tr>
      <w:tr w:rsidR="006F605B" w:rsidRPr="00DC66CD" w14:paraId="288F8CED" w14:textId="77777777" w:rsidTr="00303A81">
        <w:trPr>
          <w:trHeight w:val="2091"/>
        </w:trPr>
        <w:tc>
          <w:tcPr>
            <w:tcW w:w="1723" w:type="dxa"/>
            <w:vMerge/>
          </w:tcPr>
          <w:p w14:paraId="5FA38038" w14:textId="77777777" w:rsidR="006F605B" w:rsidRPr="00DC66CD" w:rsidRDefault="006F605B" w:rsidP="00131DA1">
            <w:pPr>
              <w:snapToGrid w:val="0"/>
              <w:spacing w:line="240" w:lineRule="auto"/>
              <w:rPr>
                <w:rFonts w:ascii="Garamond" w:hAnsi="Garamond"/>
                <w:sz w:val="20"/>
                <w:szCs w:val="20"/>
              </w:rPr>
            </w:pPr>
          </w:p>
        </w:tc>
        <w:tc>
          <w:tcPr>
            <w:tcW w:w="6176" w:type="dxa"/>
          </w:tcPr>
          <w:p w14:paraId="1E7AC90D" w14:textId="032B4986" w:rsidR="006F605B" w:rsidRPr="00DC66CD" w:rsidRDefault="006F605B" w:rsidP="00310FDE">
            <w:pPr>
              <w:snapToGrid w:val="0"/>
              <w:spacing w:line="240" w:lineRule="auto"/>
              <w:rPr>
                <w:rFonts w:ascii="Garamond" w:hAnsi="Garamond"/>
                <w:sz w:val="20"/>
                <w:szCs w:val="20"/>
              </w:rPr>
            </w:pPr>
            <w:r w:rsidRPr="00DC66CD">
              <w:rPr>
                <w:rFonts w:ascii="Garamond" w:hAnsi="Garamond"/>
                <w:sz w:val="20"/>
                <w:szCs w:val="20"/>
              </w:rPr>
              <w:t xml:space="preserve">Ndërtimi nga Trans Adriatic Pipeline AG (TAP AG) i </w:t>
            </w:r>
            <w:r w:rsidR="00303A81" w:rsidRPr="00DC66CD">
              <w:rPr>
                <w:rFonts w:ascii="Garamond" w:hAnsi="Garamond"/>
                <w:sz w:val="20"/>
                <w:szCs w:val="20"/>
              </w:rPr>
              <w:t>objektit fillestar shqiptar të daljes</w:t>
            </w:r>
            <w:r w:rsidRPr="00DC66CD">
              <w:rPr>
                <w:rFonts w:ascii="Garamond" w:hAnsi="Garamond"/>
                <w:sz w:val="20"/>
                <w:szCs w:val="20"/>
              </w:rPr>
              <w:t xml:space="preserve"> (ose IAEF) në tubacionin e gazit TAP pranë </w:t>
            </w:r>
            <w:r w:rsidR="00303A81" w:rsidRPr="00DC66CD">
              <w:rPr>
                <w:rFonts w:ascii="Garamond" w:hAnsi="Garamond"/>
                <w:sz w:val="20"/>
                <w:szCs w:val="20"/>
              </w:rPr>
              <w:t xml:space="preserve">stacionit </w:t>
            </w:r>
            <w:r w:rsidRPr="00DC66CD">
              <w:rPr>
                <w:rFonts w:ascii="Garamond" w:hAnsi="Garamond"/>
                <w:sz w:val="20"/>
                <w:szCs w:val="20"/>
              </w:rPr>
              <w:t>të kompresorëve në Bashkinë Fieri. (Referojuni VKM</w:t>
            </w:r>
            <w:r w:rsidR="00303A81" w:rsidRPr="00DC66CD">
              <w:rPr>
                <w:rFonts w:ascii="Garamond" w:hAnsi="Garamond"/>
                <w:sz w:val="20"/>
                <w:szCs w:val="20"/>
              </w:rPr>
              <w:t>-së</w:t>
            </w:r>
            <w:r w:rsidR="00E33D88" w:rsidRPr="00DC66CD">
              <w:rPr>
                <w:rFonts w:ascii="Garamond" w:hAnsi="Garamond"/>
                <w:sz w:val="20"/>
                <w:szCs w:val="20"/>
              </w:rPr>
              <w:t xml:space="preserve"> nr. </w:t>
            </w:r>
            <w:r w:rsidRPr="00DC66CD">
              <w:rPr>
                <w:rFonts w:ascii="Garamond" w:hAnsi="Garamond"/>
                <w:sz w:val="20"/>
                <w:szCs w:val="20"/>
              </w:rPr>
              <w:t>233, datë 21.3.2017</w:t>
            </w:r>
            <w:r w:rsidR="00303A81" w:rsidRPr="00DC66CD">
              <w:rPr>
                <w:rFonts w:ascii="Garamond" w:hAnsi="Garamond"/>
                <w:sz w:val="20"/>
                <w:szCs w:val="20"/>
              </w:rPr>
              <w:t>,</w:t>
            </w:r>
            <w:r w:rsidRPr="00DC66CD">
              <w:rPr>
                <w:rFonts w:ascii="Garamond" w:hAnsi="Garamond"/>
                <w:sz w:val="20"/>
                <w:szCs w:val="20"/>
              </w:rPr>
              <w:t xml:space="preserve"> </w:t>
            </w:r>
            <w:r w:rsidR="002A29AD" w:rsidRPr="00DC66CD">
              <w:rPr>
                <w:rFonts w:ascii="Garamond" w:hAnsi="Garamond"/>
                <w:sz w:val="20"/>
                <w:szCs w:val="20"/>
              </w:rPr>
              <w:t>“</w:t>
            </w:r>
            <w:r w:rsidRPr="00DC66CD">
              <w:rPr>
                <w:rFonts w:ascii="Garamond" w:hAnsi="Garamond"/>
                <w:sz w:val="20"/>
                <w:szCs w:val="20"/>
              </w:rPr>
              <w:t>Për miratimin e një marrëveshje angazhimi për zhvillimin e tregut të gazit dhe marrëveshjen për përfitimet lokale, të lidhur midis Republikës së Shqipërisë, duke vepruar përmes Këshillit të Ministrave, dhe Tubacioni Trans Adriatik AG, lidhur me pro</w:t>
            </w:r>
            <w:r w:rsidR="00303A81" w:rsidRPr="00DC66CD">
              <w:rPr>
                <w:rFonts w:ascii="Garamond" w:hAnsi="Garamond"/>
                <w:sz w:val="20"/>
                <w:szCs w:val="20"/>
              </w:rPr>
              <w:t>jektin Tubacioni Trans Adriatik</w:t>
            </w:r>
            <w:r w:rsidRPr="00DC66CD">
              <w:rPr>
                <w:rFonts w:ascii="Garamond" w:hAnsi="Garamond"/>
                <w:sz w:val="20"/>
                <w:szCs w:val="20"/>
              </w:rPr>
              <w:t>)</w:t>
            </w:r>
            <w:r w:rsidR="00303A81" w:rsidRPr="00DC66CD">
              <w:rPr>
                <w:rFonts w:ascii="Garamond" w:hAnsi="Garamond"/>
                <w:sz w:val="20"/>
                <w:szCs w:val="20"/>
              </w:rPr>
              <w:t>”</w:t>
            </w:r>
            <w:r w:rsidRPr="00DC66CD">
              <w:rPr>
                <w:rFonts w:ascii="Garamond" w:hAnsi="Garamond"/>
                <w:sz w:val="20"/>
                <w:szCs w:val="20"/>
              </w:rPr>
              <w:t>. Investimi për ndërtimin e IAEF</w:t>
            </w:r>
            <w:r w:rsidR="00303A81" w:rsidRPr="00DC66CD">
              <w:rPr>
                <w:rFonts w:ascii="Garamond" w:hAnsi="Garamond"/>
                <w:sz w:val="20"/>
                <w:szCs w:val="20"/>
              </w:rPr>
              <w:t>-së</w:t>
            </w:r>
            <w:r w:rsidRPr="00DC66CD">
              <w:rPr>
                <w:rFonts w:ascii="Garamond" w:hAnsi="Garamond"/>
                <w:sz w:val="20"/>
                <w:szCs w:val="20"/>
              </w:rPr>
              <w:t xml:space="preserve"> do të financohet totalisht ng</w:t>
            </w:r>
            <w:r w:rsidR="00303A81" w:rsidRPr="00DC66CD">
              <w:rPr>
                <w:rFonts w:ascii="Garamond" w:hAnsi="Garamond"/>
                <w:sz w:val="20"/>
                <w:szCs w:val="20"/>
              </w:rPr>
              <w:t>a TAP AG dhe vlerësohet rreth 3</w:t>
            </w:r>
            <w:r w:rsidR="00310FDE" w:rsidRPr="00DC66CD">
              <w:rPr>
                <w:rFonts w:ascii="Garamond" w:hAnsi="Garamond"/>
                <w:sz w:val="20"/>
                <w:szCs w:val="20"/>
              </w:rPr>
              <w:t>–</w:t>
            </w:r>
            <w:r w:rsidRPr="00DC66CD">
              <w:rPr>
                <w:rFonts w:ascii="Garamond" w:hAnsi="Garamond"/>
                <w:sz w:val="20"/>
                <w:szCs w:val="20"/>
              </w:rPr>
              <w:t>4</w:t>
            </w:r>
            <w:r w:rsidR="00310FDE" w:rsidRPr="00DC66CD">
              <w:rPr>
                <w:rFonts w:ascii="Garamond" w:hAnsi="Garamond"/>
                <w:sz w:val="20"/>
                <w:szCs w:val="20"/>
              </w:rPr>
              <w:t xml:space="preserve"> </w:t>
            </w:r>
            <w:r w:rsidRPr="00DC66CD">
              <w:rPr>
                <w:rFonts w:ascii="Garamond" w:hAnsi="Garamond"/>
                <w:sz w:val="20"/>
                <w:szCs w:val="20"/>
              </w:rPr>
              <w:t>milion</w:t>
            </w:r>
            <w:r w:rsidR="00310FDE" w:rsidRPr="00DC66CD">
              <w:rPr>
                <w:rFonts w:ascii="Garamond" w:hAnsi="Garamond"/>
                <w:sz w:val="20"/>
                <w:szCs w:val="20"/>
              </w:rPr>
              <w:t>ë</w:t>
            </w:r>
            <w:r w:rsidRPr="00DC66CD">
              <w:rPr>
                <w:rFonts w:ascii="Garamond" w:hAnsi="Garamond"/>
                <w:sz w:val="20"/>
                <w:szCs w:val="20"/>
              </w:rPr>
              <w:t xml:space="preserve"> </w:t>
            </w:r>
            <w:r w:rsidR="00310FDE" w:rsidRPr="00DC66CD">
              <w:rPr>
                <w:rFonts w:ascii="Garamond" w:hAnsi="Garamond"/>
                <w:sz w:val="20"/>
                <w:szCs w:val="20"/>
              </w:rPr>
              <w:t>e</w:t>
            </w:r>
            <w:r w:rsidRPr="00DC66CD">
              <w:rPr>
                <w:rFonts w:ascii="Garamond" w:hAnsi="Garamond"/>
                <w:sz w:val="20"/>
                <w:szCs w:val="20"/>
              </w:rPr>
              <w:t>uro.</w:t>
            </w:r>
          </w:p>
        </w:tc>
        <w:tc>
          <w:tcPr>
            <w:tcW w:w="1723" w:type="dxa"/>
          </w:tcPr>
          <w:p w14:paraId="677FAFFE" w14:textId="77777777" w:rsidR="006F605B" w:rsidRPr="00DC66CD" w:rsidRDefault="006F605B" w:rsidP="00131DA1">
            <w:pPr>
              <w:snapToGrid w:val="0"/>
              <w:spacing w:line="240" w:lineRule="auto"/>
              <w:rPr>
                <w:rFonts w:ascii="Garamond" w:hAnsi="Garamond"/>
                <w:sz w:val="20"/>
                <w:szCs w:val="20"/>
              </w:rPr>
            </w:pPr>
          </w:p>
        </w:tc>
      </w:tr>
      <w:tr w:rsidR="006F605B" w:rsidRPr="00DC66CD" w14:paraId="5981A14E" w14:textId="77777777" w:rsidTr="00131DA1">
        <w:tc>
          <w:tcPr>
            <w:tcW w:w="1723" w:type="dxa"/>
            <w:vMerge/>
          </w:tcPr>
          <w:p w14:paraId="261E17EC" w14:textId="77777777" w:rsidR="006F605B" w:rsidRPr="00DC66CD" w:rsidRDefault="006F605B" w:rsidP="00131DA1">
            <w:pPr>
              <w:snapToGrid w:val="0"/>
              <w:spacing w:line="240" w:lineRule="auto"/>
              <w:rPr>
                <w:rFonts w:ascii="Garamond" w:hAnsi="Garamond"/>
                <w:sz w:val="20"/>
                <w:szCs w:val="20"/>
              </w:rPr>
            </w:pPr>
          </w:p>
        </w:tc>
        <w:tc>
          <w:tcPr>
            <w:tcW w:w="6176" w:type="dxa"/>
          </w:tcPr>
          <w:p w14:paraId="6B887892" w14:textId="24487491" w:rsidR="006F605B" w:rsidRPr="00DC66CD" w:rsidRDefault="006F605B" w:rsidP="00310FDE">
            <w:pPr>
              <w:snapToGrid w:val="0"/>
              <w:spacing w:line="240" w:lineRule="auto"/>
              <w:rPr>
                <w:rFonts w:ascii="Garamond" w:hAnsi="Garamond"/>
                <w:sz w:val="20"/>
                <w:szCs w:val="20"/>
              </w:rPr>
            </w:pPr>
            <w:r w:rsidRPr="00DC66CD">
              <w:rPr>
                <w:rFonts w:ascii="Garamond" w:hAnsi="Garamond"/>
                <w:sz w:val="20"/>
                <w:szCs w:val="20"/>
              </w:rPr>
              <w:t>Fillimi i përgatitjes së Studimit të Fizibilitetit për Ruajtjen e Gazit Nën Tokë në Rajonin e Dumrea</w:t>
            </w:r>
            <w:r w:rsidR="00303A81" w:rsidRPr="00DC66CD">
              <w:rPr>
                <w:rFonts w:ascii="Garamond" w:hAnsi="Garamond"/>
                <w:sz w:val="20"/>
                <w:szCs w:val="20"/>
              </w:rPr>
              <w:t>s</w:t>
            </w:r>
            <w:r w:rsidRPr="00DC66CD">
              <w:rPr>
                <w:rFonts w:ascii="Garamond" w:hAnsi="Garamond"/>
                <w:sz w:val="20"/>
                <w:szCs w:val="20"/>
              </w:rPr>
              <w:t xml:space="preserve"> (UGS Dumrea), bazuar në vendimin e 19-të Komiteti Drejtues i WBIF</w:t>
            </w:r>
            <w:r w:rsidR="00303A81" w:rsidRPr="00DC66CD">
              <w:rPr>
                <w:rFonts w:ascii="Garamond" w:hAnsi="Garamond"/>
                <w:sz w:val="20"/>
                <w:szCs w:val="20"/>
              </w:rPr>
              <w:t>-së</w:t>
            </w:r>
            <w:r w:rsidRPr="00DC66CD">
              <w:rPr>
                <w:rFonts w:ascii="Garamond" w:hAnsi="Garamond"/>
                <w:sz w:val="20"/>
                <w:szCs w:val="20"/>
              </w:rPr>
              <w:t xml:space="preserve"> për 20 Raundin e WBIF</w:t>
            </w:r>
            <w:r w:rsidR="00303A81" w:rsidRPr="00DC66CD">
              <w:rPr>
                <w:rFonts w:ascii="Garamond" w:hAnsi="Garamond"/>
                <w:sz w:val="20"/>
                <w:szCs w:val="20"/>
              </w:rPr>
              <w:t>-së</w:t>
            </w:r>
            <w:r w:rsidRPr="00DC66CD">
              <w:rPr>
                <w:rFonts w:ascii="Garamond" w:hAnsi="Garamond"/>
                <w:sz w:val="20"/>
                <w:szCs w:val="20"/>
              </w:rPr>
              <w:t xml:space="preserve"> për miratimin e fondit për financim prej 1 milion </w:t>
            </w:r>
            <w:r w:rsidR="00310FDE" w:rsidRPr="00DC66CD">
              <w:rPr>
                <w:rFonts w:ascii="Garamond" w:hAnsi="Garamond"/>
                <w:sz w:val="20"/>
                <w:szCs w:val="20"/>
              </w:rPr>
              <w:t>e</w:t>
            </w:r>
            <w:r w:rsidRPr="00DC66CD">
              <w:rPr>
                <w:rFonts w:ascii="Garamond" w:hAnsi="Garamond"/>
                <w:sz w:val="20"/>
                <w:szCs w:val="20"/>
              </w:rPr>
              <w:t>uro.</w:t>
            </w:r>
          </w:p>
        </w:tc>
        <w:tc>
          <w:tcPr>
            <w:tcW w:w="1723" w:type="dxa"/>
          </w:tcPr>
          <w:p w14:paraId="6D866FF3" w14:textId="77777777" w:rsidR="006F605B" w:rsidRPr="00DC66CD" w:rsidRDefault="006F605B" w:rsidP="00131DA1">
            <w:pPr>
              <w:snapToGrid w:val="0"/>
              <w:spacing w:line="240" w:lineRule="auto"/>
              <w:rPr>
                <w:rFonts w:ascii="Garamond" w:hAnsi="Garamond"/>
                <w:sz w:val="20"/>
                <w:szCs w:val="20"/>
              </w:rPr>
            </w:pPr>
          </w:p>
        </w:tc>
      </w:tr>
      <w:tr w:rsidR="006F605B" w:rsidRPr="00DC66CD" w14:paraId="226C7A94" w14:textId="77777777" w:rsidTr="00131DA1">
        <w:tc>
          <w:tcPr>
            <w:tcW w:w="1723" w:type="dxa"/>
            <w:vMerge/>
          </w:tcPr>
          <w:p w14:paraId="5D161A0E" w14:textId="77777777" w:rsidR="006F605B" w:rsidRPr="00DC66CD" w:rsidRDefault="006F605B" w:rsidP="00131DA1">
            <w:pPr>
              <w:snapToGrid w:val="0"/>
              <w:spacing w:line="240" w:lineRule="auto"/>
              <w:rPr>
                <w:rFonts w:ascii="Garamond" w:hAnsi="Garamond"/>
                <w:sz w:val="20"/>
                <w:szCs w:val="20"/>
              </w:rPr>
            </w:pPr>
          </w:p>
        </w:tc>
        <w:tc>
          <w:tcPr>
            <w:tcW w:w="6176" w:type="dxa"/>
          </w:tcPr>
          <w:p w14:paraId="33F27A6E" w14:textId="1D47BB24" w:rsidR="006F605B" w:rsidRPr="00DC66CD" w:rsidRDefault="006F605B" w:rsidP="00310FDE">
            <w:pPr>
              <w:snapToGrid w:val="0"/>
              <w:spacing w:line="240" w:lineRule="auto"/>
              <w:rPr>
                <w:rFonts w:ascii="Garamond" w:hAnsi="Garamond"/>
                <w:sz w:val="20"/>
                <w:szCs w:val="20"/>
              </w:rPr>
            </w:pPr>
            <w:r w:rsidRPr="00DC66CD">
              <w:rPr>
                <w:rFonts w:ascii="Garamond" w:hAnsi="Garamond"/>
                <w:sz w:val="20"/>
                <w:szCs w:val="20"/>
              </w:rPr>
              <w:t xml:space="preserve">Fillimi i përgatitjes së përgatitjes së modelit teknik të detajuar të gazsjellësit që lidh TEC-in e Vlorës me projektin TAP në stacionin e kompresimit në rajonin e Fierit. bazuar në vendimin e Komitetit të 19-të Drejtues të WBIF për 20 Raundin e WBIF për grantin e financimit të miratimit prej 1.1 milion </w:t>
            </w:r>
            <w:r w:rsidR="00310FDE" w:rsidRPr="00DC66CD">
              <w:rPr>
                <w:rFonts w:ascii="Garamond" w:hAnsi="Garamond"/>
                <w:sz w:val="20"/>
                <w:szCs w:val="20"/>
              </w:rPr>
              <w:t>e</w:t>
            </w:r>
            <w:r w:rsidRPr="00DC66CD">
              <w:rPr>
                <w:rFonts w:ascii="Garamond" w:hAnsi="Garamond"/>
                <w:sz w:val="20"/>
                <w:szCs w:val="20"/>
              </w:rPr>
              <w:t>uro.</w:t>
            </w:r>
          </w:p>
        </w:tc>
        <w:tc>
          <w:tcPr>
            <w:tcW w:w="1723" w:type="dxa"/>
          </w:tcPr>
          <w:p w14:paraId="784FA4A6" w14:textId="77777777" w:rsidR="006F605B" w:rsidRPr="00DC66CD" w:rsidRDefault="006F605B" w:rsidP="00131DA1">
            <w:pPr>
              <w:snapToGrid w:val="0"/>
              <w:spacing w:line="240" w:lineRule="auto"/>
              <w:rPr>
                <w:rFonts w:ascii="Garamond" w:hAnsi="Garamond"/>
                <w:sz w:val="20"/>
                <w:szCs w:val="20"/>
              </w:rPr>
            </w:pPr>
          </w:p>
        </w:tc>
      </w:tr>
      <w:tr w:rsidR="006F605B" w:rsidRPr="00DC66CD" w14:paraId="77E3DFB7" w14:textId="77777777" w:rsidTr="00131DA1">
        <w:tc>
          <w:tcPr>
            <w:tcW w:w="1723" w:type="dxa"/>
            <w:vMerge w:val="restart"/>
          </w:tcPr>
          <w:p w14:paraId="36A7466D" w14:textId="77777777"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6176" w:type="dxa"/>
          </w:tcPr>
          <w:p w14:paraId="4A458216" w14:textId="06916FF1"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Përfundimi i miratimit të PMM nga Këshilli Kombëtar i Territorit (</w:t>
            </w:r>
            <w:r w:rsidR="00443306" w:rsidRPr="00DC66CD">
              <w:rPr>
                <w:rFonts w:ascii="Garamond" w:hAnsi="Garamond"/>
                <w:sz w:val="20"/>
                <w:szCs w:val="20"/>
              </w:rPr>
              <w:t xml:space="preserve">vendimi </w:t>
            </w:r>
            <w:r w:rsidRPr="00DC66CD">
              <w:rPr>
                <w:rFonts w:ascii="Garamond" w:hAnsi="Garamond"/>
                <w:sz w:val="20"/>
                <w:szCs w:val="20"/>
              </w:rPr>
              <w:t>i NCT</w:t>
            </w:r>
            <w:r w:rsidR="00E33D88" w:rsidRPr="00DC66CD">
              <w:rPr>
                <w:rFonts w:ascii="Garamond" w:hAnsi="Garamond"/>
                <w:sz w:val="20"/>
                <w:szCs w:val="20"/>
              </w:rPr>
              <w:t xml:space="preserve"> nr. </w:t>
            </w:r>
            <w:r w:rsidR="00443306" w:rsidRPr="00DC66CD">
              <w:rPr>
                <w:rFonts w:ascii="Garamond" w:hAnsi="Garamond"/>
                <w:sz w:val="20"/>
                <w:szCs w:val="20"/>
              </w:rPr>
              <w:t>2, datë 26.</w:t>
            </w:r>
            <w:r w:rsidRPr="00DC66CD">
              <w:rPr>
                <w:rFonts w:ascii="Garamond" w:hAnsi="Garamond"/>
                <w:sz w:val="20"/>
                <w:szCs w:val="20"/>
              </w:rPr>
              <w:t>7.2018)</w:t>
            </w:r>
          </w:p>
        </w:tc>
        <w:tc>
          <w:tcPr>
            <w:tcW w:w="1723" w:type="dxa"/>
          </w:tcPr>
          <w:p w14:paraId="679C7290" w14:textId="77777777" w:rsidR="006F605B" w:rsidRPr="00DC66CD" w:rsidRDefault="006F605B" w:rsidP="00131DA1">
            <w:pPr>
              <w:snapToGrid w:val="0"/>
              <w:spacing w:line="240" w:lineRule="auto"/>
              <w:rPr>
                <w:rFonts w:ascii="Garamond" w:hAnsi="Garamond"/>
                <w:sz w:val="20"/>
                <w:szCs w:val="20"/>
              </w:rPr>
            </w:pPr>
          </w:p>
        </w:tc>
      </w:tr>
      <w:tr w:rsidR="006F605B" w:rsidRPr="00DC66CD" w14:paraId="1A9AF8C5" w14:textId="77777777" w:rsidTr="00131DA1">
        <w:tc>
          <w:tcPr>
            <w:tcW w:w="1723" w:type="dxa"/>
            <w:vMerge/>
          </w:tcPr>
          <w:p w14:paraId="7C0A74C6" w14:textId="77777777" w:rsidR="006F605B" w:rsidRPr="00DC66CD" w:rsidRDefault="006F605B" w:rsidP="00131DA1">
            <w:pPr>
              <w:snapToGrid w:val="0"/>
              <w:spacing w:line="240" w:lineRule="auto"/>
              <w:rPr>
                <w:rFonts w:ascii="Garamond" w:hAnsi="Garamond"/>
                <w:sz w:val="20"/>
                <w:szCs w:val="20"/>
              </w:rPr>
            </w:pPr>
          </w:p>
        </w:tc>
        <w:tc>
          <w:tcPr>
            <w:tcW w:w="6176" w:type="dxa"/>
          </w:tcPr>
          <w:p w14:paraId="382ED587" w14:textId="10861A07"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 xml:space="preserve">- Rimarrje e përfunduar </w:t>
            </w:r>
            <w:r w:rsidR="00443306" w:rsidRPr="00DC66CD">
              <w:rPr>
                <w:rFonts w:ascii="Garamond" w:hAnsi="Garamond"/>
                <w:sz w:val="20"/>
                <w:szCs w:val="20"/>
              </w:rPr>
              <w:t>në territorin shqiptar</w:t>
            </w:r>
            <w:r w:rsidRPr="00DC66CD">
              <w:rPr>
                <w:rFonts w:ascii="Garamond" w:hAnsi="Garamond"/>
                <w:sz w:val="20"/>
                <w:szCs w:val="20"/>
              </w:rPr>
              <w:t>;</w:t>
            </w:r>
          </w:p>
          <w:p w14:paraId="77C270C9" w14:textId="464DD01A"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 Përgatitja e VNMS</w:t>
            </w:r>
            <w:r w:rsidR="00443306" w:rsidRPr="00DC66CD">
              <w:rPr>
                <w:rFonts w:ascii="Garamond" w:hAnsi="Garamond"/>
                <w:sz w:val="20"/>
                <w:szCs w:val="20"/>
              </w:rPr>
              <w:t>-së</w:t>
            </w:r>
            <w:r w:rsidRPr="00DC66CD">
              <w:rPr>
                <w:rFonts w:ascii="Garamond" w:hAnsi="Garamond"/>
                <w:sz w:val="20"/>
                <w:szCs w:val="20"/>
              </w:rPr>
              <w:t xml:space="preserve"> për </w:t>
            </w:r>
            <w:r w:rsidR="00443306" w:rsidRPr="00DC66CD">
              <w:rPr>
                <w:rFonts w:ascii="Garamond" w:hAnsi="Garamond"/>
                <w:sz w:val="20"/>
                <w:szCs w:val="20"/>
              </w:rPr>
              <w:t>seksionin shqiptar</w:t>
            </w:r>
            <w:r w:rsidRPr="00DC66CD">
              <w:rPr>
                <w:rFonts w:ascii="Garamond" w:hAnsi="Garamond"/>
                <w:sz w:val="20"/>
                <w:szCs w:val="20"/>
              </w:rPr>
              <w:t>;</w:t>
            </w:r>
          </w:p>
          <w:p w14:paraId="796DB990" w14:textId="00F62C61"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 xml:space="preserve">- Përgatitja e draftit të hartimit paraprak për </w:t>
            </w:r>
            <w:r w:rsidR="00443306" w:rsidRPr="00DC66CD">
              <w:rPr>
                <w:rFonts w:ascii="Garamond" w:hAnsi="Garamond"/>
                <w:sz w:val="20"/>
                <w:szCs w:val="20"/>
              </w:rPr>
              <w:t>seksionin shqiptar.</w:t>
            </w:r>
          </w:p>
          <w:p w14:paraId="0174D4E8" w14:textId="54630303"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 P</w:t>
            </w:r>
            <w:r w:rsidR="00443306" w:rsidRPr="00DC66CD">
              <w:rPr>
                <w:rFonts w:ascii="Garamond" w:hAnsi="Garamond"/>
                <w:sz w:val="20"/>
                <w:szCs w:val="20"/>
              </w:rPr>
              <w:t>rojekti do të përfundojë në 4</w:t>
            </w:r>
            <w:r w:rsidRPr="00DC66CD">
              <w:rPr>
                <w:rFonts w:ascii="Garamond" w:hAnsi="Garamond"/>
                <w:sz w:val="20"/>
                <w:szCs w:val="20"/>
              </w:rPr>
              <w:t xml:space="preserve"> Q 2020</w:t>
            </w:r>
          </w:p>
        </w:tc>
        <w:tc>
          <w:tcPr>
            <w:tcW w:w="1723" w:type="dxa"/>
          </w:tcPr>
          <w:p w14:paraId="7A188B0A" w14:textId="77777777" w:rsidR="006F605B" w:rsidRPr="00DC66CD" w:rsidRDefault="006F605B" w:rsidP="00131DA1">
            <w:pPr>
              <w:snapToGrid w:val="0"/>
              <w:spacing w:line="240" w:lineRule="auto"/>
              <w:rPr>
                <w:rFonts w:ascii="Garamond" w:hAnsi="Garamond"/>
                <w:sz w:val="20"/>
                <w:szCs w:val="20"/>
              </w:rPr>
            </w:pPr>
          </w:p>
        </w:tc>
      </w:tr>
      <w:tr w:rsidR="006F605B" w:rsidRPr="00DC66CD" w14:paraId="6E2A8FBE" w14:textId="77777777" w:rsidTr="00131DA1">
        <w:tc>
          <w:tcPr>
            <w:tcW w:w="1723" w:type="dxa"/>
            <w:vMerge/>
          </w:tcPr>
          <w:p w14:paraId="46465F6E" w14:textId="77777777" w:rsidR="006F605B" w:rsidRPr="00DC66CD" w:rsidRDefault="006F605B" w:rsidP="00131DA1">
            <w:pPr>
              <w:snapToGrid w:val="0"/>
              <w:spacing w:line="240" w:lineRule="auto"/>
              <w:rPr>
                <w:rFonts w:ascii="Garamond" w:hAnsi="Garamond"/>
                <w:sz w:val="20"/>
                <w:szCs w:val="20"/>
              </w:rPr>
            </w:pPr>
          </w:p>
        </w:tc>
        <w:tc>
          <w:tcPr>
            <w:tcW w:w="6176" w:type="dxa"/>
          </w:tcPr>
          <w:p w14:paraId="14C7CBD7" w14:textId="0E56830A"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 xml:space="preserve">Përgatitja nga </w:t>
            </w:r>
            <w:r w:rsidR="00443306" w:rsidRPr="00DC66CD">
              <w:rPr>
                <w:rFonts w:ascii="Garamond" w:hAnsi="Garamond"/>
                <w:sz w:val="20"/>
                <w:szCs w:val="20"/>
              </w:rPr>
              <w:t xml:space="preserve">konsulenti </w:t>
            </w:r>
            <w:r w:rsidRPr="00DC66CD">
              <w:rPr>
                <w:rFonts w:ascii="Garamond" w:hAnsi="Garamond"/>
                <w:sz w:val="20"/>
                <w:szCs w:val="20"/>
              </w:rPr>
              <w:t xml:space="preserve">COWI IPF 4 i studimit paraprak të fizibilitetit për projektin ALKOGAP, është përfunduar në </w:t>
            </w:r>
            <w:r w:rsidR="00443306" w:rsidRPr="00DC66CD">
              <w:rPr>
                <w:rFonts w:ascii="Garamond" w:hAnsi="Garamond"/>
                <w:sz w:val="20"/>
                <w:szCs w:val="20"/>
              </w:rPr>
              <w:t xml:space="preserve">dhjetor </w:t>
            </w:r>
            <w:r w:rsidRPr="00DC66CD">
              <w:rPr>
                <w:rFonts w:ascii="Garamond" w:hAnsi="Garamond"/>
                <w:sz w:val="20"/>
                <w:szCs w:val="20"/>
              </w:rPr>
              <w:t>2018</w:t>
            </w:r>
            <w:r w:rsidR="00443306" w:rsidRPr="00DC66CD">
              <w:rPr>
                <w:rFonts w:ascii="Garamond" w:hAnsi="Garamond"/>
                <w:sz w:val="20"/>
                <w:szCs w:val="20"/>
              </w:rPr>
              <w:t>.</w:t>
            </w:r>
          </w:p>
        </w:tc>
        <w:tc>
          <w:tcPr>
            <w:tcW w:w="1723" w:type="dxa"/>
          </w:tcPr>
          <w:p w14:paraId="4FE3B884" w14:textId="77777777" w:rsidR="006F605B" w:rsidRPr="00DC66CD" w:rsidRDefault="006F605B" w:rsidP="00131DA1">
            <w:pPr>
              <w:snapToGrid w:val="0"/>
              <w:spacing w:line="240" w:lineRule="auto"/>
              <w:rPr>
                <w:rFonts w:ascii="Garamond" w:hAnsi="Garamond"/>
                <w:sz w:val="20"/>
                <w:szCs w:val="20"/>
              </w:rPr>
            </w:pPr>
          </w:p>
        </w:tc>
      </w:tr>
      <w:tr w:rsidR="006F605B" w:rsidRPr="00DC66CD" w14:paraId="2DB7179F" w14:textId="77777777" w:rsidTr="00131DA1">
        <w:tc>
          <w:tcPr>
            <w:tcW w:w="1723" w:type="dxa"/>
            <w:vMerge/>
          </w:tcPr>
          <w:p w14:paraId="71D96C86" w14:textId="77777777" w:rsidR="006F605B" w:rsidRPr="00DC66CD" w:rsidRDefault="006F605B" w:rsidP="00131DA1">
            <w:pPr>
              <w:snapToGrid w:val="0"/>
              <w:spacing w:line="240" w:lineRule="auto"/>
              <w:rPr>
                <w:rFonts w:ascii="Garamond" w:hAnsi="Garamond"/>
                <w:sz w:val="20"/>
                <w:szCs w:val="20"/>
              </w:rPr>
            </w:pPr>
          </w:p>
        </w:tc>
        <w:tc>
          <w:tcPr>
            <w:tcW w:w="6176" w:type="dxa"/>
          </w:tcPr>
          <w:p w14:paraId="3D253E4D" w14:textId="54B3BC95"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 xml:space="preserve">MIE, ALBGAZ S.A. dhe TAP AG kanë konkluduar në parametrat kryesorë teknikë të </w:t>
            </w:r>
            <w:r w:rsidR="00443306" w:rsidRPr="00DC66CD">
              <w:rPr>
                <w:rFonts w:ascii="Garamond" w:hAnsi="Garamond"/>
                <w:sz w:val="20"/>
                <w:szCs w:val="20"/>
              </w:rPr>
              <w:t xml:space="preserve">objektit fillestar shqiptar të daljes </w:t>
            </w:r>
            <w:r w:rsidRPr="00DC66CD">
              <w:rPr>
                <w:rFonts w:ascii="Garamond" w:hAnsi="Garamond"/>
                <w:sz w:val="20"/>
                <w:szCs w:val="20"/>
              </w:rPr>
              <w:t>(ose IAEF) në tubacionin e gazit TAP.</w:t>
            </w:r>
          </w:p>
          <w:p w14:paraId="58D3DFEC" w14:textId="3D0675D1"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TAP AG është duke përgatitur procedurat e ofertës</w:t>
            </w:r>
            <w:r w:rsidR="00443306" w:rsidRPr="00DC66CD">
              <w:rPr>
                <w:rFonts w:ascii="Garamond" w:hAnsi="Garamond"/>
                <w:sz w:val="20"/>
                <w:szCs w:val="20"/>
              </w:rPr>
              <w:t>.</w:t>
            </w:r>
            <w:r w:rsidRPr="00DC66CD">
              <w:rPr>
                <w:rFonts w:ascii="Garamond" w:hAnsi="Garamond"/>
                <w:sz w:val="20"/>
                <w:szCs w:val="20"/>
              </w:rPr>
              <w:t xml:space="preserve"> në lidhje me ndërtimin e IAEF</w:t>
            </w:r>
            <w:r w:rsidR="00443306" w:rsidRPr="00DC66CD">
              <w:rPr>
                <w:rFonts w:ascii="Garamond" w:hAnsi="Garamond"/>
                <w:sz w:val="20"/>
                <w:szCs w:val="20"/>
              </w:rPr>
              <w:t>-së</w:t>
            </w:r>
            <w:r w:rsidRPr="00DC66CD">
              <w:rPr>
                <w:rFonts w:ascii="Garamond" w:hAnsi="Garamond"/>
                <w:sz w:val="20"/>
                <w:szCs w:val="20"/>
              </w:rPr>
              <w:t>.</w:t>
            </w:r>
          </w:p>
        </w:tc>
        <w:tc>
          <w:tcPr>
            <w:tcW w:w="1723" w:type="dxa"/>
          </w:tcPr>
          <w:p w14:paraId="5342334E" w14:textId="77777777" w:rsidR="006F605B" w:rsidRPr="00DC66CD" w:rsidRDefault="006F605B" w:rsidP="00131DA1">
            <w:pPr>
              <w:snapToGrid w:val="0"/>
              <w:spacing w:line="240" w:lineRule="auto"/>
              <w:rPr>
                <w:rFonts w:ascii="Garamond" w:hAnsi="Garamond"/>
                <w:sz w:val="20"/>
                <w:szCs w:val="20"/>
              </w:rPr>
            </w:pPr>
          </w:p>
        </w:tc>
      </w:tr>
      <w:tr w:rsidR="006F605B" w:rsidRPr="00DC66CD" w14:paraId="48DAC92B" w14:textId="77777777" w:rsidTr="00131DA1">
        <w:tc>
          <w:tcPr>
            <w:tcW w:w="1723" w:type="dxa"/>
            <w:vMerge/>
          </w:tcPr>
          <w:p w14:paraId="6411F1E5" w14:textId="77777777" w:rsidR="006F605B" w:rsidRPr="00DC66CD" w:rsidRDefault="006F605B" w:rsidP="00131DA1">
            <w:pPr>
              <w:snapToGrid w:val="0"/>
              <w:spacing w:line="240" w:lineRule="auto"/>
              <w:rPr>
                <w:rFonts w:ascii="Garamond" w:hAnsi="Garamond"/>
                <w:sz w:val="20"/>
                <w:szCs w:val="20"/>
              </w:rPr>
            </w:pPr>
          </w:p>
        </w:tc>
        <w:tc>
          <w:tcPr>
            <w:tcW w:w="6176" w:type="dxa"/>
          </w:tcPr>
          <w:p w14:paraId="1F79D4CE" w14:textId="694ED627" w:rsidR="006F605B" w:rsidRPr="00DC66CD" w:rsidRDefault="006F605B" w:rsidP="00131DA1">
            <w:pPr>
              <w:snapToGrid w:val="0"/>
              <w:spacing w:line="240" w:lineRule="auto"/>
              <w:rPr>
                <w:rFonts w:ascii="Garamond" w:hAnsi="Garamond"/>
                <w:sz w:val="20"/>
                <w:szCs w:val="20"/>
              </w:rPr>
            </w:pPr>
            <w:r w:rsidRPr="00DC66CD">
              <w:rPr>
                <w:rFonts w:ascii="Garamond" w:hAnsi="Garamond"/>
                <w:sz w:val="20"/>
                <w:szCs w:val="20"/>
              </w:rPr>
              <w:t xml:space="preserve">Konsulenti McMottDonald ka përfunduar TOR për këtë projekt. MIE nuk ka dhënë </w:t>
            </w:r>
            <w:r w:rsidR="002A29AD" w:rsidRPr="00DC66CD">
              <w:rPr>
                <w:rFonts w:ascii="Garamond" w:hAnsi="Garamond"/>
                <w:sz w:val="20"/>
                <w:szCs w:val="20"/>
              </w:rPr>
              <w:t>“</w:t>
            </w:r>
            <w:r w:rsidRPr="00DC66CD">
              <w:rPr>
                <w:rFonts w:ascii="Garamond" w:hAnsi="Garamond"/>
                <w:sz w:val="20"/>
                <w:szCs w:val="20"/>
              </w:rPr>
              <w:t>asnjë kundërshtim</w:t>
            </w:r>
            <w:r w:rsidR="002A29AD" w:rsidRPr="00DC66CD">
              <w:rPr>
                <w:rFonts w:ascii="Garamond" w:hAnsi="Garamond"/>
                <w:sz w:val="20"/>
                <w:szCs w:val="20"/>
              </w:rPr>
              <w:t>”</w:t>
            </w:r>
            <w:r w:rsidRPr="00DC66CD">
              <w:rPr>
                <w:rFonts w:ascii="Garamond" w:hAnsi="Garamond"/>
                <w:sz w:val="20"/>
                <w:szCs w:val="20"/>
              </w:rPr>
              <w:t xml:space="preserve">. Sekretariati WBIF është në proces për të zgjedhur </w:t>
            </w:r>
            <w:r w:rsidR="00443306" w:rsidRPr="00DC66CD">
              <w:rPr>
                <w:rFonts w:ascii="Garamond" w:hAnsi="Garamond"/>
                <w:sz w:val="20"/>
                <w:szCs w:val="20"/>
              </w:rPr>
              <w:t xml:space="preserve">kontraktorin </w:t>
            </w:r>
            <w:r w:rsidRPr="00DC66CD">
              <w:rPr>
                <w:rFonts w:ascii="Garamond" w:hAnsi="Garamond"/>
                <w:sz w:val="20"/>
                <w:szCs w:val="20"/>
              </w:rPr>
              <w:t>për përgatitjen e projektit</w:t>
            </w:r>
            <w:r w:rsidR="00443306" w:rsidRPr="00DC66CD">
              <w:rPr>
                <w:rFonts w:ascii="Garamond" w:hAnsi="Garamond"/>
                <w:sz w:val="20"/>
                <w:szCs w:val="20"/>
              </w:rPr>
              <w:t>.</w:t>
            </w:r>
          </w:p>
        </w:tc>
        <w:tc>
          <w:tcPr>
            <w:tcW w:w="1723" w:type="dxa"/>
          </w:tcPr>
          <w:p w14:paraId="1FE5AAEB" w14:textId="77777777" w:rsidR="006F605B" w:rsidRPr="00DC66CD" w:rsidRDefault="006F605B" w:rsidP="00131DA1">
            <w:pPr>
              <w:snapToGrid w:val="0"/>
              <w:spacing w:line="240" w:lineRule="auto"/>
              <w:rPr>
                <w:rFonts w:ascii="Garamond" w:hAnsi="Garamond"/>
                <w:sz w:val="20"/>
                <w:szCs w:val="20"/>
              </w:rPr>
            </w:pPr>
          </w:p>
        </w:tc>
      </w:tr>
    </w:tbl>
    <w:p w14:paraId="0C64619F"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5910"/>
        <w:gridCol w:w="1680"/>
      </w:tblGrid>
      <w:tr w:rsidR="006F605B" w:rsidRPr="00DC66CD" w14:paraId="623A3789" w14:textId="77777777" w:rsidTr="00443306">
        <w:tc>
          <w:tcPr>
            <w:tcW w:w="1723" w:type="dxa"/>
            <w:shd w:val="clear" w:color="auto" w:fill="E5DFEC" w:themeFill="accent4" w:themeFillTint="33"/>
            <w:vAlign w:val="center"/>
          </w:tcPr>
          <w:p w14:paraId="0201D2ED" w14:textId="77777777" w:rsidR="006F605B" w:rsidRPr="00DC66CD" w:rsidRDefault="006F605B" w:rsidP="00443306">
            <w:pPr>
              <w:snapToGrid w:val="0"/>
              <w:spacing w:after="0" w:line="240" w:lineRule="auto"/>
              <w:jc w:val="center"/>
              <w:rPr>
                <w:rFonts w:ascii="Garamond" w:hAnsi="Garamond"/>
                <w:b/>
                <w:sz w:val="20"/>
                <w:szCs w:val="20"/>
              </w:rPr>
            </w:pPr>
          </w:p>
        </w:tc>
        <w:tc>
          <w:tcPr>
            <w:tcW w:w="6176" w:type="dxa"/>
            <w:shd w:val="clear" w:color="auto" w:fill="E5DFEC" w:themeFill="accent4" w:themeFillTint="33"/>
            <w:vAlign w:val="center"/>
          </w:tcPr>
          <w:p w14:paraId="1B05907D" w14:textId="77777777" w:rsidR="006F605B" w:rsidRPr="00DC66CD" w:rsidRDefault="006F605B" w:rsidP="00443306">
            <w:pPr>
              <w:snapToGrid w:val="0"/>
              <w:spacing w:after="0" w:line="240" w:lineRule="auto"/>
              <w:jc w:val="center"/>
              <w:rPr>
                <w:rFonts w:ascii="Garamond" w:hAnsi="Garamond"/>
                <w:b/>
                <w:sz w:val="20"/>
                <w:szCs w:val="20"/>
              </w:rPr>
            </w:pPr>
            <w:r w:rsidRPr="00DC66CD">
              <w:rPr>
                <w:rFonts w:ascii="Garamond" w:hAnsi="Garamond"/>
                <w:b/>
                <w:sz w:val="20"/>
                <w:szCs w:val="20"/>
              </w:rPr>
              <w:t>Rehabilitimi dhe ndërtimi i segmentit hekurudhor Durrës-Rinas-Tiranë</w:t>
            </w:r>
          </w:p>
        </w:tc>
        <w:tc>
          <w:tcPr>
            <w:tcW w:w="1723" w:type="dxa"/>
            <w:shd w:val="clear" w:color="auto" w:fill="E5DFEC" w:themeFill="accent4" w:themeFillTint="33"/>
            <w:vAlign w:val="center"/>
          </w:tcPr>
          <w:p w14:paraId="3F84BC57" w14:textId="7A15E157" w:rsidR="006F605B" w:rsidRPr="00DC66CD" w:rsidRDefault="00443306" w:rsidP="00443306">
            <w:pPr>
              <w:snapToGrid w:val="0"/>
              <w:spacing w:after="0" w:line="240" w:lineRule="auto"/>
              <w:jc w:val="center"/>
              <w:rPr>
                <w:rFonts w:ascii="Garamond" w:hAnsi="Garamond"/>
                <w:b/>
                <w:sz w:val="20"/>
                <w:szCs w:val="20"/>
              </w:rPr>
            </w:pPr>
            <w:r w:rsidRPr="00DC66CD">
              <w:rPr>
                <w:rFonts w:ascii="Garamond" w:hAnsi="Garamond"/>
                <w:b/>
                <w:sz w:val="20"/>
                <w:szCs w:val="20"/>
              </w:rPr>
              <w:t>Statusi i zbatimit të reformës (1–5)</w:t>
            </w:r>
          </w:p>
        </w:tc>
      </w:tr>
      <w:tr w:rsidR="006F605B" w:rsidRPr="00DC66CD" w14:paraId="5E09A47D" w14:textId="77777777" w:rsidTr="00131DA1">
        <w:tc>
          <w:tcPr>
            <w:tcW w:w="1723" w:type="dxa"/>
            <w:vMerge w:val="restart"/>
          </w:tcPr>
          <w:p w14:paraId="6E716C1E" w14:textId="5A04DF93"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Aktivitetet e planifikuara për 2019</w:t>
            </w:r>
            <w:r w:rsidR="00443306" w:rsidRPr="00DC66CD">
              <w:rPr>
                <w:rFonts w:ascii="Garamond" w:hAnsi="Garamond"/>
                <w:sz w:val="20"/>
                <w:szCs w:val="20"/>
              </w:rPr>
              <w:t>-ën</w:t>
            </w:r>
          </w:p>
        </w:tc>
        <w:tc>
          <w:tcPr>
            <w:tcW w:w="6176" w:type="dxa"/>
          </w:tcPr>
          <w:p w14:paraId="104DA394" w14:textId="015E917A" w:rsidR="006F605B" w:rsidRPr="00DC66CD" w:rsidRDefault="006F605B" w:rsidP="00131DA1">
            <w:pPr>
              <w:snapToGrid w:val="0"/>
              <w:spacing w:after="0" w:line="240" w:lineRule="auto"/>
              <w:jc w:val="both"/>
              <w:rPr>
                <w:rFonts w:ascii="Garamond" w:hAnsi="Garamond"/>
                <w:sz w:val="20"/>
                <w:szCs w:val="20"/>
              </w:rPr>
            </w:pPr>
            <w:r w:rsidRPr="00DC66CD">
              <w:rPr>
                <w:rFonts w:ascii="Garamond" w:hAnsi="Garamond"/>
                <w:sz w:val="20"/>
                <w:szCs w:val="20"/>
              </w:rPr>
              <w:t xml:space="preserve">15 maj 2019: Mbaroi </w:t>
            </w:r>
            <w:r w:rsidR="00443306" w:rsidRPr="00DC66CD">
              <w:rPr>
                <w:rFonts w:ascii="Garamond" w:hAnsi="Garamond"/>
                <w:sz w:val="20"/>
                <w:szCs w:val="20"/>
              </w:rPr>
              <w:t xml:space="preserve">faza e para kualifikimit </w:t>
            </w:r>
            <w:r w:rsidRPr="00DC66CD">
              <w:rPr>
                <w:rFonts w:ascii="Garamond" w:hAnsi="Garamond"/>
                <w:sz w:val="20"/>
                <w:szCs w:val="20"/>
              </w:rPr>
              <w:t xml:space="preserve">të tenderit që kishte filluar në </w:t>
            </w:r>
            <w:r w:rsidR="00443306" w:rsidRPr="00DC66CD">
              <w:rPr>
                <w:rFonts w:ascii="Garamond" w:hAnsi="Garamond"/>
                <w:sz w:val="20"/>
                <w:szCs w:val="20"/>
              </w:rPr>
              <w:t xml:space="preserve">prill </w:t>
            </w:r>
            <w:r w:rsidRPr="00DC66CD">
              <w:rPr>
                <w:rFonts w:ascii="Garamond" w:hAnsi="Garamond"/>
                <w:sz w:val="20"/>
                <w:szCs w:val="20"/>
              </w:rPr>
              <w:t>2018 Tenderi për punimet e ndërtimit.</w:t>
            </w:r>
          </w:p>
        </w:tc>
        <w:tc>
          <w:tcPr>
            <w:tcW w:w="1723" w:type="dxa"/>
          </w:tcPr>
          <w:p w14:paraId="0D890EC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28E40045" w14:textId="77777777" w:rsidTr="00131DA1">
        <w:tc>
          <w:tcPr>
            <w:tcW w:w="1723" w:type="dxa"/>
            <w:vMerge/>
          </w:tcPr>
          <w:p w14:paraId="32F83D55"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7855AB42" w14:textId="36CB43E0"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Korrik 2019: BERZH</w:t>
            </w:r>
            <w:r w:rsidR="00443306" w:rsidRPr="00DC66CD">
              <w:rPr>
                <w:rFonts w:ascii="Garamond" w:hAnsi="Garamond"/>
                <w:sz w:val="20"/>
                <w:szCs w:val="20"/>
              </w:rPr>
              <w:t>-i</w:t>
            </w:r>
            <w:r w:rsidRPr="00DC66CD">
              <w:rPr>
                <w:rFonts w:ascii="Garamond" w:hAnsi="Garamond"/>
                <w:sz w:val="20"/>
                <w:szCs w:val="20"/>
              </w:rPr>
              <w:t xml:space="preserve"> ka përgatitur dhe ndarë me </w:t>
            </w:r>
            <w:r w:rsidR="00443306" w:rsidRPr="00DC66CD">
              <w:rPr>
                <w:rFonts w:ascii="Garamond" w:hAnsi="Garamond"/>
                <w:sz w:val="20"/>
                <w:szCs w:val="20"/>
              </w:rPr>
              <w:t>klientin dokumentet standarde të tenderit</w:t>
            </w:r>
            <w:r w:rsidRPr="00DC66CD">
              <w:rPr>
                <w:rFonts w:ascii="Garamond" w:hAnsi="Garamond"/>
                <w:sz w:val="20"/>
                <w:szCs w:val="20"/>
              </w:rPr>
              <w:t>, për fazën e prokurimit është paraparë si duhet.</w:t>
            </w:r>
          </w:p>
        </w:tc>
        <w:tc>
          <w:tcPr>
            <w:tcW w:w="1723" w:type="dxa"/>
          </w:tcPr>
          <w:p w14:paraId="09980AD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3FD18A66" w14:textId="77777777" w:rsidTr="00131DA1">
        <w:tc>
          <w:tcPr>
            <w:tcW w:w="1723" w:type="dxa"/>
            <w:vMerge/>
          </w:tcPr>
          <w:p w14:paraId="4DEB12B5"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4E399A12" w14:textId="38A9021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6M I 2019: HSH s</w:t>
            </w:r>
            <w:r w:rsidR="00443306" w:rsidRPr="00DC66CD">
              <w:rPr>
                <w:rFonts w:ascii="Garamond" w:hAnsi="Garamond"/>
                <w:sz w:val="20"/>
                <w:szCs w:val="20"/>
              </w:rPr>
              <w:t>ë</w:t>
            </w:r>
            <w:r w:rsidRPr="00DC66CD">
              <w:rPr>
                <w:rFonts w:ascii="Garamond" w:hAnsi="Garamond"/>
                <w:sz w:val="20"/>
                <w:szCs w:val="20"/>
              </w:rPr>
              <w:t xml:space="preserve"> bashku me autoritetet kombëtare përkatëse.</w:t>
            </w:r>
          </w:p>
          <w:p w14:paraId="12D88919" w14:textId="46C1F9AE"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Përfundoi të gjitha lejet dhe autorizimet sipas legjislacionit shqiptar për fillimin e tij të një projekti prioritar të infrastrukturës</w:t>
            </w:r>
            <w:r w:rsidR="00443306" w:rsidRPr="00DC66CD">
              <w:rPr>
                <w:rFonts w:ascii="Garamond" w:hAnsi="Garamond"/>
                <w:sz w:val="20"/>
                <w:szCs w:val="20"/>
              </w:rPr>
              <w:t>.</w:t>
            </w:r>
          </w:p>
        </w:tc>
        <w:tc>
          <w:tcPr>
            <w:tcW w:w="1723" w:type="dxa"/>
          </w:tcPr>
          <w:p w14:paraId="18102E6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1EA285CF" w14:textId="77777777" w:rsidTr="00131DA1">
        <w:tc>
          <w:tcPr>
            <w:tcW w:w="1723" w:type="dxa"/>
            <w:vMerge/>
          </w:tcPr>
          <w:p w14:paraId="64B7487D"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6664D0A7" w14:textId="1A947370"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Gusht 2019: Konsulenti i BERZH</w:t>
            </w:r>
            <w:r w:rsidR="00443306" w:rsidRPr="00DC66CD">
              <w:rPr>
                <w:rFonts w:ascii="Garamond" w:hAnsi="Garamond"/>
                <w:sz w:val="20"/>
                <w:szCs w:val="20"/>
              </w:rPr>
              <w:t>-it</w:t>
            </w:r>
            <w:r w:rsidRPr="00DC66CD">
              <w:rPr>
                <w:rFonts w:ascii="Garamond" w:hAnsi="Garamond"/>
                <w:sz w:val="20"/>
                <w:szCs w:val="20"/>
              </w:rPr>
              <w:t xml:space="preserve"> përgatit dokumentet e tenderimit (DT)</w:t>
            </w:r>
          </w:p>
        </w:tc>
        <w:tc>
          <w:tcPr>
            <w:tcW w:w="1723" w:type="dxa"/>
          </w:tcPr>
          <w:p w14:paraId="44A5906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5DABEB80" w14:textId="77777777" w:rsidTr="00131DA1">
        <w:tc>
          <w:tcPr>
            <w:tcW w:w="1723" w:type="dxa"/>
            <w:vMerge/>
          </w:tcPr>
          <w:p w14:paraId="5BF4125E"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3D717485" w14:textId="77777777" w:rsidR="006F605B" w:rsidRPr="00DC66CD" w:rsidRDefault="006F605B" w:rsidP="00131DA1">
            <w:pPr>
              <w:snapToGrid w:val="0"/>
              <w:spacing w:after="0" w:line="240" w:lineRule="auto"/>
              <w:rPr>
                <w:rFonts w:ascii="Garamond" w:hAnsi="Garamond"/>
                <w:sz w:val="20"/>
                <w:szCs w:val="20"/>
              </w:rPr>
            </w:pPr>
            <w:r w:rsidRPr="00DC66CD">
              <w:rPr>
                <w:rStyle w:val="tlid-translation"/>
                <w:rFonts w:ascii="Garamond" w:hAnsi="Garamond"/>
                <w:sz w:val="20"/>
                <w:szCs w:val="20"/>
              </w:rPr>
              <w:t>T3 II 2019 për të rënë dakord për ndërtimin e punimeve, për punimet e rehabilitimit që mund të fillojnë pa vonesë përmes përfundimit të procedurave;</w:t>
            </w:r>
          </w:p>
        </w:tc>
        <w:tc>
          <w:tcPr>
            <w:tcW w:w="1723" w:type="dxa"/>
          </w:tcPr>
          <w:p w14:paraId="448FDA0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1</w:t>
            </w:r>
          </w:p>
        </w:tc>
      </w:tr>
      <w:tr w:rsidR="006F605B" w:rsidRPr="00DC66CD" w14:paraId="428BB6AD" w14:textId="77777777" w:rsidTr="00131DA1">
        <w:tc>
          <w:tcPr>
            <w:tcW w:w="1723" w:type="dxa"/>
            <w:vMerge w:val="restart"/>
          </w:tcPr>
          <w:p w14:paraId="277666B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6176" w:type="dxa"/>
          </w:tcPr>
          <w:p w14:paraId="04504751" w14:textId="0FF96B33"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 xml:space="preserve">Shtator 2019: </w:t>
            </w:r>
            <w:r w:rsidR="00443306" w:rsidRPr="00DC66CD">
              <w:rPr>
                <w:rFonts w:ascii="Garamond" w:hAnsi="Garamond"/>
                <w:sz w:val="20"/>
                <w:szCs w:val="20"/>
              </w:rPr>
              <w:t xml:space="preserve">Në </w:t>
            </w:r>
            <w:r w:rsidRPr="00DC66CD">
              <w:rPr>
                <w:rFonts w:ascii="Garamond" w:hAnsi="Garamond"/>
                <w:sz w:val="20"/>
                <w:szCs w:val="20"/>
              </w:rPr>
              <w:t xml:space="preserve">fillim të muajit të ardhshëm TD do të nisë pas përgatitjes së formularit të </w:t>
            </w:r>
            <w:r w:rsidR="00443306" w:rsidRPr="00DC66CD">
              <w:rPr>
                <w:rFonts w:ascii="Garamond" w:hAnsi="Garamond"/>
                <w:sz w:val="20"/>
                <w:szCs w:val="20"/>
              </w:rPr>
              <w:t>kërkesës teknike</w:t>
            </w:r>
          </w:p>
        </w:tc>
        <w:tc>
          <w:tcPr>
            <w:tcW w:w="1723" w:type="dxa"/>
          </w:tcPr>
          <w:p w14:paraId="16CC9C0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1</w:t>
            </w:r>
          </w:p>
        </w:tc>
      </w:tr>
      <w:tr w:rsidR="006F605B" w:rsidRPr="00DC66CD" w14:paraId="628D193B" w14:textId="77777777" w:rsidTr="00131DA1">
        <w:tc>
          <w:tcPr>
            <w:tcW w:w="1723" w:type="dxa"/>
            <w:vMerge/>
          </w:tcPr>
          <w:p w14:paraId="04EBF2C7"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6ACD6D4B" w14:textId="22D55149"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Tetor</w:t>
            </w:r>
            <w:r w:rsidR="00443306" w:rsidRPr="00DC66CD">
              <w:rPr>
                <w:rFonts w:ascii="Garamond" w:hAnsi="Garamond"/>
                <w:sz w:val="20"/>
                <w:szCs w:val="20"/>
              </w:rPr>
              <w:t>–dhjetor</w:t>
            </w:r>
            <w:r w:rsidRPr="00DC66CD">
              <w:rPr>
                <w:rFonts w:ascii="Garamond" w:hAnsi="Garamond"/>
                <w:sz w:val="20"/>
                <w:szCs w:val="20"/>
              </w:rPr>
              <w:t>: Faza e prokurimit parashikohet të përfundojë</w:t>
            </w:r>
          </w:p>
        </w:tc>
        <w:tc>
          <w:tcPr>
            <w:tcW w:w="1723" w:type="dxa"/>
          </w:tcPr>
          <w:p w14:paraId="65E6CE8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1</w:t>
            </w:r>
          </w:p>
        </w:tc>
      </w:tr>
      <w:tr w:rsidR="006F605B" w:rsidRPr="00DC66CD" w14:paraId="3B0014C2" w14:textId="77777777" w:rsidTr="00131DA1">
        <w:tc>
          <w:tcPr>
            <w:tcW w:w="1723" w:type="dxa"/>
            <w:vMerge/>
          </w:tcPr>
          <w:p w14:paraId="5A0DDBA0"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60AF783E" w14:textId="3C334211"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 xml:space="preserve">Dhjetor 2019: </w:t>
            </w:r>
            <w:r w:rsidR="00443306" w:rsidRPr="00DC66CD">
              <w:rPr>
                <w:rFonts w:ascii="Garamond" w:hAnsi="Garamond"/>
                <w:sz w:val="20"/>
                <w:szCs w:val="20"/>
              </w:rPr>
              <w:t xml:space="preserve">Mekanizmi </w:t>
            </w:r>
            <w:r w:rsidRPr="00DC66CD">
              <w:rPr>
                <w:rFonts w:ascii="Garamond" w:hAnsi="Garamond"/>
                <w:sz w:val="20"/>
                <w:szCs w:val="20"/>
              </w:rPr>
              <w:t>i trajtimit për periudhën e ankimit</w:t>
            </w:r>
          </w:p>
        </w:tc>
        <w:tc>
          <w:tcPr>
            <w:tcW w:w="1723" w:type="dxa"/>
          </w:tcPr>
          <w:p w14:paraId="46A4CAAC"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1</w:t>
            </w:r>
          </w:p>
        </w:tc>
      </w:tr>
      <w:tr w:rsidR="006F605B" w:rsidRPr="00DC66CD" w14:paraId="66B48E61" w14:textId="77777777" w:rsidTr="00131DA1">
        <w:tc>
          <w:tcPr>
            <w:tcW w:w="1723" w:type="dxa"/>
            <w:vMerge/>
          </w:tcPr>
          <w:p w14:paraId="0D291C03"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7D246824"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Fundi i vitit 2019 deri në fillimin e vitit 2020: Dhënia e kontratës dhe fillimi i punimeve tashmë janë parashikuar me një kohëzgjatje prej 30 muajsh.</w:t>
            </w:r>
          </w:p>
        </w:tc>
        <w:tc>
          <w:tcPr>
            <w:tcW w:w="1723" w:type="dxa"/>
          </w:tcPr>
          <w:p w14:paraId="78BC3119"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1</w:t>
            </w:r>
          </w:p>
        </w:tc>
      </w:tr>
    </w:tbl>
    <w:p w14:paraId="37C71AA5"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5911"/>
        <w:gridCol w:w="1680"/>
      </w:tblGrid>
      <w:tr w:rsidR="006F605B" w:rsidRPr="00DC66CD" w14:paraId="5DF87935" w14:textId="77777777" w:rsidTr="00443306">
        <w:tc>
          <w:tcPr>
            <w:tcW w:w="1723" w:type="dxa"/>
            <w:shd w:val="clear" w:color="auto" w:fill="E5DFEC" w:themeFill="accent4" w:themeFillTint="33"/>
          </w:tcPr>
          <w:p w14:paraId="6C560BFF" w14:textId="77777777" w:rsidR="006F605B" w:rsidRPr="00DC66CD" w:rsidRDefault="006F605B" w:rsidP="00131DA1">
            <w:pPr>
              <w:snapToGrid w:val="0"/>
              <w:spacing w:after="0" w:line="240" w:lineRule="auto"/>
              <w:rPr>
                <w:rFonts w:ascii="Garamond" w:hAnsi="Garamond"/>
                <w:b/>
                <w:sz w:val="20"/>
                <w:szCs w:val="20"/>
              </w:rPr>
            </w:pPr>
          </w:p>
        </w:tc>
        <w:tc>
          <w:tcPr>
            <w:tcW w:w="6176" w:type="dxa"/>
            <w:shd w:val="clear" w:color="auto" w:fill="E5DFEC" w:themeFill="accent4" w:themeFillTint="33"/>
            <w:vAlign w:val="center"/>
          </w:tcPr>
          <w:p w14:paraId="3C173098" w14:textId="77777777" w:rsidR="006F605B" w:rsidRPr="00DC66CD" w:rsidRDefault="006F605B" w:rsidP="00443306">
            <w:pPr>
              <w:snapToGrid w:val="0"/>
              <w:spacing w:after="0" w:line="240" w:lineRule="auto"/>
              <w:jc w:val="center"/>
              <w:rPr>
                <w:rFonts w:ascii="Garamond" w:hAnsi="Garamond"/>
                <w:b/>
                <w:sz w:val="20"/>
                <w:szCs w:val="20"/>
              </w:rPr>
            </w:pPr>
            <w:r w:rsidRPr="00DC66CD">
              <w:rPr>
                <w:rFonts w:ascii="Garamond" w:hAnsi="Garamond"/>
                <w:b/>
                <w:sz w:val="20"/>
                <w:szCs w:val="20"/>
              </w:rPr>
              <w:t>Konsolidimi dhe defragmentimi i tokës bujqësore</w:t>
            </w:r>
          </w:p>
        </w:tc>
        <w:tc>
          <w:tcPr>
            <w:tcW w:w="1723" w:type="dxa"/>
            <w:shd w:val="clear" w:color="auto" w:fill="E5DFEC" w:themeFill="accent4" w:themeFillTint="33"/>
          </w:tcPr>
          <w:p w14:paraId="60B013E7" w14:textId="33869642" w:rsidR="006F605B" w:rsidRPr="00DC66CD" w:rsidRDefault="00443306" w:rsidP="00131DA1">
            <w:pPr>
              <w:snapToGrid w:val="0"/>
              <w:spacing w:after="0" w:line="240" w:lineRule="auto"/>
              <w:rPr>
                <w:rFonts w:ascii="Garamond" w:hAnsi="Garamond"/>
                <w:sz w:val="20"/>
                <w:szCs w:val="20"/>
              </w:rPr>
            </w:pPr>
            <w:r w:rsidRPr="00DC66CD">
              <w:rPr>
                <w:rFonts w:ascii="Garamond" w:hAnsi="Garamond"/>
                <w:b/>
                <w:sz w:val="20"/>
                <w:szCs w:val="20"/>
              </w:rPr>
              <w:t>Statusi i zbatimit të reformës (1–5)</w:t>
            </w:r>
          </w:p>
        </w:tc>
      </w:tr>
      <w:tr w:rsidR="006F605B" w:rsidRPr="00DC66CD" w14:paraId="5342B256" w14:textId="77777777" w:rsidTr="00131DA1">
        <w:tc>
          <w:tcPr>
            <w:tcW w:w="1723" w:type="dxa"/>
            <w:vMerge w:val="restart"/>
          </w:tcPr>
          <w:p w14:paraId="204EBC8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Aktivitetet e planifikuara për 2019</w:t>
            </w:r>
          </w:p>
        </w:tc>
        <w:tc>
          <w:tcPr>
            <w:tcW w:w="6176" w:type="dxa"/>
          </w:tcPr>
          <w:p w14:paraId="07A2309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1. Krijimi i Sistemit Informatik të Tokës për 38,100 ha tokë bujqësore.</w:t>
            </w:r>
          </w:p>
        </w:tc>
        <w:tc>
          <w:tcPr>
            <w:tcW w:w="1723" w:type="dxa"/>
          </w:tcPr>
          <w:p w14:paraId="742F3CF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3</w:t>
            </w:r>
          </w:p>
        </w:tc>
      </w:tr>
      <w:tr w:rsidR="006F605B" w:rsidRPr="00DC66CD" w14:paraId="1EBCEB11" w14:textId="77777777" w:rsidTr="00131DA1">
        <w:tc>
          <w:tcPr>
            <w:tcW w:w="1723" w:type="dxa"/>
            <w:vMerge/>
          </w:tcPr>
          <w:p w14:paraId="40C06894"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3078DFB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2. Digjitalizimi i regjistrit të tokës bujqësore për 20 njësi administrative.</w:t>
            </w:r>
          </w:p>
        </w:tc>
        <w:tc>
          <w:tcPr>
            <w:tcW w:w="1723" w:type="dxa"/>
          </w:tcPr>
          <w:p w14:paraId="282B432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4E419F97" w14:textId="77777777" w:rsidTr="00131DA1">
        <w:tc>
          <w:tcPr>
            <w:tcW w:w="1723" w:type="dxa"/>
          </w:tcPr>
          <w:p w14:paraId="5092BD39"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6176" w:type="dxa"/>
          </w:tcPr>
          <w:p w14:paraId="28720994"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Për shkak të dështimit të procedurave të prokurimit, buxheti qendror për 2019 u zvogëlua me 30 mln. Parashikuar, në 15 mln.</w:t>
            </w:r>
          </w:p>
        </w:tc>
        <w:tc>
          <w:tcPr>
            <w:tcW w:w="1723" w:type="dxa"/>
          </w:tcPr>
          <w:p w14:paraId="39E62C6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3</w:t>
            </w:r>
          </w:p>
        </w:tc>
      </w:tr>
    </w:tbl>
    <w:p w14:paraId="46944496"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5908"/>
        <w:gridCol w:w="1681"/>
      </w:tblGrid>
      <w:tr w:rsidR="006F605B" w:rsidRPr="00DC66CD" w14:paraId="053AB0F8" w14:textId="77777777" w:rsidTr="00443306">
        <w:tc>
          <w:tcPr>
            <w:tcW w:w="1723" w:type="dxa"/>
            <w:shd w:val="clear" w:color="auto" w:fill="E5DFEC" w:themeFill="accent4" w:themeFillTint="33"/>
            <w:vAlign w:val="center"/>
          </w:tcPr>
          <w:p w14:paraId="41181B70" w14:textId="77777777" w:rsidR="006F605B" w:rsidRPr="00DC66CD" w:rsidRDefault="006F605B" w:rsidP="00443306">
            <w:pPr>
              <w:snapToGrid w:val="0"/>
              <w:spacing w:after="0" w:line="240" w:lineRule="auto"/>
              <w:jc w:val="center"/>
              <w:rPr>
                <w:rFonts w:ascii="Garamond" w:hAnsi="Garamond"/>
                <w:b/>
                <w:sz w:val="20"/>
                <w:szCs w:val="20"/>
              </w:rPr>
            </w:pPr>
          </w:p>
        </w:tc>
        <w:tc>
          <w:tcPr>
            <w:tcW w:w="6176" w:type="dxa"/>
            <w:shd w:val="clear" w:color="auto" w:fill="E5DFEC" w:themeFill="accent4" w:themeFillTint="33"/>
            <w:vAlign w:val="center"/>
          </w:tcPr>
          <w:p w14:paraId="54E17592" w14:textId="77777777" w:rsidR="006F605B" w:rsidRPr="00DC66CD" w:rsidRDefault="006F605B" w:rsidP="00443306">
            <w:pPr>
              <w:snapToGrid w:val="0"/>
              <w:spacing w:after="0" w:line="240" w:lineRule="auto"/>
              <w:jc w:val="center"/>
              <w:rPr>
                <w:rFonts w:ascii="Garamond" w:hAnsi="Garamond"/>
                <w:b/>
                <w:sz w:val="20"/>
                <w:szCs w:val="20"/>
              </w:rPr>
            </w:pPr>
            <w:r w:rsidRPr="00DC66CD">
              <w:rPr>
                <w:rFonts w:ascii="Garamond" w:hAnsi="Garamond"/>
                <w:b/>
                <w:sz w:val="20"/>
                <w:szCs w:val="20"/>
              </w:rPr>
              <w:t>Reforma e sektorit të ujësjellës-kanalizime</w:t>
            </w:r>
          </w:p>
        </w:tc>
        <w:tc>
          <w:tcPr>
            <w:tcW w:w="1723" w:type="dxa"/>
            <w:shd w:val="clear" w:color="auto" w:fill="E5DFEC" w:themeFill="accent4" w:themeFillTint="33"/>
            <w:vAlign w:val="center"/>
          </w:tcPr>
          <w:p w14:paraId="686852BB" w14:textId="7DF28964" w:rsidR="006F605B" w:rsidRPr="00DC66CD" w:rsidRDefault="00443306" w:rsidP="00443306">
            <w:pPr>
              <w:snapToGrid w:val="0"/>
              <w:spacing w:after="0" w:line="240" w:lineRule="auto"/>
              <w:jc w:val="center"/>
              <w:rPr>
                <w:rFonts w:ascii="Garamond" w:hAnsi="Garamond"/>
                <w:b/>
                <w:sz w:val="20"/>
                <w:szCs w:val="20"/>
              </w:rPr>
            </w:pPr>
            <w:r w:rsidRPr="00DC66CD">
              <w:rPr>
                <w:rFonts w:ascii="Garamond" w:hAnsi="Garamond"/>
                <w:b/>
                <w:sz w:val="20"/>
                <w:szCs w:val="20"/>
              </w:rPr>
              <w:t>Statusi i zbatimit të reformës (1–5)</w:t>
            </w:r>
          </w:p>
        </w:tc>
      </w:tr>
      <w:tr w:rsidR="006F605B" w:rsidRPr="00DC66CD" w14:paraId="279856C6" w14:textId="77777777" w:rsidTr="00131DA1">
        <w:tc>
          <w:tcPr>
            <w:tcW w:w="1723" w:type="dxa"/>
            <w:vMerge w:val="restart"/>
          </w:tcPr>
          <w:p w14:paraId="37A3D630" w14:textId="24C05819"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Aktivitetet e planifikuara për 2019</w:t>
            </w:r>
            <w:r w:rsidR="00443306" w:rsidRPr="00DC66CD">
              <w:rPr>
                <w:rFonts w:ascii="Garamond" w:hAnsi="Garamond"/>
                <w:sz w:val="20"/>
                <w:szCs w:val="20"/>
              </w:rPr>
              <w:t>-ën</w:t>
            </w:r>
          </w:p>
        </w:tc>
        <w:tc>
          <w:tcPr>
            <w:tcW w:w="6176" w:type="dxa"/>
          </w:tcPr>
          <w:p w14:paraId="235CBCD7"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Vlerësimi dhe optimizimi i kontratave të performancës</w:t>
            </w:r>
          </w:p>
        </w:tc>
        <w:tc>
          <w:tcPr>
            <w:tcW w:w="1723" w:type="dxa"/>
          </w:tcPr>
          <w:p w14:paraId="37C54FE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4</w:t>
            </w:r>
          </w:p>
        </w:tc>
      </w:tr>
      <w:tr w:rsidR="006F605B" w:rsidRPr="00DC66CD" w14:paraId="59DAC68A" w14:textId="77777777" w:rsidTr="00131DA1">
        <w:tc>
          <w:tcPr>
            <w:tcW w:w="1723" w:type="dxa"/>
            <w:vMerge/>
          </w:tcPr>
          <w:p w14:paraId="1A45A055"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7C248B68" w14:textId="4F77F361"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 xml:space="preserve">Hartimi i ligjit </w:t>
            </w:r>
            <w:r w:rsidR="002A29AD" w:rsidRPr="00DC66CD">
              <w:rPr>
                <w:rFonts w:ascii="Garamond" w:hAnsi="Garamond"/>
                <w:sz w:val="20"/>
                <w:szCs w:val="20"/>
              </w:rPr>
              <w:t>“</w:t>
            </w:r>
            <w:r w:rsidRPr="00DC66CD">
              <w:rPr>
                <w:rFonts w:ascii="Garamond" w:hAnsi="Garamond"/>
                <w:sz w:val="20"/>
                <w:szCs w:val="20"/>
              </w:rPr>
              <w:t>për furnizimin me ujë dhe shërbimet e kanalizimeve të ujërave të mbetjeve urbane</w:t>
            </w:r>
            <w:r w:rsidR="002A29AD" w:rsidRPr="00DC66CD">
              <w:rPr>
                <w:rFonts w:ascii="Garamond" w:hAnsi="Garamond"/>
                <w:sz w:val="20"/>
                <w:szCs w:val="20"/>
              </w:rPr>
              <w:t>”</w:t>
            </w:r>
          </w:p>
        </w:tc>
        <w:tc>
          <w:tcPr>
            <w:tcW w:w="1723" w:type="dxa"/>
          </w:tcPr>
          <w:p w14:paraId="21050D4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4</w:t>
            </w:r>
          </w:p>
        </w:tc>
      </w:tr>
      <w:tr w:rsidR="006F605B" w:rsidRPr="00DC66CD" w14:paraId="489C86F0" w14:textId="77777777" w:rsidTr="00131DA1">
        <w:tc>
          <w:tcPr>
            <w:tcW w:w="1723" w:type="dxa"/>
            <w:vMerge/>
          </w:tcPr>
          <w:p w14:paraId="38FF77FF"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3BAB3FA3" w14:textId="020081F1" w:rsidR="006F605B" w:rsidRPr="00DC66CD" w:rsidRDefault="006F605B" w:rsidP="00131DA1">
            <w:pPr>
              <w:snapToGrid w:val="0"/>
              <w:spacing w:after="0" w:line="240" w:lineRule="auto"/>
              <w:jc w:val="both"/>
              <w:rPr>
                <w:rFonts w:ascii="Garamond" w:hAnsi="Garamond"/>
                <w:sz w:val="20"/>
                <w:szCs w:val="20"/>
              </w:rPr>
            </w:pPr>
            <w:r w:rsidRPr="00DC66CD">
              <w:rPr>
                <w:rFonts w:ascii="Garamond" w:hAnsi="Garamond"/>
                <w:sz w:val="20"/>
                <w:szCs w:val="20"/>
              </w:rPr>
              <w:t>Hartimi i strategjisë kombëtare të furnizimit me ujë dhe sektorit të kanalizimeve</w:t>
            </w:r>
            <w:r w:rsidR="00443306" w:rsidRPr="00DC66CD">
              <w:rPr>
                <w:rFonts w:ascii="Garamond" w:hAnsi="Garamond"/>
                <w:sz w:val="20"/>
                <w:szCs w:val="20"/>
              </w:rPr>
              <w:t>,</w:t>
            </w:r>
            <w:r w:rsidRPr="00DC66CD">
              <w:rPr>
                <w:rFonts w:ascii="Garamond" w:hAnsi="Garamond"/>
                <w:sz w:val="20"/>
                <w:szCs w:val="20"/>
              </w:rPr>
              <w:t xml:space="preserve"> </w:t>
            </w:r>
            <w:r w:rsidR="00433A3A" w:rsidRPr="00DC66CD">
              <w:rPr>
                <w:rFonts w:ascii="Garamond" w:hAnsi="Garamond"/>
                <w:sz w:val="20"/>
                <w:szCs w:val="20"/>
              </w:rPr>
              <w:t>2019–</w:t>
            </w:r>
            <w:r w:rsidRPr="00DC66CD">
              <w:rPr>
                <w:rFonts w:ascii="Garamond" w:hAnsi="Garamond"/>
                <w:sz w:val="20"/>
                <w:szCs w:val="20"/>
              </w:rPr>
              <w:t>2030</w:t>
            </w:r>
          </w:p>
        </w:tc>
        <w:tc>
          <w:tcPr>
            <w:tcW w:w="1723" w:type="dxa"/>
          </w:tcPr>
          <w:p w14:paraId="33B52D6D"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4</w:t>
            </w:r>
          </w:p>
        </w:tc>
      </w:tr>
      <w:tr w:rsidR="006F605B" w:rsidRPr="00DC66CD" w14:paraId="2473EEC2" w14:textId="77777777" w:rsidTr="00131DA1">
        <w:tc>
          <w:tcPr>
            <w:tcW w:w="1723" w:type="dxa"/>
            <w:vMerge w:val="restart"/>
          </w:tcPr>
          <w:p w14:paraId="37F184F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6176" w:type="dxa"/>
          </w:tcPr>
          <w:p w14:paraId="478616FF" w14:textId="77777777" w:rsidR="006F605B" w:rsidRPr="00DC66CD" w:rsidRDefault="006F605B" w:rsidP="00131DA1">
            <w:pPr>
              <w:snapToGrid w:val="0"/>
              <w:spacing w:after="0" w:line="240" w:lineRule="auto"/>
              <w:rPr>
                <w:rFonts w:ascii="Garamond" w:hAnsi="Garamond"/>
                <w:sz w:val="20"/>
                <w:szCs w:val="20"/>
              </w:rPr>
            </w:pPr>
          </w:p>
        </w:tc>
        <w:tc>
          <w:tcPr>
            <w:tcW w:w="1723" w:type="dxa"/>
          </w:tcPr>
          <w:p w14:paraId="7E2D21BB"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46956F2F" w14:textId="77777777" w:rsidTr="00131DA1">
        <w:tc>
          <w:tcPr>
            <w:tcW w:w="1723" w:type="dxa"/>
            <w:vMerge/>
          </w:tcPr>
          <w:p w14:paraId="0E9B4AA4"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768B37F6" w14:textId="77777777" w:rsidR="006F605B" w:rsidRPr="00DC66CD" w:rsidRDefault="006F605B" w:rsidP="00131DA1">
            <w:pPr>
              <w:snapToGrid w:val="0"/>
              <w:spacing w:after="0" w:line="240" w:lineRule="auto"/>
              <w:rPr>
                <w:rFonts w:ascii="Garamond" w:hAnsi="Garamond"/>
                <w:sz w:val="20"/>
                <w:szCs w:val="20"/>
              </w:rPr>
            </w:pPr>
          </w:p>
        </w:tc>
        <w:tc>
          <w:tcPr>
            <w:tcW w:w="1723" w:type="dxa"/>
          </w:tcPr>
          <w:p w14:paraId="55EED605"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00D080AB" w14:textId="77777777" w:rsidTr="00131DA1">
        <w:tc>
          <w:tcPr>
            <w:tcW w:w="1723" w:type="dxa"/>
            <w:vMerge/>
          </w:tcPr>
          <w:p w14:paraId="6DD73118"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73834972" w14:textId="77777777" w:rsidR="006F605B" w:rsidRPr="00DC66CD" w:rsidRDefault="006F605B" w:rsidP="00131DA1">
            <w:pPr>
              <w:snapToGrid w:val="0"/>
              <w:spacing w:after="0" w:line="240" w:lineRule="auto"/>
              <w:rPr>
                <w:rFonts w:ascii="Garamond" w:hAnsi="Garamond"/>
                <w:sz w:val="20"/>
                <w:szCs w:val="20"/>
              </w:rPr>
            </w:pPr>
          </w:p>
        </w:tc>
        <w:tc>
          <w:tcPr>
            <w:tcW w:w="1723" w:type="dxa"/>
          </w:tcPr>
          <w:p w14:paraId="0EA591A1" w14:textId="77777777" w:rsidR="006F605B" w:rsidRPr="00DC66CD" w:rsidRDefault="006F605B" w:rsidP="00131DA1">
            <w:pPr>
              <w:snapToGrid w:val="0"/>
              <w:spacing w:after="0" w:line="240" w:lineRule="auto"/>
              <w:rPr>
                <w:rFonts w:ascii="Garamond" w:hAnsi="Garamond"/>
                <w:sz w:val="20"/>
                <w:szCs w:val="20"/>
              </w:rPr>
            </w:pPr>
          </w:p>
        </w:tc>
      </w:tr>
    </w:tbl>
    <w:p w14:paraId="59E4D5EB" w14:textId="77777777" w:rsidR="006F605B" w:rsidRPr="00DC66CD" w:rsidRDefault="006F605B" w:rsidP="006F605B">
      <w:pPr>
        <w:snapToGrid w:val="0"/>
        <w:spacing w:after="0" w:line="240" w:lineRule="auto"/>
        <w:ind w:firstLine="284"/>
        <w:rPr>
          <w:rFonts w:ascii="Garamond" w:hAnsi="Garamond"/>
          <w:sz w:val="24"/>
          <w:szCs w:val="24"/>
        </w:rPr>
      </w:pPr>
    </w:p>
    <w:tbl>
      <w:tblPr>
        <w:tblStyle w:val="TableGrid1"/>
        <w:tblW w:w="9519" w:type="dxa"/>
        <w:tblLayout w:type="fixed"/>
        <w:tblLook w:val="04A0" w:firstRow="1" w:lastRow="0" w:firstColumn="1" w:lastColumn="0" w:noHBand="0" w:noVBand="1"/>
      </w:tblPr>
      <w:tblGrid>
        <w:gridCol w:w="1723"/>
        <w:gridCol w:w="5855"/>
        <w:gridCol w:w="1941"/>
      </w:tblGrid>
      <w:tr w:rsidR="006F605B" w:rsidRPr="00DC66CD" w14:paraId="6276FB51" w14:textId="77777777" w:rsidTr="00DC66CD">
        <w:trPr>
          <w:trHeight w:val="550"/>
        </w:trPr>
        <w:tc>
          <w:tcPr>
            <w:tcW w:w="1723" w:type="dxa"/>
            <w:shd w:val="clear" w:color="auto" w:fill="E5DFEC" w:themeFill="accent4" w:themeFillTint="33"/>
            <w:vAlign w:val="center"/>
          </w:tcPr>
          <w:p w14:paraId="3AEF823F" w14:textId="77777777" w:rsidR="006F605B" w:rsidRPr="00DC66CD" w:rsidRDefault="006F605B" w:rsidP="00DC66CD">
            <w:pPr>
              <w:snapToGrid w:val="0"/>
              <w:jc w:val="center"/>
              <w:rPr>
                <w:rFonts w:ascii="Garamond" w:hAnsi="Garamond"/>
                <w:sz w:val="20"/>
                <w:szCs w:val="20"/>
                <w:lang w:val="sq-AL"/>
              </w:rPr>
            </w:pPr>
          </w:p>
        </w:tc>
        <w:tc>
          <w:tcPr>
            <w:tcW w:w="5855" w:type="dxa"/>
            <w:shd w:val="clear" w:color="auto" w:fill="E5DFEC" w:themeFill="accent4" w:themeFillTint="33"/>
            <w:vAlign w:val="center"/>
          </w:tcPr>
          <w:p w14:paraId="11648315" w14:textId="77777777" w:rsidR="006F605B" w:rsidRPr="00DC66CD" w:rsidRDefault="006F605B" w:rsidP="00DC66CD">
            <w:pPr>
              <w:snapToGrid w:val="0"/>
              <w:jc w:val="center"/>
              <w:rPr>
                <w:rFonts w:ascii="Garamond" w:hAnsi="Garamond"/>
                <w:b/>
                <w:sz w:val="20"/>
                <w:szCs w:val="20"/>
                <w:lang w:val="sq-AL"/>
              </w:rPr>
            </w:pPr>
            <w:r w:rsidRPr="00DC66CD">
              <w:rPr>
                <w:rFonts w:ascii="Garamond" w:hAnsi="Garamond"/>
                <w:b/>
                <w:sz w:val="20"/>
                <w:szCs w:val="20"/>
                <w:lang w:val="sq-AL"/>
              </w:rPr>
              <w:t>Reforma e taksës së pasurisë dhe krijimi i kadastrës fiskale</w:t>
            </w:r>
          </w:p>
        </w:tc>
        <w:tc>
          <w:tcPr>
            <w:tcW w:w="1941" w:type="dxa"/>
            <w:shd w:val="clear" w:color="auto" w:fill="E5DFEC" w:themeFill="accent4" w:themeFillTint="33"/>
            <w:vAlign w:val="center"/>
          </w:tcPr>
          <w:p w14:paraId="58056816" w14:textId="41D0F7FC" w:rsidR="006F605B" w:rsidRPr="00DC66CD" w:rsidRDefault="00443306" w:rsidP="00DC66CD">
            <w:pPr>
              <w:snapToGrid w:val="0"/>
              <w:jc w:val="center"/>
              <w:rPr>
                <w:rFonts w:ascii="Garamond" w:hAnsi="Garamond"/>
                <w:sz w:val="20"/>
                <w:szCs w:val="20"/>
                <w:lang w:val="sq-AL"/>
              </w:rPr>
            </w:pPr>
            <w:r w:rsidRPr="00DC66CD">
              <w:rPr>
                <w:rFonts w:ascii="Garamond" w:hAnsi="Garamond"/>
                <w:b/>
                <w:sz w:val="20"/>
                <w:szCs w:val="20"/>
                <w:lang w:val="sq-AL"/>
              </w:rPr>
              <w:t>Statusi i zbatimit të reformës (1–5)</w:t>
            </w:r>
          </w:p>
        </w:tc>
      </w:tr>
      <w:tr w:rsidR="006F605B" w:rsidRPr="00DC66CD" w14:paraId="23549B03" w14:textId="77777777" w:rsidTr="00DC66CD">
        <w:trPr>
          <w:trHeight w:val="1407"/>
        </w:trPr>
        <w:tc>
          <w:tcPr>
            <w:tcW w:w="1723" w:type="dxa"/>
          </w:tcPr>
          <w:p w14:paraId="09943EC7" w14:textId="0663C9DF" w:rsidR="006F605B" w:rsidRPr="00DC66CD" w:rsidRDefault="006F605B" w:rsidP="00131DA1">
            <w:pPr>
              <w:snapToGrid w:val="0"/>
              <w:rPr>
                <w:rFonts w:ascii="Garamond" w:hAnsi="Garamond"/>
                <w:sz w:val="20"/>
                <w:szCs w:val="20"/>
                <w:lang w:val="sq-AL"/>
              </w:rPr>
            </w:pPr>
            <w:r w:rsidRPr="00DC66CD">
              <w:rPr>
                <w:rFonts w:ascii="Garamond" w:hAnsi="Garamond"/>
                <w:sz w:val="20"/>
                <w:szCs w:val="20"/>
                <w:lang w:val="sq-AL"/>
              </w:rPr>
              <w:t>Aktivitetet e planifikuara për 2019</w:t>
            </w:r>
            <w:r w:rsidR="00443306" w:rsidRPr="00DC66CD">
              <w:rPr>
                <w:rFonts w:ascii="Garamond" w:hAnsi="Garamond"/>
                <w:sz w:val="20"/>
                <w:szCs w:val="20"/>
                <w:lang w:val="sq-AL"/>
              </w:rPr>
              <w:t>-ën</w:t>
            </w:r>
          </w:p>
        </w:tc>
        <w:tc>
          <w:tcPr>
            <w:tcW w:w="5855" w:type="dxa"/>
          </w:tcPr>
          <w:p w14:paraId="1738FE6F" w14:textId="39309756"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2019 – Fillimi dhe specifikimi (</w:t>
            </w:r>
            <w:r w:rsidR="00DC66CD" w:rsidRPr="00DC66CD">
              <w:rPr>
                <w:rFonts w:ascii="Garamond" w:hAnsi="Garamond"/>
                <w:sz w:val="20"/>
                <w:szCs w:val="20"/>
                <w:lang w:val="sq-AL"/>
              </w:rPr>
              <w:t xml:space="preserve">krijimi </w:t>
            </w:r>
            <w:r w:rsidRPr="00DC66CD">
              <w:rPr>
                <w:rFonts w:ascii="Garamond" w:hAnsi="Garamond"/>
                <w:sz w:val="20"/>
                <w:szCs w:val="20"/>
                <w:lang w:val="sq-AL"/>
              </w:rPr>
              <w:t>i zhvillimit të ambientit të IT). Kjo fazë përfshin përgatitjen e kërkesave dhe hartimin e sistemit.</w:t>
            </w:r>
          </w:p>
        </w:tc>
        <w:tc>
          <w:tcPr>
            <w:tcW w:w="1941" w:type="dxa"/>
          </w:tcPr>
          <w:p w14:paraId="0085AD43" w14:textId="77777777" w:rsidR="006F605B" w:rsidRPr="00DC66CD" w:rsidRDefault="006F605B" w:rsidP="00131DA1">
            <w:pPr>
              <w:snapToGrid w:val="0"/>
              <w:rPr>
                <w:rFonts w:ascii="Garamond" w:hAnsi="Garamond"/>
                <w:sz w:val="20"/>
                <w:szCs w:val="20"/>
                <w:lang w:val="sq-AL"/>
              </w:rPr>
            </w:pPr>
            <w:r w:rsidRPr="00DC66CD">
              <w:rPr>
                <w:rFonts w:ascii="Garamond" w:hAnsi="Garamond"/>
                <w:sz w:val="20"/>
                <w:szCs w:val="20"/>
                <w:lang w:val="sq-AL"/>
              </w:rPr>
              <w:t>4</w:t>
            </w:r>
          </w:p>
        </w:tc>
      </w:tr>
      <w:tr w:rsidR="006F605B" w:rsidRPr="00DC66CD" w14:paraId="0E18F1D9" w14:textId="77777777" w:rsidTr="00DC66CD">
        <w:trPr>
          <w:trHeight w:val="1656"/>
        </w:trPr>
        <w:tc>
          <w:tcPr>
            <w:tcW w:w="1723" w:type="dxa"/>
          </w:tcPr>
          <w:p w14:paraId="7FCB9A5A" w14:textId="77777777" w:rsidR="006F605B" w:rsidRPr="00DC66CD" w:rsidRDefault="006F605B" w:rsidP="00131DA1">
            <w:pPr>
              <w:snapToGrid w:val="0"/>
              <w:rPr>
                <w:rFonts w:ascii="Garamond" w:hAnsi="Garamond"/>
                <w:sz w:val="20"/>
                <w:szCs w:val="20"/>
                <w:lang w:val="sq-AL"/>
              </w:rPr>
            </w:pPr>
            <w:r w:rsidRPr="00DC66CD">
              <w:rPr>
                <w:rFonts w:ascii="Garamond" w:hAnsi="Garamond"/>
                <w:sz w:val="20"/>
                <w:szCs w:val="20"/>
                <w:lang w:val="sq-AL"/>
              </w:rPr>
              <w:t>Përshkrimi i zbatimit dhe sqarime nëse ka zbatim të pjesshëm apo pa zbatim</w:t>
            </w:r>
          </w:p>
        </w:tc>
        <w:tc>
          <w:tcPr>
            <w:tcW w:w="5855" w:type="dxa"/>
          </w:tcPr>
          <w:p w14:paraId="40ED795A" w14:textId="38DD7866"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 xml:space="preserve">Në fillim të vitit 2019 janë </w:t>
            </w:r>
            <w:r w:rsidRPr="009454C1">
              <w:rPr>
                <w:rFonts w:ascii="Garamond" w:hAnsi="Garamond"/>
                <w:sz w:val="20"/>
                <w:szCs w:val="20"/>
                <w:lang w:val="sq-AL"/>
              </w:rPr>
              <w:t>bërë 2 lançime</w:t>
            </w:r>
            <w:r w:rsidRPr="00DC66CD">
              <w:rPr>
                <w:rFonts w:ascii="Garamond" w:hAnsi="Garamond"/>
                <w:sz w:val="20"/>
                <w:szCs w:val="20"/>
                <w:lang w:val="sq-AL"/>
              </w:rPr>
              <w:t xml:space="preserve"> të </w:t>
            </w:r>
            <w:r w:rsidR="00DC66CD" w:rsidRPr="00DC66CD">
              <w:rPr>
                <w:rFonts w:ascii="Garamond" w:hAnsi="Garamond"/>
                <w:sz w:val="20"/>
                <w:szCs w:val="20"/>
                <w:lang w:val="sq-AL"/>
              </w:rPr>
              <w:t xml:space="preserve">sistemit informatik </w:t>
            </w:r>
            <w:r w:rsidRPr="00DC66CD">
              <w:rPr>
                <w:rFonts w:ascii="Garamond" w:hAnsi="Garamond"/>
                <w:sz w:val="20"/>
                <w:szCs w:val="20"/>
                <w:lang w:val="sq-AL"/>
              </w:rPr>
              <w:t>të taksës së pasurisë.</w:t>
            </w:r>
          </w:p>
          <w:p w14:paraId="71553D4C" w14:textId="77777777"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Version 1.0 – Përmirësimi i funksionaliteteve të sistemit.</w:t>
            </w:r>
          </w:p>
          <w:p w14:paraId="6E1D7103" w14:textId="77777777"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 xml:space="preserve">Funksionalitetet për vlerësimin në masë dhe vlerësimin e taksës </w:t>
            </w:r>
          </w:p>
          <w:p w14:paraId="7A856936" w14:textId="77777777"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Versioni 1.1 – Përmirësime të mëtejshme të funksionaliteteve të regjistrimit</w:t>
            </w:r>
          </w:p>
          <w:p w14:paraId="6B2236D3" w14:textId="4FACC359"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Version 2.05 – Ky version mbështet të gjitha funksionalitetet e versionit aktual në prodhim</w:t>
            </w:r>
            <w:r w:rsidR="00DC66CD">
              <w:rPr>
                <w:rFonts w:ascii="Garamond" w:hAnsi="Garamond"/>
                <w:sz w:val="20"/>
                <w:szCs w:val="20"/>
                <w:lang w:val="sq-AL"/>
              </w:rPr>
              <w:t>,</w:t>
            </w:r>
            <w:r w:rsidRPr="00DC66CD">
              <w:rPr>
                <w:rFonts w:ascii="Garamond" w:hAnsi="Garamond"/>
                <w:sz w:val="20"/>
                <w:szCs w:val="20"/>
                <w:lang w:val="sq-AL"/>
              </w:rPr>
              <w:t xml:space="preserve"> gjithashtu</w:t>
            </w:r>
            <w:r w:rsidR="00DC66CD">
              <w:rPr>
                <w:rFonts w:ascii="Garamond" w:hAnsi="Garamond"/>
                <w:sz w:val="20"/>
                <w:szCs w:val="20"/>
                <w:lang w:val="sq-AL"/>
              </w:rPr>
              <w:t>,</w:t>
            </w:r>
            <w:r w:rsidRPr="00DC66CD">
              <w:rPr>
                <w:rFonts w:ascii="Garamond" w:hAnsi="Garamond"/>
                <w:sz w:val="20"/>
                <w:szCs w:val="20"/>
                <w:lang w:val="sq-AL"/>
              </w:rPr>
              <w:t xml:space="preserve"> janë shtuar shumë funksionalitete të reja. </w:t>
            </w:r>
          </w:p>
          <w:p w14:paraId="1A9E2062" w14:textId="77777777"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 xml:space="preserve">Version 2.2 – Ky version plotëson të gjitha kërkesat për zbatimin e metodologjisë dhe procesin e regjistrimit. </w:t>
            </w:r>
          </w:p>
          <w:p w14:paraId="3F4D2073" w14:textId="6A62D07C"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Prandaj janë krijuar mjetet për të bërë vlerësimin dhe llogaritjen e taksës në të gjitha bashkitë. Sistemi aktual mund të kryejë vlerësimin në masë dhe llogaritjen e taksë</w:t>
            </w:r>
            <w:r w:rsidR="00DC66CD">
              <w:rPr>
                <w:rFonts w:ascii="Garamond" w:hAnsi="Garamond"/>
                <w:sz w:val="20"/>
                <w:szCs w:val="20"/>
                <w:lang w:val="sq-AL"/>
              </w:rPr>
              <w:t>,</w:t>
            </w:r>
            <w:r w:rsidRPr="00DC66CD">
              <w:rPr>
                <w:rFonts w:ascii="Garamond" w:hAnsi="Garamond"/>
                <w:sz w:val="20"/>
                <w:szCs w:val="20"/>
                <w:lang w:val="sq-AL"/>
              </w:rPr>
              <w:t xml:space="preserve">s sipas </w:t>
            </w:r>
            <w:r w:rsidR="00DC66CD" w:rsidRPr="00DC66CD">
              <w:rPr>
                <w:rFonts w:ascii="Garamond" w:hAnsi="Garamond"/>
                <w:sz w:val="20"/>
                <w:szCs w:val="20"/>
                <w:lang w:val="sq-AL"/>
              </w:rPr>
              <w:t xml:space="preserve">vendimeve </w:t>
            </w:r>
            <w:r w:rsidRPr="00DC66CD">
              <w:rPr>
                <w:rFonts w:ascii="Garamond" w:hAnsi="Garamond"/>
                <w:sz w:val="20"/>
                <w:szCs w:val="20"/>
                <w:lang w:val="sq-AL"/>
              </w:rPr>
              <w:t>të Këshillit Bashkiak (VKB). Pjesa më e madhe e VKB</w:t>
            </w:r>
            <w:r w:rsidR="00DC66CD">
              <w:rPr>
                <w:rFonts w:ascii="Garamond" w:hAnsi="Garamond"/>
                <w:sz w:val="20"/>
                <w:szCs w:val="20"/>
                <w:lang w:val="sq-AL"/>
              </w:rPr>
              <w:t>-së</w:t>
            </w:r>
            <w:r w:rsidRPr="00DC66CD">
              <w:rPr>
                <w:rFonts w:ascii="Garamond" w:hAnsi="Garamond"/>
                <w:sz w:val="20"/>
                <w:szCs w:val="20"/>
                <w:lang w:val="sq-AL"/>
              </w:rPr>
              <w:t xml:space="preserve"> janë dërguar pranë DPTP-së.</w:t>
            </w:r>
          </w:p>
          <w:p w14:paraId="0CE2B53F" w14:textId="5E2DFE63"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Stafi i DPTP në rolin e institucionit i cili udhëheq nga pikëpamja ligjore dhe metodologjike trajtimin e pasurive të paluajtshme, ka analizuar të gjitha VKB</w:t>
            </w:r>
            <w:r w:rsidR="00DC66CD">
              <w:rPr>
                <w:rFonts w:ascii="Garamond" w:hAnsi="Garamond"/>
                <w:sz w:val="20"/>
                <w:szCs w:val="20"/>
                <w:lang w:val="sq-AL"/>
              </w:rPr>
              <w:t>-të</w:t>
            </w:r>
            <w:r w:rsidRPr="00DC66CD">
              <w:rPr>
                <w:rFonts w:ascii="Garamond" w:hAnsi="Garamond"/>
                <w:sz w:val="20"/>
                <w:szCs w:val="20"/>
                <w:lang w:val="sq-AL"/>
              </w:rPr>
              <w:t xml:space="preserve"> dhe ka dërguar shkresa zyrtare me interpretime këshilluese për të gjitha vendimet të cilat rregullimet duhet të jenë në përputhje metodologjinë.</w:t>
            </w:r>
          </w:p>
          <w:p w14:paraId="704FE0B7" w14:textId="171DAA72"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Bashkëpunimi me ZRPP</w:t>
            </w:r>
            <w:r w:rsidR="00DC66CD">
              <w:rPr>
                <w:rFonts w:ascii="Garamond" w:hAnsi="Garamond"/>
                <w:sz w:val="20"/>
                <w:szCs w:val="20"/>
                <w:lang w:val="sq-AL"/>
              </w:rPr>
              <w:t>-në</w:t>
            </w:r>
            <w:r w:rsidRPr="00DC66CD">
              <w:rPr>
                <w:rFonts w:ascii="Garamond" w:hAnsi="Garamond"/>
                <w:sz w:val="20"/>
                <w:szCs w:val="20"/>
                <w:lang w:val="sq-AL"/>
              </w:rPr>
              <w:t xml:space="preserve"> ka filluar në fillim të vitit 2019. Nevoja e të dhënave për kadastrën fiskale është specifikuar edhe më tej dhe kërkesa është zyrtarizuar. DPTP</w:t>
            </w:r>
            <w:r w:rsidR="00DC66CD">
              <w:rPr>
                <w:rFonts w:ascii="Garamond" w:hAnsi="Garamond"/>
                <w:sz w:val="20"/>
                <w:szCs w:val="20"/>
                <w:lang w:val="sq-AL"/>
              </w:rPr>
              <w:t>-ja</w:t>
            </w:r>
            <w:r w:rsidRPr="00DC66CD">
              <w:rPr>
                <w:rFonts w:ascii="Garamond" w:hAnsi="Garamond"/>
                <w:sz w:val="20"/>
                <w:szCs w:val="20"/>
                <w:lang w:val="sq-AL"/>
              </w:rPr>
              <w:t xml:space="preserve"> është në bashkëpunim të vazhdueshëm me ZRPP</w:t>
            </w:r>
            <w:r w:rsidR="00DC66CD">
              <w:rPr>
                <w:rFonts w:ascii="Garamond" w:hAnsi="Garamond"/>
                <w:sz w:val="20"/>
                <w:szCs w:val="20"/>
                <w:lang w:val="sq-AL"/>
              </w:rPr>
              <w:t>-në</w:t>
            </w:r>
            <w:r w:rsidRPr="00DC66CD">
              <w:rPr>
                <w:rFonts w:ascii="Garamond" w:hAnsi="Garamond"/>
                <w:sz w:val="20"/>
                <w:szCs w:val="20"/>
                <w:lang w:val="sq-AL"/>
              </w:rPr>
              <w:t xml:space="preserve"> për marrjen e të gjitha të dhënave siç parashikohet në marrëveshje. Sidoqoftë, në ditët e sotme, DPTP</w:t>
            </w:r>
            <w:r w:rsidR="00180753" w:rsidRPr="00DC66CD">
              <w:rPr>
                <w:rFonts w:ascii="Garamond" w:hAnsi="Garamond"/>
                <w:sz w:val="20"/>
                <w:szCs w:val="20"/>
                <w:lang w:val="sq-AL"/>
              </w:rPr>
              <w:t>-ja</w:t>
            </w:r>
            <w:r w:rsidRPr="00DC66CD">
              <w:rPr>
                <w:rFonts w:ascii="Garamond" w:hAnsi="Garamond"/>
                <w:sz w:val="20"/>
                <w:szCs w:val="20"/>
                <w:lang w:val="sq-AL"/>
              </w:rPr>
              <w:t xml:space="preserve"> po bashkëpunon me Agjencinë Shtetërore të Kadastrës, për integrimin e bazës së të dhënave të tyre në Sistemin e Kadastrës Fiskale.</w:t>
            </w:r>
          </w:p>
          <w:p w14:paraId="436CBA7A" w14:textId="01DEBD59" w:rsidR="006F605B" w:rsidRPr="00DC66CD" w:rsidRDefault="006F605B" w:rsidP="00131DA1">
            <w:pPr>
              <w:snapToGrid w:val="0"/>
              <w:jc w:val="both"/>
              <w:rPr>
                <w:rFonts w:ascii="Garamond" w:hAnsi="Garamond"/>
                <w:sz w:val="20"/>
                <w:szCs w:val="20"/>
                <w:lang w:val="sq-AL"/>
              </w:rPr>
            </w:pPr>
            <w:r w:rsidRPr="00DC66CD">
              <w:rPr>
                <w:rFonts w:ascii="Garamond" w:hAnsi="Garamond"/>
                <w:sz w:val="20"/>
                <w:szCs w:val="20"/>
                <w:lang w:val="sq-AL"/>
              </w:rPr>
              <w:t>GDPT</w:t>
            </w:r>
            <w:r w:rsidR="00DC66CD">
              <w:rPr>
                <w:rFonts w:ascii="Garamond" w:hAnsi="Garamond"/>
                <w:sz w:val="20"/>
                <w:szCs w:val="20"/>
                <w:lang w:val="sq-AL"/>
              </w:rPr>
              <w:t>-ja si një institucion</w:t>
            </w:r>
            <w:r w:rsidRPr="00DC66CD">
              <w:rPr>
                <w:rFonts w:ascii="Garamond" w:hAnsi="Garamond"/>
                <w:sz w:val="20"/>
                <w:szCs w:val="20"/>
                <w:lang w:val="sq-AL"/>
              </w:rPr>
              <w:t xml:space="preserve"> i cili ndihmon dhe udhëheq njësitë e vetëqeverisjes vendore në procesin e hedhjes së informacionit dhe të dhënave në sistemin qendror, organizoi një try</w:t>
            </w:r>
            <w:r w:rsidR="00DC66CD">
              <w:rPr>
                <w:rFonts w:ascii="Garamond" w:hAnsi="Garamond"/>
                <w:sz w:val="20"/>
                <w:szCs w:val="20"/>
                <w:lang w:val="sq-AL"/>
              </w:rPr>
              <w:t>ezë të rrumbullakët në datë 23.</w:t>
            </w:r>
            <w:r w:rsidRPr="00DC66CD">
              <w:rPr>
                <w:rFonts w:ascii="Garamond" w:hAnsi="Garamond"/>
                <w:sz w:val="20"/>
                <w:szCs w:val="20"/>
                <w:lang w:val="sq-AL"/>
              </w:rPr>
              <w:t>5.2019. Fokusi i diskutimit në këtë takim ishte mbi progresin e reformës së taksës së pasurisë (ndërtesave) dhe çështjeve të ndërlidhura, planet e bashkive për hedhjen e të dhënave në sistem dhe mënyra si do të realizohet taksimi dhe mbledhja e të ardhurave. Përfaqësuesit e bashkisë shprehën në mënyrë interaktive qasjet dhe problemet e tyre kryesore, të cilat kanë sjellë tregues në një nivel minimal të punës në Sistemin e Informacionit të Kadastrës Fiskale, si dhe aspekte të tjera që lidhen me taksën e pasurisë.</w:t>
            </w:r>
          </w:p>
        </w:tc>
        <w:tc>
          <w:tcPr>
            <w:tcW w:w="1941" w:type="dxa"/>
          </w:tcPr>
          <w:p w14:paraId="3D3AA6AC" w14:textId="77777777" w:rsidR="006F605B" w:rsidRPr="00DC66CD" w:rsidRDefault="006F605B" w:rsidP="00131DA1">
            <w:pPr>
              <w:snapToGrid w:val="0"/>
              <w:rPr>
                <w:rFonts w:ascii="Garamond" w:hAnsi="Garamond"/>
                <w:sz w:val="20"/>
                <w:szCs w:val="20"/>
                <w:lang w:val="sq-AL"/>
              </w:rPr>
            </w:pPr>
          </w:p>
        </w:tc>
      </w:tr>
    </w:tbl>
    <w:p w14:paraId="6E02D1BE" w14:textId="77777777" w:rsidR="006F605B" w:rsidRPr="00DC66CD" w:rsidRDefault="006F605B" w:rsidP="006F605B">
      <w:pPr>
        <w:snapToGrid w:val="0"/>
        <w:spacing w:after="0" w:line="240" w:lineRule="auto"/>
        <w:ind w:firstLine="284"/>
        <w:rPr>
          <w:rFonts w:ascii="Garamond" w:hAnsi="Garamond"/>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5922"/>
        <w:gridCol w:w="1672"/>
      </w:tblGrid>
      <w:tr w:rsidR="006F605B" w:rsidRPr="00DC66CD" w14:paraId="13A8B452" w14:textId="77777777" w:rsidTr="00DC66CD">
        <w:trPr>
          <w:jc w:val="center"/>
        </w:trPr>
        <w:tc>
          <w:tcPr>
            <w:tcW w:w="908" w:type="pct"/>
            <w:shd w:val="clear" w:color="auto" w:fill="E5DFEC" w:themeFill="accent4" w:themeFillTint="33"/>
            <w:vAlign w:val="center"/>
          </w:tcPr>
          <w:p w14:paraId="7D3563E6" w14:textId="77777777" w:rsidR="006F605B" w:rsidRPr="00DC66CD" w:rsidRDefault="006F605B" w:rsidP="00DC66CD">
            <w:pPr>
              <w:spacing w:after="0" w:line="240" w:lineRule="auto"/>
              <w:jc w:val="center"/>
              <w:rPr>
                <w:rFonts w:ascii="Garamond" w:hAnsi="Garamond"/>
                <w:color w:val="0D0D0D" w:themeColor="text1" w:themeTint="F2"/>
                <w:sz w:val="20"/>
                <w:szCs w:val="20"/>
              </w:rPr>
            </w:pPr>
          </w:p>
        </w:tc>
        <w:tc>
          <w:tcPr>
            <w:tcW w:w="3190" w:type="pct"/>
            <w:shd w:val="clear" w:color="auto" w:fill="E5DFEC" w:themeFill="accent4" w:themeFillTint="33"/>
            <w:vAlign w:val="center"/>
          </w:tcPr>
          <w:p w14:paraId="044674C1" w14:textId="77777777" w:rsidR="006F605B" w:rsidRPr="00DC66CD" w:rsidRDefault="006F605B" w:rsidP="00DC66CD">
            <w:pPr>
              <w:spacing w:after="0" w:line="240" w:lineRule="auto"/>
              <w:jc w:val="center"/>
              <w:rPr>
                <w:rFonts w:ascii="Garamond" w:hAnsi="Garamond"/>
                <w:b/>
                <w:color w:val="0D0D0D" w:themeColor="text1" w:themeTint="F2"/>
                <w:sz w:val="20"/>
                <w:szCs w:val="20"/>
              </w:rPr>
            </w:pPr>
            <w:r w:rsidRPr="00DC66CD">
              <w:rPr>
                <w:rFonts w:ascii="Garamond" w:hAnsi="Garamond"/>
                <w:b/>
                <w:color w:val="0D0D0D" w:themeColor="text1" w:themeTint="F2"/>
                <w:sz w:val="20"/>
                <w:szCs w:val="20"/>
              </w:rPr>
              <w:t>Reduktimi i pengesave rregullatore ndaj bizneseve</w:t>
            </w:r>
          </w:p>
        </w:tc>
        <w:tc>
          <w:tcPr>
            <w:tcW w:w="901" w:type="pct"/>
            <w:shd w:val="clear" w:color="auto" w:fill="E5DFEC" w:themeFill="accent4" w:themeFillTint="33"/>
            <w:vAlign w:val="center"/>
          </w:tcPr>
          <w:p w14:paraId="1DF9CFE1" w14:textId="3F370BCB" w:rsidR="006F605B" w:rsidRPr="00DC66CD" w:rsidRDefault="00DC66CD" w:rsidP="00DC66CD">
            <w:pPr>
              <w:spacing w:after="0" w:line="240" w:lineRule="auto"/>
              <w:jc w:val="center"/>
              <w:rPr>
                <w:rFonts w:ascii="Garamond" w:hAnsi="Garamond"/>
                <w:color w:val="0D0D0D" w:themeColor="text1" w:themeTint="F2"/>
                <w:sz w:val="20"/>
                <w:szCs w:val="20"/>
              </w:rPr>
            </w:pPr>
            <w:r w:rsidRPr="008C34D3">
              <w:rPr>
                <w:rFonts w:ascii="Garamond" w:hAnsi="Garamond"/>
                <w:b/>
                <w:sz w:val="20"/>
                <w:szCs w:val="20"/>
              </w:rPr>
              <w:t>Statusi i zbatimit të reformës (1</w:t>
            </w:r>
            <w:r>
              <w:rPr>
                <w:rFonts w:ascii="Garamond" w:hAnsi="Garamond"/>
                <w:b/>
                <w:sz w:val="20"/>
                <w:szCs w:val="20"/>
              </w:rPr>
              <w:t>–</w:t>
            </w:r>
            <w:r w:rsidRPr="008C34D3">
              <w:rPr>
                <w:rFonts w:ascii="Garamond" w:hAnsi="Garamond"/>
                <w:b/>
                <w:sz w:val="20"/>
                <w:szCs w:val="20"/>
              </w:rPr>
              <w:t>5)</w:t>
            </w:r>
          </w:p>
        </w:tc>
      </w:tr>
      <w:tr w:rsidR="006F605B" w:rsidRPr="00DC66CD" w14:paraId="325DC888" w14:textId="77777777" w:rsidTr="00180753">
        <w:trPr>
          <w:jc w:val="center"/>
        </w:trPr>
        <w:tc>
          <w:tcPr>
            <w:tcW w:w="908" w:type="pct"/>
            <w:vMerge w:val="restart"/>
          </w:tcPr>
          <w:p w14:paraId="4A1A6F80" w14:textId="1F9FD159"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sz w:val="20"/>
                <w:szCs w:val="20"/>
              </w:rPr>
              <w:t>Aktivitetet e planifikuara për 2019</w:t>
            </w:r>
            <w:r w:rsidR="00DC66CD">
              <w:rPr>
                <w:rFonts w:ascii="Garamond" w:hAnsi="Garamond"/>
                <w:sz w:val="20"/>
                <w:szCs w:val="20"/>
              </w:rPr>
              <w:t>-ën</w:t>
            </w:r>
          </w:p>
        </w:tc>
        <w:tc>
          <w:tcPr>
            <w:tcW w:w="3190" w:type="pct"/>
          </w:tcPr>
          <w:p w14:paraId="733466CD" w14:textId="77777777" w:rsidR="006F605B" w:rsidRPr="00DC66CD" w:rsidRDefault="006F605B" w:rsidP="00131DA1">
            <w:pPr>
              <w:spacing w:after="0" w:line="240" w:lineRule="auto"/>
              <w:rPr>
                <w:rFonts w:ascii="Garamond" w:hAnsi="Garamond"/>
                <w:color w:val="0D0D0D" w:themeColor="text1" w:themeTint="F2"/>
                <w:sz w:val="20"/>
                <w:szCs w:val="20"/>
              </w:rPr>
            </w:pPr>
          </w:p>
        </w:tc>
        <w:tc>
          <w:tcPr>
            <w:tcW w:w="901" w:type="pct"/>
          </w:tcPr>
          <w:p w14:paraId="3C58B67E" w14:textId="77777777" w:rsidR="006F605B" w:rsidRPr="00DC66CD" w:rsidRDefault="006F605B" w:rsidP="00131DA1">
            <w:pPr>
              <w:spacing w:after="0" w:line="240" w:lineRule="auto"/>
              <w:rPr>
                <w:rFonts w:ascii="Garamond" w:hAnsi="Garamond"/>
                <w:color w:val="0D0D0D" w:themeColor="text1" w:themeTint="F2"/>
                <w:sz w:val="20"/>
                <w:szCs w:val="20"/>
              </w:rPr>
            </w:pPr>
          </w:p>
        </w:tc>
      </w:tr>
      <w:tr w:rsidR="006F605B" w:rsidRPr="00DC66CD" w14:paraId="546152BE" w14:textId="77777777" w:rsidTr="00180753">
        <w:trPr>
          <w:jc w:val="center"/>
        </w:trPr>
        <w:tc>
          <w:tcPr>
            <w:tcW w:w="908" w:type="pct"/>
            <w:vMerge/>
          </w:tcPr>
          <w:p w14:paraId="52E2CB31" w14:textId="77777777" w:rsidR="006F605B" w:rsidRPr="00DC66CD" w:rsidRDefault="006F605B" w:rsidP="00131DA1">
            <w:pPr>
              <w:spacing w:after="0" w:line="240" w:lineRule="auto"/>
              <w:rPr>
                <w:rFonts w:ascii="Garamond" w:hAnsi="Garamond"/>
                <w:color w:val="0D0D0D" w:themeColor="text1" w:themeTint="F2"/>
                <w:sz w:val="20"/>
                <w:szCs w:val="20"/>
              </w:rPr>
            </w:pPr>
          </w:p>
        </w:tc>
        <w:tc>
          <w:tcPr>
            <w:tcW w:w="3190" w:type="pct"/>
          </w:tcPr>
          <w:p w14:paraId="619A0312" w14:textId="77777777" w:rsidR="006F605B" w:rsidRPr="00DC66CD" w:rsidRDefault="006F605B" w:rsidP="00131DA1">
            <w:pPr>
              <w:spacing w:after="0" w:line="240" w:lineRule="auto"/>
              <w:jc w:val="both"/>
              <w:rPr>
                <w:rFonts w:ascii="Garamond" w:hAnsi="Garamond"/>
                <w:color w:val="0D0D0D" w:themeColor="text1" w:themeTint="F2"/>
                <w:sz w:val="20"/>
                <w:szCs w:val="20"/>
              </w:rPr>
            </w:pPr>
          </w:p>
        </w:tc>
        <w:tc>
          <w:tcPr>
            <w:tcW w:w="901" w:type="pct"/>
          </w:tcPr>
          <w:p w14:paraId="6C74B56F" w14:textId="77777777" w:rsidR="006F605B" w:rsidRPr="00DC66CD" w:rsidRDefault="006F605B" w:rsidP="00131DA1">
            <w:pPr>
              <w:spacing w:after="0" w:line="240" w:lineRule="auto"/>
              <w:rPr>
                <w:rFonts w:ascii="Garamond" w:hAnsi="Garamond"/>
                <w:color w:val="0D0D0D" w:themeColor="text1" w:themeTint="F2"/>
                <w:sz w:val="20"/>
                <w:szCs w:val="20"/>
              </w:rPr>
            </w:pPr>
          </w:p>
        </w:tc>
      </w:tr>
      <w:tr w:rsidR="006F605B" w:rsidRPr="00DC66CD" w14:paraId="45D1BE76" w14:textId="77777777" w:rsidTr="00180753">
        <w:trPr>
          <w:jc w:val="center"/>
        </w:trPr>
        <w:tc>
          <w:tcPr>
            <w:tcW w:w="908" w:type="pct"/>
            <w:vMerge/>
          </w:tcPr>
          <w:p w14:paraId="34B020C2" w14:textId="77777777" w:rsidR="006F605B" w:rsidRPr="00DC66CD" w:rsidRDefault="006F605B" w:rsidP="00131DA1">
            <w:pPr>
              <w:spacing w:after="0" w:line="240" w:lineRule="auto"/>
              <w:rPr>
                <w:rFonts w:ascii="Garamond" w:hAnsi="Garamond"/>
                <w:color w:val="0D0D0D" w:themeColor="text1" w:themeTint="F2"/>
                <w:sz w:val="20"/>
                <w:szCs w:val="20"/>
              </w:rPr>
            </w:pPr>
          </w:p>
        </w:tc>
        <w:tc>
          <w:tcPr>
            <w:tcW w:w="3190" w:type="pct"/>
          </w:tcPr>
          <w:p w14:paraId="63E5953B" w14:textId="77777777" w:rsidR="006F605B" w:rsidRPr="00DC66CD" w:rsidRDefault="006F605B" w:rsidP="00131DA1">
            <w:pPr>
              <w:spacing w:after="0" w:line="240" w:lineRule="auto"/>
              <w:rPr>
                <w:rFonts w:ascii="Garamond" w:hAnsi="Garamond"/>
                <w:color w:val="0D0D0D" w:themeColor="text1" w:themeTint="F2"/>
                <w:sz w:val="20"/>
                <w:szCs w:val="20"/>
              </w:rPr>
            </w:pPr>
          </w:p>
        </w:tc>
        <w:tc>
          <w:tcPr>
            <w:tcW w:w="901" w:type="pct"/>
          </w:tcPr>
          <w:p w14:paraId="799AE1B4" w14:textId="77777777" w:rsidR="006F605B" w:rsidRPr="00DC66CD" w:rsidRDefault="006F605B" w:rsidP="00131DA1">
            <w:pPr>
              <w:spacing w:after="0" w:line="240" w:lineRule="auto"/>
              <w:rPr>
                <w:rFonts w:ascii="Garamond" w:hAnsi="Garamond"/>
                <w:color w:val="0D0D0D" w:themeColor="text1" w:themeTint="F2"/>
                <w:sz w:val="20"/>
                <w:szCs w:val="20"/>
              </w:rPr>
            </w:pPr>
          </w:p>
        </w:tc>
      </w:tr>
      <w:tr w:rsidR="006F605B" w:rsidRPr="00DC66CD" w14:paraId="17F9DE8A" w14:textId="77777777" w:rsidTr="00180753">
        <w:trPr>
          <w:trHeight w:val="1265"/>
          <w:jc w:val="center"/>
        </w:trPr>
        <w:tc>
          <w:tcPr>
            <w:tcW w:w="908" w:type="pct"/>
          </w:tcPr>
          <w:p w14:paraId="1A848950"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sz w:val="20"/>
                <w:szCs w:val="20"/>
              </w:rPr>
              <w:t>Përshkrimi i zbatimit dhe sqarime nëse ka zbatim të pjesshëm apo pa zbatim</w:t>
            </w:r>
          </w:p>
        </w:tc>
        <w:tc>
          <w:tcPr>
            <w:tcW w:w="3190" w:type="pct"/>
          </w:tcPr>
          <w:p w14:paraId="699490BC" w14:textId="7F53FBC4" w:rsidR="006F605B" w:rsidRPr="00DC66CD" w:rsidRDefault="006F605B" w:rsidP="00DC66CD">
            <w:pPr>
              <w:spacing w:after="0" w:line="240" w:lineRule="auto"/>
              <w:jc w:val="both"/>
              <w:rPr>
                <w:rFonts w:ascii="Garamond" w:hAnsi="Garamond"/>
                <w:color w:val="0D0D0D" w:themeColor="text1" w:themeTint="F2"/>
                <w:sz w:val="20"/>
                <w:szCs w:val="20"/>
              </w:rPr>
            </w:pPr>
            <w:r w:rsidRPr="00DC66CD">
              <w:rPr>
                <w:rStyle w:val="tlid-translation"/>
                <w:rFonts w:ascii="Garamond" w:hAnsi="Garamond"/>
                <w:sz w:val="20"/>
                <w:szCs w:val="20"/>
              </w:rPr>
              <w:t>Reforma nuk është përfshirë në ERP 2020</w:t>
            </w:r>
            <w:r w:rsidR="00DC66CD">
              <w:rPr>
                <w:rStyle w:val="tlid-translation"/>
                <w:rFonts w:ascii="Garamond" w:hAnsi="Garamond"/>
                <w:sz w:val="20"/>
                <w:szCs w:val="20"/>
              </w:rPr>
              <w:t>–</w:t>
            </w:r>
            <w:r w:rsidRPr="00DC66CD">
              <w:rPr>
                <w:rStyle w:val="tlid-translation"/>
                <w:rFonts w:ascii="Garamond" w:hAnsi="Garamond"/>
                <w:sz w:val="20"/>
                <w:szCs w:val="20"/>
              </w:rPr>
              <w:t>2022</w:t>
            </w:r>
            <w:r w:rsidR="00DC66CD">
              <w:rPr>
                <w:rStyle w:val="tlid-translation"/>
                <w:rFonts w:ascii="Garamond" w:hAnsi="Garamond"/>
                <w:sz w:val="20"/>
                <w:szCs w:val="20"/>
              </w:rPr>
              <w:t>,</w:t>
            </w:r>
            <w:r w:rsidRPr="00DC66CD">
              <w:rPr>
                <w:rStyle w:val="tlid-translation"/>
                <w:rFonts w:ascii="Garamond" w:hAnsi="Garamond"/>
                <w:sz w:val="20"/>
                <w:szCs w:val="20"/>
              </w:rPr>
              <w:t xml:space="preserve"> pasi qëllimi kryesor i saj është arritur – ulja e burokracisë, zvogëlimi i barrës administrative dhe kalimi në shërbime 100%. Duke filluar nga 1 janar 2020 472 shërbime do të ofrohen </w:t>
            </w:r>
            <w:r w:rsidRPr="00DC66CD">
              <w:rPr>
                <w:rStyle w:val="tlid-translation"/>
                <w:rFonts w:ascii="Garamond" w:hAnsi="Garamond"/>
                <w:i/>
                <w:sz w:val="20"/>
                <w:szCs w:val="20"/>
              </w:rPr>
              <w:t>online</w:t>
            </w:r>
            <w:r w:rsidRPr="00DC66CD">
              <w:rPr>
                <w:rStyle w:val="tlid-translation"/>
                <w:rFonts w:ascii="Garamond" w:hAnsi="Garamond"/>
                <w:sz w:val="20"/>
                <w:szCs w:val="20"/>
              </w:rPr>
              <w:t xml:space="preserve">. Blloku i dytë i shërbimeve do të bëhet </w:t>
            </w:r>
            <w:r w:rsidRPr="00DC66CD">
              <w:rPr>
                <w:rStyle w:val="tlid-translation"/>
                <w:rFonts w:ascii="Garamond" w:hAnsi="Garamond"/>
                <w:i/>
                <w:sz w:val="20"/>
                <w:szCs w:val="20"/>
              </w:rPr>
              <w:t>online</w:t>
            </w:r>
            <w:r w:rsidRPr="00DC66CD">
              <w:rPr>
                <w:rStyle w:val="tlid-translation"/>
                <w:rFonts w:ascii="Garamond" w:hAnsi="Garamond"/>
                <w:sz w:val="20"/>
                <w:szCs w:val="20"/>
              </w:rPr>
              <w:t xml:space="preserve"> në qershor ndërsa deri në fund të 2020 të gjithë shërbimet do të jenë të vlefshme/aksesueshme. Reforma cilësohet e maturuar dhe shndërruar në detyrë funksionale e institucioneve përgjegjëse.</w:t>
            </w:r>
          </w:p>
        </w:tc>
        <w:tc>
          <w:tcPr>
            <w:tcW w:w="901" w:type="pct"/>
          </w:tcPr>
          <w:p w14:paraId="038171DD"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5</w:t>
            </w:r>
          </w:p>
        </w:tc>
      </w:tr>
    </w:tbl>
    <w:p w14:paraId="67DB10E6"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5909"/>
        <w:gridCol w:w="1681"/>
      </w:tblGrid>
      <w:tr w:rsidR="006F605B" w:rsidRPr="00DC66CD" w14:paraId="219D9AD1" w14:textId="77777777" w:rsidTr="00131DA1">
        <w:tc>
          <w:tcPr>
            <w:tcW w:w="1723" w:type="dxa"/>
            <w:shd w:val="clear" w:color="auto" w:fill="E5DFEC" w:themeFill="accent4" w:themeFillTint="33"/>
          </w:tcPr>
          <w:p w14:paraId="5A242D4E" w14:textId="77777777" w:rsidR="006F605B" w:rsidRPr="00DC66CD" w:rsidRDefault="006F605B" w:rsidP="00131DA1">
            <w:pPr>
              <w:snapToGrid w:val="0"/>
              <w:spacing w:after="0" w:line="240" w:lineRule="auto"/>
              <w:rPr>
                <w:rFonts w:ascii="Garamond" w:hAnsi="Garamond"/>
                <w:sz w:val="20"/>
                <w:szCs w:val="20"/>
              </w:rPr>
            </w:pPr>
          </w:p>
        </w:tc>
        <w:tc>
          <w:tcPr>
            <w:tcW w:w="6176" w:type="dxa"/>
            <w:shd w:val="clear" w:color="auto" w:fill="E5DFEC" w:themeFill="accent4" w:themeFillTint="33"/>
          </w:tcPr>
          <w:p w14:paraId="38EAFCCD" w14:textId="64994B78" w:rsidR="006F605B" w:rsidRPr="00DC66CD" w:rsidRDefault="006F605B" w:rsidP="008B5731">
            <w:pPr>
              <w:snapToGrid w:val="0"/>
              <w:spacing w:after="0" w:line="240" w:lineRule="auto"/>
              <w:rPr>
                <w:rFonts w:ascii="Garamond" w:hAnsi="Garamond"/>
                <w:b/>
                <w:sz w:val="20"/>
                <w:szCs w:val="20"/>
              </w:rPr>
            </w:pPr>
            <w:r w:rsidRPr="00DC66CD">
              <w:rPr>
                <w:rFonts w:ascii="Garamond" w:hAnsi="Garamond"/>
                <w:b/>
                <w:sz w:val="20"/>
                <w:szCs w:val="20"/>
              </w:rPr>
              <w:t>Përmirësimi i kapaciteteve institucionale t</w:t>
            </w:r>
            <w:r w:rsidR="008B5731">
              <w:rPr>
                <w:rFonts w:ascii="Garamond" w:hAnsi="Garamond"/>
                <w:b/>
                <w:sz w:val="20"/>
                <w:szCs w:val="20"/>
              </w:rPr>
              <w:t>ë</w:t>
            </w:r>
            <w:r w:rsidRPr="00DC66CD">
              <w:rPr>
                <w:rFonts w:ascii="Garamond" w:hAnsi="Garamond"/>
                <w:b/>
                <w:sz w:val="20"/>
                <w:szCs w:val="20"/>
              </w:rPr>
              <w:t xml:space="preserve"> sistemit t</w:t>
            </w:r>
            <w:r w:rsidR="008B5731">
              <w:rPr>
                <w:rFonts w:ascii="Garamond" w:hAnsi="Garamond"/>
                <w:b/>
                <w:sz w:val="20"/>
                <w:szCs w:val="20"/>
              </w:rPr>
              <w:t>ë</w:t>
            </w:r>
            <w:r w:rsidRPr="00DC66CD">
              <w:rPr>
                <w:rFonts w:ascii="Garamond" w:hAnsi="Garamond"/>
                <w:b/>
                <w:sz w:val="20"/>
                <w:szCs w:val="20"/>
              </w:rPr>
              <w:t xml:space="preserve"> kërkim</w:t>
            </w:r>
            <w:r w:rsidR="008B5731">
              <w:rPr>
                <w:rFonts w:ascii="Garamond" w:hAnsi="Garamond"/>
                <w:b/>
                <w:sz w:val="20"/>
                <w:szCs w:val="20"/>
              </w:rPr>
              <w:t>it</w:t>
            </w:r>
            <w:r w:rsidRPr="00DC66CD">
              <w:rPr>
                <w:rFonts w:ascii="Garamond" w:hAnsi="Garamond"/>
                <w:b/>
                <w:sz w:val="20"/>
                <w:szCs w:val="20"/>
              </w:rPr>
              <w:t xml:space="preserve"> dhe </w:t>
            </w:r>
            <w:r w:rsidR="008B5731">
              <w:rPr>
                <w:rFonts w:ascii="Garamond" w:hAnsi="Garamond"/>
                <w:b/>
                <w:sz w:val="20"/>
                <w:szCs w:val="20"/>
              </w:rPr>
              <w:t xml:space="preserve">të </w:t>
            </w:r>
            <w:r w:rsidRPr="00DC66CD">
              <w:rPr>
                <w:rFonts w:ascii="Garamond" w:hAnsi="Garamond"/>
                <w:b/>
                <w:sz w:val="20"/>
                <w:szCs w:val="20"/>
              </w:rPr>
              <w:t>inovacion</w:t>
            </w:r>
            <w:r w:rsidR="008B5731">
              <w:rPr>
                <w:rFonts w:ascii="Garamond" w:hAnsi="Garamond"/>
                <w:b/>
                <w:sz w:val="20"/>
                <w:szCs w:val="20"/>
              </w:rPr>
              <w:t>it</w:t>
            </w:r>
          </w:p>
        </w:tc>
        <w:tc>
          <w:tcPr>
            <w:tcW w:w="1723" w:type="dxa"/>
            <w:shd w:val="clear" w:color="auto" w:fill="E5DFEC" w:themeFill="accent4" w:themeFillTint="33"/>
          </w:tcPr>
          <w:p w14:paraId="29F11ACB" w14:textId="60E2FAFD" w:rsidR="006F605B" w:rsidRPr="00DC66CD" w:rsidRDefault="00DC66CD" w:rsidP="00131DA1">
            <w:pPr>
              <w:snapToGrid w:val="0"/>
              <w:spacing w:after="0" w:line="240" w:lineRule="auto"/>
              <w:rPr>
                <w:rFonts w:ascii="Garamond" w:hAnsi="Garamond"/>
                <w:sz w:val="20"/>
                <w:szCs w:val="20"/>
              </w:rPr>
            </w:pPr>
            <w:r w:rsidRPr="008C34D3">
              <w:rPr>
                <w:rFonts w:ascii="Garamond" w:hAnsi="Garamond"/>
                <w:b/>
                <w:sz w:val="20"/>
                <w:szCs w:val="20"/>
              </w:rPr>
              <w:t>Statusi i zbatimit të reformës (1</w:t>
            </w:r>
            <w:r>
              <w:rPr>
                <w:rFonts w:ascii="Garamond" w:hAnsi="Garamond"/>
                <w:b/>
                <w:sz w:val="20"/>
                <w:szCs w:val="20"/>
              </w:rPr>
              <w:t>–</w:t>
            </w:r>
            <w:r w:rsidRPr="008C34D3">
              <w:rPr>
                <w:rFonts w:ascii="Garamond" w:hAnsi="Garamond"/>
                <w:b/>
                <w:sz w:val="20"/>
                <w:szCs w:val="20"/>
              </w:rPr>
              <w:t>5)</w:t>
            </w:r>
          </w:p>
        </w:tc>
      </w:tr>
      <w:tr w:rsidR="006F605B" w:rsidRPr="00DC66CD" w14:paraId="63717C76" w14:textId="77777777" w:rsidTr="00131DA1">
        <w:tc>
          <w:tcPr>
            <w:tcW w:w="1723" w:type="dxa"/>
            <w:vMerge w:val="restart"/>
          </w:tcPr>
          <w:p w14:paraId="3648F8D3" w14:textId="2FE9DFC6"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Aktivitetet e planifikuara për 2019</w:t>
            </w:r>
            <w:r w:rsidR="00DC66CD">
              <w:rPr>
                <w:rFonts w:ascii="Garamond" w:hAnsi="Garamond"/>
                <w:sz w:val="20"/>
                <w:szCs w:val="20"/>
              </w:rPr>
              <w:t>-ën</w:t>
            </w:r>
          </w:p>
        </w:tc>
        <w:tc>
          <w:tcPr>
            <w:tcW w:w="6176" w:type="dxa"/>
          </w:tcPr>
          <w:p w14:paraId="287E99A2" w14:textId="77777777" w:rsidR="006F605B" w:rsidRPr="00DC66CD" w:rsidRDefault="006F605B" w:rsidP="00131DA1">
            <w:pPr>
              <w:snapToGrid w:val="0"/>
              <w:spacing w:after="0" w:line="240" w:lineRule="auto"/>
              <w:rPr>
                <w:rFonts w:ascii="Garamond" w:eastAsia="Times New Roman" w:hAnsi="Garamond"/>
                <w:bCs/>
                <w:sz w:val="20"/>
                <w:szCs w:val="20"/>
              </w:rPr>
            </w:pPr>
            <w:r w:rsidRPr="00DC66CD">
              <w:rPr>
                <w:rFonts w:ascii="Garamond" w:eastAsia="Times New Roman" w:hAnsi="Garamond"/>
                <w:bCs/>
                <w:sz w:val="20"/>
                <w:szCs w:val="20"/>
              </w:rPr>
              <w:t>Forcimi i kapaciteteve të Agjencisë Kombëtare të Kërkimit Shkencor dhe Inovacionit.</w:t>
            </w:r>
          </w:p>
        </w:tc>
        <w:tc>
          <w:tcPr>
            <w:tcW w:w="1723" w:type="dxa"/>
          </w:tcPr>
          <w:p w14:paraId="1BD8B3AC"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16EF1766" w14:textId="77777777" w:rsidTr="00131DA1">
        <w:tc>
          <w:tcPr>
            <w:tcW w:w="1723" w:type="dxa"/>
            <w:vMerge/>
          </w:tcPr>
          <w:p w14:paraId="13C0B6CD"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63319A9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Forcimi i kapaciteteve të Agjencisë Kombëtare të Financimit të Arsimit të Lartë.</w:t>
            </w:r>
          </w:p>
        </w:tc>
        <w:tc>
          <w:tcPr>
            <w:tcW w:w="1723" w:type="dxa"/>
          </w:tcPr>
          <w:p w14:paraId="0104243E"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4639614A" w14:textId="77777777" w:rsidTr="00131DA1">
        <w:tc>
          <w:tcPr>
            <w:tcW w:w="1723" w:type="dxa"/>
          </w:tcPr>
          <w:p w14:paraId="6D61525C"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6176" w:type="dxa"/>
          </w:tcPr>
          <w:p w14:paraId="49A1828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Agjencia Kombëtare e Financimit të Institucionit të Arsimit të Lartë (NAFHE) është një institucion kryesor përgjegjës për shpërndarjen e fondeve publike në universitetet publike. Vendimi i Kryeministrit për krijimin e NAFHE është miratuar në vitin 2017. Deri në funksionimin e tij të plotë, kompetencat e tij aktualisht janë përmbushur nga Ministria e Arsimit, Sportit dhe Rinisë (MESY)</w:t>
            </w:r>
          </w:p>
        </w:tc>
        <w:tc>
          <w:tcPr>
            <w:tcW w:w="1723" w:type="dxa"/>
          </w:tcPr>
          <w:p w14:paraId="54186076" w14:textId="77777777" w:rsidR="006F605B" w:rsidRPr="00DC66CD" w:rsidRDefault="006F605B" w:rsidP="00131DA1">
            <w:pPr>
              <w:snapToGrid w:val="0"/>
              <w:spacing w:after="0" w:line="240" w:lineRule="auto"/>
              <w:rPr>
                <w:rFonts w:ascii="Garamond" w:hAnsi="Garamond"/>
                <w:sz w:val="20"/>
                <w:szCs w:val="20"/>
              </w:rPr>
            </w:pPr>
          </w:p>
        </w:tc>
      </w:tr>
    </w:tbl>
    <w:p w14:paraId="2256263B"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5913"/>
        <w:gridCol w:w="1678"/>
      </w:tblGrid>
      <w:tr w:rsidR="006F605B" w:rsidRPr="00DC66CD" w14:paraId="29E0F0D6" w14:textId="77777777" w:rsidTr="00131DA1">
        <w:tc>
          <w:tcPr>
            <w:tcW w:w="1723" w:type="dxa"/>
            <w:shd w:val="clear" w:color="auto" w:fill="E5DFEC" w:themeFill="accent4" w:themeFillTint="33"/>
          </w:tcPr>
          <w:p w14:paraId="5E0570CF" w14:textId="77777777" w:rsidR="006F605B" w:rsidRPr="00DC66CD" w:rsidRDefault="006F605B" w:rsidP="00131DA1">
            <w:pPr>
              <w:snapToGrid w:val="0"/>
              <w:spacing w:after="0" w:line="240" w:lineRule="auto"/>
              <w:rPr>
                <w:rFonts w:ascii="Garamond" w:hAnsi="Garamond"/>
                <w:sz w:val="20"/>
                <w:szCs w:val="20"/>
              </w:rPr>
            </w:pPr>
          </w:p>
        </w:tc>
        <w:tc>
          <w:tcPr>
            <w:tcW w:w="6176" w:type="dxa"/>
            <w:shd w:val="clear" w:color="auto" w:fill="E5DFEC" w:themeFill="accent4" w:themeFillTint="33"/>
          </w:tcPr>
          <w:p w14:paraId="11C5AB11" w14:textId="77777777" w:rsidR="006F605B" w:rsidRPr="00DC66CD" w:rsidRDefault="006F605B" w:rsidP="00131DA1">
            <w:pPr>
              <w:snapToGrid w:val="0"/>
              <w:spacing w:after="0" w:line="240" w:lineRule="auto"/>
              <w:rPr>
                <w:rFonts w:ascii="Garamond" w:hAnsi="Garamond"/>
                <w:b/>
                <w:sz w:val="20"/>
                <w:szCs w:val="20"/>
              </w:rPr>
            </w:pPr>
            <w:r w:rsidRPr="00DC66CD">
              <w:rPr>
                <w:rFonts w:ascii="Garamond" w:hAnsi="Garamond"/>
                <w:b/>
                <w:sz w:val="20"/>
                <w:szCs w:val="20"/>
              </w:rPr>
              <w:t xml:space="preserve">Zhvillimi i infrastrukturës </w:t>
            </w:r>
            <w:r w:rsidRPr="00DC66CD">
              <w:rPr>
                <w:rFonts w:ascii="Garamond" w:hAnsi="Garamond"/>
                <w:b/>
                <w:i/>
                <w:sz w:val="20"/>
                <w:szCs w:val="20"/>
              </w:rPr>
              <w:t>broadband</w:t>
            </w:r>
            <w:r w:rsidRPr="00DC66CD">
              <w:rPr>
                <w:rFonts w:ascii="Garamond" w:hAnsi="Garamond"/>
                <w:b/>
                <w:sz w:val="20"/>
                <w:szCs w:val="20"/>
              </w:rPr>
              <w:t xml:space="preserve"> për ekonominë digjitale</w:t>
            </w:r>
          </w:p>
        </w:tc>
        <w:tc>
          <w:tcPr>
            <w:tcW w:w="1723" w:type="dxa"/>
            <w:shd w:val="clear" w:color="auto" w:fill="E5DFEC" w:themeFill="accent4" w:themeFillTint="33"/>
          </w:tcPr>
          <w:p w14:paraId="674053EF" w14:textId="3937E8E0" w:rsidR="006F605B" w:rsidRPr="00DC66CD" w:rsidRDefault="009A7E1D" w:rsidP="00131DA1">
            <w:pPr>
              <w:snapToGrid w:val="0"/>
              <w:spacing w:after="0" w:line="240" w:lineRule="auto"/>
              <w:rPr>
                <w:rFonts w:ascii="Garamond" w:hAnsi="Garamond"/>
                <w:sz w:val="20"/>
                <w:szCs w:val="20"/>
              </w:rPr>
            </w:pPr>
            <w:r w:rsidRPr="008C34D3">
              <w:rPr>
                <w:rFonts w:ascii="Garamond" w:hAnsi="Garamond"/>
                <w:b/>
                <w:sz w:val="20"/>
                <w:szCs w:val="20"/>
              </w:rPr>
              <w:t>Statusi i zbatimit të reformës (1</w:t>
            </w:r>
            <w:r>
              <w:rPr>
                <w:rFonts w:ascii="Garamond" w:hAnsi="Garamond"/>
                <w:b/>
                <w:sz w:val="20"/>
                <w:szCs w:val="20"/>
              </w:rPr>
              <w:t>–</w:t>
            </w:r>
            <w:r w:rsidRPr="008C34D3">
              <w:rPr>
                <w:rFonts w:ascii="Garamond" w:hAnsi="Garamond"/>
                <w:b/>
                <w:sz w:val="20"/>
                <w:szCs w:val="20"/>
              </w:rPr>
              <w:t>5)</w:t>
            </w:r>
          </w:p>
        </w:tc>
      </w:tr>
      <w:tr w:rsidR="006F605B" w:rsidRPr="00DC66CD" w14:paraId="04D8D9FE" w14:textId="77777777" w:rsidTr="00131DA1">
        <w:tc>
          <w:tcPr>
            <w:tcW w:w="1723" w:type="dxa"/>
            <w:vMerge w:val="restart"/>
          </w:tcPr>
          <w:p w14:paraId="358402A2"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Aktivitetet e planifikuara për 2019</w:t>
            </w:r>
          </w:p>
        </w:tc>
        <w:tc>
          <w:tcPr>
            <w:tcW w:w="6176" w:type="dxa"/>
          </w:tcPr>
          <w:p w14:paraId="2465BFDE" w14:textId="77777777" w:rsidR="006F605B" w:rsidRPr="00DC66CD" w:rsidRDefault="006F605B" w:rsidP="00131DA1">
            <w:pPr>
              <w:snapToGrid w:val="0"/>
              <w:spacing w:after="0" w:line="240" w:lineRule="auto"/>
              <w:rPr>
                <w:rFonts w:ascii="Garamond" w:eastAsia="Times New Roman" w:hAnsi="Garamond"/>
                <w:b/>
                <w:bCs/>
                <w:sz w:val="20"/>
                <w:szCs w:val="20"/>
              </w:rPr>
            </w:pPr>
            <w:r w:rsidRPr="00DC66CD">
              <w:rPr>
                <w:rFonts w:ascii="Garamond" w:hAnsi="Garamond"/>
                <w:color w:val="0D0D0D" w:themeColor="text1" w:themeTint="F2"/>
                <w:sz w:val="20"/>
                <w:szCs w:val="20"/>
              </w:rPr>
              <w:t xml:space="preserve">Rishikimi i Dokumentit të Politikave Kombëtare të </w:t>
            </w:r>
            <w:r w:rsidRPr="00DC66CD">
              <w:rPr>
                <w:rFonts w:ascii="Garamond" w:hAnsi="Garamond"/>
                <w:i/>
                <w:color w:val="0D0D0D" w:themeColor="text1" w:themeTint="F2"/>
                <w:sz w:val="20"/>
                <w:szCs w:val="20"/>
              </w:rPr>
              <w:t>Broadband</w:t>
            </w:r>
            <w:r w:rsidRPr="00DC66CD">
              <w:rPr>
                <w:rFonts w:ascii="Garamond" w:hAnsi="Garamond"/>
                <w:color w:val="0D0D0D" w:themeColor="text1" w:themeTint="F2"/>
                <w:sz w:val="20"/>
                <w:szCs w:val="20"/>
              </w:rPr>
              <w:t>-it</w:t>
            </w:r>
          </w:p>
        </w:tc>
        <w:tc>
          <w:tcPr>
            <w:tcW w:w="1723" w:type="dxa"/>
          </w:tcPr>
          <w:p w14:paraId="6E7E784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3</w:t>
            </w:r>
          </w:p>
        </w:tc>
      </w:tr>
      <w:tr w:rsidR="006F605B" w:rsidRPr="00DC66CD" w14:paraId="09B1CC71" w14:textId="77777777" w:rsidTr="00131DA1">
        <w:tc>
          <w:tcPr>
            <w:tcW w:w="1723" w:type="dxa"/>
            <w:vMerge/>
          </w:tcPr>
          <w:p w14:paraId="0E2FA08C"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542EC1F9"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 xml:space="preserve">WB19-ALB-DII-01, Studimi i Fizibilitetit dhe Analiza e Kosto-Përfitimeve (CBA) për Zhvillimin e Infrastrukturës </w:t>
            </w:r>
            <w:r w:rsidRPr="00DC66CD">
              <w:rPr>
                <w:rFonts w:ascii="Garamond" w:hAnsi="Garamond"/>
                <w:i/>
                <w:sz w:val="20"/>
                <w:szCs w:val="20"/>
              </w:rPr>
              <w:t>Broadband</w:t>
            </w:r>
            <w:r w:rsidRPr="00DC66CD">
              <w:rPr>
                <w:rFonts w:ascii="Garamond" w:hAnsi="Garamond"/>
                <w:sz w:val="20"/>
                <w:szCs w:val="20"/>
              </w:rPr>
              <w:t xml:space="preserve"> në Shqipëri</w:t>
            </w:r>
          </w:p>
        </w:tc>
        <w:tc>
          <w:tcPr>
            <w:tcW w:w="1723" w:type="dxa"/>
          </w:tcPr>
          <w:p w14:paraId="20D44041"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3</w:t>
            </w:r>
          </w:p>
        </w:tc>
      </w:tr>
      <w:tr w:rsidR="006F605B" w:rsidRPr="00DC66CD" w14:paraId="5259353C" w14:textId="77777777" w:rsidTr="00131DA1">
        <w:tc>
          <w:tcPr>
            <w:tcW w:w="1723" w:type="dxa"/>
            <w:vMerge/>
          </w:tcPr>
          <w:p w14:paraId="04FCC1D4"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6FA48D0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color w:val="0D0D0D" w:themeColor="text1" w:themeTint="F2"/>
                <w:sz w:val="20"/>
                <w:szCs w:val="20"/>
              </w:rPr>
              <w:t xml:space="preserve">Bashkëpunimi rajonal dhe procesi i integrimit në BE lidhur me zhvillimin </w:t>
            </w:r>
            <w:r w:rsidRPr="00DC66CD">
              <w:rPr>
                <w:rFonts w:ascii="Garamond" w:hAnsi="Garamond"/>
                <w:i/>
                <w:color w:val="0D0D0D" w:themeColor="text1" w:themeTint="F2"/>
                <w:sz w:val="20"/>
                <w:szCs w:val="20"/>
              </w:rPr>
              <w:t>Broadband</w:t>
            </w:r>
            <w:r w:rsidRPr="00DC66CD">
              <w:rPr>
                <w:rFonts w:ascii="Garamond" w:hAnsi="Garamond"/>
                <w:color w:val="0D0D0D" w:themeColor="text1" w:themeTint="F2"/>
                <w:sz w:val="20"/>
                <w:szCs w:val="20"/>
              </w:rPr>
              <w:t>;</w:t>
            </w:r>
          </w:p>
        </w:tc>
        <w:tc>
          <w:tcPr>
            <w:tcW w:w="1723" w:type="dxa"/>
          </w:tcPr>
          <w:p w14:paraId="16C30310"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3</w:t>
            </w:r>
          </w:p>
        </w:tc>
      </w:tr>
      <w:tr w:rsidR="006F605B" w:rsidRPr="00DC66CD" w14:paraId="3E27CF94" w14:textId="77777777" w:rsidTr="00131DA1">
        <w:tc>
          <w:tcPr>
            <w:tcW w:w="1723" w:type="dxa"/>
            <w:vMerge w:val="restart"/>
          </w:tcPr>
          <w:p w14:paraId="435C1005"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6176" w:type="dxa"/>
          </w:tcPr>
          <w:p w14:paraId="3DDF65C2"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Në lidhje me rishikimin e Dokumentit të Politikave Kombëtare të </w:t>
            </w:r>
            <w:r w:rsidRPr="00DC66CD">
              <w:rPr>
                <w:rFonts w:ascii="Garamond" w:hAnsi="Garamond"/>
                <w:i/>
                <w:color w:val="0D0D0D" w:themeColor="text1" w:themeTint="F2"/>
                <w:sz w:val="20"/>
                <w:szCs w:val="20"/>
              </w:rPr>
              <w:t>Broadband</w:t>
            </w:r>
            <w:r w:rsidRPr="00DC66CD">
              <w:rPr>
                <w:rFonts w:ascii="Garamond" w:hAnsi="Garamond"/>
                <w:color w:val="0D0D0D" w:themeColor="text1" w:themeTint="F2"/>
                <w:sz w:val="20"/>
                <w:szCs w:val="20"/>
              </w:rPr>
              <w:t>-it:</w:t>
            </w:r>
          </w:p>
          <w:p w14:paraId="3E4FAA6E" w14:textId="2E8A6649" w:rsidR="006F605B" w:rsidRPr="00DC66CD" w:rsidRDefault="00DC66CD" w:rsidP="00DC66CD">
            <w:pPr>
              <w:spacing w:after="0" w:line="240" w:lineRule="auto"/>
              <w:rPr>
                <w:rFonts w:ascii="Garamond" w:hAnsi="Garamond"/>
                <w:color w:val="0D0D0D" w:themeColor="text1" w:themeTint="F2"/>
                <w:sz w:val="20"/>
                <w:szCs w:val="20"/>
              </w:rPr>
            </w:pPr>
            <w:r>
              <w:rPr>
                <w:rFonts w:ascii="Garamond" w:hAnsi="Garamond"/>
                <w:sz w:val="20"/>
                <w:szCs w:val="20"/>
              </w:rPr>
              <w:t xml:space="preserve">- </w:t>
            </w:r>
            <w:r w:rsidRPr="00DC66CD">
              <w:rPr>
                <w:rFonts w:ascii="Garamond" w:hAnsi="Garamond"/>
                <w:sz w:val="20"/>
                <w:szCs w:val="20"/>
              </w:rPr>
              <w:t>g</w:t>
            </w:r>
            <w:r w:rsidR="006F605B" w:rsidRPr="00DC66CD">
              <w:rPr>
                <w:rFonts w:ascii="Garamond" w:hAnsi="Garamond"/>
                <w:sz w:val="20"/>
                <w:szCs w:val="20"/>
              </w:rPr>
              <w:t xml:space="preserve">rupi tematik për telekomunikacion dhe </w:t>
            </w:r>
            <w:r w:rsidR="006F605B" w:rsidRPr="00DC66CD">
              <w:rPr>
                <w:rFonts w:ascii="Garamond" w:hAnsi="Garamond"/>
                <w:i/>
                <w:sz w:val="20"/>
                <w:szCs w:val="20"/>
              </w:rPr>
              <w:t>broadband</w:t>
            </w:r>
            <w:r w:rsidR="006F605B" w:rsidRPr="00DC66CD">
              <w:rPr>
                <w:rFonts w:ascii="Garamond" w:hAnsi="Garamond"/>
                <w:sz w:val="20"/>
                <w:szCs w:val="20"/>
              </w:rPr>
              <w:t xml:space="preserve"> është krijuar në </w:t>
            </w:r>
            <w:r w:rsidRPr="00DC66CD">
              <w:rPr>
                <w:rFonts w:ascii="Garamond" w:hAnsi="Garamond"/>
                <w:sz w:val="20"/>
                <w:szCs w:val="20"/>
              </w:rPr>
              <w:t xml:space="preserve">shkurt </w:t>
            </w:r>
            <w:r w:rsidR="006F605B" w:rsidRPr="00DC66CD">
              <w:rPr>
                <w:rFonts w:ascii="Garamond" w:hAnsi="Garamond"/>
                <w:sz w:val="20"/>
                <w:szCs w:val="20"/>
              </w:rPr>
              <w:t xml:space="preserve">2019, nga një urdhër i </w:t>
            </w:r>
            <w:r w:rsidRPr="00DC66CD">
              <w:rPr>
                <w:rFonts w:ascii="Garamond" w:hAnsi="Garamond"/>
                <w:sz w:val="20"/>
                <w:szCs w:val="20"/>
              </w:rPr>
              <w:t xml:space="preserve">ministrit </w:t>
            </w:r>
            <w:r w:rsidR="006F605B" w:rsidRPr="00DC66CD">
              <w:rPr>
                <w:rFonts w:ascii="Garamond" w:hAnsi="Garamond"/>
                <w:sz w:val="20"/>
                <w:szCs w:val="20"/>
              </w:rPr>
              <w:t>të Infrastrukturës dhe Energjisë;</w:t>
            </w:r>
          </w:p>
          <w:p w14:paraId="114A0778" w14:textId="48A561C8" w:rsidR="006F605B" w:rsidRPr="00DC66CD" w:rsidRDefault="00DC66CD" w:rsidP="00DC66CD">
            <w:pPr>
              <w:spacing w:after="0" w:line="240" w:lineRule="auto"/>
              <w:rPr>
                <w:rFonts w:ascii="Garamond" w:hAnsi="Garamond"/>
                <w:color w:val="0D0D0D" w:themeColor="text1" w:themeTint="F2"/>
                <w:sz w:val="20"/>
                <w:szCs w:val="20"/>
              </w:rPr>
            </w:pPr>
            <w:r>
              <w:rPr>
                <w:rFonts w:ascii="Garamond" w:hAnsi="Garamond"/>
                <w:sz w:val="20"/>
                <w:szCs w:val="20"/>
              </w:rPr>
              <w:t xml:space="preserve">- </w:t>
            </w:r>
            <w:r w:rsidRPr="00DC66CD">
              <w:rPr>
                <w:rFonts w:ascii="Garamond" w:hAnsi="Garamond"/>
                <w:sz w:val="20"/>
                <w:szCs w:val="20"/>
              </w:rPr>
              <w:t>j</w:t>
            </w:r>
            <w:r w:rsidR="006F605B" w:rsidRPr="00DC66CD">
              <w:rPr>
                <w:rFonts w:ascii="Garamond" w:hAnsi="Garamond"/>
                <w:sz w:val="20"/>
                <w:szCs w:val="20"/>
              </w:rPr>
              <w:t>anë organizuar tr</w:t>
            </w:r>
            <w:r w:rsidR="00276B1A" w:rsidRPr="00DC66CD">
              <w:rPr>
                <w:rFonts w:ascii="Garamond" w:hAnsi="Garamond"/>
                <w:sz w:val="20"/>
                <w:szCs w:val="20"/>
              </w:rPr>
              <w:t>i</w:t>
            </w:r>
            <w:r w:rsidR="006F605B" w:rsidRPr="00DC66CD">
              <w:rPr>
                <w:rFonts w:ascii="Garamond" w:hAnsi="Garamond"/>
                <w:sz w:val="20"/>
                <w:szCs w:val="20"/>
              </w:rPr>
              <w:t xml:space="preserve"> takime të grupit tematik nga Prilli 2019 në </w:t>
            </w:r>
            <w:r w:rsidRPr="00DC66CD">
              <w:rPr>
                <w:rFonts w:ascii="Garamond" w:hAnsi="Garamond"/>
                <w:sz w:val="20"/>
                <w:szCs w:val="20"/>
              </w:rPr>
              <w:t xml:space="preserve">shtator </w:t>
            </w:r>
            <w:r w:rsidR="006F605B" w:rsidRPr="00DC66CD">
              <w:rPr>
                <w:rFonts w:ascii="Garamond" w:hAnsi="Garamond"/>
                <w:sz w:val="20"/>
                <w:szCs w:val="20"/>
              </w:rPr>
              <w:t>2019;</w:t>
            </w:r>
          </w:p>
          <w:p w14:paraId="600D4156" w14:textId="7AA22545" w:rsidR="006F605B" w:rsidRPr="00DC66CD" w:rsidRDefault="00DC66CD" w:rsidP="00DC66CD">
            <w:pPr>
              <w:spacing w:after="0" w:line="240" w:lineRule="auto"/>
              <w:jc w:val="both"/>
              <w:rPr>
                <w:rFonts w:ascii="Garamond" w:hAnsi="Garamond"/>
                <w:color w:val="0D0D0D" w:themeColor="text1" w:themeTint="F2"/>
                <w:sz w:val="20"/>
                <w:szCs w:val="20"/>
              </w:rPr>
            </w:pPr>
            <w:r>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t</w:t>
            </w:r>
            <w:r w:rsidR="006F605B" w:rsidRPr="00DC66CD">
              <w:rPr>
                <w:rFonts w:ascii="Garamond" w:hAnsi="Garamond"/>
                <w:color w:val="0D0D0D" w:themeColor="text1" w:themeTint="F2"/>
                <w:sz w:val="20"/>
                <w:szCs w:val="20"/>
              </w:rPr>
              <w:t xml:space="preserve">akimi i parë i Rishikimit të Dokumentit të Politikave Kombëtare të </w:t>
            </w:r>
            <w:r w:rsidR="006F605B" w:rsidRPr="00DC66CD">
              <w:rPr>
                <w:rFonts w:ascii="Garamond" w:hAnsi="Garamond"/>
                <w:i/>
                <w:color w:val="0D0D0D" w:themeColor="text1" w:themeTint="F2"/>
                <w:sz w:val="20"/>
                <w:szCs w:val="20"/>
              </w:rPr>
              <w:t>Broadband</w:t>
            </w:r>
            <w:r w:rsidR="006F605B" w:rsidRPr="00DC66CD">
              <w:rPr>
                <w:rFonts w:ascii="Garamond" w:hAnsi="Garamond"/>
                <w:color w:val="0D0D0D" w:themeColor="text1" w:themeTint="F2"/>
                <w:sz w:val="20"/>
                <w:szCs w:val="20"/>
              </w:rPr>
              <w:t xml:space="preserve"> me një ekspert të ITU</w:t>
            </w:r>
            <w:r>
              <w:rPr>
                <w:rFonts w:ascii="Garamond" w:hAnsi="Garamond"/>
                <w:color w:val="0D0D0D" w:themeColor="text1" w:themeTint="F2"/>
                <w:sz w:val="20"/>
                <w:szCs w:val="20"/>
              </w:rPr>
              <w:t>-së</w:t>
            </w:r>
            <w:r w:rsidR="006F605B" w:rsidRPr="00DC66CD">
              <w:rPr>
                <w:rFonts w:ascii="Garamond" w:hAnsi="Garamond"/>
                <w:color w:val="0D0D0D" w:themeColor="text1" w:themeTint="F2"/>
                <w:sz w:val="20"/>
                <w:szCs w:val="20"/>
              </w:rPr>
              <w:t xml:space="preserve"> u mbajt më 5 </w:t>
            </w:r>
            <w:r w:rsidRPr="00DC66CD">
              <w:rPr>
                <w:rFonts w:ascii="Garamond" w:hAnsi="Garamond"/>
                <w:color w:val="0D0D0D" w:themeColor="text1" w:themeTint="F2"/>
                <w:sz w:val="20"/>
                <w:szCs w:val="20"/>
              </w:rPr>
              <w:t xml:space="preserve">qershor </w:t>
            </w:r>
            <w:r w:rsidR="006F605B" w:rsidRPr="00DC66CD">
              <w:rPr>
                <w:rFonts w:ascii="Garamond" w:hAnsi="Garamond"/>
                <w:color w:val="0D0D0D" w:themeColor="text1" w:themeTint="F2"/>
                <w:sz w:val="20"/>
                <w:szCs w:val="20"/>
              </w:rPr>
              <w:t xml:space="preserve">2019; </w:t>
            </w:r>
            <w:r w:rsidRPr="00DC66CD">
              <w:rPr>
                <w:rFonts w:ascii="Garamond" w:hAnsi="Garamond"/>
                <w:color w:val="0D0D0D" w:themeColor="text1" w:themeTint="F2"/>
                <w:sz w:val="20"/>
                <w:szCs w:val="20"/>
              </w:rPr>
              <w:t>g</w:t>
            </w:r>
            <w:r w:rsidR="006F605B" w:rsidRPr="00DC66CD">
              <w:rPr>
                <w:rFonts w:ascii="Garamond" w:hAnsi="Garamond"/>
                <w:color w:val="0D0D0D" w:themeColor="text1" w:themeTint="F2"/>
                <w:sz w:val="20"/>
                <w:szCs w:val="20"/>
              </w:rPr>
              <w:t>jatë një jave eksperti i ITU</w:t>
            </w:r>
            <w:r>
              <w:rPr>
                <w:rFonts w:ascii="Garamond" w:hAnsi="Garamond"/>
                <w:color w:val="0D0D0D" w:themeColor="text1" w:themeTint="F2"/>
                <w:sz w:val="20"/>
                <w:szCs w:val="20"/>
              </w:rPr>
              <w:t>-së</w:t>
            </w:r>
            <w:r w:rsidR="006F605B" w:rsidRPr="00DC66CD">
              <w:rPr>
                <w:rFonts w:ascii="Garamond" w:hAnsi="Garamond"/>
                <w:color w:val="0D0D0D" w:themeColor="text1" w:themeTint="F2"/>
                <w:sz w:val="20"/>
                <w:szCs w:val="20"/>
              </w:rPr>
              <w:t xml:space="preserve"> i cili po asiston MIE</w:t>
            </w:r>
            <w:r>
              <w:rPr>
                <w:rFonts w:ascii="Garamond" w:hAnsi="Garamond"/>
                <w:color w:val="0D0D0D" w:themeColor="text1" w:themeTint="F2"/>
                <w:sz w:val="20"/>
                <w:szCs w:val="20"/>
              </w:rPr>
              <w:t>-n</w:t>
            </w:r>
            <w:r w:rsidR="006F605B" w:rsidRPr="00DC66CD">
              <w:rPr>
                <w:rFonts w:ascii="Garamond" w:hAnsi="Garamond"/>
                <w:color w:val="0D0D0D" w:themeColor="text1" w:themeTint="F2"/>
                <w:sz w:val="20"/>
                <w:szCs w:val="20"/>
              </w:rPr>
              <w:t xml:space="preserve"> në hartimin e Dokumentit të Politikave Kombëtare të </w:t>
            </w:r>
            <w:r w:rsidR="006F605B" w:rsidRPr="00DC66CD">
              <w:rPr>
                <w:rFonts w:ascii="Garamond" w:hAnsi="Garamond"/>
                <w:i/>
                <w:color w:val="0D0D0D" w:themeColor="text1" w:themeTint="F2"/>
                <w:sz w:val="20"/>
                <w:szCs w:val="20"/>
              </w:rPr>
              <w:t>Broadband</w:t>
            </w:r>
            <w:r w:rsidRPr="00DC66CD">
              <w:rPr>
                <w:rFonts w:ascii="Garamond" w:hAnsi="Garamond"/>
                <w:color w:val="0D0D0D" w:themeColor="text1" w:themeTint="F2"/>
                <w:sz w:val="20"/>
                <w:szCs w:val="20"/>
              </w:rPr>
              <w:t>-it</w:t>
            </w:r>
            <w:r w:rsidR="006F605B" w:rsidRPr="00DC66CD">
              <w:rPr>
                <w:rFonts w:ascii="Garamond" w:hAnsi="Garamond"/>
                <w:color w:val="0D0D0D" w:themeColor="text1" w:themeTint="F2"/>
                <w:sz w:val="20"/>
                <w:szCs w:val="20"/>
              </w:rPr>
              <w:t>, mbajti takime me grupe të ndryshme interesi (AMA, AKEP, AKSHI, AKCESK, Posta Shqiptare, operatorë të ndryshëm) për të prezantuar strukturën e draftit të parë të këtij dokumenti;</w:t>
            </w:r>
          </w:p>
          <w:p w14:paraId="779069AA" w14:textId="7079421F" w:rsidR="006F605B" w:rsidRPr="00DC66CD" w:rsidRDefault="00DC66CD" w:rsidP="00DC66CD">
            <w:pPr>
              <w:spacing w:after="0" w:line="240" w:lineRule="auto"/>
              <w:jc w:val="both"/>
              <w:rPr>
                <w:rFonts w:ascii="Garamond" w:hAnsi="Garamond"/>
                <w:color w:val="0D0D0D" w:themeColor="text1" w:themeTint="F2"/>
                <w:sz w:val="20"/>
                <w:szCs w:val="20"/>
              </w:rPr>
            </w:pPr>
            <w:r>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gjithashtu</w:t>
            </w:r>
            <w:r w:rsidR="006F605B" w:rsidRPr="00DC66CD">
              <w:rPr>
                <w:rFonts w:ascii="Garamond" w:hAnsi="Garamond"/>
                <w:color w:val="0D0D0D" w:themeColor="text1" w:themeTint="F2"/>
                <w:sz w:val="20"/>
                <w:szCs w:val="20"/>
              </w:rPr>
              <w:t xml:space="preserve">, në një tavolinë të rrumbullakët, aktorët e lartpërmendur diskutuan objektivat dhe aktivitetet që do të përfshihen në dokumentin e ri të Planit Kombëtar të </w:t>
            </w:r>
            <w:r w:rsidR="006F605B" w:rsidRPr="00DC66CD">
              <w:rPr>
                <w:rFonts w:ascii="Garamond" w:hAnsi="Garamond"/>
                <w:i/>
                <w:color w:val="0D0D0D" w:themeColor="text1" w:themeTint="F2"/>
                <w:sz w:val="20"/>
                <w:szCs w:val="20"/>
              </w:rPr>
              <w:t>Broadband</w:t>
            </w:r>
            <w:r w:rsidR="006F605B" w:rsidRPr="00DC66CD">
              <w:rPr>
                <w:rFonts w:ascii="Garamond" w:hAnsi="Garamond"/>
                <w:color w:val="0D0D0D" w:themeColor="text1" w:themeTint="F2"/>
                <w:sz w:val="20"/>
                <w:szCs w:val="20"/>
              </w:rPr>
              <w:t>-it;</w:t>
            </w:r>
          </w:p>
          <w:p w14:paraId="7A328E66" w14:textId="087C055E" w:rsidR="006F605B" w:rsidRPr="00DC66CD" w:rsidRDefault="00DC66CD" w:rsidP="00DC66CD">
            <w:pPr>
              <w:spacing w:after="0" w:line="240" w:lineRule="auto"/>
              <w:jc w:val="both"/>
              <w:rPr>
                <w:rFonts w:ascii="Garamond" w:hAnsi="Garamond"/>
                <w:color w:val="0D0D0D" w:themeColor="text1" w:themeTint="F2"/>
                <w:sz w:val="20"/>
                <w:szCs w:val="20"/>
              </w:rPr>
            </w:pPr>
            <w:r>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 xml:space="preserve">një </w:t>
            </w:r>
            <w:r w:rsidR="006F605B" w:rsidRPr="00DC66CD">
              <w:rPr>
                <w:rFonts w:ascii="Garamond" w:hAnsi="Garamond"/>
                <w:i/>
                <w:color w:val="0D0D0D" w:themeColor="text1" w:themeTint="F2"/>
                <w:sz w:val="20"/>
                <w:szCs w:val="20"/>
              </w:rPr>
              <w:t>workshop</w:t>
            </w:r>
            <w:r w:rsidR="006F605B" w:rsidRPr="00DC66CD">
              <w:rPr>
                <w:rFonts w:ascii="Garamond" w:hAnsi="Garamond"/>
                <w:color w:val="0D0D0D" w:themeColor="text1" w:themeTint="F2"/>
                <w:sz w:val="20"/>
                <w:szCs w:val="20"/>
              </w:rPr>
              <w:t xml:space="preserve"> për të prezantuar draftin e Planit Kombëtar të </w:t>
            </w:r>
            <w:r w:rsidR="006F605B" w:rsidRPr="00DC66CD">
              <w:rPr>
                <w:rFonts w:ascii="Garamond" w:hAnsi="Garamond"/>
                <w:i/>
                <w:color w:val="0D0D0D" w:themeColor="text1" w:themeTint="F2"/>
                <w:sz w:val="20"/>
                <w:szCs w:val="20"/>
              </w:rPr>
              <w:t>Broadband</w:t>
            </w:r>
            <w:r w:rsidR="006F605B" w:rsidRPr="00DC66CD">
              <w:rPr>
                <w:rFonts w:ascii="Garamond" w:hAnsi="Garamond"/>
                <w:color w:val="0D0D0D" w:themeColor="text1" w:themeTint="F2"/>
                <w:sz w:val="20"/>
                <w:szCs w:val="20"/>
              </w:rPr>
              <w:t xml:space="preserve">-it është planifikuar në </w:t>
            </w:r>
            <w:r w:rsidRPr="00DC66CD">
              <w:rPr>
                <w:rFonts w:ascii="Garamond" w:hAnsi="Garamond"/>
                <w:color w:val="0D0D0D" w:themeColor="text1" w:themeTint="F2"/>
                <w:sz w:val="20"/>
                <w:szCs w:val="20"/>
              </w:rPr>
              <w:t xml:space="preserve">nëntor </w:t>
            </w:r>
            <w:r w:rsidR="006F605B" w:rsidRPr="00DC66CD">
              <w:rPr>
                <w:rFonts w:ascii="Garamond" w:hAnsi="Garamond"/>
                <w:color w:val="0D0D0D" w:themeColor="text1" w:themeTint="F2"/>
                <w:sz w:val="20"/>
                <w:szCs w:val="20"/>
              </w:rPr>
              <w:t>2019;</w:t>
            </w:r>
          </w:p>
          <w:p w14:paraId="008DD1C6" w14:textId="2BD9FBEA"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 xml:space="preserve">Përveç kësaj, një Forum Rajonal për ekosistemin 5G është organizuar në bashkëpunim me ITU, më 27 </w:t>
            </w:r>
            <w:r w:rsidR="00DC66CD" w:rsidRPr="00DC66CD">
              <w:rPr>
                <w:rFonts w:ascii="Garamond" w:hAnsi="Garamond"/>
                <w:color w:val="0D0D0D" w:themeColor="text1" w:themeTint="F2"/>
                <w:sz w:val="20"/>
                <w:szCs w:val="20"/>
              </w:rPr>
              <w:t xml:space="preserve">qershor </w:t>
            </w:r>
            <w:r w:rsidRPr="00DC66CD">
              <w:rPr>
                <w:rFonts w:ascii="Garamond" w:hAnsi="Garamond"/>
                <w:color w:val="0D0D0D" w:themeColor="text1" w:themeTint="F2"/>
                <w:sz w:val="20"/>
                <w:szCs w:val="20"/>
              </w:rPr>
              <w:t>2019;</w:t>
            </w:r>
          </w:p>
          <w:p w14:paraId="5BB55000" w14:textId="729D1D26"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lang w:eastAsia="ja-JP"/>
              </w:rPr>
              <w:t>Ë</w:t>
            </w:r>
            <w:r w:rsidRPr="00DC66CD">
              <w:rPr>
                <w:rFonts w:ascii="Garamond" w:hAnsi="Garamond"/>
                <w:color w:val="0D0D0D" w:themeColor="text1" w:themeTint="F2"/>
                <w:sz w:val="20"/>
                <w:szCs w:val="20"/>
              </w:rPr>
              <w:t xml:space="preserve">shtë përgatitur drafti i udhërrëfyesit 5G për Shqipërinë. Gjetjet kryesore të eksperteve janë prezantuar gjatë takimit të grupit tematik në </w:t>
            </w:r>
            <w:r w:rsidR="00DC66CD" w:rsidRPr="00DC66CD">
              <w:rPr>
                <w:rFonts w:ascii="Garamond" w:hAnsi="Garamond"/>
                <w:color w:val="0D0D0D" w:themeColor="text1" w:themeTint="F2"/>
                <w:sz w:val="20"/>
                <w:szCs w:val="20"/>
              </w:rPr>
              <w:t xml:space="preserve">qershor </w:t>
            </w:r>
            <w:r w:rsidRPr="00DC66CD">
              <w:rPr>
                <w:rFonts w:ascii="Garamond" w:hAnsi="Garamond"/>
                <w:color w:val="0D0D0D" w:themeColor="text1" w:themeTint="F2"/>
                <w:sz w:val="20"/>
                <w:szCs w:val="20"/>
              </w:rPr>
              <w:t>2019;</w:t>
            </w:r>
          </w:p>
          <w:p w14:paraId="55CAFD3F" w14:textId="3F9460B9"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Shqipëria mori pjesë në takimet e BCO</w:t>
            </w:r>
            <w:r w:rsidR="00DC66CD">
              <w:rPr>
                <w:rFonts w:ascii="Garamond" w:hAnsi="Garamond"/>
                <w:color w:val="0D0D0D" w:themeColor="text1" w:themeTint="F2"/>
                <w:sz w:val="20"/>
                <w:szCs w:val="20"/>
              </w:rPr>
              <w:t>-së</w:t>
            </w:r>
            <w:r w:rsidRPr="00DC66CD">
              <w:rPr>
                <w:rFonts w:ascii="Garamond" w:hAnsi="Garamond"/>
                <w:color w:val="0D0D0D" w:themeColor="text1" w:themeTint="F2"/>
                <w:sz w:val="20"/>
                <w:szCs w:val="20"/>
              </w:rPr>
              <w:t xml:space="preserve"> </w:t>
            </w:r>
            <w:r w:rsidRPr="00DC66CD">
              <w:rPr>
                <w:rFonts w:ascii="Garamond" w:hAnsi="Garamond"/>
                <w:i/>
                <w:color w:val="0D0D0D" w:themeColor="text1" w:themeTint="F2"/>
                <w:sz w:val="20"/>
                <w:szCs w:val="20"/>
              </w:rPr>
              <w:t xml:space="preserve">(Broadband Competence Offices) </w:t>
            </w:r>
            <w:r w:rsidRPr="00DC66CD">
              <w:rPr>
                <w:rFonts w:ascii="Garamond" w:hAnsi="Garamond"/>
                <w:color w:val="0D0D0D" w:themeColor="text1" w:themeTint="F2"/>
                <w:sz w:val="20"/>
                <w:szCs w:val="20"/>
              </w:rPr>
              <w:t xml:space="preserve">EU </w:t>
            </w:r>
            <w:r w:rsidRPr="00DC66CD">
              <w:rPr>
                <w:rFonts w:ascii="Garamond" w:hAnsi="Garamond"/>
                <w:i/>
                <w:color w:val="0D0D0D" w:themeColor="text1" w:themeTint="F2"/>
                <w:sz w:val="20"/>
                <w:szCs w:val="20"/>
              </w:rPr>
              <w:t>network</w:t>
            </w:r>
            <w:r w:rsidRPr="00DC66CD">
              <w:rPr>
                <w:rFonts w:ascii="Garamond" w:hAnsi="Garamond"/>
                <w:color w:val="0D0D0D" w:themeColor="text1" w:themeTint="F2"/>
                <w:sz w:val="20"/>
                <w:szCs w:val="20"/>
              </w:rPr>
              <w:t xml:space="preserve"> gjatë </w:t>
            </w:r>
            <w:r w:rsidR="00DC66CD">
              <w:rPr>
                <w:rFonts w:ascii="Garamond" w:hAnsi="Garamond"/>
                <w:color w:val="0D0D0D" w:themeColor="text1" w:themeTint="F2"/>
                <w:sz w:val="20"/>
                <w:szCs w:val="20"/>
              </w:rPr>
              <w:t>2019-ë</w:t>
            </w:r>
            <w:r w:rsidRPr="00DC66CD">
              <w:rPr>
                <w:rFonts w:ascii="Garamond" w:hAnsi="Garamond"/>
                <w:color w:val="0D0D0D" w:themeColor="text1" w:themeTint="F2"/>
                <w:sz w:val="20"/>
                <w:szCs w:val="20"/>
              </w:rPr>
              <w:t>s.</w:t>
            </w:r>
          </w:p>
        </w:tc>
        <w:tc>
          <w:tcPr>
            <w:tcW w:w="1723" w:type="dxa"/>
          </w:tcPr>
          <w:p w14:paraId="676238BE"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69EA1B47" w14:textId="77777777" w:rsidTr="00131DA1">
        <w:tc>
          <w:tcPr>
            <w:tcW w:w="1723" w:type="dxa"/>
            <w:vMerge/>
          </w:tcPr>
          <w:p w14:paraId="18533297"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4AC88BD1" w14:textId="77777777" w:rsidR="006F605B" w:rsidRPr="00DC66CD" w:rsidRDefault="006F605B" w:rsidP="00131DA1">
            <w:pPr>
              <w:spacing w:after="0" w:line="240" w:lineRule="auto"/>
              <w:jc w:val="both"/>
              <w:rPr>
                <w:rFonts w:ascii="Garamond" w:hAnsi="Garamond"/>
                <w:sz w:val="20"/>
                <w:szCs w:val="20"/>
              </w:rPr>
            </w:pPr>
            <w:r w:rsidRPr="00DC66CD">
              <w:rPr>
                <w:rFonts w:ascii="Garamond" w:hAnsi="Garamond"/>
                <w:sz w:val="20"/>
                <w:szCs w:val="20"/>
              </w:rPr>
              <w:t xml:space="preserve">Në lidhje me WB19-ALB-DII-01, Studimin e Fizibilitetit dhe Analizën e Kosto-Përfitimeve (CBA) për Zhvillimin e Infrastrukturës </w:t>
            </w:r>
            <w:r w:rsidRPr="00DC66CD">
              <w:rPr>
                <w:rFonts w:ascii="Garamond" w:hAnsi="Garamond"/>
                <w:i/>
                <w:sz w:val="20"/>
                <w:szCs w:val="20"/>
              </w:rPr>
              <w:t>Broadband</w:t>
            </w:r>
            <w:r w:rsidRPr="00DC66CD">
              <w:rPr>
                <w:rFonts w:ascii="Garamond" w:hAnsi="Garamond"/>
                <w:sz w:val="20"/>
                <w:szCs w:val="20"/>
              </w:rPr>
              <w:t xml:space="preserve"> në Shqipëri:</w:t>
            </w:r>
          </w:p>
          <w:p w14:paraId="0AA8BD47" w14:textId="425F5862" w:rsidR="006F605B" w:rsidRPr="00DC66CD" w:rsidRDefault="006F605B" w:rsidP="00131DA1">
            <w:pPr>
              <w:spacing w:after="0" w:line="240" w:lineRule="auto"/>
              <w:jc w:val="both"/>
              <w:rPr>
                <w:rFonts w:ascii="Garamond" w:hAnsi="Garamond"/>
                <w:sz w:val="20"/>
                <w:szCs w:val="20"/>
              </w:rPr>
            </w:pPr>
            <w:r w:rsidRPr="00DC66CD">
              <w:rPr>
                <w:rFonts w:ascii="Garamond" w:hAnsi="Garamond"/>
                <w:sz w:val="20"/>
                <w:szCs w:val="20"/>
              </w:rPr>
              <w:t xml:space="preserve">- WBIF në </w:t>
            </w:r>
            <w:r w:rsidR="00DC66CD" w:rsidRPr="00DC66CD">
              <w:rPr>
                <w:rFonts w:ascii="Garamond" w:hAnsi="Garamond"/>
                <w:sz w:val="20"/>
                <w:szCs w:val="20"/>
              </w:rPr>
              <w:t xml:space="preserve">qershor </w:t>
            </w:r>
            <w:r w:rsidRPr="00DC66CD">
              <w:rPr>
                <w:rFonts w:ascii="Garamond" w:hAnsi="Garamond"/>
                <w:sz w:val="20"/>
                <w:szCs w:val="20"/>
              </w:rPr>
              <w:t>2019 caktoi COWI IPF8 për implementimin e këtij projekti;</w:t>
            </w:r>
          </w:p>
          <w:p w14:paraId="0671F2EF" w14:textId="1F13B653" w:rsidR="006F605B" w:rsidRPr="00DC66CD" w:rsidRDefault="006F605B" w:rsidP="00131DA1">
            <w:pPr>
              <w:spacing w:after="0" w:line="240" w:lineRule="auto"/>
              <w:jc w:val="both"/>
              <w:rPr>
                <w:rFonts w:ascii="Garamond" w:hAnsi="Garamond"/>
                <w:sz w:val="20"/>
                <w:szCs w:val="20"/>
              </w:rPr>
            </w:pPr>
            <w:r w:rsidRPr="00DC66CD">
              <w:rPr>
                <w:rFonts w:ascii="Garamond" w:hAnsi="Garamond"/>
                <w:sz w:val="20"/>
                <w:szCs w:val="20"/>
              </w:rPr>
              <w:t xml:space="preserve">- </w:t>
            </w:r>
            <w:r w:rsidR="00DC66CD" w:rsidRPr="00DC66CD">
              <w:rPr>
                <w:rFonts w:ascii="Garamond" w:hAnsi="Garamond"/>
                <w:sz w:val="20"/>
                <w:szCs w:val="20"/>
              </w:rPr>
              <w:t>m</w:t>
            </w:r>
            <w:r w:rsidRPr="00DC66CD">
              <w:rPr>
                <w:rFonts w:ascii="Garamond" w:hAnsi="Garamond"/>
                <w:sz w:val="20"/>
                <w:szCs w:val="20"/>
              </w:rPr>
              <w:t xml:space="preserve">ë 25 </w:t>
            </w:r>
            <w:r w:rsidR="00DC66CD" w:rsidRPr="00DC66CD">
              <w:rPr>
                <w:rFonts w:ascii="Garamond" w:hAnsi="Garamond"/>
                <w:sz w:val="20"/>
                <w:szCs w:val="20"/>
              </w:rPr>
              <w:t xml:space="preserve">qershor </w:t>
            </w:r>
            <w:r w:rsidRPr="00DC66CD">
              <w:rPr>
                <w:rFonts w:ascii="Garamond" w:hAnsi="Garamond"/>
                <w:sz w:val="20"/>
                <w:szCs w:val="20"/>
              </w:rPr>
              <w:t xml:space="preserve">2019 u mbajt takimi i parë i IPF8 WB19-ALB-DII-01, Studimi i Fizibilitetit për Zhvillimin e Infrastrukturës </w:t>
            </w:r>
            <w:r w:rsidRPr="00DC66CD">
              <w:rPr>
                <w:rFonts w:ascii="Garamond" w:hAnsi="Garamond"/>
                <w:i/>
                <w:sz w:val="20"/>
                <w:szCs w:val="20"/>
              </w:rPr>
              <w:t>Broadband</w:t>
            </w:r>
            <w:r w:rsidRPr="00DC66CD">
              <w:rPr>
                <w:rFonts w:ascii="Garamond" w:hAnsi="Garamond"/>
                <w:sz w:val="20"/>
                <w:szCs w:val="20"/>
              </w:rPr>
              <w:t xml:space="preserve"> në Shqipëri;</w:t>
            </w:r>
          </w:p>
          <w:p w14:paraId="5C817FC2" w14:textId="2231407E" w:rsidR="006F605B" w:rsidRPr="00DC66CD" w:rsidRDefault="006F605B" w:rsidP="00131DA1">
            <w:pPr>
              <w:spacing w:after="0" w:line="240" w:lineRule="auto"/>
              <w:jc w:val="both"/>
              <w:rPr>
                <w:rFonts w:ascii="Garamond" w:hAnsi="Garamond"/>
                <w:sz w:val="20"/>
                <w:szCs w:val="20"/>
              </w:rPr>
            </w:pPr>
            <w:r w:rsidRPr="00DC66CD">
              <w:rPr>
                <w:rFonts w:ascii="Garamond" w:hAnsi="Garamond"/>
                <w:sz w:val="20"/>
                <w:szCs w:val="20"/>
              </w:rPr>
              <w:t xml:space="preserve">- </w:t>
            </w:r>
            <w:r w:rsidR="00DC66CD" w:rsidRPr="00DC66CD">
              <w:rPr>
                <w:rFonts w:ascii="Garamond" w:hAnsi="Garamond"/>
                <w:sz w:val="20"/>
                <w:szCs w:val="20"/>
              </w:rPr>
              <w:t>g</w:t>
            </w:r>
            <w:r w:rsidRPr="00DC66CD">
              <w:rPr>
                <w:rFonts w:ascii="Garamond" w:hAnsi="Garamond"/>
                <w:sz w:val="20"/>
                <w:szCs w:val="20"/>
              </w:rPr>
              <w:t xml:space="preserve">jatë takimit u prezantua grupi i ekspertëve të </w:t>
            </w:r>
            <w:r w:rsidRPr="00DC66CD">
              <w:rPr>
                <w:rFonts w:ascii="Garamond" w:hAnsi="Garamond"/>
                <w:i/>
                <w:color w:val="0D0D0D" w:themeColor="text1" w:themeTint="F2"/>
                <w:sz w:val="20"/>
                <w:szCs w:val="20"/>
              </w:rPr>
              <w:t>Infrastructure Project Facility</w:t>
            </w:r>
            <w:r w:rsidRPr="00DC66CD">
              <w:rPr>
                <w:rFonts w:ascii="Garamond" w:hAnsi="Garamond"/>
                <w:i/>
                <w:sz w:val="20"/>
                <w:szCs w:val="20"/>
              </w:rPr>
              <w:t xml:space="preserve"> (IPF8) </w:t>
            </w:r>
            <w:r w:rsidRPr="00DC66CD">
              <w:rPr>
                <w:rFonts w:ascii="Garamond" w:hAnsi="Garamond"/>
                <w:sz w:val="20"/>
                <w:szCs w:val="20"/>
              </w:rPr>
              <w:t>që do të</w:t>
            </w:r>
            <w:r w:rsidRPr="00DC66CD">
              <w:rPr>
                <w:rFonts w:ascii="Garamond" w:hAnsi="Garamond"/>
                <w:i/>
                <w:sz w:val="20"/>
                <w:szCs w:val="20"/>
              </w:rPr>
              <w:t xml:space="preserve"> </w:t>
            </w:r>
            <w:r w:rsidRPr="00DC66CD">
              <w:rPr>
                <w:rFonts w:ascii="Garamond" w:hAnsi="Garamond"/>
                <w:sz w:val="20"/>
                <w:szCs w:val="20"/>
              </w:rPr>
              <w:t>punojnë në projektin</w:t>
            </w:r>
            <w:r w:rsidR="0072211B" w:rsidRPr="00DC66CD">
              <w:rPr>
                <w:rFonts w:ascii="Garamond" w:hAnsi="Garamond"/>
                <w:sz w:val="20"/>
                <w:szCs w:val="20"/>
              </w:rPr>
              <w:t xml:space="preserve"> </w:t>
            </w:r>
            <w:r w:rsidRPr="00DC66CD">
              <w:rPr>
                <w:rFonts w:ascii="Garamond" w:hAnsi="Garamond"/>
                <w:sz w:val="20"/>
                <w:szCs w:val="20"/>
              </w:rPr>
              <w:t>WB19-ALB-DII-01 dhe u prezantua metodologjia që do të ndiqet</w:t>
            </w:r>
            <w:r w:rsidR="00772573" w:rsidRPr="00DC66CD">
              <w:rPr>
                <w:rFonts w:ascii="Garamond" w:hAnsi="Garamond"/>
                <w:sz w:val="20"/>
                <w:szCs w:val="20"/>
              </w:rPr>
              <w:t>,</w:t>
            </w:r>
            <w:r w:rsidRPr="00DC66CD">
              <w:rPr>
                <w:rFonts w:ascii="Garamond" w:hAnsi="Garamond"/>
                <w:sz w:val="20"/>
                <w:szCs w:val="20"/>
              </w:rPr>
              <w:t xml:space="preserve"> si dhe plani i punës në përputhje me ToR-sat e miratuara paraprakisht.</w:t>
            </w:r>
          </w:p>
          <w:p w14:paraId="6F0F1382" w14:textId="7A9DD224" w:rsidR="006F605B" w:rsidRPr="00DC66CD" w:rsidRDefault="006F605B" w:rsidP="00131DA1">
            <w:pPr>
              <w:spacing w:after="0" w:line="240" w:lineRule="auto"/>
              <w:jc w:val="both"/>
              <w:rPr>
                <w:rFonts w:ascii="Garamond" w:hAnsi="Garamond"/>
                <w:sz w:val="20"/>
                <w:szCs w:val="20"/>
              </w:rPr>
            </w:pPr>
            <w:r w:rsidRPr="00DC66CD">
              <w:rPr>
                <w:rFonts w:ascii="Garamond" w:hAnsi="Garamond"/>
                <w:sz w:val="20"/>
                <w:szCs w:val="20"/>
              </w:rPr>
              <w:t xml:space="preserve">- </w:t>
            </w:r>
            <w:r w:rsidR="00DC66CD" w:rsidRPr="00DC66CD">
              <w:rPr>
                <w:rFonts w:ascii="Garamond" w:hAnsi="Garamond"/>
                <w:sz w:val="20"/>
                <w:szCs w:val="20"/>
              </w:rPr>
              <w:t>g</w:t>
            </w:r>
            <w:r w:rsidRPr="00DC66CD">
              <w:rPr>
                <w:rFonts w:ascii="Garamond" w:hAnsi="Garamond"/>
                <w:sz w:val="20"/>
                <w:szCs w:val="20"/>
              </w:rPr>
              <w:t>jatë muajit Shtator 2019, grupi i punës së IPF8 organizoi një numër takimesh me grupe të ndryshme interesi si operatorë, institucione dhe MIE.</w:t>
            </w:r>
          </w:p>
          <w:p w14:paraId="306C60DB" w14:textId="34A2A175" w:rsidR="006F605B" w:rsidRPr="00DC66CD" w:rsidRDefault="00DC66CD" w:rsidP="00131DA1">
            <w:pPr>
              <w:spacing w:after="0" w:line="240" w:lineRule="auto"/>
              <w:jc w:val="both"/>
              <w:rPr>
                <w:rFonts w:ascii="Garamond" w:hAnsi="Garamond"/>
                <w:sz w:val="20"/>
                <w:szCs w:val="20"/>
              </w:rPr>
            </w:pPr>
            <w:r w:rsidRPr="00DC66CD">
              <w:rPr>
                <w:rFonts w:ascii="Garamond" w:hAnsi="Garamond"/>
                <w:i/>
                <w:sz w:val="20"/>
                <w:szCs w:val="20"/>
              </w:rPr>
              <w:t>Workshop</w:t>
            </w:r>
            <w:r w:rsidR="006F605B" w:rsidRPr="00DC66CD">
              <w:rPr>
                <w:rFonts w:ascii="Garamond" w:hAnsi="Garamond"/>
                <w:sz w:val="20"/>
                <w:szCs w:val="20"/>
              </w:rPr>
              <w:t xml:space="preserve">-i për prezantimin e raportit fillestar u mbajt më 9 </w:t>
            </w:r>
            <w:r w:rsidRPr="00DC66CD">
              <w:rPr>
                <w:rFonts w:ascii="Garamond" w:hAnsi="Garamond"/>
                <w:sz w:val="20"/>
                <w:szCs w:val="20"/>
              </w:rPr>
              <w:t xml:space="preserve">tetor </w:t>
            </w:r>
            <w:r w:rsidR="006F605B" w:rsidRPr="00DC66CD">
              <w:rPr>
                <w:rFonts w:ascii="Garamond" w:hAnsi="Garamond"/>
                <w:sz w:val="20"/>
                <w:szCs w:val="20"/>
              </w:rPr>
              <w:t xml:space="preserve">2019. </w:t>
            </w:r>
          </w:p>
        </w:tc>
        <w:tc>
          <w:tcPr>
            <w:tcW w:w="1723" w:type="dxa"/>
          </w:tcPr>
          <w:p w14:paraId="48CC8A80"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0F7FA50D" w14:textId="77777777" w:rsidTr="00131DA1">
        <w:tc>
          <w:tcPr>
            <w:tcW w:w="1723" w:type="dxa"/>
            <w:vMerge/>
          </w:tcPr>
          <w:p w14:paraId="55255745"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1491E229" w14:textId="77777777" w:rsidR="006F605B" w:rsidRPr="00DC66CD" w:rsidRDefault="006F605B" w:rsidP="00131DA1">
            <w:pPr>
              <w:spacing w:after="0" w:line="240" w:lineRule="auto"/>
              <w:jc w:val="both"/>
              <w:rPr>
                <w:rFonts w:ascii="Garamond" w:hAnsi="Garamond"/>
                <w:color w:val="0D0D0D" w:themeColor="text1" w:themeTint="F2"/>
                <w:sz w:val="20"/>
                <w:szCs w:val="20"/>
              </w:rPr>
            </w:pPr>
            <w:r w:rsidRPr="00DC66CD">
              <w:rPr>
                <w:rFonts w:ascii="Garamond" w:hAnsi="Garamond"/>
                <w:color w:val="0D0D0D" w:themeColor="text1" w:themeTint="F2"/>
                <w:sz w:val="20"/>
                <w:szCs w:val="20"/>
              </w:rPr>
              <w:t>Në lidhje me bashkëpunimin rajonal dhe procesin e Integrimit në BE:</w:t>
            </w:r>
          </w:p>
          <w:p w14:paraId="3B9E0E8B" w14:textId="20B1DA4B" w:rsidR="006F605B" w:rsidRPr="00DC66CD" w:rsidRDefault="00DC66CD" w:rsidP="00DC66CD">
            <w:pPr>
              <w:spacing w:after="0" w:line="240" w:lineRule="auto"/>
              <w:jc w:val="both"/>
              <w:rPr>
                <w:rFonts w:ascii="Garamond" w:hAnsi="Garamond"/>
                <w:color w:val="0D0D0D" w:themeColor="text1" w:themeTint="F2"/>
                <w:sz w:val="20"/>
                <w:szCs w:val="20"/>
              </w:rPr>
            </w:pPr>
            <w:r>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 xml:space="preserve">bazuar </w:t>
            </w:r>
            <w:r w:rsidR="006F605B" w:rsidRPr="00DC66CD">
              <w:rPr>
                <w:rFonts w:ascii="Garamond" w:hAnsi="Garamond"/>
                <w:color w:val="0D0D0D" w:themeColor="text1" w:themeTint="F2"/>
                <w:sz w:val="20"/>
                <w:szCs w:val="20"/>
              </w:rPr>
              <w:t xml:space="preserve">në </w:t>
            </w:r>
            <w:r w:rsidR="009A7E1D" w:rsidRPr="00DC66CD">
              <w:rPr>
                <w:rFonts w:ascii="Garamond" w:hAnsi="Garamond"/>
                <w:color w:val="0D0D0D" w:themeColor="text1" w:themeTint="F2"/>
                <w:sz w:val="20"/>
                <w:szCs w:val="20"/>
              </w:rPr>
              <w:t xml:space="preserve">agjendën digjitale </w:t>
            </w:r>
            <w:r w:rsidR="006F605B" w:rsidRPr="00DC66CD">
              <w:rPr>
                <w:rFonts w:ascii="Garamond" w:hAnsi="Garamond"/>
                <w:color w:val="0D0D0D" w:themeColor="text1" w:themeTint="F2"/>
                <w:sz w:val="20"/>
                <w:szCs w:val="20"/>
              </w:rPr>
              <w:t>të BE</w:t>
            </w:r>
            <w:r w:rsidR="009A7E1D">
              <w:rPr>
                <w:rFonts w:ascii="Garamond" w:hAnsi="Garamond"/>
                <w:color w:val="0D0D0D" w:themeColor="text1" w:themeTint="F2"/>
                <w:sz w:val="20"/>
                <w:szCs w:val="20"/>
              </w:rPr>
              <w:t>-së</w:t>
            </w:r>
            <w:r w:rsidR="006F605B" w:rsidRPr="00DC66CD">
              <w:rPr>
                <w:rFonts w:ascii="Garamond" w:hAnsi="Garamond"/>
                <w:color w:val="0D0D0D" w:themeColor="text1" w:themeTint="F2"/>
                <w:sz w:val="20"/>
                <w:szCs w:val="20"/>
              </w:rPr>
              <w:t xml:space="preserve"> për Ballkanin Perëndimor, më 9 </w:t>
            </w:r>
            <w:r w:rsidR="009A7E1D" w:rsidRPr="00DC66CD">
              <w:rPr>
                <w:rFonts w:ascii="Garamond" w:hAnsi="Garamond"/>
                <w:color w:val="0D0D0D" w:themeColor="text1" w:themeTint="F2"/>
                <w:sz w:val="20"/>
                <w:szCs w:val="20"/>
              </w:rPr>
              <w:t xml:space="preserve">qershor </w:t>
            </w:r>
            <w:r w:rsidR="006F605B" w:rsidRPr="00DC66CD">
              <w:rPr>
                <w:rFonts w:ascii="Garamond" w:hAnsi="Garamond"/>
                <w:color w:val="0D0D0D" w:themeColor="text1" w:themeTint="F2"/>
                <w:sz w:val="20"/>
                <w:szCs w:val="20"/>
              </w:rPr>
              <w:t xml:space="preserve">2019 u mbajt një </w:t>
            </w:r>
            <w:r w:rsidR="009A7E1D" w:rsidRPr="009A7E1D">
              <w:rPr>
                <w:rFonts w:ascii="Garamond" w:hAnsi="Garamond"/>
                <w:i/>
                <w:color w:val="0D0D0D" w:themeColor="text1" w:themeTint="F2"/>
                <w:sz w:val="20"/>
                <w:szCs w:val="20"/>
              </w:rPr>
              <w:t>workshop</w:t>
            </w:r>
            <w:r w:rsidR="009A7E1D"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 xml:space="preserve">shumëpalësh nga TAIEX, në </w:t>
            </w:r>
            <w:r w:rsidR="009A7E1D" w:rsidRPr="00DC66CD">
              <w:rPr>
                <w:rFonts w:ascii="Garamond" w:hAnsi="Garamond"/>
                <w:color w:val="0D0D0D" w:themeColor="text1" w:themeTint="F2"/>
                <w:sz w:val="20"/>
                <w:szCs w:val="20"/>
              </w:rPr>
              <w:t xml:space="preserve">dialogun </w:t>
            </w:r>
            <w:r w:rsidR="006F605B" w:rsidRPr="00DC66CD">
              <w:rPr>
                <w:rFonts w:ascii="Garamond" w:hAnsi="Garamond"/>
                <w:color w:val="0D0D0D" w:themeColor="text1" w:themeTint="F2"/>
                <w:sz w:val="20"/>
                <w:szCs w:val="20"/>
              </w:rPr>
              <w:t>për TIK BE-Ballkani Perëndimor;</w:t>
            </w:r>
          </w:p>
          <w:p w14:paraId="39A0C78F" w14:textId="2AD73CCC" w:rsidR="006F605B" w:rsidRPr="00DC66CD" w:rsidRDefault="00DC66CD" w:rsidP="00DC66CD">
            <w:pPr>
              <w:spacing w:after="0" w:line="240" w:lineRule="auto"/>
              <w:jc w:val="both"/>
              <w:rPr>
                <w:rFonts w:ascii="Garamond" w:hAnsi="Garamond"/>
                <w:color w:val="0D0D0D" w:themeColor="text1" w:themeTint="F2"/>
                <w:sz w:val="20"/>
                <w:szCs w:val="20"/>
              </w:rPr>
            </w:pPr>
            <w:r>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 xml:space="preserve">qëllimi </w:t>
            </w:r>
            <w:r w:rsidR="006F605B" w:rsidRPr="00DC66CD">
              <w:rPr>
                <w:rFonts w:ascii="Garamond" w:hAnsi="Garamond"/>
                <w:color w:val="0D0D0D" w:themeColor="text1" w:themeTint="F2"/>
                <w:sz w:val="20"/>
                <w:szCs w:val="20"/>
              </w:rPr>
              <w:t>i këtij takimi, i cili mblodhi së bashku përfaqësues të 6 vendeve të Ballkanit Perëndimor, ishte të inkurajonte zhvillimin e mëtejshëm të dialogut midis vendeve, me fokus në TIK.</w:t>
            </w:r>
            <w:r w:rsidR="006F605B" w:rsidRPr="00DC66CD">
              <w:rPr>
                <w:rFonts w:ascii="Garamond" w:hAnsi="Garamond"/>
                <w:sz w:val="20"/>
                <w:szCs w:val="20"/>
              </w:rPr>
              <w:t xml:space="preserve"> </w:t>
            </w:r>
            <w:r w:rsidR="006F605B" w:rsidRPr="00DC66CD">
              <w:rPr>
                <w:rFonts w:ascii="Garamond" w:hAnsi="Garamond"/>
                <w:color w:val="0D0D0D" w:themeColor="text1" w:themeTint="F2"/>
                <w:sz w:val="20"/>
                <w:szCs w:val="20"/>
              </w:rPr>
              <w:t>Theksi gjatë këtij takimi ishte në arritjet e secilit vend në këtë fushë, duke paraqitur një kornizë të përgjithshme të situatës aktuale dhe arritjeve në nivelin rajonal dhe kombëtar në fushën e agjendës digjitale;</w:t>
            </w:r>
          </w:p>
          <w:p w14:paraId="6814835A" w14:textId="20A7921A" w:rsidR="006F605B" w:rsidRPr="00DC66CD" w:rsidRDefault="00DC66CD" w:rsidP="00DC66CD">
            <w:pPr>
              <w:spacing w:after="0" w:line="240" w:lineRule="auto"/>
              <w:jc w:val="both"/>
              <w:rPr>
                <w:rFonts w:ascii="Garamond" w:hAnsi="Garamond"/>
                <w:color w:val="0D0D0D" w:themeColor="text1" w:themeTint="F2"/>
                <w:sz w:val="20"/>
                <w:szCs w:val="20"/>
              </w:rPr>
            </w:pPr>
            <w:r>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 xml:space="preserve">marrëveshja </w:t>
            </w:r>
            <w:r w:rsidR="009A7E1D" w:rsidRPr="00DC66CD">
              <w:rPr>
                <w:rFonts w:ascii="Garamond" w:hAnsi="Garamond"/>
                <w:color w:val="0D0D0D" w:themeColor="text1" w:themeTint="F2"/>
                <w:sz w:val="20"/>
                <w:szCs w:val="20"/>
              </w:rPr>
              <w:t xml:space="preserve">rajonale </w:t>
            </w:r>
            <w:r w:rsidR="009A7E1D" w:rsidRPr="009A7E1D">
              <w:rPr>
                <w:rFonts w:ascii="Garamond" w:hAnsi="Garamond"/>
                <w:i/>
                <w:color w:val="0D0D0D" w:themeColor="text1" w:themeTint="F2"/>
                <w:sz w:val="20"/>
                <w:szCs w:val="20"/>
              </w:rPr>
              <w:t>roaming</w:t>
            </w:r>
            <w:r w:rsidR="009A7E1D" w:rsidRPr="00DC66CD">
              <w:rPr>
                <w:rFonts w:ascii="Garamond" w:hAnsi="Garamond"/>
                <w:color w:val="0D0D0D" w:themeColor="text1" w:themeTint="F2"/>
                <w:sz w:val="20"/>
                <w:szCs w:val="20"/>
              </w:rPr>
              <w:t xml:space="preserve"> </w:t>
            </w:r>
            <w:r w:rsidR="006F605B" w:rsidRPr="00DC66CD">
              <w:rPr>
                <w:rFonts w:ascii="Garamond" w:hAnsi="Garamond"/>
                <w:color w:val="0D0D0D" w:themeColor="text1" w:themeTint="F2"/>
                <w:sz w:val="20"/>
                <w:szCs w:val="20"/>
              </w:rPr>
              <w:t xml:space="preserve">në Ballkanin Perëndimor u firmos me 4 </w:t>
            </w:r>
            <w:r w:rsidR="009A7E1D" w:rsidRPr="00DC66CD">
              <w:rPr>
                <w:rFonts w:ascii="Garamond" w:hAnsi="Garamond"/>
                <w:color w:val="0D0D0D" w:themeColor="text1" w:themeTint="F2"/>
                <w:sz w:val="20"/>
                <w:szCs w:val="20"/>
              </w:rPr>
              <w:t xml:space="preserve">prill </w:t>
            </w:r>
            <w:r w:rsidR="006F605B" w:rsidRPr="00DC66CD">
              <w:rPr>
                <w:rFonts w:ascii="Garamond" w:hAnsi="Garamond"/>
                <w:color w:val="0D0D0D" w:themeColor="text1" w:themeTint="F2"/>
                <w:sz w:val="20"/>
                <w:szCs w:val="20"/>
              </w:rPr>
              <w:t>2019;</w:t>
            </w:r>
          </w:p>
          <w:p w14:paraId="75FFFBB1" w14:textId="0CCE20CC" w:rsidR="006F605B" w:rsidRPr="00DC66CD" w:rsidRDefault="00DC66CD" w:rsidP="00DC66CD">
            <w:pPr>
              <w:spacing w:after="0" w:line="240" w:lineRule="auto"/>
              <w:jc w:val="both"/>
              <w:rPr>
                <w:rFonts w:ascii="Garamond" w:hAnsi="Garamond"/>
                <w:color w:val="0D0D0D" w:themeColor="text1" w:themeTint="F2"/>
                <w:sz w:val="20"/>
                <w:szCs w:val="20"/>
              </w:rPr>
            </w:pPr>
            <w:r>
              <w:rPr>
                <w:rFonts w:ascii="Garamond" w:hAnsi="Garamond"/>
                <w:color w:val="0D0D0D" w:themeColor="text1" w:themeTint="F2"/>
                <w:sz w:val="20"/>
                <w:szCs w:val="20"/>
              </w:rPr>
              <w:t xml:space="preserve">- </w:t>
            </w:r>
            <w:r w:rsidR="009A7E1D" w:rsidRPr="00DC66CD">
              <w:rPr>
                <w:rFonts w:ascii="Garamond" w:hAnsi="Garamond"/>
                <w:color w:val="0D0D0D" w:themeColor="text1" w:themeTint="F2"/>
                <w:sz w:val="20"/>
                <w:szCs w:val="20"/>
              </w:rPr>
              <w:t xml:space="preserve">Seminari </w:t>
            </w:r>
            <w:r w:rsidR="006F605B" w:rsidRPr="00DC66CD">
              <w:rPr>
                <w:rFonts w:ascii="Garamond" w:hAnsi="Garamond"/>
                <w:color w:val="0D0D0D" w:themeColor="text1" w:themeTint="F2"/>
                <w:sz w:val="20"/>
                <w:szCs w:val="20"/>
              </w:rPr>
              <w:t xml:space="preserve">Rajonal i Radiokomunikimit u organizua nga RCC në </w:t>
            </w:r>
            <w:r w:rsidR="009A7E1D" w:rsidRPr="00DC66CD">
              <w:rPr>
                <w:rFonts w:ascii="Garamond" w:hAnsi="Garamond"/>
                <w:color w:val="0D0D0D" w:themeColor="text1" w:themeTint="F2"/>
                <w:sz w:val="20"/>
                <w:szCs w:val="20"/>
              </w:rPr>
              <w:t xml:space="preserve">qershor </w:t>
            </w:r>
            <w:r w:rsidR="006F605B" w:rsidRPr="00DC66CD">
              <w:rPr>
                <w:rFonts w:ascii="Garamond" w:hAnsi="Garamond"/>
                <w:color w:val="0D0D0D" w:themeColor="text1" w:themeTint="F2"/>
                <w:sz w:val="20"/>
                <w:szCs w:val="20"/>
              </w:rPr>
              <w:t>2019;</w:t>
            </w:r>
          </w:p>
          <w:p w14:paraId="7867B9FF" w14:textId="121C01CA" w:rsidR="006F605B" w:rsidRPr="00DC66CD" w:rsidRDefault="00DC66CD" w:rsidP="00DC66CD">
            <w:pPr>
              <w:spacing w:after="0" w:line="240" w:lineRule="auto"/>
              <w:rPr>
                <w:rFonts w:ascii="Garamond" w:hAnsi="Garamond"/>
                <w:color w:val="0D0D0D" w:themeColor="text1" w:themeTint="F2"/>
                <w:sz w:val="20"/>
                <w:szCs w:val="20"/>
              </w:rPr>
            </w:pPr>
            <w:r>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 xml:space="preserve">seminari </w:t>
            </w:r>
            <w:r w:rsidR="006F605B" w:rsidRPr="00DC66CD">
              <w:rPr>
                <w:rFonts w:ascii="Garamond" w:hAnsi="Garamond"/>
                <w:color w:val="0D0D0D" w:themeColor="text1" w:themeTint="F2"/>
                <w:sz w:val="20"/>
                <w:szCs w:val="20"/>
              </w:rPr>
              <w:t>i RCC për Shtyllën e Integrimit Digjital të MAP-REA;</w:t>
            </w:r>
          </w:p>
          <w:p w14:paraId="3E575FDA" w14:textId="4095C333" w:rsidR="006F605B" w:rsidRPr="00DC66CD" w:rsidRDefault="00DC66CD" w:rsidP="00DC66CD">
            <w:pPr>
              <w:spacing w:after="0" w:line="240" w:lineRule="auto"/>
              <w:rPr>
                <w:rFonts w:ascii="Garamond" w:hAnsi="Garamond"/>
                <w:color w:val="0D0D0D" w:themeColor="text1" w:themeTint="F2"/>
                <w:sz w:val="20"/>
                <w:szCs w:val="20"/>
              </w:rPr>
            </w:pPr>
            <w:r>
              <w:rPr>
                <w:rFonts w:ascii="Garamond" w:hAnsi="Garamond"/>
                <w:color w:val="0D0D0D" w:themeColor="text1" w:themeTint="F2"/>
                <w:sz w:val="20"/>
                <w:szCs w:val="20"/>
              </w:rPr>
              <w:t xml:space="preserve">- </w:t>
            </w:r>
            <w:r w:rsidRPr="00DC66CD">
              <w:rPr>
                <w:rFonts w:ascii="Garamond" w:hAnsi="Garamond"/>
                <w:color w:val="0D0D0D" w:themeColor="text1" w:themeTint="F2"/>
                <w:sz w:val="20"/>
                <w:szCs w:val="20"/>
              </w:rPr>
              <w:t>etj</w:t>
            </w:r>
            <w:r w:rsidR="006F605B" w:rsidRPr="00DC66CD">
              <w:rPr>
                <w:rFonts w:ascii="Garamond" w:hAnsi="Garamond"/>
                <w:color w:val="0D0D0D" w:themeColor="text1" w:themeTint="F2"/>
                <w:sz w:val="20"/>
                <w:szCs w:val="20"/>
              </w:rPr>
              <w:t>.</w:t>
            </w:r>
          </w:p>
        </w:tc>
        <w:tc>
          <w:tcPr>
            <w:tcW w:w="1723" w:type="dxa"/>
          </w:tcPr>
          <w:p w14:paraId="3904FD8C" w14:textId="77777777" w:rsidR="006F605B" w:rsidRPr="00DC66CD" w:rsidRDefault="006F605B" w:rsidP="00131DA1">
            <w:pPr>
              <w:snapToGrid w:val="0"/>
              <w:spacing w:after="0" w:line="240" w:lineRule="auto"/>
              <w:rPr>
                <w:rFonts w:ascii="Garamond" w:hAnsi="Garamond"/>
                <w:sz w:val="20"/>
                <w:szCs w:val="20"/>
              </w:rPr>
            </w:pPr>
          </w:p>
        </w:tc>
      </w:tr>
    </w:tbl>
    <w:p w14:paraId="2EEB9840" w14:textId="77777777" w:rsidR="006F605B" w:rsidRPr="00DC66CD" w:rsidRDefault="006F605B" w:rsidP="006F605B">
      <w:pPr>
        <w:snapToGrid w:val="0"/>
        <w:spacing w:after="0" w:line="240" w:lineRule="auto"/>
        <w:ind w:firstLine="284"/>
        <w:rPr>
          <w:rFonts w:ascii="Garamond" w:hAnsi="Garamond"/>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6331"/>
        <w:gridCol w:w="1643"/>
      </w:tblGrid>
      <w:tr w:rsidR="006F605B" w:rsidRPr="009A7E1D" w14:paraId="7DC7CBA6" w14:textId="77777777" w:rsidTr="009A7E1D">
        <w:tc>
          <w:tcPr>
            <w:tcW w:w="1660" w:type="dxa"/>
            <w:shd w:val="clear" w:color="auto" w:fill="E5DFEC" w:themeFill="accent4" w:themeFillTint="33"/>
            <w:vAlign w:val="center"/>
          </w:tcPr>
          <w:p w14:paraId="1F3C8F64" w14:textId="77777777" w:rsidR="006F605B" w:rsidRPr="009A7E1D" w:rsidRDefault="006F605B" w:rsidP="009A7E1D">
            <w:pPr>
              <w:spacing w:after="0" w:line="240" w:lineRule="auto"/>
              <w:jc w:val="center"/>
              <w:rPr>
                <w:rFonts w:ascii="Garamond" w:hAnsi="Garamond"/>
                <w:b/>
                <w:color w:val="0D0D0D" w:themeColor="text1" w:themeTint="F2"/>
                <w:sz w:val="20"/>
                <w:szCs w:val="20"/>
              </w:rPr>
            </w:pPr>
          </w:p>
        </w:tc>
        <w:tc>
          <w:tcPr>
            <w:tcW w:w="6331" w:type="dxa"/>
            <w:shd w:val="clear" w:color="auto" w:fill="E5DFEC" w:themeFill="accent4" w:themeFillTint="33"/>
            <w:vAlign w:val="center"/>
          </w:tcPr>
          <w:p w14:paraId="7155B562" w14:textId="77777777" w:rsidR="006F605B" w:rsidRPr="009A7E1D" w:rsidRDefault="006F605B" w:rsidP="009A7E1D">
            <w:pPr>
              <w:spacing w:after="0" w:line="240" w:lineRule="auto"/>
              <w:jc w:val="center"/>
              <w:rPr>
                <w:rFonts w:ascii="Garamond" w:eastAsia="Times New Roman" w:hAnsi="Garamond"/>
                <w:b/>
                <w:sz w:val="20"/>
                <w:szCs w:val="20"/>
              </w:rPr>
            </w:pPr>
            <w:r w:rsidRPr="009A7E1D">
              <w:rPr>
                <w:rFonts w:ascii="Garamond" w:eastAsia="Times New Roman" w:hAnsi="Garamond"/>
                <w:b/>
                <w:bCs/>
                <w:color w:val="0D0D0D"/>
                <w:sz w:val="20"/>
                <w:szCs w:val="20"/>
              </w:rPr>
              <w:t>Lehtësimi i lëvizjes ndërkufitare të mallrave</w:t>
            </w:r>
          </w:p>
          <w:p w14:paraId="001C6A70" w14:textId="77777777" w:rsidR="006F605B" w:rsidRPr="009A7E1D" w:rsidRDefault="006F605B" w:rsidP="009A7E1D">
            <w:pPr>
              <w:spacing w:after="0" w:line="240" w:lineRule="auto"/>
              <w:jc w:val="center"/>
              <w:rPr>
                <w:rFonts w:ascii="Garamond" w:hAnsi="Garamond"/>
                <w:b/>
                <w:color w:val="0D0D0D" w:themeColor="text1" w:themeTint="F2"/>
                <w:sz w:val="20"/>
                <w:szCs w:val="20"/>
              </w:rPr>
            </w:pPr>
          </w:p>
        </w:tc>
        <w:tc>
          <w:tcPr>
            <w:tcW w:w="1643" w:type="dxa"/>
            <w:shd w:val="clear" w:color="auto" w:fill="E5DFEC" w:themeFill="accent4" w:themeFillTint="33"/>
            <w:vAlign w:val="center"/>
          </w:tcPr>
          <w:p w14:paraId="5D2C0BA6" w14:textId="77777777" w:rsidR="006F605B" w:rsidRPr="009A7E1D" w:rsidRDefault="006F605B" w:rsidP="009A7E1D">
            <w:pPr>
              <w:spacing w:after="0" w:line="240" w:lineRule="auto"/>
              <w:jc w:val="center"/>
              <w:rPr>
                <w:rFonts w:ascii="Garamond" w:hAnsi="Garamond"/>
                <w:b/>
                <w:color w:val="0D0D0D" w:themeColor="text1" w:themeTint="F2"/>
                <w:sz w:val="20"/>
                <w:szCs w:val="20"/>
              </w:rPr>
            </w:pPr>
            <w:r w:rsidRPr="009A7E1D">
              <w:rPr>
                <w:rFonts w:ascii="Garamond" w:hAnsi="Garamond"/>
                <w:b/>
                <w:color w:val="0D0D0D"/>
                <w:sz w:val="20"/>
                <w:szCs w:val="20"/>
              </w:rPr>
              <w:t>Faza e zbatimit të reformës</w:t>
            </w:r>
            <w:r w:rsidRPr="009A7E1D">
              <w:rPr>
                <w:rFonts w:ascii="Garamond" w:hAnsi="Garamond"/>
                <w:b/>
                <w:color w:val="0D0D0D" w:themeColor="text1" w:themeTint="F2"/>
                <w:sz w:val="20"/>
                <w:szCs w:val="20"/>
              </w:rPr>
              <w:t xml:space="preserve"> (1-5)</w:t>
            </w:r>
          </w:p>
        </w:tc>
      </w:tr>
      <w:tr w:rsidR="006F605B" w:rsidRPr="00DC66CD" w14:paraId="7C3E5716" w14:textId="77777777" w:rsidTr="00131DA1">
        <w:tc>
          <w:tcPr>
            <w:tcW w:w="1660" w:type="dxa"/>
            <w:vMerge w:val="restart"/>
          </w:tcPr>
          <w:p w14:paraId="74DCA08E" w14:textId="1B9D88BF" w:rsidR="006F605B" w:rsidRPr="00DC66CD" w:rsidRDefault="006F605B" w:rsidP="00131DA1">
            <w:pPr>
              <w:spacing w:after="0" w:line="240" w:lineRule="auto"/>
              <w:rPr>
                <w:rFonts w:ascii="Garamond" w:eastAsia="Times New Roman" w:hAnsi="Garamond"/>
                <w:sz w:val="20"/>
                <w:szCs w:val="20"/>
              </w:rPr>
            </w:pPr>
            <w:r w:rsidRPr="00DC66CD">
              <w:rPr>
                <w:rFonts w:ascii="Garamond" w:eastAsia="Times New Roman" w:hAnsi="Garamond"/>
                <w:color w:val="0D0D0D"/>
                <w:sz w:val="20"/>
                <w:szCs w:val="20"/>
              </w:rPr>
              <w:t>Aktivitetet e planifikuara për 2019</w:t>
            </w:r>
            <w:r w:rsidR="009A7E1D">
              <w:rPr>
                <w:rFonts w:ascii="Garamond" w:eastAsia="Times New Roman" w:hAnsi="Garamond"/>
                <w:color w:val="0D0D0D"/>
                <w:sz w:val="20"/>
                <w:szCs w:val="20"/>
              </w:rPr>
              <w:t>-ën</w:t>
            </w:r>
          </w:p>
          <w:p w14:paraId="4F084E2A" w14:textId="77777777" w:rsidR="006F605B" w:rsidRPr="00DC66CD" w:rsidRDefault="006F605B" w:rsidP="00131DA1">
            <w:pPr>
              <w:spacing w:after="0" w:line="240" w:lineRule="auto"/>
              <w:rPr>
                <w:rFonts w:ascii="Garamond" w:hAnsi="Garamond"/>
                <w:color w:val="0D0D0D" w:themeColor="text1" w:themeTint="F2"/>
                <w:sz w:val="20"/>
                <w:szCs w:val="20"/>
              </w:rPr>
            </w:pPr>
          </w:p>
        </w:tc>
        <w:tc>
          <w:tcPr>
            <w:tcW w:w="6331" w:type="dxa"/>
          </w:tcPr>
          <w:p w14:paraId="0CAB6E5D" w14:textId="77777777" w:rsidR="006F605B" w:rsidRPr="00DC66CD" w:rsidRDefault="006F605B" w:rsidP="00131DA1">
            <w:pPr>
              <w:spacing w:after="0" w:line="240" w:lineRule="auto"/>
              <w:rPr>
                <w:rFonts w:ascii="Garamond" w:eastAsia="Times New Roman" w:hAnsi="Garamond"/>
                <w:sz w:val="20"/>
                <w:szCs w:val="20"/>
              </w:rPr>
            </w:pPr>
            <w:r w:rsidRPr="00DC66CD">
              <w:rPr>
                <w:rFonts w:ascii="Garamond" w:eastAsia="Times New Roman" w:hAnsi="Garamond"/>
                <w:sz w:val="20"/>
                <w:szCs w:val="20"/>
              </w:rPr>
              <w:t>1. Zbatimi efektiv i dispozitave zbatuese të Kodit Doganor, përfshirë zbatimin e programit AEO.</w:t>
            </w:r>
          </w:p>
        </w:tc>
        <w:tc>
          <w:tcPr>
            <w:tcW w:w="1643" w:type="dxa"/>
          </w:tcPr>
          <w:p w14:paraId="27B595BE"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5</w:t>
            </w:r>
          </w:p>
        </w:tc>
      </w:tr>
      <w:tr w:rsidR="006F605B" w:rsidRPr="00DC66CD" w14:paraId="3D5B7715" w14:textId="77777777" w:rsidTr="00131DA1">
        <w:tc>
          <w:tcPr>
            <w:tcW w:w="1660" w:type="dxa"/>
            <w:vMerge/>
          </w:tcPr>
          <w:p w14:paraId="7E9FE89D" w14:textId="77777777" w:rsidR="006F605B" w:rsidRPr="00DC66CD" w:rsidRDefault="006F605B" w:rsidP="00131DA1">
            <w:pPr>
              <w:spacing w:after="0" w:line="240" w:lineRule="auto"/>
              <w:rPr>
                <w:rFonts w:ascii="Garamond" w:hAnsi="Garamond"/>
                <w:color w:val="0D0D0D" w:themeColor="text1" w:themeTint="F2"/>
                <w:sz w:val="20"/>
                <w:szCs w:val="20"/>
              </w:rPr>
            </w:pPr>
          </w:p>
        </w:tc>
        <w:tc>
          <w:tcPr>
            <w:tcW w:w="6331" w:type="dxa"/>
          </w:tcPr>
          <w:p w14:paraId="57ABD887" w14:textId="77777777" w:rsidR="006F605B" w:rsidRPr="00DC66CD" w:rsidRDefault="006F605B" w:rsidP="00131DA1">
            <w:pPr>
              <w:spacing w:after="0" w:line="240" w:lineRule="auto"/>
              <w:rPr>
                <w:rFonts w:ascii="Garamond" w:eastAsia="Times New Roman" w:hAnsi="Garamond"/>
                <w:sz w:val="20"/>
                <w:szCs w:val="20"/>
              </w:rPr>
            </w:pPr>
            <w:r w:rsidRPr="00DC66CD">
              <w:rPr>
                <w:rFonts w:ascii="Garamond" w:eastAsia="Times New Roman" w:hAnsi="Garamond"/>
                <w:sz w:val="20"/>
                <w:szCs w:val="20"/>
              </w:rPr>
              <w:t>2. Promovimi i konceptit AEO dhe njohja e ndërsjellë e programeve të AEO nën AP5 me sektorin privat.</w:t>
            </w:r>
          </w:p>
        </w:tc>
        <w:tc>
          <w:tcPr>
            <w:tcW w:w="1643" w:type="dxa"/>
          </w:tcPr>
          <w:p w14:paraId="769E98DE" w14:textId="77777777" w:rsidR="006F605B" w:rsidRPr="00DC66CD" w:rsidRDefault="006F605B" w:rsidP="00131DA1">
            <w:pPr>
              <w:spacing w:after="0" w:line="240" w:lineRule="auto"/>
              <w:rPr>
                <w:rFonts w:ascii="Garamond" w:hAnsi="Garamond"/>
                <w:color w:val="0D0D0D" w:themeColor="text1" w:themeTint="F2"/>
                <w:sz w:val="20"/>
                <w:szCs w:val="20"/>
              </w:rPr>
            </w:pPr>
            <w:r w:rsidRPr="00DC66CD">
              <w:rPr>
                <w:rFonts w:ascii="Garamond" w:hAnsi="Garamond"/>
                <w:color w:val="0D0D0D" w:themeColor="text1" w:themeTint="F2"/>
                <w:sz w:val="20"/>
                <w:szCs w:val="20"/>
              </w:rPr>
              <w:t>4</w:t>
            </w:r>
          </w:p>
        </w:tc>
      </w:tr>
      <w:tr w:rsidR="006F605B" w:rsidRPr="00DC66CD" w14:paraId="07BE8B6A" w14:textId="77777777" w:rsidTr="00131DA1">
        <w:tc>
          <w:tcPr>
            <w:tcW w:w="1660" w:type="dxa"/>
            <w:vMerge w:val="restart"/>
          </w:tcPr>
          <w:p w14:paraId="78F432F9" w14:textId="77777777" w:rsidR="006F605B" w:rsidRPr="00DC66CD" w:rsidRDefault="006F605B" w:rsidP="00131DA1">
            <w:pPr>
              <w:spacing w:after="0" w:line="240" w:lineRule="auto"/>
              <w:rPr>
                <w:rFonts w:ascii="Garamond" w:eastAsia="Times New Roman" w:hAnsi="Garamond"/>
                <w:color w:val="0D0D0D"/>
                <w:sz w:val="20"/>
                <w:szCs w:val="20"/>
              </w:rPr>
            </w:pPr>
            <w:r w:rsidRPr="00DC66CD">
              <w:rPr>
                <w:rFonts w:ascii="Garamond" w:eastAsia="Times New Roman" w:hAnsi="Garamond"/>
                <w:color w:val="0D0D0D"/>
                <w:sz w:val="20"/>
                <w:szCs w:val="20"/>
              </w:rPr>
              <w:t>Përshkrimi i zbatimit dhe shpjegimi nëse zbatimi është i pjesshëm ose jo</w:t>
            </w:r>
          </w:p>
        </w:tc>
        <w:tc>
          <w:tcPr>
            <w:tcW w:w="6331" w:type="dxa"/>
          </w:tcPr>
          <w:p w14:paraId="4B546C33" w14:textId="71FC2CBE" w:rsidR="006F605B" w:rsidRPr="00DC66CD" w:rsidRDefault="006F605B" w:rsidP="00236E68">
            <w:pPr>
              <w:spacing w:after="0" w:line="240" w:lineRule="auto"/>
              <w:rPr>
                <w:rFonts w:ascii="Garamond" w:eastAsia="Times New Roman" w:hAnsi="Garamond"/>
                <w:sz w:val="20"/>
                <w:szCs w:val="20"/>
              </w:rPr>
            </w:pPr>
            <w:r w:rsidRPr="00DC66CD">
              <w:rPr>
                <w:rFonts w:ascii="Garamond" w:eastAsia="Times New Roman" w:hAnsi="Garamond"/>
                <w:sz w:val="20"/>
                <w:szCs w:val="20"/>
              </w:rPr>
              <w:t>1. Ligji numër 102/2014</w:t>
            </w:r>
            <w:r w:rsidR="009A7E1D">
              <w:rPr>
                <w:rFonts w:ascii="Garamond" w:eastAsia="Times New Roman" w:hAnsi="Garamond"/>
                <w:sz w:val="20"/>
                <w:szCs w:val="20"/>
              </w:rPr>
              <w:t>, i datës 31.</w:t>
            </w:r>
            <w:r w:rsidRPr="00DC66CD">
              <w:rPr>
                <w:rFonts w:ascii="Garamond" w:eastAsia="Times New Roman" w:hAnsi="Garamond"/>
                <w:sz w:val="20"/>
                <w:szCs w:val="20"/>
              </w:rPr>
              <w:t>7.2014</w:t>
            </w:r>
            <w:r w:rsidR="009A7E1D">
              <w:rPr>
                <w:rFonts w:ascii="Garamond" w:eastAsia="Times New Roman" w:hAnsi="Garamond"/>
                <w:sz w:val="20"/>
                <w:szCs w:val="20"/>
              </w:rPr>
              <w:t>,</w:t>
            </w:r>
            <w:r w:rsidRPr="00DC66CD">
              <w:rPr>
                <w:rFonts w:ascii="Garamond" w:eastAsia="Times New Roman" w:hAnsi="Garamond"/>
                <w:sz w:val="20"/>
                <w:szCs w:val="20"/>
              </w:rPr>
              <w:t xml:space="preserve"> </w:t>
            </w:r>
            <w:r w:rsidR="002A29AD" w:rsidRPr="00DC66CD">
              <w:rPr>
                <w:rFonts w:ascii="Garamond" w:eastAsia="Times New Roman" w:hAnsi="Garamond"/>
                <w:sz w:val="20"/>
                <w:szCs w:val="20"/>
              </w:rPr>
              <w:t>“</w:t>
            </w:r>
            <w:r w:rsidRPr="00DC66CD">
              <w:rPr>
                <w:rFonts w:ascii="Garamond" w:eastAsia="Times New Roman" w:hAnsi="Garamond"/>
                <w:sz w:val="20"/>
                <w:szCs w:val="20"/>
              </w:rPr>
              <w:t>Kodi Doganor i Republikës së Shqipërisë</w:t>
            </w:r>
            <w:r w:rsidR="002A29AD" w:rsidRPr="00DC66CD">
              <w:rPr>
                <w:rFonts w:ascii="Garamond" w:eastAsia="Times New Roman" w:hAnsi="Garamond"/>
                <w:sz w:val="20"/>
                <w:szCs w:val="20"/>
              </w:rPr>
              <w:t>”</w:t>
            </w:r>
            <w:r w:rsidRPr="00DC66CD">
              <w:rPr>
                <w:rFonts w:ascii="Garamond" w:eastAsia="Times New Roman" w:hAnsi="Garamond"/>
                <w:sz w:val="20"/>
                <w:szCs w:val="20"/>
              </w:rPr>
              <w:t xml:space="preserve"> u bë plotësisht i zbatueshëm </w:t>
            </w:r>
            <w:r w:rsidR="009A7E1D">
              <w:rPr>
                <w:rFonts w:ascii="Garamond" w:eastAsia="Times New Roman" w:hAnsi="Garamond"/>
                <w:sz w:val="20"/>
                <w:szCs w:val="20"/>
              </w:rPr>
              <w:t>m</w:t>
            </w:r>
            <w:r w:rsidRPr="00DC66CD">
              <w:rPr>
                <w:rFonts w:ascii="Garamond" w:eastAsia="Times New Roman" w:hAnsi="Garamond"/>
                <w:sz w:val="20"/>
                <w:szCs w:val="20"/>
              </w:rPr>
              <w:t>ë 1 qershor 2017. Nenet 40 dhe 41 të Kodit Doganor rregullojnë statusin e Operatorëve Ekonomikë të Autorizuar. Për zbatimin e Kodit Doganor, u miratua një vendim i Këshillit të Ministrave (VKM</w:t>
            </w:r>
            <w:r w:rsidR="00E33D88" w:rsidRPr="00DC66CD">
              <w:rPr>
                <w:rFonts w:ascii="Garamond" w:eastAsia="Times New Roman" w:hAnsi="Garamond"/>
                <w:sz w:val="20"/>
                <w:szCs w:val="20"/>
              </w:rPr>
              <w:t xml:space="preserve"> nr. </w:t>
            </w:r>
            <w:r w:rsidRPr="00DC66CD">
              <w:rPr>
                <w:rFonts w:ascii="Garamond" w:eastAsia="Times New Roman" w:hAnsi="Garamond"/>
                <w:sz w:val="20"/>
                <w:szCs w:val="20"/>
              </w:rPr>
              <w:t>651, datë 10.11.2017</w:t>
            </w:r>
            <w:r w:rsidR="00236E68">
              <w:rPr>
                <w:rFonts w:ascii="Garamond" w:eastAsia="Times New Roman" w:hAnsi="Garamond"/>
                <w:sz w:val="20"/>
                <w:szCs w:val="20"/>
              </w:rPr>
              <w:t>,</w:t>
            </w:r>
            <w:r w:rsidRPr="00DC66CD">
              <w:rPr>
                <w:rFonts w:ascii="Garamond" w:eastAsia="Times New Roman" w:hAnsi="Garamond"/>
                <w:sz w:val="20"/>
                <w:szCs w:val="20"/>
              </w:rPr>
              <w:t xml:space="preserve"> </w:t>
            </w:r>
            <w:r w:rsidR="002A29AD" w:rsidRPr="00DC66CD">
              <w:rPr>
                <w:rFonts w:ascii="Garamond" w:eastAsia="Times New Roman" w:hAnsi="Garamond"/>
                <w:sz w:val="20"/>
                <w:szCs w:val="20"/>
              </w:rPr>
              <w:t>“</w:t>
            </w:r>
            <w:r w:rsidRPr="00DC66CD">
              <w:rPr>
                <w:rFonts w:ascii="Garamond" w:eastAsia="Times New Roman" w:hAnsi="Garamond"/>
                <w:sz w:val="20"/>
                <w:szCs w:val="20"/>
              </w:rPr>
              <w:t>Për masat zbatuese të ligjit</w:t>
            </w:r>
            <w:r w:rsidR="00E33D88" w:rsidRPr="00DC66CD">
              <w:rPr>
                <w:rFonts w:ascii="Garamond" w:eastAsia="Times New Roman" w:hAnsi="Garamond"/>
                <w:sz w:val="20"/>
                <w:szCs w:val="20"/>
              </w:rPr>
              <w:t xml:space="preserve"> nr. </w:t>
            </w:r>
            <w:r w:rsidRPr="00DC66CD">
              <w:rPr>
                <w:rFonts w:ascii="Garamond" w:eastAsia="Times New Roman" w:hAnsi="Garamond"/>
                <w:sz w:val="20"/>
                <w:szCs w:val="20"/>
              </w:rPr>
              <w:t>102/2014</w:t>
            </w:r>
            <w:r w:rsidR="002A29AD" w:rsidRPr="00DC66CD">
              <w:rPr>
                <w:rFonts w:ascii="Garamond" w:eastAsia="Times New Roman" w:hAnsi="Garamond"/>
                <w:sz w:val="20"/>
                <w:szCs w:val="20"/>
              </w:rPr>
              <w:t>”</w:t>
            </w:r>
            <w:r w:rsidR="00236E68">
              <w:rPr>
                <w:rFonts w:ascii="Garamond" w:eastAsia="Times New Roman" w:hAnsi="Garamond"/>
                <w:sz w:val="20"/>
                <w:szCs w:val="20"/>
              </w:rPr>
              <w:t>,</w:t>
            </w:r>
            <w:r w:rsidRPr="00DC66CD">
              <w:rPr>
                <w:rFonts w:ascii="Garamond" w:eastAsia="Times New Roman" w:hAnsi="Garamond"/>
                <w:sz w:val="20"/>
                <w:szCs w:val="20"/>
              </w:rPr>
              <w:t xml:space="preserve"> Kodi Dog</w:t>
            </w:r>
            <w:r w:rsidR="00236E68">
              <w:rPr>
                <w:rFonts w:ascii="Garamond" w:eastAsia="Times New Roman" w:hAnsi="Garamond"/>
                <w:sz w:val="20"/>
                <w:szCs w:val="20"/>
              </w:rPr>
              <w:t>anor i Republikës së Shqipërisë”</w:t>
            </w:r>
            <w:r w:rsidRPr="00DC66CD">
              <w:rPr>
                <w:rFonts w:ascii="Garamond" w:eastAsia="Times New Roman" w:hAnsi="Garamond"/>
                <w:sz w:val="20"/>
                <w:szCs w:val="20"/>
              </w:rPr>
              <w:t>) Sipas nenit 3, nenet 42 deri në 60 rregullojnë statusin e AEO</w:t>
            </w:r>
            <w:r w:rsidR="00236E68">
              <w:rPr>
                <w:rFonts w:ascii="Garamond" w:eastAsia="Times New Roman" w:hAnsi="Garamond"/>
                <w:sz w:val="20"/>
                <w:szCs w:val="20"/>
              </w:rPr>
              <w:t>-së</w:t>
            </w:r>
            <w:r w:rsidRPr="00DC66CD">
              <w:rPr>
                <w:rFonts w:ascii="Garamond" w:eastAsia="Times New Roman" w:hAnsi="Garamond"/>
                <w:sz w:val="20"/>
                <w:szCs w:val="20"/>
              </w:rPr>
              <w:t>. Dispozitat doganore në lidhje me AEO janë</w:t>
            </w:r>
            <w:r w:rsidR="00236E68">
              <w:rPr>
                <w:rFonts w:ascii="Garamond" w:eastAsia="Times New Roman" w:hAnsi="Garamond"/>
                <w:sz w:val="20"/>
                <w:szCs w:val="20"/>
              </w:rPr>
              <w:t>,</w:t>
            </w:r>
            <w:r w:rsidRPr="00DC66CD">
              <w:rPr>
                <w:rFonts w:ascii="Garamond" w:eastAsia="Times New Roman" w:hAnsi="Garamond"/>
                <w:sz w:val="20"/>
                <w:szCs w:val="20"/>
              </w:rPr>
              <w:t xml:space="preserve"> në përputhje me dispozitat përkatëse të BE-së.</w:t>
            </w:r>
            <w:r w:rsidRPr="00DC66CD">
              <w:rPr>
                <w:rFonts w:ascii="Garamond" w:eastAsia="Times New Roman" w:hAnsi="Garamond"/>
                <w:b/>
                <w:bCs/>
                <w:sz w:val="20"/>
                <w:szCs w:val="20"/>
              </w:rPr>
              <w:t xml:space="preserve"> </w:t>
            </w:r>
            <w:r w:rsidRPr="00DC66CD">
              <w:rPr>
                <w:rFonts w:ascii="Garamond" w:eastAsia="Times New Roman" w:hAnsi="Garamond"/>
                <w:sz w:val="20"/>
                <w:szCs w:val="20"/>
              </w:rPr>
              <w:t xml:space="preserve">Për më tepër, në nivelin rajonal, nga Takimi i Përbashkët Ministror, më 18 dhjetor nën Kryesinë Shqiptare, në CEFTA u miratua </w:t>
            </w:r>
            <w:r w:rsidR="00236E68" w:rsidRPr="00DC66CD">
              <w:rPr>
                <w:rFonts w:ascii="Garamond" w:eastAsia="Times New Roman" w:hAnsi="Garamond"/>
                <w:sz w:val="20"/>
                <w:szCs w:val="20"/>
              </w:rPr>
              <w:t xml:space="preserve">vendimi </w:t>
            </w:r>
            <w:r w:rsidRPr="00DC66CD">
              <w:rPr>
                <w:rFonts w:ascii="Garamond" w:eastAsia="Times New Roman" w:hAnsi="Garamond"/>
                <w:sz w:val="20"/>
                <w:szCs w:val="20"/>
              </w:rPr>
              <w:t>për njohjen e ndërsjellë të statusit të AEO.</w:t>
            </w:r>
          </w:p>
        </w:tc>
        <w:tc>
          <w:tcPr>
            <w:tcW w:w="1643" w:type="dxa"/>
          </w:tcPr>
          <w:p w14:paraId="00C7B02E" w14:textId="77777777" w:rsidR="006F605B" w:rsidRPr="00DC66CD" w:rsidRDefault="006F605B" w:rsidP="00131DA1">
            <w:pPr>
              <w:spacing w:after="0" w:line="240" w:lineRule="auto"/>
              <w:rPr>
                <w:rFonts w:ascii="Garamond" w:hAnsi="Garamond"/>
                <w:color w:val="0D0D0D" w:themeColor="text1" w:themeTint="F2"/>
                <w:sz w:val="20"/>
                <w:szCs w:val="20"/>
              </w:rPr>
            </w:pPr>
          </w:p>
        </w:tc>
      </w:tr>
      <w:tr w:rsidR="006F605B" w:rsidRPr="00DC66CD" w14:paraId="18D29D82" w14:textId="77777777" w:rsidTr="00131DA1">
        <w:tc>
          <w:tcPr>
            <w:tcW w:w="1660" w:type="dxa"/>
            <w:vMerge/>
          </w:tcPr>
          <w:p w14:paraId="33F7058D" w14:textId="77777777" w:rsidR="006F605B" w:rsidRPr="00DC66CD" w:rsidRDefault="006F605B" w:rsidP="00131DA1">
            <w:pPr>
              <w:spacing w:after="0" w:line="240" w:lineRule="auto"/>
              <w:rPr>
                <w:rFonts w:ascii="Garamond" w:hAnsi="Garamond"/>
                <w:color w:val="0D0D0D" w:themeColor="text1" w:themeTint="F2"/>
                <w:sz w:val="20"/>
                <w:szCs w:val="20"/>
              </w:rPr>
            </w:pPr>
          </w:p>
        </w:tc>
        <w:tc>
          <w:tcPr>
            <w:tcW w:w="6331" w:type="dxa"/>
          </w:tcPr>
          <w:p w14:paraId="269CBF5D" w14:textId="58CE7E35" w:rsidR="006F605B" w:rsidRPr="00DC66CD" w:rsidRDefault="006F605B" w:rsidP="00131DA1">
            <w:pPr>
              <w:spacing w:after="0" w:line="240" w:lineRule="auto"/>
              <w:rPr>
                <w:rFonts w:ascii="Garamond" w:eastAsia="Times New Roman" w:hAnsi="Garamond"/>
                <w:sz w:val="20"/>
                <w:szCs w:val="20"/>
              </w:rPr>
            </w:pPr>
            <w:r w:rsidRPr="00DC66CD">
              <w:rPr>
                <w:rFonts w:ascii="Garamond" w:eastAsia="Times New Roman" w:hAnsi="Garamond"/>
                <w:color w:val="0D0D0D"/>
                <w:sz w:val="20"/>
                <w:szCs w:val="20"/>
              </w:rPr>
              <w:t>2</w:t>
            </w:r>
            <w:r w:rsidRPr="00DC66CD">
              <w:rPr>
                <w:rFonts w:ascii="Garamond" w:eastAsia="Times New Roman" w:hAnsi="Garamond"/>
                <w:sz w:val="20"/>
                <w:szCs w:val="20"/>
              </w:rPr>
              <w:t>. Drejtoria e Përgjithshme e Doganave organizoi disa takime me eksportuesit shqiptarë me qëllim informimin e tyre për lehtësitë dhe përfitimet e dhëna nga statusi i AEO</w:t>
            </w:r>
            <w:r w:rsidR="00236E68">
              <w:rPr>
                <w:rFonts w:ascii="Garamond" w:eastAsia="Times New Roman" w:hAnsi="Garamond"/>
                <w:sz w:val="20"/>
                <w:szCs w:val="20"/>
              </w:rPr>
              <w:t>-së</w:t>
            </w:r>
            <w:r w:rsidRPr="00DC66CD">
              <w:rPr>
                <w:rFonts w:ascii="Garamond" w:eastAsia="Times New Roman" w:hAnsi="Garamond"/>
                <w:sz w:val="20"/>
                <w:szCs w:val="20"/>
              </w:rPr>
              <w:t>.</w:t>
            </w:r>
          </w:p>
          <w:p w14:paraId="66661967" w14:textId="4A684475" w:rsidR="006F605B" w:rsidRPr="00DC66CD" w:rsidRDefault="006F605B" w:rsidP="00131DA1">
            <w:pPr>
              <w:spacing w:after="0" w:line="240" w:lineRule="auto"/>
              <w:rPr>
                <w:rFonts w:ascii="Garamond" w:eastAsia="Times New Roman" w:hAnsi="Garamond"/>
                <w:sz w:val="20"/>
                <w:szCs w:val="20"/>
              </w:rPr>
            </w:pPr>
            <w:r w:rsidRPr="00DC66CD">
              <w:rPr>
                <w:rFonts w:ascii="Garamond" w:eastAsia="Times New Roman" w:hAnsi="Garamond"/>
                <w:sz w:val="20"/>
                <w:szCs w:val="20"/>
              </w:rPr>
              <w:t>7 kompani kanë aplikuar deri më tani për të marrë statusin e AEO</w:t>
            </w:r>
            <w:r w:rsidR="00236E68">
              <w:rPr>
                <w:rFonts w:ascii="Garamond" w:eastAsia="Times New Roman" w:hAnsi="Garamond"/>
                <w:sz w:val="20"/>
                <w:szCs w:val="20"/>
              </w:rPr>
              <w:t>-së</w:t>
            </w:r>
            <w:r w:rsidRPr="00DC66CD">
              <w:rPr>
                <w:rFonts w:ascii="Garamond" w:eastAsia="Times New Roman" w:hAnsi="Garamond"/>
                <w:sz w:val="20"/>
                <w:szCs w:val="20"/>
              </w:rPr>
              <w:t>.</w:t>
            </w:r>
            <w:r w:rsidRPr="00DC66CD">
              <w:rPr>
                <w:rFonts w:ascii="Garamond" w:eastAsia="Times New Roman" w:hAnsi="Garamond"/>
                <w:color w:val="0D0D0D"/>
                <w:sz w:val="20"/>
                <w:szCs w:val="20"/>
              </w:rPr>
              <w:t xml:space="preserve"> </w:t>
            </w:r>
          </w:p>
        </w:tc>
        <w:tc>
          <w:tcPr>
            <w:tcW w:w="1643" w:type="dxa"/>
          </w:tcPr>
          <w:p w14:paraId="75E978F7" w14:textId="77777777" w:rsidR="006F605B" w:rsidRPr="00DC66CD" w:rsidRDefault="006F605B" w:rsidP="00131DA1">
            <w:pPr>
              <w:spacing w:after="0" w:line="240" w:lineRule="auto"/>
              <w:rPr>
                <w:rFonts w:ascii="Garamond" w:hAnsi="Garamond"/>
                <w:color w:val="0D0D0D" w:themeColor="text1" w:themeTint="F2"/>
                <w:sz w:val="20"/>
                <w:szCs w:val="20"/>
              </w:rPr>
            </w:pPr>
          </w:p>
        </w:tc>
      </w:tr>
    </w:tbl>
    <w:p w14:paraId="62F14EC7"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Look w:val="04A0" w:firstRow="1" w:lastRow="0" w:firstColumn="1" w:lastColumn="0" w:noHBand="0" w:noVBand="1"/>
      </w:tblPr>
      <w:tblGrid>
        <w:gridCol w:w="1689"/>
        <w:gridCol w:w="5912"/>
        <w:gridCol w:w="1679"/>
      </w:tblGrid>
      <w:tr w:rsidR="006F605B" w:rsidRPr="00DC66CD" w14:paraId="1EAF524E" w14:textId="77777777" w:rsidTr="00E372C0">
        <w:tc>
          <w:tcPr>
            <w:tcW w:w="1723" w:type="dxa"/>
            <w:shd w:val="clear" w:color="auto" w:fill="E5DFEC" w:themeFill="accent4" w:themeFillTint="33"/>
          </w:tcPr>
          <w:p w14:paraId="5E681E3B" w14:textId="77777777" w:rsidR="006F605B" w:rsidRPr="00DC66CD" w:rsidRDefault="006F605B" w:rsidP="00131DA1">
            <w:pPr>
              <w:snapToGrid w:val="0"/>
              <w:spacing w:after="0" w:line="240" w:lineRule="auto"/>
              <w:rPr>
                <w:rFonts w:ascii="Garamond" w:hAnsi="Garamond"/>
                <w:sz w:val="20"/>
                <w:szCs w:val="20"/>
              </w:rPr>
            </w:pPr>
          </w:p>
        </w:tc>
        <w:tc>
          <w:tcPr>
            <w:tcW w:w="6176" w:type="dxa"/>
            <w:shd w:val="clear" w:color="auto" w:fill="E5DFEC" w:themeFill="accent4" w:themeFillTint="33"/>
          </w:tcPr>
          <w:p w14:paraId="5B5C9386" w14:textId="6378B786" w:rsidR="006F605B" w:rsidRPr="00DC66CD" w:rsidRDefault="006F605B" w:rsidP="00236E68">
            <w:pPr>
              <w:snapToGrid w:val="0"/>
              <w:spacing w:after="0" w:line="240" w:lineRule="auto"/>
              <w:rPr>
                <w:rFonts w:ascii="Garamond" w:hAnsi="Garamond"/>
                <w:b/>
                <w:sz w:val="20"/>
                <w:szCs w:val="20"/>
              </w:rPr>
            </w:pPr>
            <w:r w:rsidRPr="00DC66CD">
              <w:rPr>
                <w:rFonts w:ascii="Garamond" w:hAnsi="Garamond"/>
                <w:b/>
                <w:sz w:val="20"/>
                <w:szCs w:val="20"/>
              </w:rPr>
              <w:t>Hartimi dhe implementimi i kurikulave parauniversitare bazuar n</w:t>
            </w:r>
            <w:r w:rsidR="00236E68">
              <w:rPr>
                <w:rFonts w:ascii="Garamond" w:hAnsi="Garamond"/>
                <w:b/>
                <w:sz w:val="20"/>
                <w:szCs w:val="20"/>
              </w:rPr>
              <w:t>ë</w:t>
            </w:r>
            <w:r w:rsidRPr="00DC66CD">
              <w:rPr>
                <w:rFonts w:ascii="Garamond" w:hAnsi="Garamond"/>
                <w:b/>
                <w:sz w:val="20"/>
                <w:szCs w:val="20"/>
              </w:rPr>
              <w:t xml:space="preserve"> kompetenca dhe trajnimi i mësuesve</w:t>
            </w:r>
          </w:p>
        </w:tc>
        <w:tc>
          <w:tcPr>
            <w:tcW w:w="1723" w:type="dxa"/>
            <w:shd w:val="clear" w:color="auto" w:fill="E5DFEC" w:themeFill="accent4" w:themeFillTint="33"/>
          </w:tcPr>
          <w:p w14:paraId="09947092" w14:textId="6303A5B4" w:rsidR="006F605B" w:rsidRPr="00236E68" w:rsidRDefault="006F605B" w:rsidP="00236E68">
            <w:pPr>
              <w:snapToGrid w:val="0"/>
              <w:spacing w:after="0" w:line="240" w:lineRule="auto"/>
              <w:rPr>
                <w:rFonts w:ascii="Garamond" w:hAnsi="Garamond"/>
                <w:b/>
                <w:sz w:val="20"/>
                <w:szCs w:val="20"/>
              </w:rPr>
            </w:pPr>
            <w:r w:rsidRPr="00236E68">
              <w:rPr>
                <w:rFonts w:ascii="Garamond" w:hAnsi="Garamond"/>
                <w:b/>
                <w:sz w:val="20"/>
                <w:szCs w:val="20"/>
              </w:rPr>
              <w:t>Statusi i zbatimit të reformës (1</w:t>
            </w:r>
            <w:r w:rsidR="00236E68">
              <w:rPr>
                <w:rFonts w:ascii="Garamond" w:hAnsi="Garamond"/>
                <w:b/>
                <w:sz w:val="20"/>
                <w:szCs w:val="20"/>
              </w:rPr>
              <w:t>–</w:t>
            </w:r>
            <w:r w:rsidRPr="00236E68">
              <w:rPr>
                <w:rFonts w:ascii="Garamond" w:hAnsi="Garamond"/>
                <w:b/>
                <w:sz w:val="20"/>
                <w:szCs w:val="20"/>
              </w:rPr>
              <w:t>5)</w:t>
            </w:r>
          </w:p>
        </w:tc>
      </w:tr>
      <w:tr w:rsidR="006F605B" w:rsidRPr="00DC66CD" w14:paraId="2817265C" w14:textId="77777777" w:rsidTr="00E372C0">
        <w:tc>
          <w:tcPr>
            <w:tcW w:w="1723" w:type="dxa"/>
            <w:vMerge w:val="restart"/>
          </w:tcPr>
          <w:p w14:paraId="46F535D4" w14:textId="58838E09"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Aktivitetet e planifikuara për 2019</w:t>
            </w:r>
            <w:r w:rsidR="00236E68">
              <w:rPr>
                <w:rFonts w:ascii="Garamond" w:hAnsi="Garamond"/>
                <w:sz w:val="20"/>
                <w:szCs w:val="20"/>
              </w:rPr>
              <w:t>-ën</w:t>
            </w:r>
          </w:p>
        </w:tc>
        <w:tc>
          <w:tcPr>
            <w:tcW w:w="6176" w:type="dxa"/>
          </w:tcPr>
          <w:p w14:paraId="481EE865" w14:textId="0626A79B" w:rsidR="006F605B" w:rsidRPr="00DC66CD" w:rsidRDefault="006F605B" w:rsidP="00236E68">
            <w:pPr>
              <w:snapToGrid w:val="0"/>
              <w:spacing w:after="0" w:line="240" w:lineRule="auto"/>
              <w:jc w:val="both"/>
              <w:rPr>
                <w:rFonts w:ascii="Garamond" w:eastAsia="Times New Roman" w:hAnsi="Garamond"/>
                <w:bCs/>
                <w:sz w:val="20"/>
                <w:szCs w:val="20"/>
              </w:rPr>
            </w:pPr>
            <w:r w:rsidRPr="00DC66CD">
              <w:rPr>
                <w:rFonts w:ascii="Garamond" w:eastAsia="Times New Roman" w:hAnsi="Garamond"/>
                <w:bCs/>
                <w:sz w:val="20"/>
                <w:szCs w:val="20"/>
              </w:rPr>
              <w:t>Hartimi i kurr</w:t>
            </w:r>
            <w:r w:rsidR="00236E68">
              <w:rPr>
                <w:rFonts w:ascii="Garamond" w:eastAsia="Times New Roman" w:hAnsi="Garamond"/>
                <w:bCs/>
                <w:sz w:val="20"/>
                <w:szCs w:val="20"/>
              </w:rPr>
              <w:t>ikulave të reja në arsimin para</w:t>
            </w:r>
            <w:r w:rsidRPr="00DC66CD">
              <w:rPr>
                <w:rFonts w:ascii="Garamond" w:eastAsia="Times New Roman" w:hAnsi="Garamond"/>
                <w:bCs/>
                <w:sz w:val="20"/>
                <w:szCs w:val="20"/>
              </w:rPr>
              <w:t xml:space="preserve">universitar për nivelin e shkollës së mesme dhe për pjesën e mbetur të një sistemi arsimor parauniversitar bazuar në kompetencat. Pas asaj që parashikohet në </w:t>
            </w:r>
            <w:r w:rsidR="00236E68">
              <w:rPr>
                <w:rFonts w:ascii="Garamond" w:eastAsia="Times New Roman" w:hAnsi="Garamond"/>
                <w:bCs/>
                <w:sz w:val="20"/>
                <w:szCs w:val="20"/>
              </w:rPr>
              <w:t>strategjinë për zhvillimin para</w:t>
            </w:r>
            <w:r w:rsidRPr="00DC66CD">
              <w:rPr>
                <w:rFonts w:ascii="Garamond" w:eastAsia="Times New Roman" w:hAnsi="Garamond"/>
                <w:bCs/>
                <w:sz w:val="20"/>
                <w:szCs w:val="20"/>
              </w:rPr>
              <w:t xml:space="preserve">universitar </w:t>
            </w:r>
            <w:r w:rsidR="00433A3A" w:rsidRPr="00DC66CD">
              <w:rPr>
                <w:rFonts w:ascii="Garamond" w:eastAsia="Times New Roman" w:hAnsi="Garamond"/>
                <w:bCs/>
                <w:sz w:val="20"/>
                <w:szCs w:val="20"/>
              </w:rPr>
              <w:t>2015–</w:t>
            </w:r>
            <w:r w:rsidRPr="00DC66CD">
              <w:rPr>
                <w:rFonts w:ascii="Garamond" w:eastAsia="Times New Roman" w:hAnsi="Garamond"/>
                <w:bCs/>
                <w:sz w:val="20"/>
                <w:szCs w:val="20"/>
              </w:rPr>
              <w:t>2020 dhe kurrikulat e reformës kurrikulare të bazuara në kompetenca do të hartohen nivelin e shkollës së mesme dhe për pjesën e mbetur të sistemit arsimor parauniversitar.</w:t>
            </w:r>
          </w:p>
        </w:tc>
        <w:tc>
          <w:tcPr>
            <w:tcW w:w="1723" w:type="dxa"/>
          </w:tcPr>
          <w:p w14:paraId="64C6577C"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6CBD663D" w14:textId="77777777" w:rsidTr="00E372C0">
        <w:tc>
          <w:tcPr>
            <w:tcW w:w="1723" w:type="dxa"/>
            <w:vMerge/>
          </w:tcPr>
          <w:p w14:paraId="1B2769FF"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521A158E"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Trajnimi i mësuesve për kurikulat e reja</w:t>
            </w:r>
          </w:p>
        </w:tc>
        <w:tc>
          <w:tcPr>
            <w:tcW w:w="1723" w:type="dxa"/>
          </w:tcPr>
          <w:p w14:paraId="4DB9D216"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083C7325" w14:textId="77777777" w:rsidTr="00E372C0">
        <w:tc>
          <w:tcPr>
            <w:tcW w:w="1723" w:type="dxa"/>
          </w:tcPr>
          <w:p w14:paraId="3908209B"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6176" w:type="dxa"/>
          </w:tcPr>
          <w:p w14:paraId="07D7AA43" w14:textId="7B2D9F83" w:rsidR="006F605B" w:rsidRPr="00DC66CD" w:rsidRDefault="00236E68" w:rsidP="00236E68">
            <w:pPr>
              <w:snapToGrid w:val="0"/>
              <w:spacing w:after="0" w:line="240" w:lineRule="auto"/>
              <w:jc w:val="both"/>
              <w:rPr>
                <w:rFonts w:ascii="Garamond" w:hAnsi="Garamond"/>
                <w:sz w:val="20"/>
                <w:szCs w:val="20"/>
              </w:rPr>
            </w:pPr>
            <w:r>
              <w:rPr>
                <w:rFonts w:ascii="Garamond" w:hAnsi="Garamond"/>
                <w:sz w:val="20"/>
                <w:szCs w:val="20"/>
              </w:rPr>
              <w:t>Në arsimin para</w:t>
            </w:r>
            <w:r w:rsidR="006F605B" w:rsidRPr="00DC66CD">
              <w:rPr>
                <w:rFonts w:ascii="Garamond" w:hAnsi="Garamond"/>
                <w:sz w:val="20"/>
                <w:szCs w:val="20"/>
              </w:rPr>
              <w:t xml:space="preserve">universitar, Shqipëria ka miratuar një kurrikul të ri </w:t>
            </w:r>
            <w:r>
              <w:rPr>
                <w:rFonts w:ascii="Garamond" w:hAnsi="Garamond"/>
                <w:sz w:val="20"/>
                <w:szCs w:val="20"/>
              </w:rPr>
              <w:t>“</w:t>
            </w:r>
            <w:r w:rsidR="006F605B" w:rsidRPr="00DC66CD">
              <w:rPr>
                <w:rFonts w:ascii="Garamond" w:hAnsi="Garamond"/>
                <w:sz w:val="20"/>
                <w:szCs w:val="20"/>
              </w:rPr>
              <w:t>të bazuar në kompetencat</w:t>
            </w:r>
            <w:r>
              <w:rPr>
                <w:rFonts w:ascii="Garamond" w:hAnsi="Garamond"/>
                <w:sz w:val="20"/>
                <w:szCs w:val="20"/>
              </w:rPr>
              <w:t>”</w:t>
            </w:r>
            <w:r w:rsidR="006F605B" w:rsidRPr="00DC66CD">
              <w:rPr>
                <w:rFonts w:ascii="Garamond" w:hAnsi="Garamond"/>
                <w:sz w:val="20"/>
                <w:szCs w:val="20"/>
              </w:rPr>
              <w:t xml:space="preserve"> - dhe ka hartuar një grup librash për të përputhur me përmbajtjen dhe metodologjinë e re - i cili është zbatuar gradualisht që nga viti 2014. Librat shkollorë të shkencës dhe matematikës janë përshtatur nga botues prestigjioz</w:t>
            </w:r>
            <w:r>
              <w:rPr>
                <w:rFonts w:ascii="Garamond" w:hAnsi="Garamond"/>
                <w:sz w:val="20"/>
                <w:szCs w:val="20"/>
              </w:rPr>
              <w:t>,</w:t>
            </w:r>
            <w:r w:rsidR="006F605B" w:rsidRPr="00DC66CD">
              <w:rPr>
                <w:rFonts w:ascii="Garamond" w:hAnsi="Garamond"/>
                <w:sz w:val="20"/>
                <w:szCs w:val="20"/>
              </w:rPr>
              <w:t xml:space="preserve"> si </w:t>
            </w:r>
            <w:r w:rsidR="006F605B" w:rsidRPr="00236E68">
              <w:rPr>
                <w:rFonts w:ascii="Garamond" w:hAnsi="Garamond"/>
                <w:i/>
                <w:sz w:val="20"/>
                <w:szCs w:val="20"/>
              </w:rPr>
              <w:t xml:space="preserve">Cambridge, Oxford </w:t>
            </w:r>
            <w:r w:rsidR="006F605B" w:rsidRPr="00DC66CD">
              <w:rPr>
                <w:rFonts w:ascii="Garamond" w:hAnsi="Garamond"/>
                <w:sz w:val="20"/>
                <w:szCs w:val="20"/>
              </w:rPr>
              <w:t xml:space="preserve">dhe </w:t>
            </w:r>
            <w:r w:rsidR="006F605B" w:rsidRPr="00236E68">
              <w:rPr>
                <w:rFonts w:ascii="Garamond" w:hAnsi="Garamond"/>
                <w:i/>
                <w:sz w:val="20"/>
                <w:szCs w:val="20"/>
              </w:rPr>
              <w:t>Pearson</w:t>
            </w:r>
            <w:r w:rsidR="006F605B" w:rsidRPr="00DC66CD">
              <w:rPr>
                <w:rFonts w:ascii="Garamond" w:hAnsi="Garamond"/>
                <w:sz w:val="20"/>
                <w:szCs w:val="20"/>
              </w:rPr>
              <w:t xml:space="preserve">, të cilat dukshëm përmirësuan mjetet që përdorin studentët dhe mësuesit në klasa. </w:t>
            </w:r>
            <w:r>
              <w:rPr>
                <w:rFonts w:ascii="Garamond" w:hAnsi="Garamond"/>
                <w:sz w:val="20"/>
                <w:szCs w:val="20"/>
              </w:rPr>
              <w:t>M</w:t>
            </w:r>
            <w:r w:rsidR="006F605B" w:rsidRPr="00DC66CD">
              <w:rPr>
                <w:rFonts w:ascii="Garamond" w:hAnsi="Garamond"/>
                <w:sz w:val="20"/>
                <w:szCs w:val="20"/>
              </w:rPr>
              <w:t>ë 2018, pjesa e fundit e kurrikulave, përkatësisht shkalla 5 zbatohet në vitin studiues 2019/2020. Kjo</w:t>
            </w:r>
            <w:r>
              <w:rPr>
                <w:rFonts w:ascii="Garamond" w:hAnsi="Garamond"/>
                <w:sz w:val="20"/>
                <w:szCs w:val="20"/>
              </w:rPr>
              <w:t>,</w:t>
            </w:r>
            <w:r w:rsidR="006F605B" w:rsidRPr="00DC66CD">
              <w:rPr>
                <w:rFonts w:ascii="Garamond" w:hAnsi="Garamond"/>
                <w:sz w:val="20"/>
                <w:szCs w:val="20"/>
              </w:rPr>
              <w:t xml:space="preserve"> gjithashtu</w:t>
            </w:r>
            <w:r>
              <w:rPr>
                <w:rFonts w:ascii="Garamond" w:hAnsi="Garamond"/>
                <w:sz w:val="20"/>
                <w:szCs w:val="20"/>
              </w:rPr>
              <w:t>,</w:t>
            </w:r>
            <w:r w:rsidR="006F605B" w:rsidRPr="00DC66CD">
              <w:rPr>
                <w:rFonts w:ascii="Garamond" w:hAnsi="Garamond"/>
                <w:sz w:val="20"/>
                <w:szCs w:val="20"/>
              </w:rPr>
              <w:t xml:space="preserve"> shënon fundin e reformës kurrikulare dhe i lejon MESY të zhvendos</w:t>
            </w:r>
            <w:r>
              <w:rPr>
                <w:rFonts w:ascii="Garamond" w:hAnsi="Garamond"/>
                <w:sz w:val="20"/>
                <w:szCs w:val="20"/>
              </w:rPr>
              <w:t>ë</w:t>
            </w:r>
            <w:r w:rsidR="006F605B" w:rsidRPr="00DC66CD">
              <w:rPr>
                <w:rFonts w:ascii="Garamond" w:hAnsi="Garamond"/>
                <w:sz w:val="20"/>
                <w:szCs w:val="20"/>
              </w:rPr>
              <w:t xml:space="preserve"> përqendrimin e saj drejt vlerësimit dhe përmirësimit të mëtejshëm të kurrikulave.</w:t>
            </w:r>
          </w:p>
        </w:tc>
        <w:tc>
          <w:tcPr>
            <w:tcW w:w="1723" w:type="dxa"/>
          </w:tcPr>
          <w:p w14:paraId="77AB788B" w14:textId="55165F1A" w:rsidR="006F605B" w:rsidRPr="00DC66CD" w:rsidRDefault="006F605B" w:rsidP="00236E68">
            <w:pPr>
              <w:snapToGrid w:val="0"/>
              <w:spacing w:after="0" w:line="240" w:lineRule="auto"/>
              <w:jc w:val="center"/>
              <w:rPr>
                <w:rFonts w:ascii="Garamond" w:hAnsi="Garamond"/>
                <w:sz w:val="20"/>
                <w:szCs w:val="20"/>
              </w:rPr>
            </w:pPr>
            <w:r w:rsidRPr="00DC66CD">
              <w:rPr>
                <w:rFonts w:ascii="Garamond" w:hAnsi="Garamond"/>
                <w:sz w:val="20"/>
                <w:szCs w:val="20"/>
              </w:rPr>
              <w:t>4</w:t>
            </w:r>
            <w:r w:rsidR="00236E68">
              <w:rPr>
                <w:rFonts w:ascii="Garamond" w:hAnsi="Garamond"/>
                <w:sz w:val="20"/>
                <w:szCs w:val="20"/>
              </w:rPr>
              <w:t>–</w:t>
            </w:r>
            <w:r w:rsidRPr="00DC66CD">
              <w:rPr>
                <w:rFonts w:ascii="Garamond" w:hAnsi="Garamond"/>
                <w:sz w:val="20"/>
                <w:szCs w:val="20"/>
              </w:rPr>
              <w:t>5</w:t>
            </w:r>
          </w:p>
        </w:tc>
      </w:tr>
    </w:tbl>
    <w:p w14:paraId="121A15A8"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CellMar>
          <w:left w:w="0" w:type="dxa"/>
          <w:right w:w="0" w:type="dxa"/>
        </w:tblCellMar>
        <w:tblLook w:val="04A0" w:firstRow="1" w:lastRow="0" w:firstColumn="1" w:lastColumn="0" w:noHBand="0" w:noVBand="1"/>
      </w:tblPr>
      <w:tblGrid>
        <w:gridCol w:w="1676"/>
        <w:gridCol w:w="5841"/>
        <w:gridCol w:w="1663"/>
      </w:tblGrid>
      <w:tr w:rsidR="006F605B" w:rsidRPr="00DC66CD" w14:paraId="0AC55C0C" w14:textId="77777777" w:rsidTr="00E372C0">
        <w:tc>
          <w:tcPr>
            <w:tcW w:w="172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8" w:type="dxa"/>
              <w:bottom w:w="0" w:type="dxa"/>
              <w:right w:w="108" w:type="dxa"/>
            </w:tcMar>
            <w:hideMark/>
          </w:tcPr>
          <w:p w14:paraId="0DBD7EE3" w14:textId="77777777" w:rsidR="006F605B" w:rsidRPr="00DC66CD" w:rsidRDefault="006F605B" w:rsidP="00131DA1">
            <w:pPr>
              <w:spacing w:after="0" w:line="240" w:lineRule="auto"/>
              <w:rPr>
                <w:rFonts w:ascii="Garamond" w:eastAsia="Times New Roman" w:hAnsi="Garamond"/>
                <w:sz w:val="20"/>
                <w:szCs w:val="20"/>
                <w:lang w:eastAsia="en-GB"/>
              </w:rPr>
            </w:pPr>
          </w:p>
        </w:tc>
        <w:tc>
          <w:tcPr>
            <w:tcW w:w="6176"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8" w:type="dxa"/>
              <w:bottom w:w="0" w:type="dxa"/>
              <w:right w:w="108" w:type="dxa"/>
            </w:tcMar>
            <w:hideMark/>
          </w:tcPr>
          <w:p w14:paraId="39B98E6D"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b/>
                <w:bCs/>
                <w:sz w:val="20"/>
                <w:szCs w:val="20"/>
                <w:lang w:eastAsia="en-GB"/>
              </w:rPr>
              <w:t>Përmirësimi i cilësisë dhe mbulimit të AFP-së duke siguruar lidhje me tregun e punës</w:t>
            </w:r>
          </w:p>
        </w:tc>
        <w:tc>
          <w:tcPr>
            <w:tcW w:w="172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8" w:type="dxa"/>
              <w:bottom w:w="0" w:type="dxa"/>
              <w:right w:w="108" w:type="dxa"/>
            </w:tcMar>
            <w:hideMark/>
          </w:tcPr>
          <w:p w14:paraId="1E99BBC6" w14:textId="5EC43F0D" w:rsidR="006F605B" w:rsidRPr="00236E68" w:rsidRDefault="006F605B" w:rsidP="00131DA1">
            <w:pPr>
              <w:spacing w:after="0" w:line="240" w:lineRule="auto"/>
              <w:rPr>
                <w:rFonts w:ascii="Garamond" w:eastAsia="Times New Roman" w:hAnsi="Garamond"/>
                <w:b/>
                <w:sz w:val="20"/>
                <w:szCs w:val="20"/>
                <w:lang w:eastAsia="en-GB"/>
              </w:rPr>
            </w:pPr>
            <w:r w:rsidRPr="00236E68">
              <w:rPr>
                <w:rFonts w:ascii="Garamond" w:eastAsia="Times New Roman" w:hAnsi="Garamond"/>
                <w:b/>
                <w:sz w:val="20"/>
                <w:szCs w:val="20"/>
                <w:lang w:eastAsia="en-GB"/>
              </w:rPr>
              <w:t>Faza e zbatimit të reformës (1</w:t>
            </w:r>
            <w:r w:rsidR="00236E68">
              <w:rPr>
                <w:rFonts w:ascii="Garamond" w:eastAsia="Times New Roman" w:hAnsi="Garamond"/>
                <w:b/>
                <w:sz w:val="20"/>
                <w:szCs w:val="20"/>
                <w:lang w:eastAsia="en-GB"/>
              </w:rPr>
              <w:t>–</w:t>
            </w:r>
            <w:r w:rsidRPr="00236E68">
              <w:rPr>
                <w:rFonts w:ascii="Garamond" w:eastAsia="Times New Roman" w:hAnsi="Garamond"/>
                <w:b/>
                <w:sz w:val="20"/>
                <w:szCs w:val="20"/>
                <w:lang w:eastAsia="en-GB"/>
              </w:rPr>
              <w:t>5)</w:t>
            </w:r>
          </w:p>
        </w:tc>
      </w:tr>
      <w:tr w:rsidR="006F605B" w:rsidRPr="00DC66CD" w14:paraId="454E46C3" w14:textId="77777777" w:rsidTr="00E372C0">
        <w:tc>
          <w:tcPr>
            <w:tcW w:w="17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68E5EA" w14:textId="70379079"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Aktivitetet e planifikuara për vitin 2019</w:t>
            </w:r>
            <w:r w:rsidR="00236E68">
              <w:rPr>
                <w:rFonts w:ascii="Garamond" w:eastAsia="Times New Roman" w:hAnsi="Garamond"/>
                <w:sz w:val="20"/>
                <w:szCs w:val="20"/>
                <w:lang w:eastAsia="en-GB"/>
              </w:rPr>
              <w:t>-ën</w:t>
            </w:r>
          </w:p>
        </w:tc>
        <w:tc>
          <w:tcPr>
            <w:tcW w:w="6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492CA1" w14:textId="164F0175"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Përfundoni planin e optimizmit të ofertës së AFP-së</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në përputhje me nevojat rajonale të zhvillimit të aftësive dhe procesin e riorganizimit të ofruesve të AFP-së</w:t>
            </w:r>
          </w:p>
        </w:tc>
        <w:tc>
          <w:tcPr>
            <w:tcW w:w="1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42088A"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3</w:t>
            </w:r>
          </w:p>
        </w:tc>
      </w:tr>
      <w:tr w:rsidR="006F605B" w:rsidRPr="00DC66CD" w14:paraId="5A7C3309" w14:textId="77777777" w:rsidTr="00E372C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FD7C42" w14:textId="77777777" w:rsidR="006F605B" w:rsidRPr="00DC66CD" w:rsidRDefault="006F605B" w:rsidP="00131DA1">
            <w:pPr>
              <w:spacing w:after="0" w:line="240" w:lineRule="auto"/>
              <w:rPr>
                <w:rFonts w:ascii="Garamond" w:eastAsia="Times New Roman" w:hAnsi="Garamond"/>
                <w:sz w:val="20"/>
                <w:szCs w:val="20"/>
                <w:lang w:eastAsia="en-GB"/>
              </w:rPr>
            </w:pPr>
          </w:p>
        </w:tc>
        <w:tc>
          <w:tcPr>
            <w:tcW w:w="6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94CC84" w14:textId="06AE96F8" w:rsidR="006F605B" w:rsidRPr="00DC66CD" w:rsidRDefault="006F605B" w:rsidP="00A72726">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Vazhdoni përdorimin e konceptit të cilësisë si në nivelin e sistemit ashtu edhe në nivelin e ofruesve. Finalizimi i planit kombëtar të optimizmit të ofruesit të AFP-së</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në përputhje me nevojat rajonale të zhvillimit të aftësive; përgatitja e planeve, zhvillimi i kapaciteteve dhe legalizimi i ngritjes së qendrave multifunksionale të AFP-së në vend (MFE dhe NAVETQ, ofruesit e AAP</w:t>
            </w:r>
            <w:r w:rsidR="00A72726">
              <w:rPr>
                <w:rFonts w:ascii="Garamond" w:eastAsia="Times New Roman" w:hAnsi="Garamond"/>
                <w:sz w:val="20"/>
                <w:szCs w:val="20"/>
                <w:lang w:eastAsia="en-GB"/>
              </w:rPr>
              <w:t>-së</w:t>
            </w:r>
            <w:r w:rsidRPr="00DC66CD">
              <w:rPr>
                <w:rFonts w:ascii="Garamond" w:eastAsia="Times New Roman" w:hAnsi="Garamond"/>
                <w:sz w:val="20"/>
                <w:szCs w:val="20"/>
                <w:lang w:eastAsia="en-GB"/>
              </w:rPr>
              <w:t>)</w:t>
            </w:r>
          </w:p>
        </w:tc>
        <w:tc>
          <w:tcPr>
            <w:tcW w:w="1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76A3F1"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 xml:space="preserve"> </w:t>
            </w:r>
          </w:p>
        </w:tc>
      </w:tr>
      <w:tr w:rsidR="006F605B" w:rsidRPr="00DC66CD" w14:paraId="6FD49337" w14:textId="77777777" w:rsidTr="00E372C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BEBBFB" w14:textId="77777777" w:rsidR="006F605B" w:rsidRPr="00DC66CD" w:rsidRDefault="006F605B" w:rsidP="00131DA1">
            <w:pPr>
              <w:spacing w:after="0" w:line="240" w:lineRule="auto"/>
              <w:rPr>
                <w:rFonts w:ascii="Garamond" w:eastAsia="Times New Roman" w:hAnsi="Garamond"/>
                <w:sz w:val="20"/>
                <w:szCs w:val="20"/>
                <w:lang w:eastAsia="en-GB"/>
              </w:rPr>
            </w:pPr>
          </w:p>
        </w:tc>
        <w:tc>
          <w:tcPr>
            <w:tcW w:w="6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3E729C" w14:textId="3A2CD8EB" w:rsidR="006F605B" w:rsidRPr="00DC66CD" w:rsidRDefault="006F605B" w:rsidP="00A72726">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 xml:space="preserve">Zhvillimi i aftësive për mësuesit dhe </w:t>
            </w:r>
            <w:r w:rsidR="00A72726" w:rsidRPr="00DC66CD">
              <w:rPr>
                <w:rFonts w:ascii="Garamond" w:eastAsia="Times New Roman" w:hAnsi="Garamond"/>
                <w:sz w:val="20"/>
                <w:szCs w:val="20"/>
                <w:lang w:eastAsia="en-GB"/>
              </w:rPr>
              <w:t>trajnuesit</w:t>
            </w:r>
            <w:r w:rsidRPr="00DC66CD">
              <w:rPr>
                <w:rFonts w:ascii="Garamond" w:eastAsia="Times New Roman" w:hAnsi="Garamond"/>
                <w:sz w:val="20"/>
                <w:szCs w:val="20"/>
                <w:lang w:eastAsia="en-GB"/>
              </w:rPr>
              <w:t xml:space="preserve"> e AFP-së (duke hartuar politika për rekrutimin, zhvillimin profesional, vlerësimin e kompetencave dhe aftësimin e mësuesve dhe </w:t>
            </w:r>
            <w:r w:rsidR="00A72726" w:rsidRPr="00DC66CD">
              <w:rPr>
                <w:rFonts w:ascii="Garamond" w:eastAsia="Times New Roman" w:hAnsi="Garamond"/>
                <w:sz w:val="20"/>
                <w:szCs w:val="20"/>
                <w:lang w:eastAsia="en-GB"/>
              </w:rPr>
              <w:t>trajnuesve</w:t>
            </w:r>
            <w:r w:rsidRPr="00DC66CD">
              <w:rPr>
                <w:rFonts w:ascii="Garamond" w:eastAsia="Times New Roman" w:hAnsi="Garamond"/>
                <w:sz w:val="20"/>
                <w:szCs w:val="20"/>
                <w:lang w:eastAsia="en-GB"/>
              </w:rPr>
              <w:t xml:space="preserve"> të AAP) (MFE dhe NAVETQ</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w:t>
            </w:r>
          </w:p>
        </w:tc>
        <w:tc>
          <w:tcPr>
            <w:tcW w:w="1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BFB020"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5</w:t>
            </w:r>
          </w:p>
        </w:tc>
      </w:tr>
      <w:tr w:rsidR="006F605B" w:rsidRPr="00DC66CD" w14:paraId="408BF8C8" w14:textId="77777777" w:rsidTr="00E372C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208BC8" w14:textId="77777777" w:rsidR="006F605B" w:rsidRPr="00DC66CD" w:rsidRDefault="006F605B" w:rsidP="00131DA1">
            <w:pPr>
              <w:spacing w:after="0" w:line="240" w:lineRule="auto"/>
              <w:rPr>
                <w:rFonts w:ascii="Garamond" w:eastAsia="Times New Roman" w:hAnsi="Garamond"/>
                <w:sz w:val="20"/>
                <w:szCs w:val="20"/>
                <w:lang w:eastAsia="en-GB"/>
              </w:rPr>
            </w:pPr>
          </w:p>
        </w:tc>
        <w:tc>
          <w:tcPr>
            <w:tcW w:w="6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9F5997"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Kryeni vetëvlerësimin e të gjithë ofruesve të AFP-së.</w:t>
            </w:r>
          </w:p>
        </w:tc>
        <w:tc>
          <w:tcPr>
            <w:tcW w:w="1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3CB8D7"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5</w:t>
            </w:r>
          </w:p>
        </w:tc>
      </w:tr>
      <w:tr w:rsidR="006F605B" w:rsidRPr="00DC66CD" w14:paraId="2489CDC3" w14:textId="77777777" w:rsidTr="00E372C0">
        <w:tc>
          <w:tcPr>
            <w:tcW w:w="17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D3EC98"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Përshkrimi i zbatimit dhe shpjegimi nëse zbatimi i pjesshëm ose jo</w:t>
            </w:r>
          </w:p>
        </w:tc>
        <w:tc>
          <w:tcPr>
            <w:tcW w:w="6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285830" w14:textId="0D5D1E33" w:rsidR="006F605B" w:rsidRPr="00DC66CD" w:rsidRDefault="006F605B" w:rsidP="00131DA1">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Përfundoni planin e optimizmit të ofertës së AFP-së</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në përputhje me nevojat rajonale të zhvillimit të aftësive dhe procesin e riorganizimit të ofruesve të AFP-së</w:t>
            </w:r>
            <w:r w:rsidR="00A72726">
              <w:rPr>
                <w:rFonts w:ascii="Garamond" w:eastAsia="Times New Roman" w:hAnsi="Garamond"/>
                <w:sz w:val="20"/>
                <w:szCs w:val="20"/>
                <w:lang w:eastAsia="en-GB"/>
              </w:rPr>
              <w:t>.</w:t>
            </w:r>
          </w:p>
        </w:tc>
        <w:tc>
          <w:tcPr>
            <w:tcW w:w="1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CC0286"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 xml:space="preserve"> </w:t>
            </w:r>
          </w:p>
        </w:tc>
      </w:tr>
      <w:tr w:rsidR="006F605B" w:rsidRPr="00DC66CD" w14:paraId="12929A01" w14:textId="77777777" w:rsidTr="00E372C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A767B6" w14:textId="77777777" w:rsidR="006F605B" w:rsidRPr="00DC66CD" w:rsidRDefault="006F605B" w:rsidP="00131DA1">
            <w:pPr>
              <w:spacing w:after="0" w:line="240" w:lineRule="auto"/>
              <w:rPr>
                <w:rFonts w:ascii="Garamond" w:eastAsia="Times New Roman" w:hAnsi="Garamond"/>
                <w:sz w:val="20"/>
                <w:szCs w:val="20"/>
                <w:lang w:eastAsia="en-GB"/>
              </w:rPr>
            </w:pPr>
          </w:p>
        </w:tc>
        <w:tc>
          <w:tcPr>
            <w:tcW w:w="6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42A1F6" w14:textId="661B9365" w:rsidR="006F605B" w:rsidRPr="00DC66CD" w:rsidRDefault="006F605B" w:rsidP="00A72726">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VKM</w:t>
            </w:r>
            <w:r w:rsidR="00E33D88" w:rsidRPr="00DC66CD">
              <w:rPr>
                <w:rFonts w:ascii="Garamond" w:eastAsia="Times New Roman" w:hAnsi="Garamond"/>
                <w:sz w:val="20"/>
                <w:szCs w:val="20"/>
                <w:lang w:eastAsia="en-GB"/>
              </w:rPr>
              <w:t xml:space="preserve"> nr. </w:t>
            </w:r>
            <w:r w:rsidR="00A72726">
              <w:rPr>
                <w:rFonts w:ascii="Garamond" w:eastAsia="Times New Roman" w:hAnsi="Garamond"/>
                <w:sz w:val="20"/>
                <w:szCs w:val="20"/>
                <w:lang w:eastAsia="en-GB"/>
              </w:rPr>
              <w:t>426, datë 26.</w:t>
            </w:r>
            <w:r w:rsidRPr="00DC66CD">
              <w:rPr>
                <w:rFonts w:ascii="Garamond" w:eastAsia="Times New Roman" w:hAnsi="Garamond"/>
                <w:sz w:val="20"/>
                <w:szCs w:val="20"/>
                <w:lang w:eastAsia="en-GB"/>
              </w:rPr>
              <w:t>6.2019</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Për mënyrën e organizimit, funksionimit dhe kritereve për zgjedhjen e anëtarëve të komiteteve sektoriale dhe mënyrën e shpërblimit të tyre</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w:t>
            </w:r>
          </w:p>
          <w:p w14:paraId="214C22FA" w14:textId="53EBFB85" w:rsidR="006F605B" w:rsidRPr="00DC66CD" w:rsidRDefault="006F605B" w:rsidP="00A72726">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VKM</w:t>
            </w:r>
            <w:r w:rsidR="00E33D88" w:rsidRPr="00DC66CD">
              <w:rPr>
                <w:rFonts w:ascii="Garamond" w:eastAsia="Times New Roman" w:hAnsi="Garamond"/>
                <w:sz w:val="20"/>
                <w:szCs w:val="20"/>
                <w:lang w:eastAsia="en-GB"/>
              </w:rPr>
              <w:t xml:space="preserve"> nr. </w:t>
            </w:r>
            <w:r w:rsidRPr="00DC66CD">
              <w:rPr>
                <w:rFonts w:ascii="Garamond" w:eastAsia="Times New Roman" w:hAnsi="Garamond"/>
                <w:sz w:val="20"/>
                <w:szCs w:val="20"/>
                <w:lang w:eastAsia="en-GB"/>
              </w:rPr>
              <w:t>427, datë 26.6.2019</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Për miratimin e kritereve dhe procedurave për përfshirjen e kualifikimeve të mësimit gjatë gjithë jetës, sipas niveleve të Kornizës së Kualifikimeve Shqiptare, për arsimin dhe aftësimin profesional</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w:t>
            </w:r>
          </w:p>
          <w:p w14:paraId="00E684AD" w14:textId="1D722592" w:rsidR="006F605B" w:rsidRPr="00DC66CD" w:rsidRDefault="006F605B" w:rsidP="00A72726">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VKM</w:t>
            </w:r>
            <w:r w:rsidR="00E33D88" w:rsidRPr="00DC66CD">
              <w:rPr>
                <w:rFonts w:ascii="Garamond" w:eastAsia="Times New Roman" w:hAnsi="Garamond"/>
                <w:sz w:val="20"/>
                <w:szCs w:val="20"/>
                <w:lang w:eastAsia="en-GB"/>
              </w:rPr>
              <w:t xml:space="preserve"> nr. </w:t>
            </w:r>
            <w:r w:rsidRPr="00DC66CD">
              <w:rPr>
                <w:rFonts w:ascii="Garamond" w:eastAsia="Times New Roman" w:hAnsi="Garamond"/>
                <w:sz w:val="20"/>
                <w:szCs w:val="20"/>
                <w:lang w:eastAsia="en-GB"/>
              </w:rPr>
              <w:t>428, datë 26.</w:t>
            </w:r>
            <w:r w:rsidR="00A72726" w:rsidRPr="00DC66CD">
              <w:rPr>
                <w:rFonts w:ascii="Garamond" w:eastAsia="Times New Roman" w:hAnsi="Garamond"/>
                <w:sz w:val="20"/>
                <w:szCs w:val="20"/>
                <w:lang w:eastAsia="en-GB"/>
              </w:rPr>
              <w:t xml:space="preserve"> </w:t>
            </w:r>
            <w:r w:rsidRPr="00DC66CD">
              <w:rPr>
                <w:rFonts w:ascii="Garamond" w:eastAsia="Times New Roman" w:hAnsi="Garamond"/>
                <w:sz w:val="20"/>
                <w:szCs w:val="20"/>
                <w:lang w:eastAsia="en-GB"/>
              </w:rPr>
              <w:t>6.2019</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Për miratimin e tabelës së përshkruesve të detajuar për secilin nivel të Kornizës së Kualifikimeve Shqiptare</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w:t>
            </w:r>
          </w:p>
        </w:tc>
        <w:tc>
          <w:tcPr>
            <w:tcW w:w="1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7C88A3"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 xml:space="preserve"> </w:t>
            </w:r>
          </w:p>
        </w:tc>
      </w:tr>
      <w:tr w:rsidR="006F605B" w:rsidRPr="00DC66CD" w14:paraId="526BFF5C" w14:textId="77777777" w:rsidTr="00E372C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2ACD9A" w14:textId="77777777" w:rsidR="006F605B" w:rsidRPr="00DC66CD" w:rsidRDefault="006F605B" w:rsidP="00131DA1">
            <w:pPr>
              <w:spacing w:after="0" w:line="240" w:lineRule="auto"/>
              <w:rPr>
                <w:rFonts w:ascii="Garamond" w:eastAsia="Times New Roman" w:hAnsi="Garamond"/>
                <w:sz w:val="20"/>
                <w:szCs w:val="20"/>
                <w:lang w:eastAsia="en-GB"/>
              </w:rPr>
            </w:pPr>
          </w:p>
        </w:tc>
        <w:tc>
          <w:tcPr>
            <w:tcW w:w="6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1E55BE" w14:textId="1F7D5FD5"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 xml:space="preserve">NAVETQ, me mbështetjen e donatorëve, përgatiti trajnimin 24-ditor mbi </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Bazat e didaktikës në AFP</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në vitin</w:t>
            </w:r>
            <w:r w:rsidR="00A72726">
              <w:rPr>
                <w:rFonts w:ascii="Garamond" w:eastAsia="Times New Roman" w:hAnsi="Garamond"/>
                <w:sz w:val="20"/>
                <w:szCs w:val="20"/>
                <w:lang w:eastAsia="en-GB"/>
              </w:rPr>
              <w:t xml:space="preserve"> </w:t>
            </w:r>
            <w:r w:rsidRPr="00DC66CD">
              <w:rPr>
                <w:rFonts w:ascii="Garamond" w:eastAsia="Times New Roman" w:hAnsi="Garamond"/>
                <w:sz w:val="20"/>
                <w:szCs w:val="20"/>
                <w:lang w:eastAsia="en-GB"/>
              </w:rPr>
              <w:t>2016</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Gjatë vitit 2016 deri në vitin 2018, me mbështetjen e donatorëve, trajnimi 24-ditor me temë </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Bazat e didaktikës në AFP</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u mbajt për 491 </w:t>
            </w:r>
            <w:r w:rsidR="00A72726" w:rsidRPr="00DC66CD">
              <w:rPr>
                <w:rFonts w:ascii="Garamond" w:eastAsia="Times New Roman" w:hAnsi="Garamond"/>
                <w:sz w:val="20"/>
                <w:szCs w:val="20"/>
                <w:lang w:eastAsia="en-GB"/>
              </w:rPr>
              <w:t xml:space="preserve">mësuesit </w:t>
            </w:r>
            <w:r w:rsidRPr="00DC66CD">
              <w:rPr>
                <w:rFonts w:ascii="Garamond" w:eastAsia="Times New Roman" w:hAnsi="Garamond"/>
                <w:sz w:val="20"/>
                <w:szCs w:val="20"/>
                <w:lang w:eastAsia="en-GB"/>
              </w:rPr>
              <w:t>dhe instruktorët e AAP dhe 120 janë në proces trajnimi për vitin 2019</w:t>
            </w:r>
            <w:r w:rsidR="00772573" w:rsidRPr="00DC66CD">
              <w:rPr>
                <w:rFonts w:ascii="Garamond" w:eastAsia="Times New Roman" w:hAnsi="Garamond"/>
                <w:sz w:val="20"/>
                <w:szCs w:val="20"/>
                <w:lang w:eastAsia="en-GB"/>
              </w:rPr>
              <w:t>.</w:t>
            </w:r>
          </w:p>
          <w:p w14:paraId="3CCC0C1D" w14:textId="12C891DC" w:rsidR="006F605B" w:rsidRPr="00DC66CD" w:rsidRDefault="006F605B" w:rsidP="00A72726">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Ky trajnim do të jetë një trajnim i detyrueshëm para shërbimit për të gjithë mësuesit dhe instruktorët e AAP</w:t>
            </w:r>
            <w:r w:rsidR="00A72726">
              <w:rPr>
                <w:rFonts w:ascii="Garamond" w:eastAsia="Times New Roman" w:hAnsi="Garamond"/>
                <w:sz w:val="20"/>
                <w:szCs w:val="20"/>
                <w:lang w:eastAsia="en-GB"/>
              </w:rPr>
              <w:t>-së</w:t>
            </w:r>
            <w:r w:rsidRPr="00DC66CD">
              <w:rPr>
                <w:rFonts w:ascii="Garamond" w:eastAsia="Times New Roman" w:hAnsi="Garamond"/>
                <w:sz w:val="20"/>
                <w:szCs w:val="20"/>
                <w:lang w:eastAsia="en-GB"/>
              </w:rPr>
              <w:t xml:space="preserve">. Mësuesit, me mbështetjen e ETF, kanë krijuar rrjete profesionale të bazuara në platformë </w:t>
            </w:r>
            <w:r w:rsidRPr="00A72726">
              <w:rPr>
                <w:rFonts w:ascii="Garamond" w:eastAsia="Times New Roman" w:hAnsi="Garamond"/>
                <w:i/>
                <w:sz w:val="20"/>
                <w:szCs w:val="20"/>
                <w:lang w:eastAsia="en-GB"/>
              </w:rPr>
              <w:t>online</w:t>
            </w:r>
            <w:r w:rsidRPr="00DC66CD">
              <w:rPr>
                <w:rFonts w:ascii="Garamond" w:eastAsia="Times New Roman" w:hAnsi="Garamond"/>
                <w:sz w:val="20"/>
                <w:szCs w:val="20"/>
                <w:lang w:eastAsia="en-GB"/>
              </w:rPr>
              <w:t xml:space="preserve"> për shkëmbimin e materialeve mësimore dhe përgatitore. Tr</w:t>
            </w:r>
            <w:r w:rsidR="00276B1A" w:rsidRPr="00DC66CD">
              <w:rPr>
                <w:rFonts w:ascii="Garamond" w:eastAsia="Times New Roman" w:hAnsi="Garamond"/>
                <w:sz w:val="20"/>
                <w:szCs w:val="20"/>
                <w:lang w:eastAsia="en-GB"/>
              </w:rPr>
              <w:t>i</w:t>
            </w:r>
            <w:r w:rsidRPr="00DC66CD">
              <w:rPr>
                <w:rFonts w:ascii="Garamond" w:eastAsia="Times New Roman" w:hAnsi="Garamond"/>
                <w:sz w:val="20"/>
                <w:szCs w:val="20"/>
                <w:lang w:eastAsia="en-GB"/>
              </w:rPr>
              <w:t xml:space="preserve"> rrjete shkëmbimi profesional janë ngritur gjatë vitit 2019, rrjeti profesional i mësuesve të ekonomisë</w:t>
            </w:r>
            <w:r w:rsidR="00A72726">
              <w:rPr>
                <w:rFonts w:ascii="Garamond" w:eastAsia="Times New Roman" w:hAnsi="Garamond"/>
                <w:sz w:val="20"/>
                <w:szCs w:val="20"/>
                <w:lang w:eastAsia="en-GB"/>
              </w:rPr>
              <w:t>.</w:t>
            </w:r>
          </w:p>
        </w:tc>
        <w:tc>
          <w:tcPr>
            <w:tcW w:w="1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F98B90"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 xml:space="preserve"> </w:t>
            </w:r>
          </w:p>
        </w:tc>
      </w:tr>
      <w:tr w:rsidR="006F605B" w:rsidRPr="00DC66CD" w14:paraId="10B13140" w14:textId="77777777" w:rsidTr="00E372C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304391" w14:textId="77777777" w:rsidR="006F605B" w:rsidRPr="00DC66CD" w:rsidRDefault="006F605B" w:rsidP="00131DA1">
            <w:pPr>
              <w:spacing w:after="0" w:line="240" w:lineRule="auto"/>
              <w:rPr>
                <w:rFonts w:ascii="Garamond" w:eastAsia="Times New Roman" w:hAnsi="Garamond"/>
                <w:sz w:val="20"/>
                <w:szCs w:val="20"/>
                <w:lang w:eastAsia="en-GB"/>
              </w:rPr>
            </w:pPr>
          </w:p>
        </w:tc>
        <w:tc>
          <w:tcPr>
            <w:tcW w:w="6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9CCEAC"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Kryeni vetëvlerësimin e të gjithë ofruesve të AFP-së</w:t>
            </w:r>
          </w:p>
          <w:p w14:paraId="0CB14A6B" w14:textId="591688F8" w:rsidR="006F605B" w:rsidRPr="00DC66CD" w:rsidRDefault="006F605B" w:rsidP="00131DA1">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Gjatë vitit 2019, janë rikonstruktuar dhe janë në proces pajtimi 9 shkolla të AFP-së, ato</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gjithashtu</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ishin të pajisura me makineri dhe pajisje të teknologjisë më të fundit. Nga IPA 2013, 9 shkolla dhe 4 </w:t>
            </w:r>
            <w:r w:rsidR="00A72726" w:rsidRPr="00DC66CD">
              <w:rPr>
                <w:rFonts w:ascii="Garamond" w:eastAsia="Times New Roman" w:hAnsi="Garamond"/>
                <w:sz w:val="20"/>
                <w:szCs w:val="20"/>
                <w:lang w:eastAsia="en-GB"/>
              </w:rPr>
              <w:t xml:space="preserve">qendra </w:t>
            </w:r>
            <w:r w:rsidRPr="00DC66CD">
              <w:rPr>
                <w:rFonts w:ascii="Garamond" w:eastAsia="Times New Roman" w:hAnsi="Garamond"/>
                <w:sz w:val="20"/>
                <w:szCs w:val="20"/>
                <w:lang w:eastAsia="en-GB"/>
              </w:rPr>
              <w:t>VT,</w:t>
            </w:r>
          </w:p>
          <w:p w14:paraId="0880AB9D" w14:textId="33B596C6" w:rsidR="006F605B" w:rsidRPr="00DC66CD" w:rsidRDefault="006F605B" w:rsidP="00131DA1">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Gjatë vitit 2018 janë hartuar 10 përshkrime/standarde të kualifikimit profesional dhe 6 kurrikula kornizë, të gjitha të arritshme në internet. Aktualisht, NAVETQ është në proces për të zhvilluar tr</w:t>
            </w:r>
            <w:r w:rsidR="00276B1A" w:rsidRPr="00DC66CD">
              <w:rPr>
                <w:rFonts w:ascii="Garamond" w:eastAsia="Times New Roman" w:hAnsi="Garamond"/>
                <w:sz w:val="20"/>
                <w:szCs w:val="20"/>
                <w:lang w:eastAsia="en-GB"/>
              </w:rPr>
              <w:t>i</w:t>
            </w:r>
            <w:r w:rsidRPr="00DC66CD">
              <w:rPr>
                <w:rFonts w:ascii="Garamond" w:eastAsia="Times New Roman" w:hAnsi="Garamond"/>
                <w:sz w:val="20"/>
                <w:szCs w:val="20"/>
                <w:lang w:eastAsia="en-GB"/>
              </w:rPr>
              <w:t xml:space="preserve"> kualifikime krejt të reja</w:t>
            </w:r>
            <w:r w:rsidR="00A72726">
              <w:rPr>
                <w:rFonts w:ascii="Garamond" w:eastAsia="Times New Roman" w:hAnsi="Garamond"/>
                <w:sz w:val="20"/>
                <w:szCs w:val="20"/>
                <w:lang w:eastAsia="en-GB"/>
              </w:rPr>
              <w:t>,</w:t>
            </w:r>
            <w:r w:rsidRPr="00DC66CD">
              <w:rPr>
                <w:rFonts w:ascii="Garamond" w:eastAsia="Times New Roman" w:hAnsi="Garamond"/>
                <w:sz w:val="20"/>
                <w:szCs w:val="20"/>
                <w:lang w:eastAsia="en-GB"/>
              </w:rPr>
              <w:t xml:space="preserve"> në lidhje me Agroturizmin, Shërbimet e Udhëtimit dhe Turizmit dhe Shërbimet Hoteli dhe Restorant.</w:t>
            </w:r>
          </w:p>
          <w:p w14:paraId="4B44571D" w14:textId="5C4C9281" w:rsidR="006F605B" w:rsidRPr="00DC66CD" w:rsidRDefault="006F605B" w:rsidP="00131DA1">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Për më tepër, NAVETQ ofron udhëzime të ndryshme për mësuesit dhe ofruesit e AFP-së, përfshirë metodat dhe mjetet e vlerësimit (siç janë testet</w:t>
            </w:r>
            <w:r w:rsidR="007206A4" w:rsidRPr="00DC66CD">
              <w:rPr>
                <w:rFonts w:ascii="Garamond" w:eastAsia="Times New Roman" w:hAnsi="Garamond"/>
                <w:sz w:val="20"/>
                <w:szCs w:val="20"/>
                <w:lang w:eastAsia="en-GB"/>
              </w:rPr>
              <w:t>, projektet, lista e kontrollit</w:t>
            </w:r>
            <w:r w:rsidRPr="00DC66CD">
              <w:rPr>
                <w:rFonts w:ascii="Garamond" w:eastAsia="Times New Roman" w:hAnsi="Garamond"/>
                <w:sz w:val="20"/>
                <w:szCs w:val="20"/>
                <w:lang w:eastAsia="en-GB"/>
              </w:rPr>
              <w:t xml:space="preserve"> etj.)</w:t>
            </w:r>
          </w:p>
          <w:p w14:paraId="17CECC67" w14:textId="5E4989F9" w:rsidR="006F605B" w:rsidRPr="00DC66CD" w:rsidRDefault="006F605B" w:rsidP="00131DA1">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 xml:space="preserve">Të dy </w:t>
            </w:r>
            <w:r w:rsidR="00A72726" w:rsidRPr="00DC66CD">
              <w:rPr>
                <w:rFonts w:ascii="Garamond" w:eastAsia="Times New Roman" w:hAnsi="Garamond"/>
                <w:sz w:val="20"/>
                <w:szCs w:val="20"/>
                <w:lang w:eastAsia="en-GB"/>
              </w:rPr>
              <w:t xml:space="preserve">udhëzimet e ministrit </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Për zhvillimin e vetëvlerësimit në ofruesit e arsimit dhe formimit profesional</w:t>
            </w:r>
            <w:r w:rsidR="002A29AD" w:rsidRPr="00DC66CD">
              <w:rPr>
                <w:rFonts w:ascii="Garamond" w:eastAsia="Times New Roman" w:hAnsi="Garamond"/>
                <w:sz w:val="20"/>
                <w:szCs w:val="20"/>
                <w:lang w:eastAsia="en-GB"/>
              </w:rPr>
              <w:t>”</w:t>
            </w:r>
            <w:r w:rsidRPr="00DC66CD">
              <w:rPr>
                <w:rFonts w:ascii="Garamond" w:eastAsia="Times New Roman" w:hAnsi="Garamond"/>
                <w:sz w:val="20"/>
                <w:szCs w:val="20"/>
                <w:lang w:eastAsia="en-GB"/>
              </w:rPr>
              <w:t>, janë miratuar.</w:t>
            </w:r>
          </w:p>
          <w:p w14:paraId="73844F3A" w14:textId="772CEB41" w:rsidR="006F605B" w:rsidRPr="00DC66CD" w:rsidRDefault="006F605B" w:rsidP="00131DA1">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12 multipli këndvështrimi janë trajnuar për përfaqësuesit e ofruesve të AAP tej tren për të zba</w:t>
            </w:r>
            <w:r w:rsidR="00A72726">
              <w:rPr>
                <w:rFonts w:ascii="Garamond" w:eastAsia="Times New Roman" w:hAnsi="Garamond"/>
                <w:sz w:val="20"/>
                <w:szCs w:val="20"/>
                <w:lang w:eastAsia="en-GB"/>
              </w:rPr>
              <w:t>tuar procesin e vetë</w:t>
            </w:r>
            <w:r w:rsidRPr="00DC66CD">
              <w:rPr>
                <w:rFonts w:ascii="Garamond" w:eastAsia="Times New Roman" w:hAnsi="Garamond"/>
                <w:sz w:val="20"/>
                <w:szCs w:val="20"/>
                <w:lang w:eastAsia="en-GB"/>
              </w:rPr>
              <w:t>vlerësimit.</w:t>
            </w:r>
          </w:p>
          <w:p w14:paraId="35E04CAC" w14:textId="203E6C59" w:rsidR="006F605B" w:rsidRPr="00DC66CD" w:rsidRDefault="006F605B" w:rsidP="00131DA1">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Më shumë se 90 drejtorë ofrues të AFP-së dhe mësimdhënës/ instruktorë janë trajnuar më tej për të zbatuar procesin e vetëvlerësimit.</w:t>
            </w:r>
          </w:p>
          <w:p w14:paraId="78EA2BD6" w14:textId="77777777" w:rsidR="006F605B" w:rsidRPr="00DC66CD" w:rsidRDefault="006F605B" w:rsidP="00131DA1">
            <w:pPr>
              <w:spacing w:after="0" w:line="240" w:lineRule="auto"/>
              <w:jc w:val="both"/>
              <w:rPr>
                <w:rFonts w:ascii="Garamond" w:eastAsia="Times New Roman" w:hAnsi="Garamond"/>
                <w:sz w:val="20"/>
                <w:szCs w:val="20"/>
                <w:lang w:eastAsia="en-GB"/>
              </w:rPr>
            </w:pPr>
            <w:r w:rsidRPr="00DC66CD">
              <w:rPr>
                <w:rFonts w:ascii="Garamond" w:eastAsia="Times New Roman" w:hAnsi="Garamond"/>
                <w:sz w:val="20"/>
                <w:szCs w:val="20"/>
                <w:lang w:eastAsia="en-GB"/>
              </w:rPr>
              <w:t>Vetëvlerësimi i raporteve të pritura, do të përfundojë dhe publikohet në maj 2019.</w:t>
            </w:r>
          </w:p>
        </w:tc>
        <w:tc>
          <w:tcPr>
            <w:tcW w:w="1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A0AA47" w14:textId="77777777" w:rsidR="006F605B" w:rsidRPr="00DC66CD" w:rsidRDefault="006F605B" w:rsidP="00131DA1">
            <w:pPr>
              <w:spacing w:after="0" w:line="240" w:lineRule="auto"/>
              <w:rPr>
                <w:rFonts w:ascii="Garamond" w:eastAsia="Times New Roman" w:hAnsi="Garamond"/>
                <w:sz w:val="20"/>
                <w:szCs w:val="20"/>
                <w:lang w:eastAsia="en-GB"/>
              </w:rPr>
            </w:pPr>
            <w:r w:rsidRPr="00DC66CD">
              <w:rPr>
                <w:rFonts w:ascii="Garamond" w:eastAsia="Times New Roman" w:hAnsi="Garamond"/>
                <w:sz w:val="20"/>
                <w:szCs w:val="20"/>
                <w:lang w:eastAsia="en-GB"/>
              </w:rPr>
              <w:t xml:space="preserve"> </w:t>
            </w:r>
          </w:p>
        </w:tc>
      </w:tr>
    </w:tbl>
    <w:p w14:paraId="78BB145A"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5915"/>
        <w:gridCol w:w="1678"/>
      </w:tblGrid>
      <w:tr w:rsidR="006F605B" w:rsidRPr="00DC66CD" w14:paraId="7FDF11D5" w14:textId="77777777" w:rsidTr="00131DA1">
        <w:tc>
          <w:tcPr>
            <w:tcW w:w="1723" w:type="dxa"/>
            <w:shd w:val="clear" w:color="auto" w:fill="E5DFEC" w:themeFill="accent4" w:themeFillTint="33"/>
          </w:tcPr>
          <w:p w14:paraId="3C08B210" w14:textId="77777777" w:rsidR="006F605B" w:rsidRPr="00DC66CD" w:rsidRDefault="006F605B" w:rsidP="00131DA1">
            <w:pPr>
              <w:snapToGrid w:val="0"/>
              <w:spacing w:after="0" w:line="240" w:lineRule="auto"/>
              <w:rPr>
                <w:rFonts w:ascii="Garamond" w:hAnsi="Garamond" w:cs="Times New Roman"/>
                <w:sz w:val="20"/>
                <w:szCs w:val="20"/>
              </w:rPr>
            </w:pPr>
          </w:p>
        </w:tc>
        <w:tc>
          <w:tcPr>
            <w:tcW w:w="6176" w:type="dxa"/>
            <w:shd w:val="clear" w:color="auto" w:fill="E5DFEC" w:themeFill="accent4" w:themeFillTint="33"/>
          </w:tcPr>
          <w:p w14:paraId="34A3E2E9" w14:textId="77777777" w:rsidR="006F605B" w:rsidRPr="00DC66CD" w:rsidRDefault="006F605B" w:rsidP="00A72726">
            <w:pPr>
              <w:snapToGrid w:val="0"/>
              <w:spacing w:after="0" w:line="240" w:lineRule="auto"/>
              <w:jc w:val="both"/>
              <w:rPr>
                <w:rFonts w:ascii="Garamond" w:hAnsi="Garamond" w:cs="Times New Roman"/>
                <w:b/>
                <w:sz w:val="20"/>
                <w:szCs w:val="20"/>
              </w:rPr>
            </w:pPr>
            <w:r w:rsidRPr="00DC66CD">
              <w:rPr>
                <w:rFonts w:ascii="Garamond" w:hAnsi="Garamond" w:cs="Times New Roman"/>
                <w:b/>
                <w:sz w:val="20"/>
                <w:szCs w:val="20"/>
              </w:rPr>
              <w:t>Përmirësimi i punësueshmërisë të punëkërkuesve të papunë më vulnerabël përmes adresimit më të mirë të PNP-ve dhe shërbimeve të punësimit</w:t>
            </w:r>
          </w:p>
        </w:tc>
        <w:tc>
          <w:tcPr>
            <w:tcW w:w="1723" w:type="dxa"/>
            <w:shd w:val="clear" w:color="auto" w:fill="E5DFEC" w:themeFill="accent4" w:themeFillTint="33"/>
          </w:tcPr>
          <w:p w14:paraId="0E44C8FC" w14:textId="72437044" w:rsidR="006F605B" w:rsidRPr="00A72726" w:rsidRDefault="006F605B" w:rsidP="00131DA1">
            <w:pPr>
              <w:snapToGrid w:val="0"/>
              <w:spacing w:after="0" w:line="240" w:lineRule="auto"/>
              <w:rPr>
                <w:rFonts w:ascii="Garamond" w:hAnsi="Garamond" w:cs="Times New Roman"/>
                <w:b/>
                <w:sz w:val="20"/>
                <w:szCs w:val="20"/>
              </w:rPr>
            </w:pPr>
            <w:r w:rsidRPr="00A72726">
              <w:rPr>
                <w:rFonts w:ascii="Garamond" w:hAnsi="Garamond" w:cs="Times New Roman"/>
                <w:b/>
                <w:sz w:val="20"/>
                <w:szCs w:val="20"/>
              </w:rPr>
              <w:t>Statusi i zbatimit të reformës (1</w:t>
            </w:r>
            <w:r w:rsidR="007206A4" w:rsidRPr="00A72726">
              <w:rPr>
                <w:rFonts w:ascii="Garamond" w:hAnsi="Garamond" w:cs="Times New Roman"/>
                <w:b/>
                <w:sz w:val="20"/>
                <w:szCs w:val="20"/>
              </w:rPr>
              <w:t>–</w:t>
            </w:r>
            <w:r w:rsidRPr="00A72726">
              <w:rPr>
                <w:rFonts w:ascii="Garamond" w:hAnsi="Garamond" w:cs="Times New Roman"/>
                <w:b/>
                <w:sz w:val="20"/>
                <w:szCs w:val="20"/>
              </w:rPr>
              <w:t>5)</w:t>
            </w:r>
          </w:p>
        </w:tc>
      </w:tr>
      <w:tr w:rsidR="006F605B" w:rsidRPr="00DC66CD" w14:paraId="0CB0CF70" w14:textId="77777777" w:rsidTr="00DF4F41">
        <w:trPr>
          <w:trHeight w:hRule="exact" w:val="437"/>
        </w:trPr>
        <w:tc>
          <w:tcPr>
            <w:tcW w:w="1723" w:type="dxa"/>
            <w:vMerge w:val="restart"/>
          </w:tcPr>
          <w:p w14:paraId="2BBC119D" w14:textId="4C0B25DC"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sz w:val="20"/>
                <w:szCs w:val="20"/>
              </w:rPr>
              <w:t>Aktivitetet e planifikuara për 2019</w:t>
            </w:r>
            <w:r w:rsidR="00410E8D">
              <w:rPr>
                <w:rFonts w:ascii="Garamond" w:hAnsi="Garamond" w:cs="Times New Roman"/>
                <w:sz w:val="20"/>
                <w:szCs w:val="20"/>
              </w:rPr>
              <w:t>-ës</w:t>
            </w:r>
          </w:p>
        </w:tc>
        <w:tc>
          <w:tcPr>
            <w:tcW w:w="6176" w:type="dxa"/>
          </w:tcPr>
          <w:p w14:paraId="68FC89FA" w14:textId="77777777" w:rsidR="006F605B" w:rsidRPr="00DC66CD" w:rsidRDefault="006F605B" w:rsidP="00131DA1">
            <w:pPr>
              <w:snapToGrid w:val="0"/>
              <w:spacing w:after="0" w:line="240" w:lineRule="auto"/>
              <w:rPr>
                <w:rFonts w:ascii="Garamond" w:eastAsia="Arial Narrow" w:hAnsi="Garamond" w:cs="Times New Roman"/>
                <w:sz w:val="20"/>
                <w:szCs w:val="20"/>
              </w:rPr>
            </w:pPr>
            <w:r w:rsidRPr="00DC66CD">
              <w:rPr>
                <w:rFonts w:ascii="Garamond" w:eastAsia="Arial Narrow" w:hAnsi="Garamond" w:cs="Times New Roman"/>
                <w:sz w:val="20"/>
                <w:szCs w:val="20"/>
              </w:rPr>
              <w:t>Investimi për rindërtimin dhe riorganizimin e zyrave të punësimit, rajonal dhe lokal.</w:t>
            </w:r>
          </w:p>
        </w:tc>
        <w:tc>
          <w:tcPr>
            <w:tcW w:w="1723" w:type="dxa"/>
          </w:tcPr>
          <w:p w14:paraId="3B4622C6" w14:textId="77777777"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sz w:val="20"/>
                <w:szCs w:val="20"/>
              </w:rPr>
              <w:t>5</w:t>
            </w:r>
          </w:p>
        </w:tc>
      </w:tr>
      <w:tr w:rsidR="006F605B" w:rsidRPr="00DC66CD" w14:paraId="54EEBAF5" w14:textId="77777777" w:rsidTr="00131DA1">
        <w:tc>
          <w:tcPr>
            <w:tcW w:w="1723" w:type="dxa"/>
            <w:vMerge/>
          </w:tcPr>
          <w:p w14:paraId="7612B66E" w14:textId="77777777" w:rsidR="006F605B" w:rsidRPr="00DC66CD" w:rsidRDefault="006F605B" w:rsidP="00131DA1">
            <w:pPr>
              <w:snapToGrid w:val="0"/>
              <w:spacing w:after="0" w:line="240" w:lineRule="auto"/>
              <w:rPr>
                <w:rFonts w:ascii="Garamond" w:hAnsi="Garamond" w:cs="Times New Roman"/>
                <w:sz w:val="20"/>
                <w:szCs w:val="20"/>
              </w:rPr>
            </w:pPr>
          </w:p>
        </w:tc>
        <w:tc>
          <w:tcPr>
            <w:tcW w:w="6176" w:type="dxa"/>
          </w:tcPr>
          <w:p w14:paraId="46ED8363" w14:textId="39C601FA"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sz w:val="20"/>
                <w:szCs w:val="20"/>
              </w:rPr>
              <w:t xml:space="preserve">Ndërmjetësimet e kryera nga </w:t>
            </w:r>
            <w:r w:rsidR="00DF4F41" w:rsidRPr="00DC66CD">
              <w:rPr>
                <w:rFonts w:ascii="Garamond" w:hAnsi="Garamond" w:cs="Times New Roman"/>
                <w:sz w:val="20"/>
                <w:szCs w:val="20"/>
              </w:rPr>
              <w:t>zyrat e punësimit</w:t>
            </w:r>
            <w:r w:rsidRPr="00DC66CD">
              <w:rPr>
                <w:rFonts w:ascii="Garamond" w:hAnsi="Garamond" w:cs="Times New Roman"/>
                <w:sz w:val="20"/>
                <w:szCs w:val="20"/>
              </w:rPr>
              <w:t>.</w:t>
            </w:r>
          </w:p>
        </w:tc>
        <w:tc>
          <w:tcPr>
            <w:tcW w:w="1723" w:type="dxa"/>
          </w:tcPr>
          <w:p w14:paraId="20D63652" w14:textId="77777777"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sz w:val="20"/>
                <w:szCs w:val="20"/>
              </w:rPr>
              <w:t>5</w:t>
            </w:r>
          </w:p>
        </w:tc>
      </w:tr>
      <w:tr w:rsidR="006F605B" w:rsidRPr="00DC66CD" w14:paraId="55DD4A4C" w14:textId="77777777" w:rsidTr="00131DA1">
        <w:trPr>
          <w:trHeight w:val="351"/>
        </w:trPr>
        <w:tc>
          <w:tcPr>
            <w:tcW w:w="1723" w:type="dxa"/>
            <w:vMerge/>
          </w:tcPr>
          <w:p w14:paraId="65873AAB" w14:textId="77777777" w:rsidR="006F605B" w:rsidRPr="00DC66CD" w:rsidRDefault="006F605B" w:rsidP="00131DA1">
            <w:pPr>
              <w:snapToGrid w:val="0"/>
              <w:spacing w:after="0" w:line="240" w:lineRule="auto"/>
              <w:rPr>
                <w:rFonts w:ascii="Garamond" w:hAnsi="Garamond" w:cs="Times New Roman"/>
                <w:sz w:val="20"/>
                <w:szCs w:val="20"/>
              </w:rPr>
            </w:pPr>
          </w:p>
        </w:tc>
        <w:tc>
          <w:tcPr>
            <w:tcW w:w="6176" w:type="dxa"/>
          </w:tcPr>
          <w:p w14:paraId="0FE2A105" w14:textId="77777777" w:rsidR="006F605B" w:rsidRPr="00DC66CD" w:rsidRDefault="006F605B" w:rsidP="00131DA1">
            <w:pPr>
              <w:widowControl w:val="0"/>
              <w:snapToGrid w:val="0"/>
              <w:spacing w:after="0" w:line="240" w:lineRule="auto"/>
              <w:rPr>
                <w:rFonts w:ascii="Garamond" w:eastAsia="Arial Narrow" w:hAnsi="Garamond" w:cs="Times New Roman"/>
                <w:sz w:val="20"/>
                <w:szCs w:val="20"/>
              </w:rPr>
            </w:pPr>
            <w:r w:rsidRPr="00DC66CD">
              <w:rPr>
                <w:rFonts w:ascii="Garamond" w:eastAsia="Arial Narrow" w:hAnsi="Garamond" w:cs="Times New Roman"/>
                <w:sz w:val="20"/>
                <w:szCs w:val="20"/>
              </w:rPr>
              <w:t>Zbatimi i programeve të nxitjes së punësimit.</w:t>
            </w:r>
          </w:p>
        </w:tc>
        <w:tc>
          <w:tcPr>
            <w:tcW w:w="1723" w:type="dxa"/>
          </w:tcPr>
          <w:p w14:paraId="0447E9B4" w14:textId="77777777"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sz w:val="20"/>
                <w:szCs w:val="20"/>
              </w:rPr>
              <w:t>5</w:t>
            </w:r>
          </w:p>
        </w:tc>
      </w:tr>
      <w:tr w:rsidR="006F605B" w:rsidRPr="00DC66CD" w14:paraId="233F7EAC" w14:textId="77777777" w:rsidTr="00131DA1">
        <w:trPr>
          <w:trHeight w:val="378"/>
        </w:trPr>
        <w:tc>
          <w:tcPr>
            <w:tcW w:w="1723" w:type="dxa"/>
            <w:vMerge/>
          </w:tcPr>
          <w:p w14:paraId="25783062" w14:textId="77777777" w:rsidR="006F605B" w:rsidRPr="00DC66CD" w:rsidRDefault="006F605B" w:rsidP="00131DA1">
            <w:pPr>
              <w:snapToGrid w:val="0"/>
              <w:spacing w:after="0" w:line="240" w:lineRule="auto"/>
              <w:rPr>
                <w:rFonts w:ascii="Garamond" w:hAnsi="Garamond" w:cs="Times New Roman"/>
                <w:sz w:val="20"/>
                <w:szCs w:val="20"/>
              </w:rPr>
            </w:pPr>
          </w:p>
        </w:tc>
        <w:tc>
          <w:tcPr>
            <w:tcW w:w="6176" w:type="dxa"/>
          </w:tcPr>
          <w:p w14:paraId="0EE4F33A" w14:textId="7106ADDF" w:rsidR="006F605B" w:rsidRPr="00DC66CD" w:rsidRDefault="006F605B" w:rsidP="00131DA1">
            <w:pPr>
              <w:snapToGrid w:val="0"/>
              <w:spacing w:after="0" w:line="240" w:lineRule="auto"/>
              <w:rPr>
                <w:rFonts w:ascii="Garamond" w:eastAsia="Arial Narrow" w:hAnsi="Garamond" w:cs="Times New Roman"/>
                <w:sz w:val="20"/>
                <w:szCs w:val="20"/>
              </w:rPr>
            </w:pPr>
            <w:r w:rsidRPr="00DC66CD">
              <w:rPr>
                <w:rFonts w:ascii="Garamond" w:eastAsia="Arial Narrow" w:hAnsi="Garamond" w:cs="Times New Roman"/>
                <w:sz w:val="20"/>
                <w:szCs w:val="20"/>
              </w:rPr>
              <w:t xml:space="preserve">Trajnim në </w:t>
            </w:r>
            <w:r w:rsidR="00DF4F41" w:rsidRPr="00DC66CD">
              <w:rPr>
                <w:rFonts w:ascii="Garamond" w:eastAsia="Arial Narrow" w:hAnsi="Garamond" w:cs="Times New Roman"/>
                <w:sz w:val="20"/>
                <w:szCs w:val="20"/>
              </w:rPr>
              <w:t>qendrat e formimit profesional publik</w:t>
            </w:r>
            <w:r w:rsidRPr="00DC66CD">
              <w:rPr>
                <w:rFonts w:ascii="Garamond" w:eastAsia="Arial Narrow" w:hAnsi="Garamond" w:cs="Times New Roman"/>
                <w:sz w:val="20"/>
                <w:szCs w:val="20"/>
              </w:rPr>
              <w:t>.</w:t>
            </w:r>
          </w:p>
        </w:tc>
        <w:tc>
          <w:tcPr>
            <w:tcW w:w="1723" w:type="dxa"/>
          </w:tcPr>
          <w:p w14:paraId="0053A076" w14:textId="77777777"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sz w:val="20"/>
                <w:szCs w:val="20"/>
              </w:rPr>
              <w:t>5</w:t>
            </w:r>
          </w:p>
        </w:tc>
      </w:tr>
      <w:tr w:rsidR="006F605B" w:rsidRPr="00DC66CD" w14:paraId="1BA55278" w14:textId="77777777" w:rsidTr="00131DA1">
        <w:trPr>
          <w:trHeight w:val="333"/>
        </w:trPr>
        <w:tc>
          <w:tcPr>
            <w:tcW w:w="1723" w:type="dxa"/>
            <w:vMerge/>
          </w:tcPr>
          <w:p w14:paraId="55EB61FA" w14:textId="77777777" w:rsidR="006F605B" w:rsidRPr="00DC66CD" w:rsidRDefault="006F605B" w:rsidP="00131DA1">
            <w:pPr>
              <w:snapToGrid w:val="0"/>
              <w:spacing w:after="0" w:line="240" w:lineRule="auto"/>
              <w:rPr>
                <w:rFonts w:ascii="Garamond" w:hAnsi="Garamond" w:cs="Times New Roman"/>
                <w:sz w:val="20"/>
                <w:szCs w:val="20"/>
              </w:rPr>
            </w:pPr>
          </w:p>
        </w:tc>
        <w:tc>
          <w:tcPr>
            <w:tcW w:w="6176" w:type="dxa"/>
          </w:tcPr>
          <w:p w14:paraId="421AA5B6" w14:textId="77777777" w:rsidR="006F605B" w:rsidRPr="00DC66CD" w:rsidRDefault="006F605B" w:rsidP="00131DA1">
            <w:pPr>
              <w:widowControl w:val="0"/>
              <w:snapToGrid w:val="0"/>
              <w:spacing w:after="0" w:line="240" w:lineRule="auto"/>
              <w:rPr>
                <w:rFonts w:ascii="Garamond" w:eastAsia="Arial Narrow" w:hAnsi="Garamond" w:cs="Times New Roman"/>
                <w:sz w:val="20"/>
                <w:szCs w:val="20"/>
              </w:rPr>
            </w:pPr>
            <w:r w:rsidRPr="00DC66CD">
              <w:rPr>
                <w:rFonts w:ascii="Garamond" w:eastAsia="Arial Narrow" w:hAnsi="Garamond" w:cs="Times New Roman"/>
                <w:sz w:val="20"/>
                <w:szCs w:val="20"/>
              </w:rPr>
              <w:t>Përfitues të pagesës së papunësisë.</w:t>
            </w:r>
          </w:p>
        </w:tc>
        <w:tc>
          <w:tcPr>
            <w:tcW w:w="1723" w:type="dxa"/>
          </w:tcPr>
          <w:p w14:paraId="1354148E" w14:textId="77777777"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sz w:val="20"/>
                <w:szCs w:val="20"/>
              </w:rPr>
              <w:t>5</w:t>
            </w:r>
          </w:p>
        </w:tc>
      </w:tr>
      <w:tr w:rsidR="006F605B" w:rsidRPr="00DC66CD" w14:paraId="291C8D15" w14:textId="77777777" w:rsidTr="00131DA1">
        <w:tc>
          <w:tcPr>
            <w:tcW w:w="1723" w:type="dxa"/>
            <w:vMerge w:val="restart"/>
          </w:tcPr>
          <w:p w14:paraId="305998FD" w14:textId="77777777"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sz w:val="20"/>
                <w:szCs w:val="20"/>
              </w:rPr>
              <w:t>Përshkrimi i zbatimit dhe sqarime nëse ka zbatim të pjesshëm apo pa zbatim</w:t>
            </w:r>
          </w:p>
        </w:tc>
        <w:tc>
          <w:tcPr>
            <w:tcW w:w="6176" w:type="dxa"/>
          </w:tcPr>
          <w:p w14:paraId="784F021D" w14:textId="79A46BB3" w:rsidR="006F605B" w:rsidRPr="00DC66CD" w:rsidRDefault="006F605B" w:rsidP="00131DA1">
            <w:pPr>
              <w:spacing w:after="0" w:line="240" w:lineRule="auto"/>
              <w:rPr>
                <w:rFonts w:ascii="Garamond" w:hAnsi="Garamond" w:cs="Times New Roman"/>
                <w:color w:val="0D0D0D" w:themeColor="text1" w:themeTint="F2"/>
                <w:sz w:val="20"/>
                <w:szCs w:val="20"/>
              </w:rPr>
            </w:pPr>
            <w:r w:rsidRPr="00DC66CD">
              <w:rPr>
                <w:rFonts w:ascii="Garamond" w:eastAsia="Arial Narrow" w:hAnsi="Garamond" w:cs="Times New Roman"/>
                <w:color w:val="0D0D0D" w:themeColor="text1" w:themeTint="F2"/>
                <w:sz w:val="20"/>
                <w:szCs w:val="20"/>
              </w:rPr>
              <w:t>1.</w:t>
            </w:r>
            <w:r w:rsidR="00410E8D">
              <w:rPr>
                <w:rFonts w:ascii="Garamond" w:eastAsia="Arial Narrow" w:hAnsi="Garamond" w:cs="Times New Roman"/>
                <w:color w:val="0D0D0D" w:themeColor="text1" w:themeTint="F2"/>
                <w:sz w:val="20"/>
                <w:szCs w:val="20"/>
              </w:rPr>
              <w:t xml:space="preserve"> </w:t>
            </w:r>
            <w:r w:rsidRPr="00DC66CD">
              <w:rPr>
                <w:rFonts w:ascii="Garamond" w:eastAsia="Arial Narrow" w:hAnsi="Garamond" w:cs="Times New Roman"/>
                <w:color w:val="0D0D0D" w:themeColor="text1" w:themeTint="F2"/>
                <w:sz w:val="20"/>
                <w:szCs w:val="20"/>
              </w:rPr>
              <w:t>Investimi për rindërtimin dhe riorganizimin e zyrave të punësimit, rajonal dhe lokal</w:t>
            </w:r>
          </w:p>
          <w:p w14:paraId="0A111B6F" w14:textId="750765DD" w:rsidR="006F605B" w:rsidRPr="00DC66CD" w:rsidRDefault="006F605B" w:rsidP="00131DA1">
            <w:pPr>
              <w:spacing w:after="0" w:line="240" w:lineRule="auto"/>
              <w:rPr>
                <w:rFonts w:ascii="Garamond" w:hAnsi="Garamond" w:cs="Times New Roman"/>
                <w:color w:val="0D0D0D" w:themeColor="text1" w:themeTint="F2"/>
                <w:sz w:val="20"/>
                <w:szCs w:val="20"/>
              </w:rPr>
            </w:pPr>
            <w:r w:rsidRPr="00DC66CD">
              <w:rPr>
                <w:rFonts w:ascii="Garamond" w:hAnsi="Garamond" w:cs="Times New Roman"/>
                <w:color w:val="0D0D0D" w:themeColor="text1" w:themeTint="F2"/>
                <w:sz w:val="20"/>
                <w:szCs w:val="20"/>
              </w:rPr>
              <w:t>38 zyra / degë janë ristrukturuar dhe organizuar që nga fillimi i reformës (2014), duke ofruar modelin me tr</w:t>
            </w:r>
            <w:r w:rsidR="00276B1A" w:rsidRPr="00DC66CD">
              <w:rPr>
                <w:rFonts w:ascii="Garamond" w:hAnsi="Garamond" w:cs="Times New Roman"/>
                <w:color w:val="0D0D0D" w:themeColor="text1" w:themeTint="F2"/>
                <w:sz w:val="20"/>
                <w:szCs w:val="20"/>
              </w:rPr>
              <w:t>i</w:t>
            </w:r>
            <w:r w:rsidRPr="00DC66CD">
              <w:rPr>
                <w:rFonts w:ascii="Garamond" w:hAnsi="Garamond" w:cs="Times New Roman"/>
                <w:color w:val="0D0D0D" w:themeColor="text1" w:themeTint="F2"/>
                <w:sz w:val="20"/>
                <w:szCs w:val="20"/>
              </w:rPr>
              <w:t xml:space="preserve"> nivele të shërbimeve të punësimit.</w:t>
            </w:r>
          </w:p>
          <w:p w14:paraId="4D561F68" w14:textId="62B8495A" w:rsidR="006F605B" w:rsidRPr="00DC66CD" w:rsidRDefault="006F605B" w:rsidP="00410E8D">
            <w:pPr>
              <w:spacing w:after="0" w:line="240" w:lineRule="auto"/>
              <w:jc w:val="both"/>
              <w:rPr>
                <w:rFonts w:ascii="Garamond" w:hAnsi="Garamond" w:cs="Times New Roman"/>
                <w:color w:val="0D0D0D" w:themeColor="text1" w:themeTint="F2"/>
                <w:sz w:val="20"/>
                <w:szCs w:val="20"/>
              </w:rPr>
            </w:pPr>
            <w:r w:rsidRPr="00DC66CD">
              <w:rPr>
                <w:rFonts w:ascii="Garamond" w:hAnsi="Garamond" w:cs="Times New Roman"/>
                <w:color w:val="0D0D0D" w:themeColor="text1" w:themeTint="F2"/>
                <w:sz w:val="20"/>
                <w:szCs w:val="20"/>
              </w:rPr>
              <w:t xml:space="preserve">2019 ka shënuar një përmirësim të ndjeshëm në politikat e zhvillimit të punësimit dhe aftësive, si dhe në kornizën ligjore dhe institucionale që qeveris sektorin. Pas rishikimit afatmesëm të Strategjisë Kombëtare për Punësim dhe Aftësi </w:t>
            </w:r>
            <w:r w:rsidR="00433A3A" w:rsidRPr="00DC66CD">
              <w:rPr>
                <w:rFonts w:ascii="Garamond" w:hAnsi="Garamond" w:cs="Times New Roman"/>
                <w:color w:val="0D0D0D" w:themeColor="text1" w:themeTint="F2"/>
                <w:sz w:val="20"/>
                <w:szCs w:val="20"/>
              </w:rPr>
              <w:t>2014–</w:t>
            </w:r>
            <w:r w:rsidRPr="00DC66CD">
              <w:rPr>
                <w:rFonts w:ascii="Garamond" w:hAnsi="Garamond" w:cs="Times New Roman"/>
                <w:color w:val="0D0D0D" w:themeColor="text1" w:themeTint="F2"/>
                <w:sz w:val="20"/>
                <w:szCs w:val="20"/>
              </w:rPr>
              <w:t>2020, strategjia dhe plani i saj i veprimit janë rishikuar dhe zgjatur afati deri në vitin 2022 (siç është miratuar me një Vendim të Këshillit të Ministrave nr.</w:t>
            </w:r>
            <w:r w:rsidR="00410E8D">
              <w:rPr>
                <w:rFonts w:ascii="Garamond" w:hAnsi="Garamond" w:cs="Times New Roman"/>
                <w:color w:val="0D0D0D" w:themeColor="text1" w:themeTint="F2"/>
                <w:sz w:val="20"/>
                <w:szCs w:val="20"/>
              </w:rPr>
              <w:t xml:space="preserve"> </w:t>
            </w:r>
            <w:r w:rsidRPr="00DC66CD">
              <w:rPr>
                <w:rFonts w:ascii="Garamond" w:hAnsi="Garamond" w:cs="Times New Roman"/>
                <w:color w:val="0D0D0D" w:themeColor="text1" w:themeTint="F2"/>
                <w:sz w:val="20"/>
                <w:szCs w:val="20"/>
              </w:rPr>
              <w:t>659, datë 10.10.2019.</w:t>
            </w:r>
            <w:r w:rsidR="0072211B" w:rsidRPr="00DC66CD">
              <w:rPr>
                <w:rFonts w:ascii="Garamond" w:hAnsi="Garamond" w:cs="Times New Roman"/>
                <w:color w:val="0D0D0D" w:themeColor="text1" w:themeTint="F2"/>
                <w:sz w:val="20"/>
                <w:szCs w:val="20"/>
              </w:rPr>
              <w:t xml:space="preserve"> </w:t>
            </w:r>
            <w:r w:rsidRPr="00DC66CD">
              <w:rPr>
                <w:rFonts w:ascii="Times New Roman" w:hAnsi="Times New Roman" w:cs="Times New Roman"/>
                <w:color w:val="0D0D0D" w:themeColor="text1" w:themeTint="F2"/>
                <w:sz w:val="20"/>
                <w:szCs w:val="20"/>
              </w:rPr>
              <w:t>Ҫ</w:t>
            </w:r>
            <w:r w:rsidRPr="00DC66CD">
              <w:rPr>
                <w:rFonts w:ascii="Garamond" w:hAnsi="Garamond" w:cs="Times New Roman"/>
                <w:color w:val="0D0D0D" w:themeColor="text1" w:themeTint="F2"/>
                <w:sz w:val="20"/>
                <w:szCs w:val="20"/>
              </w:rPr>
              <w:t>do mas</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 xml:space="preserve"> do t</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 xml:space="preserve"> zbatohet nga mb</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shtetja e parashikuar n</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 xml:space="preserve"> Kontrat</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n e Reform</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s Sektoriale, si dhe nga projektet e donator</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ve.</w:t>
            </w:r>
          </w:p>
          <w:p w14:paraId="7BFFA774" w14:textId="38B1367A" w:rsidR="006F605B" w:rsidRPr="00DC66CD" w:rsidRDefault="006F605B" w:rsidP="00410E8D">
            <w:pPr>
              <w:spacing w:after="0" w:line="240" w:lineRule="auto"/>
              <w:jc w:val="both"/>
              <w:rPr>
                <w:rFonts w:ascii="Garamond" w:hAnsi="Garamond" w:cs="Times New Roman"/>
                <w:color w:val="0D0D0D" w:themeColor="text1" w:themeTint="F2"/>
                <w:sz w:val="20"/>
                <w:szCs w:val="20"/>
              </w:rPr>
            </w:pPr>
            <w:r w:rsidRPr="00DC66CD">
              <w:rPr>
                <w:rFonts w:ascii="Garamond" w:hAnsi="Garamond" w:cs="Times New Roman"/>
                <w:color w:val="0D0D0D" w:themeColor="text1" w:themeTint="F2"/>
                <w:sz w:val="20"/>
                <w:szCs w:val="20"/>
              </w:rPr>
              <w:t xml:space="preserve">Miratimi i ligjit </w:t>
            </w:r>
            <w:r w:rsidR="00410E8D" w:rsidRPr="00DC66CD">
              <w:rPr>
                <w:rFonts w:ascii="Garamond" w:hAnsi="Garamond" w:cs="Times New Roman"/>
                <w:color w:val="0D0D0D" w:themeColor="text1" w:themeTint="F2"/>
                <w:sz w:val="20"/>
                <w:szCs w:val="20"/>
              </w:rPr>
              <w:t>nr.</w:t>
            </w:r>
            <w:r w:rsidR="00410E8D">
              <w:rPr>
                <w:rFonts w:ascii="Garamond" w:hAnsi="Garamond" w:cs="Times New Roman"/>
                <w:color w:val="0D0D0D" w:themeColor="text1" w:themeTint="F2"/>
                <w:sz w:val="20"/>
                <w:szCs w:val="20"/>
              </w:rPr>
              <w:t xml:space="preserve"> 15/</w:t>
            </w:r>
            <w:r w:rsidRPr="00DC66CD">
              <w:rPr>
                <w:rFonts w:ascii="Garamond" w:hAnsi="Garamond" w:cs="Times New Roman"/>
                <w:color w:val="0D0D0D" w:themeColor="text1" w:themeTint="F2"/>
                <w:sz w:val="20"/>
                <w:szCs w:val="20"/>
              </w:rPr>
              <w:t>2019</w:t>
            </w:r>
            <w:r w:rsidR="00410E8D">
              <w:rPr>
                <w:rFonts w:ascii="Garamond" w:hAnsi="Garamond" w:cs="Times New Roman"/>
                <w:color w:val="0D0D0D" w:themeColor="text1" w:themeTint="F2"/>
                <w:sz w:val="20"/>
                <w:szCs w:val="20"/>
              </w:rPr>
              <w:t>,</w:t>
            </w:r>
            <w:r w:rsidRPr="00DC66CD">
              <w:rPr>
                <w:rFonts w:ascii="Garamond" w:hAnsi="Garamond" w:cs="Times New Roman"/>
                <w:color w:val="0D0D0D" w:themeColor="text1" w:themeTint="F2"/>
                <w:sz w:val="20"/>
                <w:szCs w:val="20"/>
              </w:rPr>
              <w:t xml:space="preserve"> </w:t>
            </w:r>
            <w:r w:rsidR="002A29AD" w:rsidRPr="00DC66CD">
              <w:rPr>
                <w:rFonts w:ascii="Garamond" w:hAnsi="Garamond" w:cs="Times New Roman"/>
                <w:color w:val="0D0D0D" w:themeColor="text1" w:themeTint="F2"/>
                <w:sz w:val="20"/>
                <w:szCs w:val="20"/>
              </w:rPr>
              <w:t>“</w:t>
            </w:r>
            <w:r w:rsidRPr="00DC66CD">
              <w:rPr>
                <w:rFonts w:ascii="Garamond" w:hAnsi="Garamond" w:cs="Times New Roman"/>
                <w:color w:val="0D0D0D" w:themeColor="text1" w:themeTint="F2"/>
                <w:sz w:val="20"/>
                <w:szCs w:val="20"/>
              </w:rPr>
              <w:t xml:space="preserve">Për nxitjen e </w:t>
            </w:r>
            <w:r w:rsidR="00410E8D" w:rsidRPr="00DC66CD">
              <w:rPr>
                <w:rFonts w:ascii="Garamond" w:hAnsi="Garamond" w:cs="Times New Roman"/>
                <w:color w:val="0D0D0D" w:themeColor="text1" w:themeTint="F2"/>
                <w:sz w:val="20"/>
                <w:szCs w:val="20"/>
              </w:rPr>
              <w:t>punësimit</w:t>
            </w:r>
            <w:r w:rsidR="002A29AD" w:rsidRPr="00DC66CD">
              <w:rPr>
                <w:rFonts w:ascii="Garamond" w:hAnsi="Garamond" w:cs="Times New Roman"/>
                <w:color w:val="0D0D0D" w:themeColor="text1" w:themeTint="F2"/>
                <w:sz w:val="20"/>
                <w:szCs w:val="20"/>
              </w:rPr>
              <w:t>”</w:t>
            </w:r>
            <w:r w:rsidRPr="00DC66CD">
              <w:rPr>
                <w:rFonts w:ascii="Garamond" w:hAnsi="Garamond" w:cs="Times New Roman"/>
                <w:color w:val="0D0D0D" w:themeColor="text1" w:themeTint="F2"/>
                <w:sz w:val="20"/>
                <w:szCs w:val="20"/>
              </w:rPr>
              <w:t xml:space="preserve"> në </w:t>
            </w:r>
            <w:r w:rsidR="00410E8D" w:rsidRPr="00DC66CD">
              <w:rPr>
                <w:rFonts w:ascii="Garamond" w:hAnsi="Garamond" w:cs="Times New Roman"/>
                <w:color w:val="0D0D0D" w:themeColor="text1" w:themeTint="F2"/>
                <w:sz w:val="20"/>
                <w:szCs w:val="20"/>
              </w:rPr>
              <w:t xml:space="preserve">mars </w:t>
            </w:r>
            <w:r w:rsidRPr="00DC66CD">
              <w:rPr>
                <w:rFonts w:ascii="Garamond" w:hAnsi="Garamond" w:cs="Times New Roman"/>
                <w:color w:val="0D0D0D" w:themeColor="text1" w:themeTint="F2"/>
                <w:sz w:val="20"/>
                <w:szCs w:val="20"/>
              </w:rPr>
              <w:t>2019, përfundoi kornizën</w:t>
            </w:r>
            <w:r w:rsidR="00410E8D">
              <w:rPr>
                <w:rFonts w:ascii="Garamond" w:hAnsi="Garamond" w:cs="Times New Roman"/>
                <w:color w:val="0D0D0D" w:themeColor="text1" w:themeTint="F2"/>
                <w:sz w:val="20"/>
                <w:szCs w:val="20"/>
              </w:rPr>
              <w:t xml:space="preserve"> ligjore që lidhet me politikat</w:t>
            </w:r>
            <w:r w:rsidRPr="00DC66CD">
              <w:rPr>
                <w:rFonts w:ascii="Garamond" w:hAnsi="Garamond" w:cs="Times New Roman"/>
                <w:color w:val="0D0D0D" w:themeColor="text1" w:themeTint="F2"/>
                <w:sz w:val="20"/>
                <w:szCs w:val="20"/>
              </w:rPr>
              <w:t xml:space="preserve">/programet e punësimit dhe zhvillimin e aftësive (aktet nënligjore janë duke u hartuar). Më e rëndësishmja është se ajo ka krijuar hapësirë </w:t>
            </w:r>
            <w:r w:rsidRPr="00DC66CD">
              <w:rPr>
                <w:rFonts w:ascii="Times New Roman" w:hAnsi="Times New Roman" w:cs="Times New Roman"/>
                <w:color w:val="0D0D0D" w:themeColor="text1" w:themeTint="F2"/>
                <w:sz w:val="20"/>
                <w:szCs w:val="20"/>
              </w:rPr>
              <w:t>​​</w:t>
            </w:r>
            <w:r w:rsidRPr="00DC66CD">
              <w:rPr>
                <w:rFonts w:ascii="Garamond" w:hAnsi="Garamond" w:cs="Times New Roman"/>
                <w:color w:val="0D0D0D" w:themeColor="text1" w:themeTint="F2"/>
                <w:sz w:val="20"/>
                <w:szCs w:val="20"/>
              </w:rPr>
              <w:t>t</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 xml:space="preserve"> bollshme p</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 xml:space="preserve">r diversifikimin e </w:t>
            </w:r>
            <w:r w:rsidR="00410E8D" w:rsidRPr="00DC66CD">
              <w:rPr>
                <w:rFonts w:ascii="Garamond" w:hAnsi="Garamond" w:cs="Times New Roman"/>
                <w:color w:val="0D0D0D" w:themeColor="text1" w:themeTint="F2"/>
                <w:sz w:val="20"/>
                <w:szCs w:val="20"/>
              </w:rPr>
              <w:t xml:space="preserve">programeve </w:t>
            </w:r>
            <w:r w:rsidRPr="00DC66CD">
              <w:rPr>
                <w:rFonts w:ascii="Garamond" w:hAnsi="Garamond" w:cs="Times New Roman"/>
                <w:color w:val="0D0D0D" w:themeColor="text1" w:themeTint="F2"/>
                <w:sz w:val="20"/>
                <w:szCs w:val="20"/>
              </w:rPr>
              <w:t>t</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 xml:space="preserve"> nxitjes s</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 xml:space="preserve"> pun</w:t>
            </w:r>
            <w:r w:rsidRPr="00DC66CD">
              <w:rPr>
                <w:rFonts w:ascii="Garamond" w:hAnsi="Garamond" w:cs="Garamond"/>
                <w:color w:val="0D0D0D" w:themeColor="text1" w:themeTint="F2"/>
                <w:sz w:val="20"/>
                <w:szCs w:val="20"/>
              </w:rPr>
              <w:t>ë</w:t>
            </w:r>
            <w:r w:rsidRPr="00DC66CD">
              <w:rPr>
                <w:rFonts w:ascii="Garamond" w:hAnsi="Garamond" w:cs="Times New Roman"/>
                <w:color w:val="0D0D0D" w:themeColor="text1" w:themeTint="F2"/>
                <w:sz w:val="20"/>
                <w:szCs w:val="20"/>
              </w:rPr>
              <w:t>simit (PNP-ve) dhe shërbimeve të punësimit, vendosi ofruesit e punësimit, arsimit profesional dhe formimit nën menaxhimin e Agjencisë Kombëtare të Punësimit dhe Aftësive (AKPA), dhe krijimin e një Fondi Social të Punësimit (për punësimin dhe aftësimin e personave me aftësi të kufizuara). Këshilli i Ministrave miratoi me VKM</w:t>
            </w:r>
            <w:r w:rsidR="00410E8D">
              <w:rPr>
                <w:rFonts w:ascii="Garamond" w:hAnsi="Garamond" w:cs="Times New Roman"/>
                <w:color w:val="0D0D0D" w:themeColor="text1" w:themeTint="F2"/>
                <w:sz w:val="20"/>
                <w:szCs w:val="20"/>
              </w:rPr>
              <w:t>-në</w:t>
            </w:r>
            <w:r w:rsidRPr="00DC66CD">
              <w:rPr>
                <w:rFonts w:ascii="Garamond" w:hAnsi="Garamond" w:cs="Times New Roman"/>
                <w:color w:val="0D0D0D" w:themeColor="text1" w:themeTint="F2"/>
                <w:sz w:val="20"/>
                <w:szCs w:val="20"/>
              </w:rPr>
              <w:t xml:space="preserve"> 554/2019</w:t>
            </w:r>
            <w:r w:rsidR="00410E8D">
              <w:rPr>
                <w:rFonts w:ascii="Garamond" w:hAnsi="Garamond" w:cs="Times New Roman"/>
                <w:color w:val="0D0D0D" w:themeColor="text1" w:themeTint="F2"/>
                <w:sz w:val="20"/>
                <w:szCs w:val="20"/>
              </w:rPr>
              <w:t>,</w:t>
            </w:r>
            <w:r w:rsidRPr="00DC66CD">
              <w:rPr>
                <w:rFonts w:ascii="Garamond" w:hAnsi="Garamond" w:cs="Times New Roman"/>
                <w:color w:val="0D0D0D" w:themeColor="text1" w:themeTint="F2"/>
                <w:sz w:val="20"/>
                <w:szCs w:val="20"/>
              </w:rPr>
              <w:t xml:space="preserve"> </w:t>
            </w:r>
            <w:r w:rsidR="002A29AD" w:rsidRPr="00DC66CD">
              <w:rPr>
                <w:rFonts w:ascii="Garamond" w:hAnsi="Garamond" w:cs="Times New Roman"/>
                <w:color w:val="0D0D0D" w:themeColor="text1" w:themeTint="F2"/>
                <w:sz w:val="20"/>
                <w:szCs w:val="20"/>
              </w:rPr>
              <w:t>“</w:t>
            </w:r>
            <w:r w:rsidRPr="00DC66CD">
              <w:rPr>
                <w:rFonts w:ascii="Garamond" w:hAnsi="Garamond" w:cs="Times New Roman"/>
                <w:color w:val="0D0D0D" w:themeColor="text1" w:themeTint="F2"/>
                <w:sz w:val="20"/>
                <w:szCs w:val="20"/>
              </w:rPr>
              <w:t>Për mënyrën e organizimit dhe funksionimit të Agjencisë Kombëtare të Punësimit dhe Aftësive (AKPA)</w:t>
            </w:r>
            <w:r w:rsidR="002A29AD" w:rsidRPr="00DC66CD">
              <w:rPr>
                <w:rFonts w:ascii="Garamond" w:hAnsi="Garamond" w:cs="Times New Roman"/>
                <w:color w:val="0D0D0D" w:themeColor="text1" w:themeTint="F2"/>
                <w:sz w:val="20"/>
                <w:szCs w:val="20"/>
              </w:rPr>
              <w:t>”</w:t>
            </w:r>
            <w:r w:rsidRPr="00DC66CD">
              <w:rPr>
                <w:rFonts w:ascii="Garamond" w:hAnsi="Garamond" w:cs="Times New Roman"/>
                <w:color w:val="0D0D0D" w:themeColor="text1" w:themeTint="F2"/>
                <w:sz w:val="20"/>
                <w:szCs w:val="20"/>
              </w:rPr>
              <w:t>dhe struktura e propozuar e Agjencisë së re parashikon një rritje të konsiderueshme të burimeve njerëzore në nivel qendror. Sidoqoftë, sfida e zgjerimit të shërbimeve në zonat e pambuluara mbetet.</w:t>
            </w:r>
          </w:p>
        </w:tc>
        <w:tc>
          <w:tcPr>
            <w:tcW w:w="1723" w:type="dxa"/>
          </w:tcPr>
          <w:p w14:paraId="19C802B5" w14:textId="77777777" w:rsidR="006F605B" w:rsidRPr="00DC66CD" w:rsidRDefault="006F605B" w:rsidP="00131DA1">
            <w:pPr>
              <w:snapToGrid w:val="0"/>
              <w:spacing w:after="0" w:line="240" w:lineRule="auto"/>
              <w:rPr>
                <w:rFonts w:ascii="Garamond" w:hAnsi="Garamond" w:cs="Times New Roman"/>
                <w:sz w:val="20"/>
                <w:szCs w:val="20"/>
              </w:rPr>
            </w:pPr>
          </w:p>
        </w:tc>
      </w:tr>
      <w:tr w:rsidR="006F605B" w:rsidRPr="00DC66CD" w14:paraId="4CCF82D0" w14:textId="77777777" w:rsidTr="00131DA1">
        <w:tc>
          <w:tcPr>
            <w:tcW w:w="1723" w:type="dxa"/>
            <w:vMerge/>
          </w:tcPr>
          <w:p w14:paraId="475D225D" w14:textId="77777777" w:rsidR="006F605B" w:rsidRPr="00DC66CD" w:rsidRDefault="006F605B" w:rsidP="00131DA1">
            <w:pPr>
              <w:snapToGrid w:val="0"/>
              <w:spacing w:after="0" w:line="240" w:lineRule="auto"/>
              <w:rPr>
                <w:rFonts w:ascii="Garamond" w:hAnsi="Garamond" w:cs="Times New Roman"/>
                <w:sz w:val="20"/>
                <w:szCs w:val="20"/>
              </w:rPr>
            </w:pPr>
          </w:p>
        </w:tc>
        <w:tc>
          <w:tcPr>
            <w:tcW w:w="6176" w:type="dxa"/>
          </w:tcPr>
          <w:p w14:paraId="5AFC2B6A" w14:textId="1BE228F5" w:rsidR="006F605B" w:rsidRPr="00DC66CD" w:rsidRDefault="006F605B" w:rsidP="00131DA1">
            <w:pPr>
              <w:spacing w:after="0" w:line="240" w:lineRule="auto"/>
              <w:rPr>
                <w:rFonts w:ascii="Garamond" w:hAnsi="Garamond" w:cs="Times New Roman"/>
                <w:color w:val="0D0D0D" w:themeColor="text1" w:themeTint="F2"/>
                <w:sz w:val="20"/>
                <w:szCs w:val="20"/>
              </w:rPr>
            </w:pPr>
            <w:r w:rsidRPr="00DC66CD">
              <w:rPr>
                <w:rFonts w:ascii="Garamond" w:hAnsi="Garamond" w:cs="Times New Roman"/>
                <w:color w:val="0D0D0D" w:themeColor="text1" w:themeTint="F2"/>
                <w:sz w:val="20"/>
                <w:szCs w:val="20"/>
              </w:rPr>
              <w:t>2.</w:t>
            </w:r>
            <w:r w:rsidRPr="00DC66CD">
              <w:rPr>
                <w:rFonts w:ascii="Garamond" w:hAnsi="Garamond" w:cs="Times New Roman"/>
                <w:sz w:val="20"/>
                <w:szCs w:val="20"/>
              </w:rPr>
              <w:t xml:space="preserve"> </w:t>
            </w:r>
            <w:r w:rsidRPr="00DC66CD">
              <w:rPr>
                <w:rFonts w:ascii="Garamond" w:hAnsi="Garamond" w:cs="Times New Roman"/>
                <w:color w:val="0D0D0D" w:themeColor="text1" w:themeTint="F2"/>
                <w:sz w:val="20"/>
                <w:szCs w:val="20"/>
              </w:rPr>
              <w:t xml:space="preserve">Ndërmjetësimet e kryera nga </w:t>
            </w:r>
            <w:r w:rsidR="00410E8D" w:rsidRPr="00DC66CD">
              <w:rPr>
                <w:rFonts w:ascii="Garamond" w:hAnsi="Garamond" w:cs="Times New Roman"/>
                <w:color w:val="0D0D0D" w:themeColor="text1" w:themeTint="F2"/>
                <w:sz w:val="20"/>
                <w:szCs w:val="20"/>
              </w:rPr>
              <w:t>zyrat e punësimit</w:t>
            </w:r>
          </w:p>
          <w:p w14:paraId="171A755A" w14:textId="24F2BABC"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color w:val="0D0D0D" w:themeColor="text1" w:themeTint="F2"/>
                <w:sz w:val="20"/>
                <w:szCs w:val="20"/>
              </w:rPr>
              <w:t>Gjatë vitit 2018 janë punësuar 32.846 punëkërkues të papunë, prej tyre 46% janë gra. Ky rezultat u arrit përmes zbatimit të një modeli të ri të shërbimeve të punësimit në zyrat e punësimit.</w:t>
            </w:r>
            <w:r w:rsidRPr="00DC66CD">
              <w:rPr>
                <w:rFonts w:ascii="Garamond" w:hAnsi="Garamond" w:cs="Times New Roman"/>
                <w:sz w:val="20"/>
                <w:szCs w:val="20"/>
              </w:rPr>
              <w:t xml:space="preserve"> </w:t>
            </w:r>
            <w:r w:rsidRPr="00DC66CD">
              <w:rPr>
                <w:rFonts w:ascii="Garamond" w:hAnsi="Garamond" w:cs="Times New Roman"/>
                <w:color w:val="0D0D0D" w:themeColor="text1" w:themeTint="F2"/>
                <w:sz w:val="20"/>
                <w:szCs w:val="20"/>
              </w:rPr>
              <w:t xml:space="preserve">Gjatë </w:t>
            </w:r>
            <w:r w:rsidR="00410E8D" w:rsidRPr="00DC66CD">
              <w:rPr>
                <w:rFonts w:ascii="Garamond" w:hAnsi="Garamond" w:cs="Times New Roman"/>
                <w:color w:val="0D0D0D" w:themeColor="text1" w:themeTint="F2"/>
                <w:sz w:val="20"/>
                <w:szCs w:val="20"/>
              </w:rPr>
              <w:t>periudhës janar</w:t>
            </w:r>
            <w:r w:rsidR="00410E8D">
              <w:rPr>
                <w:rFonts w:ascii="Garamond" w:hAnsi="Garamond" w:cs="Times New Roman"/>
                <w:color w:val="0D0D0D" w:themeColor="text1" w:themeTint="F2"/>
                <w:sz w:val="20"/>
                <w:szCs w:val="20"/>
              </w:rPr>
              <w:t>–</w:t>
            </w:r>
            <w:r w:rsidR="00410E8D" w:rsidRPr="00DC66CD">
              <w:rPr>
                <w:rFonts w:ascii="Garamond" w:hAnsi="Garamond" w:cs="Times New Roman"/>
                <w:color w:val="0D0D0D" w:themeColor="text1" w:themeTint="F2"/>
                <w:sz w:val="20"/>
                <w:szCs w:val="20"/>
              </w:rPr>
              <w:t>shtato</w:t>
            </w:r>
            <w:r w:rsidRPr="00DC66CD">
              <w:rPr>
                <w:rFonts w:ascii="Garamond" w:hAnsi="Garamond" w:cs="Times New Roman"/>
                <w:color w:val="0D0D0D" w:themeColor="text1" w:themeTint="F2"/>
                <w:sz w:val="20"/>
                <w:szCs w:val="20"/>
              </w:rPr>
              <w:t>r 2019 rezultojnë të jenë 23,734 punësime.</w:t>
            </w:r>
          </w:p>
        </w:tc>
        <w:tc>
          <w:tcPr>
            <w:tcW w:w="1723" w:type="dxa"/>
          </w:tcPr>
          <w:p w14:paraId="6D14AA20" w14:textId="77777777" w:rsidR="006F605B" w:rsidRPr="00DC66CD" w:rsidRDefault="006F605B" w:rsidP="00131DA1">
            <w:pPr>
              <w:snapToGrid w:val="0"/>
              <w:spacing w:after="0" w:line="240" w:lineRule="auto"/>
              <w:rPr>
                <w:rFonts w:ascii="Garamond" w:hAnsi="Garamond" w:cs="Times New Roman"/>
                <w:sz w:val="20"/>
                <w:szCs w:val="20"/>
              </w:rPr>
            </w:pPr>
          </w:p>
        </w:tc>
      </w:tr>
      <w:tr w:rsidR="006F605B" w:rsidRPr="00DC66CD" w14:paraId="0D099E1B" w14:textId="77777777" w:rsidTr="00131DA1">
        <w:trPr>
          <w:trHeight w:val="240"/>
        </w:trPr>
        <w:tc>
          <w:tcPr>
            <w:tcW w:w="1723" w:type="dxa"/>
            <w:vMerge/>
          </w:tcPr>
          <w:p w14:paraId="4FDA42B3" w14:textId="77777777" w:rsidR="006F605B" w:rsidRPr="00DC66CD" w:rsidRDefault="006F605B" w:rsidP="00131DA1">
            <w:pPr>
              <w:snapToGrid w:val="0"/>
              <w:spacing w:after="0" w:line="240" w:lineRule="auto"/>
              <w:rPr>
                <w:rFonts w:ascii="Garamond" w:hAnsi="Garamond" w:cs="Times New Roman"/>
                <w:sz w:val="20"/>
                <w:szCs w:val="20"/>
              </w:rPr>
            </w:pPr>
          </w:p>
        </w:tc>
        <w:tc>
          <w:tcPr>
            <w:tcW w:w="6176" w:type="dxa"/>
          </w:tcPr>
          <w:p w14:paraId="033D9E67" w14:textId="77777777" w:rsidR="006F605B" w:rsidRPr="00DC66CD" w:rsidRDefault="006F605B" w:rsidP="00131DA1">
            <w:pPr>
              <w:spacing w:after="0" w:line="240" w:lineRule="auto"/>
              <w:rPr>
                <w:rFonts w:ascii="Garamond" w:hAnsi="Garamond" w:cs="Times New Roman"/>
                <w:color w:val="0D0D0D" w:themeColor="text1" w:themeTint="F2"/>
                <w:sz w:val="20"/>
                <w:szCs w:val="20"/>
              </w:rPr>
            </w:pPr>
            <w:r w:rsidRPr="00DC66CD">
              <w:rPr>
                <w:rFonts w:ascii="Garamond" w:hAnsi="Garamond" w:cs="Times New Roman"/>
                <w:color w:val="0D0D0D" w:themeColor="text1" w:themeTint="F2"/>
                <w:sz w:val="20"/>
                <w:szCs w:val="20"/>
              </w:rPr>
              <w:t>3.</w:t>
            </w:r>
            <w:r w:rsidRPr="00DC66CD">
              <w:rPr>
                <w:rFonts w:ascii="Garamond" w:hAnsi="Garamond" w:cs="Times New Roman"/>
                <w:sz w:val="20"/>
                <w:szCs w:val="20"/>
              </w:rPr>
              <w:t xml:space="preserve"> </w:t>
            </w:r>
            <w:r w:rsidRPr="00DC66CD">
              <w:rPr>
                <w:rFonts w:ascii="Garamond" w:hAnsi="Garamond" w:cs="Times New Roman"/>
                <w:color w:val="0D0D0D" w:themeColor="text1" w:themeTint="F2"/>
                <w:sz w:val="20"/>
                <w:szCs w:val="20"/>
              </w:rPr>
              <w:t xml:space="preserve">Zbatimi i programeve të nxitjes së punësimit </w:t>
            </w:r>
          </w:p>
          <w:p w14:paraId="6DF292EE" w14:textId="77777777" w:rsidR="006F605B" w:rsidRPr="00DC66CD" w:rsidRDefault="006F605B" w:rsidP="00131DA1">
            <w:pPr>
              <w:snapToGrid w:val="0"/>
              <w:spacing w:after="0" w:line="240" w:lineRule="auto"/>
              <w:rPr>
                <w:rFonts w:ascii="Garamond" w:hAnsi="Garamond" w:cs="Times New Roman"/>
                <w:sz w:val="20"/>
                <w:szCs w:val="20"/>
              </w:rPr>
            </w:pPr>
            <w:r w:rsidRPr="00DC66CD">
              <w:rPr>
                <w:rFonts w:ascii="Garamond" w:hAnsi="Garamond" w:cs="Times New Roman"/>
                <w:color w:val="0D0D0D" w:themeColor="text1" w:themeTint="F2"/>
                <w:sz w:val="20"/>
                <w:szCs w:val="20"/>
              </w:rPr>
              <w:t>Nga zbatimi i programeve për vitin 2018 janë përfshirë 4808 punëkërkues të papunë. Për vitin 2019 kanë filluar të zbatohen programet.</w:t>
            </w:r>
          </w:p>
        </w:tc>
        <w:tc>
          <w:tcPr>
            <w:tcW w:w="1723" w:type="dxa"/>
          </w:tcPr>
          <w:p w14:paraId="0DFBB98A" w14:textId="77777777" w:rsidR="006F605B" w:rsidRPr="00DC66CD" w:rsidRDefault="006F605B" w:rsidP="00131DA1">
            <w:pPr>
              <w:snapToGrid w:val="0"/>
              <w:spacing w:after="0" w:line="240" w:lineRule="auto"/>
              <w:rPr>
                <w:rFonts w:ascii="Garamond" w:hAnsi="Garamond" w:cs="Times New Roman"/>
                <w:sz w:val="20"/>
                <w:szCs w:val="20"/>
              </w:rPr>
            </w:pPr>
          </w:p>
        </w:tc>
      </w:tr>
      <w:tr w:rsidR="006F605B" w:rsidRPr="00DC66CD" w14:paraId="791528F4" w14:textId="77777777" w:rsidTr="00131DA1">
        <w:trPr>
          <w:trHeight w:val="300"/>
        </w:trPr>
        <w:tc>
          <w:tcPr>
            <w:tcW w:w="1723" w:type="dxa"/>
            <w:vMerge/>
          </w:tcPr>
          <w:p w14:paraId="45032369" w14:textId="77777777" w:rsidR="006F605B" w:rsidRPr="00DC66CD" w:rsidRDefault="006F605B" w:rsidP="00131DA1">
            <w:pPr>
              <w:snapToGrid w:val="0"/>
              <w:spacing w:after="0" w:line="240" w:lineRule="auto"/>
              <w:rPr>
                <w:rFonts w:ascii="Garamond" w:hAnsi="Garamond" w:cs="Times New Roman"/>
                <w:sz w:val="20"/>
                <w:szCs w:val="20"/>
              </w:rPr>
            </w:pPr>
          </w:p>
        </w:tc>
        <w:tc>
          <w:tcPr>
            <w:tcW w:w="6176" w:type="dxa"/>
          </w:tcPr>
          <w:p w14:paraId="2472566D" w14:textId="5D930D61" w:rsidR="006F605B" w:rsidRPr="00DC66CD" w:rsidRDefault="006F605B" w:rsidP="00410E8D">
            <w:pPr>
              <w:snapToGrid w:val="0"/>
              <w:spacing w:after="0" w:line="240" w:lineRule="auto"/>
              <w:jc w:val="both"/>
              <w:rPr>
                <w:rFonts w:ascii="Garamond" w:hAnsi="Garamond" w:cs="Times New Roman"/>
                <w:sz w:val="20"/>
                <w:szCs w:val="20"/>
              </w:rPr>
            </w:pPr>
            <w:r w:rsidRPr="00DC66CD">
              <w:rPr>
                <w:rFonts w:ascii="Garamond" w:hAnsi="Garamond" w:cs="Times New Roman"/>
                <w:color w:val="0D0D0D" w:themeColor="text1" w:themeTint="F2"/>
                <w:sz w:val="20"/>
                <w:szCs w:val="20"/>
              </w:rPr>
              <w:t xml:space="preserve">4. Gjatë periudhës </w:t>
            </w:r>
            <w:r w:rsidR="00410E8D" w:rsidRPr="00DC66CD">
              <w:rPr>
                <w:rFonts w:ascii="Garamond" w:hAnsi="Garamond" w:cs="Times New Roman"/>
                <w:color w:val="0D0D0D" w:themeColor="text1" w:themeTint="F2"/>
                <w:sz w:val="20"/>
                <w:szCs w:val="20"/>
              </w:rPr>
              <w:t>janar</w:t>
            </w:r>
            <w:r w:rsidR="00410E8D">
              <w:rPr>
                <w:rFonts w:ascii="Garamond" w:hAnsi="Garamond" w:cs="Times New Roman"/>
                <w:color w:val="0D0D0D" w:themeColor="text1" w:themeTint="F2"/>
                <w:sz w:val="20"/>
                <w:szCs w:val="20"/>
              </w:rPr>
              <w:t>–</w:t>
            </w:r>
            <w:r w:rsidR="00410E8D" w:rsidRPr="00DC66CD">
              <w:rPr>
                <w:rFonts w:ascii="Garamond" w:hAnsi="Garamond" w:cs="Times New Roman"/>
                <w:color w:val="0D0D0D" w:themeColor="text1" w:themeTint="F2"/>
                <w:sz w:val="20"/>
                <w:szCs w:val="20"/>
              </w:rPr>
              <w:t xml:space="preserve">shtator </w:t>
            </w:r>
            <w:r w:rsidRPr="00DC66CD">
              <w:rPr>
                <w:rFonts w:ascii="Garamond" w:hAnsi="Garamond" w:cs="Times New Roman"/>
                <w:color w:val="0D0D0D" w:themeColor="text1" w:themeTint="F2"/>
                <w:sz w:val="20"/>
                <w:szCs w:val="20"/>
              </w:rPr>
              <w:t>2019, 19589 persona vazhdojnë të ndjekin kurse të ndryshme profesionesh në qendrat e publike</w:t>
            </w:r>
            <w:r w:rsidRPr="00DC66CD">
              <w:rPr>
                <w:rFonts w:ascii="Garamond" w:hAnsi="Garamond" w:cs="Times New Roman"/>
                <w:sz w:val="20"/>
                <w:szCs w:val="20"/>
              </w:rPr>
              <w:t xml:space="preserve"> </w:t>
            </w:r>
            <w:r w:rsidRPr="00DC66CD">
              <w:rPr>
                <w:rFonts w:ascii="Garamond" w:hAnsi="Garamond" w:cs="Times New Roman"/>
                <w:color w:val="0D0D0D" w:themeColor="text1" w:themeTint="F2"/>
                <w:sz w:val="20"/>
                <w:szCs w:val="20"/>
              </w:rPr>
              <w:t xml:space="preserve">të formimit profesional, nga të cilat 43% janë gra. Punëkërkuesit e papunë, të cilët ndjekin pa pagesë këto kurse, janë 14,846 dhe ata që kanë përfunduar dhe janë </w:t>
            </w:r>
            <w:r w:rsidR="00433A3A" w:rsidRPr="00DC66CD">
              <w:rPr>
                <w:rFonts w:ascii="Garamond" w:hAnsi="Garamond" w:cs="Times New Roman"/>
                <w:color w:val="0D0D0D" w:themeColor="text1" w:themeTint="F2"/>
                <w:sz w:val="20"/>
                <w:szCs w:val="20"/>
              </w:rPr>
              <w:t>certif</w:t>
            </w:r>
            <w:r w:rsidRPr="00DC66CD">
              <w:rPr>
                <w:rFonts w:ascii="Garamond" w:hAnsi="Garamond" w:cs="Times New Roman"/>
                <w:color w:val="0D0D0D" w:themeColor="text1" w:themeTint="F2"/>
                <w:sz w:val="20"/>
                <w:szCs w:val="20"/>
              </w:rPr>
              <w:t xml:space="preserve">ikuar këto kurse janë 13,570 persona. Për të mbështetur kalimin në tregun e punës të të papunëve, veçanërisht të rinjve, përfituesit e ndihmës sociale dhe të papunëve afatgjatë, një kurs trajnimi i aftësive të buta u zhvillua dhe u pilotua në vitin 2018. Kursi synon të ndihmojë profilet e punëkërkuesve të papunë në drejtim të aftësive bazë të punësimit dhe si një mjet i orientimit në karrierë dhe një qasje më e arritshme në profilet e ardhshme të punës. Kursi </w:t>
            </w:r>
            <w:r w:rsidRPr="00410E8D">
              <w:rPr>
                <w:rFonts w:ascii="Garamond" w:hAnsi="Garamond" w:cs="Times New Roman"/>
                <w:i/>
                <w:color w:val="0D0D0D" w:themeColor="text1" w:themeTint="F2"/>
                <w:sz w:val="20"/>
                <w:szCs w:val="20"/>
              </w:rPr>
              <w:t>Start Smart</w:t>
            </w:r>
            <w:r w:rsidRPr="00DC66CD">
              <w:rPr>
                <w:rFonts w:ascii="Garamond" w:hAnsi="Garamond" w:cs="Times New Roman"/>
                <w:color w:val="0D0D0D" w:themeColor="text1" w:themeTint="F2"/>
                <w:sz w:val="20"/>
                <w:szCs w:val="20"/>
              </w:rPr>
              <w:t xml:space="preserve"> u zbatua në mbarë vendin gjatë vitit 2018. Për periudhën</w:t>
            </w:r>
            <w:r w:rsidRPr="00DC66CD">
              <w:rPr>
                <w:rFonts w:ascii="Garamond" w:hAnsi="Garamond" w:cs="Times New Roman"/>
                <w:sz w:val="20"/>
                <w:szCs w:val="20"/>
              </w:rPr>
              <w:t xml:space="preserve"> </w:t>
            </w:r>
            <w:r w:rsidR="00410E8D" w:rsidRPr="00DC66CD">
              <w:rPr>
                <w:rFonts w:ascii="Garamond" w:hAnsi="Garamond" w:cs="Times New Roman"/>
                <w:color w:val="0D0D0D" w:themeColor="text1" w:themeTint="F2"/>
                <w:sz w:val="20"/>
                <w:szCs w:val="20"/>
              </w:rPr>
              <w:t>janar</w:t>
            </w:r>
            <w:r w:rsidR="00410E8D">
              <w:rPr>
                <w:rFonts w:ascii="Garamond" w:hAnsi="Garamond" w:cs="Times New Roman"/>
                <w:color w:val="0D0D0D" w:themeColor="text1" w:themeTint="F2"/>
                <w:sz w:val="20"/>
                <w:szCs w:val="20"/>
              </w:rPr>
              <w:t>–</w:t>
            </w:r>
            <w:r w:rsidR="00410E8D" w:rsidRPr="00DC66CD">
              <w:rPr>
                <w:rFonts w:ascii="Garamond" w:hAnsi="Garamond" w:cs="Times New Roman"/>
                <w:color w:val="0D0D0D" w:themeColor="text1" w:themeTint="F2"/>
                <w:sz w:val="20"/>
                <w:szCs w:val="20"/>
              </w:rPr>
              <w:t xml:space="preserve">shtator </w:t>
            </w:r>
            <w:r w:rsidRPr="00DC66CD">
              <w:rPr>
                <w:rFonts w:ascii="Garamond" w:hAnsi="Garamond" w:cs="Times New Roman"/>
                <w:color w:val="0D0D0D" w:themeColor="text1" w:themeTint="F2"/>
                <w:sz w:val="20"/>
                <w:szCs w:val="20"/>
              </w:rPr>
              <w:t xml:space="preserve">2019 kanë marrë pjesë në këtë kurs 8,544 punëkërkues të papunë. </w:t>
            </w:r>
          </w:p>
        </w:tc>
        <w:tc>
          <w:tcPr>
            <w:tcW w:w="1723" w:type="dxa"/>
          </w:tcPr>
          <w:p w14:paraId="516A60EC" w14:textId="77777777" w:rsidR="006F605B" w:rsidRPr="00DC66CD" w:rsidRDefault="006F605B" w:rsidP="00131DA1">
            <w:pPr>
              <w:snapToGrid w:val="0"/>
              <w:spacing w:after="0" w:line="240" w:lineRule="auto"/>
              <w:rPr>
                <w:rFonts w:ascii="Garamond" w:hAnsi="Garamond" w:cs="Times New Roman"/>
                <w:sz w:val="20"/>
                <w:szCs w:val="20"/>
              </w:rPr>
            </w:pPr>
          </w:p>
        </w:tc>
      </w:tr>
      <w:tr w:rsidR="006F605B" w:rsidRPr="00DC66CD" w14:paraId="6F61FEDE" w14:textId="77777777" w:rsidTr="00131DA1">
        <w:trPr>
          <w:trHeight w:val="699"/>
        </w:trPr>
        <w:tc>
          <w:tcPr>
            <w:tcW w:w="1723" w:type="dxa"/>
            <w:vMerge/>
          </w:tcPr>
          <w:p w14:paraId="3BD11612" w14:textId="77777777" w:rsidR="006F605B" w:rsidRPr="00DC66CD" w:rsidRDefault="006F605B" w:rsidP="00131DA1">
            <w:pPr>
              <w:snapToGrid w:val="0"/>
              <w:spacing w:after="0" w:line="240" w:lineRule="auto"/>
              <w:rPr>
                <w:rFonts w:ascii="Garamond" w:hAnsi="Garamond" w:cs="Times New Roman"/>
                <w:sz w:val="20"/>
                <w:szCs w:val="20"/>
              </w:rPr>
            </w:pPr>
          </w:p>
        </w:tc>
        <w:tc>
          <w:tcPr>
            <w:tcW w:w="6176" w:type="dxa"/>
          </w:tcPr>
          <w:p w14:paraId="5F488D13" w14:textId="77777777" w:rsidR="006F605B" w:rsidRPr="00DC66CD" w:rsidRDefault="006F605B" w:rsidP="00131DA1">
            <w:pPr>
              <w:spacing w:after="0" w:line="240" w:lineRule="auto"/>
              <w:rPr>
                <w:rFonts w:ascii="Garamond" w:eastAsia="Arial Narrow" w:hAnsi="Garamond" w:cs="Times New Roman"/>
                <w:color w:val="0D0D0D" w:themeColor="text1" w:themeTint="F2"/>
                <w:sz w:val="20"/>
                <w:szCs w:val="20"/>
              </w:rPr>
            </w:pPr>
            <w:r w:rsidRPr="00DC66CD">
              <w:rPr>
                <w:rFonts w:ascii="Garamond" w:eastAsia="Arial Narrow" w:hAnsi="Garamond" w:cs="Times New Roman"/>
                <w:color w:val="0D0D0D" w:themeColor="text1" w:themeTint="F2"/>
                <w:sz w:val="20"/>
                <w:szCs w:val="20"/>
              </w:rPr>
              <w:t>5. Përfitimet nga papunësia</w:t>
            </w:r>
          </w:p>
          <w:p w14:paraId="7D58F840" w14:textId="6848C287" w:rsidR="006F605B" w:rsidRPr="00DC66CD" w:rsidRDefault="006F605B" w:rsidP="00410E8D">
            <w:pPr>
              <w:snapToGrid w:val="0"/>
              <w:spacing w:after="0" w:line="240" w:lineRule="auto"/>
              <w:jc w:val="both"/>
              <w:rPr>
                <w:rFonts w:ascii="Garamond" w:hAnsi="Garamond" w:cs="Times New Roman"/>
                <w:sz w:val="20"/>
                <w:szCs w:val="20"/>
              </w:rPr>
            </w:pPr>
            <w:r w:rsidRPr="00DC66CD">
              <w:rPr>
                <w:rFonts w:ascii="Garamond" w:eastAsia="Arial Narrow" w:hAnsi="Garamond" w:cs="Times New Roman"/>
                <w:color w:val="0D0D0D" w:themeColor="text1" w:themeTint="F2"/>
                <w:sz w:val="20"/>
                <w:szCs w:val="20"/>
              </w:rPr>
              <w:t>VKM</w:t>
            </w:r>
            <w:r w:rsidR="00410E8D">
              <w:rPr>
                <w:rFonts w:ascii="Garamond" w:eastAsia="Arial Narrow" w:hAnsi="Garamond" w:cs="Times New Roman"/>
                <w:color w:val="0D0D0D" w:themeColor="text1" w:themeTint="F2"/>
                <w:sz w:val="20"/>
                <w:szCs w:val="20"/>
              </w:rPr>
              <w:t>-ja</w:t>
            </w:r>
            <w:r w:rsidR="00E33D88" w:rsidRPr="00DC66CD">
              <w:rPr>
                <w:rFonts w:ascii="Garamond" w:eastAsia="Arial Narrow" w:hAnsi="Garamond" w:cs="Times New Roman"/>
                <w:color w:val="0D0D0D" w:themeColor="text1" w:themeTint="F2"/>
                <w:sz w:val="20"/>
                <w:szCs w:val="20"/>
              </w:rPr>
              <w:t xml:space="preserve"> nr. </w:t>
            </w:r>
            <w:r w:rsidRPr="00DC66CD">
              <w:rPr>
                <w:rFonts w:ascii="Garamond" w:eastAsia="Arial Narrow" w:hAnsi="Garamond" w:cs="Times New Roman"/>
                <w:color w:val="0D0D0D" w:themeColor="text1" w:themeTint="F2"/>
                <w:sz w:val="20"/>
                <w:szCs w:val="20"/>
              </w:rPr>
              <w:t xml:space="preserve">161, datë 21 </w:t>
            </w:r>
            <w:r w:rsidR="00410E8D" w:rsidRPr="00DC66CD">
              <w:rPr>
                <w:rFonts w:ascii="Garamond" w:eastAsia="Arial Narrow" w:hAnsi="Garamond" w:cs="Times New Roman"/>
                <w:color w:val="0D0D0D" w:themeColor="text1" w:themeTint="F2"/>
                <w:sz w:val="20"/>
                <w:szCs w:val="20"/>
              </w:rPr>
              <w:t xml:space="preserve">mars </w:t>
            </w:r>
            <w:r w:rsidRPr="00DC66CD">
              <w:rPr>
                <w:rFonts w:ascii="Garamond" w:eastAsia="Arial Narrow" w:hAnsi="Garamond" w:cs="Times New Roman"/>
                <w:color w:val="0D0D0D" w:themeColor="text1" w:themeTint="F2"/>
                <w:sz w:val="20"/>
                <w:szCs w:val="20"/>
              </w:rPr>
              <w:t xml:space="preserve">2018 </w:t>
            </w:r>
            <w:r w:rsidR="002A29AD" w:rsidRPr="00DC66CD">
              <w:rPr>
                <w:rFonts w:ascii="Garamond" w:eastAsia="Arial Narrow" w:hAnsi="Garamond" w:cs="Times New Roman"/>
                <w:color w:val="0D0D0D" w:themeColor="text1" w:themeTint="F2"/>
                <w:sz w:val="20"/>
                <w:szCs w:val="20"/>
              </w:rPr>
              <w:t>“</w:t>
            </w:r>
            <w:r w:rsidRPr="00DC66CD">
              <w:rPr>
                <w:rFonts w:ascii="Garamond" w:eastAsia="Arial Narrow" w:hAnsi="Garamond" w:cs="Times New Roman"/>
                <w:color w:val="0D0D0D" w:themeColor="text1" w:themeTint="F2"/>
                <w:sz w:val="20"/>
                <w:szCs w:val="20"/>
              </w:rPr>
              <w:t>Për pagesën e të ardhurës nga papunësia</w:t>
            </w:r>
            <w:r w:rsidR="002A29AD" w:rsidRPr="00DC66CD">
              <w:rPr>
                <w:rFonts w:ascii="Garamond" w:eastAsia="Arial Narrow" w:hAnsi="Garamond" w:cs="Times New Roman"/>
                <w:color w:val="0D0D0D" w:themeColor="text1" w:themeTint="F2"/>
                <w:sz w:val="20"/>
                <w:szCs w:val="20"/>
              </w:rPr>
              <w:t>”</w:t>
            </w:r>
            <w:r w:rsidRPr="00DC66CD">
              <w:rPr>
                <w:rFonts w:ascii="Garamond" w:eastAsia="Arial Narrow" w:hAnsi="Garamond" w:cs="Times New Roman"/>
                <w:color w:val="0D0D0D" w:themeColor="text1" w:themeTint="F2"/>
                <w:sz w:val="20"/>
                <w:szCs w:val="20"/>
              </w:rPr>
              <w:t xml:space="preserve">, e cila vazhdon të zbatohet, aktualisht, me rritjen së pagës minimale në shkallë vendi, kjo pagesë është 13,000 lekë ose 107 </w:t>
            </w:r>
            <w:r w:rsidR="00410E8D" w:rsidRPr="00DC66CD">
              <w:rPr>
                <w:rFonts w:ascii="Garamond" w:eastAsia="Arial Narrow" w:hAnsi="Garamond" w:cs="Times New Roman"/>
                <w:color w:val="0D0D0D" w:themeColor="text1" w:themeTint="F2"/>
                <w:sz w:val="20"/>
                <w:szCs w:val="20"/>
              </w:rPr>
              <w:t>euro</w:t>
            </w:r>
            <w:r w:rsidRPr="00DC66CD">
              <w:rPr>
                <w:rFonts w:ascii="Garamond" w:eastAsia="Arial Narrow" w:hAnsi="Garamond" w:cs="Times New Roman"/>
                <w:color w:val="0D0D0D" w:themeColor="text1" w:themeTint="F2"/>
                <w:sz w:val="20"/>
                <w:szCs w:val="20"/>
              </w:rPr>
              <w:t>. Gjatë periudhës janar</w:t>
            </w:r>
            <w:r w:rsidR="00410E8D">
              <w:rPr>
                <w:rFonts w:ascii="Garamond" w:eastAsia="Arial Narrow" w:hAnsi="Garamond" w:cs="Times New Roman"/>
                <w:color w:val="0D0D0D" w:themeColor="text1" w:themeTint="F2"/>
                <w:sz w:val="20"/>
                <w:szCs w:val="20"/>
              </w:rPr>
              <w:t>–</w:t>
            </w:r>
            <w:r w:rsidR="00410E8D" w:rsidRPr="00DC66CD">
              <w:rPr>
                <w:rFonts w:ascii="Garamond" w:eastAsia="Arial Narrow" w:hAnsi="Garamond" w:cs="Times New Roman"/>
                <w:color w:val="0D0D0D" w:themeColor="text1" w:themeTint="F2"/>
                <w:sz w:val="20"/>
                <w:szCs w:val="20"/>
              </w:rPr>
              <w:t xml:space="preserve">shtator </w:t>
            </w:r>
            <w:r w:rsidRPr="00DC66CD">
              <w:rPr>
                <w:rFonts w:ascii="Garamond" w:eastAsia="Arial Narrow" w:hAnsi="Garamond" w:cs="Times New Roman"/>
                <w:color w:val="0D0D0D" w:themeColor="text1" w:themeTint="F2"/>
                <w:sz w:val="20"/>
                <w:szCs w:val="20"/>
              </w:rPr>
              <w:t>2019 janë 2,493 persona, përfitues të</w:t>
            </w:r>
            <w:r w:rsidR="0072211B" w:rsidRPr="00DC66CD">
              <w:rPr>
                <w:rFonts w:ascii="Garamond" w:eastAsia="Arial Narrow" w:hAnsi="Garamond" w:cs="Times New Roman"/>
                <w:color w:val="0D0D0D" w:themeColor="text1" w:themeTint="F2"/>
                <w:sz w:val="20"/>
                <w:szCs w:val="20"/>
              </w:rPr>
              <w:t xml:space="preserve"> </w:t>
            </w:r>
            <w:r w:rsidRPr="00DC66CD">
              <w:rPr>
                <w:rFonts w:ascii="Garamond" w:eastAsia="Arial Narrow" w:hAnsi="Garamond" w:cs="Times New Roman"/>
                <w:color w:val="0D0D0D" w:themeColor="text1" w:themeTint="F2"/>
                <w:sz w:val="20"/>
                <w:szCs w:val="20"/>
              </w:rPr>
              <w:t>pagesës së papunësisë.</w:t>
            </w:r>
          </w:p>
        </w:tc>
        <w:tc>
          <w:tcPr>
            <w:tcW w:w="1723" w:type="dxa"/>
          </w:tcPr>
          <w:p w14:paraId="5938B419" w14:textId="77777777" w:rsidR="006F605B" w:rsidRPr="00DC66CD" w:rsidRDefault="006F605B" w:rsidP="00131DA1">
            <w:pPr>
              <w:snapToGrid w:val="0"/>
              <w:spacing w:after="0" w:line="240" w:lineRule="auto"/>
              <w:rPr>
                <w:rFonts w:ascii="Garamond" w:hAnsi="Garamond" w:cs="Times New Roman"/>
                <w:sz w:val="20"/>
                <w:szCs w:val="20"/>
              </w:rPr>
            </w:pPr>
          </w:p>
        </w:tc>
      </w:tr>
    </w:tbl>
    <w:p w14:paraId="1D7B780C" w14:textId="77777777" w:rsidR="006F605B" w:rsidRPr="00DC66CD" w:rsidRDefault="006F605B" w:rsidP="006F605B">
      <w:pPr>
        <w:snapToGrid w:val="0"/>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5909"/>
        <w:gridCol w:w="1681"/>
      </w:tblGrid>
      <w:tr w:rsidR="006F605B" w:rsidRPr="00DC66CD" w14:paraId="1F9B3722" w14:textId="77777777" w:rsidTr="00410E8D">
        <w:tc>
          <w:tcPr>
            <w:tcW w:w="1723" w:type="dxa"/>
            <w:shd w:val="clear" w:color="auto" w:fill="E5DFEC" w:themeFill="accent4" w:themeFillTint="33"/>
          </w:tcPr>
          <w:p w14:paraId="24B91F54" w14:textId="77777777" w:rsidR="006F605B" w:rsidRPr="00DC66CD" w:rsidRDefault="006F605B" w:rsidP="00131DA1">
            <w:pPr>
              <w:snapToGrid w:val="0"/>
              <w:spacing w:after="0" w:line="240" w:lineRule="auto"/>
              <w:rPr>
                <w:rFonts w:ascii="Garamond" w:hAnsi="Garamond"/>
                <w:sz w:val="20"/>
                <w:szCs w:val="20"/>
              </w:rPr>
            </w:pPr>
          </w:p>
        </w:tc>
        <w:tc>
          <w:tcPr>
            <w:tcW w:w="6176" w:type="dxa"/>
            <w:shd w:val="clear" w:color="auto" w:fill="E5DFEC" w:themeFill="accent4" w:themeFillTint="33"/>
            <w:vAlign w:val="center"/>
          </w:tcPr>
          <w:p w14:paraId="6CF3B17B" w14:textId="77777777" w:rsidR="006F605B" w:rsidRPr="00DC66CD" w:rsidRDefault="006F605B" w:rsidP="00410E8D">
            <w:pPr>
              <w:snapToGrid w:val="0"/>
              <w:spacing w:after="0" w:line="240" w:lineRule="auto"/>
              <w:jc w:val="center"/>
              <w:rPr>
                <w:rFonts w:ascii="Garamond" w:hAnsi="Garamond"/>
                <w:b/>
                <w:sz w:val="20"/>
                <w:szCs w:val="20"/>
              </w:rPr>
            </w:pPr>
            <w:r w:rsidRPr="00DC66CD">
              <w:rPr>
                <w:rFonts w:ascii="Garamond" w:hAnsi="Garamond"/>
                <w:b/>
                <w:sz w:val="20"/>
                <w:szCs w:val="20"/>
              </w:rPr>
              <w:t>Forcimi i mbrojtjes sociale dhe masat e përfshirjes sociale</w:t>
            </w:r>
          </w:p>
        </w:tc>
        <w:tc>
          <w:tcPr>
            <w:tcW w:w="1723" w:type="dxa"/>
            <w:shd w:val="clear" w:color="auto" w:fill="E5DFEC" w:themeFill="accent4" w:themeFillTint="33"/>
          </w:tcPr>
          <w:p w14:paraId="5BEC9EF6" w14:textId="77777777" w:rsidR="006F605B" w:rsidRPr="00410E8D" w:rsidRDefault="006F605B" w:rsidP="00131DA1">
            <w:pPr>
              <w:snapToGrid w:val="0"/>
              <w:spacing w:after="0" w:line="240" w:lineRule="auto"/>
              <w:rPr>
                <w:rFonts w:ascii="Garamond" w:hAnsi="Garamond"/>
                <w:b/>
                <w:sz w:val="20"/>
                <w:szCs w:val="20"/>
              </w:rPr>
            </w:pPr>
            <w:r w:rsidRPr="00410E8D">
              <w:rPr>
                <w:rFonts w:ascii="Garamond" w:hAnsi="Garamond"/>
                <w:b/>
                <w:sz w:val="20"/>
                <w:szCs w:val="20"/>
              </w:rPr>
              <w:t>Statusi i zbatimit të reformës (1-5)</w:t>
            </w:r>
          </w:p>
        </w:tc>
      </w:tr>
      <w:tr w:rsidR="006F605B" w:rsidRPr="00DC66CD" w14:paraId="0C48A7DE" w14:textId="77777777" w:rsidTr="00131DA1">
        <w:tc>
          <w:tcPr>
            <w:tcW w:w="1723" w:type="dxa"/>
            <w:vMerge w:val="restart"/>
          </w:tcPr>
          <w:p w14:paraId="209EDF2E" w14:textId="3C240DFA"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Aktivitetet e planifikuara për 2019</w:t>
            </w:r>
            <w:r w:rsidR="00410E8D">
              <w:rPr>
                <w:rFonts w:ascii="Garamond" w:hAnsi="Garamond"/>
                <w:sz w:val="20"/>
                <w:szCs w:val="20"/>
              </w:rPr>
              <w:t>-ës</w:t>
            </w:r>
          </w:p>
        </w:tc>
        <w:tc>
          <w:tcPr>
            <w:tcW w:w="6176" w:type="dxa"/>
          </w:tcPr>
          <w:p w14:paraId="09E4BAA9" w14:textId="77777777"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Draft kornizë ligjore për përkrahjen sociale</w:t>
            </w:r>
          </w:p>
          <w:p w14:paraId="26D99BCB" w14:textId="4D506C7B"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 xml:space="preserve">Kuadri ligjor është kompletuar me akte nënligjore. 7 akte normative, 6 </w:t>
            </w:r>
            <w:r w:rsidR="00410E8D" w:rsidRPr="00DC66CD">
              <w:rPr>
                <w:rFonts w:ascii="Garamond" w:hAnsi="Garamond"/>
                <w:sz w:val="20"/>
                <w:szCs w:val="20"/>
              </w:rPr>
              <w:t xml:space="preserve">vendim </w:t>
            </w:r>
            <w:r w:rsidRPr="00DC66CD">
              <w:rPr>
                <w:rFonts w:ascii="Garamond" w:hAnsi="Garamond"/>
                <w:sz w:val="20"/>
                <w:szCs w:val="20"/>
              </w:rPr>
              <w:t xml:space="preserve">i Këshillit Qeveritar dhe 3 </w:t>
            </w:r>
            <w:r w:rsidR="00410E8D" w:rsidRPr="00DC66CD">
              <w:rPr>
                <w:rFonts w:ascii="Garamond" w:hAnsi="Garamond"/>
                <w:sz w:val="20"/>
                <w:szCs w:val="20"/>
              </w:rPr>
              <w:t xml:space="preserve">udhëzime ministri </w:t>
            </w:r>
            <w:r w:rsidRPr="00DC66CD">
              <w:rPr>
                <w:rFonts w:ascii="Garamond" w:hAnsi="Garamond"/>
                <w:sz w:val="20"/>
                <w:szCs w:val="20"/>
              </w:rPr>
              <w:t>janë miratuar për të përshtatur nevojat e sistemit të shërbimeve të kujdesit shoqëror.</w:t>
            </w:r>
          </w:p>
          <w:p w14:paraId="053A8FA5" w14:textId="00E497DF"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Akti kryesor dhe më i rëndësishmi nënligjor, bazuar në ligjin e shërbimeve të kujdesit shoqëror, është VKM 518/2018</w:t>
            </w:r>
            <w:r w:rsidR="00410E8D">
              <w:rPr>
                <w:rFonts w:ascii="Garamond" w:hAnsi="Garamond"/>
                <w:sz w:val="20"/>
                <w:szCs w:val="20"/>
              </w:rPr>
              <w:t>,</w:t>
            </w:r>
            <w:r w:rsidRPr="00DC66CD">
              <w:rPr>
                <w:rFonts w:ascii="Garamond" w:hAnsi="Garamond"/>
                <w:sz w:val="20"/>
                <w:szCs w:val="20"/>
              </w:rPr>
              <w:t xml:space="preserve"> </w:t>
            </w:r>
            <w:r w:rsidR="002A29AD" w:rsidRPr="00DC66CD">
              <w:rPr>
                <w:rFonts w:ascii="Garamond" w:hAnsi="Garamond"/>
                <w:sz w:val="20"/>
                <w:szCs w:val="20"/>
              </w:rPr>
              <w:t>“</w:t>
            </w:r>
            <w:r w:rsidRPr="00DC66CD">
              <w:rPr>
                <w:rFonts w:ascii="Garamond" w:hAnsi="Garamond"/>
                <w:sz w:val="20"/>
                <w:szCs w:val="20"/>
              </w:rPr>
              <w:t>Për kriteret dhe procedurat e pranimit në qendrat e banimit dhe përdorimin e shërbimeve në komunitet</w:t>
            </w:r>
            <w:r w:rsidR="002A29AD" w:rsidRPr="00DC66CD">
              <w:rPr>
                <w:rFonts w:ascii="Garamond" w:hAnsi="Garamond"/>
                <w:sz w:val="20"/>
                <w:szCs w:val="20"/>
              </w:rPr>
              <w:t>”</w:t>
            </w:r>
            <w:r w:rsidRPr="00DC66CD">
              <w:rPr>
                <w:rFonts w:ascii="Garamond" w:hAnsi="Garamond"/>
                <w:sz w:val="20"/>
                <w:szCs w:val="20"/>
              </w:rPr>
              <w:t xml:space="preserve">, i cili hyri në fuqi në </w:t>
            </w:r>
            <w:r w:rsidR="00410E8D" w:rsidRPr="00DC66CD">
              <w:rPr>
                <w:rFonts w:ascii="Garamond" w:hAnsi="Garamond"/>
                <w:sz w:val="20"/>
                <w:szCs w:val="20"/>
              </w:rPr>
              <w:t xml:space="preserve">mars </w:t>
            </w:r>
            <w:r w:rsidRPr="00DC66CD">
              <w:rPr>
                <w:rFonts w:ascii="Garamond" w:hAnsi="Garamond"/>
                <w:sz w:val="20"/>
                <w:szCs w:val="20"/>
              </w:rPr>
              <w:t>2019. VKM</w:t>
            </w:r>
            <w:r w:rsidR="00410E8D">
              <w:rPr>
                <w:rFonts w:ascii="Garamond" w:hAnsi="Garamond"/>
                <w:sz w:val="20"/>
                <w:szCs w:val="20"/>
              </w:rPr>
              <w:t>-ja</w:t>
            </w:r>
            <w:r w:rsidRPr="00DC66CD">
              <w:rPr>
                <w:rFonts w:ascii="Garamond" w:hAnsi="Garamond"/>
                <w:sz w:val="20"/>
                <w:szCs w:val="20"/>
              </w:rPr>
              <w:t xml:space="preserve"> përcakton </w:t>
            </w:r>
            <w:r w:rsidR="002A29AD" w:rsidRPr="00DC66CD">
              <w:rPr>
                <w:rFonts w:ascii="Garamond" w:hAnsi="Garamond"/>
                <w:sz w:val="20"/>
                <w:szCs w:val="20"/>
              </w:rPr>
              <w:t>“</w:t>
            </w:r>
            <w:r w:rsidRPr="00DC66CD">
              <w:rPr>
                <w:rFonts w:ascii="Garamond" w:hAnsi="Garamond"/>
                <w:sz w:val="20"/>
                <w:szCs w:val="20"/>
              </w:rPr>
              <w:t>shportën</w:t>
            </w:r>
            <w:r w:rsidR="002A29AD" w:rsidRPr="00DC66CD">
              <w:rPr>
                <w:rFonts w:ascii="Garamond" w:hAnsi="Garamond"/>
                <w:sz w:val="20"/>
                <w:szCs w:val="20"/>
              </w:rPr>
              <w:t>”</w:t>
            </w:r>
            <w:r w:rsidRPr="00DC66CD">
              <w:rPr>
                <w:rFonts w:ascii="Garamond" w:hAnsi="Garamond"/>
                <w:sz w:val="20"/>
                <w:szCs w:val="20"/>
              </w:rPr>
              <w:t xml:space="preserve"> e shërbimeve sociale dhe objektin dhe objektin e të gjitha shërbimeve të kujdesit shoqëror me qëllim të zbatimit të detyrueshëm dhe uniformitetit të tyre në të gjithë territorin e Republikës së Shqipërisë, në mënyrë që shpërndarja gjeografike e këtyre shërbimeve të jetë mjaft e gjerë</w:t>
            </w:r>
            <w:r w:rsidR="00772573" w:rsidRPr="00DC66CD">
              <w:rPr>
                <w:rFonts w:ascii="Garamond" w:hAnsi="Garamond"/>
                <w:sz w:val="20"/>
                <w:szCs w:val="20"/>
              </w:rPr>
              <w:t>.</w:t>
            </w:r>
          </w:p>
        </w:tc>
        <w:tc>
          <w:tcPr>
            <w:tcW w:w="1723" w:type="dxa"/>
          </w:tcPr>
          <w:p w14:paraId="32A558B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528E12C9" w14:textId="77777777" w:rsidTr="00131DA1">
        <w:tc>
          <w:tcPr>
            <w:tcW w:w="1723" w:type="dxa"/>
            <w:vMerge/>
          </w:tcPr>
          <w:p w14:paraId="5A5CA525"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2F3870CE" w14:textId="77777777" w:rsidR="006F605B" w:rsidRPr="00DC66CD" w:rsidRDefault="006F605B" w:rsidP="00AE77D0">
            <w:pPr>
              <w:spacing w:after="0" w:line="240" w:lineRule="auto"/>
              <w:jc w:val="both"/>
              <w:rPr>
                <w:rFonts w:ascii="Garamond" w:hAnsi="Garamond"/>
                <w:sz w:val="20"/>
                <w:szCs w:val="20"/>
              </w:rPr>
            </w:pPr>
            <w:r w:rsidRPr="00DC66CD">
              <w:rPr>
                <w:rFonts w:ascii="Garamond" w:hAnsi="Garamond"/>
                <w:sz w:val="20"/>
                <w:szCs w:val="20"/>
              </w:rPr>
              <w:t>Vazhdoni shqyrtimin për përfituesit e ndihmës ekonomike të pranueshme përmes SIS.</w:t>
            </w:r>
          </w:p>
          <w:p w14:paraId="234C6C0C" w14:textId="77777777" w:rsidR="006F605B" w:rsidRPr="00DC66CD" w:rsidRDefault="006F605B" w:rsidP="00AE77D0">
            <w:pPr>
              <w:spacing w:after="0" w:line="240" w:lineRule="auto"/>
              <w:jc w:val="both"/>
              <w:rPr>
                <w:rFonts w:ascii="Garamond" w:hAnsi="Garamond"/>
                <w:sz w:val="20"/>
                <w:szCs w:val="20"/>
              </w:rPr>
            </w:pPr>
            <w:r w:rsidRPr="00DC66CD">
              <w:rPr>
                <w:rFonts w:ascii="Garamond" w:hAnsi="Garamond"/>
                <w:sz w:val="20"/>
                <w:szCs w:val="20"/>
              </w:rPr>
              <w:t>Skema e Ndihmës Ekonomike ka siguruar kritere të sakta dhe skemë të re të siguruar dhe më të mirë. Nga aplikimi i skemës së re të ndihmës ekonomike, 10758 familje përfituan për herë të parë.</w:t>
            </w:r>
          </w:p>
        </w:tc>
        <w:tc>
          <w:tcPr>
            <w:tcW w:w="1723" w:type="dxa"/>
          </w:tcPr>
          <w:p w14:paraId="45D9E0B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272D3FE4" w14:textId="77777777" w:rsidTr="00131DA1">
        <w:tc>
          <w:tcPr>
            <w:tcW w:w="1723" w:type="dxa"/>
            <w:vMerge/>
          </w:tcPr>
          <w:p w14:paraId="2F73881B"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7E393A8A" w14:textId="75B12668"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Vlerësoni aftësinë e kufizuar</w:t>
            </w:r>
            <w:r w:rsidR="00410E8D">
              <w:rPr>
                <w:rFonts w:ascii="Garamond" w:hAnsi="Garamond"/>
                <w:sz w:val="20"/>
                <w:szCs w:val="20"/>
              </w:rPr>
              <w:t>,</w:t>
            </w:r>
            <w:r w:rsidRPr="00DC66CD">
              <w:rPr>
                <w:rFonts w:ascii="Garamond" w:hAnsi="Garamond"/>
                <w:sz w:val="20"/>
                <w:szCs w:val="20"/>
              </w:rPr>
              <w:t xml:space="preserve"> në përputhje me modelin social, si parakusht për integrimin shoqëror.</w:t>
            </w:r>
          </w:p>
          <w:p w14:paraId="7487ABF4" w14:textId="5CA30985"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Vlerësoni aftësinë e kufizuar</w:t>
            </w:r>
            <w:r w:rsidR="00410E8D">
              <w:rPr>
                <w:rFonts w:ascii="Garamond" w:hAnsi="Garamond"/>
                <w:sz w:val="20"/>
                <w:szCs w:val="20"/>
              </w:rPr>
              <w:t>,</w:t>
            </w:r>
            <w:r w:rsidRPr="00DC66CD">
              <w:rPr>
                <w:rFonts w:ascii="Garamond" w:hAnsi="Garamond"/>
                <w:sz w:val="20"/>
                <w:szCs w:val="20"/>
              </w:rPr>
              <w:t xml:space="preserve"> në përputhje me modelin shoqëror si parakusht për ri-integrim shoqëror.</w:t>
            </w:r>
          </w:p>
          <w:p w14:paraId="13DC982B" w14:textId="39CF9AA6"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Nga fillimi i skemës së vlerësimit të aftësisë së kufizuar, rezultuan se 950 persona me aftësi të kufizuara rezultuan të ishin përfitues të pagesave të aftësisë së kufizuar përmes një procesi të vlerësimit sipas modelit biopsikosocial.</w:t>
            </w:r>
          </w:p>
        </w:tc>
        <w:tc>
          <w:tcPr>
            <w:tcW w:w="1723" w:type="dxa"/>
          </w:tcPr>
          <w:p w14:paraId="10C66C16"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22AFA014" w14:textId="77777777" w:rsidTr="00131DA1">
        <w:tc>
          <w:tcPr>
            <w:tcW w:w="1723" w:type="dxa"/>
            <w:vMerge/>
          </w:tcPr>
          <w:p w14:paraId="0DF8D4A4"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1E023DA5" w14:textId="77777777"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Përmirësimi i raportimit dhe vlerësimit për të synuar uljen e varfërisë, përfshirjen sociale dhe mundësi të barabarta për grupet në nevojë përmes monitorimit të planeve të veprimit për përfshirjen sociale dhe barazinë gjinore.</w:t>
            </w:r>
          </w:p>
          <w:p w14:paraId="5703A0E8" w14:textId="77777777"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Në monitorimin e situatës për përfshirjen sociale, është krijuar grupi nën-tematik i IPMG për përfshirje sociale dhe grupi i mbrojtjes, i cili ka aprovuar zgjatjen e afatit të Strategjisë Kombëtare për Mbrojtjen Sociale.</w:t>
            </w:r>
          </w:p>
          <w:p w14:paraId="4140C670" w14:textId="77777777"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Raporti i monitorimit për Barazinë Gjinore, 2018, Raporti për Romët dhe Egjiptianët 2018 dhe Rishikimi Afatmesëm për Planin e Aksionit për Aftësi të Kufizuara kanë përfunduar.</w:t>
            </w:r>
          </w:p>
        </w:tc>
        <w:tc>
          <w:tcPr>
            <w:tcW w:w="1723" w:type="dxa"/>
          </w:tcPr>
          <w:p w14:paraId="6D098E93"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4137516A" w14:textId="77777777" w:rsidTr="00131DA1">
        <w:tc>
          <w:tcPr>
            <w:tcW w:w="1723" w:type="dxa"/>
            <w:vMerge/>
          </w:tcPr>
          <w:p w14:paraId="469CF0B6"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0DCB60F8" w14:textId="77777777"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Draft kornizë ligjore për mbështetjen e shërbimit social.</w:t>
            </w:r>
          </w:p>
          <w:p w14:paraId="4E53BE51" w14:textId="77777777" w:rsidR="006F605B" w:rsidRPr="00DC66CD" w:rsidRDefault="006F605B" w:rsidP="00AE77D0">
            <w:pPr>
              <w:snapToGrid w:val="0"/>
              <w:spacing w:after="0" w:line="240" w:lineRule="auto"/>
              <w:jc w:val="both"/>
              <w:rPr>
                <w:rFonts w:ascii="Garamond" w:hAnsi="Garamond"/>
                <w:sz w:val="20"/>
                <w:szCs w:val="20"/>
              </w:rPr>
            </w:pPr>
            <w:r w:rsidRPr="00DC66CD">
              <w:rPr>
                <w:rFonts w:ascii="Garamond" w:hAnsi="Garamond"/>
                <w:sz w:val="20"/>
                <w:szCs w:val="20"/>
              </w:rPr>
              <w:t>Vazhdoni kontrollimin për përfituesit e Ndihmës së Ndihmës Ekonomike, përmes SIS të automatizuar.</w:t>
            </w:r>
          </w:p>
        </w:tc>
        <w:tc>
          <w:tcPr>
            <w:tcW w:w="1723" w:type="dxa"/>
          </w:tcPr>
          <w:p w14:paraId="7DB91A6A"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5</w:t>
            </w:r>
          </w:p>
        </w:tc>
      </w:tr>
      <w:tr w:rsidR="006F605B" w:rsidRPr="00DC66CD" w14:paraId="02FD1442" w14:textId="77777777" w:rsidTr="00131DA1">
        <w:tc>
          <w:tcPr>
            <w:tcW w:w="1723" w:type="dxa"/>
            <w:vMerge w:val="restart"/>
          </w:tcPr>
          <w:p w14:paraId="023B218F" w14:textId="77777777" w:rsidR="006F605B" w:rsidRPr="00DC66CD" w:rsidRDefault="006F605B" w:rsidP="00131DA1">
            <w:pPr>
              <w:snapToGrid w:val="0"/>
              <w:spacing w:after="0" w:line="240" w:lineRule="auto"/>
              <w:rPr>
                <w:rFonts w:ascii="Garamond" w:hAnsi="Garamond"/>
                <w:sz w:val="20"/>
                <w:szCs w:val="20"/>
              </w:rPr>
            </w:pPr>
            <w:r w:rsidRPr="00DC66CD">
              <w:rPr>
                <w:rFonts w:ascii="Garamond" w:hAnsi="Garamond"/>
                <w:sz w:val="20"/>
                <w:szCs w:val="20"/>
              </w:rPr>
              <w:t>Përshkrimi i zbatimit dhe sqarime nëse ka zbatim të pjesshëm apo pa zbatim</w:t>
            </w:r>
          </w:p>
        </w:tc>
        <w:tc>
          <w:tcPr>
            <w:tcW w:w="6176" w:type="dxa"/>
          </w:tcPr>
          <w:p w14:paraId="31831A74" w14:textId="77777777" w:rsidR="006F605B" w:rsidRPr="00DC66CD" w:rsidRDefault="006F605B" w:rsidP="00131DA1">
            <w:pPr>
              <w:snapToGrid w:val="0"/>
              <w:spacing w:after="0" w:line="240" w:lineRule="auto"/>
              <w:rPr>
                <w:rFonts w:ascii="Garamond" w:hAnsi="Garamond"/>
                <w:sz w:val="20"/>
                <w:szCs w:val="20"/>
              </w:rPr>
            </w:pPr>
          </w:p>
        </w:tc>
        <w:tc>
          <w:tcPr>
            <w:tcW w:w="1723" w:type="dxa"/>
          </w:tcPr>
          <w:p w14:paraId="0D9AB421"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30038749" w14:textId="77777777" w:rsidTr="00131DA1">
        <w:tc>
          <w:tcPr>
            <w:tcW w:w="1723" w:type="dxa"/>
            <w:vMerge/>
          </w:tcPr>
          <w:p w14:paraId="41FED948"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68E26690" w14:textId="77777777" w:rsidR="006F605B" w:rsidRPr="00DC66CD" w:rsidRDefault="006F605B" w:rsidP="00131DA1">
            <w:pPr>
              <w:snapToGrid w:val="0"/>
              <w:spacing w:after="0" w:line="240" w:lineRule="auto"/>
              <w:rPr>
                <w:rFonts w:ascii="Garamond" w:hAnsi="Garamond"/>
                <w:sz w:val="20"/>
                <w:szCs w:val="20"/>
              </w:rPr>
            </w:pPr>
          </w:p>
        </w:tc>
        <w:tc>
          <w:tcPr>
            <w:tcW w:w="1723" w:type="dxa"/>
          </w:tcPr>
          <w:p w14:paraId="50859720" w14:textId="77777777" w:rsidR="006F605B" w:rsidRPr="00DC66CD" w:rsidRDefault="006F605B" w:rsidP="00131DA1">
            <w:pPr>
              <w:snapToGrid w:val="0"/>
              <w:spacing w:after="0" w:line="240" w:lineRule="auto"/>
              <w:rPr>
                <w:rFonts w:ascii="Garamond" w:hAnsi="Garamond"/>
                <w:sz w:val="20"/>
                <w:szCs w:val="20"/>
              </w:rPr>
            </w:pPr>
          </w:p>
        </w:tc>
      </w:tr>
      <w:tr w:rsidR="006F605B" w:rsidRPr="00DC66CD" w14:paraId="096C9F82" w14:textId="77777777" w:rsidTr="00131DA1">
        <w:tc>
          <w:tcPr>
            <w:tcW w:w="1723" w:type="dxa"/>
            <w:vMerge/>
          </w:tcPr>
          <w:p w14:paraId="1269BB23" w14:textId="77777777" w:rsidR="006F605B" w:rsidRPr="00DC66CD" w:rsidRDefault="006F605B" w:rsidP="00131DA1">
            <w:pPr>
              <w:snapToGrid w:val="0"/>
              <w:spacing w:after="0" w:line="240" w:lineRule="auto"/>
              <w:rPr>
                <w:rFonts w:ascii="Garamond" w:hAnsi="Garamond"/>
                <w:sz w:val="20"/>
                <w:szCs w:val="20"/>
              </w:rPr>
            </w:pPr>
          </w:p>
        </w:tc>
        <w:tc>
          <w:tcPr>
            <w:tcW w:w="6176" w:type="dxa"/>
          </w:tcPr>
          <w:p w14:paraId="7D3CE95B" w14:textId="77777777" w:rsidR="006F605B" w:rsidRPr="00DC66CD" w:rsidRDefault="006F605B" w:rsidP="00131DA1">
            <w:pPr>
              <w:snapToGrid w:val="0"/>
              <w:spacing w:after="0" w:line="240" w:lineRule="auto"/>
              <w:rPr>
                <w:rFonts w:ascii="Garamond" w:hAnsi="Garamond"/>
                <w:sz w:val="20"/>
                <w:szCs w:val="20"/>
              </w:rPr>
            </w:pPr>
          </w:p>
        </w:tc>
        <w:tc>
          <w:tcPr>
            <w:tcW w:w="1723" w:type="dxa"/>
          </w:tcPr>
          <w:p w14:paraId="24D13861" w14:textId="77777777" w:rsidR="006F605B" w:rsidRPr="00DC66CD" w:rsidRDefault="006F605B" w:rsidP="00131DA1">
            <w:pPr>
              <w:snapToGrid w:val="0"/>
              <w:spacing w:after="0" w:line="240" w:lineRule="auto"/>
              <w:rPr>
                <w:rFonts w:ascii="Garamond" w:hAnsi="Garamond"/>
                <w:sz w:val="20"/>
                <w:szCs w:val="20"/>
              </w:rPr>
            </w:pPr>
          </w:p>
        </w:tc>
      </w:tr>
    </w:tbl>
    <w:p w14:paraId="144E13B2" w14:textId="77777777" w:rsidR="006F605B" w:rsidRPr="00DC66CD" w:rsidRDefault="006F605B" w:rsidP="00854635">
      <w:pPr>
        <w:pStyle w:val="TEKSTIIII"/>
        <w:ind w:firstLine="0"/>
        <w:jc w:val="center"/>
      </w:pPr>
    </w:p>
    <w:sectPr w:rsidR="006F605B" w:rsidRPr="00DC66CD" w:rsidSect="00812CBB">
      <w:footerReference w:type="default" r:id="rId106"/>
      <w:type w:val="continuous"/>
      <w:pgSz w:w="11900"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684BE" w14:textId="77777777" w:rsidR="007777D4" w:rsidRDefault="007777D4" w:rsidP="0012162E">
      <w:pPr>
        <w:spacing w:after="0" w:line="240" w:lineRule="auto"/>
      </w:pPr>
      <w:r>
        <w:separator/>
      </w:r>
    </w:p>
  </w:endnote>
  <w:endnote w:type="continuationSeparator" w:id="0">
    <w:p w14:paraId="545684BF" w14:textId="77777777" w:rsidR="007777D4" w:rsidRDefault="007777D4" w:rsidP="0012162E">
      <w:pPr>
        <w:spacing w:after="0" w:line="240" w:lineRule="auto"/>
      </w:pPr>
      <w:r>
        <w:continuationSeparator/>
      </w:r>
    </w:p>
  </w:endnote>
  <w:endnote w:type="continuationNotice" w:id="1">
    <w:p w14:paraId="4139CDB1" w14:textId="77777777" w:rsidR="007777D4" w:rsidRDefault="00777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Condensed Light">
    <w:altName w:val="Segoe UI Semilight"/>
    <w:charset w:val="00"/>
    <w:family w:val="swiss"/>
    <w:pitch w:val="variable"/>
    <w:sig w:usb0="00000001" w:usb1="4000205B" w:usb2="00000028" w:usb3="00000000" w:csb0="0000019F" w:csb1="00000000"/>
  </w:font>
  <w:font w:name="Open Sans Light">
    <w:altName w:val="Segoe UI Semilight"/>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1179079"/>
      <w:docPartObj>
        <w:docPartGallery w:val="Page Numbers (Bottom of Page)"/>
        <w:docPartUnique/>
      </w:docPartObj>
    </w:sdtPr>
    <w:sdtEndPr>
      <w:rPr>
        <w:rFonts w:ascii="Garamond" w:hAnsi="Garamond"/>
        <w:noProof/>
        <w:sz w:val="20"/>
        <w:szCs w:val="20"/>
      </w:rPr>
    </w:sdtEndPr>
    <w:sdtContent>
      <w:p w14:paraId="7172BFAF" w14:textId="1585756C" w:rsidR="007777D4" w:rsidRPr="00EA7130" w:rsidRDefault="007777D4" w:rsidP="00EA7130">
        <w:pPr>
          <w:pStyle w:val="Footer"/>
          <w:jc w:val="center"/>
          <w:rPr>
            <w:rFonts w:ascii="Garamond" w:hAnsi="Garamond"/>
            <w:sz w:val="20"/>
            <w:szCs w:val="20"/>
          </w:rPr>
        </w:pPr>
        <w:r w:rsidRPr="00EA7130">
          <w:rPr>
            <w:rFonts w:ascii="Garamond" w:hAnsi="Garamond"/>
            <w:sz w:val="20"/>
            <w:szCs w:val="20"/>
          </w:rPr>
          <w:fldChar w:fldCharType="begin"/>
        </w:r>
        <w:r w:rsidRPr="00EA7130">
          <w:rPr>
            <w:rFonts w:ascii="Garamond" w:hAnsi="Garamond"/>
            <w:sz w:val="20"/>
            <w:szCs w:val="20"/>
          </w:rPr>
          <w:instrText xml:space="preserve"> PAGE   \* MERGEFORMAT </w:instrText>
        </w:r>
        <w:r w:rsidRPr="00EA7130">
          <w:rPr>
            <w:rFonts w:ascii="Garamond" w:hAnsi="Garamond"/>
            <w:sz w:val="20"/>
            <w:szCs w:val="20"/>
          </w:rPr>
          <w:fldChar w:fldCharType="separate"/>
        </w:r>
        <w:r w:rsidR="00A52504">
          <w:rPr>
            <w:rFonts w:ascii="Garamond" w:hAnsi="Garamond"/>
            <w:noProof/>
            <w:sz w:val="20"/>
            <w:szCs w:val="20"/>
          </w:rPr>
          <w:t>147</w:t>
        </w:r>
        <w:r w:rsidRPr="00EA7130">
          <w:rPr>
            <w:rFonts w:ascii="Garamond" w:hAnsi="Garamond"/>
            <w:noProof/>
            <w:sz w:val="20"/>
            <w:szCs w:val="20"/>
          </w:rPr>
          <w:fldChar w:fldCharType="end"/>
        </w:r>
      </w:p>
    </w:sdtContent>
  </w:sdt>
  <w:p w14:paraId="17452162" w14:textId="77777777" w:rsidR="007777D4" w:rsidRDefault="007777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684BC" w14:textId="77777777" w:rsidR="007777D4" w:rsidRDefault="007777D4" w:rsidP="0012162E">
      <w:pPr>
        <w:spacing w:after="0" w:line="240" w:lineRule="auto"/>
      </w:pPr>
      <w:r>
        <w:separator/>
      </w:r>
    </w:p>
  </w:footnote>
  <w:footnote w:type="continuationSeparator" w:id="0">
    <w:p w14:paraId="545684BD" w14:textId="77777777" w:rsidR="007777D4" w:rsidRDefault="007777D4" w:rsidP="0012162E">
      <w:pPr>
        <w:spacing w:after="0" w:line="240" w:lineRule="auto"/>
      </w:pPr>
      <w:r>
        <w:continuationSeparator/>
      </w:r>
    </w:p>
  </w:footnote>
  <w:footnote w:type="continuationNotice" w:id="1">
    <w:p w14:paraId="32C8D422" w14:textId="77777777" w:rsidR="007777D4" w:rsidRDefault="007777D4">
      <w:pPr>
        <w:spacing w:after="0" w:line="240" w:lineRule="auto"/>
      </w:pPr>
    </w:p>
  </w:footnote>
  <w:footnote w:id="2">
    <w:p w14:paraId="3705A8F7" w14:textId="4499EC32" w:rsidR="007777D4" w:rsidRPr="00D94F59" w:rsidRDefault="007777D4" w:rsidP="00D94F59">
      <w:pPr>
        <w:pStyle w:val="FootnoteText"/>
        <w:rPr>
          <w:rFonts w:ascii="Garamond" w:hAnsi="Garamond"/>
          <w:lang w:val="sq-AL"/>
        </w:rPr>
      </w:pPr>
      <w:r w:rsidRPr="00D94F59">
        <w:rPr>
          <w:rStyle w:val="FootnoteReference"/>
          <w:rFonts w:ascii="Garamond" w:hAnsi="Garamond"/>
          <w:lang w:val="sq-AL"/>
        </w:rPr>
        <w:footnoteRef/>
      </w:r>
      <w:r w:rsidRPr="00D94F59">
        <w:rPr>
          <w:rFonts w:ascii="Garamond" w:hAnsi="Garamond"/>
          <w:lang w:val="sq-AL"/>
        </w:rPr>
        <w:t xml:space="preserve"> Findex</w:t>
      </w:r>
      <w:r>
        <w:rPr>
          <w:rFonts w:ascii="Garamond" w:hAnsi="Garamond"/>
          <w:lang w:val="sq-AL"/>
        </w:rPr>
        <w:t>.</w:t>
      </w:r>
    </w:p>
  </w:footnote>
  <w:footnote w:id="3">
    <w:p w14:paraId="6F2FD1DC" w14:textId="718992BC" w:rsidR="007777D4" w:rsidRPr="00D94F59" w:rsidRDefault="007777D4" w:rsidP="00D94F59">
      <w:pPr>
        <w:pStyle w:val="FootnoteText"/>
        <w:rPr>
          <w:rFonts w:ascii="Garamond" w:hAnsi="Garamond"/>
          <w:lang w:val="sq-AL"/>
        </w:rPr>
      </w:pPr>
      <w:r w:rsidRPr="00D94F59">
        <w:rPr>
          <w:rStyle w:val="FootnoteReference"/>
          <w:rFonts w:ascii="Garamond" w:hAnsi="Garamond"/>
          <w:lang w:val="sq-AL"/>
        </w:rPr>
        <w:footnoteRef/>
      </w:r>
      <w:r w:rsidRPr="00D94F59">
        <w:rPr>
          <w:rFonts w:ascii="Garamond" w:hAnsi="Garamond"/>
          <w:lang w:val="sq-AL"/>
        </w:rPr>
        <w:t xml:space="preserve"> </w:t>
      </w:r>
      <w:hyperlink r:id="rId1" w:history="1">
        <w:r w:rsidRPr="004A3F07">
          <w:rPr>
            <w:rStyle w:val="Hyperlink"/>
            <w:rFonts w:ascii="Garamond" w:hAnsi="Garamond"/>
            <w:lang w:val="sq-AL"/>
          </w:rPr>
          <w:t>https://www.bankofalbania.org/rc/doc/NRPS_update_3July2018_12078.docx</w:t>
        </w:r>
      </w:hyperlink>
      <w:r>
        <w:rPr>
          <w:rFonts w:ascii="Garamond" w:hAnsi="Garamond"/>
          <w:lang w:val="sq-AL"/>
        </w:rPr>
        <w:t>.</w:t>
      </w:r>
      <w:r w:rsidRPr="00D94F59">
        <w:rPr>
          <w:rFonts w:ascii="Garamond" w:hAnsi="Garamond"/>
          <w:lang w:val="sq-AL"/>
        </w:rPr>
        <w:t xml:space="preserve"> </w:t>
      </w:r>
    </w:p>
    <w:p w14:paraId="1892E5BA" w14:textId="45CF2CC2" w:rsidR="007777D4" w:rsidRPr="00D94F59" w:rsidRDefault="007777D4" w:rsidP="00D94F59">
      <w:pPr>
        <w:pStyle w:val="FootnoteText"/>
        <w:rPr>
          <w:rFonts w:ascii="Garamond" w:hAnsi="Garamond"/>
          <w:lang w:val="sq-AL"/>
        </w:rPr>
      </w:pPr>
      <w:r>
        <w:rPr>
          <w:rFonts w:ascii="Garamond" w:hAnsi="Garamond"/>
          <w:lang w:val="sq-AL"/>
        </w:rPr>
        <w:t xml:space="preserve"> </w:t>
      </w:r>
      <w:hyperlink r:id="rId2" w:history="1">
        <w:r w:rsidRPr="004A3F07">
          <w:rPr>
            <w:rStyle w:val="Hyperlink"/>
            <w:rFonts w:ascii="Garamond" w:hAnsi="Garamond"/>
            <w:lang w:val="sq-AL"/>
          </w:rPr>
          <w:t>https://www.bankofalbania.org/rc/doc/raporti_i_Perfshirjes_finaciare_12072.docx</w:t>
        </w:r>
      </w:hyperlink>
      <w:r>
        <w:rPr>
          <w:rFonts w:ascii="Garamond" w:hAnsi="Garamond"/>
          <w:lang w:val="sq-AL"/>
        </w:rPr>
        <w:t>.</w:t>
      </w:r>
      <w:r w:rsidRPr="00D94F59">
        <w:rPr>
          <w:rFonts w:ascii="Garamond" w:hAnsi="Garamond"/>
          <w:lang w:val="sq-AL"/>
        </w:rPr>
        <w:t xml:space="preserve"> </w:t>
      </w:r>
    </w:p>
    <w:p w14:paraId="5683CD56" w14:textId="37F4EF0F" w:rsidR="007777D4" w:rsidRPr="00D94F59" w:rsidRDefault="007777D4" w:rsidP="00D94F59">
      <w:pPr>
        <w:pStyle w:val="FootnoteText"/>
        <w:rPr>
          <w:rFonts w:ascii="Garamond" w:hAnsi="Garamond"/>
          <w:lang w:val="sq-AL"/>
        </w:rPr>
      </w:pPr>
      <w:r>
        <w:rPr>
          <w:rFonts w:ascii="Garamond" w:hAnsi="Garamond"/>
          <w:lang w:val="sq-AL"/>
        </w:rPr>
        <w:t xml:space="preserve"> </w:t>
      </w:r>
      <w:hyperlink r:id="rId3" w:history="1">
        <w:r w:rsidRPr="004A3F07">
          <w:rPr>
            <w:rStyle w:val="Hyperlink"/>
            <w:rFonts w:ascii="Garamond" w:hAnsi="Garamond"/>
            <w:lang w:val="sq-AL"/>
          </w:rPr>
          <w:t>https://www.bankofalbania.org/rc/doc/WB_RetailPmt_Albania_WEB_Final_12074.pdf</w:t>
        </w:r>
      </w:hyperlink>
      <w:r>
        <w:rPr>
          <w:rFonts w:ascii="Garamond" w:hAnsi="Garamond"/>
          <w:lang w:val="sq-AL"/>
        </w:rPr>
        <w:t>.</w:t>
      </w:r>
    </w:p>
    <w:p w14:paraId="196941FF" w14:textId="4A83F175" w:rsidR="007777D4" w:rsidRPr="00506131" w:rsidRDefault="007777D4" w:rsidP="00D94F59">
      <w:pPr>
        <w:pStyle w:val="FootnoteText"/>
        <w:rPr>
          <w:rFonts w:ascii="Arial Narrow" w:hAnsi="Arial Narrow"/>
          <w:lang w:val="sq-AL"/>
        </w:rPr>
      </w:pPr>
      <w:r>
        <w:rPr>
          <w:rFonts w:ascii="Garamond" w:hAnsi="Garamond"/>
          <w:lang w:val="sq-AL"/>
        </w:rPr>
        <w:t xml:space="preserve"> </w:t>
      </w:r>
      <w:hyperlink r:id="rId4" w:history="1">
        <w:r w:rsidRPr="004A3F07">
          <w:rPr>
            <w:rStyle w:val="Hyperlink"/>
            <w:rFonts w:ascii="Garamond" w:hAnsi="Garamond"/>
            <w:lang w:val="sq-AL"/>
          </w:rPr>
          <w:t>https://www.bankofalbania.org/rc/doc/remittances_Report_12169.pdf</w:t>
        </w:r>
      </w:hyperlink>
      <w:r>
        <w:rPr>
          <w:rFonts w:ascii="Garamond" w:hAnsi="Garamond"/>
          <w:lang w:val="sq-AL"/>
        </w:rPr>
        <w:t>.</w:t>
      </w:r>
    </w:p>
  </w:footnote>
  <w:footnote w:id="4">
    <w:p w14:paraId="3F6C53D1" w14:textId="267B2896" w:rsidR="007777D4" w:rsidRPr="004F2280" w:rsidRDefault="007777D4" w:rsidP="004F2280">
      <w:pPr>
        <w:autoSpaceDE w:val="0"/>
        <w:autoSpaceDN w:val="0"/>
        <w:adjustRightInd w:val="0"/>
        <w:spacing w:after="0" w:line="240" w:lineRule="auto"/>
        <w:jc w:val="both"/>
        <w:rPr>
          <w:rFonts w:ascii="Garamond" w:hAnsi="Garamond"/>
          <w:sz w:val="20"/>
        </w:rPr>
      </w:pPr>
      <w:r w:rsidRPr="004F2280">
        <w:rPr>
          <w:rFonts w:ascii="Garamond" w:hAnsi="Garamond"/>
          <w:sz w:val="20"/>
          <w:vertAlign w:val="superscript"/>
        </w:rPr>
        <w:footnoteRef/>
      </w:r>
      <w:r w:rsidRPr="004F2280">
        <w:rPr>
          <w:rFonts w:ascii="Garamond" w:hAnsi="Garamond"/>
          <w:sz w:val="20"/>
          <w:vertAlign w:val="superscript"/>
        </w:rPr>
        <w:t xml:space="preserve"> </w:t>
      </w:r>
      <w:r w:rsidRPr="004F2280">
        <w:rPr>
          <w:rFonts w:ascii="Garamond" w:hAnsi="Garamond"/>
          <w:sz w:val="20"/>
        </w:rPr>
        <w:t>Në datën 11 qershor 2018, INSTAT</w:t>
      </w:r>
      <w:r>
        <w:rPr>
          <w:rFonts w:ascii="Garamond" w:hAnsi="Garamond"/>
          <w:sz w:val="20"/>
        </w:rPr>
        <w:t>-i</w:t>
      </w:r>
      <w:r w:rsidRPr="004F2280">
        <w:rPr>
          <w:rFonts w:ascii="Garamond" w:hAnsi="Garamond"/>
          <w:sz w:val="20"/>
        </w:rPr>
        <w:t xml:space="preserve"> publikoi për herë të parë të dhënat tremujore për pagën mesatare mujore për punonjës në ekonomi. Seria e publikuar e të dhënave fillon që nga T1 2014. Ky tregues i referohet pagës mesatare bruto dhe burimi i saj është lista e pagave nga Drejtoria e Përgjithshme e Tatimeve.</w:t>
      </w:r>
    </w:p>
  </w:footnote>
  <w:footnote w:id="5">
    <w:p w14:paraId="39D85EFB" w14:textId="69278F0A" w:rsidR="007777D4" w:rsidRPr="00355978" w:rsidRDefault="007777D4" w:rsidP="004F2280">
      <w:pPr>
        <w:autoSpaceDE w:val="0"/>
        <w:autoSpaceDN w:val="0"/>
        <w:adjustRightInd w:val="0"/>
        <w:spacing w:after="0" w:line="240" w:lineRule="auto"/>
        <w:jc w:val="both"/>
        <w:rPr>
          <w:rFonts w:ascii="Times New Roman" w:hAnsi="Times New Roman"/>
          <w:color w:val="000000"/>
          <w:sz w:val="20"/>
          <w:szCs w:val="20"/>
        </w:rPr>
      </w:pPr>
      <w:r w:rsidRPr="004F2280">
        <w:rPr>
          <w:rFonts w:ascii="Garamond" w:hAnsi="Garamond"/>
          <w:sz w:val="20"/>
          <w:szCs w:val="20"/>
          <w:vertAlign w:val="superscript"/>
        </w:rPr>
        <w:footnoteRef/>
      </w:r>
      <w:r w:rsidRPr="004F2280">
        <w:rPr>
          <w:rFonts w:ascii="Garamond" w:hAnsi="Garamond"/>
          <w:sz w:val="20"/>
          <w:szCs w:val="20"/>
          <w:vertAlign w:val="superscript"/>
        </w:rPr>
        <w:t xml:space="preserve"> </w:t>
      </w:r>
      <w:r w:rsidRPr="004F2280">
        <w:rPr>
          <w:rFonts w:ascii="Garamond" w:hAnsi="Garamond"/>
          <w:sz w:val="20"/>
          <w:szCs w:val="20"/>
        </w:rPr>
        <w:t xml:space="preserve">Treguesit e produktivitetit të punës, kostove të punës për njësi të prodhimit dhe </w:t>
      </w:r>
      <w:r>
        <w:rPr>
          <w:rFonts w:ascii="Garamond" w:hAnsi="Garamond"/>
          <w:sz w:val="20"/>
          <w:szCs w:val="20"/>
        </w:rPr>
        <w:t xml:space="preserve">të </w:t>
      </w:r>
      <w:r w:rsidRPr="004F2280">
        <w:rPr>
          <w:rFonts w:ascii="Garamond" w:hAnsi="Garamond"/>
          <w:sz w:val="20"/>
          <w:szCs w:val="20"/>
        </w:rPr>
        <w:t>pagës mesatare nga statistikat afatshkurtra llogariten nga Banka e Shqipërisë</w:t>
      </w:r>
      <w:r>
        <w:rPr>
          <w:rFonts w:ascii="Garamond" w:hAnsi="Garamond"/>
          <w:sz w:val="20"/>
          <w:szCs w:val="20"/>
        </w:rPr>
        <w:t>,</w:t>
      </w:r>
      <w:r w:rsidRPr="004F2280">
        <w:rPr>
          <w:rFonts w:ascii="Garamond" w:hAnsi="Garamond"/>
          <w:sz w:val="20"/>
          <w:szCs w:val="20"/>
        </w:rPr>
        <w:t xml:space="preserve"> duke përdorur seritë totale nga </w:t>
      </w:r>
      <w:r>
        <w:rPr>
          <w:rFonts w:ascii="Garamond" w:hAnsi="Garamond"/>
          <w:sz w:val="20"/>
          <w:szCs w:val="20"/>
        </w:rPr>
        <w:t>“</w:t>
      </w:r>
      <w:r w:rsidRPr="004F2280">
        <w:rPr>
          <w:rFonts w:ascii="Garamond" w:hAnsi="Garamond"/>
          <w:sz w:val="20"/>
          <w:szCs w:val="20"/>
        </w:rPr>
        <w:t>Statistikat afatshkurtra</w:t>
      </w:r>
      <w:r>
        <w:rPr>
          <w:rFonts w:ascii="Garamond" w:hAnsi="Garamond"/>
          <w:sz w:val="20"/>
          <w:szCs w:val="20"/>
        </w:rPr>
        <w:t>”</w:t>
      </w:r>
      <w:r w:rsidRPr="004F2280">
        <w:rPr>
          <w:rFonts w:ascii="Garamond" w:hAnsi="Garamond"/>
          <w:sz w:val="20"/>
          <w:szCs w:val="20"/>
        </w:rPr>
        <w:t xml:space="preserve"> (INSTAT, botimi i fundit 2019 T3).</w:t>
      </w:r>
    </w:p>
  </w:footnote>
  <w:footnote w:id="6">
    <w:p w14:paraId="6182F534" w14:textId="2BCE0458" w:rsidR="007777D4" w:rsidRPr="007E4B2C" w:rsidRDefault="007777D4" w:rsidP="000045A9">
      <w:pPr>
        <w:pStyle w:val="FootnoteText"/>
        <w:jc w:val="both"/>
        <w:rPr>
          <w:rFonts w:ascii="Garamond" w:hAnsi="Garamond"/>
          <w:sz w:val="18"/>
          <w:lang w:val="sq-AL"/>
        </w:rPr>
      </w:pPr>
      <w:r w:rsidRPr="007E4B2C">
        <w:rPr>
          <w:rFonts w:ascii="Garamond" w:hAnsi="Garamond"/>
          <w:vertAlign w:val="superscript"/>
          <w:lang w:val="sq-AL"/>
        </w:rPr>
        <w:footnoteRef/>
      </w:r>
      <w:r w:rsidRPr="007E4B2C">
        <w:rPr>
          <w:rFonts w:ascii="Garamond" w:hAnsi="Garamond"/>
          <w:lang w:val="sq-AL"/>
        </w:rPr>
        <w:t xml:space="preserve"> Nënkomponentët përbërës të grupit të produkteve energjetike janë karburant për mjete personale transporti, lëndë djegëse (bombola gazi) dhe dru zjarri.</w:t>
      </w:r>
      <w:r w:rsidRPr="007E4B2C">
        <w:rPr>
          <w:rFonts w:ascii="Garamond" w:hAnsi="Garamond" w:cs="Open Sans Condensed Light"/>
          <w:sz w:val="18"/>
          <w:szCs w:val="22"/>
          <w:lang w:val="sq-AL"/>
        </w:rPr>
        <w:t xml:space="preserve"> </w:t>
      </w:r>
    </w:p>
  </w:footnote>
  <w:footnote w:id="7">
    <w:p w14:paraId="4BB4D347" w14:textId="348F3E7C" w:rsidR="007777D4" w:rsidRPr="002E283B" w:rsidRDefault="007777D4" w:rsidP="00731B59">
      <w:pPr>
        <w:pStyle w:val="FootnoteText"/>
        <w:rPr>
          <w:rFonts w:ascii="Garamond" w:hAnsi="Garamond"/>
          <w:sz w:val="18"/>
          <w:szCs w:val="18"/>
          <w:lang w:val="sq-AL"/>
        </w:rPr>
      </w:pPr>
      <w:r w:rsidRPr="002E283B">
        <w:rPr>
          <w:rStyle w:val="FootnoteReference"/>
          <w:rFonts w:ascii="Garamond" w:hAnsi="Garamond"/>
          <w:szCs w:val="18"/>
        </w:rPr>
        <w:footnoteRef/>
      </w:r>
      <w:r w:rsidRPr="002E283B">
        <w:rPr>
          <w:rFonts w:ascii="Garamond" w:hAnsi="Garamond"/>
          <w:szCs w:val="18"/>
          <w:lang w:val="sq-AL"/>
        </w:rPr>
        <w:t xml:space="preserve"> Shihni</w:t>
      </w:r>
      <w:r>
        <w:rPr>
          <w:rFonts w:ascii="Garamond" w:hAnsi="Garamond"/>
          <w:szCs w:val="18"/>
          <w:lang w:val="sq-AL"/>
        </w:rPr>
        <w:t>:</w:t>
      </w:r>
      <w:r w:rsidRPr="002E283B">
        <w:rPr>
          <w:rFonts w:ascii="Garamond" w:hAnsi="Garamond"/>
          <w:szCs w:val="18"/>
          <w:lang w:val="sq-AL"/>
        </w:rPr>
        <w:t xml:space="preserve"> </w:t>
      </w:r>
      <w:hyperlink r:id="rId5" w:history="1">
        <w:r w:rsidRPr="002E283B">
          <w:rPr>
            <w:rStyle w:val="Hyperlink"/>
            <w:rFonts w:ascii="Garamond" w:hAnsi="Garamond"/>
            <w:szCs w:val="18"/>
            <w:lang w:val="sq-AL"/>
          </w:rPr>
          <w:t>http://go.worldbank.org/KQCHUD4JN0</w:t>
        </w:r>
      </w:hyperlink>
      <w:r w:rsidRPr="002E283B">
        <w:rPr>
          <w:rFonts w:ascii="Garamond" w:hAnsi="Garamond"/>
          <w:szCs w:val="18"/>
          <w:lang w:val="sq-AL"/>
        </w:rPr>
        <w:t xml:space="preserve"> për një diskutim mbi PKT</w:t>
      </w:r>
      <w:r>
        <w:rPr>
          <w:rFonts w:ascii="Garamond" w:hAnsi="Garamond"/>
          <w:szCs w:val="18"/>
          <w:lang w:val="sq-AL"/>
        </w:rPr>
        <w:t>-në.</w:t>
      </w:r>
    </w:p>
  </w:footnote>
  <w:footnote w:id="8">
    <w:p w14:paraId="1FF96ED3" w14:textId="77777777" w:rsidR="007777D4" w:rsidRPr="00864186" w:rsidRDefault="007777D4" w:rsidP="00D24250">
      <w:pPr>
        <w:pStyle w:val="FootnoteText"/>
        <w:rPr>
          <w:rFonts w:ascii="Garamond" w:hAnsi="Garamond"/>
        </w:rPr>
      </w:pPr>
      <w:r w:rsidRPr="00864186">
        <w:rPr>
          <w:rStyle w:val="FootnoteReference"/>
          <w:rFonts w:ascii="Garamond" w:hAnsi="Garamond"/>
        </w:rPr>
        <w:footnoteRef/>
      </w:r>
      <w:r w:rsidRPr="00864186">
        <w:rPr>
          <w:rFonts w:ascii="Garamond" w:hAnsi="Garamond"/>
        </w:rPr>
        <w:t xml:space="preserve"> Raporti i kredive me problem për IFJB-të ra në 9% në qershor 2019 nga 13% në dhjetor 2018. </w:t>
      </w:r>
    </w:p>
  </w:footnote>
  <w:footnote w:id="9">
    <w:p w14:paraId="64937B28" w14:textId="155A3910" w:rsidR="007777D4" w:rsidRPr="00E25EF8" w:rsidRDefault="007777D4" w:rsidP="00574843">
      <w:pPr>
        <w:pStyle w:val="FootnoteText"/>
        <w:jc w:val="both"/>
        <w:rPr>
          <w:rFonts w:ascii="Garamond" w:hAnsi="Garamond"/>
          <w:i/>
        </w:rPr>
      </w:pPr>
      <w:r w:rsidRPr="00E25EF8">
        <w:rPr>
          <w:rFonts w:ascii="Garamond" w:hAnsi="Garamond"/>
          <w:i/>
          <w:vertAlign w:val="superscript"/>
        </w:rPr>
        <w:t xml:space="preserve">1 </w:t>
      </w:r>
      <w:r w:rsidRPr="00E25EF8">
        <w:rPr>
          <w:rFonts w:ascii="Garamond" w:hAnsi="Garamond"/>
        </w:rPr>
        <w:t>Anglisht:</w:t>
      </w:r>
      <w:r w:rsidRPr="00E25EF8">
        <w:rPr>
          <w:rFonts w:ascii="Garamond" w:hAnsi="Garamond"/>
          <w:i/>
        </w:rPr>
        <w:t xml:space="preserve"> Regulation (EU) No 575/2013 of the European Parliament and of the Council </w:t>
      </w:r>
      <w:r>
        <w:rPr>
          <w:rFonts w:ascii="Garamond" w:hAnsi="Garamond"/>
          <w:i/>
        </w:rPr>
        <w:t>“</w:t>
      </w:r>
      <w:r w:rsidRPr="00E25EF8">
        <w:rPr>
          <w:rFonts w:ascii="Garamond" w:hAnsi="Garamond"/>
          <w:i/>
        </w:rPr>
        <w:t>On prudential requirements for credit institutions and investment firms</w:t>
      </w:r>
      <w:r>
        <w:rPr>
          <w:rFonts w:ascii="Garamond" w:hAnsi="Garamond"/>
          <w:i/>
        </w:rPr>
        <w:t>”</w:t>
      </w:r>
      <w:r w:rsidRPr="00E25EF8">
        <w:rPr>
          <w:rFonts w:ascii="Garamond" w:hAnsi="Garamond"/>
          <w:i/>
        </w:rPr>
        <w:t>.</w:t>
      </w:r>
    </w:p>
  </w:footnote>
  <w:footnote w:id="10">
    <w:p w14:paraId="08E89EE7" w14:textId="77777777" w:rsidR="007777D4" w:rsidRPr="00E25EF8" w:rsidRDefault="007777D4" w:rsidP="00574843">
      <w:pPr>
        <w:pStyle w:val="FootnoteText"/>
        <w:jc w:val="both"/>
        <w:rPr>
          <w:rFonts w:ascii="Garamond" w:eastAsia="Times New Roman" w:hAnsi="Garamond" w:cs="Calibri"/>
        </w:rPr>
      </w:pPr>
      <w:r w:rsidRPr="00E25EF8">
        <w:rPr>
          <w:rFonts w:ascii="Garamond" w:hAnsi="Garamond"/>
          <w:i/>
          <w:vertAlign w:val="superscript"/>
        </w:rPr>
        <w:t xml:space="preserve">2 </w:t>
      </w:r>
      <w:r w:rsidRPr="00E25EF8">
        <w:rPr>
          <w:rFonts w:ascii="Garamond" w:hAnsi="Garamond"/>
        </w:rPr>
        <w:t>Anglisht:</w:t>
      </w:r>
      <w:r w:rsidRPr="00E25EF8">
        <w:rPr>
          <w:rFonts w:ascii="Garamond" w:hAnsi="Garamond"/>
          <w:i/>
        </w:rPr>
        <w:t xml:space="preserve"> Commission Delegated Regulation (EU) 2015/61 to supplement Regulation (EU) No 575/2013 of the European Parliament and the Council with regard to liquidity coverage requirement for Credit Institutions.</w:t>
      </w:r>
    </w:p>
  </w:footnote>
  <w:footnote w:id="11">
    <w:p w14:paraId="4C1F11E1" w14:textId="4581A68E" w:rsidR="007777D4" w:rsidRPr="00151420" w:rsidRDefault="007777D4" w:rsidP="00151420">
      <w:pPr>
        <w:pStyle w:val="TEKSTIIII"/>
        <w:ind w:firstLine="0"/>
        <w:jc w:val="left"/>
        <w:rPr>
          <w:sz w:val="20"/>
          <w:szCs w:val="20"/>
        </w:rPr>
      </w:pPr>
      <w:r w:rsidRPr="00151420">
        <w:rPr>
          <w:rStyle w:val="FootnoteReference"/>
          <w:sz w:val="20"/>
          <w:szCs w:val="20"/>
        </w:rPr>
        <w:footnoteRef/>
      </w:r>
      <w:r w:rsidRPr="00151420">
        <w:rPr>
          <w:sz w:val="20"/>
          <w:szCs w:val="20"/>
        </w:rPr>
        <w:t xml:space="preserve"> Linku për aksesimin e raportit WEO – </w:t>
      </w:r>
      <w:hyperlink r:id="rId6" w:history="1">
        <w:r w:rsidRPr="00875E85">
          <w:rPr>
            <w:rStyle w:val="Hyperlink"/>
            <w:sz w:val="20"/>
            <w:szCs w:val="20"/>
          </w:rPr>
          <w:t>https://www.imf.org/en/Publications/WEO/Issues/2019/10/01/world-economic-outlook-october-2019</w:t>
        </w:r>
      </w:hyperlink>
      <w:r>
        <w:rPr>
          <w:sz w:val="20"/>
          <w:szCs w:val="20"/>
        </w:rPr>
        <w:t xml:space="preserve">. </w:t>
      </w:r>
    </w:p>
  </w:footnote>
  <w:footnote w:id="12">
    <w:p w14:paraId="509C6B8D" w14:textId="132A1AEB" w:rsidR="007777D4" w:rsidRPr="002B784A" w:rsidRDefault="007777D4" w:rsidP="002B784A">
      <w:pPr>
        <w:pStyle w:val="FootnoteText"/>
        <w:jc w:val="both"/>
        <w:rPr>
          <w:rFonts w:ascii="Garamond" w:hAnsi="Garamond" w:cs="Open Sans Condensed Light"/>
          <w:sz w:val="18"/>
          <w:szCs w:val="18"/>
          <w:lang w:val="sq-AL"/>
        </w:rPr>
      </w:pPr>
      <w:r w:rsidRPr="002B784A">
        <w:rPr>
          <w:rStyle w:val="FootnoteReference"/>
          <w:rFonts w:ascii="Garamond" w:hAnsi="Garamond" w:cs="Open Sans Condensed Light"/>
          <w:sz w:val="18"/>
          <w:szCs w:val="18"/>
          <w:lang w:val="sq-AL"/>
        </w:rPr>
        <w:footnoteRef/>
      </w:r>
      <w:r w:rsidRPr="002B784A">
        <w:rPr>
          <w:rFonts w:ascii="Garamond" w:hAnsi="Garamond" w:cs="Open Sans Condensed Light"/>
          <w:sz w:val="18"/>
          <w:szCs w:val="18"/>
          <w:lang w:val="sq-AL"/>
        </w:rPr>
        <w:t xml:space="preserve"> </w:t>
      </w:r>
      <w:r w:rsidRPr="002B784A">
        <w:rPr>
          <w:rFonts w:ascii="Garamond" w:hAnsi="Garamond"/>
          <w:sz w:val="18"/>
          <w:szCs w:val="18"/>
          <w:lang w:val="sq-AL"/>
        </w:rPr>
        <w:t>Për shkak të mungesës së të dhënave dhe serive relativisht të shkurtra, në rastin e qasjes së disagregimit</w:t>
      </w:r>
      <w:r>
        <w:rPr>
          <w:rFonts w:ascii="Garamond" w:hAnsi="Garamond"/>
          <w:sz w:val="18"/>
          <w:szCs w:val="18"/>
          <w:lang w:val="sq-AL"/>
        </w:rPr>
        <w:t>, disa nga elasticitetet</w:t>
      </w:r>
      <w:r w:rsidRPr="002B784A">
        <w:rPr>
          <w:rFonts w:ascii="Garamond" w:hAnsi="Garamond"/>
          <w:sz w:val="18"/>
          <w:szCs w:val="18"/>
          <w:lang w:val="sq-AL"/>
        </w:rPr>
        <w:t>/koeficientët e vlerësuar nuk ishin të rëndësishëm në nivelet konvencionale dhe disa supozime u vendosën</w:t>
      </w:r>
      <w:r>
        <w:rPr>
          <w:rFonts w:ascii="Garamond" w:hAnsi="Garamond"/>
          <w:sz w:val="18"/>
          <w:szCs w:val="18"/>
          <w:lang w:val="sq-AL"/>
        </w:rPr>
        <w:t>.</w:t>
      </w:r>
    </w:p>
  </w:footnote>
  <w:footnote w:id="13">
    <w:p w14:paraId="70E2C700" w14:textId="19E76EA5" w:rsidR="007777D4" w:rsidRPr="00EA7130" w:rsidRDefault="007777D4" w:rsidP="00C003CE">
      <w:pPr>
        <w:pStyle w:val="FootnoteText"/>
        <w:ind w:left="90" w:hanging="90"/>
        <w:rPr>
          <w:rFonts w:ascii="Garamond" w:hAnsi="Garamond"/>
          <w:lang w:val="sq-AL"/>
        </w:rPr>
      </w:pPr>
      <w:r w:rsidRPr="00EA7130">
        <w:rPr>
          <w:rStyle w:val="FootnoteReference"/>
          <w:rFonts w:ascii="Garamond" w:hAnsi="Garamond"/>
          <w:lang w:val="sq-AL"/>
        </w:rPr>
        <w:footnoteRef/>
      </w:r>
      <w:r w:rsidRPr="00EA7130">
        <w:rPr>
          <w:rFonts w:ascii="Garamond" w:hAnsi="Garamond"/>
          <w:lang w:val="sq-AL"/>
        </w:rPr>
        <w:t xml:space="preserve"> Plani vjetor referuar aktit normativ nr. 2, datë 2.10.2019, </w:t>
      </w:r>
      <w:r>
        <w:rPr>
          <w:rFonts w:ascii="Garamond" w:hAnsi="Garamond"/>
          <w:lang w:val="sq-AL"/>
        </w:rPr>
        <w:t>“</w:t>
      </w:r>
      <w:r w:rsidRPr="00EA7130">
        <w:rPr>
          <w:rFonts w:ascii="Garamond" w:hAnsi="Garamond"/>
          <w:lang w:val="sq-AL"/>
        </w:rPr>
        <w:t>Për buxhetin e vitit 2019</w:t>
      </w:r>
      <w:r>
        <w:rPr>
          <w:rFonts w:ascii="Garamond" w:hAnsi="Garamond"/>
          <w:lang w:val="sq-AL"/>
        </w:rPr>
        <w:t>”</w:t>
      </w:r>
      <w:r w:rsidRPr="00EA7130">
        <w:rPr>
          <w:rFonts w:ascii="Garamond" w:hAnsi="Garamond"/>
          <w:lang w:val="sq-AL"/>
        </w:rPr>
        <w:t>.</w:t>
      </w:r>
    </w:p>
  </w:footnote>
  <w:footnote w:id="14">
    <w:p w14:paraId="46F93BD8" w14:textId="4B5C9A79" w:rsidR="007777D4" w:rsidRPr="00EA7130" w:rsidRDefault="007777D4" w:rsidP="00C003CE">
      <w:pPr>
        <w:pStyle w:val="FootnoteText"/>
        <w:rPr>
          <w:rFonts w:ascii="Arial Narrow" w:hAnsi="Arial Narrow"/>
          <w:sz w:val="18"/>
          <w:szCs w:val="18"/>
          <w:lang w:val="sq-AL"/>
        </w:rPr>
      </w:pPr>
      <w:r w:rsidRPr="00EA7130">
        <w:rPr>
          <w:rStyle w:val="FootnoteReference"/>
          <w:rFonts w:ascii="Garamond" w:hAnsi="Garamond"/>
          <w:lang w:val="sq-AL"/>
        </w:rPr>
        <w:footnoteRef/>
      </w:r>
      <w:r w:rsidRPr="00EA7130">
        <w:rPr>
          <w:rFonts w:ascii="Garamond" w:hAnsi="Garamond"/>
          <w:lang w:val="sq-AL"/>
        </w:rPr>
        <w:t xml:space="preserve"> PBB mbi bazë vjetore, sipas draftkuadrit makroekonomik dhe fiskal, 2021–2023.</w:t>
      </w:r>
      <w:r w:rsidRPr="00EA7130">
        <w:rPr>
          <w:rFonts w:ascii="Times New Roman" w:hAnsi="Times New Roman"/>
          <w:lang w:val="sq-AL"/>
        </w:rPr>
        <w:t xml:space="preserve"> </w:t>
      </w:r>
    </w:p>
  </w:footnote>
  <w:footnote w:id="15">
    <w:p w14:paraId="030FF5FC" w14:textId="4A367866" w:rsidR="007777D4" w:rsidRPr="00854635" w:rsidRDefault="007777D4" w:rsidP="00010B63">
      <w:pPr>
        <w:pStyle w:val="TEKSTIIII"/>
        <w:ind w:firstLine="0"/>
        <w:rPr>
          <w:sz w:val="20"/>
          <w:szCs w:val="20"/>
        </w:rPr>
      </w:pPr>
      <w:r w:rsidRPr="00854635">
        <w:rPr>
          <w:rStyle w:val="FootnoteReference"/>
          <w:sz w:val="20"/>
          <w:szCs w:val="20"/>
        </w:rPr>
        <w:t>1</w:t>
      </w:r>
      <w:r w:rsidRPr="00854635">
        <w:rPr>
          <w:sz w:val="20"/>
          <w:szCs w:val="20"/>
        </w:rPr>
        <w:t xml:space="preserve"> Kontrata PPP </w:t>
      </w:r>
      <w:r>
        <w:rPr>
          <w:sz w:val="20"/>
          <w:szCs w:val="20"/>
        </w:rPr>
        <w:t>“</w:t>
      </w:r>
      <w:r w:rsidRPr="00854635">
        <w:rPr>
          <w:sz w:val="20"/>
          <w:szCs w:val="20"/>
        </w:rPr>
        <w:t>Ndërtimi, operimi dhe transferimi (BOT) HEC mbi lumin Devoll, rimbursimi i ndërtimit të rrugëve zëvendësuese përfundon në fund të vitit 2019, vit në të cilin parashikohet të kryhet dhe pagesa e fundit.</w:t>
      </w:r>
    </w:p>
  </w:footnote>
  <w:footnote w:id="16">
    <w:p w14:paraId="272FEF88" w14:textId="49D65969" w:rsidR="007777D4" w:rsidRPr="000769E2" w:rsidRDefault="007777D4" w:rsidP="000769E2">
      <w:pPr>
        <w:pStyle w:val="TEKSTIIII"/>
        <w:ind w:firstLine="0"/>
        <w:rPr>
          <w:sz w:val="20"/>
          <w:szCs w:val="20"/>
        </w:rPr>
      </w:pPr>
      <w:r w:rsidRPr="000769E2">
        <w:rPr>
          <w:rStyle w:val="FootnoteReference"/>
          <w:sz w:val="20"/>
          <w:szCs w:val="20"/>
        </w:rPr>
        <w:footnoteRef/>
      </w:r>
      <w:r w:rsidRPr="000769E2">
        <w:rPr>
          <w:sz w:val="20"/>
          <w:szCs w:val="20"/>
        </w:rPr>
        <w:t xml:space="preserve"> Në përputhje me ligjin 93/2015</w:t>
      </w:r>
      <w:r>
        <w:rPr>
          <w:sz w:val="20"/>
          <w:szCs w:val="20"/>
        </w:rPr>
        <w:t>,</w:t>
      </w:r>
      <w:r w:rsidRPr="000769E2">
        <w:rPr>
          <w:sz w:val="20"/>
          <w:szCs w:val="20"/>
        </w:rPr>
        <w:t xml:space="preserve"> </w:t>
      </w:r>
      <w:r>
        <w:rPr>
          <w:sz w:val="20"/>
          <w:szCs w:val="20"/>
        </w:rPr>
        <w:t>“</w:t>
      </w:r>
      <w:r w:rsidRPr="000769E2">
        <w:rPr>
          <w:sz w:val="20"/>
          <w:szCs w:val="20"/>
        </w:rPr>
        <w:t>Për turizmin</w:t>
      </w:r>
      <w:r>
        <w:rPr>
          <w:sz w:val="20"/>
          <w:szCs w:val="20"/>
        </w:rPr>
        <w:t>”</w:t>
      </w:r>
      <w:r w:rsidRPr="000769E2">
        <w:rPr>
          <w:sz w:val="20"/>
          <w:szCs w:val="20"/>
        </w:rPr>
        <w:t xml:space="preserve"> dhe VKM</w:t>
      </w:r>
      <w:r>
        <w:rPr>
          <w:sz w:val="20"/>
          <w:szCs w:val="20"/>
        </w:rPr>
        <w:t>-në</w:t>
      </w:r>
      <w:r w:rsidRPr="000769E2">
        <w:rPr>
          <w:sz w:val="20"/>
          <w:szCs w:val="20"/>
        </w:rPr>
        <w:t xml:space="preserve"> nr. 730/2016</w:t>
      </w:r>
      <w:r>
        <w:rPr>
          <w:sz w:val="20"/>
          <w:szCs w:val="20"/>
        </w:rPr>
        <w:t>,</w:t>
      </w:r>
      <w:r w:rsidRPr="000769E2">
        <w:rPr>
          <w:sz w:val="20"/>
          <w:szCs w:val="20"/>
        </w:rPr>
        <w:t xml:space="preserve"> </w:t>
      </w:r>
      <w:r>
        <w:rPr>
          <w:sz w:val="20"/>
          <w:szCs w:val="20"/>
        </w:rPr>
        <w:t>“</w:t>
      </w:r>
      <w:r w:rsidRPr="000769E2">
        <w:rPr>
          <w:sz w:val="20"/>
          <w:szCs w:val="20"/>
        </w:rPr>
        <w:t>Për miratimin e rregullores për klasifikimin e strukturave të akomodimit</w:t>
      </w:r>
      <w:r>
        <w:rPr>
          <w:sz w:val="20"/>
          <w:szCs w:val="20"/>
        </w:rPr>
        <w:t>”</w:t>
      </w:r>
      <w:r w:rsidRPr="000769E2">
        <w:rPr>
          <w:sz w:val="20"/>
          <w:szCs w:val="20"/>
        </w:rPr>
        <w:t xml:space="preserve">, çdo subjekt që do të funksionojë si strukturë akomodimi duhet të pajiset me </w:t>
      </w:r>
      <w:r>
        <w:rPr>
          <w:sz w:val="20"/>
          <w:szCs w:val="20"/>
        </w:rPr>
        <w:t>certif</w:t>
      </w:r>
      <w:r w:rsidRPr="000769E2">
        <w:rPr>
          <w:sz w:val="20"/>
          <w:szCs w:val="20"/>
        </w:rPr>
        <w:t>ikatë kategorizimi</w:t>
      </w:r>
      <w:r>
        <w:rPr>
          <w:sz w:val="20"/>
          <w:szCs w:val="20"/>
        </w:rPr>
        <w:t>,</w:t>
      </w:r>
      <w:r w:rsidRPr="000769E2">
        <w:rPr>
          <w:sz w:val="20"/>
          <w:szCs w:val="20"/>
        </w:rPr>
        <w:t xml:space="preserve"> brenda 30 ditëve nga regjistrimi në Qendrën Kombëtare të Biznesit, ndërsa subjektet që aktualisht operojnë si strukturë akomoduese, duhet t</w:t>
      </w:r>
      <w:r>
        <w:rPr>
          <w:sz w:val="20"/>
          <w:szCs w:val="20"/>
        </w:rPr>
        <w:t>’</w:t>
      </w:r>
      <w:r w:rsidRPr="000769E2">
        <w:rPr>
          <w:sz w:val="20"/>
          <w:szCs w:val="20"/>
        </w:rPr>
        <w:t>i nënshtrohen procesit të kategorizimit deri më 31 dhjetor 2019, afat ky i përcaktuar në urdhrin e ministrit të Turizmit dhe Mjedisit</w:t>
      </w:r>
      <w:r>
        <w:rPr>
          <w:sz w:val="20"/>
          <w:szCs w:val="20"/>
        </w:rPr>
        <w:t>,</w:t>
      </w:r>
      <w:r w:rsidRPr="000769E2">
        <w:rPr>
          <w:sz w:val="20"/>
          <w:szCs w:val="20"/>
        </w:rPr>
        <w:t xml:space="preserve"> për miratimin e rregullores për kategorizimin e strukturave akomoduese. Kategorizimi, si pjesë e procesit të klasifikimit, nënkupton që çdo subjekt duhet të plotësojë kriteret e detyrueshme për nivelin më të ulët të sistemit të klasifikimit, të kategorisë për të cilën aplikon. Ekzistojnë 8 kategori</w:t>
      </w:r>
      <w:r>
        <w:rPr>
          <w:sz w:val="20"/>
          <w:szCs w:val="20"/>
        </w:rPr>
        <w:t>,</w:t>
      </w:r>
      <w:r w:rsidRPr="000769E2">
        <w:rPr>
          <w:sz w:val="20"/>
          <w:szCs w:val="20"/>
        </w:rPr>
        <w:t xml:space="preserve"> si: hotel, motel, B&amp;B, vendpushim, resort etj.</w:t>
      </w:r>
    </w:p>
  </w:footnote>
  <w:footnote w:id="17">
    <w:p w14:paraId="7504FBCF" w14:textId="4223A50C" w:rsidR="007777D4" w:rsidRPr="000769E2" w:rsidRDefault="007777D4" w:rsidP="000769E2">
      <w:pPr>
        <w:pStyle w:val="TEKSTIIII"/>
        <w:ind w:firstLine="0"/>
        <w:rPr>
          <w:sz w:val="20"/>
          <w:szCs w:val="20"/>
        </w:rPr>
      </w:pPr>
      <w:r w:rsidRPr="000769E2">
        <w:rPr>
          <w:rStyle w:val="FootnoteReference"/>
          <w:sz w:val="20"/>
          <w:szCs w:val="20"/>
        </w:rPr>
        <w:footnoteRef/>
      </w:r>
      <w:r w:rsidRPr="000769E2">
        <w:rPr>
          <w:sz w:val="20"/>
          <w:szCs w:val="20"/>
        </w:rPr>
        <w:t xml:space="preserve"> Në përputhje me VKM</w:t>
      </w:r>
      <w:r>
        <w:rPr>
          <w:sz w:val="20"/>
          <w:szCs w:val="20"/>
        </w:rPr>
        <w:t>-në</w:t>
      </w:r>
      <w:r w:rsidRPr="000769E2">
        <w:rPr>
          <w:sz w:val="20"/>
          <w:szCs w:val="20"/>
        </w:rPr>
        <w:t xml:space="preserve"> nr. 22/2018</w:t>
      </w:r>
      <w:r>
        <w:rPr>
          <w:sz w:val="20"/>
          <w:szCs w:val="20"/>
        </w:rPr>
        <w:t>,</w:t>
      </w:r>
      <w:r w:rsidRPr="000769E2">
        <w:rPr>
          <w:sz w:val="20"/>
          <w:szCs w:val="20"/>
        </w:rPr>
        <w:t xml:space="preserve"> </w:t>
      </w:r>
      <w:r>
        <w:rPr>
          <w:sz w:val="20"/>
          <w:szCs w:val="20"/>
        </w:rPr>
        <w:t>“</w:t>
      </w:r>
      <w:r w:rsidRPr="000769E2">
        <w:rPr>
          <w:sz w:val="20"/>
          <w:szCs w:val="20"/>
        </w:rPr>
        <w:t xml:space="preserve">Për miratimin e kritereve për </w:t>
      </w:r>
      <w:r>
        <w:rPr>
          <w:sz w:val="20"/>
          <w:szCs w:val="20"/>
        </w:rPr>
        <w:t>certif</w:t>
      </w:r>
      <w:r w:rsidRPr="000769E2">
        <w:rPr>
          <w:sz w:val="20"/>
          <w:szCs w:val="20"/>
        </w:rPr>
        <w:t xml:space="preserve">ikimin e aktivitetit </w:t>
      </w:r>
      <w:r>
        <w:rPr>
          <w:sz w:val="20"/>
          <w:szCs w:val="20"/>
        </w:rPr>
        <w:t>agro</w:t>
      </w:r>
      <w:r w:rsidRPr="000769E2">
        <w:rPr>
          <w:sz w:val="20"/>
          <w:szCs w:val="20"/>
        </w:rPr>
        <w:t>turistik</w:t>
      </w:r>
      <w:r>
        <w:rPr>
          <w:sz w:val="20"/>
          <w:szCs w:val="20"/>
        </w:rPr>
        <w:t>”</w:t>
      </w:r>
      <w:r w:rsidRPr="000769E2">
        <w:rPr>
          <w:sz w:val="20"/>
          <w:szCs w:val="20"/>
        </w:rPr>
        <w:t xml:space="preserve">, çdo entitet që kërkon të ofrojë aktivitet pritës të </w:t>
      </w:r>
      <w:r>
        <w:rPr>
          <w:sz w:val="20"/>
          <w:szCs w:val="20"/>
        </w:rPr>
        <w:t>certif</w:t>
      </w:r>
      <w:r w:rsidRPr="000769E2">
        <w:rPr>
          <w:sz w:val="20"/>
          <w:szCs w:val="20"/>
        </w:rPr>
        <w:t xml:space="preserve">ikuar si </w:t>
      </w:r>
      <w:r>
        <w:rPr>
          <w:sz w:val="20"/>
          <w:szCs w:val="20"/>
        </w:rPr>
        <w:t>“agro</w:t>
      </w:r>
      <w:r w:rsidRPr="000769E2">
        <w:rPr>
          <w:sz w:val="20"/>
          <w:szCs w:val="20"/>
        </w:rPr>
        <w:t>turizëm</w:t>
      </w:r>
      <w:r>
        <w:rPr>
          <w:sz w:val="20"/>
          <w:szCs w:val="20"/>
        </w:rPr>
        <w:t>”</w:t>
      </w:r>
      <w:r w:rsidRPr="000769E2">
        <w:rPr>
          <w:sz w:val="20"/>
          <w:szCs w:val="20"/>
        </w:rPr>
        <w:t xml:space="preserve"> duhet të përmbushë kriteret e përcaktuara në këtë vendim. Vetëm subjektet e </w:t>
      </w:r>
      <w:r>
        <w:rPr>
          <w:sz w:val="20"/>
          <w:szCs w:val="20"/>
        </w:rPr>
        <w:t>certif</w:t>
      </w:r>
      <w:r w:rsidRPr="000769E2">
        <w:rPr>
          <w:sz w:val="20"/>
          <w:szCs w:val="20"/>
        </w:rPr>
        <w:t xml:space="preserve">ikuara sipas këtij vendimi kanë të drejtë të përdorin përcaktimin </w:t>
      </w:r>
      <w:r>
        <w:rPr>
          <w:sz w:val="20"/>
          <w:szCs w:val="20"/>
        </w:rPr>
        <w:t>“</w:t>
      </w:r>
      <w:r w:rsidRPr="000769E2">
        <w:rPr>
          <w:sz w:val="20"/>
          <w:szCs w:val="20"/>
        </w:rPr>
        <w:t>agroturizëm</w:t>
      </w:r>
      <w:r>
        <w:rPr>
          <w:sz w:val="20"/>
          <w:szCs w:val="20"/>
        </w:rPr>
        <w:t>”</w:t>
      </w:r>
      <w:r w:rsidRPr="000769E2">
        <w:rPr>
          <w:sz w:val="20"/>
          <w:szCs w:val="20"/>
        </w:rPr>
        <w:t xml:space="preserve"> në emrin e tyre tregtar ose në ambientet e tyre.</w:t>
      </w:r>
    </w:p>
  </w:footnote>
  <w:footnote w:id="18">
    <w:p w14:paraId="1137DAA0" w14:textId="77777777" w:rsidR="007777D4" w:rsidRDefault="007777D4" w:rsidP="001660B8">
      <w:pPr>
        <w:pStyle w:val="TEKSTIIII"/>
        <w:ind w:firstLine="0"/>
        <w:rPr>
          <w:i/>
          <w:sz w:val="20"/>
          <w:szCs w:val="20"/>
        </w:rPr>
      </w:pPr>
      <w:r w:rsidRPr="007123CE">
        <w:rPr>
          <w:rStyle w:val="FootnoteReference"/>
          <w:i/>
          <w:sz w:val="20"/>
          <w:szCs w:val="20"/>
        </w:rPr>
        <w:footnoteRef/>
      </w:r>
      <w:r w:rsidRPr="007123CE">
        <w:rPr>
          <w:i/>
          <w:sz w:val="20"/>
          <w:szCs w:val="20"/>
        </w:rPr>
        <w:t xml:space="preserve"> 800 new structures planned to be categorised in 2021</w:t>
      </w:r>
      <w:r>
        <w:rPr>
          <w:i/>
          <w:sz w:val="20"/>
          <w:szCs w:val="20"/>
        </w:rPr>
        <w:t>.</w:t>
      </w:r>
    </w:p>
    <w:p w14:paraId="59035CCB" w14:textId="26CAF22F" w:rsidR="007777D4" w:rsidRPr="007123CE" w:rsidRDefault="007777D4" w:rsidP="001660B8">
      <w:pPr>
        <w:pStyle w:val="TEKSTIIII"/>
        <w:ind w:firstLine="0"/>
        <w:rPr>
          <w:i/>
        </w:rPr>
      </w:pPr>
      <w:r w:rsidRPr="001660B8">
        <w:rPr>
          <w:rStyle w:val="FootnoteReference"/>
          <w:i/>
          <w:shd w:val="clear" w:color="auto" w:fill="FFFF00"/>
        </w:rPr>
        <w:t>2</w:t>
      </w:r>
      <w:r w:rsidRPr="001660B8">
        <w:rPr>
          <w:i/>
          <w:shd w:val="clear" w:color="auto" w:fill="FFFF00"/>
        </w:rPr>
        <w:t xml:space="preserve"> </w:t>
      </w:r>
      <w:r w:rsidRPr="007123CE">
        <w:rPr>
          <w:i/>
        </w:rPr>
        <w:t>compared to the base year 2019</w:t>
      </w:r>
      <w:r>
        <w:rPr>
          <w:i/>
        </w:rPr>
        <w:t>.</w:t>
      </w:r>
    </w:p>
  </w:footnote>
  <w:footnote w:id="19">
    <w:p w14:paraId="18FFA8F4" w14:textId="77777777" w:rsidR="007777D4" w:rsidRPr="007123CE" w:rsidRDefault="007777D4" w:rsidP="006F605B">
      <w:pPr>
        <w:pStyle w:val="FootnoteText"/>
        <w:rPr>
          <w:rFonts w:ascii="Arial Narrow" w:hAnsi="Arial Narrow"/>
          <w:i/>
          <w:lang w:val="sq-AL"/>
        </w:rPr>
      </w:pPr>
    </w:p>
  </w:footnote>
  <w:footnote w:id="20">
    <w:p w14:paraId="2301545C" w14:textId="1FC4EA95" w:rsidR="007777D4" w:rsidRPr="0005193C" w:rsidRDefault="007777D4" w:rsidP="00C47C45">
      <w:pPr>
        <w:pStyle w:val="FootnoteText"/>
        <w:jc w:val="both"/>
        <w:rPr>
          <w:rFonts w:ascii="Garamond" w:hAnsi="Garamond"/>
          <w:color w:val="0D0D0D" w:themeColor="text1" w:themeTint="F2"/>
          <w:lang w:val="sq-AL"/>
        </w:rPr>
      </w:pPr>
      <w:r w:rsidRPr="0005193C">
        <w:rPr>
          <w:rStyle w:val="FootnoteReference"/>
          <w:rFonts w:ascii="Garamond" w:hAnsi="Garamond"/>
          <w:lang w:val="sq-AL"/>
        </w:rPr>
        <w:footnoteRef/>
      </w:r>
      <w:r w:rsidRPr="0005193C">
        <w:rPr>
          <w:rFonts w:ascii="Garamond" w:hAnsi="Garamond"/>
          <w:lang w:val="sq-AL"/>
        </w:rPr>
        <w:t xml:space="preserve"> </w:t>
      </w:r>
      <w:r w:rsidRPr="0005193C">
        <w:rPr>
          <w:rFonts w:ascii="Garamond" w:hAnsi="Garamond"/>
          <w:color w:val="0D0D0D" w:themeColor="text1" w:themeTint="F2"/>
          <w:lang w:val="sq-AL"/>
        </w:rPr>
        <w:t>Aktivitetet e përfshira në PRE</w:t>
      </w:r>
      <w:r>
        <w:rPr>
          <w:rFonts w:ascii="Garamond" w:hAnsi="Garamond"/>
          <w:color w:val="0D0D0D" w:themeColor="text1" w:themeTint="F2"/>
          <w:lang w:val="sq-AL"/>
        </w:rPr>
        <w:t>,</w:t>
      </w:r>
      <w:r w:rsidRPr="0005193C">
        <w:rPr>
          <w:rFonts w:ascii="Garamond" w:hAnsi="Garamond"/>
          <w:color w:val="0D0D0D" w:themeColor="text1" w:themeTint="F2"/>
          <w:lang w:val="sq-AL"/>
        </w:rPr>
        <w:t xml:space="preserve"> </w:t>
      </w:r>
      <w:r>
        <w:rPr>
          <w:rFonts w:ascii="Garamond" w:hAnsi="Garamond"/>
          <w:color w:val="0D0D0D" w:themeColor="text1" w:themeTint="F2"/>
          <w:lang w:val="sq-AL"/>
        </w:rPr>
        <w:t>m</w:t>
      </w:r>
      <w:r w:rsidRPr="0005193C">
        <w:rPr>
          <w:rFonts w:ascii="Garamond" w:hAnsi="Garamond"/>
          <w:color w:val="0D0D0D" w:themeColor="text1" w:themeTint="F2"/>
          <w:lang w:val="sq-AL"/>
        </w:rPr>
        <w:t>ë 2018</w:t>
      </w:r>
      <w:r>
        <w:rPr>
          <w:rFonts w:ascii="Garamond" w:hAnsi="Garamond"/>
          <w:color w:val="0D0D0D" w:themeColor="text1" w:themeTint="F2"/>
          <w:lang w:val="sq-AL"/>
        </w:rPr>
        <w:t>–</w:t>
      </w:r>
      <w:r w:rsidRPr="0005193C">
        <w:rPr>
          <w:rFonts w:ascii="Garamond" w:hAnsi="Garamond"/>
          <w:color w:val="0D0D0D" w:themeColor="text1" w:themeTint="F2"/>
          <w:lang w:val="sq-AL"/>
        </w:rPr>
        <w:t>2020</w:t>
      </w:r>
      <w:r>
        <w:rPr>
          <w:rFonts w:ascii="Garamond" w:hAnsi="Garamond"/>
          <w:color w:val="0D0D0D" w:themeColor="text1" w:themeTint="F2"/>
          <w:lang w:val="sq-AL"/>
        </w:rPr>
        <w:t>,</w:t>
      </w:r>
      <w:r w:rsidRPr="0005193C">
        <w:rPr>
          <w:rFonts w:ascii="Garamond" w:hAnsi="Garamond"/>
          <w:color w:val="0D0D0D" w:themeColor="text1" w:themeTint="F2"/>
          <w:lang w:val="sq-AL"/>
        </w:rPr>
        <w:t xml:space="preserve"> kanë ndryshuar përmes asistencës ndërkombëtare për krijimin e Kadastrës Fiskale, nëpërmjet një projekti totalisht të financuar</w:t>
      </w:r>
      <w:r>
        <w:rPr>
          <w:rFonts w:ascii="Garamond" w:hAnsi="Garamond"/>
          <w:color w:val="0D0D0D" w:themeColor="text1" w:themeTint="F2"/>
          <w:lang w:val="sq-AL"/>
        </w:rPr>
        <w:t>,</w:t>
      </w:r>
      <w:r w:rsidRPr="0005193C">
        <w:rPr>
          <w:rFonts w:ascii="Garamond" w:hAnsi="Garamond"/>
          <w:color w:val="0D0D0D" w:themeColor="text1" w:themeTint="F2"/>
          <w:lang w:val="sq-AL"/>
        </w:rPr>
        <w:t xml:space="preserve"> i cili filloi në vitin 2018. Sidoqoftë aktivitetet e mëparshme nuk janë anuluar por janë riorganizuar si pjesë e ristrukturimit të aktiviteteve të projektit. Duke e krahasuar me PRE 2019</w:t>
      </w:r>
      <w:r>
        <w:rPr>
          <w:rFonts w:ascii="Garamond" w:hAnsi="Garamond"/>
          <w:color w:val="0D0D0D" w:themeColor="text1" w:themeTint="F2"/>
          <w:lang w:val="sq-AL"/>
        </w:rPr>
        <w:t>–</w:t>
      </w:r>
      <w:r w:rsidRPr="0005193C">
        <w:rPr>
          <w:rFonts w:ascii="Garamond" w:hAnsi="Garamond"/>
          <w:color w:val="0D0D0D" w:themeColor="text1" w:themeTint="F2"/>
          <w:lang w:val="sq-AL"/>
        </w:rPr>
        <w:t>2022, së fundmi është prezantuar një aktivitet shtesë për vitin 2020, që prezantohet për herë të parë në PRE 2020</w:t>
      </w:r>
      <w:r>
        <w:rPr>
          <w:rFonts w:ascii="Garamond" w:hAnsi="Garamond"/>
          <w:color w:val="0D0D0D" w:themeColor="text1" w:themeTint="F2"/>
          <w:lang w:val="sq-AL"/>
        </w:rPr>
        <w:t>–</w:t>
      </w:r>
      <w:r w:rsidRPr="0005193C">
        <w:rPr>
          <w:rFonts w:ascii="Garamond" w:hAnsi="Garamond"/>
          <w:color w:val="0D0D0D" w:themeColor="text1" w:themeTint="F2"/>
          <w:lang w:val="sq-AL"/>
        </w:rPr>
        <w:t>2022.</w:t>
      </w:r>
    </w:p>
    <w:p w14:paraId="050E1E59" w14:textId="361EF14A" w:rsidR="007777D4" w:rsidRPr="0005193C" w:rsidRDefault="007777D4" w:rsidP="00C47C45">
      <w:pPr>
        <w:pStyle w:val="FootnoteText"/>
        <w:jc w:val="both"/>
        <w:rPr>
          <w:rFonts w:ascii="Garamond" w:hAnsi="Garamond"/>
          <w:lang w:val="sq-AL"/>
        </w:rPr>
      </w:pPr>
      <w:r w:rsidRPr="0005193C">
        <w:rPr>
          <w:rStyle w:val="FootnoteReference"/>
          <w:rFonts w:ascii="Garamond" w:hAnsi="Garamond"/>
          <w:lang w:val="sq-AL"/>
        </w:rPr>
        <w:footnoteRef/>
      </w:r>
      <w:r w:rsidRPr="0005193C">
        <w:rPr>
          <w:rFonts w:ascii="Garamond" w:hAnsi="Garamond"/>
          <w:lang w:val="sq-AL"/>
        </w:rPr>
        <w:t xml:space="preserve"> Nuk ka aktivitete të planifikuara më 2020</w:t>
      </w:r>
      <w:r>
        <w:rPr>
          <w:rFonts w:ascii="Garamond" w:hAnsi="Garamond"/>
          <w:lang w:val="sq-AL"/>
        </w:rPr>
        <w:t>-ën</w:t>
      </w:r>
      <w:r w:rsidRPr="0005193C">
        <w:rPr>
          <w:rFonts w:ascii="Garamond" w:hAnsi="Garamond"/>
          <w:lang w:val="sq-AL"/>
        </w:rPr>
        <w:t>. Gjithsesi</w:t>
      </w:r>
      <w:r>
        <w:rPr>
          <w:rFonts w:ascii="Garamond" w:hAnsi="Garamond"/>
          <w:lang w:val="sq-AL"/>
        </w:rPr>
        <w:t>,</w:t>
      </w:r>
      <w:r w:rsidRPr="0005193C">
        <w:rPr>
          <w:rFonts w:ascii="Garamond" w:hAnsi="Garamond"/>
          <w:lang w:val="sq-AL"/>
        </w:rPr>
        <w:t xml:space="preserve"> nëse ka rishikime ose nëse merren në konsideratë aktivitete të reja këtë vit ato do të reflektohen në të ardhmen</w:t>
      </w:r>
    </w:p>
  </w:footnote>
  <w:footnote w:id="21">
    <w:p w14:paraId="09AEF668" w14:textId="738BB652" w:rsidR="007777D4" w:rsidRPr="008B743C" w:rsidRDefault="007777D4" w:rsidP="008B743C">
      <w:pPr>
        <w:pStyle w:val="TEKSTIIII"/>
        <w:ind w:firstLine="0"/>
        <w:rPr>
          <w:sz w:val="20"/>
          <w:szCs w:val="20"/>
        </w:rPr>
      </w:pPr>
      <w:r w:rsidRPr="0005193C">
        <w:rPr>
          <w:rStyle w:val="FootnoteReference"/>
          <w:sz w:val="20"/>
          <w:szCs w:val="20"/>
        </w:rPr>
        <w:footnoteRef/>
      </w:r>
      <w:r w:rsidRPr="0005193C">
        <w:rPr>
          <w:sz w:val="20"/>
          <w:szCs w:val="20"/>
        </w:rPr>
        <w:t xml:space="preserve"> DPTP</w:t>
      </w:r>
      <w:r>
        <w:rPr>
          <w:sz w:val="20"/>
          <w:szCs w:val="20"/>
        </w:rPr>
        <w:t>-ja</w:t>
      </w:r>
      <w:r w:rsidRPr="0005193C">
        <w:rPr>
          <w:sz w:val="20"/>
          <w:szCs w:val="20"/>
        </w:rPr>
        <w:t xml:space="preserve"> ka organizuar një cikël trajnimesh me punonjësit e bashkive në vend</w:t>
      </w:r>
      <w:r>
        <w:rPr>
          <w:sz w:val="20"/>
          <w:szCs w:val="20"/>
        </w:rPr>
        <w:t>,</w:t>
      </w:r>
      <w:r w:rsidRPr="0005193C">
        <w:rPr>
          <w:sz w:val="20"/>
          <w:szCs w:val="20"/>
        </w:rPr>
        <w:t xml:space="preserve"> të cilat kanë pasur qëllime të ndryshme</w:t>
      </w:r>
      <w:r>
        <w:rPr>
          <w:sz w:val="20"/>
          <w:szCs w:val="20"/>
        </w:rPr>
        <w:t>,</w:t>
      </w:r>
      <w:r w:rsidRPr="0005193C">
        <w:rPr>
          <w:sz w:val="20"/>
          <w:szCs w:val="20"/>
        </w:rPr>
        <w:t xml:space="preserve"> si</w:t>
      </w:r>
      <w:r>
        <w:rPr>
          <w:sz w:val="20"/>
          <w:szCs w:val="20"/>
        </w:rPr>
        <w:t>:</w:t>
      </w:r>
      <w:r w:rsidRPr="0005193C">
        <w:rPr>
          <w:sz w:val="20"/>
          <w:szCs w:val="20"/>
        </w:rPr>
        <w:t xml:space="preserve"> prezantimi i sistemit, familjarizimi me funksionalitetet e sistemit të cilat janë në përditësim të vazhdueshëm dhe prezantimi i metodologjisë. Ndërsa</w:t>
      </w:r>
      <w:r>
        <w:rPr>
          <w:sz w:val="20"/>
          <w:szCs w:val="20"/>
        </w:rPr>
        <w:t>,</w:t>
      </w:r>
      <w:r w:rsidRPr="0005193C">
        <w:rPr>
          <w:sz w:val="20"/>
          <w:szCs w:val="20"/>
        </w:rPr>
        <w:t xml:space="preserve"> me prefekturat trajnimet janë përqendruar në kompetencat dhe çështjet që ato duhet të mbështeten</w:t>
      </w:r>
      <w:r>
        <w:rPr>
          <w:sz w:val="20"/>
          <w:szCs w:val="20"/>
        </w:rPr>
        <w:t>,</w:t>
      </w:r>
      <w:r w:rsidRPr="0005193C">
        <w:rPr>
          <w:sz w:val="20"/>
          <w:szCs w:val="20"/>
        </w:rPr>
        <w:t xml:space="preserve"> kur vlerësojnë vendimet e Këshillit Bashkiak në lidhje me taksën e pasurisë. Ky proces do të</w:t>
      </w:r>
      <w:r w:rsidRPr="008B743C">
        <w:rPr>
          <w:sz w:val="20"/>
          <w:szCs w:val="20"/>
        </w:rPr>
        <w:t xml:space="preserve"> vazhdoj</w:t>
      </w:r>
      <w:r>
        <w:rPr>
          <w:sz w:val="20"/>
          <w:szCs w:val="20"/>
        </w:rPr>
        <w:t>ë</w:t>
      </w:r>
      <w:r w:rsidRPr="008B743C">
        <w:rPr>
          <w:sz w:val="20"/>
          <w:szCs w:val="20"/>
        </w:rPr>
        <w:t xml:space="preserve"> edhe në të ardhmen.</w:t>
      </w:r>
    </w:p>
  </w:footnote>
  <w:footnote w:id="22">
    <w:p w14:paraId="182F9E7E" w14:textId="3EEC805E" w:rsidR="007777D4" w:rsidRPr="00D477CC" w:rsidRDefault="007777D4" w:rsidP="00C51D2D">
      <w:pPr>
        <w:pStyle w:val="FootnoteText"/>
        <w:jc w:val="both"/>
        <w:rPr>
          <w:rFonts w:ascii="Garamond" w:hAnsi="Garamond"/>
          <w:lang w:val="sq-AL"/>
        </w:rPr>
      </w:pPr>
      <w:r w:rsidRPr="00D477CC">
        <w:rPr>
          <w:rStyle w:val="FootnoteReference"/>
          <w:rFonts w:ascii="Garamond" w:hAnsi="Garamond"/>
          <w:lang w:val="sq-AL"/>
        </w:rPr>
        <w:footnoteRef/>
      </w:r>
      <w:r w:rsidRPr="00D477CC">
        <w:rPr>
          <w:rFonts w:ascii="Garamond" w:hAnsi="Garamond"/>
          <w:lang w:val="sq-AL"/>
        </w:rPr>
        <w:t xml:space="preserve"> Ligji </w:t>
      </w:r>
      <w:r>
        <w:rPr>
          <w:rFonts w:ascii="Garamond" w:hAnsi="Garamond"/>
          <w:lang w:val="sq-AL"/>
        </w:rPr>
        <w:t>“</w:t>
      </w:r>
      <w:r w:rsidRPr="00D477CC">
        <w:rPr>
          <w:rFonts w:ascii="Garamond" w:hAnsi="Garamond"/>
          <w:lang w:val="sq-AL"/>
        </w:rPr>
        <w:t>Për zhvillimin e rrjeteve të komunikimeve elektronike të shpejtësisë së lartë dhe sigurimin e së drejtës së kalimit</w:t>
      </w:r>
      <w:r>
        <w:rPr>
          <w:rFonts w:ascii="Garamond" w:hAnsi="Garamond"/>
          <w:lang w:val="sq-AL"/>
        </w:rPr>
        <w:t>”</w:t>
      </w:r>
      <w:r w:rsidRPr="00D477CC">
        <w:rPr>
          <w:rFonts w:ascii="Garamond" w:hAnsi="Garamond"/>
          <w:lang w:val="sq-AL"/>
        </w:rPr>
        <w:t xml:space="preserve"> ka përafruar plotësisht direktivën 2014/61/BE</w:t>
      </w:r>
      <w:r>
        <w:rPr>
          <w:rFonts w:ascii="Garamond" w:hAnsi="Garamond"/>
          <w:lang w:val="sq-AL"/>
        </w:rPr>
        <w:t>.</w:t>
      </w:r>
    </w:p>
  </w:footnote>
  <w:footnote w:id="23">
    <w:p w14:paraId="75E00FC7" w14:textId="40782FF0" w:rsidR="007777D4" w:rsidRPr="00AD1A6E" w:rsidRDefault="007777D4" w:rsidP="006F605B">
      <w:pPr>
        <w:pStyle w:val="FootnoteText"/>
        <w:rPr>
          <w:rFonts w:ascii="Garamond" w:hAnsi="Garamond"/>
          <w:i/>
          <w:lang w:val="sq-AL"/>
        </w:rPr>
      </w:pPr>
      <w:r w:rsidRPr="00AD1A6E">
        <w:rPr>
          <w:rStyle w:val="FootnoteReference"/>
          <w:rFonts w:ascii="Garamond" w:hAnsi="Garamond"/>
          <w:i/>
          <w:lang w:val="sq-AL"/>
        </w:rPr>
        <w:footnoteRef/>
      </w:r>
      <w:r w:rsidRPr="00AD1A6E">
        <w:rPr>
          <w:rFonts w:ascii="Garamond" w:hAnsi="Garamond"/>
          <w:i/>
          <w:lang w:val="sq-AL"/>
        </w:rPr>
        <w:t xml:space="preserve"> It is supposed that the GERD indicator is calculated properly</w:t>
      </w:r>
      <w:r>
        <w:rPr>
          <w:rFonts w:ascii="Garamond" w:hAnsi="Garamond"/>
          <w:i/>
          <w:lang w:val="sq-AL"/>
        </w:rPr>
        <w:t>.</w:t>
      </w:r>
    </w:p>
  </w:footnote>
  <w:footnote w:id="24">
    <w:p w14:paraId="2FCA347D" w14:textId="77777777" w:rsidR="007777D4" w:rsidRPr="00030AD5" w:rsidRDefault="007777D4" w:rsidP="006F605B">
      <w:pPr>
        <w:pStyle w:val="FootnoteText"/>
        <w:rPr>
          <w:rFonts w:ascii="Garamond" w:hAnsi="Garamond"/>
          <w:lang w:val="sq-AL"/>
        </w:rPr>
      </w:pPr>
      <w:r w:rsidRPr="00030AD5">
        <w:rPr>
          <w:rStyle w:val="FootnoteReference"/>
          <w:rFonts w:ascii="Garamond" w:hAnsi="Garamond"/>
          <w:lang w:val="sq-AL"/>
        </w:rPr>
        <w:footnoteRef/>
      </w:r>
      <w:r w:rsidRPr="00030AD5">
        <w:rPr>
          <w:rFonts w:ascii="Garamond" w:hAnsi="Garamond"/>
          <w:lang w:val="sq-AL"/>
        </w:rPr>
        <w:t xml:space="preserve"> </w:t>
      </w:r>
      <w:hyperlink r:id="rId7" w:history="1">
        <w:r w:rsidRPr="00030AD5">
          <w:rPr>
            <w:rStyle w:val="Hyperlink"/>
            <w:rFonts w:ascii="Garamond" w:hAnsi="Garamond"/>
            <w:lang w:val="sq-AL"/>
          </w:rPr>
          <w:t>https://wb6digital.files.wordpress.com/2018/01/wb6-study.pdf</w:t>
        </w:r>
      </w:hyperlink>
    </w:p>
  </w:footnote>
  <w:footnote w:id="25">
    <w:p w14:paraId="7B4C682A" w14:textId="4EE8B343" w:rsidR="007777D4" w:rsidRPr="00162C00" w:rsidRDefault="007777D4" w:rsidP="00F351D6">
      <w:pPr>
        <w:pStyle w:val="FootnoteText"/>
        <w:jc w:val="both"/>
        <w:rPr>
          <w:rFonts w:ascii="Garamond" w:hAnsi="Garamond"/>
          <w:lang w:val="sq-AL"/>
        </w:rPr>
      </w:pPr>
      <w:r w:rsidRPr="00162C00">
        <w:rPr>
          <w:rStyle w:val="FootnoteReference"/>
          <w:rFonts w:ascii="Garamond" w:hAnsi="Garamond"/>
          <w:lang w:val="sq-AL"/>
        </w:rPr>
        <w:footnoteRef/>
      </w:r>
      <w:r w:rsidRPr="00162C00">
        <w:rPr>
          <w:rFonts w:ascii="Garamond" w:hAnsi="Garamond"/>
          <w:lang w:val="sq-AL"/>
        </w:rPr>
        <w:t xml:space="preserve"> Shqipëria n</w:t>
      </w:r>
      <w:r>
        <w:rPr>
          <w:rFonts w:ascii="Garamond" w:hAnsi="Garamond"/>
          <w:lang w:val="sq-AL"/>
        </w:rPr>
        <w:t>ë</w:t>
      </w:r>
      <w:r w:rsidRPr="00162C00">
        <w:rPr>
          <w:rFonts w:ascii="Garamond" w:hAnsi="Garamond"/>
          <w:lang w:val="sq-AL"/>
        </w:rPr>
        <w:t xml:space="preserve"> shifra 2018, INSTAT</w:t>
      </w:r>
      <w:r>
        <w:rPr>
          <w:rFonts w:ascii="Garamond" w:hAnsi="Garamond"/>
          <w:lang w:val="sq-AL"/>
        </w:rPr>
        <w:t>:</w:t>
      </w:r>
      <w:r w:rsidRPr="00162C00">
        <w:rPr>
          <w:rFonts w:ascii="Garamond" w:hAnsi="Garamond"/>
          <w:lang w:val="sq-AL"/>
        </w:rPr>
        <w:t xml:space="preserve"> </w:t>
      </w:r>
      <w:hyperlink r:id="rId8" w:history="1">
        <w:r w:rsidRPr="005D76D6">
          <w:rPr>
            <w:rStyle w:val="Hyperlink"/>
            <w:rFonts w:ascii="Garamond" w:hAnsi="Garamond"/>
            <w:lang w:val="sq-AL"/>
          </w:rPr>
          <w:t>http://www.instat.gov.al/en/publications/books/2019/albania-in-figures-2018/</w:t>
        </w:r>
      </w:hyperlink>
      <w:r>
        <w:rPr>
          <w:rFonts w:ascii="Garamond" w:hAnsi="Garamond"/>
          <w:lang w:val="sq-AL"/>
        </w:rPr>
        <w:t xml:space="preserve"> </w:t>
      </w:r>
    </w:p>
  </w:footnote>
  <w:footnote w:id="26">
    <w:p w14:paraId="3D44FB69" w14:textId="41C8AC35" w:rsidR="007777D4" w:rsidRPr="003F088F" w:rsidRDefault="007777D4" w:rsidP="006F605B">
      <w:pPr>
        <w:pStyle w:val="FootnoteText"/>
        <w:rPr>
          <w:rFonts w:ascii="Garamond" w:hAnsi="Garamond"/>
          <w:lang w:val="sq-AL"/>
        </w:rPr>
      </w:pPr>
      <w:r w:rsidRPr="003F088F">
        <w:rPr>
          <w:rStyle w:val="FootnoteReference"/>
          <w:rFonts w:ascii="Garamond" w:hAnsi="Garamond"/>
          <w:lang w:val="sq-AL"/>
        </w:rPr>
        <w:footnoteRef/>
      </w:r>
      <w:r w:rsidRPr="003F088F">
        <w:rPr>
          <w:rFonts w:ascii="Garamond" w:hAnsi="Garamond"/>
          <w:lang w:val="sq-AL"/>
        </w:rPr>
        <w:t xml:space="preserve"> Një TOT trajnon rreth 20</w:t>
      </w:r>
      <w:r>
        <w:rPr>
          <w:rFonts w:ascii="Garamond" w:hAnsi="Garamond"/>
          <w:lang w:val="sq-AL"/>
        </w:rPr>
        <w:t>–</w:t>
      </w:r>
      <w:r w:rsidRPr="003F088F">
        <w:rPr>
          <w:rFonts w:ascii="Garamond" w:hAnsi="Garamond"/>
          <w:lang w:val="sq-AL"/>
        </w:rPr>
        <w:t>25 mësues në të njëjtin profil.</w:t>
      </w:r>
    </w:p>
  </w:footnote>
  <w:footnote w:id="27">
    <w:p w14:paraId="1A6DB135" w14:textId="32EDC229" w:rsidR="007777D4" w:rsidRPr="00D92789" w:rsidRDefault="007777D4" w:rsidP="006F605B">
      <w:pPr>
        <w:pStyle w:val="FootnoteText"/>
        <w:rPr>
          <w:rFonts w:ascii="Garamond" w:hAnsi="Garamond"/>
          <w:lang w:val="sq-AL"/>
        </w:rPr>
      </w:pPr>
      <w:r w:rsidRPr="00D92789">
        <w:rPr>
          <w:rStyle w:val="FootnoteReference"/>
          <w:rFonts w:ascii="Garamond" w:hAnsi="Garamond"/>
          <w:lang w:val="sq-AL"/>
        </w:rPr>
        <w:footnoteRef/>
      </w:r>
      <w:r w:rsidRPr="00D92789">
        <w:rPr>
          <w:rFonts w:ascii="Garamond" w:hAnsi="Garamond"/>
          <w:lang w:val="sq-AL"/>
        </w:rPr>
        <w:t xml:space="preserve"> Raporti vjetor</w:t>
      </w:r>
      <w:r>
        <w:rPr>
          <w:rFonts w:ascii="Garamond" w:hAnsi="Garamond"/>
          <w:lang w:val="sq-AL"/>
        </w:rPr>
        <w:t xml:space="preserve"> i</w:t>
      </w:r>
      <w:r w:rsidRPr="00D92789">
        <w:rPr>
          <w:rFonts w:ascii="Garamond" w:hAnsi="Garamond"/>
          <w:lang w:val="sq-AL"/>
        </w:rPr>
        <w:t xml:space="preserve"> MASR</w:t>
      </w:r>
      <w:r>
        <w:rPr>
          <w:rFonts w:ascii="Garamond" w:hAnsi="Garamond"/>
          <w:lang w:val="sq-AL"/>
        </w:rPr>
        <w:t>-së.</w:t>
      </w:r>
    </w:p>
  </w:footnote>
  <w:footnote w:id="28">
    <w:p w14:paraId="7D33EB5B" w14:textId="0BB31288" w:rsidR="007777D4" w:rsidRPr="002E3F1C" w:rsidRDefault="007777D4" w:rsidP="002E3F1C">
      <w:pPr>
        <w:pStyle w:val="FootnoteText"/>
        <w:rPr>
          <w:rFonts w:ascii="Garamond" w:eastAsia="Times New Roman" w:hAnsi="Garamond"/>
          <w:color w:val="000000"/>
          <w:lang w:val="sq-AL"/>
        </w:rPr>
      </w:pPr>
      <w:r w:rsidRPr="002E3F1C">
        <w:rPr>
          <w:rStyle w:val="FootnoteReference"/>
          <w:rFonts w:ascii="Garamond" w:hAnsi="Garamond"/>
          <w:lang w:val="sq-AL"/>
        </w:rPr>
        <w:footnoteRef/>
      </w:r>
      <w:r w:rsidRPr="002E3F1C">
        <w:rPr>
          <w:rFonts w:ascii="Garamond" w:hAnsi="Garamond"/>
          <w:lang w:val="sq-AL"/>
        </w:rPr>
        <w:t xml:space="preserve"> Numrat ekzakt</w:t>
      </w:r>
      <w:r>
        <w:rPr>
          <w:rFonts w:ascii="Garamond" w:hAnsi="Garamond"/>
          <w:lang w:val="sq-AL"/>
        </w:rPr>
        <w:t>ë</w:t>
      </w:r>
      <w:r w:rsidRPr="002E3F1C">
        <w:rPr>
          <w:rFonts w:ascii="Garamond" w:hAnsi="Garamond"/>
          <w:lang w:val="sq-AL"/>
        </w:rPr>
        <w:t xml:space="preserve"> do të të përcaktohen bazuar në analizat vjetore. </w:t>
      </w:r>
    </w:p>
  </w:footnote>
  <w:footnote w:id="29">
    <w:p w14:paraId="4BD90F99" w14:textId="6677BB18" w:rsidR="007777D4" w:rsidRPr="00506131" w:rsidRDefault="007777D4" w:rsidP="002E3F1C">
      <w:pPr>
        <w:pStyle w:val="CommentText"/>
        <w:spacing w:after="0"/>
        <w:rPr>
          <w:rFonts w:ascii="Arial Narrow" w:hAnsi="Arial Narrow"/>
        </w:rPr>
      </w:pPr>
      <w:r w:rsidRPr="002E3F1C">
        <w:rPr>
          <w:rStyle w:val="FootnoteReference"/>
          <w:rFonts w:ascii="Garamond" w:eastAsia="Calibri" w:hAnsi="Garamond"/>
        </w:rPr>
        <w:footnoteRef/>
      </w:r>
      <w:r>
        <w:rPr>
          <w:rFonts w:ascii="Garamond" w:hAnsi="Garamond"/>
        </w:rPr>
        <w:t xml:space="preserve"> </w:t>
      </w:r>
      <w:r w:rsidRPr="002E3F1C">
        <w:rPr>
          <w:rFonts w:ascii="Garamond" w:hAnsi="Garamond"/>
        </w:rPr>
        <w:t>Për këtë aktivitet nuk është planifikuar kosto shtesë, pasi efektet në buxhet janë pozitive, pra sjell reduktim të shpenzimeve buxhetore.</w:t>
      </w:r>
      <w:r w:rsidRPr="00506131">
        <w:rPr>
          <w:rFonts w:ascii="Arial Narrow" w:hAnsi="Arial Narrow"/>
        </w:rPr>
        <w:t xml:space="preserve"> </w:t>
      </w:r>
    </w:p>
  </w:footnote>
  <w:footnote w:id="30">
    <w:p w14:paraId="61383F11" w14:textId="5FF98A11" w:rsidR="007777D4" w:rsidRPr="00924487" w:rsidRDefault="007777D4" w:rsidP="004F4E33">
      <w:pPr>
        <w:pStyle w:val="FootnoteText"/>
        <w:jc w:val="both"/>
        <w:rPr>
          <w:rFonts w:ascii="Garamond" w:hAnsi="Garamond"/>
          <w:lang w:val="sq-AL"/>
        </w:rPr>
      </w:pPr>
      <w:r w:rsidRPr="00924487">
        <w:rPr>
          <w:rStyle w:val="FootnoteReference"/>
          <w:rFonts w:ascii="Garamond" w:hAnsi="Garamond"/>
          <w:lang w:val="sq-AL"/>
        </w:rPr>
        <w:footnoteRef/>
      </w:r>
      <w:r w:rsidRPr="00924487">
        <w:rPr>
          <w:rFonts w:ascii="Garamond" w:hAnsi="Garamond"/>
          <w:lang w:val="sq-AL"/>
        </w:rPr>
        <w:t xml:space="preserve"> Shënim</w:t>
      </w:r>
      <w:r>
        <w:rPr>
          <w:rFonts w:ascii="Garamond" w:hAnsi="Garamond"/>
          <w:lang w:val="sq-AL"/>
        </w:rPr>
        <w:t>.</w:t>
      </w:r>
      <w:r w:rsidRPr="00924487">
        <w:rPr>
          <w:rFonts w:ascii="Garamond" w:hAnsi="Garamond"/>
          <w:lang w:val="sq-AL"/>
        </w:rPr>
        <w:t xml:space="preserve"> PNUD</w:t>
      </w:r>
      <w:r>
        <w:rPr>
          <w:rFonts w:ascii="Garamond" w:hAnsi="Garamond"/>
          <w:lang w:val="sq-AL"/>
        </w:rPr>
        <w:t>-i</w:t>
      </w:r>
      <w:r w:rsidRPr="00924487">
        <w:rPr>
          <w:rFonts w:ascii="Garamond" w:hAnsi="Garamond"/>
          <w:lang w:val="sq-AL"/>
        </w:rPr>
        <w:t xml:space="preserve"> po bashkëpunon me INSTAT</w:t>
      </w:r>
      <w:r>
        <w:rPr>
          <w:rFonts w:ascii="Garamond" w:hAnsi="Garamond"/>
          <w:lang w:val="sq-AL"/>
        </w:rPr>
        <w:t>-in</w:t>
      </w:r>
      <w:r w:rsidRPr="00924487">
        <w:rPr>
          <w:rFonts w:ascii="Garamond" w:hAnsi="Garamond"/>
          <w:lang w:val="sq-AL"/>
        </w:rPr>
        <w:t xml:space="preserve"> për realizimin e një mini</w:t>
      </w:r>
      <w:r>
        <w:rPr>
          <w:rFonts w:ascii="Garamond" w:hAnsi="Garamond"/>
          <w:lang w:val="sq-AL"/>
        </w:rPr>
        <w:t>s</w:t>
      </w:r>
      <w:r w:rsidRPr="00924487">
        <w:rPr>
          <w:rFonts w:ascii="Garamond" w:hAnsi="Garamond"/>
          <w:lang w:val="sq-AL"/>
        </w:rPr>
        <w:t>tudimi për të ardhurat dhe kushtet</w:t>
      </w:r>
      <w:r>
        <w:rPr>
          <w:rFonts w:ascii="Garamond" w:hAnsi="Garamond"/>
          <w:lang w:val="sq-AL"/>
        </w:rPr>
        <w:t xml:space="preserve"> </w:t>
      </w:r>
      <w:r w:rsidRPr="00924487">
        <w:rPr>
          <w:rFonts w:ascii="Garamond" w:hAnsi="Garamond"/>
          <w:lang w:val="sq-AL"/>
        </w:rPr>
        <w:t>e</w:t>
      </w:r>
      <w:r>
        <w:rPr>
          <w:rFonts w:ascii="Garamond" w:hAnsi="Garamond"/>
          <w:lang w:val="sq-AL"/>
        </w:rPr>
        <w:t xml:space="preserve"> </w:t>
      </w:r>
      <w:r w:rsidRPr="00924487">
        <w:rPr>
          <w:rFonts w:ascii="Garamond" w:hAnsi="Garamond"/>
          <w:lang w:val="sq-AL"/>
        </w:rPr>
        <w:t>jetesës (SILC)</w:t>
      </w:r>
      <w:r>
        <w:rPr>
          <w:rFonts w:ascii="Garamond" w:hAnsi="Garamond"/>
          <w:lang w:val="sq-AL"/>
        </w:rPr>
        <w:t>,</w:t>
      </w:r>
      <w:r w:rsidRPr="00924487">
        <w:rPr>
          <w:rFonts w:ascii="Garamond" w:hAnsi="Garamond"/>
          <w:lang w:val="sq-AL"/>
        </w:rPr>
        <w:t xml:space="preserve"> për të vlerësuar kushtet e jetesës së njerëzve në zonat e prekura nga tërmeti, përmes metodologjive inovative për mbledhjen e të dhënave për të identifikuar nevojat për ndihmë.</w:t>
      </w:r>
    </w:p>
  </w:footnote>
  <w:footnote w:id="31">
    <w:p w14:paraId="45D84AE3" w14:textId="2FD1D49C" w:rsidR="007777D4" w:rsidRPr="00924487" w:rsidRDefault="007777D4" w:rsidP="004F4E33">
      <w:pPr>
        <w:pStyle w:val="FootnoteText"/>
        <w:jc w:val="both"/>
        <w:rPr>
          <w:rFonts w:ascii="Garamond" w:hAnsi="Garamond"/>
          <w:lang w:val="sq-AL"/>
        </w:rPr>
      </w:pPr>
      <w:r w:rsidRPr="00924487">
        <w:rPr>
          <w:rStyle w:val="FootnoteReference"/>
          <w:rFonts w:ascii="Garamond" w:hAnsi="Garamond"/>
          <w:lang w:val="sq-AL"/>
        </w:rPr>
        <w:footnoteRef/>
      </w:r>
      <w:r>
        <w:rPr>
          <w:rFonts w:ascii="Garamond" w:hAnsi="Garamond"/>
          <w:lang w:val="sq-AL"/>
        </w:rPr>
        <w:t xml:space="preserve"> </w:t>
      </w:r>
      <w:r w:rsidRPr="00924487">
        <w:rPr>
          <w:rFonts w:ascii="Garamond" w:hAnsi="Garamond"/>
          <w:lang w:val="sq-AL"/>
        </w:rPr>
        <w:t>Kjo anketë është plotësisht në përputhje me metodologjinë e Eurostat</w:t>
      </w:r>
      <w:r>
        <w:rPr>
          <w:rFonts w:ascii="Garamond" w:hAnsi="Garamond"/>
          <w:lang w:val="sq-AL"/>
        </w:rPr>
        <w:t>it</w:t>
      </w:r>
      <w:r w:rsidRPr="00924487">
        <w:rPr>
          <w:rFonts w:ascii="Garamond" w:hAnsi="Garamond"/>
          <w:lang w:val="sq-AL"/>
        </w:rPr>
        <w:t xml:space="preserve"> dhe metodologjinë e përdorur nga të gjitha vendet e tjera anëtare të BE-së. Anketa</w:t>
      </w:r>
      <w:r>
        <w:rPr>
          <w:rFonts w:ascii="Garamond" w:hAnsi="Garamond"/>
          <w:lang w:val="sq-AL"/>
        </w:rPr>
        <w:t xml:space="preserve"> </w:t>
      </w:r>
      <w:r w:rsidRPr="00924487">
        <w:rPr>
          <w:rFonts w:ascii="Garamond" w:hAnsi="Garamond"/>
          <w:lang w:val="sq-AL"/>
        </w:rPr>
        <w:t>është një burim kryesor i statistikave të krahasueshme për shpërndarjen e të ardhurave dhe përjashtimin social në nivelin evropian Anketa</w:t>
      </w:r>
      <w:r>
        <w:rPr>
          <w:rFonts w:ascii="Garamond" w:hAnsi="Garamond"/>
          <w:lang w:val="sq-AL"/>
        </w:rPr>
        <w:t xml:space="preserve"> </w:t>
      </w:r>
      <w:r w:rsidRPr="00924487">
        <w:rPr>
          <w:rFonts w:ascii="Garamond" w:hAnsi="Garamond"/>
          <w:lang w:val="sq-AL"/>
        </w:rPr>
        <w:t>AANJ zhvillohet çdo vit në të gjitha shtetet anëtare të BE-së, si dhe ato që aspirojnë anëtarësimin në BE</w:t>
      </w:r>
      <w:r>
        <w:rPr>
          <w:rFonts w:ascii="Garamond" w:hAnsi="Garamond"/>
          <w:lang w:val="sq-AL"/>
        </w:rPr>
        <w:t>-së</w:t>
      </w:r>
      <w:r w:rsidRPr="00924487">
        <w:rPr>
          <w:rFonts w:ascii="Garamond" w:hAnsi="Garamond"/>
          <w:lang w:val="sq-AL"/>
        </w:rPr>
        <w:t>.</w:t>
      </w:r>
    </w:p>
  </w:footnote>
  <w:footnote w:id="32">
    <w:p w14:paraId="15BDCCE5" w14:textId="0C79A72B" w:rsidR="007777D4" w:rsidRPr="00506131" w:rsidRDefault="007777D4" w:rsidP="006F605B">
      <w:pPr>
        <w:pStyle w:val="FootnoteText"/>
        <w:rPr>
          <w:rFonts w:ascii="Arial Narrow" w:hAnsi="Arial Narrow"/>
          <w:lang w:val="sq-AL"/>
        </w:rPr>
      </w:pPr>
      <w:r w:rsidRPr="00924487">
        <w:rPr>
          <w:rStyle w:val="FootnoteReference"/>
          <w:rFonts w:ascii="Garamond" w:hAnsi="Garamond"/>
          <w:lang w:val="sq-AL"/>
        </w:rPr>
        <w:footnoteRef/>
      </w:r>
      <w:r>
        <w:rPr>
          <w:rFonts w:ascii="Garamond" w:hAnsi="Garamond"/>
          <w:lang w:val="sq-AL"/>
        </w:rPr>
        <w:t xml:space="preserve"> </w:t>
      </w:r>
      <w:r w:rsidRPr="00924487">
        <w:rPr>
          <w:rFonts w:ascii="Garamond" w:hAnsi="Garamond"/>
          <w:lang w:val="sq-AL"/>
        </w:rPr>
        <w:t>ALL</w:t>
      </w:r>
      <w:r w:rsidRPr="00924487">
        <w:rPr>
          <w:rFonts w:ascii="Arial Narrow" w:hAnsi="Arial Narrow"/>
          <w:lang w:val="sq-AL"/>
        </w:rPr>
        <w:t xml:space="preserve"> </w:t>
      </w:r>
    </w:p>
  </w:footnote>
  <w:footnote w:id="33">
    <w:p w14:paraId="2D6A2C48" w14:textId="5C1EDF8D" w:rsidR="007777D4" w:rsidRPr="00131DA1" w:rsidRDefault="007777D4" w:rsidP="006F605B">
      <w:pPr>
        <w:pStyle w:val="FootnoteText"/>
        <w:rPr>
          <w:rFonts w:ascii="Garamond" w:hAnsi="Garamond"/>
          <w:lang w:val="sq-AL"/>
        </w:rPr>
      </w:pPr>
      <w:r w:rsidRPr="00131DA1">
        <w:rPr>
          <w:rStyle w:val="FootnoteReference"/>
          <w:rFonts w:ascii="Garamond" w:hAnsi="Garamond"/>
          <w:lang w:val="sq-AL"/>
        </w:rPr>
        <w:footnoteRef/>
      </w:r>
      <w:r>
        <w:rPr>
          <w:rFonts w:ascii="Garamond" w:hAnsi="Garamond"/>
          <w:lang w:val="sq-AL"/>
        </w:rPr>
        <w:t xml:space="preserve"> </w:t>
      </w:r>
      <w:r w:rsidRPr="00131DA1">
        <w:rPr>
          <w:rFonts w:ascii="Garamond" w:hAnsi="Garamond"/>
          <w:lang w:val="sq-AL"/>
        </w:rPr>
        <w:t>INSTAT</w:t>
      </w:r>
      <w:r>
        <w:rPr>
          <w:rFonts w:ascii="Garamond" w:hAnsi="Garamond"/>
          <w:lang w:val="sq-AL"/>
        </w:rPr>
        <w:t>,</w:t>
      </w:r>
      <w:r w:rsidRPr="00131DA1">
        <w:rPr>
          <w:rFonts w:ascii="Garamond" w:hAnsi="Garamond"/>
          <w:lang w:val="sq-AL"/>
        </w:rPr>
        <w:t xml:space="preserve"> Anketa për të Ardhurat dhe Kushtet e Jetesës</w:t>
      </w:r>
      <w:r>
        <w:rPr>
          <w:rFonts w:ascii="Garamond" w:hAnsi="Garamond"/>
          <w:lang w:val="sq-AL"/>
        </w:rPr>
        <w:t>,</w:t>
      </w:r>
      <w:r w:rsidRPr="00131DA1">
        <w:rPr>
          <w:rFonts w:ascii="Garamond" w:hAnsi="Garamond"/>
          <w:lang w:val="sq-AL"/>
        </w:rPr>
        <w:t xml:space="preserve"> 2017</w:t>
      </w:r>
      <w:r>
        <w:rPr>
          <w:rFonts w:ascii="Garamond" w:hAnsi="Garamond"/>
          <w:lang w:val="sq-AL"/>
        </w:rPr>
        <w:t>–</w:t>
      </w:r>
      <w:r w:rsidRPr="00131DA1">
        <w:rPr>
          <w:rFonts w:ascii="Garamond" w:hAnsi="Garamond"/>
          <w:lang w:val="sq-AL"/>
        </w:rPr>
        <w:t>2018</w:t>
      </w:r>
      <w:r>
        <w:rPr>
          <w:rFonts w:ascii="Garamond" w:hAnsi="Garamond"/>
          <w:lang w:val="sq-AL"/>
        </w:rPr>
        <w:t>.</w:t>
      </w:r>
    </w:p>
  </w:footnote>
  <w:footnote w:id="34">
    <w:p w14:paraId="5D319DBF" w14:textId="77777777" w:rsidR="007777D4" w:rsidRPr="00131DA1" w:rsidRDefault="007777D4" w:rsidP="006F605B">
      <w:pPr>
        <w:pStyle w:val="FootnoteText"/>
        <w:rPr>
          <w:rFonts w:ascii="Garamond" w:hAnsi="Garamond"/>
          <w:i/>
          <w:lang w:val="sq-AL"/>
        </w:rPr>
      </w:pPr>
      <w:r w:rsidRPr="00131DA1">
        <w:rPr>
          <w:rStyle w:val="FootnoteReference"/>
          <w:rFonts w:ascii="Garamond" w:hAnsi="Garamond"/>
          <w:lang w:val="sq-AL"/>
        </w:rPr>
        <w:footnoteRef/>
      </w:r>
      <w:r w:rsidRPr="00131DA1">
        <w:rPr>
          <w:rFonts w:ascii="Garamond" w:hAnsi="Garamond"/>
          <w:lang w:val="sq-AL"/>
        </w:rPr>
        <w:t xml:space="preserve"> INSTAT, Anketa për Buxhetin e Familjes, 2018 </w:t>
      </w:r>
    </w:p>
  </w:footnote>
  <w:footnote w:id="35">
    <w:p w14:paraId="537D8F30" w14:textId="63BE66C7" w:rsidR="007777D4" w:rsidRPr="00506131" w:rsidRDefault="007777D4" w:rsidP="006F605B">
      <w:pPr>
        <w:pStyle w:val="FootnoteText"/>
        <w:rPr>
          <w:rFonts w:ascii="Arial Narrow" w:hAnsi="Arial Narrow"/>
          <w:lang w:val="sq-AL"/>
        </w:rPr>
      </w:pPr>
      <w:r w:rsidRPr="00131DA1">
        <w:rPr>
          <w:rStyle w:val="FootnoteReference"/>
          <w:rFonts w:ascii="Garamond" w:hAnsi="Garamond"/>
          <w:lang w:val="sq-AL"/>
        </w:rPr>
        <w:footnoteRef/>
      </w:r>
      <w:r w:rsidRPr="00131DA1">
        <w:rPr>
          <w:rFonts w:ascii="Garamond" w:hAnsi="Garamond"/>
          <w:lang w:val="sq-AL"/>
        </w:rPr>
        <w:t xml:space="preserve"> In 2014, INSTAT ka botuar për herë të parë të dhëna, hendeku </w:t>
      </w:r>
      <w:r>
        <w:rPr>
          <w:rFonts w:ascii="Garamond" w:hAnsi="Garamond"/>
          <w:lang w:val="sq-AL"/>
        </w:rPr>
        <w:t>i</w:t>
      </w:r>
      <w:r w:rsidRPr="00131DA1">
        <w:rPr>
          <w:rFonts w:ascii="Garamond" w:hAnsi="Garamond"/>
          <w:lang w:val="sq-AL"/>
        </w:rPr>
        <w:t xml:space="preserve"> pagës ishte 10%; 11.47 % </w:t>
      </w:r>
      <w:r>
        <w:rPr>
          <w:rFonts w:ascii="Garamond" w:hAnsi="Garamond"/>
          <w:lang w:val="sq-AL"/>
        </w:rPr>
        <w:t>më</w:t>
      </w:r>
      <w:r w:rsidRPr="00131DA1">
        <w:rPr>
          <w:rFonts w:ascii="Garamond" w:hAnsi="Garamond"/>
          <w:lang w:val="sq-AL"/>
        </w:rPr>
        <w:t xml:space="preserve"> 2015</w:t>
      </w:r>
      <w:r>
        <w:rPr>
          <w:rFonts w:ascii="Garamond" w:hAnsi="Garamond"/>
          <w:lang w:val="sq-AL"/>
        </w:rPr>
        <w:t>-ën</w:t>
      </w:r>
      <w:r w:rsidRPr="00131DA1">
        <w:rPr>
          <w:rFonts w:ascii="Garamond" w:hAnsi="Garamond"/>
          <w:lang w:val="sq-AL"/>
        </w:rPr>
        <w:t xml:space="preserve"> dhe 11.44 </w:t>
      </w:r>
      <w:r>
        <w:rPr>
          <w:rFonts w:ascii="Garamond" w:hAnsi="Garamond"/>
          <w:lang w:val="sq-AL"/>
        </w:rPr>
        <w:t>m</w:t>
      </w:r>
      <w:r w:rsidRPr="00131DA1">
        <w:rPr>
          <w:rFonts w:ascii="Garamond" w:hAnsi="Garamond"/>
          <w:lang w:val="sq-AL"/>
        </w:rPr>
        <w:t>ë 2016</w:t>
      </w:r>
      <w:r>
        <w:rPr>
          <w:rFonts w:ascii="Garamond" w:hAnsi="Garamond"/>
          <w:lang w:val="sq-AL"/>
        </w:rPr>
        <w:t>-ën</w:t>
      </w:r>
      <w:r w:rsidRPr="00131DA1">
        <w:rPr>
          <w:rFonts w:ascii="Garamond" w:hAnsi="Garamond"/>
          <w:lang w:val="sq-AL"/>
        </w:rPr>
        <w:t>.</w:t>
      </w:r>
    </w:p>
  </w:footnote>
  <w:footnote w:id="36">
    <w:p w14:paraId="12EB065F" w14:textId="35AC0933" w:rsidR="007777D4" w:rsidRPr="00131DA1" w:rsidRDefault="007777D4" w:rsidP="006F605B">
      <w:pPr>
        <w:pStyle w:val="FootnoteText"/>
        <w:rPr>
          <w:rFonts w:ascii="Garamond" w:hAnsi="Garamond"/>
          <w:lang w:val="sq-AL"/>
        </w:rPr>
      </w:pPr>
      <w:r w:rsidRPr="00131DA1">
        <w:rPr>
          <w:rStyle w:val="FootnoteReference"/>
          <w:rFonts w:ascii="Garamond" w:hAnsi="Garamond"/>
          <w:lang w:val="sq-AL"/>
        </w:rPr>
        <w:footnoteRef/>
      </w:r>
      <w:r w:rsidRPr="00131DA1">
        <w:rPr>
          <w:rFonts w:ascii="Garamond" w:hAnsi="Garamond"/>
          <w:lang w:val="sq-AL"/>
        </w:rPr>
        <w:t xml:space="preserve"> Legjislacioni për ndërmarrjet sociale parashikon që 30% e të punësuarve janë nga kategori të veçanta.</w:t>
      </w:r>
    </w:p>
  </w:footnote>
  <w:footnote w:id="37">
    <w:p w14:paraId="5D602D7F" w14:textId="5C6C1E06" w:rsidR="007777D4" w:rsidRPr="00131DA1" w:rsidRDefault="007777D4" w:rsidP="006F605B">
      <w:pPr>
        <w:pStyle w:val="FootnoteText"/>
        <w:rPr>
          <w:rFonts w:ascii="Garamond" w:hAnsi="Garamond"/>
          <w:lang w:val="sq-AL"/>
        </w:rPr>
      </w:pPr>
      <w:r w:rsidRPr="00131DA1">
        <w:rPr>
          <w:rStyle w:val="FootnoteReference"/>
          <w:rFonts w:ascii="Garamond" w:hAnsi="Garamond"/>
          <w:lang w:val="sq-AL"/>
        </w:rPr>
        <w:footnoteRef/>
      </w:r>
      <w:r w:rsidRPr="00131DA1">
        <w:rPr>
          <w:rFonts w:ascii="Garamond" w:hAnsi="Garamond"/>
          <w:lang w:val="sq-AL"/>
        </w:rPr>
        <w:t xml:space="preserve"> Ky</w:t>
      </w:r>
      <w:r>
        <w:rPr>
          <w:rFonts w:ascii="Garamond" w:hAnsi="Garamond"/>
          <w:lang w:val="sq-AL"/>
        </w:rPr>
        <w:t xml:space="preserve"> </w:t>
      </w:r>
      <w:r w:rsidRPr="00131DA1">
        <w:rPr>
          <w:rFonts w:ascii="Garamond" w:hAnsi="Garamond"/>
          <w:lang w:val="sq-AL"/>
        </w:rPr>
        <w:t xml:space="preserve">objektiv është vetëm për rajonin e Tiranës në vitin 2020 dhe </w:t>
      </w:r>
      <w:r>
        <w:rPr>
          <w:rFonts w:ascii="Garamond" w:hAnsi="Garamond"/>
          <w:lang w:val="sq-AL"/>
        </w:rPr>
        <w:t xml:space="preserve">për </w:t>
      </w:r>
      <w:r w:rsidRPr="00131DA1">
        <w:rPr>
          <w:rFonts w:ascii="Garamond" w:hAnsi="Garamond"/>
          <w:lang w:val="sq-AL"/>
        </w:rPr>
        <w:t xml:space="preserve">rajonin e Elbasanit dhe </w:t>
      </w:r>
      <w:r>
        <w:rPr>
          <w:rFonts w:ascii="Garamond" w:hAnsi="Garamond"/>
          <w:lang w:val="sq-AL"/>
        </w:rPr>
        <w:t xml:space="preserve">të </w:t>
      </w:r>
      <w:r w:rsidRPr="00131DA1">
        <w:rPr>
          <w:rFonts w:ascii="Garamond" w:hAnsi="Garamond"/>
          <w:lang w:val="sq-AL"/>
        </w:rPr>
        <w:t>Durrësit</w:t>
      </w:r>
      <w:r>
        <w:rPr>
          <w:rFonts w:ascii="Garamond" w:hAnsi="Garamond"/>
          <w:lang w:val="sq-AL"/>
        </w:rPr>
        <w:t xml:space="preserve"> më 2022-shin</w:t>
      </w:r>
      <w:r w:rsidRPr="00131DA1">
        <w:rPr>
          <w:rFonts w:ascii="Garamond" w:hAnsi="Garamond"/>
          <w:lang w:val="sq-AL"/>
        </w:rPr>
        <w:t>.</w:t>
      </w:r>
    </w:p>
  </w:footnote>
  <w:footnote w:id="38">
    <w:p w14:paraId="4DBE49D0" w14:textId="5B4DB4DA" w:rsidR="007777D4" w:rsidRPr="00131DA1" w:rsidRDefault="007777D4" w:rsidP="004F4E33">
      <w:pPr>
        <w:pStyle w:val="FootnoteText"/>
        <w:jc w:val="both"/>
        <w:rPr>
          <w:rFonts w:ascii="Garamond" w:hAnsi="Garamond"/>
          <w:lang w:val="sq-AL"/>
        </w:rPr>
      </w:pPr>
      <w:r w:rsidRPr="00131DA1">
        <w:rPr>
          <w:rStyle w:val="FootnoteReference"/>
          <w:rFonts w:ascii="Garamond" w:hAnsi="Garamond"/>
          <w:lang w:val="sq-AL"/>
        </w:rPr>
        <w:footnoteRef/>
      </w:r>
      <w:r w:rsidRPr="00131DA1">
        <w:rPr>
          <w:rFonts w:ascii="Garamond" w:hAnsi="Garamond"/>
          <w:lang w:val="sq-AL"/>
        </w:rPr>
        <w:t xml:space="preserve"> Baza fillestare </w:t>
      </w:r>
      <w:r>
        <w:rPr>
          <w:rFonts w:ascii="Garamond" w:hAnsi="Garamond"/>
          <w:lang w:val="sq-AL"/>
        </w:rPr>
        <w:t>u</w:t>
      </w:r>
      <w:r w:rsidRPr="00131DA1">
        <w:rPr>
          <w:rFonts w:ascii="Garamond" w:hAnsi="Garamond"/>
          <w:lang w:val="sq-AL"/>
        </w:rPr>
        <w:t xml:space="preserve"> referohet numrit të komunave që janë financuar nga fondi social për vazhdimësinë e shërbimeve sociale dhe për krijimin dhe zhvillimin e shërbimeve të reja sociale</w:t>
      </w:r>
      <w:r>
        <w:rPr>
          <w:rFonts w:ascii="Garamond" w:hAnsi="Garamond"/>
          <w:lang w:val="sq-AL"/>
        </w:rPr>
        <w:t>.</w:t>
      </w:r>
    </w:p>
  </w:footnote>
  <w:footnote w:id="39">
    <w:p w14:paraId="182280E3" w14:textId="1559D623" w:rsidR="007777D4" w:rsidRPr="00506131" w:rsidRDefault="007777D4" w:rsidP="006F605B">
      <w:pPr>
        <w:pStyle w:val="FootnoteText"/>
        <w:rPr>
          <w:rFonts w:ascii="Arial Narrow" w:hAnsi="Arial Narrow"/>
          <w:lang w:val="sq-AL"/>
        </w:rPr>
      </w:pPr>
      <w:r w:rsidRPr="00131DA1">
        <w:rPr>
          <w:rStyle w:val="FootnoteReference"/>
          <w:rFonts w:ascii="Garamond" w:hAnsi="Garamond"/>
          <w:lang w:val="sq-AL"/>
        </w:rPr>
        <w:footnoteRef/>
      </w:r>
      <w:r w:rsidRPr="00131DA1">
        <w:rPr>
          <w:rFonts w:ascii="Garamond" w:hAnsi="Garamond"/>
          <w:lang w:val="sq-AL"/>
        </w:rPr>
        <w:t xml:space="preserve"> Ky objektiv është sipas indikatorëve të IPA</w:t>
      </w:r>
      <w:r>
        <w:rPr>
          <w:rFonts w:ascii="Garamond" w:hAnsi="Garamond"/>
          <w:lang w:val="sq-AL"/>
        </w:rPr>
        <w:t>-së</w:t>
      </w:r>
      <w:r w:rsidRPr="00131DA1">
        <w:rPr>
          <w:rFonts w:ascii="Garamond" w:hAnsi="Garamond"/>
          <w:lang w:val="sq-AL"/>
        </w:rPr>
        <w:t>.</w:t>
      </w:r>
    </w:p>
  </w:footnote>
  <w:footnote w:id="40">
    <w:p w14:paraId="7EB75383"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Age group of 15-64 years</w:t>
      </w:r>
    </w:p>
  </w:footnote>
  <w:footnote w:id="41">
    <w:p w14:paraId="5A0BBAA1"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Occupied population, domestic concept national accounts definition</w:t>
      </w:r>
    </w:p>
  </w:footnote>
  <w:footnote w:id="42">
    <w:p w14:paraId="0F039E04"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National accounts definition</w:t>
      </w:r>
    </w:p>
  </w:footnote>
  <w:footnote w:id="43">
    <w:p w14:paraId="18D1A5AB"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Harmonized definition, Eurostat; levels</w:t>
      </w:r>
    </w:p>
  </w:footnote>
  <w:footnote w:id="44">
    <w:p w14:paraId="3DCD5D06"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Real GDP per person employed</w:t>
      </w:r>
    </w:p>
  </w:footnote>
  <w:footnote w:id="45">
    <w:p w14:paraId="0A768919" w14:textId="77777777" w:rsidR="007777D4" w:rsidRPr="0042617D" w:rsidRDefault="007777D4" w:rsidP="006F605B">
      <w:pPr>
        <w:pStyle w:val="FootnoteText"/>
        <w:jc w:val="both"/>
        <w:rPr>
          <w:rFonts w:ascii="Times New Roman" w:hAnsi="Times New Roman"/>
          <w:i/>
        </w:rPr>
      </w:pPr>
      <w:r w:rsidRPr="0042617D">
        <w:rPr>
          <w:rStyle w:val="FootnoteReference"/>
          <w:rFonts w:ascii="Garamond" w:hAnsi="Garamond"/>
          <w:i/>
        </w:rPr>
        <w:footnoteRef/>
      </w:r>
      <w:r w:rsidRPr="0042617D">
        <w:rPr>
          <w:rFonts w:ascii="Garamond" w:hAnsi="Garamond"/>
          <w:i/>
        </w:rPr>
        <w:t xml:space="preserve"> Real GDP per hour worked</w:t>
      </w:r>
    </w:p>
  </w:footnote>
  <w:footnote w:id="46">
    <w:p w14:paraId="0076365D" w14:textId="77777777" w:rsidR="007777D4" w:rsidRPr="0042617D" w:rsidRDefault="007777D4" w:rsidP="006F605B">
      <w:pPr>
        <w:pStyle w:val="FootnoteText"/>
        <w:jc w:val="both"/>
        <w:rPr>
          <w:rFonts w:ascii="Garamond" w:hAnsi="Garamond"/>
          <w:i/>
        </w:rPr>
      </w:pPr>
      <w:r w:rsidRPr="0042617D">
        <w:rPr>
          <w:rStyle w:val="FootnoteReference"/>
          <w:rFonts w:ascii="Garamond" w:hAnsi="Garamond"/>
          <w:i/>
        </w:rPr>
        <w:footnoteRef/>
      </w:r>
      <w:r w:rsidRPr="0042617D">
        <w:rPr>
          <w:rFonts w:ascii="Garamond" w:hAnsi="Garamond"/>
          <w:i/>
        </w:rPr>
        <w:t xml:space="preserve"> Please explain the methodology used (deflators, trade weighing, etc.)</w:t>
      </w:r>
    </w:p>
  </w:footnote>
  <w:footnote w:id="47">
    <w:p w14:paraId="52103CB1"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Adjusted for the next flow of swap-related flows, so the TR-TE = EDP.B9</w:t>
      </w:r>
    </w:p>
  </w:footnote>
  <w:footnote w:id="48">
    <w:p w14:paraId="53F520E7"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The primary balance is calculated as (EDP B.9, item 8) plus (EDP D.41, item 9)</w:t>
      </w:r>
    </w:p>
  </w:footnote>
  <w:footnote w:id="49">
    <w:p w14:paraId="7DFC119C"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A plus sign means deficit-reducing one-off measures</w:t>
      </w:r>
    </w:p>
  </w:footnote>
  <w:footnote w:id="50">
    <w:p w14:paraId="4A3C89C1"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P.11+P.12+P.131+D.39+D.7+D.9 (other than D.91)</w:t>
      </w:r>
    </w:p>
  </w:footnote>
  <w:footnote w:id="51">
    <w:p w14:paraId="0F7D832A"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Including those collected by the EU and including an adjustment for uncollected taxes and social contributions (D995), if appropriate</w:t>
      </w:r>
    </w:p>
  </w:footnote>
  <w:footnote w:id="52">
    <w:p w14:paraId="5D1D91C3"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D.29+D4 (other than D.41)+ D.5+D.7+D.9+P.52+P.53+K.2+D.8</w:t>
      </w:r>
    </w:p>
  </w:footnote>
  <w:footnote w:id="53">
    <w:p w14:paraId="526DC5D2" w14:textId="77777777" w:rsidR="007777D4" w:rsidRPr="004F4E33" w:rsidRDefault="007777D4" w:rsidP="006F605B">
      <w:pPr>
        <w:pStyle w:val="FootnoteText"/>
        <w:rPr>
          <w:rFonts w:ascii="Garamond" w:hAnsi="Garamond"/>
          <w:i/>
        </w:rPr>
      </w:pPr>
      <w:r w:rsidRPr="004F4E33">
        <w:rPr>
          <w:rStyle w:val="FootnoteReference"/>
          <w:rFonts w:ascii="Garamond" w:hAnsi="Garamond"/>
          <w:i/>
        </w:rPr>
        <w:footnoteRef/>
      </w:r>
      <w:r w:rsidRPr="004F4E33">
        <w:rPr>
          <w:rFonts w:ascii="Garamond" w:hAnsi="Garamond"/>
          <w:i/>
        </w:rPr>
        <w:t xml:space="preserve"> Adjusted for the next flow of swap-related flows, so the TR-TE=EDP.B9</w:t>
      </w:r>
    </w:p>
  </w:footnote>
  <w:footnote w:id="54">
    <w:p w14:paraId="584AFD47"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Adjusted for the next flow of swap-related flows, so the TR-TE = EDP.B9</w:t>
      </w:r>
    </w:p>
  </w:footnote>
  <w:footnote w:id="55">
    <w:p w14:paraId="4FE36D86"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The primary balance is calculated as (EDP B.9, item 8) plus (EDP D.41, item 9)</w:t>
      </w:r>
    </w:p>
  </w:footnote>
  <w:footnote w:id="56">
    <w:p w14:paraId="62ED9AA0"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A plus sign means deficit-reducing one-off measures</w:t>
      </w:r>
    </w:p>
  </w:footnote>
  <w:footnote w:id="57">
    <w:p w14:paraId="5051CA02"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P.11+P.12+P.131+D.39+D.7+D.9 (other than D.91)</w:t>
      </w:r>
    </w:p>
  </w:footnote>
  <w:footnote w:id="58">
    <w:p w14:paraId="6CBF9F6B" w14:textId="77777777" w:rsidR="007777D4" w:rsidRPr="004F4E33" w:rsidRDefault="007777D4" w:rsidP="006F605B">
      <w:pPr>
        <w:pStyle w:val="FootnoteText"/>
        <w:jc w:val="both"/>
        <w:rPr>
          <w:rFonts w:ascii="Times New Roman" w:hAnsi="Times New Roman"/>
          <w:i/>
        </w:rPr>
      </w:pPr>
      <w:r w:rsidRPr="004F4E33">
        <w:rPr>
          <w:rStyle w:val="FootnoteReference"/>
          <w:rFonts w:ascii="Garamond" w:hAnsi="Garamond"/>
          <w:i/>
        </w:rPr>
        <w:footnoteRef/>
      </w:r>
      <w:r w:rsidRPr="004F4E33">
        <w:rPr>
          <w:rFonts w:ascii="Garamond" w:hAnsi="Garamond"/>
          <w:i/>
        </w:rPr>
        <w:t xml:space="preserve"> Including those collected by the EU and including an adjustment for uncollected taxes and social contributions (D995), if appropriate</w:t>
      </w:r>
    </w:p>
  </w:footnote>
  <w:footnote w:id="59">
    <w:p w14:paraId="0E53ACE8"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D.29+D4 (other than D.41)+ D.5+D.7+D.9+P.52+P.53+K.2+D.8</w:t>
      </w:r>
    </w:p>
  </w:footnote>
  <w:footnote w:id="60">
    <w:p w14:paraId="3B1CFC73" w14:textId="77777777" w:rsidR="007777D4" w:rsidRPr="004F4E33" w:rsidRDefault="007777D4" w:rsidP="006F605B">
      <w:pPr>
        <w:pStyle w:val="FootnoteText"/>
        <w:rPr>
          <w:rFonts w:ascii="Garamond" w:hAnsi="Garamond"/>
          <w:i/>
        </w:rPr>
      </w:pPr>
      <w:r w:rsidRPr="004F4E33">
        <w:rPr>
          <w:rStyle w:val="FootnoteReference"/>
          <w:rFonts w:ascii="Garamond" w:hAnsi="Garamond"/>
          <w:i/>
        </w:rPr>
        <w:footnoteRef/>
      </w:r>
      <w:r w:rsidRPr="004F4E33">
        <w:rPr>
          <w:rFonts w:ascii="Garamond" w:hAnsi="Garamond"/>
          <w:i/>
        </w:rPr>
        <w:t xml:space="preserve"> Adjusted for the next flow of swap-related flows, so the TR-TE=EDP.B9</w:t>
      </w:r>
    </w:p>
  </w:footnote>
  <w:footnote w:id="61">
    <w:p w14:paraId="620D9C25"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As defined in Regulation 3605/93 (not an ESA concept)</w:t>
      </w:r>
    </w:p>
  </w:footnote>
  <w:footnote w:id="62">
    <w:p w14:paraId="3F2C2583"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Cf. item 10 in Table 2</w:t>
      </w:r>
    </w:p>
  </w:footnote>
  <w:footnote w:id="63">
    <w:p w14:paraId="1BA7E5EA"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Cf. item 9 in Table 2</w:t>
      </w:r>
    </w:p>
  </w:footnote>
  <w:footnote w:id="64">
    <w:p w14:paraId="132BF4E3"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The differences concerning interest expenditure, other expenditure and revenue could be distinguished when relevant</w:t>
      </w:r>
    </w:p>
  </w:footnote>
  <w:footnote w:id="65">
    <w:p w14:paraId="185E68C2" w14:textId="77777777" w:rsidR="007777D4" w:rsidRPr="004F4E33" w:rsidRDefault="007777D4" w:rsidP="006F605B">
      <w:pPr>
        <w:pStyle w:val="FootnoteText"/>
        <w:jc w:val="both"/>
        <w:rPr>
          <w:rFonts w:ascii="Times New Roman" w:hAnsi="Times New Roman"/>
          <w:i/>
        </w:rPr>
      </w:pPr>
      <w:r w:rsidRPr="004F4E33">
        <w:rPr>
          <w:rStyle w:val="FootnoteReference"/>
          <w:rFonts w:ascii="Garamond" w:hAnsi="Garamond"/>
          <w:i/>
        </w:rPr>
        <w:footnoteRef/>
      </w:r>
      <w:r w:rsidRPr="004F4E33">
        <w:rPr>
          <w:rFonts w:ascii="Garamond" w:hAnsi="Garamond"/>
          <w:i/>
        </w:rPr>
        <w:t xml:space="preserve"> Liquid assets, assets on third countries, government controlled enterprises and the difference between quoted and non-quoted assets could be distinguished when relevant</w:t>
      </w:r>
    </w:p>
  </w:footnote>
  <w:footnote w:id="66">
    <w:p w14:paraId="78E5881B"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Changes due to exchange rate movement, and operation in secondary market could be distinguished when relevant</w:t>
      </w:r>
    </w:p>
  </w:footnote>
  <w:footnote w:id="67">
    <w:p w14:paraId="18A36567"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Proxied by interest expenditure divided by debt level of the previous year</w:t>
      </w:r>
    </w:p>
  </w:footnote>
  <w:footnote w:id="68">
    <w:p w14:paraId="4F75E1FB"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AF1, AF2, AF3 (consolidated at market value, AF5 (if quoted in stock exchange; including mutual fund shares)</w:t>
      </w:r>
    </w:p>
  </w:footnote>
  <w:footnote w:id="69">
    <w:p w14:paraId="786B318C" w14:textId="77777777" w:rsidR="007777D4" w:rsidRPr="004F4E33" w:rsidRDefault="007777D4" w:rsidP="006F605B">
      <w:pPr>
        <w:pStyle w:val="FootnoteText"/>
        <w:jc w:val="both"/>
        <w:rPr>
          <w:rFonts w:ascii="Garamond" w:hAnsi="Garamond"/>
          <w:i/>
        </w:rPr>
      </w:pPr>
      <w:r w:rsidRPr="004F4E33">
        <w:rPr>
          <w:rStyle w:val="FootnoteReference"/>
          <w:rFonts w:ascii="Garamond" w:hAnsi="Garamond"/>
          <w:i/>
        </w:rPr>
        <w:footnoteRef/>
      </w:r>
      <w:r w:rsidRPr="004F4E33">
        <w:rPr>
          <w:rFonts w:ascii="Garamond" w:hAnsi="Garamond"/>
          <w:i/>
        </w:rPr>
        <w:t xml:space="preserve"> A plus sign means deficit-reducing one-off measures</w:t>
      </w:r>
    </w:p>
  </w:footnote>
  <w:footnote w:id="70">
    <w:p w14:paraId="4358C01F" w14:textId="77777777" w:rsidR="007777D4" w:rsidRPr="004F4E33" w:rsidRDefault="007777D4" w:rsidP="006F605B">
      <w:pPr>
        <w:pStyle w:val="FootnoteText"/>
        <w:jc w:val="both"/>
        <w:rPr>
          <w:rFonts w:ascii="Times New Roman" w:hAnsi="Times New Roman"/>
          <w:i/>
        </w:rPr>
      </w:pPr>
      <w:r w:rsidRPr="004F4E33">
        <w:rPr>
          <w:rStyle w:val="FootnoteReference"/>
          <w:rFonts w:ascii="Garamond" w:hAnsi="Garamond"/>
          <w:i/>
        </w:rPr>
        <w:footnoteRef/>
      </w:r>
      <w:r w:rsidRPr="004F4E33">
        <w:rPr>
          <w:rFonts w:ascii="Garamond" w:hAnsi="Garamond"/>
          <w:i/>
        </w:rPr>
        <w:t xml:space="preserve"> Until an agreement on the Production Function Method is reached, countries can use their own figures (SP)</w:t>
      </w:r>
    </w:p>
  </w:footnote>
  <w:footnote w:id="71">
    <w:p w14:paraId="3ECF2D45" w14:textId="648193E1" w:rsidR="007777D4" w:rsidRPr="004512E9" w:rsidRDefault="007777D4" w:rsidP="006F605B">
      <w:pPr>
        <w:pStyle w:val="FootnoteText"/>
        <w:rPr>
          <w:rFonts w:ascii="Garamond" w:hAnsi="Garamond"/>
          <w:lang w:val="sq-AL"/>
        </w:rPr>
      </w:pPr>
      <w:r w:rsidRPr="004512E9">
        <w:rPr>
          <w:rStyle w:val="FootnoteReference"/>
          <w:rFonts w:ascii="Garamond" w:hAnsi="Garamond"/>
          <w:lang w:val="sq-AL"/>
        </w:rPr>
        <w:footnoteRef/>
      </w:r>
      <w:r w:rsidRPr="004512E9">
        <w:rPr>
          <w:rFonts w:ascii="Garamond" w:hAnsi="Garamond"/>
          <w:lang w:val="sq-AL"/>
        </w:rPr>
        <w:t xml:space="preserve"> 70 mln EUR për përfundimin e linjës së interkoneksionit Elbasan-Bitola (50 mln euro kredi; 15 mln euro grant; 5 mln euro financim nga OST</w:t>
      </w:r>
      <w:r>
        <w:rPr>
          <w:rFonts w:ascii="Garamond" w:hAnsi="Garamond"/>
          <w:lang w:val="sq-AL"/>
        </w:rPr>
        <w:t>-ja</w:t>
      </w:r>
      <w:r w:rsidRPr="004512E9">
        <w:rPr>
          <w:rFonts w:ascii="Garamond" w:hAnsi="Garamond"/>
          <w:lang w:val="sq-AL"/>
        </w:rPr>
        <w:t>). Nuk ka ndikim të drejtpërdrejt në buxhetin e shtetit</w:t>
      </w:r>
      <w:r>
        <w:rPr>
          <w:rFonts w:ascii="Garamond" w:hAnsi="Garamond"/>
          <w:lang w:val="sq-AL"/>
        </w:rPr>
        <w:t>.</w:t>
      </w:r>
    </w:p>
  </w:footnote>
  <w:footnote w:id="72">
    <w:p w14:paraId="2D0878E6" w14:textId="4E7609CB" w:rsidR="007777D4" w:rsidRPr="004512E9" w:rsidRDefault="007777D4" w:rsidP="006F605B">
      <w:pPr>
        <w:pStyle w:val="FootnoteText"/>
        <w:rPr>
          <w:rFonts w:ascii="Garamond" w:hAnsi="Garamond"/>
          <w:lang w:val="sq-AL"/>
        </w:rPr>
      </w:pPr>
      <w:r w:rsidRPr="004512E9">
        <w:rPr>
          <w:rStyle w:val="FootnoteReference"/>
          <w:rFonts w:ascii="Garamond" w:hAnsi="Garamond"/>
          <w:lang w:val="sq-AL"/>
        </w:rPr>
        <w:footnoteRef/>
      </w:r>
      <w:r w:rsidRPr="004512E9">
        <w:rPr>
          <w:rFonts w:ascii="Garamond" w:hAnsi="Garamond"/>
          <w:lang w:val="sq-AL"/>
        </w:rPr>
        <w:t xml:space="preserve"> Pagat për t</w:t>
      </w:r>
      <w:r>
        <w:rPr>
          <w:rFonts w:ascii="Garamond" w:hAnsi="Garamond"/>
          <w:lang w:val="sq-AL"/>
        </w:rPr>
        <w:t>’</w:t>
      </w:r>
      <w:r w:rsidRPr="004512E9">
        <w:rPr>
          <w:rFonts w:ascii="Garamond" w:hAnsi="Garamond"/>
          <w:lang w:val="sq-AL"/>
        </w:rPr>
        <w:t>u konfirmuar nga kompania e ndërtimit që do të shpallet fituese</w:t>
      </w:r>
      <w:r>
        <w:rPr>
          <w:rFonts w:ascii="Garamond" w:hAnsi="Garamond"/>
          <w:lang w:val="sq-AL"/>
        </w:rPr>
        <w:t>.</w:t>
      </w:r>
    </w:p>
  </w:footnote>
  <w:footnote w:id="73">
    <w:p w14:paraId="3912D850" w14:textId="77D5059B" w:rsidR="007777D4" w:rsidRPr="0042617D" w:rsidRDefault="007777D4" w:rsidP="004512E9">
      <w:pPr>
        <w:pStyle w:val="FootnoteText"/>
        <w:jc w:val="both"/>
        <w:rPr>
          <w:rFonts w:ascii="Garamond" w:hAnsi="Garamond"/>
          <w:color w:val="0D0D0D" w:themeColor="text1" w:themeTint="F2"/>
          <w:lang w:val="sq-AL"/>
        </w:rPr>
      </w:pPr>
      <w:r w:rsidRPr="0042617D">
        <w:rPr>
          <w:rStyle w:val="FootnoteReference"/>
          <w:rFonts w:ascii="Garamond" w:hAnsi="Garamond"/>
          <w:color w:val="0D0D0D" w:themeColor="text1" w:themeTint="F2"/>
          <w:lang w:val="sq-AL"/>
        </w:rPr>
        <w:footnoteRef/>
      </w:r>
      <w:r w:rsidRPr="0042617D">
        <w:rPr>
          <w:rFonts w:ascii="Garamond" w:hAnsi="Garamond"/>
          <w:color w:val="0D0D0D" w:themeColor="text1" w:themeTint="F2"/>
          <w:lang w:val="sq-AL"/>
        </w:rPr>
        <w:t xml:space="preserve"> Planifikimi është b</w:t>
      </w:r>
      <w:r>
        <w:rPr>
          <w:rFonts w:ascii="Garamond" w:hAnsi="Garamond"/>
          <w:color w:val="0D0D0D" w:themeColor="text1" w:themeTint="F2"/>
          <w:lang w:val="sq-AL"/>
        </w:rPr>
        <w:t>ë</w:t>
      </w:r>
      <w:r w:rsidRPr="0042617D">
        <w:rPr>
          <w:rFonts w:ascii="Garamond" w:hAnsi="Garamond"/>
          <w:color w:val="0D0D0D" w:themeColor="text1" w:themeTint="F2"/>
          <w:lang w:val="sq-AL"/>
        </w:rPr>
        <w:t>r</w:t>
      </w:r>
      <w:r>
        <w:rPr>
          <w:rFonts w:ascii="Garamond" w:hAnsi="Garamond"/>
          <w:color w:val="0D0D0D" w:themeColor="text1" w:themeTint="F2"/>
          <w:lang w:val="sq-AL"/>
        </w:rPr>
        <w:t>ë</w:t>
      </w:r>
      <w:r w:rsidRPr="0042617D">
        <w:rPr>
          <w:rFonts w:ascii="Garamond" w:hAnsi="Garamond"/>
          <w:color w:val="0D0D0D" w:themeColor="text1" w:themeTint="F2"/>
          <w:lang w:val="sq-AL"/>
        </w:rPr>
        <w:t xml:space="preserve"> duke </w:t>
      </w:r>
      <w:r>
        <w:rPr>
          <w:rFonts w:ascii="Garamond" w:hAnsi="Garamond"/>
          <w:color w:val="0D0D0D" w:themeColor="text1" w:themeTint="F2"/>
          <w:lang w:val="sq-AL"/>
        </w:rPr>
        <w:t>i</w:t>
      </w:r>
      <w:r w:rsidRPr="0042617D">
        <w:rPr>
          <w:rFonts w:ascii="Garamond" w:hAnsi="Garamond"/>
          <w:color w:val="0D0D0D" w:themeColor="text1" w:themeTint="F2"/>
          <w:lang w:val="sq-AL"/>
        </w:rPr>
        <w:t>u referuar pagës mesatare mujore t</w:t>
      </w:r>
      <w:r>
        <w:rPr>
          <w:rFonts w:ascii="Garamond" w:hAnsi="Garamond"/>
          <w:color w:val="0D0D0D" w:themeColor="text1" w:themeTint="F2"/>
          <w:lang w:val="sq-AL"/>
        </w:rPr>
        <w:t>ë</w:t>
      </w:r>
      <w:r w:rsidRPr="0042617D">
        <w:rPr>
          <w:rFonts w:ascii="Garamond" w:hAnsi="Garamond"/>
          <w:color w:val="0D0D0D" w:themeColor="text1" w:themeTint="F2"/>
          <w:lang w:val="sq-AL"/>
        </w:rPr>
        <w:t xml:space="preserve"> një mësuesi ndihmës.</w:t>
      </w:r>
    </w:p>
  </w:footnote>
  <w:footnote w:id="74">
    <w:p w14:paraId="230136DA" w14:textId="0FF3AC09" w:rsidR="007777D4" w:rsidRPr="00131DA1" w:rsidRDefault="007777D4" w:rsidP="004512E9">
      <w:pPr>
        <w:pStyle w:val="FootnoteText"/>
        <w:jc w:val="both"/>
        <w:rPr>
          <w:rFonts w:ascii="Garamond" w:hAnsi="Garamond"/>
          <w:lang w:val="sq-AL"/>
        </w:rPr>
      </w:pPr>
      <w:r w:rsidRPr="00131DA1">
        <w:rPr>
          <w:rStyle w:val="FootnoteReference"/>
          <w:rFonts w:ascii="Garamond" w:hAnsi="Garamond"/>
          <w:lang w:val="sq-AL"/>
        </w:rPr>
        <w:footnoteRef/>
      </w:r>
      <w:r w:rsidRPr="00131DA1">
        <w:rPr>
          <w:rFonts w:ascii="Garamond" w:hAnsi="Garamond"/>
          <w:lang w:val="sq-AL"/>
        </w:rPr>
        <w:t xml:space="preserve"> VKM nr.</w:t>
      </w:r>
      <w:r>
        <w:rPr>
          <w:rFonts w:ascii="Garamond" w:hAnsi="Garamond"/>
          <w:lang w:val="sq-AL"/>
        </w:rPr>
        <w:t xml:space="preserve"> </w:t>
      </w:r>
      <w:r w:rsidRPr="00131DA1">
        <w:rPr>
          <w:rFonts w:ascii="Garamond" w:hAnsi="Garamond"/>
          <w:lang w:val="sq-AL"/>
        </w:rPr>
        <w:t>554 (31.7.2019) miratoi krijimin, organizimin dhe funksionimin e Agjencisë Kombëtare të Punësimit dhe Aftësive (NESA). MFE</w:t>
      </w:r>
      <w:r>
        <w:rPr>
          <w:rFonts w:ascii="Garamond" w:hAnsi="Garamond"/>
          <w:lang w:val="sq-AL"/>
        </w:rPr>
        <w:t>-ja,</w:t>
      </w:r>
      <w:r w:rsidRPr="00131DA1">
        <w:rPr>
          <w:rFonts w:ascii="Garamond" w:hAnsi="Garamond"/>
          <w:lang w:val="sq-AL"/>
        </w:rPr>
        <w:t xml:space="preserve"> aktualisht</w:t>
      </w:r>
      <w:r>
        <w:rPr>
          <w:rFonts w:ascii="Garamond" w:hAnsi="Garamond"/>
          <w:lang w:val="sq-AL"/>
        </w:rPr>
        <w:t>,</w:t>
      </w:r>
      <w:r w:rsidRPr="00131DA1">
        <w:rPr>
          <w:rFonts w:ascii="Garamond" w:hAnsi="Garamond"/>
          <w:lang w:val="sq-AL"/>
        </w:rPr>
        <w:t xml:space="preserve"> është në proces të strukturimit të NESA-s, dhe miratimet e buxhetit do të llogariten pasi të jenë aprovuar strukturat.</w:t>
      </w:r>
    </w:p>
  </w:footnote>
  <w:footnote w:id="75">
    <w:p w14:paraId="00A20F1C" w14:textId="269D3AF2" w:rsidR="007777D4" w:rsidRPr="00131DA1" w:rsidRDefault="007777D4" w:rsidP="004512E9">
      <w:pPr>
        <w:pStyle w:val="FootnoteText"/>
        <w:jc w:val="both"/>
        <w:rPr>
          <w:rFonts w:ascii="Garamond" w:hAnsi="Garamond"/>
          <w:lang w:val="sq-AL"/>
        </w:rPr>
      </w:pPr>
      <w:r w:rsidRPr="00131DA1">
        <w:rPr>
          <w:rStyle w:val="FootnoteReference"/>
          <w:rFonts w:ascii="Garamond" w:hAnsi="Garamond"/>
          <w:lang w:val="sq-AL"/>
        </w:rPr>
        <w:footnoteRef/>
      </w:r>
      <w:r>
        <w:rPr>
          <w:rFonts w:ascii="Garamond" w:hAnsi="Garamond"/>
          <w:lang w:val="sq-AL"/>
        </w:rPr>
        <w:t xml:space="preserve"> Më 2021-shin</w:t>
      </w:r>
      <w:r w:rsidRPr="00131DA1">
        <w:rPr>
          <w:rFonts w:ascii="Garamond" w:hAnsi="Garamond"/>
          <w:lang w:val="sq-AL"/>
        </w:rPr>
        <w:t xml:space="preserve"> dhe 2022</w:t>
      </w:r>
      <w:r>
        <w:rPr>
          <w:rFonts w:ascii="Garamond" w:hAnsi="Garamond"/>
          <w:lang w:val="sq-AL"/>
        </w:rPr>
        <w:t>-shit</w:t>
      </w:r>
      <w:r w:rsidRPr="00131DA1">
        <w:rPr>
          <w:rFonts w:ascii="Garamond" w:hAnsi="Garamond"/>
          <w:lang w:val="sq-AL"/>
        </w:rPr>
        <w:t xml:space="preserve"> i njëjti buxhet është planifikuar për këtë produkt, kështu që nuk ka buxhet shtesë</w:t>
      </w:r>
      <w:r>
        <w:rPr>
          <w:rFonts w:ascii="Garamond" w:hAnsi="Garamond"/>
          <w:lang w:val="sq-AL"/>
        </w:rPr>
        <w:t>.</w:t>
      </w:r>
    </w:p>
  </w:footnote>
  <w:footnote w:id="76">
    <w:p w14:paraId="642A4457" w14:textId="68AE404E" w:rsidR="007777D4" w:rsidRPr="004512E9" w:rsidRDefault="007777D4" w:rsidP="006F605B">
      <w:pPr>
        <w:pStyle w:val="FootnoteText"/>
        <w:rPr>
          <w:rFonts w:ascii="Garamond" w:hAnsi="Garamond"/>
          <w:lang w:val="sq-AL"/>
        </w:rPr>
      </w:pPr>
      <w:r w:rsidRPr="004512E9">
        <w:rPr>
          <w:rStyle w:val="FootnoteReference"/>
          <w:rFonts w:ascii="Garamond" w:hAnsi="Garamond"/>
          <w:lang w:val="sq-AL"/>
        </w:rPr>
        <w:footnoteRef/>
      </w:r>
      <w:r w:rsidRPr="004512E9">
        <w:rPr>
          <w:rFonts w:ascii="Garamond" w:hAnsi="Garamond"/>
          <w:lang w:val="sq-AL"/>
        </w:rPr>
        <w:t xml:space="preserve"> Më 2021</w:t>
      </w:r>
      <w:r>
        <w:rPr>
          <w:rFonts w:ascii="Garamond" w:hAnsi="Garamond"/>
          <w:lang w:val="sq-AL"/>
        </w:rPr>
        <w:t>-shin</w:t>
      </w:r>
      <w:r w:rsidRPr="004512E9">
        <w:rPr>
          <w:rFonts w:ascii="Garamond" w:hAnsi="Garamond"/>
          <w:lang w:val="sq-AL"/>
        </w:rPr>
        <w:t xml:space="preserve"> dhe 2022</w:t>
      </w:r>
      <w:r>
        <w:rPr>
          <w:rFonts w:ascii="Garamond" w:hAnsi="Garamond"/>
          <w:lang w:val="sq-AL"/>
        </w:rPr>
        <w:t>-shit</w:t>
      </w:r>
      <w:r w:rsidRPr="004512E9">
        <w:rPr>
          <w:rFonts w:ascii="Garamond" w:hAnsi="Garamond"/>
          <w:lang w:val="sq-AL"/>
        </w:rPr>
        <w:t xml:space="preserve"> i njëjti buxhet është planifikuar për këtë produkt, kështu që nuk ka buxhet shtesë</w:t>
      </w:r>
      <w:r>
        <w:rPr>
          <w:rFonts w:ascii="Garamond" w:hAnsi="Garamond"/>
          <w:lang w:val="sq-AL"/>
        </w:rPr>
        <w:t>.</w:t>
      </w:r>
    </w:p>
  </w:footnote>
  <w:footnote w:id="77">
    <w:p w14:paraId="448CAD06" w14:textId="6050E8A6" w:rsidR="007777D4" w:rsidRPr="004512E9" w:rsidRDefault="007777D4" w:rsidP="006F605B">
      <w:pPr>
        <w:pStyle w:val="FootnoteText"/>
        <w:rPr>
          <w:rFonts w:ascii="Garamond" w:hAnsi="Garamond"/>
          <w:lang w:val="sq-AL"/>
        </w:rPr>
      </w:pPr>
      <w:r w:rsidRPr="004512E9">
        <w:rPr>
          <w:rStyle w:val="FootnoteReference"/>
          <w:rFonts w:ascii="Garamond" w:hAnsi="Garamond"/>
          <w:lang w:val="sq-AL"/>
        </w:rPr>
        <w:footnoteRef/>
      </w:r>
      <w:r w:rsidRPr="004512E9">
        <w:rPr>
          <w:rFonts w:ascii="Garamond" w:hAnsi="Garamond"/>
          <w:lang w:val="sq-AL"/>
        </w:rPr>
        <w:t xml:space="preserve"> Një buxhet më i vogël është planifikuar më 2022</w:t>
      </w:r>
      <w:r>
        <w:rPr>
          <w:rFonts w:ascii="Garamond" w:hAnsi="Garamond"/>
          <w:lang w:val="sq-AL"/>
        </w:rPr>
        <w:t>-shin</w:t>
      </w:r>
      <w:r w:rsidRPr="004512E9">
        <w:rPr>
          <w:rFonts w:ascii="Garamond" w:hAnsi="Garamond"/>
          <w:lang w:val="sq-AL"/>
        </w:rPr>
        <w:t xml:space="preserve"> krahasuar m</w:t>
      </w:r>
      <w:r>
        <w:rPr>
          <w:rFonts w:ascii="Garamond" w:hAnsi="Garamond"/>
          <w:lang w:val="sq-AL"/>
        </w:rPr>
        <w:t>ë</w:t>
      </w:r>
      <w:r w:rsidRPr="004512E9">
        <w:rPr>
          <w:rFonts w:ascii="Garamond" w:hAnsi="Garamond"/>
          <w:lang w:val="sq-AL"/>
        </w:rPr>
        <w:t xml:space="preserve"> 2021</w:t>
      </w:r>
      <w:r>
        <w:rPr>
          <w:rFonts w:ascii="Garamond" w:hAnsi="Garamond"/>
          <w:lang w:val="sq-AL"/>
        </w:rPr>
        <w:t>-shin.</w:t>
      </w:r>
    </w:p>
  </w:footnote>
  <w:footnote w:id="78">
    <w:p w14:paraId="63D6A84D" w14:textId="304E6909" w:rsidR="007777D4" w:rsidRPr="004512E9" w:rsidRDefault="007777D4" w:rsidP="006F605B">
      <w:pPr>
        <w:pStyle w:val="FootnoteText"/>
        <w:rPr>
          <w:rFonts w:ascii="Garamond" w:hAnsi="Garamond"/>
          <w:lang w:val="sq-AL"/>
        </w:rPr>
      </w:pPr>
      <w:r w:rsidRPr="004512E9">
        <w:rPr>
          <w:rStyle w:val="FootnoteReference"/>
          <w:rFonts w:ascii="Garamond" w:hAnsi="Garamond"/>
          <w:lang w:val="sq-AL"/>
        </w:rPr>
        <w:footnoteRef/>
      </w:r>
      <w:r w:rsidRPr="004512E9">
        <w:rPr>
          <w:rFonts w:ascii="Garamond" w:hAnsi="Garamond"/>
          <w:lang w:val="sq-AL"/>
        </w:rPr>
        <w:t xml:space="preserve"> Më 2021</w:t>
      </w:r>
      <w:r>
        <w:rPr>
          <w:rFonts w:ascii="Garamond" w:hAnsi="Garamond"/>
          <w:lang w:val="sq-AL"/>
        </w:rPr>
        <w:t>-shin</w:t>
      </w:r>
      <w:r w:rsidRPr="004512E9">
        <w:rPr>
          <w:rFonts w:ascii="Garamond" w:hAnsi="Garamond"/>
          <w:lang w:val="sq-AL"/>
        </w:rPr>
        <w:t xml:space="preserve"> dhe 2022</w:t>
      </w:r>
      <w:r>
        <w:rPr>
          <w:rFonts w:ascii="Garamond" w:hAnsi="Garamond"/>
          <w:lang w:val="sq-AL"/>
        </w:rPr>
        <w:t>-shin</w:t>
      </w:r>
      <w:r w:rsidRPr="004512E9">
        <w:rPr>
          <w:rFonts w:ascii="Garamond" w:hAnsi="Garamond"/>
          <w:lang w:val="sq-AL"/>
        </w:rPr>
        <w:t xml:space="preserve"> i njëjti buxhet është planifikuar për këtë produkt, kështu që nuk ka buxhet shtesë</w:t>
      </w:r>
      <w:r>
        <w:rPr>
          <w:rFonts w:ascii="Garamond" w:hAnsi="Garamond"/>
          <w:lang w:val="sq-AL"/>
        </w:rPr>
        <w:t>.</w:t>
      </w:r>
    </w:p>
  </w:footnote>
  <w:footnote w:id="79">
    <w:p w14:paraId="3D038C1B" w14:textId="578B0537" w:rsidR="007777D4" w:rsidRPr="004512E9" w:rsidRDefault="007777D4" w:rsidP="006F605B">
      <w:pPr>
        <w:pStyle w:val="FootnoteText"/>
        <w:rPr>
          <w:rFonts w:ascii="Garamond" w:hAnsi="Garamond"/>
          <w:lang w:val="sq-AL"/>
        </w:rPr>
      </w:pPr>
      <w:r w:rsidRPr="004512E9">
        <w:rPr>
          <w:rStyle w:val="FootnoteReference"/>
          <w:rFonts w:ascii="Garamond" w:hAnsi="Garamond"/>
          <w:lang w:val="sq-AL"/>
        </w:rPr>
        <w:footnoteRef/>
      </w:r>
      <w:r w:rsidRPr="004512E9">
        <w:rPr>
          <w:rFonts w:ascii="Garamond" w:hAnsi="Garamond"/>
          <w:lang w:val="sq-AL"/>
        </w:rPr>
        <w:t xml:space="preserve"> Më 2021</w:t>
      </w:r>
      <w:r>
        <w:rPr>
          <w:rFonts w:ascii="Garamond" w:hAnsi="Garamond"/>
          <w:lang w:val="sq-AL"/>
        </w:rPr>
        <w:t>-shin</w:t>
      </w:r>
      <w:r w:rsidRPr="004512E9">
        <w:rPr>
          <w:rFonts w:ascii="Garamond" w:hAnsi="Garamond"/>
          <w:lang w:val="sq-AL"/>
        </w:rPr>
        <w:t xml:space="preserve"> dhe 2022</w:t>
      </w:r>
      <w:r>
        <w:rPr>
          <w:rFonts w:ascii="Garamond" w:hAnsi="Garamond"/>
          <w:lang w:val="sq-AL"/>
        </w:rPr>
        <w:t>-shin</w:t>
      </w:r>
      <w:r w:rsidRPr="004512E9">
        <w:rPr>
          <w:rFonts w:ascii="Garamond" w:hAnsi="Garamond"/>
          <w:lang w:val="sq-AL"/>
        </w:rPr>
        <w:t xml:space="preserve"> i njëjti buxhet është planifikuar për këtë produkt, kështu që nuk ka buxhet shtesë</w:t>
      </w:r>
      <w:r>
        <w:rPr>
          <w:rFonts w:ascii="Garamond" w:hAnsi="Garamond"/>
          <w:lang w:val="sq-AL"/>
        </w:rPr>
        <w:t>.</w:t>
      </w:r>
    </w:p>
  </w:footnote>
  <w:footnote w:id="80">
    <w:p w14:paraId="4C22C47F" w14:textId="77777777" w:rsidR="007777D4" w:rsidRPr="004512E9" w:rsidRDefault="007777D4" w:rsidP="006F605B">
      <w:pPr>
        <w:pStyle w:val="FootnoteText"/>
        <w:rPr>
          <w:rFonts w:ascii="Garamond" w:hAnsi="Garamond"/>
          <w:lang w:val="sq-AL"/>
        </w:rPr>
      </w:pPr>
      <w:r w:rsidRPr="004512E9">
        <w:rPr>
          <w:rStyle w:val="FootnoteReference"/>
          <w:rFonts w:ascii="Garamond" w:hAnsi="Garamond"/>
          <w:lang w:val="sq-AL"/>
        </w:rPr>
        <w:footnoteRef/>
      </w:r>
      <w:r w:rsidRPr="004512E9">
        <w:rPr>
          <w:rFonts w:ascii="Garamond" w:hAnsi="Garamond"/>
          <w:lang w:val="sq-AL"/>
        </w:rPr>
        <w:t xml:space="preserve"> OST sh.a.</w:t>
      </w:r>
    </w:p>
  </w:footnote>
  <w:footnote w:id="81">
    <w:p w14:paraId="6CD90A0F" w14:textId="77777777" w:rsidR="007777D4" w:rsidRPr="004512E9" w:rsidRDefault="007777D4" w:rsidP="006F605B">
      <w:pPr>
        <w:pStyle w:val="FootnoteText"/>
        <w:rPr>
          <w:rFonts w:ascii="Garamond" w:hAnsi="Garamond"/>
          <w:lang w:val="sq-AL"/>
        </w:rPr>
      </w:pPr>
      <w:r w:rsidRPr="004512E9">
        <w:rPr>
          <w:rStyle w:val="FootnoteReference"/>
          <w:rFonts w:ascii="Garamond" w:hAnsi="Garamond"/>
          <w:lang w:val="sq-AL"/>
        </w:rPr>
        <w:footnoteRef/>
      </w:r>
      <w:r w:rsidRPr="004512E9">
        <w:rPr>
          <w:rFonts w:ascii="Garamond" w:hAnsi="Garamond"/>
          <w:lang w:val="sq-AL"/>
        </w:rPr>
        <w:t xml:space="preserve"> WBIF</w:t>
      </w:r>
    </w:p>
  </w:footnote>
  <w:footnote w:id="82">
    <w:p w14:paraId="5D63DE0E" w14:textId="77777777" w:rsidR="007777D4" w:rsidRPr="004512E9" w:rsidRDefault="007777D4" w:rsidP="006F605B">
      <w:pPr>
        <w:pStyle w:val="FootnoteText"/>
        <w:rPr>
          <w:rFonts w:ascii="Garamond" w:hAnsi="Garamond"/>
          <w:lang w:val="sq-AL"/>
        </w:rPr>
      </w:pPr>
      <w:r w:rsidRPr="004512E9">
        <w:rPr>
          <w:rStyle w:val="FootnoteReference"/>
          <w:rFonts w:ascii="Garamond" w:hAnsi="Garamond"/>
          <w:lang w:val="sq-AL"/>
        </w:rPr>
        <w:footnoteRef/>
      </w:r>
      <w:r w:rsidRPr="004512E9">
        <w:rPr>
          <w:rFonts w:ascii="Garamond" w:hAnsi="Garamond"/>
          <w:lang w:val="sq-AL"/>
        </w:rPr>
        <w:t xml:space="preserve"> KfW</w:t>
      </w:r>
    </w:p>
  </w:footnote>
  <w:footnote w:id="83">
    <w:p w14:paraId="5B4A9B9F" w14:textId="39050C22" w:rsidR="007777D4" w:rsidRPr="000C7F2D" w:rsidRDefault="007777D4" w:rsidP="006F605B">
      <w:pPr>
        <w:pStyle w:val="FootnoteText"/>
        <w:rPr>
          <w:rFonts w:ascii="Garamond" w:hAnsi="Garamond"/>
          <w:lang w:val="sq-AL"/>
        </w:rPr>
      </w:pPr>
      <w:r w:rsidRPr="000C7F2D">
        <w:rPr>
          <w:rStyle w:val="FootnoteReference"/>
          <w:rFonts w:ascii="Garamond" w:hAnsi="Garamond"/>
          <w:lang w:val="sq-AL"/>
        </w:rPr>
        <w:footnoteRef/>
      </w:r>
      <w:r w:rsidRPr="000C7F2D">
        <w:rPr>
          <w:rFonts w:ascii="Garamond" w:hAnsi="Garamond"/>
          <w:lang w:val="sq-AL"/>
        </w:rPr>
        <w:t xml:space="preserve"> Kontrata është nënshkruar për 3 vite</w:t>
      </w:r>
      <w:r>
        <w:rPr>
          <w:rFonts w:ascii="Garamond" w:hAnsi="Garamond"/>
          <w:lang w:val="sq-AL"/>
        </w:rPr>
        <w:t>.</w:t>
      </w:r>
    </w:p>
  </w:footnote>
  <w:footnote w:id="84">
    <w:p w14:paraId="5841091D" w14:textId="37FB3184" w:rsidR="007777D4" w:rsidRPr="000C7F2D" w:rsidRDefault="007777D4" w:rsidP="006F605B">
      <w:pPr>
        <w:pStyle w:val="FootnoteText"/>
        <w:rPr>
          <w:rFonts w:ascii="Garamond" w:hAnsi="Garamond"/>
          <w:color w:val="0D0D0D" w:themeColor="text1" w:themeTint="F2"/>
          <w:lang w:val="sq-AL"/>
        </w:rPr>
      </w:pPr>
      <w:r w:rsidRPr="000C7F2D">
        <w:rPr>
          <w:rStyle w:val="FootnoteReference"/>
          <w:rFonts w:ascii="Garamond" w:hAnsi="Garamond"/>
          <w:color w:val="0D0D0D" w:themeColor="text1" w:themeTint="F2"/>
          <w:lang w:val="sq-AL"/>
        </w:rPr>
        <w:footnoteRef/>
      </w:r>
      <w:r w:rsidRPr="000C7F2D">
        <w:rPr>
          <w:rFonts w:ascii="Garamond" w:hAnsi="Garamond"/>
          <w:color w:val="0D0D0D" w:themeColor="text1" w:themeTint="F2"/>
          <w:lang w:val="sq-AL"/>
        </w:rPr>
        <w:t xml:space="preserve"> 0=pa zbatim; 1=zbatimi po përgatitet; 2=hapat e par</w:t>
      </w:r>
      <w:r>
        <w:rPr>
          <w:rFonts w:ascii="Garamond" w:hAnsi="Garamond"/>
          <w:color w:val="0D0D0D" w:themeColor="text1" w:themeTint="F2"/>
          <w:lang w:val="sq-AL"/>
        </w:rPr>
        <w:t>ë</w:t>
      </w:r>
      <w:r w:rsidRPr="000C7F2D">
        <w:rPr>
          <w:rFonts w:ascii="Garamond" w:hAnsi="Garamond"/>
          <w:color w:val="0D0D0D" w:themeColor="text1" w:themeTint="F2"/>
          <w:lang w:val="sq-AL"/>
        </w:rPr>
        <w:t xml:space="preserve"> janë marrë; 3=zbatimi po ecën me disa rezultate fillestare; 4=zbatimi është i avancuar; 5=zbatim i plotë</w:t>
      </w:r>
      <w:r>
        <w:rPr>
          <w:rFonts w:ascii="Garamond" w:hAnsi="Garamond"/>
          <w:color w:val="0D0D0D" w:themeColor="text1" w:themeTint="F2"/>
          <w:lang w:val="sq-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5317C"/>
    <w:multiLevelType w:val="hybridMultilevel"/>
    <w:tmpl w:val="60C270D8"/>
    <w:lvl w:ilvl="0" w:tplc="E422AF96">
      <w:numFmt w:val="bullet"/>
      <w:lvlText w:val="-"/>
      <w:lvlJc w:val="left"/>
      <w:pPr>
        <w:ind w:left="630" w:hanging="360"/>
      </w:pPr>
      <w:rPr>
        <w:rFonts w:ascii="Times New Roman" w:eastAsiaTheme="minorHAns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A15815"/>
    <w:multiLevelType w:val="hybridMultilevel"/>
    <w:tmpl w:val="88DCD9E6"/>
    <w:lvl w:ilvl="0" w:tplc="08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BD60F2C"/>
    <w:multiLevelType w:val="hybridMultilevel"/>
    <w:tmpl w:val="1FBE3B8C"/>
    <w:lvl w:ilvl="0" w:tplc="1AEC1558">
      <w:start w:val="6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2CAE5B14"/>
    <w:multiLevelType w:val="hybridMultilevel"/>
    <w:tmpl w:val="ADA046C8"/>
    <w:lvl w:ilvl="0" w:tplc="E422AF96">
      <w:numFmt w:val="bullet"/>
      <w:lvlText w:val="-"/>
      <w:lvlJc w:val="left"/>
      <w:pPr>
        <w:ind w:left="630" w:hanging="360"/>
      </w:pPr>
      <w:rPr>
        <w:rFonts w:ascii="Times New Roman" w:eastAsiaTheme="minorHAns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A4C2699"/>
    <w:multiLevelType w:val="hybridMultilevel"/>
    <w:tmpl w:val="FB1605F0"/>
    <w:lvl w:ilvl="0" w:tplc="F4B678A0">
      <w:start w:val="20"/>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6">
    <w:nsid w:val="40CA46E4"/>
    <w:multiLevelType w:val="hybridMultilevel"/>
    <w:tmpl w:val="DE76F3AA"/>
    <w:lvl w:ilvl="0" w:tplc="8B0CCFAE">
      <w:start w:val="3"/>
      <w:numFmt w:val="low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7">
    <w:nsid w:val="5AE96512"/>
    <w:multiLevelType w:val="hybridMultilevel"/>
    <w:tmpl w:val="49244448"/>
    <w:lvl w:ilvl="0" w:tplc="26BEBCB0">
      <w:start w:val="6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276780"/>
    <w:multiLevelType w:val="hybridMultilevel"/>
    <w:tmpl w:val="FE20C7C0"/>
    <w:lvl w:ilvl="0" w:tplc="03427E5C">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 w:numId="8">
    <w:abstractNumId w:val="7"/>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AA0"/>
    <w:rsid w:val="000045A9"/>
    <w:rsid w:val="00004A5D"/>
    <w:rsid w:val="00004F13"/>
    <w:rsid w:val="00007268"/>
    <w:rsid w:val="00007A13"/>
    <w:rsid w:val="00010B63"/>
    <w:rsid w:val="00016322"/>
    <w:rsid w:val="00022246"/>
    <w:rsid w:val="000235CA"/>
    <w:rsid w:val="00030AD5"/>
    <w:rsid w:val="00032C90"/>
    <w:rsid w:val="000342F3"/>
    <w:rsid w:val="00034B33"/>
    <w:rsid w:val="00035008"/>
    <w:rsid w:val="000362C1"/>
    <w:rsid w:val="00037571"/>
    <w:rsid w:val="000403E8"/>
    <w:rsid w:val="00041151"/>
    <w:rsid w:val="00047197"/>
    <w:rsid w:val="00050407"/>
    <w:rsid w:val="0005193C"/>
    <w:rsid w:val="000527AB"/>
    <w:rsid w:val="000564BE"/>
    <w:rsid w:val="000607F5"/>
    <w:rsid w:val="000624C8"/>
    <w:rsid w:val="00064652"/>
    <w:rsid w:val="000709E3"/>
    <w:rsid w:val="000769E2"/>
    <w:rsid w:val="00077192"/>
    <w:rsid w:val="00077F1C"/>
    <w:rsid w:val="00083200"/>
    <w:rsid w:val="000832B0"/>
    <w:rsid w:val="00084B4B"/>
    <w:rsid w:val="00085115"/>
    <w:rsid w:val="00091788"/>
    <w:rsid w:val="000A2C7E"/>
    <w:rsid w:val="000C007A"/>
    <w:rsid w:val="000C7F2D"/>
    <w:rsid w:val="000D2526"/>
    <w:rsid w:val="000E08A2"/>
    <w:rsid w:val="000E2FB0"/>
    <w:rsid w:val="000E6E46"/>
    <w:rsid w:val="000F281C"/>
    <w:rsid w:val="000F75FC"/>
    <w:rsid w:val="001057A3"/>
    <w:rsid w:val="00106CF8"/>
    <w:rsid w:val="00107523"/>
    <w:rsid w:val="00107580"/>
    <w:rsid w:val="001151FC"/>
    <w:rsid w:val="0012162E"/>
    <w:rsid w:val="00121E6D"/>
    <w:rsid w:val="00123D04"/>
    <w:rsid w:val="0012549E"/>
    <w:rsid w:val="001265AB"/>
    <w:rsid w:val="001267BA"/>
    <w:rsid w:val="001273BD"/>
    <w:rsid w:val="00131DA1"/>
    <w:rsid w:val="00136C15"/>
    <w:rsid w:val="00140DFF"/>
    <w:rsid w:val="00141CED"/>
    <w:rsid w:val="00145805"/>
    <w:rsid w:val="00151420"/>
    <w:rsid w:val="0015685E"/>
    <w:rsid w:val="001618CC"/>
    <w:rsid w:val="00162C00"/>
    <w:rsid w:val="001660B8"/>
    <w:rsid w:val="00180753"/>
    <w:rsid w:val="00180A02"/>
    <w:rsid w:val="00183146"/>
    <w:rsid w:val="00183200"/>
    <w:rsid w:val="00185BCA"/>
    <w:rsid w:val="00185F20"/>
    <w:rsid w:val="00186AA0"/>
    <w:rsid w:val="00186C77"/>
    <w:rsid w:val="0019133C"/>
    <w:rsid w:val="001913E2"/>
    <w:rsid w:val="00195E0C"/>
    <w:rsid w:val="001A0E92"/>
    <w:rsid w:val="001A4BBB"/>
    <w:rsid w:val="001A6948"/>
    <w:rsid w:val="001A7A9A"/>
    <w:rsid w:val="001B2298"/>
    <w:rsid w:val="001B5FCA"/>
    <w:rsid w:val="001B671D"/>
    <w:rsid w:val="001C1B86"/>
    <w:rsid w:val="001C50FF"/>
    <w:rsid w:val="001C76C3"/>
    <w:rsid w:val="001D04AF"/>
    <w:rsid w:val="001D111B"/>
    <w:rsid w:val="001D232D"/>
    <w:rsid w:val="001E1C18"/>
    <w:rsid w:val="001E4B28"/>
    <w:rsid w:val="001E6381"/>
    <w:rsid w:val="001E7569"/>
    <w:rsid w:val="001F4AC1"/>
    <w:rsid w:val="00205AAC"/>
    <w:rsid w:val="002110A4"/>
    <w:rsid w:val="00215151"/>
    <w:rsid w:val="002165A1"/>
    <w:rsid w:val="00220575"/>
    <w:rsid w:val="00220649"/>
    <w:rsid w:val="002210DD"/>
    <w:rsid w:val="00221A10"/>
    <w:rsid w:val="00230A54"/>
    <w:rsid w:val="00236E68"/>
    <w:rsid w:val="00241C8D"/>
    <w:rsid w:val="00242E6E"/>
    <w:rsid w:val="00245E24"/>
    <w:rsid w:val="00247035"/>
    <w:rsid w:val="0024766B"/>
    <w:rsid w:val="00254D99"/>
    <w:rsid w:val="002639AF"/>
    <w:rsid w:val="00264C56"/>
    <w:rsid w:val="0026770E"/>
    <w:rsid w:val="00276A19"/>
    <w:rsid w:val="00276B1A"/>
    <w:rsid w:val="0028020E"/>
    <w:rsid w:val="00282BAF"/>
    <w:rsid w:val="002918FA"/>
    <w:rsid w:val="00293BB9"/>
    <w:rsid w:val="0029426E"/>
    <w:rsid w:val="00297224"/>
    <w:rsid w:val="002A1384"/>
    <w:rsid w:val="002A29AD"/>
    <w:rsid w:val="002A2C42"/>
    <w:rsid w:val="002A3371"/>
    <w:rsid w:val="002A374D"/>
    <w:rsid w:val="002A442C"/>
    <w:rsid w:val="002A4579"/>
    <w:rsid w:val="002A6AC7"/>
    <w:rsid w:val="002B0996"/>
    <w:rsid w:val="002B0C89"/>
    <w:rsid w:val="002B38FD"/>
    <w:rsid w:val="002B3E82"/>
    <w:rsid w:val="002B784A"/>
    <w:rsid w:val="002B7C24"/>
    <w:rsid w:val="002C4E2D"/>
    <w:rsid w:val="002C53E1"/>
    <w:rsid w:val="002C582E"/>
    <w:rsid w:val="002D1EBA"/>
    <w:rsid w:val="002D42F1"/>
    <w:rsid w:val="002D7939"/>
    <w:rsid w:val="002E1F89"/>
    <w:rsid w:val="002E283B"/>
    <w:rsid w:val="002E3350"/>
    <w:rsid w:val="002E3F1C"/>
    <w:rsid w:val="002E4339"/>
    <w:rsid w:val="002E4C00"/>
    <w:rsid w:val="002E54B7"/>
    <w:rsid w:val="002E6AA0"/>
    <w:rsid w:val="002F0C75"/>
    <w:rsid w:val="002F2A1D"/>
    <w:rsid w:val="002F38BF"/>
    <w:rsid w:val="002F4610"/>
    <w:rsid w:val="002F5872"/>
    <w:rsid w:val="003002DB"/>
    <w:rsid w:val="00300AFD"/>
    <w:rsid w:val="00302401"/>
    <w:rsid w:val="00303A81"/>
    <w:rsid w:val="00304C99"/>
    <w:rsid w:val="00310FDE"/>
    <w:rsid w:val="00314D95"/>
    <w:rsid w:val="0031782C"/>
    <w:rsid w:val="00323F96"/>
    <w:rsid w:val="00327423"/>
    <w:rsid w:val="00332069"/>
    <w:rsid w:val="0033233A"/>
    <w:rsid w:val="00342D20"/>
    <w:rsid w:val="00343830"/>
    <w:rsid w:val="00343B9D"/>
    <w:rsid w:val="00343D91"/>
    <w:rsid w:val="00356494"/>
    <w:rsid w:val="003575BA"/>
    <w:rsid w:val="00357691"/>
    <w:rsid w:val="00360C4A"/>
    <w:rsid w:val="00362B5F"/>
    <w:rsid w:val="00364F19"/>
    <w:rsid w:val="00366B40"/>
    <w:rsid w:val="0036754C"/>
    <w:rsid w:val="00372C5E"/>
    <w:rsid w:val="003746B9"/>
    <w:rsid w:val="00374B3F"/>
    <w:rsid w:val="00377211"/>
    <w:rsid w:val="00381428"/>
    <w:rsid w:val="00384ABF"/>
    <w:rsid w:val="00390C1E"/>
    <w:rsid w:val="003A2FEF"/>
    <w:rsid w:val="003A3FA2"/>
    <w:rsid w:val="003A66D4"/>
    <w:rsid w:val="003A73C3"/>
    <w:rsid w:val="003B0142"/>
    <w:rsid w:val="003B50AB"/>
    <w:rsid w:val="003C0E9A"/>
    <w:rsid w:val="003C0FBD"/>
    <w:rsid w:val="003C7550"/>
    <w:rsid w:val="003D1BE0"/>
    <w:rsid w:val="003E0F8E"/>
    <w:rsid w:val="003E1A85"/>
    <w:rsid w:val="003E1C1C"/>
    <w:rsid w:val="003E29FC"/>
    <w:rsid w:val="003E2FB9"/>
    <w:rsid w:val="003E497B"/>
    <w:rsid w:val="003E4E1A"/>
    <w:rsid w:val="003E5DD0"/>
    <w:rsid w:val="003E7BAC"/>
    <w:rsid w:val="003E7FE9"/>
    <w:rsid w:val="003F088F"/>
    <w:rsid w:val="003F717B"/>
    <w:rsid w:val="00406186"/>
    <w:rsid w:val="00410DE8"/>
    <w:rsid w:val="00410E8D"/>
    <w:rsid w:val="0041573D"/>
    <w:rsid w:val="00420E41"/>
    <w:rsid w:val="0042617D"/>
    <w:rsid w:val="00430DE5"/>
    <w:rsid w:val="00433A3A"/>
    <w:rsid w:val="00436305"/>
    <w:rsid w:val="00443306"/>
    <w:rsid w:val="0044525F"/>
    <w:rsid w:val="00450481"/>
    <w:rsid w:val="004512E9"/>
    <w:rsid w:val="00452C18"/>
    <w:rsid w:val="00453C96"/>
    <w:rsid w:val="0045626B"/>
    <w:rsid w:val="00456544"/>
    <w:rsid w:val="004613EF"/>
    <w:rsid w:val="00471B32"/>
    <w:rsid w:val="00474296"/>
    <w:rsid w:val="0048305D"/>
    <w:rsid w:val="004832DE"/>
    <w:rsid w:val="00484D9B"/>
    <w:rsid w:val="00486CD6"/>
    <w:rsid w:val="004871B2"/>
    <w:rsid w:val="0049173B"/>
    <w:rsid w:val="0049677B"/>
    <w:rsid w:val="004A1A67"/>
    <w:rsid w:val="004A1F99"/>
    <w:rsid w:val="004A6913"/>
    <w:rsid w:val="004A6AF3"/>
    <w:rsid w:val="004C3DF2"/>
    <w:rsid w:val="004C7D34"/>
    <w:rsid w:val="004D3345"/>
    <w:rsid w:val="004D40EC"/>
    <w:rsid w:val="004E5195"/>
    <w:rsid w:val="004E73A5"/>
    <w:rsid w:val="004F2280"/>
    <w:rsid w:val="004F4E33"/>
    <w:rsid w:val="004F5BD7"/>
    <w:rsid w:val="005003C7"/>
    <w:rsid w:val="00500419"/>
    <w:rsid w:val="00505248"/>
    <w:rsid w:val="00505C36"/>
    <w:rsid w:val="00527657"/>
    <w:rsid w:val="00531BF0"/>
    <w:rsid w:val="00534471"/>
    <w:rsid w:val="00534602"/>
    <w:rsid w:val="005351E9"/>
    <w:rsid w:val="0053612A"/>
    <w:rsid w:val="00537550"/>
    <w:rsid w:val="00537C20"/>
    <w:rsid w:val="005442E8"/>
    <w:rsid w:val="0054487D"/>
    <w:rsid w:val="00546AEF"/>
    <w:rsid w:val="00546B80"/>
    <w:rsid w:val="00553CA7"/>
    <w:rsid w:val="00553FD9"/>
    <w:rsid w:val="0056035F"/>
    <w:rsid w:val="00561509"/>
    <w:rsid w:val="00561AF2"/>
    <w:rsid w:val="0056365F"/>
    <w:rsid w:val="00563C97"/>
    <w:rsid w:val="00564551"/>
    <w:rsid w:val="0056764B"/>
    <w:rsid w:val="00572506"/>
    <w:rsid w:val="005730E5"/>
    <w:rsid w:val="00574843"/>
    <w:rsid w:val="00577FE3"/>
    <w:rsid w:val="005829A1"/>
    <w:rsid w:val="00582B83"/>
    <w:rsid w:val="00582C17"/>
    <w:rsid w:val="00585164"/>
    <w:rsid w:val="00586C1C"/>
    <w:rsid w:val="00587BFB"/>
    <w:rsid w:val="0059731A"/>
    <w:rsid w:val="005A19D3"/>
    <w:rsid w:val="005A4484"/>
    <w:rsid w:val="005A7198"/>
    <w:rsid w:val="005B2CCB"/>
    <w:rsid w:val="005B476B"/>
    <w:rsid w:val="005C0690"/>
    <w:rsid w:val="005C0774"/>
    <w:rsid w:val="005C31C6"/>
    <w:rsid w:val="005C7DB5"/>
    <w:rsid w:val="005C7EC5"/>
    <w:rsid w:val="005D0098"/>
    <w:rsid w:val="005D46D8"/>
    <w:rsid w:val="005E18A6"/>
    <w:rsid w:val="005E1A80"/>
    <w:rsid w:val="005E5213"/>
    <w:rsid w:val="005E58A0"/>
    <w:rsid w:val="005E6738"/>
    <w:rsid w:val="005E76EE"/>
    <w:rsid w:val="005F1873"/>
    <w:rsid w:val="005F31B1"/>
    <w:rsid w:val="0060092C"/>
    <w:rsid w:val="0060194A"/>
    <w:rsid w:val="006031B6"/>
    <w:rsid w:val="00603429"/>
    <w:rsid w:val="006037AE"/>
    <w:rsid w:val="00607B8C"/>
    <w:rsid w:val="0061254E"/>
    <w:rsid w:val="0061366D"/>
    <w:rsid w:val="00614D98"/>
    <w:rsid w:val="0061652B"/>
    <w:rsid w:val="00622FA2"/>
    <w:rsid w:val="00623EAC"/>
    <w:rsid w:val="006251BF"/>
    <w:rsid w:val="006252C4"/>
    <w:rsid w:val="0063009D"/>
    <w:rsid w:val="00630899"/>
    <w:rsid w:val="006321C1"/>
    <w:rsid w:val="00636AAC"/>
    <w:rsid w:val="00636BA4"/>
    <w:rsid w:val="00637183"/>
    <w:rsid w:val="00645F4B"/>
    <w:rsid w:val="00651D87"/>
    <w:rsid w:val="006526B9"/>
    <w:rsid w:val="00653826"/>
    <w:rsid w:val="0065442A"/>
    <w:rsid w:val="00656629"/>
    <w:rsid w:val="0065705E"/>
    <w:rsid w:val="0066118F"/>
    <w:rsid w:val="00664809"/>
    <w:rsid w:val="00671766"/>
    <w:rsid w:val="006718D4"/>
    <w:rsid w:val="00672F7E"/>
    <w:rsid w:val="00691346"/>
    <w:rsid w:val="00693F3D"/>
    <w:rsid w:val="00696F32"/>
    <w:rsid w:val="006A036D"/>
    <w:rsid w:val="006A1FD7"/>
    <w:rsid w:val="006A2234"/>
    <w:rsid w:val="006A3BC7"/>
    <w:rsid w:val="006A5045"/>
    <w:rsid w:val="006A55EC"/>
    <w:rsid w:val="006B12E6"/>
    <w:rsid w:val="006B3613"/>
    <w:rsid w:val="006B4E10"/>
    <w:rsid w:val="006B6D1E"/>
    <w:rsid w:val="006B711A"/>
    <w:rsid w:val="006C1AD1"/>
    <w:rsid w:val="006C35A4"/>
    <w:rsid w:val="006C57A2"/>
    <w:rsid w:val="006C7645"/>
    <w:rsid w:val="006D05BF"/>
    <w:rsid w:val="006D27FF"/>
    <w:rsid w:val="006D4F1F"/>
    <w:rsid w:val="006E2B38"/>
    <w:rsid w:val="006E5AE5"/>
    <w:rsid w:val="006E5EF5"/>
    <w:rsid w:val="006F0CA5"/>
    <w:rsid w:val="006F239B"/>
    <w:rsid w:val="006F605B"/>
    <w:rsid w:val="006F7214"/>
    <w:rsid w:val="00705C30"/>
    <w:rsid w:val="007123CE"/>
    <w:rsid w:val="007136DD"/>
    <w:rsid w:val="007206A4"/>
    <w:rsid w:val="007209FB"/>
    <w:rsid w:val="00720E7C"/>
    <w:rsid w:val="0072211B"/>
    <w:rsid w:val="00724FFF"/>
    <w:rsid w:val="007261AE"/>
    <w:rsid w:val="00731B59"/>
    <w:rsid w:val="0074572F"/>
    <w:rsid w:val="007459AA"/>
    <w:rsid w:val="00746700"/>
    <w:rsid w:val="0075119E"/>
    <w:rsid w:val="00753D7D"/>
    <w:rsid w:val="00754FBC"/>
    <w:rsid w:val="00756840"/>
    <w:rsid w:val="007568B1"/>
    <w:rsid w:val="00757CFA"/>
    <w:rsid w:val="00771682"/>
    <w:rsid w:val="00772573"/>
    <w:rsid w:val="00775E7B"/>
    <w:rsid w:val="00776A2F"/>
    <w:rsid w:val="007777D4"/>
    <w:rsid w:val="00782935"/>
    <w:rsid w:val="00783BE1"/>
    <w:rsid w:val="00783D17"/>
    <w:rsid w:val="00786FEE"/>
    <w:rsid w:val="007922B5"/>
    <w:rsid w:val="00793227"/>
    <w:rsid w:val="00793DA7"/>
    <w:rsid w:val="00796241"/>
    <w:rsid w:val="007A0D51"/>
    <w:rsid w:val="007A1F24"/>
    <w:rsid w:val="007A2A72"/>
    <w:rsid w:val="007B2446"/>
    <w:rsid w:val="007C56D7"/>
    <w:rsid w:val="007D04D1"/>
    <w:rsid w:val="007D259A"/>
    <w:rsid w:val="007D2B7C"/>
    <w:rsid w:val="007D52CB"/>
    <w:rsid w:val="007D636E"/>
    <w:rsid w:val="007D7936"/>
    <w:rsid w:val="007E4B2C"/>
    <w:rsid w:val="007E7805"/>
    <w:rsid w:val="007E7DFF"/>
    <w:rsid w:val="007F15FB"/>
    <w:rsid w:val="007F1795"/>
    <w:rsid w:val="007F75DF"/>
    <w:rsid w:val="00802D94"/>
    <w:rsid w:val="00803975"/>
    <w:rsid w:val="00807BDD"/>
    <w:rsid w:val="00807C83"/>
    <w:rsid w:val="0081055A"/>
    <w:rsid w:val="00812CBB"/>
    <w:rsid w:val="00824CF0"/>
    <w:rsid w:val="00826B9A"/>
    <w:rsid w:val="0082771E"/>
    <w:rsid w:val="008403BE"/>
    <w:rsid w:val="00840D65"/>
    <w:rsid w:val="0084167C"/>
    <w:rsid w:val="008444BB"/>
    <w:rsid w:val="00845A70"/>
    <w:rsid w:val="00850248"/>
    <w:rsid w:val="00851EA8"/>
    <w:rsid w:val="00853352"/>
    <w:rsid w:val="00854533"/>
    <w:rsid w:val="00854635"/>
    <w:rsid w:val="008563AE"/>
    <w:rsid w:val="00863619"/>
    <w:rsid w:val="00864186"/>
    <w:rsid w:val="008650EE"/>
    <w:rsid w:val="008732B4"/>
    <w:rsid w:val="00873C41"/>
    <w:rsid w:val="00876FDB"/>
    <w:rsid w:val="00881BB2"/>
    <w:rsid w:val="0088716F"/>
    <w:rsid w:val="00890B8A"/>
    <w:rsid w:val="00891170"/>
    <w:rsid w:val="00893811"/>
    <w:rsid w:val="00895B75"/>
    <w:rsid w:val="008A1C33"/>
    <w:rsid w:val="008A3D17"/>
    <w:rsid w:val="008B563E"/>
    <w:rsid w:val="008B5731"/>
    <w:rsid w:val="008B743C"/>
    <w:rsid w:val="008C26DD"/>
    <w:rsid w:val="008C34D3"/>
    <w:rsid w:val="008C3D7D"/>
    <w:rsid w:val="008D128D"/>
    <w:rsid w:val="008D3CCD"/>
    <w:rsid w:val="008D5023"/>
    <w:rsid w:val="008D7399"/>
    <w:rsid w:val="008D7901"/>
    <w:rsid w:val="008E332D"/>
    <w:rsid w:val="008E3A4F"/>
    <w:rsid w:val="008E689B"/>
    <w:rsid w:val="008E6B27"/>
    <w:rsid w:val="008F27B9"/>
    <w:rsid w:val="008F32C0"/>
    <w:rsid w:val="008F40CD"/>
    <w:rsid w:val="008F4791"/>
    <w:rsid w:val="008F622D"/>
    <w:rsid w:val="009006AE"/>
    <w:rsid w:val="009143B5"/>
    <w:rsid w:val="009235AA"/>
    <w:rsid w:val="00923BED"/>
    <w:rsid w:val="00924487"/>
    <w:rsid w:val="009245DC"/>
    <w:rsid w:val="00926310"/>
    <w:rsid w:val="009300CE"/>
    <w:rsid w:val="00931CE1"/>
    <w:rsid w:val="009405E3"/>
    <w:rsid w:val="00941640"/>
    <w:rsid w:val="009454C1"/>
    <w:rsid w:val="00945CC2"/>
    <w:rsid w:val="009468B5"/>
    <w:rsid w:val="00947F12"/>
    <w:rsid w:val="00950098"/>
    <w:rsid w:val="00955888"/>
    <w:rsid w:val="009652D1"/>
    <w:rsid w:val="00977779"/>
    <w:rsid w:val="0098275F"/>
    <w:rsid w:val="009836AE"/>
    <w:rsid w:val="00986581"/>
    <w:rsid w:val="00991098"/>
    <w:rsid w:val="00997C82"/>
    <w:rsid w:val="009A157C"/>
    <w:rsid w:val="009A24EE"/>
    <w:rsid w:val="009A31B8"/>
    <w:rsid w:val="009A554F"/>
    <w:rsid w:val="009A61D3"/>
    <w:rsid w:val="009A7E1D"/>
    <w:rsid w:val="009B4D5F"/>
    <w:rsid w:val="009B5769"/>
    <w:rsid w:val="009C3A83"/>
    <w:rsid w:val="009D0B23"/>
    <w:rsid w:val="009D4EFD"/>
    <w:rsid w:val="009D5BEC"/>
    <w:rsid w:val="009E22A8"/>
    <w:rsid w:val="009E64C7"/>
    <w:rsid w:val="009F5906"/>
    <w:rsid w:val="00A0760C"/>
    <w:rsid w:val="00A11ED0"/>
    <w:rsid w:val="00A167B9"/>
    <w:rsid w:val="00A16805"/>
    <w:rsid w:val="00A218BE"/>
    <w:rsid w:val="00A219D1"/>
    <w:rsid w:val="00A22231"/>
    <w:rsid w:val="00A23DC6"/>
    <w:rsid w:val="00A24AB0"/>
    <w:rsid w:val="00A26D29"/>
    <w:rsid w:val="00A35306"/>
    <w:rsid w:val="00A43E1D"/>
    <w:rsid w:val="00A45101"/>
    <w:rsid w:val="00A457F1"/>
    <w:rsid w:val="00A501BD"/>
    <w:rsid w:val="00A523CD"/>
    <w:rsid w:val="00A52504"/>
    <w:rsid w:val="00A72726"/>
    <w:rsid w:val="00A74882"/>
    <w:rsid w:val="00A77B3F"/>
    <w:rsid w:val="00A80128"/>
    <w:rsid w:val="00A81430"/>
    <w:rsid w:val="00A81C4F"/>
    <w:rsid w:val="00A827C3"/>
    <w:rsid w:val="00A82967"/>
    <w:rsid w:val="00A842C7"/>
    <w:rsid w:val="00A857B9"/>
    <w:rsid w:val="00A90FA6"/>
    <w:rsid w:val="00A92569"/>
    <w:rsid w:val="00A92B23"/>
    <w:rsid w:val="00AA08DC"/>
    <w:rsid w:val="00AA51FE"/>
    <w:rsid w:val="00AA6758"/>
    <w:rsid w:val="00AA7296"/>
    <w:rsid w:val="00AB06E5"/>
    <w:rsid w:val="00AB3BA4"/>
    <w:rsid w:val="00AB474A"/>
    <w:rsid w:val="00AB6258"/>
    <w:rsid w:val="00AB7558"/>
    <w:rsid w:val="00AC10DE"/>
    <w:rsid w:val="00AC22AE"/>
    <w:rsid w:val="00AC3889"/>
    <w:rsid w:val="00AC4B27"/>
    <w:rsid w:val="00AC5DB2"/>
    <w:rsid w:val="00AC7B23"/>
    <w:rsid w:val="00AD02B7"/>
    <w:rsid w:val="00AD1A6E"/>
    <w:rsid w:val="00AD2397"/>
    <w:rsid w:val="00AD56F2"/>
    <w:rsid w:val="00AD7FC4"/>
    <w:rsid w:val="00AE01AF"/>
    <w:rsid w:val="00AE1884"/>
    <w:rsid w:val="00AE2598"/>
    <w:rsid w:val="00AE2EB7"/>
    <w:rsid w:val="00AE5595"/>
    <w:rsid w:val="00AE77D0"/>
    <w:rsid w:val="00AF2DB7"/>
    <w:rsid w:val="00AF41B5"/>
    <w:rsid w:val="00B0058C"/>
    <w:rsid w:val="00B07745"/>
    <w:rsid w:val="00B07DF5"/>
    <w:rsid w:val="00B161E1"/>
    <w:rsid w:val="00B20FEC"/>
    <w:rsid w:val="00B2482B"/>
    <w:rsid w:val="00B269CB"/>
    <w:rsid w:val="00B32C18"/>
    <w:rsid w:val="00B405C2"/>
    <w:rsid w:val="00B420F4"/>
    <w:rsid w:val="00B4717C"/>
    <w:rsid w:val="00B47656"/>
    <w:rsid w:val="00B477B3"/>
    <w:rsid w:val="00B53ED8"/>
    <w:rsid w:val="00B61096"/>
    <w:rsid w:val="00B71B78"/>
    <w:rsid w:val="00B7340E"/>
    <w:rsid w:val="00B81888"/>
    <w:rsid w:val="00B87B09"/>
    <w:rsid w:val="00B9608F"/>
    <w:rsid w:val="00B9691A"/>
    <w:rsid w:val="00BA286B"/>
    <w:rsid w:val="00BA365D"/>
    <w:rsid w:val="00BA4EAF"/>
    <w:rsid w:val="00BA6994"/>
    <w:rsid w:val="00BB193E"/>
    <w:rsid w:val="00BB4D08"/>
    <w:rsid w:val="00BC2C4B"/>
    <w:rsid w:val="00BC4466"/>
    <w:rsid w:val="00BC44E2"/>
    <w:rsid w:val="00BC4C71"/>
    <w:rsid w:val="00BD0B0D"/>
    <w:rsid w:val="00BD2077"/>
    <w:rsid w:val="00BD2C13"/>
    <w:rsid w:val="00BD323D"/>
    <w:rsid w:val="00BD40E3"/>
    <w:rsid w:val="00BD55A7"/>
    <w:rsid w:val="00BD5661"/>
    <w:rsid w:val="00BD6A2D"/>
    <w:rsid w:val="00BD779D"/>
    <w:rsid w:val="00BD7899"/>
    <w:rsid w:val="00BE0624"/>
    <w:rsid w:val="00BE6599"/>
    <w:rsid w:val="00BE7D85"/>
    <w:rsid w:val="00BF38E8"/>
    <w:rsid w:val="00BF7FB5"/>
    <w:rsid w:val="00C003CE"/>
    <w:rsid w:val="00C00B3E"/>
    <w:rsid w:val="00C108AC"/>
    <w:rsid w:val="00C14112"/>
    <w:rsid w:val="00C15618"/>
    <w:rsid w:val="00C159DF"/>
    <w:rsid w:val="00C20EFC"/>
    <w:rsid w:val="00C2186F"/>
    <w:rsid w:val="00C24713"/>
    <w:rsid w:val="00C27435"/>
    <w:rsid w:val="00C303FB"/>
    <w:rsid w:val="00C340EA"/>
    <w:rsid w:val="00C36FE0"/>
    <w:rsid w:val="00C37F1D"/>
    <w:rsid w:val="00C45E0E"/>
    <w:rsid w:val="00C47C45"/>
    <w:rsid w:val="00C51B97"/>
    <w:rsid w:val="00C51D2D"/>
    <w:rsid w:val="00C52483"/>
    <w:rsid w:val="00C55B9F"/>
    <w:rsid w:val="00C57964"/>
    <w:rsid w:val="00C62689"/>
    <w:rsid w:val="00C718EE"/>
    <w:rsid w:val="00C73532"/>
    <w:rsid w:val="00C776F7"/>
    <w:rsid w:val="00C8243D"/>
    <w:rsid w:val="00C90336"/>
    <w:rsid w:val="00C92435"/>
    <w:rsid w:val="00C97294"/>
    <w:rsid w:val="00CA1843"/>
    <w:rsid w:val="00CA263B"/>
    <w:rsid w:val="00CB77D0"/>
    <w:rsid w:val="00CC48E4"/>
    <w:rsid w:val="00CC6741"/>
    <w:rsid w:val="00CD1995"/>
    <w:rsid w:val="00CD39CC"/>
    <w:rsid w:val="00CD42E3"/>
    <w:rsid w:val="00CE313E"/>
    <w:rsid w:val="00CE4CD4"/>
    <w:rsid w:val="00CE5124"/>
    <w:rsid w:val="00CF1E8E"/>
    <w:rsid w:val="00CF372A"/>
    <w:rsid w:val="00CF47F7"/>
    <w:rsid w:val="00CF611D"/>
    <w:rsid w:val="00CF792E"/>
    <w:rsid w:val="00D04BC3"/>
    <w:rsid w:val="00D15903"/>
    <w:rsid w:val="00D15CAB"/>
    <w:rsid w:val="00D17157"/>
    <w:rsid w:val="00D17AC1"/>
    <w:rsid w:val="00D17FCF"/>
    <w:rsid w:val="00D22E60"/>
    <w:rsid w:val="00D24250"/>
    <w:rsid w:val="00D24267"/>
    <w:rsid w:val="00D2557C"/>
    <w:rsid w:val="00D3067C"/>
    <w:rsid w:val="00D30EED"/>
    <w:rsid w:val="00D31907"/>
    <w:rsid w:val="00D35BCB"/>
    <w:rsid w:val="00D36AF6"/>
    <w:rsid w:val="00D42801"/>
    <w:rsid w:val="00D45E90"/>
    <w:rsid w:val="00D477CC"/>
    <w:rsid w:val="00D479A9"/>
    <w:rsid w:val="00D504B4"/>
    <w:rsid w:val="00D536C5"/>
    <w:rsid w:val="00D5627A"/>
    <w:rsid w:val="00D626EA"/>
    <w:rsid w:val="00D70C22"/>
    <w:rsid w:val="00D71115"/>
    <w:rsid w:val="00D716F6"/>
    <w:rsid w:val="00D72D97"/>
    <w:rsid w:val="00D74B70"/>
    <w:rsid w:val="00D75518"/>
    <w:rsid w:val="00D8634E"/>
    <w:rsid w:val="00D92789"/>
    <w:rsid w:val="00D9414C"/>
    <w:rsid w:val="00D94F59"/>
    <w:rsid w:val="00D968DA"/>
    <w:rsid w:val="00DA5F51"/>
    <w:rsid w:val="00DB0159"/>
    <w:rsid w:val="00DB021E"/>
    <w:rsid w:val="00DB05B7"/>
    <w:rsid w:val="00DB17E8"/>
    <w:rsid w:val="00DB29CC"/>
    <w:rsid w:val="00DB6CB1"/>
    <w:rsid w:val="00DC66CD"/>
    <w:rsid w:val="00DC6729"/>
    <w:rsid w:val="00DC6D23"/>
    <w:rsid w:val="00DD61B4"/>
    <w:rsid w:val="00DD66C4"/>
    <w:rsid w:val="00DD79C9"/>
    <w:rsid w:val="00DE0B99"/>
    <w:rsid w:val="00DE4A62"/>
    <w:rsid w:val="00DE7047"/>
    <w:rsid w:val="00DF06B3"/>
    <w:rsid w:val="00DF1700"/>
    <w:rsid w:val="00DF2472"/>
    <w:rsid w:val="00DF4F41"/>
    <w:rsid w:val="00DF7B6F"/>
    <w:rsid w:val="00E016DB"/>
    <w:rsid w:val="00E03A6A"/>
    <w:rsid w:val="00E10500"/>
    <w:rsid w:val="00E1786C"/>
    <w:rsid w:val="00E20355"/>
    <w:rsid w:val="00E203E8"/>
    <w:rsid w:val="00E223A4"/>
    <w:rsid w:val="00E223C5"/>
    <w:rsid w:val="00E2374B"/>
    <w:rsid w:val="00E25EF8"/>
    <w:rsid w:val="00E26008"/>
    <w:rsid w:val="00E27730"/>
    <w:rsid w:val="00E30CC6"/>
    <w:rsid w:val="00E33D88"/>
    <w:rsid w:val="00E36859"/>
    <w:rsid w:val="00E372C0"/>
    <w:rsid w:val="00E40043"/>
    <w:rsid w:val="00E41427"/>
    <w:rsid w:val="00E41E4B"/>
    <w:rsid w:val="00E41F99"/>
    <w:rsid w:val="00E513FC"/>
    <w:rsid w:val="00E5428A"/>
    <w:rsid w:val="00E6012B"/>
    <w:rsid w:val="00E72741"/>
    <w:rsid w:val="00E72E04"/>
    <w:rsid w:val="00E736BE"/>
    <w:rsid w:val="00E77561"/>
    <w:rsid w:val="00E805C2"/>
    <w:rsid w:val="00E93E6E"/>
    <w:rsid w:val="00E95FDC"/>
    <w:rsid w:val="00E96005"/>
    <w:rsid w:val="00EA217A"/>
    <w:rsid w:val="00EA7130"/>
    <w:rsid w:val="00EB3242"/>
    <w:rsid w:val="00EB4282"/>
    <w:rsid w:val="00EB4FEF"/>
    <w:rsid w:val="00EC1687"/>
    <w:rsid w:val="00EC1C80"/>
    <w:rsid w:val="00EC3AFA"/>
    <w:rsid w:val="00EC4962"/>
    <w:rsid w:val="00EC5060"/>
    <w:rsid w:val="00ED03E4"/>
    <w:rsid w:val="00ED0E51"/>
    <w:rsid w:val="00EE315A"/>
    <w:rsid w:val="00EE60A7"/>
    <w:rsid w:val="00EE7C57"/>
    <w:rsid w:val="00EF32E5"/>
    <w:rsid w:val="00EF44AF"/>
    <w:rsid w:val="00F02E6E"/>
    <w:rsid w:val="00F05A80"/>
    <w:rsid w:val="00F05FEB"/>
    <w:rsid w:val="00F10444"/>
    <w:rsid w:val="00F10EE0"/>
    <w:rsid w:val="00F12B08"/>
    <w:rsid w:val="00F13948"/>
    <w:rsid w:val="00F13FD9"/>
    <w:rsid w:val="00F242DC"/>
    <w:rsid w:val="00F26092"/>
    <w:rsid w:val="00F314E5"/>
    <w:rsid w:val="00F31566"/>
    <w:rsid w:val="00F32370"/>
    <w:rsid w:val="00F33A8F"/>
    <w:rsid w:val="00F351D6"/>
    <w:rsid w:val="00F351E9"/>
    <w:rsid w:val="00F36042"/>
    <w:rsid w:val="00F361F9"/>
    <w:rsid w:val="00F36EAC"/>
    <w:rsid w:val="00F404FD"/>
    <w:rsid w:val="00F4115F"/>
    <w:rsid w:val="00F42844"/>
    <w:rsid w:val="00F4678C"/>
    <w:rsid w:val="00F52183"/>
    <w:rsid w:val="00F603D0"/>
    <w:rsid w:val="00F737B9"/>
    <w:rsid w:val="00F84EF0"/>
    <w:rsid w:val="00F85068"/>
    <w:rsid w:val="00F8535C"/>
    <w:rsid w:val="00F902D9"/>
    <w:rsid w:val="00F905C8"/>
    <w:rsid w:val="00F92E50"/>
    <w:rsid w:val="00FA1AA0"/>
    <w:rsid w:val="00FB145A"/>
    <w:rsid w:val="00FB3068"/>
    <w:rsid w:val="00FB3C84"/>
    <w:rsid w:val="00FB6A1E"/>
    <w:rsid w:val="00FB788E"/>
    <w:rsid w:val="00FC0062"/>
    <w:rsid w:val="00FC0214"/>
    <w:rsid w:val="00FC04E8"/>
    <w:rsid w:val="00FC094C"/>
    <w:rsid w:val="00FC1D63"/>
    <w:rsid w:val="00FC2590"/>
    <w:rsid w:val="00FC4A93"/>
    <w:rsid w:val="00FD6DCA"/>
    <w:rsid w:val="00FE50AB"/>
    <w:rsid w:val="00FF0088"/>
    <w:rsid w:val="00FF12AC"/>
    <w:rsid w:val="00FF4DFC"/>
    <w:rsid w:val="00FF4E5A"/>
    <w:rsid w:val="00FF5173"/>
    <w:rsid w:val="00FF757C"/>
    <w:rsid w:val="00FF7A0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5456848A"/>
  <w15:docId w15:val="{F4E67819-7FFA-4D4B-9151-6D391245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913E2"/>
    <w:pPr>
      <w:widowControl w:val="0"/>
      <w:spacing w:after="0" w:line="240" w:lineRule="auto"/>
      <w:ind w:left="1380"/>
      <w:outlineLvl w:val="0"/>
    </w:pPr>
    <w:rPr>
      <w:rFonts w:ascii="Times New Roman" w:eastAsia="Times New Roman" w:hAnsi="Times New Roman" w:cs="Times New Roman"/>
      <w:b/>
      <w:bCs/>
      <w:sz w:val="24"/>
      <w:szCs w:val="24"/>
      <w:lang w:val="en-GB" w:eastAsia="en-US"/>
    </w:rPr>
  </w:style>
  <w:style w:type="paragraph" w:styleId="Heading2">
    <w:name w:val="heading 2"/>
    <w:basedOn w:val="Normal"/>
    <w:next w:val="Normal"/>
    <w:link w:val="Heading2Char"/>
    <w:uiPriority w:val="9"/>
    <w:unhideWhenUsed/>
    <w:qFormat/>
    <w:rsid w:val="005448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F60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F605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F605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F605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6F605B"/>
    <w:pPr>
      <w:tabs>
        <w:tab w:val="num" w:pos="360"/>
      </w:tabs>
      <w:spacing w:before="240" w:after="60" w:line="240" w:lineRule="auto"/>
      <w:ind w:left="360" w:hanging="360"/>
      <w:jc w:val="both"/>
      <w:outlineLvl w:val="6"/>
    </w:pPr>
    <w:rPr>
      <w:rFonts w:ascii="Arial" w:eastAsia="Times New Roman" w:hAnsi="Arial" w:cs="Times New Roman"/>
      <w:sz w:val="20"/>
      <w:szCs w:val="20"/>
      <w:lang w:val="x-none" w:eastAsia="x-none"/>
    </w:rPr>
  </w:style>
  <w:style w:type="paragraph" w:styleId="Heading8">
    <w:name w:val="heading 8"/>
    <w:basedOn w:val="Normal"/>
    <w:next w:val="Normal"/>
    <w:link w:val="Heading8Char"/>
    <w:uiPriority w:val="99"/>
    <w:qFormat/>
    <w:rsid w:val="006F605B"/>
    <w:pPr>
      <w:tabs>
        <w:tab w:val="num" w:pos="360"/>
      </w:tabs>
      <w:spacing w:before="240" w:after="60" w:line="240" w:lineRule="auto"/>
      <w:ind w:left="360" w:hanging="360"/>
      <w:jc w:val="both"/>
      <w:outlineLvl w:val="7"/>
    </w:pPr>
    <w:rPr>
      <w:rFonts w:ascii="Arial" w:eastAsia="Times New Roman" w:hAnsi="Arial" w:cs="Times New Roman"/>
      <w:i/>
      <w:sz w:val="20"/>
      <w:szCs w:val="20"/>
      <w:lang w:val="x-none" w:eastAsia="x-none"/>
    </w:rPr>
  </w:style>
  <w:style w:type="paragraph" w:styleId="Heading9">
    <w:name w:val="heading 9"/>
    <w:basedOn w:val="Normal"/>
    <w:next w:val="Normal"/>
    <w:link w:val="Heading9Char"/>
    <w:uiPriority w:val="99"/>
    <w:qFormat/>
    <w:rsid w:val="006F605B"/>
    <w:pPr>
      <w:tabs>
        <w:tab w:val="num" w:pos="360"/>
      </w:tabs>
      <w:spacing w:before="240" w:after="60" w:line="240" w:lineRule="auto"/>
      <w:ind w:left="360" w:hanging="360"/>
      <w:jc w:val="both"/>
      <w:outlineLvl w:val="8"/>
    </w:pPr>
    <w:rPr>
      <w:rFonts w:ascii="Arial" w:eastAsia="Times New Roman" w:hAnsi="Arial" w:cs="Times New Roman"/>
      <w:i/>
      <w:sz w:val="1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3E2"/>
    <w:rPr>
      <w:rFonts w:ascii="Times New Roman" w:eastAsia="Times New Roman" w:hAnsi="Times New Roman" w:cs="Times New Roman"/>
      <w:b/>
      <w:bCs/>
      <w:sz w:val="24"/>
      <w:szCs w:val="24"/>
      <w:lang w:val="en-GB" w:eastAsia="en-US"/>
    </w:rPr>
  </w:style>
  <w:style w:type="character" w:customStyle="1" w:styleId="Heading2Char">
    <w:name w:val="Heading 2 Char"/>
    <w:basedOn w:val="DefaultParagraphFont"/>
    <w:link w:val="Heading2"/>
    <w:uiPriority w:val="9"/>
    <w:rsid w:val="0054487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F605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F605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F60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F605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rsid w:val="006F605B"/>
    <w:rPr>
      <w:rFonts w:ascii="Arial" w:eastAsia="Times New Roman" w:hAnsi="Arial" w:cs="Times New Roman"/>
      <w:sz w:val="20"/>
      <w:szCs w:val="20"/>
      <w:lang w:val="x-none" w:eastAsia="x-none"/>
    </w:rPr>
  </w:style>
  <w:style w:type="character" w:customStyle="1" w:styleId="Heading8Char">
    <w:name w:val="Heading 8 Char"/>
    <w:basedOn w:val="DefaultParagraphFont"/>
    <w:link w:val="Heading8"/>
    <w:uiPriority w:val="99"/>
    <w:rsid w:val="006F605B"/>
    <w:rPr>
      <w:rFonts w:ascii="Arial" w:eastAsia="Times New Roman" w:hAnsi="Arial" w:cs="Times New Roman"/>
      <w:i/>
      <w:sz w:val="20"/>
      <w:szCs w:val="20"/>
      <w:lang w:val="x-none" w:eastAsia="x-none"/>
    </w:rPr>
  </w:style>
  <w:style w:type="character" w:customStyle="1" w:styleId="Heading9Char">
    <w:name w:val="Heading 9 Char"/>
    <w:basedOn w:val="DefaultParagraphFont"/>
    <w:link w:val="Heading9"/>
    <w:uiPriority w:val="99"/>
    <w:rsid w:val="006F605B"/>
    <w:rPr>
      <w:rFonts w:ascii="Arial" w:eastAsia="Times New Roman" w:hAnsi="Arial" w:cs="Times New Roman"/>
      <w:i/>
      <w:sz w:val="18"/>
      <w:szCs w:val="20"/>
      <w:lang w:val="x-none" w:eastAsia="x-none"/>
    </w:rPr>
  </w:style>
  <w:style w:type="paragraph" w:styleId="Header">
    <w:name w:val="header"/>
    <w:basedOn w:val="Normal"/>
    <w:link w:val="HeaderChar"/>
    <w:uiPriority w:val="99"/>
    <w:unhideWhenUsed/>
    <w:rsid w:val="002E6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AA0"/>
  </w:style>
  <w:style w:type="paragraph" w:styleId="ListParagraph">
    <w:name w:val="List Paragraph"/>
    <w:aliases w:val="Bullet Points,Bullet Number,List Paragraph Char Char,MAIN CONTENT,Párrafo de lista,Recommendation,List Paragraph2,Graphic,Table/Figure Heading,Listeafsnit,Bullet List,FooterText,Colorful List Accent 1,numbered,Paragraphe de liste1,列出段落"/>
    <w:basedOn w:val="Normal"/>
    <w:link w:val="ListParagraphChar"/>
    <w:uiPriority w:val="34"/>
    <w:qFormat/>
    <w:rsid w:val="002E6AA0"/>
    <w:pPr>
      <w:ind w:left="720"/>
      <w:contextualSpacing/>
    </w:pPr>
  </w:style>
  <w:style w:type="character" w:customStyle="1" w:styleId="ListParagraphChar">
    <w:name w:val="List Paragraph Char"/>
    <w:aliases w:val="Bullet Points Char,Bullet Number Char,List Paragraph Char Char Char1,MAIN CONTENT Char,Párrafo de lista Char,Recommendation Char,List Paragraph2 Char,Graphic Char,Table/Figure Heading Char,Listeafsnit Char,Bullet List Char,列出段落 Char"/>
    <w:link w:val="ListParagraph"/>
    <w:uiPriority w:val="34"/>
    <w:rsid w:val="002E6AA0"/>
  </w:style>
  <w:style w:type="paragraph" w:customStyle="1" w:styleId="AutoritetiEmer">
    <w:name w:val="Autoriteti_Emer"/>
    <w:next w:val="Normal"/>
    <w:link w:val="AutoritetiEmerChar"/>
    <w:rsid w:val="002E6AA0"/>
    <w:pPr>
      <w:widowControl w:val="0"/>
      <w:spacing w:after="0" w:line="240" w:lineRule="auto"/>
      <w:jc w:val="right"/>
    </w:pPr>
    <w:rPr>
      <w:rFonts w:ascii="CG Times" w:eastAsia="Times New Roman" w:hAnsi="CG Times" w:cs="Times New Roman"/>
      <w:b/>
      <w:lang w:val="en-GB"/>
    </w:rPr>
  </w:style>
  <w:style w:type="character" w:customStyle="1" w:styleId="AutoritetiEmerChar">
    <w:name w:val="Autoriteti_Emer Char"/>
    <w:link w:val="AutoritetiEmer"/>
    <w:rsid w:val="002E6AA0"/>
    <w:rPr>
      <w:rFonts w:ascii="CG Times" w:eastAsia="Times New Roman" w:hAnsi="CG Times" w:cs="Times New Roman"/>
      <w:b/>
      <w:lang w:val="en-GB"/>
    </w:rPr>
  </w:style>
  <w:style w:type="paragraph" w:customStyle="1" w:styleId="Autoriteti">
    <w:name w:val="Autoriteti"/>
    <w:next w:val="AutoritetiEmer"/>
    <w:rsid w:val="002E6AA0"/>
    <w:pPr>
      <w:keepNext/>
      <w:widowControl w:val="0"/>
      <w:spacing w:after="0" w:line="240" w:lineRule="auto"/>
      <w:jc w:val="right"/>
    </w:pPr>
    <w:rPr>
      <w:rFonts w:ascii="CG Times" w:eastAsia="Times New Roman" w:hAnsi="CG Times" w:cs="Times New Roman"/>
      <w:caps/>
      <w:lang w:val="en-GB"/>
    </w:rPr>
  </w:style>
  <w:style w:type="paragraph" w:customStyle="1" w:styleId="Paragrafi">
    <w:name w:val="Paragrafi"/>
    <w:rsid w:val="002E6AA0"/>
    <w:pPr>
      <w:widowControl w:val="0"/>
      <w:spacing w:after="0" w:line="240" w:lineRule="auto"/>
      <w:ind w:firstLine="720"/>
      <w:jc w:val="both"/>
    </w:pPr>
    <w:rPr>
      <w:rFonts w:ascii="CG Times" w:eastAsia="Times New Roman" w:hAnsi="CG Times" w:cs="Times New Roman"/>
      <w:szCs w:val="20"/>
      <w:lang w:val="en-US"/>
    </w:rPr>
  </w:style>
  <w:style w:type="paragraph" w:customStyle="1" w:styleId="Style5">
    <w:name w:val="Style5"/>
    <w:basedOn w:val="Normal"/>
    <w:rsid w:val="002E6AA0"/>
    <w:pPr>
      <w:spacing w:after="0" w:line="240" w:lineRule="auto"/>
      <w:jc w:val="center"/>
    </w:pPr>
    <w:rPr>
      <w:rFonts w:ascii="Bookman Old Style" w:eastAsia="Times New Roman" w:hAnsi="Bookman Old Style" w:cs="Times New Roman"/>
      <w:b/>
      <w:bCs/>
      <w:sz w:val="24"/>
      <w:szCs w:val="20"/>
      <w:lang w:val="it-IT"/>
    </w:rPr>
  </w:style>
  <w:style w:type="paragraph" w:styleId="Footer">
    <w:name w:val="footer"/>
    <w:basedOn w:val="Normal"/>
    <w:link w:val="FooterChar"/>
    <w:uiPriority w:val="99"/>
    <w:unhideWhenUsed/>
    <w:rsid w:val="002E6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AA0"/>
  </w:style>
  <w:style w:type="paragraph" w:styleId="NormalWeb">
    <w:name w:val="Normal (Web)"/>
    <w:basedOn w:val="Normal"/>
    <w:uiPriority w:val="99"/>
    <w:unhideWhenUsed/>
    <w:rsid w:val="002E6AA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qFormat/>
    <w:rsid w:val="002E6AA0"/>
    <w:rPr>
      <w:sz w:val="16"/>
      <w:szCs w:val="16"/>
    </w:rPr>
  </w:style>
  <w:style w:type="paragraph" w:styleId="CommentText">
    <w:name w:val="annotation text"/>
    <w:basedOn w:val="Normal"/>
    <w:link w:val="CommentTextChar"/>
    <w:uiPriority w:val="99"/>
    <w:unhideWhenUsed/>
    <w:rsid w:val="002E6AA0"/>
    <w:pPr>
      <w:spacing w:line="240" w:lineRule="auto"/>
    </w:pPr>
    <w:rPr>
      <w:sz w:val="20"/>
      <w:szCs w:val="20"/>
    </w:rPr>
  </w:style>
  <w:style w:type="character" w:customStyle="1" w:styleId="CommentTextChar">
    <w:name w:val="Comment Text Char"/>
    <w:basedOn w:val="DefaultParagraphFont"/>
    <w:link w:val="CommentText"/>
    <w:uiPriority w:val="99"/>
    <w:rsid w:val="002E6AA0"/>
    <w:rPr>
      <w:sz w:val="20"/>
      <w:szCs w:val="20"/>
    </w:rPr>
  </w:style>
  <w:style w:type="paragraph" w:styleId="BalloonText">
    <w:name w:val="Balloon Text"/>
    <w:basedOn w:val="Normal"/>
    <w:link w:val="BalloonTextChar"/>
    <w:uiPriority w:val="99"/>
    <w:semiHidden/>
    <w:unhideWhenUsed/>
    <w:rsid w:val="002E6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AA0"/>
    <w:rPr>
      <w:rFonts w:ascii="Tahoma" w:hAnsi="Tahoma" w:cs="Tahoma"/>
      <w:sz w:val="16"/>
      <w:szCs w:val="16"/>
    </w:rPr>
  </w:style>
  <w:style w:type="character" w:customStyle="1" w:styleId="TitulliChar">
    <w:name w:val="Titulli Char"/>
    <w:link w:val="Titulli"/>
    <w:uiPriority w:val="99"/>
    <w:locked/>
    <w:rsid w:val="005A19D3"/>
    <w:rPr>
      <w:rFonts w:ascii="CG Times" w:hAnsi="CG Times"/>
      <w:b/>
      <w:caps/>
    </w:rPr>
  </w:style>
  <w:style w:type="paragraph" w:customStyle="1" w:styleId="Titulli">
    <w:name w:val="Titulli"/>
    <w:next w:val="Normal"/>
    <w:link w:val="TitulliChar"/>
    <w:uiPriority w:val="99"/>
    <w:rsid w:val="005A19D3"/>
    <w:pPr>
      <w:keepNext/>
      <w:widowControl w:val="0"/>
      <w:spacing w:after="0" w:line="240" w:lineRule="auto"/>
      <w:jc w:val="center"/>
      <w:outlineLvl w:val="1"/>
    </w:pPr>
    <w:rPr>
      <w:rFonts w:ascii="CG Times" w:hAnsi="CG Times"/>
      <w:b/>
      <w:caps/>
    </w:rPr>
  </w:style>
  <w:style w:type="paragraph" w:styleId="CommentSubject">
    <w:name w:val="annotation subject"/>
    <w:basedOn w:val="CommentText"/>
    <w:next w:val="CommentText"/>
    <w:link w:val="CommentSubjectChar"/>
    <w:uiPriority w:val="99"/>
    <w:semiHidden/>
    <w:unhideWhenUsed/>
    <w:rsid w:val="007922B5"/>
    <w:rPr>
      <w:b/>
      <w:bCs/>
    </w:rPr>
  </w:style>
  <w:style w:type="character" w:customStyle="1" w:styleId="CommentSubjectChar">
    <w:name w:val="Comment Subject Char"/>
    <w:basedOn w:val="CommentTextChar"/>
    <w:link w:val="CommentSubject"/>
    <w:uiPriority w:val="99"/>
    <w:semiHidden/>
    <w:rsid w:val="007922B5"/>
    <w:rPr>
      <w:b/>
      <w:bCs/>
      <w:sz w:val="20"/>
      <w:szCs w:val="20"/>
    </w:rPr>
  </w:style>
  <w:style w:type="paragraph" w:customStyle="1" w:styleId="TEKSTIIII">
    <w:name w:val="TEKSTIIII"/>
    <w:basedOn w:val="Normal"/>
    <w:qFormat/>
    <w:rsid w:val="00783D17"/>
    <w:pPr>
      <w:spacing w:after="0" w:line="240" w:lineRule="auto"/>
      <w:ind w:firstLine="284"/>
      <w:jc w:val="both"/>
    </w:pPr>
    <w:rPr>
      <w:rFonts w:ascii="Garamond" w:hAnsi="Garamond"/>
      <w:color w:val="000000"/>
      <w:sz w:val="24"/>
      <w:szCs w:val="24"/>
    </w:rPr>
  </w:style>
  <w:style w:type="table" w:styleId="TableGrid">
    <w:name w:val="Table Grid"/>
    <w:basedOn w:val="TableNormal"/>
    <w:uiPriority w:val="59"/>
    <w:rsid w:val="001913E2"/>
    <w:pPr>
      <w:widowControl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 Char Char,Footnote Text Char Char,Fußnote,Testo nota a piè di pagina Carattere,Geneva 9,Font: Geneva 9,Boston 10,f,single space,FOOTNOTES,fn,ADB,pod carou,Char Char,Footnote Text1 Char Char,Char,Char Cha,Char Char Char,C"/>
    <w:basedOn w:val="Normal"/>
    <w:link w:val="FootnoteTextChar"/>
    <w:uiPriority w:val="99"/>
    <w:unhideWhenUsed/>
    <w:qFormat/>
    <w:rsid w:val="00D94F59"/>
    <w:pPr>
      <w:widowControl w:val="0"/>
      <w:spacing w:after="0" w:line="240" w:lineRule="auto"/>
    </w:pPr>
    <w:rPr>
      <w:rFonts w:ascii="Calibri" w:eastAsia="Calibri" w:hAnsi="Calibri" w:cs="Times New Roman"/>
      <w:sz w:val="20"/>
      <w:szCs w:val="20"/>
      <w:lang w:val="en-GB" w:eastAsia="en-US"/>
    </w:rPr>
  </w:style>
  <w:style w:type="character" w:customStyle="1" w:styleId="FootnoteTextChar">
    <w:name w:val="Footnote Text Char"/>
    <w:aliases w:val="Footnote Text Char Char Char Char,Footnote Text Char Char Char1,Fußnote Char,Testo nota a piè di pagina Carattere Char,Geneva 9 Char,Font: Geneva 9 Char,Boston 10 Char,f Char,single space Char,FOOTNOTES Char,fn Char,ADB Char,C Char"/>
    <w:basedOn w:val="DefaultParagraphFont"/>
    <w:link w:val="FootnoteText"/>
    <w:uiPriority w:val="99"/>
    <w:rsid w:val="00D94F59"/>
    <w:rPr>
      <w:rFonts w:ascii="Calibri" w:eastAsia="Calibri" w:hAnsi="Calibri" w:cs="Times New Roman"/>
      <w:sz w:val="20"/>
      <w:szCs w:val="20"/>
      <w:lang w:val="en-GB" w:eastAsia="en-US"/>
    </w:rPr>
  </w:style>
  <w:style w:type="character" w:styleId="FootnoteReference">
    <w:name w:val="footnote reference"/>
    <w:aliases w:val="BVI fnr,16 Point,Superscript 6 Point,ftref,fr,Fußnotenzeichen DISS,Footnote,Footnote symbol,Char1 Char Char Char Char, Char1 Char Char Char Char,Odwołanie przypisu,nota pié di pagina,Footnote reference number,Times 10 Point,note TESI"/>
    <w:link w:val="BVIfnrCarCarCarCarChar"/>
    <w:uiPriority w:val="99"/>
    <w:unhideWhenUsed/>
    <w:qFormat/>
    <w:rsid w:val="00D94F59"/>
    <w:rPr>
      <w:vertAlign w:val="superscript"/>
    </w:rPr>
  </w:style>
  <w:style w:type="paragraph" w:customStyle="1" w:styleId="BVIfnrCarCarCarCarChar">
    <w:name w:val="BVI fnr Car Car Car Car Char"/>
    <w:basedOn w:val="Normal"/>
    <w:link w:val="FootnoteReference"/>
    <w:uiPriority w:val="99"/>
    <w:rsid w:val="00D94F59"/>
    <w:pPr>
      <w:spacing w:after="160" w:line="240" w:lineRule="exact"/>
    </w:pPr>
    <w:rPr>
      <w:vertAlign w:val="superscript"/>
    </w:rPr>
  </w:style>
  <w:style w:type="paragraph" w:styleId="NoSpacing">
    <w:name w:val="No Spacing"/>
    <w:uiPriority w:val="1"/>
    <w:qFormat/>
    <w:rsid w:val="00D94F59"/>
    <w:pPr>
      <w:spacing w:after="0" w:line="240" w:lineRule="auto"/>
    </w:pPr>
  </w:style>
  <w:style w:type="character" w:styleId="Hyperlink">
    <w:name w:val="Hyperlink"/>
    <w:uiPriority w:val="99"/>
    <w:unhideWhenUsed/>
    <w:rsid w:val="00731B59"/>
    <w:rPr>
      <w:color w:val="0563C1"/>
      <w:u w:val="single"/>
    </w:rPr>
  </w:style>
  <w:style w:type="paragraph" w:customStyle="1" w:styleId="TOCHeading1">
    <w:name w:val="TOC Heading1"/>
    <w:basedOn w:val="Heading1"/>
    <w:next w:val="Normal"/>
    <w:uiPriority w:val="39"/>
    <w:semiHidden/>
    <w:unhideWhenUsed/>
    <w:qFormat/>
    <w:rsid w:val="009235AA"/>
    <w:pPr>
      <w:keepNext/>
      <w:keepLines/>
      <w:widowControl/>
      <w:spacing w:before="480" w:line="276" w:lineRule="auto"/>
      <w:ind w:left="0"/>
      <w:outlineLvl w:val="9"/>
    </w:pPr>
    <w:rPr>
      <w:rFonts w:ascii="Calibri Light" w:hAnsi="Calibri Light"/>
      <w:color w:val="2E74B5"/>
      <w:sz w:val="28"/>
      <w:szCs w:val="28"/>
      <w:lang w:eastAsia="ja-JP"/>
    </w:rPr>
  </w:style>
  <w:style w:type="paragraph" w:styleId="BodyText">
    <w:name w:val="Body Text"/>
    <w:basedOn w:val="Normal"/>
    <w:link w:val="BodyTextChar"/>
    <w:uiPriority w:val="1"/>
    <w:qFormat/>
    <w:rsid w:val="006F605B"/>
    <w:pPr>
      <w:widowControl w:val="0"/>
      <w:spacing w:after="0" w:line="240" w:lineRule="auto"/>
      <w:ind w:left="1380"/>
    </w:pPr>
    <w:rPr>
      <w:rFonts w:ascii="Arial Narrow" w:eastAsia="Arial Narrow" w:hAnsi="Arial Narrow" w:cs="Times New Roman"/>
      <w:lang w:val="en-GB" w:eastAsia="en-US"/>
    </w:rPr>
  </w:style>
  <w:style w:type="character" w:customStyle="1" w:styleId="BodyTextChar">
    <w:name w:val="Body Text Char"/>
    <w:basedOn w:val="DefaultParagraphFont"/>
    <w:link w:val="BodyText"/>
    <w:uiPriority w:val="1"/>
    <w:rsid w:val="006F605B"/>
    <w:rPr>
      <w:rFonts w:ascii="Arial Narrow" w:eastAsia="Arial Narrow" w:hAnsi="Arial Narrow" w:cs="Times New Roman"/>
      <w:lang w:val="en-GB" w:eastAsia="en-US"/>
    </w:rPr>
  </w:style>
  <w:style w:type="paragraph" w:customStyle="1" w:styleId="ColorfulList-Accent11">
    <w:name w:val="Colorful List - Accent 11"/>
    <w:aliases w:val="List Paragraph (numbered (a)),Normal 1,List Paragraph 1,Akapit z listą BS,Bullets,List Paragraph1,Bullet1,NumberedParas,Dot pt,F5 List Paragraph,List Paragraph Char Char Char,Indicator Text,Numbered Para 1,Bullet 1"/>
    <w:basedOn w:val="Normal"/>
    <w:link w:val="ColorfulList-Accent1Char"/>
    <w:uiPriority w:val="34"/>
    <w:qFormat/>
    <w:rsid w:val="006F605B"/>
    <w:pPr>
      <w:widowControl w:val="0"/>
      <w:spacing w:after="0" w:line="240" w:lineRule="auto"/>
    </w:pPr>
    <w:rPr>
      <w:rFonts w:ascii="Calibri" w:eastAsia="Calibri" w:hAnsi="Calibri" w:cs="Times New Roman"/>
      <w:lang w:val="en-GB" w:eastAsia="en-US"/>
    </w:rPr>
  </w:style>
  <w:style w:type="character" w:customStyle="1" w:styleId="ColorfulList-Accent1Char">
    <w:name w:val="Colorful List - Accent 1 Char"/>
    <w:aliases w:val="List Paragraph (numbered (a)) Char,Normal 1 Char,List Paragraph 1 Char,Akapit z listą BS Char,Bullets Char,List Paragraph1 Char,Bullet1 Char,NumberedParas Char,Dot pt Char,F5 List Paragraph Char,Indicator Text Char"/>
    <w:link w:val="ColorfulList-Accent11"/>
    <w:uiPriority w:val="34"/>
    <w:qFormat/>
    <w:locked/>
    <w:rsid w:val="006F605B"/>
    <w:rPr>
      <w:rFonts w:ascii="Calibri" w:eastAsia="Calibri" w:hAnsi="Calibri" w:cs="Times New Roman"/>
      <w:lang w:val="en-GB" w:eastAsia="en-US"/>
    </w:rPr>
  </w:style>
  <w:style w:type="paragraph" w:customStyle="1" w:styleId="TableParagraph">
    <w:name w:val="Table Paragraph"/>
    <w:basedOn w:val="Normal"/>
    <w:uiPriority w:val="1"/>
    <w:qFormat/>
    <w:rsid w:val="006F605B"/>
    <w:pPr>
      <w:widowControl w:val="0"/>
      <w:spacing w:after="0" w:line="240" w:lineRule="auto"/>
    </w:pPr>
    <w:rPr>
      <w:rFonts w:ascii="Calibri" w:eastAsia="Calibri" w:hAnsi="Calibri" w:cs="Times New Roman"/>
      <w:lang w:val="en-GB" w:eastAsia="en-US"/>
    </w:rPr>
  </w:style>
  <w:style w:type="paragraph" w:styleId="TOC1">
    <w:name w:val="toc 1"/>
    <w:basedOn w:val="Normal"/>
    <w:next w:val="Normal"/>
    <w:autoRedefine/>
    <w:uiPriority w:val="39"/>
    <w:unhideWhenUsed/>
    <w:qFormat/>
    <w:rsid w:val="006F605B"/>
    <w:pPr>
      <w:widowControl w:val="0"/>
      <w:spacing w:after="100" w:line="240" w:lineRule="auto"/>
    </w:pPr>
    <w:rPr>
      <w:rFonts w:ascii="Calibri" w:eastAsia="Calibri" w:hAnsi="Calibri" w:cs="Times New Roman"/>
      <w:lang w:val="en-GB" w:eastAsia="en-US"/>
    </w:rPr>
  </w:style>
  <w:style w:type="paragraph" w:styleId="TOC2">
    <w:name w:val="toc 2"/>
    <w:basedOn w:val="Normal"/>
    <w:next w:val="Normal"/>
    <w:autoRedefine/>
    <w:uiPriority w:val="39"/>
    <w:unhideWhenUsed/>
    <w:qFormat/>
    <w:rsid w:val="006F605B"/>
    <w:pPr>
      <w:widowControl w:val="0"/>
      <w:spacing w:after="100" w:line="240" w:lineRule="auto"/>
      <w:ind w:left="220"/>
    </w:pPr>
    <w:rPr>
      <w:rFonts w:ascii="Calibri" w:eastAsia="Calibri" w:hAnsi="Calibri" w:cs="Times New Roman"/>
      <w:lang w:val="en-GB" w:eastAsia="en-US"/>
    </w:rPr>
  </w:style>
  <w:style w:type="paragraph" w:styleId="TOC3">
    <w:name w:val="toc 3"/>
    <w:basedOn w:val="Normal"/>
    <w:next w:val="Normal"/>
    <w:autoRedefine/>
    <w:uiPriority w:val="39"/>
    <w:unhideWhenUsed/>
    <w:qFormat/>
    <w:rsid w:val="006F605B"/>
    <w:pPr>
      <w:widowControl w:val="0"/>
      <w:tabs>
        <w:tab w:val="left" w:pos="1134"/>
        <w:tab w:val="right" w:leader="dot" w:pos="9632"/>
      </w:tabs>
      <w:spacing w:after="100" w:line="240" w:lineRule="auto"/>
      <w:ind w:left="567"/>
      <w:jc w:val="both"/>
    </w:pPr>
    <w:rPr>
      <w:rFonts w:ascii="Calibri" w:eastAsia="Calibri" w:hAnsi="Calibri" w:cs="Times New Roman"/>
      <w:lang w:val="en-GB" w:eastAsia="en-US"/>
    </w:rPr>
  </w:style>
  <w:style w:type="paragraph" w:styleId="Caption">
    <w:name w:val="caption"/>
    <w:basedOn w:val="Normal"/>
    <w:next w:val="Normal"/>
    <w:uiPriority w:val="35"/>
    <w:qFormat/>
    <w:rsid w:val="006F605B"/>
    <w:pPr>
      <w:widowControl w:val="0"/>
      <w:spacing w:line="240" w:lineRule="auto"/>
    </w:pPr>
    <w:rPr>
      <w:rFonts w:ascii="Calibri" w:eastAsia="Calibri" w:hAnsi="Calibri" w:cs="Times New Roman"/>
      <w:b/>
      <w:bCs/>
      <w:color w:val="5B9BD5"/>
      <w:sz w:val="18"/>
      <w:szCs w:val="18"/>
      <w:lang w:val="en-GB" w:eastAsia="en-US"/>
    </w:rPr>
  </w:style>
  <w:style w:type="character" w:customStyle="1" w:styleId="DocumentMapChar">
    <w:name w:val="Document Map Char"/>
    <w:basedOn w:val="DefaultParagraphFont"/>
    <w:link w:val="DocumentMap"/>
    <w:uiPriority w:val="99"/>
    <w:semiHidden/>
    <w:rsid w:val="006F605B"/>
    <w:rPr>
      <w:rFonts w:ascii="Times New Roman" w:eastAsia="Calibri" w:hAnsi="Times New Roman" w:cs="Times New Roman"/>
      <w:sz w:val="24"/>
      <w:szCs w:val="24"/>
      <w:lang w:val="en-GB" w:eastAsia="en-US"/>
    </w:rPr>
  </w:style>
  <w:style w:type="paragraph" w:styleId="DocumentMap">
    <w:name w:val="Document Map"/>
    <w:basedOn w:val="Normal"/>
    <w:link w:val="DocumentMapChar"/>
    <w:uiPriority w:val="99"/>
    <w:semiHidden/>
    <w:unhideWhenUsed/>
    <w:rsid w:val="006F605B"/>
    <w:pPr>
      <w:widowControl w:val="0"/>
      <w:spacing w:after="0" w:line="240" w:lineRule="auto"/>
    </w:pPr>
    <w:rPr>
      <w:rFonts w:ascii="Times New Roman" w:eastAsia="Calibri" w:hAnsi="Times New Roman" w:cs="Times New Roman"/>
      <w:sz w:val="24"/>
      <w:szCs w:val="24"/>
      <w:lang w:val="en-GB" w:eastAsia="en-US"/>
    </w:rPr>
  </w:style>
  <w:style w:type="character" w:customStyle="1" w:styleId="Notedebasdepage">
    <w:name w:val="Note de bas de page_"/>
    <w:link w:val="Notedebasdepage0"/>
    <w:uiPriority w:val="99"/>
    <w:rsid w:val="006F605B"/>
    <w:rPr>
      <w:sz w:val="17"/>
      <w:szCs w:val="17"/>
      <w:shd w:val="clear" w:color="auto" w:fill="FFFFFF"/>
    </w:rPr>
  </w:style>
  <w:style w:type="paragraph" w:customStyle="1" w:styleId="Notedebasdepage0">
    <w:name w:val="Note de bas de page"/>
    <w:basedOn w:val="Normal"/>
    <w:link w:val="Notedebasdepage"/>
    <w:uiPriority w:val="99"/>
    <w:rsid w:val="006F605B"/>
    <w:pPr>
      <w:widowControl w:val="0"/>
      <w:shd w:val="clear" w:color="auto" w:fill="FFFFFF"/>
      <w:spacing w:after="0" w:line="206" w:lineRule="exact"/>
      <w:ind w:hanging="180"/>
      <w:jc w:val="both"/>
    </w:pPr>
    <w:rPr>
      <w:sz w:val="17"/>
      <w:szCs w:val="17"/>
    </w:rPr>
  </w:style>
  <w:style w:type="character" w:customStyle="1" w:styleId="Corpsdutexte2">
    <w:name w:val="Corps du texte (2)_"/>
    <w:link w:val="Corpsdutexte21"/>
    <w:uiPriority w:val="99"/>
    <w:rsid w:val="006F605B"/>
    <w:rPr>
      <w:rFonts w:ascii="Arial" w:hAnsi="Arial" w:cs="Arial"/>
      <w:sz w:val="16"/>
      <w:szCs w:val="16"/>
      <w:shd w:val="clear" w:color="auto" w:fill="FFFFFF"/>
    </w:rPr>
  </w:style>
  <w:style w:type="paragraph" w:customStyle="1" w:styleId="Corpsdutexte21">
    <w:name w:val="Corps du texte (2)1"/>
    <w:basedOn w:val="Normal"/>
    <w:link w:val="Corpsdutexte2"/>
    <w:uiPriority w:val="99"/>
    <w:rsid w:val="006F605B"/>
    <w:pPr>
      <w:widowControl w:val="0"/>
      <w:shd w:val="clear" w:color="auto" w:fill="FFFFFF"/>
      <w:spacing w:after="720" w:line="240" w:lineRule="atLeast"/>
      <w:jc w:val="right"/>
    </w:pPr>
    <w:rPr>
      <w:rFonts w:ascii="Arial" w:hAnsi="Arial" w:cs="Arial"/>
      <w:sz w:val="16"/>
      <w:szCs w:val="16"/>
    </w:rPr>
  </w:style>
  <w:style w:type="character" w:customStyle="1" w:styleId="Corpsdutexte20">
    <w:name w:val="Corps du texte (2)"/>
    <w:uiPriority w:val="99"/>
    <w:rsid w:val="006F605B"/>
    <w:rPr>
      <w:rFonts w:ascii="Arial" w:hAnsi="Arial" w:cs="Arial"/>
      <w:color w:val="000096"/>
      <w:sz w:val="16"/>
      <w:szCs w:val="16"/>
      <w:u w:val="none"/>
      <w:lang w:val="bg-BG" w:eastAsia="bg-BG"/>
    </w:rPr>
  </w:style>
  <w:style w:type="character" w:customStyle="1" w:styleId="Corpsdutexte24">
    <w:name w:val="Corps du texte (2)4"/>
    <w:uiPriority w:val="99"/>
    <w:rsid w:val="006F605B"/>
    <w:rPr>
      <w:rFonts w:ascii="Arial" w:hAnsi="Arial" w:cs="Arial"/>
      <w:color w:val="4B4B4B"/>
      <w:sz w:val="16"/>
      <w:szCs w:val="16"/>
      <w:u w:val="none"/>
      <w:lang w:val="de-DE" w:eastAsia="de-DE"/>
    </w:rPr>
  </w:style>
  <w:style w:type="character" w:customStyle="1" w:styleId="Corpsdutexte3">
    <w:name w:val="Corps du texte (3)_"/>
    <w:link w:val="Corpsdutexte30"/>
    <w:uiPriority w:val="99"/>
    <w:rsid w:val="006F605B"/>
    <w:rPr>
      <w:rFonts w:ascii="Arial" w:hAnsi="Arial" w:cs="Arial"/>
      <w:shd w:val="clear" w:color="auto" w:fill="FFFFFF"/>
      <w:lang w:val="fi-FI" w:eastAsia="fi-FI"/>
    </w:rPr>
  </w:style>
  <w:style w:type="paragraph" w:customStyle="1" w:styleId="Corpsdutexte30">
    <w:name w:val="Corps du texte (3)"/>
    <w:basedOn w:val="Normal"/>
    <w:link w:val="Corpsdutexte3"/>
    <w:uiPriority w:val="99"/>
    <w:rsid w:val="006F605B"/>
    <w:pPr>
      <w:widowControl w:val="0"/>
      <w:shd w:val="clear" w:color="auto" w:fill="FFFFFF"/>
      <w:spacing w:before="720" w:after="60" w:line="240" w:lineRule="atLeast"/>
    </w:pPr>
    <w:rPr>
      <w:rFonts w:ascii="Arial" w:hAnsi="Arial" w:cs="Arial"/>
      <w:lang w:val="fi-FI" w:eastAsia="fi-FI"/>
    </w:rPr>
  </w:style>
  <w:style w:type="character" w:customStyle="1" w:styleId="Corpsdutexte4">
    <w:name w:val="Corps du texte (4)_"/>
    <w:link w:val="Corpsdutexte40"/>
    <w:uiPriority w:val="99"/>
    <w:rsid w:val="006F605B"/>
    <w:rPr>
      <w:rFonts w:ascii="Arial" w:hAnsi="Arial" w:cs="Arial"/>
      <w:sz w:val="14"/>
      <w:szCs w:val="14"/>
      <w:shd w:val="clear" w:color="auto" w:fill="FFFFFF"/>
    </w:rPr>
  </w:style>
  <w:style w:type="paragraph" w:customStyle="1" w:styleId="Corpsdutexte40">
    <w:name w:val="Corps du texte (4)"/>
    <w:basedOn w:val="Normal"/>
    <w:link w:val="Corpsdutexte4"/>
    <w:uiPriority w:val="99"/>
    <w:rsid w:val="006F605B"/>
    <w:pPr>
      <w:widowControl w:val="0"/>
      <w:shd w:val="clear" w:color="auto" w:fill="FFFFFF"/>
      <w:spacing w:before="60" w:after="5340" w:line="240" w:lineRule="atLeast"/>
    </w:pPr>
    <w:rPr>
      <w:rFonts w:ascii="Arial" w:hAnsi="Arial" w:cs="Arial"/>
      <w:sz w:val="14"/>
      <w:szCs w:val="14"/>
    </w:rPr>
  </w:style>
  <w:style w:type="character" w:customStyle="1" w:styleId="Corpsdutexte5">
    <w:name w:val="Corps du texte (5)_"/>
    <w:link w:val="Corpsdutexte50"/>
    <w:uiPriority w:val="99"/>
    <w:rsid w:val="006F605B"/>
    <w:rPr>
      <w:rFonts w:ascii="Times New Roman" w:hAnsi="Times New Roman" w:cs="Times New Roman"/>
      <w:b/>
      <w:bCs/>
      <w:sz w:val="31"/>
      <w:szCs w:val="31"/>
      <w:shd w:val="clear" w:color="auto" w:fill="FFFFFF"/>
      <w:lang w:val="de-DE" w:eastAsia="de-DE"/>
    </w:rPr>
  </w:style>
  <w:style w:type="paragraph" w:customStyle="1" w:styleId="Corpsdutexte50">
    <w:name w:val="Corps du texte (5)"/>
    <w:basedOn w:val="Normal"/>
    <w:link w:val="Corpsdutexte5"/>
    <w:uiPriority w:val="99"/>
    <w:rsid w:val="006F605B"/>
    <w:pPr>
      <w:widowControl w:val="0"/>
      <w:shd w:val="clear" w:color="auto" w:fill="FFFFFF"/>
      <w:spacing w:before="5340" w:after="1800" w:line="370" w:lineRule="exact"/>
    </w:pPr>
    <w:rPr>
      <w:rFonts w:ascii="Times New Roman" w:hAnsi="Times New Roman" w:cs="Times New Roman"/>
      <w:b/>
      <w:bCs/>
      <w:sz w:val="31"/>
      <w:szCs w:val="31"/>
      <w:lang w:val="de-DE" w:eastAsia="de-DE"/>
    </w:rPr>
  </w:style>
  <w:style w:type="character" w:customStyle="1" w:styleId="Corpsdutexte6">
    <w:name w:val="Corps du texte (6)_"/>
    <w:link w:val="Corpsdutexte60"/>
    <w:uiPriority w:val="99"/>
    <w:rsid w:val="006F605B"/>
    <w:rPr>
      <w:sz w:val="31"/>
      <w:szCs w:val="31"/>
      <w:shd w:val="clear" w:color="auto" w:fill="FFFFFF"/>
    </w:rPr>
  </w:style>
  <w:style w:type="paragraph" w:customStyle="1" w:styleId="Corpsdutexte60">
    <w:name w:val="Corps du texte (6)"/>
    <w:basedOn w:val="Normal"/>
    <w:link w:val="Corpsdutexte6"/>
    <w:uiPriority w:val="99"/>
    <w:rsid w:val="006F605B"/>
    <w:pPr>
      <w:widowControl w:val="0"/>
      <w:shd w:val="clear" w:color="auto" w:fill="FFFFFF"/>
      <w:spacing w:before="1800" w:after="0" w:line="240" w:lineRule="atLeast"/>
    </w:pPr>
    <w:rPr>
      <w:sz w:val="31"/>
      <w:szCs w:val="31"/>
    </w:rPr>
  </w:style>
  <w:style w:type="character" w:customStyle="1" w:styleId="Corpsdutexte">
    <w:name w:val="Corps du texte_"/>
    <w:link w:val="Corpsdutexte1"/>
    <w:uiPriority w:val="99"/>
    <w:rsid w:val="006F605B"/>
    <w:rPr>
      <w:sz w:val="23"/>
      <w:szCs w:val="23"/>
      <w:shd w:val="clear" w:color="auto" w:fill="FFFFFF"/>
    </w:rPr>
  </w:style>
  <w:style w:type="paragraph" w:customStyle="1" w:styleId="Corpsdutexte1">
    <w:name w:val="Corps du texte1"/>
    <w:basedOn w:val="Normal"/>
    <w:link w:val="Corpsdutexte"/>
    <w:uiPriority w:val="99"/>
    <w:rsid w:val="006F605B"/>
    <w:pPr>
      <w:widowControl w:val="0"/>
      <w:shd w:val="clear" w:color="auto" w:fill="FFFFFF"/>
      <w:spacing w:after="300" w:line="240" w:lineRule="atLeast"/>
      <w:jc w:val="both"/>
    </w:pPr>
    <w:rPr>
      <w:sz w:val="23"/>
      <w:szCs w:val="23"/>
    </w:rPr>
  </w:style>
  <w:style w:type="character" w:customStyle="1" w:styleId="Corpsdutexte0">
    <w:name w:val="Corps du texte"/>
    <w:rsid w:val="006F605B"/>
    <w:rPr>
      <w:sz w:val="23"/>
      <w:szCs w:val="23"/>
      <w:u w:val="single"/>
    </w:rPr>
  </w:style>
  <w:style w:type="character" w:customStyle="1" w:styleId="En-tteoupieddepage">
    <w:name w:val="En-tête ou pied de page_"/>
    <w:link w:val="En-tteoupieddepage0"/>
    <w:uiPriority w:val="99"/>
    <w:rsid w:val="006F605B"/>
    <w:rPr>
      <w:rFonts w:ascii="Times New Roman" w:hAnsi="Times New Roman" w:cs="Times New Roman"/>
      <w:noProof/>
      <w:sz w:val="20"/>
      <w:szCs w:val="20"/>
      <w:shd w:val="clear" w:color="auto" w:fill="FFFFFF"/>
    </w:rPr>
  </w:style>
  <w:style w:type="paragraph" w:customStyle="1" w:styleId="En-tteoupieddepage0">
    <w:name w:val="En-tête ou pied de page"/>
    <w:basedOn w:val="Normal"/>
    <w:link w:val="En-tteoupieddepage"/>
    <w:uiPriority w:val="99"/>
    <w:rsid w:val="006F605B"/>
    <w:pPr>
      <w:widowControl w:val="0"/>
      <w:shd w:val="clear" w:color="auto" w:fill="FFFFFF"/>
      <w:spacing w:after="0" w:line="240" w:lineRule="auto"/>
    </w:pPr>
    <w:rPr>
      <w:rFonts w:ascii="Times New Roman" w:hAnsi="Times New Roman" w:cs="Times New Roman"/>
      <w:noProof/>
      <w:sz w:val="20"/>
      <w:szCs w:val="20"/>
    </w:rPr>
  </w:style>
  <w:style w:type="character" w:customStyle="1" w:styleId="En-tteoupieddepage11pt">
    <w:name w:val="En-tête ou pied de page + 11 pt"/>
    <w:uiPriority w:val="99"/>
    <w:rsid w:val="006F605B"/>
    <w:rPr>
      <w:rFonts w:ascii="Times New Roman" w:hAnsi="Times New Roman" w:cs="Times New Roman"/>
      <w:noProof/>
      <w:sz w:val="22"/>
      <w:szCs w:val="22"/>
      <w:u w:val="none"/>
    </w:rPr>
  </w:style>
  <w:style w:type="character" w:customStyle="1" w:styleId="CorpsdutexteItalique">
    <w:name w:val="Corps du texte + Italique"/>
    <w:uiPriority w:val="99"/>
    <w:rsid w:val="006F605B"/>
    <w:rPr>
      <w:i/>
      <w:iCs/>
      <w:sz w:val="23"/>
      <w:szCs w:val="23"/>
      <w:u w:val="none"/>
    </w:rPr>
  </w:style>
  <w:style w:type="character" w:customStyle="1" w:styleId="Corpsdutexte31">
    <w:name w:val="Corps du texte3"/>
    <w:uiPriority w:val="99"/>
    <w:rsid w:val="006F605B"/>
    <w:rPr>
      <w:sz w:val="23"/>
      <w:szCs w:val="23"/>
      <w:u w:val="none"/>
    </w:rPr>
  </w:style>
  <w:style w:type="character" w:customStyle="1" w:styleId="CorpsdutexteGras">
    <w:name w:val="Corps du texte + Gras"/>
    <w:uiPriority w:val="99"/>
    <w:rsid w:val="006F605B"/>
    <w:rPr>
      <w:rFonts w:ascii="Times New Roman" w:hAnsi="Times New Roman" w:cs="Times New Roman"/>
      <w:b/>
      <w:bCs/>
      <w:noProof/>
      <w:sz w:val="23"/>
      <w:szCs w:val="23"/>
      <w:u w:val="none"/>
    </w:rPr>
  </w:style>
  <w:style w:type="character" w:customStyle="1" w:styleId="CorpsdutexteGras4">
    <w:name w:val="Corps du texte + Gras4"/>
    <w:uiPriority w:val="99"/>
    <w:rsid w:val="006F605B"/>
    <w:rPr>
      <w:b/>
      <w:bCs/>
      <w:sz w:val="23"/>
      <w:szCs w:val="23"/>
      <w:u w:val="single"/>
    </w:rPr>
  </w:style>
  <w:style w:type="character" w:customStyle="1" w:styleId="Corpsdutexte10pt">
    <w:name w:val="Corps du texte + 10 pt"/>
    <w:uiPriority w:val="99"/>
    <w:rsid w:val="006F605B"/>
    <w:rPr>
      <w:color w:val="0000FF"/>
      <w:sz w:val="20"/>
      <w:szCs w:val="20"/>
      <w:u w:val="single"/>
    </w:rPr>
  </w:style>
  <w:style w:type="character" w:customStyle="1" w:styleId="Corpsdutexte7">
    <w:name w:val="Corps du texte (7)_"/>
    <w:link w:val="Corpsdutexte71"/>
    <w:uiPriority w:val="99"/>
    <w:rsid w:val="006F605B"/>
    <w:rPr>
      <w:b/>
      <w:bCs/>
      <w:sz w:val="23"/>
      <w:szCs w:val="23"/>
      <w:shd w:val="clear" w:color="auto" w:fill="FFFFFF"/>
    </w:rPr>
  </w:style>
  <w:style w:type="paragraph" w:customStyle="1" w:styleId="Corpsdutexte71">
    <w:name w:val="Corps du texte (7)1"/>
    <w:basedOn w:val="Normal"/>
    <w:link w:val="Corpsdutexte7"/>
    <w:uiPriority w:val="99"/>
    <w:rsid w:val="006F605B"/>
    <w:pPr>
      <w:widowControl w:val="0"/>
      <w:shd w:val="clear" w:color="auto" w:fill="FFFFFF"/>
      <w:spacing w:after="540" w:line="240" w:lineRule="atLeast"/>
      <w:jc w:val="center"/>
    </w:pPr>
    <w:rPr>
      <w:b/>
      <w:bCs/>
      <w:sz w:val="23"/>
      <w:szCs w:val="23"/>
    </w:rPr>
  </w:style>
  <w:style w:type="character" w:customStyle="1" w:styleId="Corpsdutexte70">
    <w:name w:val="Corps du texte (7)"/>
    <w:uiPriority w:val="99"/>
    <w:rsid w:val="006F605B"/>
    <w:rPr>
      <w:rFonts w:ascii="Times New Roman" w:hAnsi="Times New Roman" w:cs="Times New Roman"/>
      <w:b/>
      <w:bCs/>
      <w:sz w:val="23"/>
      <w:szCs w:val="23"/>
      <w:u w:val="single"/>
      <w:lang w:val="de-DE" w:eastAsia="de-DE"/>
    </w:rPr>
  </w:style>
  <w:style w:type="character" w:customStyle="1" w:styleId="Corpsdutexte710pt">
    <w:name w:val="Corps du texte (7) + 10 pt"/>
    <w:aliases w:val="Non Gras"/>
    <w:uiPriority w:val="99"/>
    <w:rsid w:val="006F605B"/>
    <w:rPr>
      <w:b/>
      <w:bCs/>
      <w:sz w:val="20"/>
      <w:szCs w:val="20"/>
      <w:u w:val="none"/>
    </w:rPr>
  </w:style>
  <w:style w:type="character" w:customStyle="1" w:styleId="Corpsdutexte8">
    <w:name w:val="Corps du texte (8)_"/>
    <w:link w:val="Corpsdutexte80"/>
    <w:uiPriority w:val="99"/>
    <w:rsid w:val="006F605B"/>
    <w:rPr>
      <w:i/>
      <w:iCs/>
      <w:sz w:val="21"/>
      <w:szCs w:val="21"/>
      <w:shd w:val="clear" w:color="auto" w:fill="FFFFFF"/>
    </w:rPr>
  </w:style>
  <w:style w:type="paragraph" w:customStyle="1" w:styleId="Corpsdutexte80">
    <w:name w:val="Corps du texte (8)"/>
    <w:basedOn w:val="Normal"/>
    <w:link w:val="Corpsdutexte8"/>
    <w:uiPriority w:val="99"/>
    <w:rsid w:val="006F605B"/>
    <w:pPr>
      <w:widowControl w:val="0"/>
      <w:shd w:val="clear" w:color="auto" w:fill="FFFFFF"/>
      <w:spacing w:before="180" w:after="180" w:line="240" w:lineRule="atLeast"/>
      <w:ind w:hanging="340"/>
      <w:jc w:val="both"/>
    </w:pPr>
    <w:rPr>
      <w:i/>
      <w:iCs/>
      <w:sz w:val="21"/>
      <w:szCs w:val="21"/>
    </w:rPr>
  </w:style>
  <w:style w:type="character" w:customStyle="1" w:styleId="Corpsdutexte8NonItalique">
    <w:name w:val="Corps du texte (8) + Non Italique"/>
    <w:uiPriority w:val="99"/>
    <w:rsid w:val="006F605B"/>
    <w:rPr>
      <w:i/>
      <w:iCs/>
      <w:sz w:val="21"/>
      <w:szCs w:val="21"/>
      <w:u w:val="none"/>
    </w:rPr>
  </w:style>
  <w:style w:type="character" w:customStyle="1" w:styleId="Corpsdutexte710pt5">
    <w:name w:val="Corps du texte (7) + 10 pt5"/>
    <w:aliases w:val="Italique,Espacement 1 pt"/>
    <w:uiPriority w:val="99"/>
    <w:rsid w:val="006F605B"/>
    <w:rPr>
      <w:rFonts w:ascii="Times New Roman" w:hAnsi="Times New Roman" w:cs="Times New Roman"/>
      <w:b/>
      <w:bCs/>
      <w:i/>
      <w:iCs/>
      <w:spacing w:val="20"/>
      <w:sz w:val="20"/>
      <w:szCs w:val="20"/>
      <w:u w:val="none"/>
      <w:lang w:val="sl-SI" w:eastAsia="sl-SI"/>
    </w:rPr>
  </w:style>
  <w:style w:type="character" w:customStyle="1" w:styleId="Corpsdutexte9">
    <w:name w:val="Corps du texte (9)_"/>
    <w:link w:val="Corpsdutexte90"/>
    <w:uiPriority w:val="99"/>
    <w:rsid w:val="006F605B"/>
    <w:rPr>
      <w:b/>
      <w:bCs/>
      <w:i/>
      <w:iCs/>
      <w:sz w:val="21"/>
      <w:szCs w:val="21"/>
      <w:shd w:val="clear" w:color="auto" w:fill="FFFFFF"/>
    </w:rPr>
  </w:style>
  <w:style w:type="paragraph" w:customStyle="1" w:styleId="Corpsdutexte90">
    <w:name w:val="Corps du texte (9)"/>
    <w:basedOn w:val="Normal"/>
    <w:link w:val="Corpsdutexte9"/>
    <w:uiPriority w:val="99"/>
    <w:rsid w:val="006F605B"/>
    <w:pPr>
      <w:widowControl w:val="0"/>
      <w:shd w:val="clear" w:color="auto" w:fill="FFFFFF"/>
      <w:spacing w:before="300" w:after="300" w:line="240" w:lineRule="atLeast"/>
      <w:jc w:val="both"/>
    </w:pPr>
    <w:rPr>
      <w:b/>
      <w:bCs/>
      <w:i/>
      <w:iCs/>
      <w:sz w:val="21"/>
      <w:szCs w:val="21"/>
    </w:rPr>
  </w:style>
  <w:style w:type="character" w:customStyle="1" w:styleId="Corpsdutexte710pt4">
    <w:name w:val="Corps du texte (7) + 10 pt4"/>
    <w:aliases w:val="Non Gras2"/>
    <w:uiPriority w:val="99"/>
    <w:rsid w:val="006F605B"/>
    <w:rPr>
      <w:b/>
      <w:bCs/>
      <w:sz w:val="20"/>
      <w:szCs w:val="20"/>
      <w:u w:val="none"/>
    </w:rPr>
  </w:style>
  <w:style w:type="character" w:customStyle="1" w:styleId="Corpsdutexte8NonItalique3">
    <w:name w:val="Corps du texte (8) + Non Italique3"/>
    <w:uiPriority w:val="99"/>
    <w:rsid w:val="006F605B"/>
    <w:rPr>
      <w:i/>
      <w:iCs/>
      <w:sz w:val="21"/>
      <w:szCs w:val="21"/>
      <w:u w:val="none"/>
    </w:rPr>
  </w:style>
  <w:style w:type="character" w:customStyle="1" w:styleId="Corpsdutexte710pt3">
    <w:name w:val="Corps du texte (7) + 10 pt3"/>
    <w:aliases w:val="Italique2,Espacement 1 pt2"/>
    <w:uiPriority w:val="99"/>
    <w:rsid w:val="006F605B"/>
    <w:rPr>
      <w:rFonts w:ascii="Times New Roman" w:hAnsi="Times New Roman" w:cs="Times New Roman"/>
      <w:b/>
      <w:bCs/>
      <w:i/>
      <w:iCs/>
      <w:spacing w:val="20"/>
      <w:sz w:val="20"/>
      <w:szCs w:val="20"/>
      <w:u w:val="none"/>
      <w:lang w:val="sl-SI" w:eastAsia="sl-SI"/>
    </w:rPr>
  </w:style>
  <w:style w:type="character" w:customStyle="1" w:styleId="Corpsdutexte8NonItalique2">
    <w:name w:val="Corps du texte (8) + Non Italique2"/>
    <w:uiPriority w:val="99"/>
    <w:rsid w:val="006F605B"/>
    <w:rPr>
      <w:i/>
      <w:iCs/>
      <w:sz w:val="21"/>
      <w:szCs w:val="21"/>
      <w:u w:val="none"/>
    </w:rPr>
  </w:style>
  <w:style w:type="character" w:customStyle="1" w:styleId="Corpsdutexte710pt2">
    <w:name w:val="Corps du texte (7) + 10 pt2"/>
    <w:aliases w:val="Italique1,Espacement 1 pt1"/>
    <w:uiPriority w:val="99"/>
    <w:rsid w:val="006F605B"/>
    <w:rPr>
      <w:rFonts w:ascii="Times New Roman" w:hAnsi="Times New Roman" w:cs="Times New Roman"/>
      <w:b/>
      <w:bCs/>
      <w:i/>
      <w:iCs/>
      <w:spacing w:val="20"/>
      <w:sz w:val="20"/>
      <w:szCs w:val="20"/>
      <w:u w:val="none"/>
      <w:lang w:val="sl-SI" w:eastAsia="sl-SI"/>
    </w:rPr>
  </w:style>
  <w:style w:type="character" w:customStyle="1" w:styleId="Corpsdutexte710pt1">
    <w:name w:val="Corps du texte (7) + 10 pt1"/>
    <w:aliases w:val="Non Gras1"/>
    <w:uiPriority w:val="99"/>
    <w:rsid w:val="006F605B"/>
    <w:rPr>
      <w:b/>
      <w:bCs/>
      <w:sz w:val="20"/>
      <w:szCs w:val="20"/>
      <w:u w:val="none"/>
    </w:rPr>
  </w:style>
  <w:style w:type="character" w:customStyle="1" w:styleId="Corpsdutexte8NonItalique1">
    <w:name w:val="Corps du texte (8) + Non Italique1"/>
    <w:uiPriority w:val="99"/>
    <w:rsid w:val="006F605B"/>
    <w:rPr>
      <w:i/>
      <w:iCs/>
      <w:sz w:val="21"/>
      <w:szCs w:val="21"/>
      <w:u w:val="none"/>
    </w:rPr>
  </w:style>
  <w:style w:type="character" w:customStyle="1" w:styleId="En-tte1">
    <w:name w:val="En-tête #1_"/>
    <w:link w:val="En-tte11"/>
    <w:uiPriority w:val="99"/>
    <w:rsid w:val="006F605B"/>
    <w:rPr>
      <w:b/>
      <w:bCs/>
      <w:sz w:val="23"/>
      <w:szCs w:val="23"/>
      <w:shd w:val="clear" w:color="auto" w:fill="FFFFFF"/>
    </w:rPr>
  </w:style>
  <w:style w:type="paragraph" w:customStyle="1" w:styleId="En-tte11">
    <w:name w:val="En-tête #11"/>
    <w:basedOn w:val="Normal"/>
    <w:link w:val="En-tte1"/>
    <w:uiPriority w:val="99"/>
    <w:rsid w:val="006F605B"/>
    <w:pPr>
      <w:widowControl w:val="0"/>
      <w:shd w:val="clear" w:color="auto" w:fill="FFFFFF"/>
      <w:spacing w:after="600" w:line="240" w:lineRule="atLeast"/>
      <w:ind w:hanging="360"/>
      <w:jc w:val="center"/>
      <w:outlineLvl w:val="0"/>
    </w:pPr>
    <w:rPr>
      <w:b/>
      <w:bCs/>
      <w:sz w:val="23"/>
      <w:szCs w:val="23"/>
    </w:rPr>
  </w:style>
  <w:style w:type="character" w:customStyle="1" w:styleId="En-tte10">
    <w:name w:val="En-tête #1"/>
    <w:uiPriority w:val="99"/>
    <w:rsid w:val="006F605B"/>
    <w:rPr>
      <w:b/>
      <w:bCs/>
      <w:sz w:val="23"/>
      <w:szCs w:val="23"/>
      <w:u w:val="single"/>
    </w:rPr>
  </w:style>
  <w:style w:type="character" w:customStyle="1" w:styleId="Corpsdutexte12">
    <w:name w:val="Corps du texte (12)_"/>
    <w:link w:val="Corpsdutexte120"/>
    <w:uiPriority w:val="99"/>
    <w:rsid w:val="006F605B"/>
    <w:rPr>
      <w:i/>
      <w:iCs/>
      <w:sz w:val="23"/>
      <w:szCs w:val="23"/>
      <w:shd w:val="clear" w:color="auto" w:fill="FFFFFF"/>
    </w:rPr>
  </w:style>
  <w:style w:type="paragraph" w:customStyle="1" w:styleId="Corpsdutexte120">
    <w:name w:val="Corps du texte (12)"/>
    <w:basedOn w:val="Normal"/>
    <w:link w:val="Corpsdutexte12"/>
    <w:uiPriority w:val="99"/>
    <w:rsid w:val="006F605B"/>
    <w:pPr>
      <w:widowControl w:val="0"/>
      <w:shd w:val="clear" w:color="auto" w:fill="FFFFFF"/>
      <w:spacing w:before="300" w:after="180" w:line="274" w:lineRule="exact"/>
      <w:ind w:hanging="360"/>
    </w:pPr>
    <w:rPr>
      <w:i/>
      <w:iCs/>
      <w:sz w:val="23"/>
      <w:szCs w:val="23"/>
    </w:rPr>
  </w:style>
  <w:style w:type="character" w:customStyle="1" w:styleId="Corpsdutexte10">
    <w:name w:val="Corps du texte (10)_"/>
    <w:link w:val="Corpsdutexte101"/>
    <w:uiPriority w:val="99"/>
    <w:rsid w:val="006F605B"/>
    <w:rPr>
      <w:rFonts w:ascii="Arial" w:hAnsi="Arial" w:cs="Arial"/>
      <w:b/>
      <w:bCs/>
      <w:sz w:val="17"/>
      <w:szCs w:val="17"/>
      <w:shd w:val="clear" w:color="auto" w:fill="FFFFFF"/>
    </w:rPr>
  </w:style>
  <w:style w:type="paragraph" w:customStyle="1" w:styleId="Corpsdutexte101">
    <w:name w:val="Corps du texte (10)1"/>
    <w:basedOn w:val="Normal"/>
    <w:link w:val="Corpsdutexte10"/>
    <w:uiPriority w:val="99"/>
    <w:rsid w:val="006F605B"/>
    <w:pPr>
      <w:widowControl w:val="0"/>
      <w:shd w:val="clear" w:color="auto" w:fill="FFFFFF"/>
      <w:spacing w:after="0" w:line="240" w:lineRule="atLeast"/>
    </w:pPr>
    <w:rPr>
      <w:rFonts w:ascii="Arial" w:hAnsi="Arial" w:cs="Arial"/>
      <w:b/>
      <w:bCs/>
      <w:sz w:val="17"/>
      <w:szCs w:val="17"/>
    </w:rPr>
  </w:style>
  <w:style w:type="character" w:customStyle="1" w:styleId="Corpsdutexte100">
    <w:name w:val="Corps du texte (10)"/>
    <w:uiPriority w:val="99"/>
    <w:rsid w:val="006F605B"/>
    <w:rPr>
      <w:rFonts w:ascii="Arial" w:hAnsi="Arial" w:cs="Arial"/>
      <w:b/>
      <w:bCs/>
      <w:color w:val="FF0000"/>
      <w:sz w:val="17"/>
      <w:szCs w:val="17"/>
      <w:u w:val="none"/>
    </w:rPr>
  </w:style>
  <w:style w:type="character" w:customStyle="1" w:styleId="Corpsdutexte23">
    <w:name w:val="Corps du texte (2)3"/>
    <w:uiPriority w:val="99"/>
    <w:rsid w:val="006F605B"/>
    <w:rPr>
      <w:rFonts w:ascii="Arial" w:hAnsi="Arial" w:cs="Arial"/>
      <w:color w:val="FF0000"/>
      <w:sz w:val="16"/>
      <w:szCs w:val="16"/>
      <w:u w:val="none"/>
    </w:rPr>
  </w:style>
  <w:style w:type="character" w:customStyle="1" w:styleId="Corpsdutexte22">
    <w:name w:val="Corps du texte (2)2"/>
    <w:uiPriority w:val="99"/>
    <w:rsid w:val="006F605B"/>
    <w:rPr>
      <w:rFonts w:ascii="Arial" w:hAnsi="Arial" w:cs="Arial"/>
      <w:color w:val="FF0000"/>
      <w:sz w:val="16"/>
      <w:szCs w:val="16"/>
      <w:u w:val="none"/>
    </w:rPr>
  </w:style>
  <w:style w:type="character" w:customStyle="1" w:styleId="Corpsdutexte2Exact">
    <w:name w:val="Corps du texte (2) Exact"/>
    <w:uiPriority w:val="99"/>
    <w:rsid w:val="006F605B"/>
    <w:rPr>
      <w:rFonts w:ascii="Arial" w:hAnsi="Arial" w:cs="Arial"/>
      <w:spacing w:val="5"/>
      <w:sz w:val="15"/>
      <w:szCs w:val="15"/>
      <w:u w:val="none"/>
    </w:rPr>
  </w:style>
  <w:style w:type="character" w:customStyle="1" w:styleId="Corpsdutexte13">
    <w:name w:val="Corps du texte (13)_"/>
    <w:link w:val="Corpsdutexte130"/>
    <w:uiPriority w:val="99"/>
    <w:rsid w:val="006F605B"/>
    <w:rPr>
      <w:rFonts w:ascii="Times New Roman" w:hAnsi="Times New Roman" w:cs="Times New Roman"/>
      <w:sz w:val="17"/>
      <w:szCs w:val="17"/>
      <w:shd w:val="clear" w:color="auto" w:fill="FFFFFF"/>
      <w:lang w:val="sk-SK" w:eastAsia="sk-SK"/>
    </w:rPr>
  </w:style>
  <w:style w:type="paragraph" w:customStyle="1" w:styleId="Corpsdutexte130">
    <w:name w:val="Corps du texte (13)"/>
    <w:basedOn w:val="Normal"/>
    <w:link w:val="Corpsdutexte13"/>
    <w:uiPriority w:val="99"/>
    <w:rsid w:val="006F605B"/>
    <w:pPr>
      <w:widowControl w:val="0"/>
      <w:shd w:val="clear" w:color="auto" w:fill="FFFFFF"/>
      <w:spacing w:after="0" w:line="240" w:lineRule="atLeast"/>
      <w:jc w:val="right"/>
    </w:pPr>
    <w:rPr>
      <w:rFonts w:ascii="Times New Roman" w:hAnsi="Times New Roman" w:cs="Times New Roman"/>
      <w:sz w:val="17"/>
      <w:szCs w:val="17"/>
      <w:lang w:val="sk-SK" w:eastAsia="sk-SK"/>
    </w:rPr>
  </w:style>
  <w:style w:type="character" w:customStyle="1" w:styleId="CorpsdutexteGras3">
    <w:name w:val="Corps du texte + Gras3"/>
    <w:uiPriority w:val="99"/>
    <w:rsid w:val="006F605B"/>
    <w:rPr>
      <w:rFonts w:ascii="Times New Roman" w:hAnsi="Times New Roman" w:cs="Times New Roman"/>
      <w:b/>
      <w:bCs/>
      <w:sz w:val="23"/>
      <w:szCs w:val="23"/>
      <w:u w:val="none"/>
      <w:lang w:val="sl-SI" w:eastAsia="sl-SI"/>
    </w:rPr>
  </w:style>
  <w:style w:type="character" w:customStyle="1" w:styleId="CorpsdutexteGras2">
    <w:name w:val="Corps du texte + Gras2"/>
    <w:uiPriority w:val="99"/>
    <w:rsid w:val="006F605B"/>
    <w:rPr>
      <w:rFonts w:ascii="Times New Roman" w:hAnsi="Times New Roman" w:cs="Times New Roman"/>
      <w:b/>
      <w:bCs/>
      <w:sz w:val="23"/>
      <w:szCs w:val="23"/>
      <w:u w:val="none"/>
      <w:lang w:val="sl-SI" w:eastAsia="sl-SI"/>
    </w:rPr>
  </w:style>
  <w:style w:type="character" w:customStyle="1" w:styleId="Corpsdutexte25">
    <w:name w:val="Corps du texte2"/>
    <w:uiPriority w:val="99"/>
    <w:rsid w:val="006F605B"/>
    <w:rPr>
      <w:sz w:val="23"/>
      <w:szCs w:val="23"/>
      <w:u w:val="none"/>
    </w:rPr>
  </w:style>
  <w:style w:type="character" w:customStyle="1" w:styleId="CorpsdutexteItalique2">
    <w:name w:val="Corps du texte + Italique2"/>
    <w:uiPriority w:val="99"/>
    <w:rsid w:val="006F605B"/>
    <w:rPr>
      <w:i/>
      <w:iCs/>
      <w:sz w:val="23"/>
      <w:szCs w:val="23"/>
      <w:u w:val="none"/>
    </w:rPr>
  </w:style>
  <w:style w:type="character" w:customStyle="1" w:styleId="CorpsdutexteItalique1">
    <w:name w:val="Corps du texte + Italique1"/>
    <w:uiPriority w:val="99"/>
    <w:rsid w:val="006F605B"/>
    <w:rPr>
      <w:i/>
      <w:iCs/>
      <w:sz w:val="23"/>
      <w:szCs w:val="23"/>
      <w:u w:val="none"/>
    </w:rPr>
  </w:style>
  <w:style w:type="character" w:customStyle="1" w:styleId="Corpsdutexte11Exact">
    <w:name w:val="Corps du texte (11) Exact"/>
    <w:link w:val="Corpsdutexte11"/>
    <w:uiPriority w:val="99"/>
    <w:rsid w:val="006F605B"/>
    <w:rPr>
      <w:rFonts w:ascii="Times New Roman" w:hAnsi="Times New Roman" w:cs="Times New Roman"/>
      <w:sz w:val="20"/>
      <w:szCs w:val="20"/>
      <w:shd w:val="clear" w:color="auto" w:fill="FFFFFF"/>
      <w:lang w:val="bg-BG" w:eastAsia="bg-BG"/>
    </w:rPr>
  </w:style>
  <w:style w:type="paragraph" w:customStyle="1" w:styleId="Corpsdutexte11">
    <w:name w:val="Corps du texte (11)"/>
    <w:basedOn w:val="Normal"/>
    <w:link w:val="Corpsdutexte11Exact"/>
    <w:uiPriority w:val="99"/>
    <w:rsid w:val="006F605B"/>
    <w:pPr>
      <w:widowControl w:val="0"/>
      <w:shd w:val="clear" w:color="auto" w:fill="FFFFFF"/>
      <w:spacing w:after="0" w:line="240" w:lineRule="atLeast"/>
    </w:pPr>
    <w:rPr>
      <w:rFonts w:ascii="Times New Roman" w:hAnsi="Times New Roman" w:cs="Times New Roman"/>
      <w:sz w:val="20"/>
      <w:szCs w:val="20"/>
      <w:lang w:val="bg-BG" w:eastAsia="bg-BG"/>
    </w:rPr>
  </w:style>
  <w:style w:type="character" w:customStyle="1" w:styleId="CorpsdutexteGras1">
    <w:name w:val="Corps du texte + Gras1"/>
    <w:uiPriority w:val="99"/>
    <w:rsid w:val="006F605B"/>
    <w:rPr>
      <w:rFonts w:ascii="Times New Roman" w:hAnsi="Times New Roman" w:cs="Times New Roman"/>
      <w:b/>
      <w:bCs/>
      <w:sz w:val="23"/>
      <w:szCs w:val="23"/>
      <w:u w:val="none"/>
      <w:lang w:val="sl-SI" w:eastAsia="sl-SI"/>
    </w:rPr>
  </w:style>
  <w:style w:type="character" w:customStyle="1" w:styleId="Corpsdutexte14">
    <w:name w:val="Corps du texte (14)_"/>
    <w:link w:val="Corpsdutexte140"/>
    <w:uiPriority w:val="99"/>
    <w:rsid w:val="006F605B"/>
    <w:rPr>
      <w:rFonts w:ascii="Arial" w:hAnsi="Arial" w:cs="Arial"/>
      <w:b/>
      <w:bCs/>
      <w:i/>
      <w:iCs/>
      <w:sz w:val="17"/>
      <w:szCs w:val="17"/>
      <w:shd w:val="clear" w:color="auto" w:fill="FFFFFF"/>
    </w:rPr>
  </w:style>
  <w:style w:type="paragraph" w:customStyle="1" w:styleId="Corpsdutexte140">
    <w:name w:val="Corps du texte (14)"/>
    <w:basedOn w:val="Normal"/>
    <w:link w:val="Corpsdutexte14"/>
    <w:uiPriority w:val="99"/>
    <w:rsid w:val="006F605B"/>
    <w:pPr>
      <w:widowControl w:val="0"/>
      <w:shd w:val="clear" w:color="auto" w:fill="FFFFFF"/>
      <w:spacing w:after="0" w:line="240" w:lineRule="atLeast"/>
      <w:jc w:val="center"/>
    </w:pPr>
    <w:rPr>
      <w:rFonts w:ascii="Arial" w:hAnsi="Arial" w:cs="Arial"/>
      <w:b/>
      <w:bCs/>
      <w:i/>
      <w:iCs/>
      <w:sz w:val="17"/>
      <w:szCs w:val="17"/>
    </w:rPr>
  </w:style>
  <w:style w:type="character" w:customStyle="1" w:styleId="En-tte12">
    <w:name w:val="En-tête #12"/>
    <w:uiPriority w:val="99"/>
    <w:rsid w:val="006F605B"/>
    <w:rPr>
      <w:rFonts w:ascii="Times New Roman" w:hAnsi="Times New Roman" w:cs="Times New Roman"/>
      <w:b/>
      <w:bCs/>
      <w:noProof/>
      <w:sz w:val="23"/>
      <w:szCs w:val="23"/>
      <w:u w:val="single"/>
    </w:rPr>
  </w:style>
  <w:style w:type="paragraph" w:customStyle="1" w:styleId="Logo">
    <w:name w:val="Logo"/>
    <w:basedOn w:val="Normal"/>
    <w:uiPriority w:val="99"/>
    <w:rsid w:val="006F605B"/>
    <w:pPr>
      <w:spacing w:after="0" w:line="240" w:lineRule="auto"/>
    </w:pPr>
    <w:rPr>
      <w:rFonts w:ascii="Arial" w:eastAsia="Times New Roman" w:hAnsi="Arial" w:cs="Times New Roman"/>
      <w:sz w:val="26"/>
      <w:szCs w:val="20"/>
      <w:lang w:val="en-GB" w:eastAsia="en-GB"/>
    </w:rPr>
  </w:style>
  <w:style w:type="paragraph" w:customStyle="1" w:styleId="ZDG">
    <w:name w:val="Z_DG"/>
    <w:basedOn w:val="Logo"/>
    <w:uiPriority w:val="99"/>
    <w:rsid w:val="006F605B"/>
    <w:rPr>
      <w:sz w:val="16"/>
      <w:lang w:val="fr-FR"/>
    </w:rPr>
  </w:style>
  <w:style w:type="paragraph" w:customStyle="1" w:styleId="ZD">
    <w:name w:val="Z_D"/>
    <w:basedOn w:val="Logo"/>
    <w:uiPriority w:val="99"/>
    <w:rsid w:val="006F605B"/>
    <w:rPr>
      <w:sz w:val="16"/>
      <w:lang w:val="fr-FR"/>
    </w:rPr>
  </w:style>
  <w:style w:type="paragraph" w:customStyle="1" w:styleId="ListBullet1">
    <w:name w:val="List Bullet 1"/>
    <w:basedOn w:val="Normal"/>
    <w:uiPriority w:val="99"/>
    <w:rsid w:val="006F605B"/>
    <w:pPr>
      <w:numPr>
        <w:numId w:val="1"/>
      </w:numPr>
      <w:spacing w:after="240" w:line="240" w:lineRule="auto"/>
      <w:jc w:val="both"/>
    </w:pPr>
    <w:rPr>
      <w:rFonts w:ascii="Times New Roman" w:eastAsia="Times New Roman" w:hAnsi="Times New Roman" w:cs="Times New Roman"/>
      <w:sz w:val="24"/>
      <w:szCs w:val="20"/>
      <w:lang w:val="en-GB" w:eastAsia="en-US"/>
    </w:rPr>
  </w:style>
  <w:style w:type="paragraph" w:styleId="TOC4">
    <w:name w:val="toc 4"/>
    <w:basedOn w:val="Normal"/>
    <w:next w:val="Normal"/>
    <w:autoRedefine/>
    <w:uiPriority w:val="39"/>
    <w:rsid w:val="006F605B"/>
    <w:pPr>
      <w:spacing w:after="0" w:line="240" w:lineRule="auto"/>
      <w:ind w:left="720"/>
    </w:pPr>
    <w:rPr>
      <w:rFonts w:ascii="Times New Roman" w:eastAsia="Times New Roman" w:hAnsi="Times New Roman" w:cs="Times New Roman"/>
      <w:sz w:val="24"/>
      <w:szCs w:val="20"/>
      <w:lang w:val="fr-FR" w:eastAsia="en-GB"/>
    </w:rPr>
  </w:style>
  <w:style w:type="paragraph" w:customStyle="1" w:styleId="Normal8pt">
    <w:name w:val="Normal + 8 pt"/>
    <w:aliases w:val="Before:  12 pt"/>
    <w:basedOn w:val="Normal"/>
    <w:uiPriority w:val="99"/>
    <w:rsid w:val="006F605B"/>
    <w:pPr>
      <w:spacing w:before="240" w:after="180" w:line="240" w:lineRule="auto"/>
    </w:pPr>
    <w:rPr>
      <w:rFonts w:ascii="Times New Roman" w:eastAsia="Times New Roman" w:hAnsi="Times New Roman" w:cs="Times New Roman"/>
      <w:sz w:val="16"/>
      <w:szCs w:val="16"/>
      <w:lang w:val="en-GB" w:eastAsia="en-GB"/>
    </w:rPr>
  </w:style>
  <w:style w:type="character" w:styleId="FollowedHyperlink">
    <w:name w:val="FollowedHyperlink"/>
    <w:rsid w:val="006F605B"/>
    <w:rPr>
      <w:color w:val="800080"/>
      <w:u w:val="single"/>
    </w:rPr>
  </w:style>
  <w:style w:type="paragraph" w:customStyle="1" w:styleId="ZCom">
    <w:name w:val="Z_Com"/>
    <w:basedOn w:val="Normal"/>
    <w:next w:val="ZDGName"/>
    <w:uiPriority w:val="99"/>
    <w:rsid w:val="006F605B"/>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uiPriority w:val="99"/>
    <w:rsid w:val="006F605B"/>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Heading4a">
    <w:name w:val="Heading 4a"/>
    <w:basedOn w:val="Heading3"/>
    <w:uiPriority w:val="99"/>
    <w:rsid w:val="006F605B"/>
    <w:pPr>
      <w:keepLines w:val="0"/>
      <w:tabs>
        <w:tab w:val="left" w:pos="510"/>
        <w:tab w:val="num" w:pos="851"/>
      </w:tabs>
      <w:spacing w:before="300" w:after="60" w:line="240" w:lineRule="auto"/>
      <w:ind w:left="851" w:hanging="567"/>
      <w:jc w:val="both"/>
    </w:pPr>
    <w:rPr>
      <w:rFonts w:ascii="Times New Roman Bold" w:eastAsia="Times New Roman" w:hAnsi="Times New Roman Bold" w:cs="Times New Roman"/>
      <w:bCs w:val="0"/>
      <w:color w:val="auto"/>
      <w:sz w:val="23"/>
      <w:szCs w:val="23"/>
      <w:lang w:val="x-none" w:eastAsia="x-none"/>
    </w:rPr>
  </w:style>
  <w:style w:type="character" w:customStyle="1" w:styleId="hps">
    <w:name w:val="hps"/>
    <w:rsid w:val="006F605B"/>
  </w:style>
  <w:style w:type="paragraph" w:customStyle="1" w:styleId="Default">
    <w:name w:val="Default"/>
    <w:rsid w:val="006F605B"/>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paragraph" w:customStyle="1" w:styleId="MediumGrid21">
    <w:name w:val="Medium Grid 21"/>
    <w:link w:val="MediumGrid2Char"/>
    <w:uiPriority w:val="1"/>
    <w:qFormat/>
    <w:rsid w:val="006F605B"/>
    <w:pPr>
      <w:spacing w:after="0" w:line="240" w:lineRule="auto"/>
    </w:pPr>
    <w:rPr>
      <w:rFonts w:ascii="Arial" w:eastAsia="Calibri" w:hAnsi="Arial" w:cs="Times New Roman"/>
      <w:sz w:val="20"/>
      <w:lang w:val="en-AU"/>
    </w:rPr>
  </w:style>
  <w:style w:type="character" w:customStyle="1" w:styleId="MediumGrid2Char">
    <w:name w:val="Medium Grid 2 Char"/>
    <w:link w:val="MediumGrid21"/>
    <w:uiPriority w:val="1"/>
    <w:rsid w:val="006F605B"/>
    <w:rPr>
      <w:rFonts w:ascii="Arial" w:eastAsia="Calibri" w:hAnsi="Arial" w:cs="Times New Roman"/>
      <w:sz w:val="20"/>
      <w:lang w:val="en-AU"/>
    </w:rPr>
  </w:style>
  <w:style w:type="paragraph" w:customStyle="1" w:styleId="Body">
    <w:name w:val="Body"/>
    <w:uiPriority w:val="99"/>
    <w:rsid w:val="006F605B"/>
    <w:pPr>
      <w:pBdr>
        <w:top w:val="nil"/>
        <w:left w:val="nil"/>
        <w:bottom w:val="nil"/>
        <w:right w:val="nil"/>
        <w:between w:val="nil"/>
        <w:bar w:val="nil"/>
      </w:pBdr>
    </w:pPr>
    <w:rPr>
      <w:rFonts w:ascii="Calibri" w:eastAsia="Calibri" w:hAnsi="Calibri" w:cs="Calibri"/>
      <w:color w:val="000000"/>
      <w:u w:color="000000"/>
      <w:bdr w:val="nil"/>
      <w:lang w:val="en-US" w:eastAsia="en-US"/>
    </w:rPr>
  </w:style>
  <w:style w:type="character" w:customStyle="1" w:styleId="longtext">
    <w:name w:val="long_text"/>
    <w:rsid w:val="006F605B"/>
  </w:style>
  <w:style w:type="paragraph" w:styleId="Title">
    <w:name w:val="Title"/>
    <w:basedOn w:val="Normal"/>
    <w:next w:val="Normal"/>
    <w:link w:val="TitleChar"/>
    <w:uiPriority w:val="99"/>
    <w:qFormat/>
    <w:rsid w:val="006F605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GB" w:eastAsia="en-GB"/>
    </w:rPr>
  </w:style>
  <w:style w:type="character" w:customStyle="1" w:styleId="TitleChar">
    <w:name w:val="Title Char"/>
    <w:basedOn w:val="DefaultParagraphFont"/>
    <w:link w:val="Title"/>
    <w:uiPriority w:val="99"/>
    <w:rsid w:val="006F605B"/>
    <w:rPr>
      <w:rFonts w:ascii="Cambria" w:eastAsia="Times New Roman" w:hAnsi="Cambria" w:cs="Times New Roman"/>
      <w:color w:val="17365D"/>
      <w:spacing w:val="5"/>
      <w:kern w:val="28"/>
      <w:sz w:val="52"/>
      <w:szCs w:val="52"/>
      <w:lang w:val="en-GB" w:eastAsia="en-GB"/>
    </w:rPr>
  </w:style>
  <w:style w:type="character" w:customStyle="1" w:styleId="Bodytext0">
    <w:name w:val="Body text_"/>
    <w:link w:val="BodyText189"/>
    <w:locked/>
    <w:rsid w:val="006F605B"/>
    <w:rPr>
      <w:sz w:val="25"/>
      <w:szCs w:val="25"/>
      <w:shd w:val="clear" w:color="auto" w:fill="FFFFFF"/>
    </w:rPr>
  </w:style>
  <w:style w:type="paragraph" w:customStyle="1" w:styleId="BodyText189">
    <w:name w:val="Body Text189"/>
    <w:basedOn w:val="Normal"/>
    <w:link w:val="Bodytext0"/>
    <w:rsid w:val="006F605B"/>
    <w:pPr>
      <w:shd w:val="clear" w:color="auto" w:fill="FFFFFF"/>
      <w:spacing w:before="420" w:after="240" w:line="322" w:lineRule="exact"/>
      <w:ind w:hanging="1420"/>
      <w:jc w:val="center"/>
    </w:pPr>
    <w:rPr>
      <w:sz w:val="25"/>
      <w:szCs w:val="25"/>
    </w:rPr>
  </w:style>
  <w:style w:type="character" w:customStyle="1" w:styleId="BodyText3">
    <w:name w:val="Body Text3"/>
    <w:rsid w:val="006F605B"/>
  </w:style>
  <w:style w:type="character" w:customStyle="1" w:styleId="BodytextBold">
    <w:name w:val="Body text + Bold"/>
    <w:aliases w:val="Italic"/>
    <w:rsid w:val="006F605B"/>
    <w:rPr>
      <w:rFonts w:ascii="Times New Roman" w:hAnsi="Times New Roman" w:cs="Times New Roman"/>
      <w:b/>
      <w:bCs/>
      <w:i/>
      <w:iCs/>
      <w:spacing w:val="0"/>
      <w:sz w:val="25"/>
      <w:szCs w:val="25"/>
      <w:lang w:bidi="ar-SA"/>
    </w:rPr>
  </w:style>
  <w:style w:type="character" w:customStyle="1" w:styleId="BodytextArialUnicodeMS">
    <w:name w:val="Body text + Arial Unicode MS"/>
    <w:aliases w:val="7 pt"/>
    <w:rsid w:val="006F605B"/>
    <w:rPr>
      <w:rFonts w:ascii="Arial Unicode MS" w:eastAsia="Arial Unicode MS" w:hAnsi="Arial Unicode MS" w:cs="Arial Unicode MS"/>
      <w:spacing w:val="0"/>
      <w:sz w:val="14"/>
      <w:szCs w:val="14"/>
      <w:lang w:bidi="ar-SA"/>
    </w:rPr>
  </w:style>
  <w:style w:type="paragraph" w:customStyle="1" w:styleId="BodyText2">
    <w:name w:val="Body Text2"/>
    <w:basedOn w:val="Normal"/>
    <w:uiPriority w:val="99"/>
    <w:rsid w:val="006F605B"/>
    <w:pPr>
      <w:shd w:val="clear" w:color="auto" w:fill="FFFFFF"/>
      <w:spacing w:after="660" w:line="240" w:lineRule="atLeast"/>
      <w:ind w:hanging="340"/>
    </w:pPr>
    <w:rPr>
      <w:rFonts w:ascii="Arial" w:eastAsia="Times New Roman" w:hAnsi="Arial" w:cs="Arial"/>
      <w:color w:val="000000"/>
      <w:lang w:val="en-GB" w:eastAsia="en-US"/>
    </w:rPr>
  </w:style>
  <w:style w:type="character" w:customStyle="1" w:styleId="Heading1714">
    <w:name w:val="Heading #1714"/>
    <w:rsid w:val="006F605B"/>
    <w:rPr>
      <w:sz w:val="35"/>
      <w:szCs w:val="35"/>
      <w:lang w:bidi="ar-SA"/>
    </w:rPr>
  </w:style>
  <w:style w:type="character" w:customStyle="1" w:styleId="Bodytext4">
    <w:name w:val="Body text (4)"/>
    <w:rsid w:val="006F605B"/>
    <w:rPr>
      <w:sz w:val="23"/>
      <w:szCs w:val="23"/>
      <w:lang w:bidi="ar-SA"/>
    </w:rPr>
  </w:style>
  <w:style w:type="paragraph" w:customStyle="1" w:styleId="1">
    <w:name w:val="Абзац списка1"/>
    <w:basedOn w:val="Normal"/>
    <w:uiPriority w:val="99"/>
    <w:rsid w:val="006F605B"/>
    <w:pPr>
      <w:suppressAutoHyphens/>
      <w:ind w:left="720" w:firstLine="360"/>
    </w:pPr>
    <w:rPr>
      <w:rFonts w:ascii="Calibri" w:eastAsia="SimSun" w:hAnsi="Calibri" w:cs="Times New Roman"/>
      <w:lang w:val="en-GB" w:eastAsia="ar-SA"/>
    </w:rPr>
  </w:style>
  <w:style w:type="character" w:customStyle="1" w:styleId="alt-edited">
    <w:name w:val="alt-edited"/>
    <w:rsid w:val="006F605B"/>
  </w:style>
  <w:style w:type="paragraph" w:styleId="BodyTextIndent2">
    <w:name w:val="Body Text Indent 2"/>
    <w:basedOn w:val="Normal"/>
    <w:link w:val="BodyTextIndent2Char"/>
    <w:uiPriority w:val="99"/>
    <w:rsid w:val="006F605B"/>
    <w:pPr>
      <w:spacing w:after="120" w:line="480" w:lineRule="auto"/>
      <w:ind w:left="360"/>
    </w:pPr>
    <w:rPr>
      <w:rFonts w:ascii="Times New Roman" w:eastAsia="MS Mincho" w:hAnsi="Times New Roman" w:cs="Times New Roman"/>
      <w:sz w:val="20"/>
      <w:szCs w:val="20"/>
      <w:lang w:val="x-none" w:eastAsia="x-none"/>
    </w:rPr>
  </w:style>
  <w:style w:type="character" w:customStyle="1" w:styleId="BodyTextIndent2Char">
    <w:name w:val="Body Text Indent 2 Char"/>
    <w:basedOn w:val="DefaultParagraphFont"/>
    <w:link w:val="BodyTextIndent2"/>
    <w:uiPriority w:val="99"/>
    <w:rsid w:val="006F605B"/>
    <w:rPr>
      <w:rFonts w:ascii="Times New Roman" w:eastAsia="MS Mincho" w:hAnsi="Times New Roman" w:cs="Times New Roman"/>
      <w:sz w:val="20"/>
      <w:szCs w:val="20"/>
      <w:lang w:val="x-none" w:eastAsia="x-none"/>
    </w:rPr>
  </w:style>
  <w:style w:type="character" w:customStyle="1" w:styleId="atn">
    <w:name w:val="atn"/>
    <w:rsid w:val="006F605B"/>
  </w:style>
  <w:style w:type="character" w:customStyle="1" w:styleId="shorttext">
    <w:name w:val="short_text"/>
    <w:uiPriority w:val="99"/>
    <w:rsid w:val="006F605B"/>
  </w:style>
  <w:style w:type="character" w:customStyle="1" w:styleId="hpsatn">
    <w:name w:val="hps atn"/>
    <w:uiPriority w:val="99"/>
    <w:rsid w:val="006F605B"/>
  </w:style>
  <w:style w:type="paragraph" w:styleId="List">
    <w:name w:val="List"/>
    <w:basedOn w:val="Normal"/>
    <w:uiPriority w:val="99"/>
    <w:rsid w:val="006F605B"/>
    <w:pPr>
      <w:suppressAutoHyphens/>
      <w:spacing w:after="0" w:line="240" w:lineRule="auto"/>
      <w:ind w:left="360" w:hanging="360"/>
    </w:pPr>
    <w:rPr>
      <w:rFonts w:ascii="Times New Roman" w:eastAsia="Times New Roman" w:hAnsi="Times New Roman" w:cs="Times New Roman"/>
      <w:sz w:val="24"/>
      <w:szCs w:val="24"/>
      <w:lang w:val="en-GB" w:eastAsia="zh-CN"/>
    </w:rPr>
  </w:style>
  <w:style w:type="character" w:customStyle="1" w:styleId="st">
    <w:name w:val="st"/>
    <w:rsid w:val="006F605B"/>
  </w:style>
  <w:style w:type="character" w:styleId="Emphasis">
    <w:name w:val="Emphasis"/>
    <w:uiPriority w:val="20"/>
    <w:qFormat/>
    <w:rsid w:val="006F605B"/>
    <w:rPr>
      <w:i/>
      <w:iCs/>
    </w:rPr>
  </w:style>
  <w:style w:type="paragraph" w:customStyle="1" w:styleId="paragraph">
    <w:name w:val="paragraph"/>
    <w:basedOn w:val="ColorfulList-Accent11"/>
    <w:uiPriority w:val="99"/>
    <w:rsid w:val="006F605B"/>
    <w:pPr>
      <w:keepNext/>
      <w:widowControl/>
      <w:spacing w:after="200" w:line="276" w:lineRule="auto"/>
      <w:contextualSpacing/>
    </w:pPr>
    <w:rPr>
      <w:rFonts w:eastAsia="Times New Roman"/>
      <w:b/>
      <w:lang w:val="en-US" w:bidi="en-US"/>
    </w:rPr>
  </w:style>
  <w:style w:type="paragraph" w:styleId="ListBullet">
    <w:name w:val="List Bullet"/>
    <w:aliases w:val="List Bullet Char,List Bullet-Richard's,List Bullet Char1 Char Char,List Bullet Char Char Char Char,List Bullet Char Char1,List Bullet Char1 Char,List Bullet Char Char Char,List Bullet Char Char Char Char Char Char Char Char,List Bullet Char2"/>
    <w:basedOn w:val="Normal"/>
    <w:link w:val="ListBulletChar1"/>
    <w:uiPriority w:val="2"/>
    <w:qFormat/>
    <w:rsid w:val="006F605B"/>
    <w:pPr>
      <w:tabs>
        <w:tab w:val="num" w:pos="720"/>
      </w:tabs>
      <w:spacing w:after="240" w:line="264" w:lineRule="auto"/>
      <w:ind w:left="720" w:hanging="720"/>
    </w:pPr>
    <w:rPr>
      <w:rFonts w:ascii="Times New Roman" w:eastAsia="Calibri" w:hAnsi="Times New Roman" w:cs="Times New Roman"/>
      <w:sz w:val="24"/>
      <w:szCs w:val="24"/>
      <w:lang w:val="en-GB" w:eastAsia="en-US"/>
    </w:rPr>
  </w:style>
  <w:style w:type="character" w:customStyle="1" w:styleId="ListBulletChar1">
    <w:name w:val="List Bullet Char1"/>
    <w:aliases w:val="List Bullet Char Char,List Bullet-Richard's Char,List Bullet Char1 Char Char Char,List Bullet Char Char Char Char Char,List Bullet Char Char1 Char,List Bullet Char1 Char Char1,List Bullet Char Char Char Char1,List Bullet Char2 Char"/>
    <w:link w:val="ListBullet"/>
    <w:uiPriority w:val="2"/>
    <w:rsid w:val="006F605B"/>
    <w:rPr>
      <w:rFonts w:ascii="Times New Roman" w:eastAsia="Calibri" w:hAnsi="Times New Roman" w:cs="Times New Roman"/>
      <w:sz w:val="24"/>
      <w:szCs w:val="24"/>
      <w:lang w:val="en-GB" w:eastAsia="en-US"/>
    </w:rPr>
  </w:style>
  <w:style w:type="paragraph" w:customStyle="1" w:styleId="LightGrid-Accent31">
    <w:name w:val="Light Grid - Accent 31"/>
    <w:basedOn w:val="Normal"/>
    <w:uiPriority w:val="34"/>
    <w:qFormat/>
    <w:rsid w:val="006F605B"/>
    <w:pPr>
      <w:ind w:left="720"/>
      <w:contextualSpacing/>
      <w:jc w:val="both"/>
    </w:pPr>
    <w:rPr>
      <w:rFonts w:ascii="Calibri" w:eastAsia="MS PGothic" w:hAnsi="Calibri" w:cs="Times New Roman"/>
      <w:lang w:val="en-GB" w:eastAsia="zh-CN"/>
    </w:rPr>
  </w:style>
  <w:style w:type="paragraph" w:customStyle="1" w:styleId="BoxBullet">
    <w:name w:val="Box Bullet"/>
    <w:basedOn w:val="Normal"/>
    <w:uiPriority w:val="3"/>
    <w:qFormat/>
    <w:rsid w:val="006F605B"/>
    <w:pPr>
      <w:spacing w:after="120" w:line="240" w:lineRule="auto"/>
      <w:ind w:left="720" w:hanging="360"/>
    </w:pPr>
    <w:rPr>
      <w:rFonts w:ascii="Segoe UI" w:eastAsia="MS Mincho" w:hAnsi="Segoe UI" w:cs="Segoe UI"/>
      <w:sz w:val="19"/>
      <w:szCs w:val="20"/>
      <w:lang w:val="en-US" w:eastAsia="en-US"/>
    </w:rPr>
  </w:style>
  <w:style w:type="paragraph" w:customStyle="1" w:styleId="Cell">
    <w:name w:val="Cell"/>
    <w:basedOn w:val="Normal"/>
    <w:qFormat/>
    <w:rsid w:val="006F605B"/>
    <w:pPr>
      <w:spacing w:after="0" w:line="240" w:lineRule="auto"/>
    </w:pPr>
    <w:rPr>
      <w:rFonts w:ascii="Arial" w:eastAsia="Times New Roman" w:hAnsi="Arial" w:cs="Arial"/>
      <w:sz w:val="18"/>
      <w:szCs w:val="18"/>
      <w:lang w:val="en-GB" w:eastAsia="zh-CN"/>
    </w:rPr>
  </w:style>
  <w:style w:type="paragraph" w:styleId="TOCHeading">
    <w:name w:val="TOC Heading"/>
    <w:basedOn w:val="Heading1"/>
    <w:next w:val="Normal"/>
    <w:uiPriority w:val="39"/>
    <w:unhideWhenUsed/>
    <w:qFormat/>
    <w:rsid w:val="006F605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val="en-US" w:eastAsia="ja-JP"/>
    </w:rPr>
  </w:style>
  <w:style w:type="character" w:styleId="Strong">
    <w:name w:val="Strong"/>
    <w:basedOn w:val="DefaultParagraphFont"/>
    <w:uiPriority w:val="22"/>
    <w:qFormat/>
    <w:rsid w:val="006F605B"/>
    <w:rPr>
      <w:b/>
      <w:bCs/>
    </w:rPr>
  </w:style>
  <w:style w:type="paragraph" w:customStyle="1" w:styleId="BodyA">
    <w:name w:val="Body A"/>
    <w:uiPriority w:val="99"/>
    <w:rsid w:val="006F605B"/>
    <w:pPr>
      <w:pBdr>
        <w:top w:val="nil"/>
        <w:left w:val="nil"/>
        <w:bottom w:val="nil"/>
        <w:right w:val="nil"/>
        <w:between w:val="nil"/>
        <w:bar w:val="nil"/>
      </w:pBdr>
      <w:spacing w:after="0" w:line="216" w:lineRule="auto"/>
      <w:jc w:val="both"/>
    </w:pPr>
    <w:rPr>
      <w:rFonts w:ascii="Times New Roman" w:eastAsia="Times New Roman" w:hAnsi="Times New Roman" w:cs="Times New Roman"/>
      <w:color w:val="000000"/>
      <w:sz w:val="24"/>
      <w:szCs w:val="24"/>
      <w:u w:color="000000"/>
      <w:bdr w:val="nil"/>
      <w:lang w:val="en-US" w:eastAsia="en-US"/>
    </w:rPr>
  </w:style>
  <w:style w:type="paragraph" w:customStyle="1" w:styleId="Pa22">
    <w:name w:val="Pa22"/>
    <w:basedOn w:val="Default"/>
    <w:next w:val="Default"/>
    <w:uiPriority w:val="99"/>
    <w:rsid w:val="006F605B"/>
    <w:pPr>
      <w:spacing w:line="241" w:lineRule="atLeast"/>
    </w:pPr>
    <w:rPr>
      <w:rFonts w:ascii="Times" w:eastAsiaTheme="minorHAnsi" w:hAnsi="Times" w:cs="Times"/>
      <w:color w:val="auto"/>
    </w:rPr>
  </w:style>
  <w:style w:type="table" w:customStyle="1" w:styleId="TableGrid1">
    <w:name w:val="Table Grid1"/>
    <w:basedOn w:val="TableNormal"/>
    <w:next w:val="TableGrid"/>
    <w:uiPriority w:val="39"/>
    <w:rsid w:val="006F605B"/>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F6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605B"/>
    <w:rPr>
      <w:rFonts w:ascii="Courier New" w:eastAsia="Times New Roman" w:hAnsi="Courier New" w:cs="Courier New"/>
      <w:sz w:val="20"/>
      <w:szCs w:val="20"/>
    </w:rPr>
  </w:style>
  <w:style w:type="character" w:customStyle="1" w:styleId="table0020gridchar">
    <w:name w:val="table_0020grid__char"/>
    <w:basedOn w:val="DefaultParagraphFont"/>
    <w:rsid w:val="006F605B"/>
  </w:style>
  <w:style w:type="paragraph" w:customStyle="1" w:styleId="OCtext">
    <w:name w:val="OC text"/>
    <w:basedOn w:val="Normal"/>
    <w:uiPriority w:val="99"/>
    <w:qFormat/>
    <w:rsid w:val="006F605B"/>
    <w:pPr>
      <w:shd w:val="clear" w:color="auto" w:fill="FFFFFF"/>
      <w:spacing w:after="240" w:line="240" w:lineRule="auto"/>
      <w:jc w:val="both"/>
    </w:pPr>
    <w:rPr>
      <w:rFonts w:ascii="Times New Roman" w:eastAsia="Times New Roman" w:hAnsi="Times New Roman" w:cs="Times New Roman"/>
      <w:color w:val="000000"/>
      <w:sz w:val="20"/>
      <w:szCs w:val="24"/>
      <w:lang w:val="en-GB" w:eastAsia="en-GB"/>
    </w:rPr>
  </w:style>
  <w:style w:type="character" w:customStyle="1" w:styleId="tlid-translation">
    <w:name w:val="tlid-translation"/>
    <w:basedOn w:val="DefaultParagraphFont"/>
    <w:rsid w:val="006F605B"/>
  </w:style>
  <w:style w:type="character" w:customStyle="1" w:styleId="TabletextChar">
    <w:name w:val="Table text Char"/>
    <w:link w:val="Tabletext"/>
    <w:rsid w:val="006F605B"/>
    <w:rPr>
      <w:rFonts w:cs="Arial"/>
      <w:color w:val="616264"/>
    </w:rPr>
  </w:style>
  <w:style w:type="paragraph" w:customStyle="1" w:styleId="Tabletext">
    <w:name w:val="Table text"/>
    <w:basedOn w:val="Normal"/>
    <w:link w:val="TabletextChar"/>
    <w:qFormat/>
    <w:rsid w:val="006F605B"/>
    <w:pPr>
      <w:spacing w:after="0" w:line="240" w:lineRule="auto"/>
      <w:jc w:val="center"/>
    </w:pPr>
    <w:rPr>
      <w:rFonts w:cs="Arial"/>
      <w:color w:val="616264"/>
    </w:rPr>
  </w:style>
  <w:style w:type="paragraph" w:customStyle="1" w:styleId="Char2">
    <w:name w:val="Char2"/>
    <w:basedOn w:val="Normal"/>
    <w:uiPriority w:val="99"/>
    <w:rsid w:val="006F605B"/>
    <w:pPr>
      <w:spacing w:after="160" w:line="240" w:lineRule="exact"/>
    </w:pPr>
    <w:rPr>
      <w:rFonts w:eastAsiaTheme="minorHAnsi"/>
      <w:vertAlign w:val="superscript"/>
      <w:lang w:val="en-US" w:eastAsia="en-US"/>
    </w:rPr>
  </w:style>
  <w:style w:type="character" w:customStyle="1" w:styleId="BulletedChar">
    <w:name w:val="Bulleted Char"/>
    <w:link w:val="Bulleted"/>
    <w:locked/>
    <w:rsid w:val="006F605B"/>
  </w:style>
  <w:style w:type="paragraph" w:customStyle="1" w:styleId="Bulleted">
    <w:name w:val="Bulleted"/>
    <w:basedOn w:val="Normal"/>
    <w:link w:val="BulletedChar"/>
    <w:qFormat/>
    <w:rsid w:val="006F605B"/>
    <w:pPr>
      <w:spacing w:after="0" w:line="240" w:lineRule="auto"/>
    </w:pPr>
  </w:style>
  <w:style w:type="character" w:customStyle="1" w:styleId="normalchar">
    <w:name w:val="normal__char"/>
    <w:basedOn w:val="DefaultParagraphFont"/>
    <w:rsid w:val="006F605B"/>
  </w:style>
  <w:style w:type="paragraph" w:customStyle="1" w:styleId="RowsHeading">
    <w:name w:val="Rows Heading"/>
    <w:basedOn w:val="Normal"/>
    <w:rsid w:val="006F605B"/>
    <w:pPr>
      <w:spacing w:after="0" w:line="240" w:lineRule="auto"/>
    </w:pPr>
    <w:rPr>
      <w:rFonts w:ascii="Arial" w:eastAsia="Calibri" w:hAnsi="Arial" w:cs="Arial"/>
      <w:sz w:val="18"/>
      <w:szCs w:val="18"/>
      <w:lang w:eastAsia="zh-CN"/>
    </w:rPr>
  </w:style>
  <w:style w:type="character" w:styleId="PlaceholderText">
    <w:name w:val="Placeholder Text"/>
    <w:basedOn w:val="DefaultParagraphFont"/>
    <w:uiPriority w:val="99"/>
    <w:unhideWhenUsed/>
    <w:rsid w:val="006F60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chart" Target="charts/chart5.xml"/><Relationship Id="rId68" Type="http://schemas.openxmlformats.org/officeDocument/2006/relationships/oleObject" Target="embeddings/oleObject1.bin"/><Relationship Id="rId84" Type="http://schemas.openxmlformats.org/officeDocument/2006/relationships/image" Target="media/image56.wmf"/><Relationship Id="rId89" Type="http://schemas.openxmlformats.org/officeDocument/2006/relationships/image" Target="media/image59.emf"/><Relationship Id="rId16" Type="http://schemas.openxmlformats.org/officeDocument/2006/relationships/image" Target="media/image2.emf"/><Relationship Id="rId107" Type="http://schemas.openxmlformats.org/officeDocument/2006/relationships/fontTable" Target="fontTable.xml"/><Relationship Id="rId11" Type="http://schemas.openxmlformats.org/officeDocument/2006/relationships/webSettings" Target="webSettings.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chart" Target="charts/chart1.xml"/><Relationship Id="rId74" Type="http://schemas.openxmlformats.org/officeDocument/2006/relationships/image" Target="media/image51.wmf"/><Relationship Id="rId79" Type="http://schemas.openxmlformats.org/officeDocument/2006/relationships/oleObject" Target="embeddings/oleObject6.bin"/><Relationship Id="rId102" Type="http://schemas.openxmlformats.org/officeDocument/2006/relationships/image" Target="media/image64.emf"/><Relationship Id="rId5" Type="http://schemas.openxmlformats.org/officeDocument/2006/relationships/customXml" Target="../customXml/item5.xml"/><Relationship Id="rId90" Type="http://schemas.openxmlformats.org/officeDocument/2006/relationships/image" Target="media/image60.emf"/><Relationship Id="rId95" Type="http://schemas.openxmlformats.org/officeDocument/2006/relationships/chart" Target="charts/chart11.xml"/><Relationship Id="rId22" Type="http://schemas.openxmlformats.org/officeDocument/2006/relationships/image" Target="media/image8.emf"/><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chart" Target="charts/chart6.xml"/><Relationship Id="rId69" Type="http://schemas.openxmlformats.org/officeDocument/2006/relationships/image" Target="media/image48.wmf"/><Relationship Id="rId80" Type="http://schemas.openxmlformats.org/officeDocument/2006/relationships/image" Target="media/image54.wmf"/><Relationship Id="rId85" Type="http://schemas.openxmlformats.org/officeDocument/2006/relationships/oleObject" Target="embeddings/oleObject9.bin"/><Relationship Id="rId12" Type="http://schemas.openxmlformats.org/officeDocument/2006/relationships/footnotes" Target="footnotes.xml"/><Relationship Id="rId17" Type="http://schemas.openxmlformats.org/officeDocument/2006/relationships/image" Target="media/image3.emf"/><Relationship Id="rId33" Type="http://schemas.openxmlformats.org/officeDocument/2006/relationships/image" Target="media/image19.emf"/><Relationship Id="rId38" Type="http://schemas.openxmlformats.org/officeDocument/2006/relationships/image" Target="media/image24.png"/><Relationship Id="rId59" Type="http://schemas.openxmlformats.org/officeDocument/2006/relationships/image" Target="media/image44.emf"/><Relationship Id="rId103" Type="http://schemas.openxmlformats.org/officeDocument/2006/relationships/image" Target="media/image65.png"/><Relationship Id="rId108"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chart" Target="charts/chart4.xml"/><Relationship Id="rId70" Type="http://schemas.openxmlformats.org/officeDocument/2006/relationships/oleObject" Target="embeddings/oleObject2.bin"/><Relationship Id="rId75" Type="http://schemas.openxmlformats.org/officeDocument/2006/relationships/oleObject" Target="embeddings/oleObject4.bin"/><Relationship Id="rId83" Type="http://schemas.openxmlformats.org/officeDocument/2006/relationships/oleObject" Target="embeddings/oleObject8.bin"/><Relationship Id="rId88" Type="http://schemas.openxmlformats.org/officeDocument/2006/relationships/image" Target="media/image58.emf"/><Relationship Id="rId91" Type="http://schemas.openxmlformats.org/officeDocument/2006/relationships/chart" Target="charts/chart7.xml"/><Relationship Id="rId96"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2.wmf"/><Relationship Id="rId49" Type="http://schemas.openxmlformats.org/officeDocument/2006/relationships/image" Target="media/image35.png"/><Relationship Id="rId57" Type="http://schemas.openxmlformats.org/officeDocument/2006/relationships/image" Target="media/image43.emf"/><Relationship Id="rId106" Type="http://schemas.openxmlformats.org/officeDocument/2006/relationships/footer" Target="footer1.xml"/><Relationship Id="rId10" Type="http://schemas.openxmlformats.org/officeDocument/2006/relationships/settings" Target="setting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chart" Target="charts/chart2.xml"/><Relationship Id="rId65" Type="http://schemas.openxmlformats.org/officeDocument/2006/relationships/image" Target="media/image45.emf"/><Relationship Id="rId73" Type="http://schemas.openxmlformats.org/officeDocument/2006/relationships/oleObject" Target="embeddings/oleObject3.bin"/><Relationship Id="rId78" Type="http://schemas.openxmlformats.org/officeDocument/2006/relationships/image" Target="media/image53.wmf"/><Relationship Id="rId81" Type="http://schemas.openxmlformats.org/officeDocument/2006/relationships/oleObject" Target="embeddings/oleObject7.bin"/><Relationship Id="rId86" Type="http://schemas.openxmlformats.org/officeDocument/2006/relationships/image" Target="media/image57.wmf"/><Relationship Id="rId94" Type="http://schemas.openxmlformats.org/officeDocument/2006/relationships/chart" Target="charts/chart10.xml"/><Relationship Id="rId99" Type="http://schemas.openxmlformats.org/officeDocument/2006/relationships/image" Target="media/image61.jpeg"/><Relationship Id="rId101" Type="http://schemas.openxmlformats.org/officeDocument/2006/relationships/image" Target="media/image63.emf"/><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4.emf"/><Relationship Id="rId39" Type="http://schemas.openxmlformats.org/officeDocument/2006/relationships/image" Target="media/image25.emf"/><Relationship Id="rId34" Type="http://schemas.openxmlformats.org/officeDocument/2006/relationships/image" Target="media/image20.emf"/><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52.wmf"/><Relationship Id="rId97" Type="http://schemas.openxmlformats.org/officeDocument/2006/relationships/chart" Target="charts/chart13.xml"/><Relationship Id="rId104" Type="http://schemas.openxmlformats.org/officeDocument/2006/relationships/hyperlink" Target="https://translate.googleusercontent.com/translate_f" TargetMode="External"/><Relationship Id="rId7" Type="http://schemas.openxmlformats.org/officeDocument/2006/relationships/customXml" Target="../customXml/item7.xml"/><Relationship Id="rId71" Type="http://schemas.openxmlformats.org/officeDocument/2006/relationships/image" Target="media/image49.emf"/><Relationship Id="rId92" Type="http://schemas.openxmlformats.org/officeDocument/2006/relationships/chart" Target="charts/chart8.xml"/><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emf"/><Relationship Id="rId40" Type="http://schemas.openxmlformats.org/officeDocument/2006/relationships/image" Target="media/image26.emf"/><Relationship Id="rId45" Type="http://schemas.openxmlformats.org/officeDocument/2006/relationships/image" Target="media/image31.png"/><Relationship Id="rId66" Type="http://schemas.openxmlformats.org/officeDocument/2006/relationships/image" Target="media/image46.emf"/><Relationship Id="rId87" Type="http://schemas.openxmlformats.org/officeDocument/2006/relationships/oleObject" Target="embeddings/oleObject10.bin"/><Relationship Id="rId61" Type="http://schemas.openxmlformats.org/officeDocument/2006/relationships/chart" Target="charts/chart3.xml"/><Relationship Id="rId82" Type="http://schemas.openxmlformats.org/officeDocument/2006/relationships/image" Target="media/image55.wmf"/><Relationship Id="rId19" Type="http://schemas.openxmlformats.org/officeDocument/2006/relationships/image" Target="media/image5.emf"/><Relationship Id="rId14" Type="http://schemas.openxmlformats.org/officeDocument/2006/relationships/hyperlink" Target="http://infrastruktura.gov.al" TargetMode="External"/><Relationship Id="rId30" Type="http://schemas.openxmlformats.org/officeDocument/2006/relationships/image" Target="media/image16.png"/><Relationship Id="rId35" Type="http://schemas.openxmlformats.org/officeDocument/2006/relationships/image" Target="media/image21.emf"/><Relationship Id="rId56" Type="http://schemas.openxmlformats.org/officeDocument/2006/relationships/image" Target="media/image42.emf"/><Relationship Id="rId77" Type="http://schemas.openxmlformats.org/officeDocument/2006/relationships/oleObject" Target="embeddings/oleObject5.bin"/><Relationship Id="rId100" Type="http://schemas.openxmlformats.org/officeDocument/2006/relationships/image" Target="media/image62.png"/><Relationship Id="rId105" Type="http://schemas.openxmlformats.org/officeDocument/2006/relationships/hyperlink" Target="http://www.ere.gov.al/doc/VENDIM_NR.264_2018_opt.pdf" TargetMode="External"/><Relationship Id="rId8" Type="http://schemas.openxmlformats.org/officeDocument/2006/relationships/numbering" Target="numbering.xml"/><Relationship Id="rId51" Type="http://schemas.openxmlformats.org/officeDocument/2006/relationships/image" Target="media/image37.png"/><Relationship Id="rId72" Type="http://schemas.openxmlformats.org/officeDocument/2006/relationships/image" Target="media/image50.wmf"/><Relationship Id="rId93" Type="http://schemas.openxmlformats.org/officeDocument/2006/relationships/chart" Target="charts/chart9.xml"/><Relationship Id="rId98" Type="http://schemas.openxmlformats.org/officeDocument/2006/relationships/chart" Target="charts/chart14.xml"/><Relationship Id="rId3" Type="http://schemas.openxmlformats.org/officeDocument/2006/relationships/customXml" Target="../customXml/item3.xml"/><Relationship Id="rId25" Type="http://schemas.openxmlformats.org/officeDocument/2006/relationships/image" Target="media/image11.emf"/><Relationship Id="rId46" Type="http://schemas.openxmlformats.org/officeDocument/2006/relationships/image" Target="media/image32.png"/><Relationship Id="rId67" Type="http://schemas.openxmlformats.org/officeDocument/2006/relationships/image" Target="media/image47.wmf"/></Relationships>
</file>

<file path=word/_rels/footnotes.xml.rels><?xml version="1.0" encoding="UTF-8" standalone="yes"?>
<Relationships xmlns="http://schemas.openxmlformats.org/package/2006/relationships"><Relationship Id="rId8" Type="http://schemas.openxmlformats.org/officeDocument/2006/relationships/hyperlink" Target="http://www.instat.gov.al/en/publications/books/2019/albania-in-figures-2018/" TargetMode="External"/><Relationship Id="rId3" Type="http://schemas.openxmlformats.org/officeDocument/2006/relationships/hyperlink" Target="https://www.bankofalbania.org/rc/doc/WB_RetailPmt_Albania_WEB_Final_12074.pdf" TargetMode="External"/><Relationship Id="rId7" Type="http://schemas.openxmlformats.org/officeDocument/2006/relationships/hyperlink" Target="https://wb6digital.files.wordpress.com/2018/01/wb6-study.pdf" TargetMode="External"/><Relationship Id="rId2" Type="http://schemas.openxmlformats.org/officeDocument/2006/relationships/hyperlink" Target="https://www.bankofalbania.org/rc/doc/raporti_i_Perfshirjes_finaciare_12072.docx" TargetMode="External"/><Relationship Id="rId1" Type="http://schemas.openxmlformats.org/officeDocument/2006/relationships/hyperlink" Target="https://www.bankofalbania.org/rc/doc/NRPS_update_3July2018_12078.docx" TargetMode="External"/><Relationship Id="rId6" Type="http://schemas.openxmlformats.org/officeDocument/2006/relationships/hyperlink" Target="https://www.imf.org/en/Publications/WEO/Issues/2019/10/01/world-economic-outlook-october-2019" TargetMode="External"/><Relationship Id="rId5" Type="http://schemas.openxmlformats.org/officeDocument/2006/relationships/hyperlink" Target="http://go.worldbank.org/KQCHUD4JN0" TargetMode="External"/><Relationship Id="rId4" Type="http://schemas.openxmlformats.org/officeDocument/2006/relationships/hyperlink" Target="https://www.bankofalbania.org/rc/doc/remittances_Report_12169.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686639013899637"/>
          <c:y val="9.6821075394709216E-2"/>
          <c:w val="0.79070457933927085"/>
          <c:h val="0.87698269138147433"/>
        </c:manualLayout>
      </c:layout>
      <c:barChart>
        <c:barDir val="bar"/>
        <c:grouping val="clustered"/>
        <c:varyColors val="0"/>
        <c:ser>
          <c:idx val="0"/>
          <c:order val="0"/>
          <c:spPr>
            <a:solidFill>
              <a:srgbClr val="963836"/>
            </a:solidFill>
          </c:spPr>
          <c:invertIfNegative val="0"/>
          <c:dPt>
            <c:idx val="5"/>
            <c:invertIfNegative val="0"/>
            <c:bubble3D val="0"/>
            <c:spPr>
              <a:solidFill>
                <a:srgbClr val="C0504D"/>
              </a:solidFill>
            </c:spPr>
            <c:extLst xmlns:c16r2="http://schemas.microsoft.com/office/drawing/2015/06/chart">
              <c:ext xmlns:c16="http://schemas.microsoft.com/office/drawing/2014/chart" uri="{C3380CC4-5D6E-409C-BE32-E72D297353CC}">
                <c16:uniqueId val="{00000001-8632-4EDF-BD77-C2B9D0AB8C07}"/>
              </c:ext>
            </c:extLst>
          </c:dPt>
          <c:dPt>
            <c:idx val="6"/>
            <c:invertIfNegative val="0"/>
            <c:bubble3D val="0"/>
            <c:spPr>
              <a:solidFill>
                <a:srgbClr val="1F497D"/>
              </a:solidFill>
            </c:spPr>
            <c:extLst xmlns:c16r2="http://schemas.microsoft.com/office/drawing/2015/06/chart">
              <c:ext xmlns:c16="http://schemas.microsoft.com/office/drawing/2014/chart" uri="{C3380CC4-5D6E-409C-BE32-E72D297353CC}">
                <c16:uniqueId val="{00000003-8632-4EDF-BD77-C2B9D0AB8C07}"/>
              </c:ext>
            </c:extLst>
          </c:dPt>
          <c:dPt>
            <c:idx val="7"/>
            <c:invertIfNegative val="0"/>
            <c:bubble3D val="0"/>
            <c:spPr>
              <a:solidFill>
                <a:srgbClr val="1F497D"/>
              </a:solidFill>
            </c:spPr>
            <c:extLst xmlns:c16r2="http://schemas.microsoft.com/office/drawing/2015/06/chart">
              <c:ext xmlns:c16="http://schemas.microsoft.com/office/drawing/2014/chart" uri="{C3380CC4-5D6E-409C-BE32-E72D297353CC}">
                <c16:uniqueId val="{00000005-8632-4EDF-BD77-C2B9D0AB8C07}"/>
              </c:ext>
            </c:extLst>
          </c:dPt>
          <c:dPt>
            <c:idx val="8"/>
            <c:invertIfNegative val="0"/>
            <c:bubble3D val="0"/>
            <c:spPr>
              <a:solidFill>
                <a:srgbClr val="1F497D"/>
              </a:solidFill>
            </c:spPr>
            <c:extLst xmlns:c16r2="http://schemas.microsoft.com/office/drawing/2015/06/chart">
              <c:ext xmlns:c16="http://schemas.microsoft.com/office/drawing/2014/chart" uri="{C3380CC4-5D6E-409C-BE32-E72D297353CC}">
                <c16:uniqueId val="{00000007-8632-4EDF-BD77-C2B9D0AB8C07}"/>
              </c:ext>
            </c:extLst>
          </c:dPt>
          <c:dPt>
            <c:idx val="9"/>
            <c:invertIfNegative val="0"/>
            <c:bubble3D val="0"/>
            <c:spPr>
              <a:solidFill>
                <a:srgbClr val="1F497D"/>
              </a:solidFill>
            </c:spPr>
            <c:extLst xmlns:c16r2="http://schemas.microsoft.com/office/drawing/2015/06/chart">
              <c:ext xmlns:c16="http://schemas.microsoft.com/office/drawing/2014/chart" uri="{C3380CC4-5D6E-409C-BE32-E72D297353CC}">
                <c16:uniqueId val="{00000009-8632-4EDF-BD77-C2B9D0AB8C07}"/>
              </c:ext>
            </c:extLst>
          </c:dPt>
          <c:dPt>
            <c:idx val="10"/>
            <c:invertIfNegative val="0"/>
            <c:bubble3D val="0"/>
            <c:spPr>
              <a:solidFill>
                <a:srgbClr val="1F497D"/>
              </a:solidFill>
            </c:spPr>
            <c:extLst xmlns:c16r2="http://schemas.microsoft.com/office/drawing/2015/06/chart">
              <c:ext xmlns:c16="http://schemas.microsoft.com/office/drawing/2014/chart" uri="{C3380CC4-5D6E-409C-BE32-E72D297353CC}">
                <c16:uniqueId val="{0000000B-8632-4EDF-BD77-C2B9D0AB8C07}"/>
              </c:ext>
            </c:extLst>
          </c:dPt>
          <c:dPt>
            <c:idx val="11"/>
            <c:invertIfNegative val="0"/>
            <c:bubble3D val="0"/>
            <c:spPr>
              <a:solidFill>
                <a:srgbClr val="1F497D"/>
              </a:solidFill>
            </c:spPr>
            <c:extLst xmlns:c16r2="http://schemas.microsoft.com/office/drawing/2015/06/chart">
              <c:ext xmlns:c16="http://schemas.microsoft.com/office/drawing/2014/chart" uri="{C3380CC4-5D6E-409C-BE32-E72D297353CC}">
                <c16:uniqueId val="{0000000D-8632-4EDF-BD77-C2B9D0AB8C07}"/>
              </c:ext>
            </c:extLst>
          </c:dPt>
          <c:dPt>
            <c:idx val="12"/>
            <c:invertIfNegative val="0"/>
            <c:bubble3D val="0"/>
            <c:spPr>
              <a:solidFill>
                <a:srgbClr val="1F497D"/>
              </a:solidFill>
            </c:spPr>
            <c:extLst xmlns:c16r2="http://schemas.microsoft.com/office/drawing/2015/06/chart">
              <c:ext xmlns:c16="http://schemas.microsoft.com/office/drawing/2014/chart" uri="{C3380CC4-5D6E-409C-BE32-E72D297353CC}">
                <c16:uniqueId val="{0000000F-8632-4EDF-BD77-C2B9D0AB8C07}"/>
              </c:ext>
            </c:extLst>
          </c:dPt>
          <c:dPt>
            <c:idx val="13"/>
            <c:invertIfNegative val="0"/>
            <c:bubble3D val="0"/>
            <c:spPr>
              <a:solidFill>
                <a:srgbClr val="1F497D"/>
              </a:solidFill>
            </c:spPr>
            <c:extLst xmlns:c16r2="http://schemas.microsoft.com/office/drawing/2015/06/chart">
              <c:ext xmlns:c16="http://schemas.microsoft.com/office/drawing/2014/chart" uri="{C3380CC4-5D6E-409C-BE32-E72D297353CC}">
                <c16:uniqueId val="{00000011-8632-4EDF-BD77-C2B9D0AB8C07}"/>
              </c:ext>
            </c:extLst>
          </c:dPt>
          <c:dPt>
            <c:idx val="14"/>
            <c:invertIfNegative val="0"/>
            <c:bubble3D val="0"/>
            <c:spPr>
              <a:solidFill>
                <a:srgbClr val="1F497D"/>
              </a:solidFill>
            </c:spPr>
            <c:extLst xmlns:c16r2="http://schemas.microsoft.com/office/drawing/2015/06/chart">
              <c:ext xmlns:c16="http://schemas.microsoft.com/office/drawing/2014/chart" uri="{C3380CC4-5D6E-409C-BE32-E72D297353CC}">
                <c16:uniqueId val="{00000013-8632-4EDF-BD77-C2B9D0AB8C07}"/>
              </c:ext>
            </c:extLst>
          </c:dPt>
          <c:dLbls>
            <c:dLbl>
              <c:idx val="0"/>
              <c:layout>
                <c:manualLayout>
                  <c:x val="-1.872052928353948E-2"/>
                  <c:y val="-2.7727318983604008E-2"/>
                </c:manualLayout>
              </c:layout>
              <c:spPr>
                <a:noFill/>
              </c:spPr>
              <c:txPr>
                <a:bodyPr/>
                <a:lstStyle/>
                <a:p>
                  <a:pPr>
                    <a:defRPr sz="1050" b="1" i="1">
                      <a:solidFill>
                        <a:schemeClr val="accent2">
                          <a:lumMod val="75000"/>
                        </a:schemeClr>
                      </a:solidFil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8632-4EDF-BD77-C2B9D0AB8C07}"/>
                </c:ext>
                <c:ext xmlns:c15="http://schemas.microsoft.com/office/drawing/2012/chart" uri="{CE6537A1-D6FC-4f65-9D91-7224C49458BB}">
                  <c15:layout/>
                </c:ext>
              </c:extLst>
            </c:dLbl>
            <c:dLbl>
              <c:idx val="1"/>
              <c:layout>
                <c:manualLayout>
                  <c:x val="1.2772126111973229E-7"/>
                  <c:y val="2.3191179317120203E-3"/>
                </c:manualLayout>
              </c:layout>
              <c:spPr>
                <a:noFill/>
              </c:spPr>
              <c:txPr>
                <a:bodyPr/>
                <a:lstStyle/>
                <a:p>
                  <a:pPr>
                    <a:defRPr sz="1050" b="1" i="1">
                      <a:solidFill>
                        <a:schemeClr val="accent2">
                          <a:lumMod val="75000"/>
                        </a:schemeClr>
                      </a:solidFil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8632-4EDF-BD77-C2B9D0AB8C07}"/>
                </c:ext>
                <c:ext xmlns:c15="http://schemas.microsoft.com/office/drawing/2012/chart" uri="{CE6537A1-D6FC-4f65-9D91-7224C49458BB}">
                  <c15:layout/>
                </c:ext>
              </c:extLst>
            </c:dLbl>
            <c:dLbl>
              <c:idx val="2"/>
              <c:spPr>
                <a:noFill/>
              </c:spPr>
              <c:txPr>
                <a:bodyPr/>
                <a:lstStyle/>
                <a:p>
                  <a:pPr>
                    <a:defRPr sz="1050" b="1" i="1">
                      <a:solidFill>
                        <a:schemeClr val="accent2">
                          <a:lumMod val="75000"/>
                        </a:schemeClr>
                      </a:solidFill>
                    </a:defRPr>
                  </a:pPr>
                  <a:endParaRPr lang="en-US"/>
                </a:p>
              </c:txPr>
              <c:showLegendKey val="0"/>
              <c:showVal val="1"/>
              <c:showCatName val="0"/>
              <c:showSerName val="0"/>
              <c:showPercent val="0"/>
              <c:showBubbleSize val="0"/>
            </c:dLbl>
            <c:dLbl>
              <c:idx val="3"/>
              <c:spPr>
                <a:noFill/>
              </c:spPr>
              <c:txPr>
                <a:bodyPr/>
                <a:lstStyle/>
                <a:p>
                  <a:pPr>
                    <a:defRPr sz="1050" b="1" i="1">
                      <a:solidFill>
                        <a:schemeClr val="accent2">
                          <a:lumMod val="75000"/>
                        </a:schemeClr>
                      </a:solidFill>
                    </a:defRPr>
                  </a:pPr>
                  <a:endParaRPr lang="en-US"/>
                </a:p>
              </c:txPr>
              <c:showLegendKey val="0"/>
              <c:showVal val="1"/>
              <c:showCatName val="0"/>
              <c:showSerName val="0"/>
              <c:showPercent val="0"/>
              <c:showBubbleSize val="0"/>
            </c:dLbl>
            <c:dLbl>
              <c:idx val="4"/>
              <c:spPr>
                <a:noFill/>
              </c:spPr>
              <c:txPr>
                <a:bodyPr/>
                <a:lstStyle/>
                <a:p>
                  <a:pPr>
                    <a:defRPr sz="1050" b="1" i="1">
                      <a:solidFill>
                        <a:schemeClr val="accent2">
                          <a:lumMod val="75000"/>
                        </a:schemeClr>
                      </a:solidFill>
                    </a:defRPr>
                  </a:pPr>
                  <a:endParaRPr lang="en-US"/>
                </a:p>
              </c:txPr>
              <c:showLegendKey val="0"/>
              <c:showVal val="1"/>
              <c:showCatName val="0"/>
              <c:showSerName val="0"/>
              <c:showPercent val="0"/>
              <c:showBubbleSize val="0"/>
            </c:dLbl>
            <c:dLbl>
              <c:idx val="5"/>
              <c:spPr>
                <a:noFill/>
              </c:spPr>
              <c:txPr>
                <a:bodyPr/>
                <a:lstStyle/>
                <a:p>
                  <a:pPr>
                    <a:defRPr sz="1050" b="1" i="1">
                      <a:solidFill>
                        <a:srgbClr val="B64340"/>
                      </a:solidFill>
                    </a:defRPr>
                  </a:pPr>
                  <a:endParaRPr lang="en-US"/>
                </a:p>
              </c:txPr>
              <c:showLegendKey val="0"/>
              <c:showVal val="1"/>
              <c:showCatName val="0"/>
              <c:showSerName val="0"/>
              <c:showPercent val="0"/>
              <c:showBubbleSize val="0"/>
            </c:dLbl>
            <c:dLbl>
              <c:idx val="14"/>
              <c:layout>
                <c:manualLayout>
                  <c:x val="-2.1178985548533247E-3"/>
                  <c:y val="-6.472960505623212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8632-4EDF-BD77-C2B9D0AB8C07}"/>
                </c:ext>
                <c:ext xmlns:c15="http://schemas.microsoft.com/office/drawing/2012/chart" uri="{CE6537A1-D6FC-4f65-9D91-7224C49458BB}"/>
              </c:extLst>
            </c:dLbl>
            <c:spPr>
              <a:noFill/>
            </c:spPr>
            <c:txPr>
              <a:bodyPr/>
              <a:lstStyle/>
              <a:p>
                <a:pPr>
                  <a:defRPr sz="1050" b="1" i="1">
                    <a:solidFill>
                      <a:schemeClr val="tx2"/>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'Kontribuesit Kryesore (TR)'!$G$4:$G$15</c:f>
              <c:strCache>
                <c:ptCount val="12"/>
                <c:pt idx="0">
                  <c:v>Metalet bazë dhe artikujt prej tyre</c:v>
                </c:pt>
                <c:pt idx="1">
                  <c:v>Plehëruesit </c:v>
                </c:pt>
                <c:pt idx="2">
                  <c:v>Automjeteve të perdorura </c:v>
                </c:pt>
                <c:pt idx="3">
                  <c:v>Plastika dhe artikujt </c:v>
                </c:pt>
                <c:pt idx="4">
                  <c:v>Karburante Prodhim Vendi </c:v>
                </c:pt>
                <c:pt idx="5">
                  <c:v>Gaz i Lëngët </c:v>
                </c:pt>
                <c:pt idx="6">
                  <c:v>Veshjet e Këmbës dhe Kokës </c:v>
                </c:pt>
                <c:pt idx="7">
                  <c:v>Ushqime të përgatitura</c:v>
                </c:pt>
                <c:pt idx="8">
                  <c:v>Karburante Import </c:v>
                </c:pt>
                <c:pt idx="9">
                  <c:v>Veshje, Tekstile </c:v>
                </c:pt>
                <c:pt idx="10">
                  <c:v>Cigare </c:v>
                </c:pt>
                <c:pt idx="11">
                  <c:v>Energji Elektrike </c:v>
                </c:pt>
              </c:strCache>
            </c:strRef>
          </c:cat>
          <c:val>
            <c:numRef>
              <c:f>'Kontribuesit Kryesore (TR)'!$H$4:$H$15</c:f>
              <c:numCache>
                <c:formatCode>_(* #,##0_);_(* \(#,##0\);_(* "-"??_);_(@_)</c:formatCode>
                <c:ptCount val="12"/>
                <c:pt idx="0">
                  <c:v>-662.44354200000009</c:v>
                </c:pt>
                <c:pt idx="1">
                  <c:v>-601.46138399999995</c:v>
                </c:pt>
                <c:pt idx="2">
                  <c:v>-503.88151199999999</c:v>
                </c:pt>
                <c:pt idx="3">
                  <c:v>-248.49132800000012</c:v>
                </c:pt>
                <c:pt idx="4">
                  <c:v>-164.72353000000024</c:v>
                </c:pt>
                <c:pt idx="5">
                  <c:v>-145.00267099999945</c:v>
                </c:pt>
                <c:pt idx="6">
                  <c:v>224.20656299999979</c:v>
                </c:pt>
                <c:pt idx="7">
                  <c:v>231.9560319999996</c:v>
                </c:pt>
                <c:pt idx="8">
                  <c:v>326.13042499999699</c:v>
                </c:pt>
                <c:pt idx="9">
                  <c:v>363.18602100000049</c:v>
                </c:pt>
                <c:pt idx="10">
                  <c:v>1408.9195419999978</c:v>
                </c:pt>
                <c:pt idx="11">
                  <c:v>2616.5878589999998</c:v>
                </c:pt>
              </c:numCache>
            </c:numRef>
          </c:val>
          <c:extLst xmlns:c16r2="http://schemas.microsoft.com/office/drawing/2015/06/chart">
            <c:ext xmlns:c16="http://schemas.microsoft.com/office/drawing/2014/chart" uri="{C3380CC4-5D6E-409C-BE32-E72D297353CC}">
              <c16:uniqueId val="{00000019-8632-4EDF-BD77-C2B9D0AB8C07}"/>
            </c:ext>
          </c:extLst>
        </c:ser>
        <c:dLbls>
          <c:showLegendKey val="0"/>
          <c:showVal val="1"/>
          <c:showCatName val="0"/>
          <c:showSerName val="0"/>
          <c:showPercent val="0"/>
          <c:showBubbleSize val="0"/>
        </c:dLbls>
        <c:gapWidth val="150"/>
        <c:overlap val="-25"/>
        <c:axId val="-1749346256"/>
        <c:axId val="-1749351152"/>
      </c:barChart>
      <c:catAx>
        <c:axId val="-1749346256"/>
        <c:scaling>
          <c:orientation val="minMax"/>
        </c:scaling>
        <c:delete val="0"/>
        <c:axPos val="l"/>
        <c:numFmt formatCode="General" sourceLinked="0"/>
        <c:majorTickMark val="none"/>
        <c:minorTickMark val="none"/>
        <c:tickLblPos val="low"/>
        <c:txPr>
          <a:bodyPr/>
          <a:lstStyle/>
          <a:p>
            <a:pPr>
              <a:defRPr sz="1050" i="1"/>
            </a:pPr>
            <a:endParaRPr lang="en-US"/>
          </a:p>
        </c:txPr>
        <c:crossAx val="-1749351152"/>
        <c:crosses val="autoZero"/>
        <c:auto val="1"/>
        <c:lblAlgn val="ctr"/>
        <c:lblOffset val="100"/>
        <c:noMultiLvlLbl val="0"/>
      </c:catAx>
      <c:valAx>
        <c:axId val="-1749351152"/>
        <c:scaling>
          <c:orientation val="minMax"/>
        </c:scaling>
        <c:delete val="1"/>
        <c:axPos val="b"/>
        <c:numFmt formatCode="_(* #,##0_);_(* \(#,##0\);_(* &quot;-&quot;??_);_(@_)" sourceLinked="1"/>
        <c:majorTickMark val="none"/>
        <c:minorTickMark val="none"/>
        <c:tickLblPos val="nextTo"/>
        <c:crossAx val="-1749346256"/>
        <c:crosses val="autoZero"/>
        <c:crossBetween val="between"/>
      </c:valAx>
      <c:spPr>
        <a:noFill/>
        <a:ln>
          <a:noFill/>
        </a:ln>
      </c:spPr>
    </c:plotArea>
    <c:plotVisOnly val="1"/>
    <c:dispBlanksAs val="gap"/>
    <c:showDLblsOverMax val="0"/>
  </c:chart>
  <c:spPr>
    <a:noFill/>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04369306777829"/>
          <c:y val="6.5263382774827572E-2"/>
          <c:w val="0.81040534639052475"/>
          <c:h val="0.6884276482203322"/>
        </c:manualLayout>
      </c:layout>
      <c:barChart>
        <c:barDir val="col"/>
        <c:grouping val="stacked"/>
        <c:varyColors val="0"/>
        <c:ser>
          <c:idx val="5"/>
          <c:order val="5"/>
          <c:tx>
            <c:strRef>
              <c:f>Composition!$B$5</c:f>
              <c:strCache>
                <c:ptCount val="1"/>
                <c:pt idx="0">
                  <c:v>Borxhi Afatshkurtër</c:v>
                </c:pt>
              </c:strCache>
            </c:strRef>
          </c:tx>
          <c:spPr>
            <a:solidFill>
              <a:srgbClr val="C00000"/>
            </a:solidFill>
          </c:spPr>
          <c:invertIfNegative val="0"/>
          <c:dLbls>
            <c:numFmt formatCode="0" sourceLinked="0"/>
            <c:spPr>
              <a:noFill/>
              <a:ln>
                <a:noFill/>
              </a:ln>
              <a:effectLst/>
            </c:spPr>
            <c:txPr>
              <a:bodyPr rot="-5400000" vert="horz" wrap="square" lIns="38100" tIns="19050" rIns="38100" bIns="19050" anchor="ctr">
                <a:spAutoFit/>
              </a:bodyPr>
              <a:lstStyle/>
              <a:p>
                <a:pPr>
                  <a:defRPr sz="900" b="1">
                    <a:solidFill>
                      <a:sysClr val="windowText" lastClr="000000"/>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Composition!$C$3:$G$3</c:f>
              <c:strCache>
                <c:ptCount val="5"/>
                <c:pt idx="0">
                  <c:v>2015</c:v>
                </c:pt>
                <c:pt idx="1">
                  <c:v>2016</c:v>
                </c:pt>
                <c:pt idx="2">
                  <c:v>2017</c:v>
                </c:pt>
                <c:pt idx="3">
                  <c:v>2018</c:v>
                </c:pt>
                <c:pt idx="4">
                  <c:v>Sht-2019</c:v>
                </c:pt>
              </c:strCache>
            </c:strRef>
          </c:cat>
          <c:val>
            <c:numRef>
              <c:f>Composition!$C$5:$G$5</c:f>
              <c:numCache>
                <c:formatCode>0.0</c:formatCode>
                <c:ptCount val="5"/>
                <c:pt idx="0">
                  <c:v>223.82433799999998</c:v>
                </c:pt>
                <c:pt idx="1">
                  <c:v>209.40880999999999</c:v>
                </c:pt>
                <c:pt idx="2">
                  <c:v>195.046539</c:v>
                </c:pt>
                <c:pt idx="3">
                  <c:v>194.544943152</c:v>
                </c:pt>
                <c:pt idx="4">
                  <c:v>195.64311809946</c:v>
                </c:pt>
              </c:numCache>
            </c:numRef>
          </c:val>
          <c:extLst xmlns:c16r2="http://schemas.microsoft.com/office/drawing/2015/06/chart">
            <c:ext xmlns:c16="http://schemas.microsoft.com/office/drawing/2014/chart" uri="{C3380CC4-5D6E-409C-BE32-E72D297353CC}">
              <c16:uniqueId val="{00000000-6239-45CB-85AC-D7F82C3B60D0}"/>
            </c:ext>
          </c:extLst>
        </c:ser>
        <c:ser>
          <c:idx val="6"/>
          <c:order val="6"/>
          <c:tx>
            <c:strRef>
              <c:f>Composition!$B$6</c:f>
              <c:strCache>
                <c:ptCount val="1"/>
                <c:pt idx="0">
                  <c:v>Borxhi Afatgjatë</c:v>
                </c:pt>
              </c:strCache>
            </c:strRef>
          </c:tx>
          <c:spPr>
            <a:solidFill>
              <a:schemeClr val="accent1">
                <a:lumMod val="60000"/>
                <a:lumOff val="40000"/>
              </a:schemeClr>
            </a:solidFill>
          </c:spPr>
          <c:invertIfNegative val="0"/>
          <c:dLbls>
            <c:dLbl>
              <c:idx val="0"/>
              <c:layout>
                <c:manualLayout>
                  <c:x val="-1.9184652278177458E-3"/>
                  <c:y val="5.42635658914728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239-45CB-85AC-D7F82C3B60D0}"/>
                </c:ext>
                <c:ext xmlns:c15="http://schemas.microsoft.com/office/drawing/2012/chart" uri="{CE6537A1-D6FC-4f65-9D91-7224C49458BB}">
                  <c15:layout/>
                </c:ext>
              </c:extLst>
            </c:dLbl>
            <c:dLbl>
              <c:idx val="1"/>
              <c:layout>
                <c:manualLayout>
                  <c:x val="-1.918465227817781E-3"/>
                  <c:y val="6.20155038759689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239-45CB-85AC-D7F82C3B60D0}"/>
                </c:ext>
                <c:ext xmlns:c15="http://schemas.microsoft.com/office/drawing/2012/chart" uri="{CE6537A1-D6FC-4f65-9D91-7224C49458BB}">
                  <c15:layout/>
                </c:ext>
              </c:extLst>
            </c:dLbl>
            <c:dLbl>
              <c:idx val="2"/>
              <c:layout>
                <c:manualLayout>
                  <c:x val="-1.9184652278178161E-3"/>
                  <c:y val="9.30232558139534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239-45CB-85AC-D7F82C3B60D0}"/>
                </c:ext>
                <c:ext xmlns:c15="http://schemas.microsoft.com/office/drawing/2012/chart" uri="{CE6537A1-D6FC-4f65-9D91-7224C49458BB}">
                  <c15:layout/>
                </c:ext>
              </c:extLst>
            </c:dLbl>
            <c:dLbl>
              <c:idx val="3"/>
              <c:layout>
                <c:manualLayout>
                  <c:x val="0"/>
                  <c:y val="5.8574361373145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239-45CB-85AC-D7F82C3B60D0}"/>
                </c:ext>
                <c:ext xmlns:c15="http://schemas.microsoft.com/office/drawing/2012/chart" uri="{CE6537A1-D6FC-4f65-9D91-7224C49458BB}">
                  <c15:layout/>
                </c:ext>
              </c:extLst>
            </c:dLbl>
            <c:dLbl>
              <c:idx val="4"/>
              <c:layout>
                <c:manualLayout>
                  <c:x val="0"/>
                  <c:y val="7.15713820069446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239-45CB-85AC-D7F82C3B60D0}"/>
                </c:ext>
                <c:ext xmlns:c15="http://schemas.microsoft.com/office/drawing/2012/chart" uri="{CE6537A1-D6FC-4f65-9D91-7224C49458BB}">
                  <c15:layout/>
                </c:ext>
              </c:extLst>
            </c:dLbl>
            <c:dLbl>
              <c:idx val="5"/>
              <c:layout>
                <c:manualLayout>
                  <c:x val="-1.4068582482531446E-16"/>
                  <c:y val="-0.1356589147286822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239-45CB-85AC-D7F82C3B60D0}"/>
                </c:ext>
                <c:ext xmlns:c15="http://schemas.microsoft.com/office/drawing/2012/chart" uri="{CE6537A1-D6FC-4f65-9D91-7224C49458BB}"/>
              </c:extLst>
            </c:dLbl>
            <c:dLbl>
              <c:idx val="6"/>
              <c:layout>
                <c:manualLayout>
                  <c:x val="0"/>
                  <c:y val="0.1395348837209302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239-45CB-85AC-D7F82C3B60D0}"/>
                </c:ext>
                <c:ext xmlns:c15="http://schemas.microsoft.com/office/drawing/2012/chart" uri="{CE6537A1-D6FC-4f65-9D91-7224C49458BB}"/>
              </c:extLst>
            </c:dLbl>
            <c:numFmt formatCode="0" sourceLinked="0"/>
            <c:spPr>
              <a:noFill/>
              <a:ln>
                <a:noFill/>
              </a:ln>
              <a:effectLst/>
            </c:spPr>
            <c:txPr>
              <a:bodyPr rot="-5400000" vert="horz" wrap="square" lIns="38100" tIns="19050" rIns="38100" bIns="19050" anchor="ctr">
                <a:spAutoFit/>
              </a:bodyPr>
              <a:lstStyle/>
              <a:p>
                <a:pPr>
                  <a:defRPr sz="900" b="1">
                    <a:solidFill>
                      <a:sysClr val="windowText" lastClr="000000"/>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Composition!$C$3:$G$3</c:f>
              <c:strCache>
                <c:ptCount val="5"/>
                <c:pt idx="0">
                  <c:v>2015</c:v>
                </c:pt>
                <c:pt idx="1">
                  <c:v>2016</c:v>
                </c:pt>
                <c:pt idx="2">
                  <c:v>2017</c:v>
                </c:pt>
                <c:pt idx="3">
                  <c:v>2018</c:v>
                </c:pt>
                <c:pt idx="4">
                  <c:v>Sht-2019</c:v>
                </c:pt>
              </c:strCache>
            </c:strRef>
          </c:cat>
          <c:val>
            <c:numRef>
              <c:f>Composition!$C$6:$G$6</c:f>
              <c:numCache>
                <c:formatCode>0.0</c:formatCode>
                <c:ptCount val="5"/>
                <c:pt idx="0">
                  <c:v>297.11114100000009</c:v>
                </c:pt>
                <c:pt idx="1">
                  <c:v>321.42553900000001</c:v>
                </c:pt>
                <c:pt idx="2">
                  <c:v>351.89220799999998</c:v>
                </c:pt>
                <c:pt idx="3">
                  <c:v>370.54757888000006</c:v>
                </c:pt>
                <c:pt idx="4">
                  <c:v>379.05990000000003</c:v>
                </c:pt>
              </c:numCache>
            </c:numRef>
          </c:val>
          <c:extLst xmlns:c16r2="http://schemas.microsoft.com/office/drawing/2015/06/chart">
            <c:ext xmlns:c16="http://schemas.microsoft.com/office/drawing/2014/chart" uri="{C3380CC4-5D6E-409C-BE32-E72D297353CC}">
              <c16:uniqueId val="{00000008-6239-45CB-85AC-D7F82C3B60D0}"/>
            </c:ext>
          </c:extLst>
        </c:ser>
        <c:dLbls>
          <c:showLegendKey val="0"/>
          <c:showVal val="0"/>
          <c:showCatName val="0"/>
          <c:showSerName val="0"/>
          <c:showPercent val="0"/>
          <c:showBubbleSize val="0"/>
        </c:dLbls>
        <c:gapWidth val="150"/>
        <c:overlap val="100"/>
        <c:axId val="-1614595632"/>
        <c:axId val="-1614602704"/>
      </c:barChart>
      <c:lineChart>
        <c:grouping val="standard"/>
        <c:varyColors val="0"/>
        <c:ser>
          <c:idx val="3"/>
          <c:order val="3"/>
          <c:tx>
            <c:strRef>
              <c:f>Composition!$B$4</c:f>
              <c:strCache>
                <c:ptCount val="1"/>
                <c:pt idx="0">
                  <c:v>NMP</c:v>
                </c:pt>
              </c:strCache>
            </c:strRef>
          </c:tx>
          <c:spPr>
            <a:ln w="25400">
              <a:solidFill>
                <a:srgbClr val="C00000"/>
              </a:solidFill>
            </a:ln>
          </c:spPr>
          <c:marker>
            <c:symbol val="star"/>
            <c:size val="4"/>
            <c:spPr>
              <a:solidFill>
                <a:srgbClr val="C00000"/>
              </a:solidFill>
              <a:ln>
                <a:noFill/>
              </a:ln>
            </c:spPr>
          </c:marker>
          <c:dLbls>
            <c:dLbl>
              <c:idx val="0"/>
              <c:layout>
                <c:manualLayout>
                  <c:x val="-2.6133579953213467E-2"/>
                  <c:y val="-3.92841488873296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239-45CB-85AC-D7F82C3B60D0}"/>
                </c:ext>
                <c:ext xmlns:c15="http://schemas.microsoft.com/office/drawing/2012/chart" uri="{CE6537A1-D6FC-4f65-9D91-7224C49458BB}">
                  <c15:layout/>
                </c:ext>
              </c:extLst>
            </c:dLbl>
            <c:dLbl>
              <c:idx val="1"/>
              <c:layout>
                <c:manualLayout>
                  <c:x val="-3.6036036036036036E-2"/>
                  <c:y val="-4.26356589147286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239-45CB-85AC-D7F82C3B60D0}"/>
                </c:ext>
                <c:ext xmlns:c15="http://schemas.microsoft.com/office/drawing/2012/chart" uri="{CE6537A1-D6FC-4f65-9D91-7224C49458BB}">
                  <c15:layout/>
                </c:ext>
              </c:extLst>
            </c:dLbl>
            <c:dLbl>
              <c:idx val="2"/>
              <c:layout>
                <c:manualLayout>
                  <c:x val="-3.8038029418984501E-2"/>
                  <c:y val="-5.81395348837209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239-45CB-85AC-D7F82C3B60D0}"/>
                </c:ext>
                <c:ext xmlns:c15="http://schemas.microsoft.com/office/drawing/2012/chart" uri="{CE6537A1-D6FC-4f65-9D91-7224C49458BB}">
                  <c15:layout/>
                </c:ext>
              </c:extLst>
            </c:dLbl>
            <c:dLbl>
              <c:idx val="3"/>
              <c:layout>
                <c:manualLayout>
                  <c:x val="-3.5815177779036755E-2"/>
                  <c:y val="-4.92492398846183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239-45CB-85AC-D7F82C3B60D0}"/>
                </c:ext>
                <c:ext xmlns:c15="http://schemas.microsoft.com/office/drawing/2012/chart" uri="{CE6537A1-D6FC-4f65-9D91-7224C49458BB}">
                  <c15:layout/>
                </c:ext>
              </c:extLst>
            </c:dLbl>
            <c:dLbl>
              <c:idx val="4"/>
              <c:layout>
                <c:manualLayout>
                  <c:x val="-3.6111255877188012E-2"/>
                  <c:y val="-4.87246519927583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239-45CB-85AC-D7F82C3B60D0}"/>
                </c:ext>
                <c:ext xmlns:c15="http://schemas.microsoft.com/office/drawing/2012/chart" uri="{CE6537A1-D6FC-4f65-9D91-7224C49458BB}">
                  <c15:layout/>
                </c:ext>
              </c:extLst>
            </c:dLbl>
            <c:dLbl>
              <c:idx val="5"/>
              <c:layout>
                <c:manualLayout>
                  <c:x val="-3.6505976321305159E-2"/>
                  <c:y val="3.8759689922480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239-45CB-85AC-D7F82C3B60D0}"/>
                </c:ext>
                <c:ext xmlns:c15="http://schemas.microsoft.com/office/drawing/2012/chart" uri="{CE6537A1-D6FC-4f65-9D91-7224C49458BB}"/>
              </c:extLst>
            </c:dLbl>
            <c:dLbl>
              <c:idx val="6"/>
              <c:layout>
                <c:manualLayout>
                  <c:x val="-3.6308617531122016E-2"/>
                  <c:y val="-4.65116279069768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239-45CB-85AC-D7F82C3B60D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900" b="1">
                    <a:solidFill>
                      <a:srgbClr val="C00000"/>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Composition!$C$3:$G$3</c:f>
              <c:strCache>
                <c:ptCount val="5"/>
                <c:pt idx="0">
                  <c:v>2015</c:v>
                </c:pt>
                <c:pt idx="1">
                  <c:v>2016</c:v>
                </c:pt>
                <c:pt idx="2">
                  <c:v>2017</c:v>
                </c:pt>
                <c:pt idx="3">
                  <c:v>2018</c:v>
                </c:pt>
                <c:pt idx="4">
                  <c:v>Sht-2019</c:v>
                </c:pt>
              </c:strCache>
            </c:strRef>
          </c:cat>
          <c:val>
            <c:numRef>
              <c:f>Composition!$C$4:$G$4</c:f>
              <c:numCache>
                <c:formatCode>0.00%</c:formatCode>
                <c:ptCount val="5"/>
                <c:pt idx="0">
                  <c:v>5.3100000000000001E-2</c:v>
                </c:pt>
                <c:pt idx="1">
                  <c:v>4.3709999999999999E-2</c:v>
                </c:pt>
                <c:pt idx="2">
                  <c:v>4.3299999999999998E-2</c:v>
                </c:pt>
                <c:pt idx="3">
                  <c:v>4.1829999999999999E-2</c:v>
                </c:pt>
                <c:pt idx="4">
                  <c:v>3.8429999999999999E-2</c:v>
                </c:pt>
              </c:numCache>
            </c:numRef>
          </c:val>
          <c:smooth val="1"/>
          <c:extLst xmlns:c16r2="http://schemas.microsoft.com/office/drawing/2015/06/chart">
            <c:ext xmlns:c16="http://schemas.microsoft.com/office/drawing/2014/chart" uri="{C3380CC4-5D6E-409C-BE32-E72D297353CC}">
              <c16:uniqueId val="{00000010-6239-45CB-85AC-D7F82C3B60D0}"/>
            </c:ext>
          </c:extLst>
        </c:ser>
        <c:dLbls>
          <c:showLegendKey val="0"/>
          <c:showVal val="0"/>
          <c:showCatName val="0"/>
          <c:showSerName val="0"/>
          <c:showPercent val="0"/>
          <c:showBubbleSize val="0"/>
        </c:dLbls>
        <c:marker val="1"/>
        <c:smooth val="0"/>
        <c:axId val="-1614599984"/>
        <c:axId val="-1614596720"/>
        <c:extLst xmlns:c16r2="http://schemas.microsoft.com/office/drawing/2015/06/chart">
          <c:ext xmlns:c15="http://schemas.microsoft.com/office/drawing/2012/chart" uri="{02D57815-91ED-43cb-92C2-25804820EDAC}">
            <c15:filteredLineSeries>
              <c15:ser>
                <c:idx val="0"/>
                <c:order val="0"/>
                <c:tx>
                  <c:strRef>
                    <c:extLst xmlns:c16r2="http://schemas.microsoft.com/office/drawing/2015/06/chart">
                      <c:ext uri="{02D57815-91ED-43cb-92C2-25804820EDAC}">
                        <c15:formulaRef>
                          <c15:sqref>'C:\Users\marjus.borokoci\Desktop\WORD FILES\Strategjite\Strategjia 2016-2018\Materialet e Grupit te Punes\[Tabelat dhe Grafiket e SAMB per pjesen e faktikut( me te dhena te dhjetorit)_20.04.2016.xlsx]Sherbimi i Borxhit'!$C$5</c15:sqref>
                        </c15:formulaRef>
                      </c:ext>
                    </c:extLst>
                    <c:strCache>
                      <c:ptCount val="1"/>
                      <c:pt idx="0">
                        <c:v>Interesa Gjithsej</c:v>
                      </c:pt>
                    </c:strCache>
                  </c:strRef>
                </c:tx>
                <c:cat>
                  <c:strRef>
                    <c:extLst xmlns:c16r2="http://schemas.microsoft.com/office/drawing/2015/06/chart">
                      <c:ext uri="{02D57815-91ED-43cb-92C2-25804820EDAC}">
                        <c15:formulaRef>
                          <c15:sqref>Composition!$C$3:$G$3</c15:sqref>
                        </c15:formulaRef>
                      </c:ext>
                    </c:extLst>
                    <c:strCache>
                      <c:ptCount val="5"/>
                      <c:pt idx="0">
                        <c:v>2015</c:v>
                      </c:pt>
                      <c:pt idx="1">
                        <c:v>2016</c:v>
                      </c:pt>
                      <c:pt idx="2">
                        <c:v>2017</c:v>
                      </c:pt>
                      <c:pt idx="3">
                        <c:v>2018</c:v>
                      </c:pt>
                      <c:pt idx="4">
                        <c:v>Sht-2019</c:v>
                      </c:pt>
                    </c:strCache>
                  </c:strRef>
                </c:cat>
                <c:val>
                  <c:numRef>
                    <c:extLst xmlns:c16r2="http://schemas.microsoft.com/office/drawing/2015/06/chart">
                      <c:ext uri="{02D57815-91ED-43cb-92C2-25804820EDAC}">
                        <c15:formulaRef>
                          <c15:sqref>'[23]Sherbimi i Borxhit'!$D$5:$Q$5</c15:sqref>
                        </c15:formulaRef>
                      </c:ext>
                    </c:extLst>
                    <c:numCache>
                      <c:formatCode>General</c:formatCode>
                      <c:ptCount val="14"/>
                      <c:pt idx="0">
                        <c:v>26029</c:v>
                      </c:pt>
                      <c:pt idx="1">
                        <c:v>25005.576802475003</c:v>
                      </c:pt>
                      <c:pt idx="2">
                        <c:v>25594.393650042501</c:v>
                      </c:pt>
                      <c:pt idx="3">
                        <c:v>31306.559826190001</c:v>
                      </c:pt>
                      <c:pt idx="4">
                        <c:v>36301</c:v>
                      </c:pt>
                      <c:pt idx="5">
                        <c:v>41604</c:v>
                      </c:pt>
                      <c:pt idx="6">
                        <c:v>41121</c:v>
                      </c:pt>
                      <c:pt idx="7">
                        <c:v>41497.184999999998</c:v>
                      </c:pt>
                      <c:pt idx="8">
                        <c:v>43335</c:v>
                      </c:pt>
                      <c:pt idx="9">
                        <c:v>39937</c:v>
                      </c:pt>
                      <c:pt idx="10">
                        <c:v>38642</c:v>
                      </c:pt>
                      <c:pt idx="11">
                        <c:v>43031</c:v>
                      </c:pt>
                      <c:pt idx="12">
                        <c:v>47954</c:v>
                      </c:pt>
                      <c:pt idx="13">
                        <c:v>51083</c:v>
                      </c:pt>
                    </c:numCache>
                  </c:numRef>
                </c:val>
                <c:smooth val="0"/>
                <c:extLst xmlns:c16r2="http://schemas.microsoft.com/office/drawing/2015/06/chart">
                  <c:ext xmlns:c16="http://schemas.microsoft.com/office/drawing/2014/chart" uri="{C3380CC4-5D6E-409C-BE32-E72D297353CC}">
                    <c16:uniqueId val="{00000011-6239-45CB-85AC-D7F82C3B60D0}"/>
                  </c:ext>
                </c:extLst>
              </c15:ser>
            </c15:filteredLineSeries>
            <c15:filteredLineSeries>
              <c15:ser>
                <c:idx val="1"/>
                <c:order val="1"/>
                <c:tx>
                  <c:strRef>
                    <c:extLst xmlns:c16r2="http://schemas.microsoft.com/office/drawing/2015/06/chart" xmlns:c15="http://schemas.microsoft.com/office/drawing/2012/chart">
                      <c:ext xmlns:c15="http://schemas.microsoft.com/office/drawing/2012/chart" uri="{02D57815-91ED-43cb-92C2-25804820EDAC}">
                        <c15:formulaRef>
                          <c15:sqref>'C:\Users\marjus.borokoci\Desktop\WORD FILES\Strategjite\Strategjia 2016-2018\Materialet e Grupit te Punes\[Tabelat dhe Grafiket e SAMB per pjesen e faktikut( me te dhena te dhjetorit)_20.04.2016.xlsx]Sherbimi i Borxhit'!$C$6</c15:sqref>
                        </c15:formulaRef>
                      </c:ext>
                    </c:extLst>
                    <c:strCache>
                      <c:ptCount val="1"/>
                      <c:pt idx="0">
                        <c:v>Pagesa Principali</c:v>
                      </c:pt>
                    </c:strCache>
                  </c:strRef>
                </c:tx>
                <c:cat>
                  <c:strRef>
                    <c:extLst xmlns:c16r2="http://schemas.microsoft.com/office/drawing/2015/06/chart" xmlns:c15="http://schemas.microsoft.com/office/drawing/2012/chart">
                      <c:ext xmlns:c15="http://schemas.microsoft.com/office/drawing/2012/chart" uri="{02D57815-91ED-43cb-92C2-25804820EDAC}">
                        <c15:formulaRef>
                          <c15:sqref>Composition!$C$3:$G$3</c15:sqref>
                        </c15:formulaRef>
                      </c:ext>
                    </c:extLst>
                    <c:strCache>
                      <c:ptCount val="5"/>
                      <c:pt idx="0">
                        <c:v>2015</c:v>
                      </c:pt>
                      <c:pt idx="1">
                        <c:v>2016</c:v>
                      </c:pt>
                      <c:pt idx="2">
                        <c:v>2017</c:v>
                      </c:pt>
                      <c:pt idx="3">
                        <c:v>2018</c:v>
                      </c:pt>
                      <c:pt idx="4">
                        <c:v>Sht-2019</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'[23]Sherbimi i Borxhit'!$D$6:$Q$6</c15:sqref>
                        </c15:formulaRef>
                      </c:ext>
                    </c:extLst>
                    <c:numCache>
                      <c:formatCode>General</c:formatCode>
                      <c:ptCount val="14"/>
                      <c:pt idx="0">
                        <c:v>3364</c:v>
                      </c:pt>
                      <c:pt idx="1">
                        <c:v>4589.9721761090004</c:v>
                      </c:pt>
                      <c:pt idx="2">
                        <c:v>4098.3022303164398</c:v>
                      </c:pt>
                      <c:pt idx="3">
                        <c:v>4248.1795488899998</c:v>
                      </c:pt>
                      <c:pt idx="4">
                        <c:v>5760</c:v>
                      </c:pt>
                      <c:pt idx="5">
                        <c:v>6512</c:v>
                      </c:pt>
                      <c:pt idx="6">
                        <c:v>7613</c:v>
                      </c:pt>
                      <c:pt idx="7">
                        <c:v>10669</c:v>
                      </c:pt>
                      <c:pt idx="8">
                        <c:v>12774</c:v>
                      </c:pt>
                      <c:pt idx="9">
                        <c:v>17845</c:v>
                      </c:pt>
                      <c:pt idx="10">
                        <c:v>61693</c:v>
                      </c:pt>
                      <c:pt idx="11">
                        <c:v>25917</c:v>
                      </c:pt>
                      <c:pt idx="12">
                        <c:v>31220</c:v>
                      </c:pt>
                      <c:pt idx="13">
                        <c:v>35737</c:v>
                      </c:pt>
                    </c:numCache>
                  </c:numRef>
                </c:val>
                <c:smooth val="0"/>
                <c:extLst xmlns:c16r2="http://schemas.microsoft.com/office/drawing/2015/06/chart" xmlns:c15="http://schemas.microsoft.com/office/drawing/2012/chart">
                  <c:ext xmlns:c16="http://schemas.microsoft.com/office/drawing/2014/chart" uri="{C3380CC4-5D6E-409C-BE32-E72D297353CC}">
                    <c16:uniqueId val="{00000012-6239-45CB-85AC-D7F82C3B60D0}"/>
                  </c:ext>
                </c:extLst>
              </c15:ser>
            </c15:filteredLineSeries>
            <c15:filteredLineSeries>
              <c15:ser>
                <c:idx val="2"/>
                <c:order val="2"/>
                <c:tx>
                  <c:strRef>
                    <c:extLst xmlns:c16r2="http://schemas.microsoft.com/office/drawing/2015/06/chart" xmlns:c15="http://schemas.microsoft.com/office/drawing/2012/chart">
                      <c:ext xmlns:c15="http://schemas.microsoft.com/office/drawing/2012/chart" uri="{02D57815-91ED-43cb-92C2-25804820EDAC}">
                        <c15:formulaRef>
                          <c15:sqref>'C:\Users\marjus.borokoci\Desktop\WORD FILES\Strategjite\Strategjia 2016-2018\Materialet e Grupit te Punes\[Tabelat dhe Grafiket e SAMB per pjesen e faktikut( me te dhena te dhjetorit)_20.04.2016.xlsx]Sherbimi i Borxhit'!$C$7</c15:sqref>
                        </c15:formulaRef>
                      </c:ext>
                    </c:extLst>
                    <c:strCache>
                      <c:ptCount val="1"/>
                      <c:pt idx="0">
                        <c:v>PBB</c:v>
                      </c:pt>
                    </c:strCache>
                  </c:strRef>
                </c:tx>
                <c:cat>
                  <c:strRef>
                    <c:extLst xmlns:c16r2="http://schemas.microsoft.com/office/drawing/2015/06/chart" xmlns:c15="http://schemas.microsoft.com/office/drawing/2012/chart">
                      <c:ext xmlns:c15="http://schemas.microsoft.com/office/drawing/2012/chart" uri="{02D57815-91ED-43cb-92C2-25804820EDAC}">
                        <c15:formulaRef>
                          <c15:sqref>Composition!$C$3:$G$3</c15:sqref>
                        </c15:formulaRef>
                      </c:ext>
                    </c:extLst>
                    <c:strCache>
                      <c:ptCount val="5"/>
                      <c:pt idx="0">
                        <c:v>2015</c:v>
                      </c:pt>
                      <c:pt idx="1">
                        <c:v>2016</c:v>
                      </c:pt>
                      <c:pt idx="2">
                        <c:v>2017</c:v>
                      </c:pt>
                      <c:pt idx="3">
                        <c:v>2018</c:v>
                      </c:pt>
                      <c:pt idx="4">
                        <c:v>Sht-2019</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'[23]Sherbimi i Borxhit'!$D$7:$Q$7</c15:sqref>
                        </c15:formulaRef>
                      </c:ext>
                    </c:extLst>
                    <c:numCache>
                      <c:formatCode>General</c:formatCode>
                      <c:ptCount val="14"/>
                      <c:pt idx="0">
                        <c:v>814796.70788440679</c:v>
                      </c:pt>
                      <c:pt idx="1">
                        <c:v>882208.78941676242</c:v>
                      </c:pt>
                      <c:pt idx="2">
                        <c:v>967670.36728495872</c:v>
                      </c:pt>
                      <c:pt idx="3">
                        <c:v>1080675.9312000242</c:v>
                      </c:pt>
                      <c:pt idx="4">
                        <c:v>1143936.4575750476</c:v>
                      </c:pt>
                      <c:pt idx="5">
                        <c:v>1239644.5847360452</c:v>
                      </c:pt>
                      <c:pt idx="6">
                        <c:v>1300624.0154602923</c:v>
                      </c:pt>
                      <c:pt idx="7">
                        <c:v>1332810.9892830553</c:v>
                      </c:pt>
                      <c:pt idx="8">
                        <c:v>1350554.7870817133</c:v>
                      </c:pt>
                      <c:pt idx="9">
                        <c:v>1400549</c:v>
                      </c:pt>
                      <c:pt idx="10">
                        <c:v>1444741.3527434976</c:v>
                      </c:pt>
                      <c:pt idx="11">
                        <c:v>1530465</c:v>
                      </c:pt>
                      <c:pt idx="12">
                        <c:v>1637000</c:v>
                      </c:pt>
                      <c:pt idx="13">
                        <c:v>1760000</c:v>
                      </c:pt>
                    </c:numCache>
                  </c:numRef>
                </c:val>
                <c:smooth val="0"/>
                <c:extLst xmlns:c16r2="http://schemas.microsoft.com/office/drawing/2015/06/chart" xmlns:c15="http://schemas.microsoft.com/office/drawing/2012/chart">
                  <c:ext xmlns:c16="http://schemas.microsoft.com/office/drawing/2014/chart" uri="{C3380CC4-5D6E-409C-BE32-E72D297353CC}">
                    <c16:uniqueId val="{00000013-6239-45CB-85AC-D7F82C3B60D0}"/>
                  </c:ext>
                </c:extLst>
              </c15:ser>
            </c15:filteredLineSeries>
            <c15:filteredLineSeries>
              <c15:ser>
                <c:idx val="4"/>
                <c:order val="4"/>
                <c:tx>
                  <c:strRef>
                    <c:extLst xmlns:c16r2="http://schemas.microsoft.com/office/drawing/2015/06/chart" xmlns:c15="http://schemas.microsoft.com/office/drawing/2012/chart">
                      <c:ext xmlns:c15="http://schemas.microsoft.com/office/drawing/2012/chart" uri="{02D57815-91ED-43cb-92C2-25804820EDAC}">
                        <c15:formulaRef>
                          <c15:sqref>'C:\Users\marjus.borokoci\Desktop\WORD FILES\Strategjite\Strategjia 2016-2018\Materialet e Grupit te Punes\[Tabelat dhe Grafiket e SAMB per pjesen e faktikut( me te dhena te dhjetorit)_20.04.2016.xlsx]Sherbimi i Borxhit'!$C$9</c15:sqref>
                        </c15:formulaRef>
                      </c:ext>
                    </c:extLst>
                    <c:strCache>
                      <c:ptCount val="1"/>
                      <c:pt idx="0">
                        <c:v>Debt Service/GDP</c:v>
                      </c:pt>
                    </c:strCache>
                  </c:strRef>
                </c:tx>
                <c:spPr>
                  <a:ln>
                    <a:solidFill>
                      <a:schemeClr val="accent1">
                        <a:lumMod val="75000"/>
                      </a:schemeClr>
                    </a:solidFill>
                  </a:ln>
                </c:spPr>
                <c:marker>
                  <c:symbol val="triangle"/>
                  <c:size val="5"/>
                  <c:spPr>
                    <a:solidFill>
                      <a:schemeClr val="accent1">
                        <a:lumMod val="75000"/>
                      </a:schemeClr>
                    </a:solidFill>
                    <a:ln>
                      <a:solidFill>
                        <a:schemeClr val="accent1">
                          <a:lumMod val="75000"/>
                        </a:schemeClr>
                      </a:solidFill>
                    </a:ln>
                  </c:spPr>
                </c:marker>
                <c:cat>
                  <c:strRef>
                    <c:extLst xmlns:c16r2="http://schemas.microsoft.com/office/drawing/2015/06/chart" xmlns:c15="http://schemas.microsoft.com/office/drawing/2012/chart">
                      <c:ext xmlns:c15="http://schemas.microsoft.com/office/drawing/2012/chart" uri="{02D57815-91ED-43cb-92C2-25804820EDAC}">
                        <c15:formulaRef>
                          <c15:sqref>Composition!$C$3:$G$3</c15:sqref>
                        </c15:formulaRef>
                      </c:ext>
                    </c:extLst>
                    <c:strCache>
                      <c:ptCount val="5"/>
                      <c:pt idx="0">
                        <c:v>2015</c:v>
                      </c:pt>
                      <c:pt idx="1">
                        <c:v>2016</c:v>
                      </c:pt>
                      <c:pt idx="2">
                        <c:v>2017</c:v>
                      </c:pt>
                      <c:pt idx="3">
                        <c:v>2018</c:v>
                      </c:pt>
                      <c:pt idx="4">
                        <c:v>Sht-2019</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'[23]Sherbimi i Borxhit'!$D$9:$Q$9</c15:sqref>
                        </c15:formulaRef>
                      </c:ext>
                    </c:extLst>
                    <c:numCache>
                      <c:formatCode>General</c:formatCode>
                      <c:ptCount val="14"/>
                      <c:pt idx="0">
                        <c:v>3.6074028914915443E-2</c:v>
                      </c:pt>
                      <c:pt idx="1">
                        <c:v>3.3547102832822528E-2</c:v>
                      </c:pt>
                      <c:pt idx="2">
                        <c:v>3.0684721661643134E-2</c:v>
                      </c:pt>
                      <c:pt idx="3">
                        <c:v>3.2900463819526958E-2</c:v>
                      </c:pt>
                      <c:pt idx="4">
                        <c:v>3.6768650672400309E-2</c:v>
                      </c:pt>
                      <c:pt idx="5">
                        <c:v>3.8814350978062982E-2</c:v>
                      </c:pt>
                      <c:pt idx="6">
                        <c:v>3.7469706403009159E-2</c:v>
                      </c:pt>
                      <c:pt idx="7">
                        <c:v>3.9139972148684934E-2</c:v>
                      </c:pt>
                      <c:pt idx="8">
                        <c:v>4.1545149102200182E-2</c:v>
                      </c:pt>
                      <c:pt idx="9">
                        <c:v>4.1256678631022552E-2</c:v>
                      </c:pt>
                      <c:pt idx="10">
                        <c:v>6.9448417053660463E-2</c:v>
                      </c:pt>
                      <c:pt idx="11">
                        <c:v>4.5050360511347858E-2</c:v>
                      </c:pt>
                      <c:pt idx="12">
                        <c:v>4.8365302382406841E-2</c:v>
                      </c:pt>
                      <c:pt idx="13">
                        <c:v>4.9329545454545452E-2</c:v>
                      </c:pt>
                    </c:numCache>
                  </c:numRef>
                </c:val>
                <c:smooth val="0"/>
                <c:extLst xmlns:c16r2="http://schemas.microsoft.com/office/drawing/2015/06/chart" xmlns:c15="http://schemas.microsoft.com/office/drawing/2012/chart">
                  <c:ext xmlns:c16="http://schemas.microsoft.com/office/drawing/2014/chart" uri="{C3380CC4-5D6E-409C-BE32-E72D297353CC}">
                    <c16:uniqueId val="{00000014-6239-45CB-85AC-D7F82C3B60D0}"/>
                  </c:ext>
                </c:extLst>
              </c15:ser>
            </c15:filteredLineSeries>
          </c:ext>
        </c:extLst>
      </c:lineChart>
      <c:catAx>
        <c:axId val="-1614595632"/>
        <c:scaling>
          <c:orientation val="minMax"/>
        </c:scaling>
        <c:delete val="0"/>
        <c:axPos val="b"/>
        <c:numFmt formatCode="General" sourceLinked="1"/>
        <c:majorTickMark val="none"/>
        <c:minorTickMark val="none"/>
        <c:tickLblPos val="nextTo"/>
        <c:spPr>
          <a:ln>
            <a:solidFill>
              <a:schemeClr val="tx1"/>
            </a:solidFill>
          </a:ln>
        </c:spPr>
        <c:txPr>
          <a:bodyPr/>
          <a:lstStyle/>
          <a:p>
            <a:pPr>
              <a:defRPr sz="900" b="0"/>
            </a:pPr>
            <a:endParaRPr lang="en-US"/>
          </a:p>
        </c:txPr>
        <c:crossAx val="-1614602704"/>
        <c:crosses val="autoZero"/>
        <c:auto val="1"/>
        <c:lblAlgn val="ctr"/>
        <c:lblOffset val="100"/>
        <c:noMultiLvlLbl val="0"/>
      </c:catAx>
      <c:valAx>
        <c:axId val="-1614602704"/>
        <c:scaling>
          <c:orientation val="minMax"/>
          <c:max val="600"/>
          <c:min val="0"/>
        </c:scaling>
        <c:delete val="0"/>
        <c:axPos val="l"/>
        <c:title>
          <c:tx>
            <c:rich>
              <a:bodyPr/>
              <a:lstStyle/>
              <a:p>
                <a:pPr>
                  <a:defRPr sz="900"/>
                </a:pPr>
                <a:r>
                  <a:rPr lang="en-US" sz="900"/>
                  <a:t>në miliard</a:t>
                </a:r>
                <a:r>
                  <a:rPr lang="en-US" sz="900" baseline="0"/>
                  <a:t> </a:t>
                </a:r>
                <a:r>
                  <a:rPr lang="en-US" sz="900"/>
                  <a:t>ek</a:t>
                </a:r>
                <a:endParaRPr lang="sq-AL" sz="900"/>
              </a:p>
            </c:rich>
          </c:tx>
          <c:layout>
            <c:manualLayout>
              <c:xMode val="edge"/>
              <c:yMode val="edge"/>
              <c:x val="2.5428254876718293E-2"/>
              <c:y val="0.22044839108767791"/>
            </c:manualLayout>
          </c:layout>
          <c:overlay val="0"/>
        </c:title>
        <c:numFmt formatCode="#,##0" sourceLinked="0"/>
        <c:majorTickMark val="none"/>
        <c:minorTickMark val="none"/>
        <c:tickLblPos val="nextTo"/>
        <c:spPr>
          <a:ln>
            <a:solidFill>
              <a:schemeClr val="tx1"/>
            </a:solidFill>
          </a:ln>
        </c:spPr>
        <c:txPr>
          <a:bodyPr/>
          <a:lstStyle/>
          <a:p>
            <a:pPr>
              <a:defRPr sz="900" b="0"/>
            </a:pPr>
            <a:endParaRPr lang="en-US"/>
          </a:p>
        </c:txPr>
        <c:crossAx val="-1614595632"/>
        <c:crosses val="autoZero"/>
        <c:crossBetween val="between"/>
        <c:majorUnit val="200"/>
      </c:valAx>
      <c:valAx>
        <c:axId val="-1614596720"/>
        <c:scaling>
          <c:orientation val="minMax"/>
          <c:max val="6.0000000000000012E-2"/>
        </c:scaling>
        <c:delete val="0"/>
        <c:axPos val="r"/>
        <c:numFmt formatCode="0.0%" sourceLinked="0"/>
        <c:majorTickMark val="none"/>
        <c:minorTickMark val="none"/>
        <c:tickLblPos val="nextTo"/>
        <c:spPr>
          <a:ln>
            <a:solidFill>
              <a:schemeClr val="tx1"/>
            </a:solidFill>
          </a:ln>
        </c:spPr>
        <c:txPr>
          <a:bodyPr/>
          <a:lstStyle/>
          <a:p>
            <a:pPr>
              <a:defRPr sz="900"/>
            </a:pPr>
            <a:endParaRPr lang="en-US"/>
          </a:p>
        </c:txPr>
        <c:crossAx val="-1614599984"/>
        <c:crosses val="max"/>
        <c:crossBetween val="between"/>
        <c:majorUnit val="2.0000000000000004E-2"/>
      </c:valAx>
      <c:catAx>
        <c:axId val="-1614599984"/>
        <c:scaling>
          <c:orientation val="minMax"/>
        </c:scaling>
        <c:delete val="1"/>
        <c:axPos val="b"/>
        <c:numFmt formatCode="General" sourceLinked="1"/>
        <c:majorTickMark val="out"/>
        <c:minorTickMark val="none"/>
        <c:tickLblPos val="nextTo"/>
        <c:crossAx val="-1614596720"/>
        <c:crosses val="autoZero"/>
        <c:auto val="1"/>
        <c:lblAlgn val="ctr"/>
        <c:lblOffset val="100"/>
        <c:noMultiLvlLbl val="0"/>
      </c:catAx>
      <c:spPr>
        <a:noFill/>
      </c:spPr>
    </c:plotArea>
    <c:legend>
      <c:legendPos val="b"/>
      <c:layout>
        <c:manualLayout>
          <c:xMode val="edge"/>
          <c:yMode val="edge"/>
          <c:x val="0.1503780826246576"/>
          <c:y val="0.90612440771636216"/>
          <c:w val="0.6873032227848842"/>
          <c:h val="7.3278579412023259E-2"/>
        </c:manualLayout>
      </c:layout>
      <c:overlay val="0"/>
      <c:txPr>
        <a:bodyPr/>
        <a:lstStyle/>
        <a:p>
          <a:pPr>
            <a:defRPr sz="900" b="0" i="0"/>
          </a:pPr>
          <a:endParaRPr lang="en-US"/>
        </a:p>
      </c:txPr>
    </c:legend>
    <c:plotVisOnly val="1"/>
    <c:dispBlanksAs val="gap"/>
    <c:showDLblsOverMax val="0"/>
  </c:chart>
  <c:spPr>
    <a:solidFill>
      <a:schemeClr val="bg1"/>
    </a:solidFill>
    <a:ln w="6350">
      <a:solidFill>
        <a:schemeClr val="bg1">
          <a:lumMod val="75000"/>
        </a:schemeClr>
      </a:solid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'Debt Service'!$A$23</c:f>
              <c:strCache>
                <c:ptCount val="1"/>
                <c:pt idx="0">
                  <c:v>Borxhi Shtetëror</c:v>
                </c:pt>
              </c:strCache>
            </c:strRef>
          </c:tx>
          <c:spPr>
            <a:solidFill>
              <a:schemeClr val="accent1">
                <a:lumMod val="60000"/>
                <a:lumOff val="40000"/>
              </a:schemeClr>
            </a:solidFill>
            <a:ln>
              <a:noFill/>
            </a:ln>
            <a:effectLst/>
          </c:spPr>
          <c:invertIfNegative val="0"/>
          <c:dLbls>
            <c:numFmt formatCode="#,##0.0" sourceLinked="0"/>
            <c:spPr>
              <a:solidFill>
                <a:schemeClr val="bg1"/>
              </a:solidFill>
              <a:ln>
                <a:noFill/>
              </a:ln>
              <a:effectLst/>
            </c:spPr>
            <c:txPr>
              <a:bodyPr rot="0" spcFirstLastPara="1" vertOverflow="ellipsis" vert="horz" wrap="square" lIns="38100" tIns="19050" rIns="38100" bIns="19050" anchor="ctr" anchorCtr="0">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'Debt Service'!$B$22:$F$22</c:f>
              <c:strCache>
                <c:ptCount val="5"/>
                <c:pt idx="0">
                  <c:v>Sht-2015</c:v>
                </c:pt>
                <c:pt idx="1">
                  <c:v>Sht-2016</c:v>
                </c:pt>
                <c:pt idx="2">
                  <c:v>Sht-2017</c:v>
                </c:pt>
                <c:pt idx="3">
                  <c:v>Sht-2018</c:v>
                </c:pt>
                <c:pt idx="4">
                  <c:v>Sht-2019</c:v>
                </c:pt>
              </c:strCache>
            </c:strRef>
          </c:cat>
          <c:val>
            <c:numRef>
              <c:f>'Debt Service'!$B$23:$F$23</c:f>
              <c:numCache>
                <c:formatCode>#,##0.00</c:formatCode>
                <c:ptCount val="5"/>
                <c:pt idx="0">
                  <c:v>1004.73</c:v>
                </c:pt>
                <c:pt idx="1">
                  <c:v>1012.03</c:v>
                </c:pt>
                <c:pt idx="2">
                  <c:v>1024.49</c:v>
                </c:pt>
                <c:pt idx="3">
                  <c:v>1042.0898955369998</c:v>
                </c:pt>
                <c:pt idx="4">
                  <c:v>1066.7692054723827</c:v>
                </c:pt>
              </c:numCache>
            </c:numRef>
          </c:val>
          <c:extLst xmlns:c16r2="http://schemas.microsoft.com/office/drawing/2015/06/chart">
            <c:ext xmlns:c16="http://schemas.microsoft.com/office/drawing/2014/chart" uri="{C3380CC4-5D6E-409C-BE32-E72D297353CC}">
              <c16:uniqueId val="{00000000-ABE0-4149-AF1E-170AA2F6522B}"/>
            </c:ext>
          </c:extLst>
        </c:ser>
        <c:ser>
          <c:idx val="1"/>
          <c:order val="1"/>
          <c:tx>
            <c:strRef>
              <c:f>'Debt Service'!$A$24</c:f>
              <c:strCache>
                <c:ptCount val="1"/>
                <c:pt idx="0">
                  <c:v>Shpenzime për interesa</c:v>
                </c:pt>
              </c:strCache>
            </c:strRef>
          </c:tx>
          <c:spPr>
            <a:solidFill>
              <a:srgbClr val="C00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'Debt Service'!$B$22:$F$22</c:f>
              <c:strCache>
                <c:ptCount val="5"/>
                <c:pt idx="0">
                  <c:v>Sht-2015</c:v>
                </c:pt>
                <c:pt idx="1">
                  <c:v>Sht-2016</c:v>
                </c:pt>
                <c:pt idx="2">
                  <c:v>Sht-2017</c:v>
                </c:pt>
                <c:pt idx="3">
                  <c:v>Sht-2018</c:v>
                </c:pt>
                <c:pt idx="4">
                  <c:v>Sht-2019</c:v>
                </c:pt>
              </c:strCache>
            </c:strRef>
          </c:cat>
          <c:val>
            <c:numRef>
              <c:f>'Debt Service'!$B$24:$F$24</c:f>
              <c:numCache>
                <c:formatCode>#,##0.00</c:formatCode>
                <c:ptCount val="5"/>
                <c:pt idx="0">
                  <c:v>27.242999999999999</c:v>
                </c:pt>
                <c:pt idx="1">
                  <c:v>25.745000000000001</c:v>
                </c:pt>
                <c:pt idx="2">
                  <c:v>21.611999999999998</c:v>
                </c:pt>
                <c:pt idx="3">
                  <c:v>23.343747</c:v>
                </c:pt>
                <c:pt idx="4">
                  <c:v>25.394154338124189</c:v>
                </c:pt>
              </c:numCache>
            </c:numRef>
          </c:val>
          <c:extLst xmlns:c16r2="http://schemas.microsoft.com/office/drawing/2015/06/chart">
            <c:ext xmlns:c16="http://schemas.microsoft.com/office/drawing/2014/chart" uri="{C3380CC4-5D6E-409C-BE32-E72D297353CC}">
              <c16:uniqueId val="{00000001-ABE0-4149-AF1E-170AA2F6522B}"/>
            </c:ext>
          </c:extLst>
        </c:ser>
        <c:dLbls>
          <c:showLegendKey val="0"/>
          <c:showVal val="0"/>
          <c:showCatName val="0"/>
          <c:showSerName val="0"/>
          <c:showPercent val="0"/>
          <c:showBubbleSize val="0"/>
        </c:dLbls>
        <c:gapWidth val="181"/>
        <c:overlap val="-27"/>
        <c:axId val="-1614601072"/>
        <c:axId val="-1614592368"/>
      </c:barChart>
      <c:lineChart>
        <c:grouping val="standard"/>
        <c:varyColors val="0"/>
        <c:ser>
          <c:idx val="2"/>
          <c:order val="2"/>
          <c:tx>
            <c:strRef>
              <c:f>'Debt Service'!$A$25</c:f>
              <c:strCache>
                <c:ptCount val="1"/>
                <c:pt idx="0">
                  <c:v>Shpenzime për interesa/PBB</c:v>
                </c:pt>
              </c:strCache>
            </c:strRef>
          </c:tx>
          <c:spPr>
            <a:ln w="22225" cap="rnd">
              <a:solidFill>
                <a:srgbClr val="C00000"/>
              </a:solidFill>
              <a:round/>
            </a:ln>
            <a:effectLst/>
          </c:spPr>
          <c:marker>
            <c:symbol val="diamond"/>
            <c:size val="5"/>
            <c:spPr>
              <a:solidFill>
                <a:srgbClr val="C00000"/>
              </a:solidFill>
              <a:ln w="9525">
                <a:noFill/>
              </a:ln>
              <a:effectLst/>
            </c:spPr>
          </c:marker>
          <c:dLbls>
            <c:dLbl>
              <c:idx val="1"/>
              <c:layout>
                <c:manualLayout>
                  <c:x val="-7.1083583171350443E-3"/>
                  <c:y val="-5.32061096529600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BE0-4149-AF1E-170AA2F6522B}"/>
                </c:ext>
                <c:ext xmlns:c15="http://schemas.microsoft.com/office/drawing/2012/chart" uri="{CE6537A1-D6FC-4f65-9D91-7224C49458BB}">
                  <c15:layout/>
                </c:ext>
              </c:extLst>
            </c:dLbl>
            <c:dLbl>
              <c:idx val="2"/>
              <c:layout>
                <c:manualLayout>
                  <c:x val="-7.1083583171350443E-3"/>
                  <c:y val="-5.32061096529600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BE0-4149-AF1E-170AA2F6522B}"/>
                </c:ext>
                <c:ext xmlns:c15="http://schemas.microsoft.com/office/drawing/2012/chart" uri="{CE6537A1-D6FC-4f65-9D91-7224C49458BB}">
                  <c15:layout/>
                </c:ext>
              </c:extLst>
            </c:dLbl>
            <c:dLbl>
              <c:idx val="3"/>
              <c:layout>
                <c:manualLayout>
                  <c:x val="-1.4546759060975118E-2"/>
                  <c:y val="-5.32061096529600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BE0-4149-AF1E-170AA2F6522B}"/>
                </c:ex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'Debt Service'!$B$22:$F$22</c:f>
              <c:strCache>
                <c:ptCount val="5"/>
                <c:pt idx="0">
                  <c:v>Sht-2015</c:v>
                </c:pt>
                <c:pt idx="1">
                  <c:v>Sht-2016</c:v>
                </c:pt>
                <c:pt idx="2">
                  <c:v>Sht-2017</c:v>
                </c:pt>
                <c:pt idx="3">
                  <c:v>Sht-2018</c:v>
                </c:pt>
                <c:pt idx="4">
                  <c:v>Sht-2019</c:v>
                </c:pt>
              </c:strCache>
            </c:strRef>
          </c:cat>
          <c:val>
            <c:numRef>
              <c:f>'Debt Service'!$B$25:$F$25</c:f>
              <c:numCache>
                <c:formatCode>0.00%</c:formatCode>
                <c:ptCount val="5"/>
                <c:pt idx="0">
                  <c:v>1.8993828382746245E-2</c:v>
                </c:pt>
                <c:pt idx="1">
                  <c:v>1.7484113192467995E-2</c:v>
                </c:pt>
                <c:pt idx="2">
                  <c:v>1.393170832835358E-2</c:v>
                </c:pt>
                <c:pt idx="3">
                  <c:v>1.4313372213463127E-2</c:v>
                </c:pt>
                <c:pt idx="4">
                  <c:v>1.4891780475674087E-2</c:v>
                </c:pt>
              </c:numCache>
            </c:numRef>
          </c:val>
          <c:smooth val="1"/>
          <c:extLst xmlns:c16r2="http://schemas.microsoft.com/office/drawing/2015/06/chart">
            <c:ext xmlns:c16="http://schemas.microsoft.com/office/drawing/2014/chart" uri="{C3380CC4-5D6E-409C-BE32-E72D297353CC}">
              <c16:uniqueId val="{00000005-ABE0-4149-AF1E-170AA2F6522B}"/>
            </c:ext>
          </c:extLst>
        </c:ser>
        <c:dLbls>
          <c:showLegendKey val="0"/>
          <c:showVal val="0"/>
          <c:showCatName val="0"/>
          <c:showSerName val="0"/>
          <c:showPercent val="0"/>
          <c:showBubbleSize val="0"/>
        </c:dLbls>
        <c:marker val="1"/>
        <c:smooth val="0"/>
        <c:axId val="-1614591824"/>
        <c:axId val="-1614605968"/>
      </c:lineChart>
      <c:catAx>
        <c:axId val="-16146010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14592368"/>
        <c:crosses val="autoZero"/>
        <c:auto val="1"/>
        <c:lblAlgn val="ctr"/>
        <c:lblOffset val="100"/>
        <c:noMultiLvlLbl val="0"/>
      </c:catAx>
      <c:valAx>
        <c:axId val="-1614592368"/>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b="1">
                    <a:solidFill>
                      <a:sysClr val="windowText" lastClr="000000"/>
                    </a:solidFill>
                  </a:rPr>
                  <a:t>në miliard Lek</a:t>
                </a:r>
                <a:endParaRPr lang="sq-AL" sz="900" b="1">
                  <a:solidFill>
                    <a:sysClr val="windowText" lastClr="000000"/>
                  </a:solidFill>
                </a:endParaRPr>
              </a:p>
            </c:rich>
          </c:tx>
          <c:layout>
            <c:manualLayout>
              <c:xMode val="edge"/>
              <c:yMode val="edge"/>
              <c:x val="1.8250555219059154E-2"/>
              <c:y val="0.21944395715653303"/>
            </c:manualLayout>
          </c:layout>
          <c:overlay val="0"/>
          <c:spPr>
            <a:noFill/>
            <a:ln>
              <a:noFill/>
            </a:ln>
            <a:effectLst/>
          </c:sp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14601072"/>
        <c:crosses val="autoZero"/>
        <c:crossBetween val="between"/>
        <c:majorUnit val="300"/>
      </c:valAx>
      <c:valAx>
        <c:axId val="-1614605968"/>
        <c:scaling>
          <c:orientation val="minMax"/>
        </c:scaling>
        <c:delete val="0"/>
        <c:axPos val="r"/>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14591824"/>
        <c:crosses val="max"/>
        <c:crossBetween val="between"/>
        <c:majorUnit val="5.000000000000001E-3"/>
      </c:valAx>
      <c:catAx>
        <c:axId val="-1614591824"/>
        <c:scaling>
          <c:orientation val="minMax"/>
        </c:scaling>
        <c:delete val="1"/>
        <c:axPos val="b"/>
        <c:numFmt formatCode="General" sourceLinked="1"/>
        <c:majorTickMark val="out"/>
        <c:minorTickMark val="none"/>
        <c:tickLblPos val="nextTo"/>
        <c:crossAx val="-1614605968"/>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919173564842862E-2"/>
          <c:y val="5.9685295713510583E-2"/>
          <c:w val="0.82652062722928865"/>
          <c:h val="0.68828809583826434"/>
        </c:manualLayout>
      </c:layout>
      <c:barChart>
        <c:barDir val="col"/>
        <c:grouping val="clustered"/>
        <c:varyColors val="0"/>
        <c:ser>
          <c:idx val="0"/>
          <c:order val="0"/>
          <c:tx>
            <c:strRef>
              <c:f>'Debt Service'!$A$49</c:f>
              <c:strCache>
                <c:ptCount val="1"/>
                <c:pt idx="0">
                  <c:v>Shpenzime për interesa</c:v>
                </c:pt>
              </c:strCache>
            </c:strRef>
          </c:tx>
          <c:spPr>
            <a:solidFill>
              <a:schemeClr val="accent1"/>
            </a:solidFill>
            <a:ln>
              <a:noFill/>
            </a:ln>
            <a:effectLst/>
          </c:spPr>
          <c:invertIfNegative val="0"/>
          <c:dPt>
            <c:idx val="4"/>
            <c:invertIfNegative val="0"/>
            <c:bubble3D val="0"/>
            <c:spPr>
              <a:pattFill prst="dkDnDiag">
                <a:fgClr>
                  <a:schemeClr val="accent1"/>
                </a:fgClr>
                <a:bgClr>
                  <a:schemeClr val="bg1"/>
                </a:bgClr>
              </a:pattFill>
              <a:ln>
                <a:noFill/>
              </a:ln>
              <a:effectLst/>
            </c:spPr>
            <c:extLst xmlns:c16r2="http://schemas.microsoft.com/office/drawing/2015/06/chart">
              <c:ext xmlns:c16="http://schemas.microsoft.com/office/drawing/2014/chart" uri="{C3380CC4-5D6E-409C-BE32-E72D297353CC}">
                <c16:uniqueId val="{00000001-6190-446A-8EAD-8FB6160EE816}"/>
              </c:ext>
            </c:extLst>
          </c:dPt>
          <c:dPt>
            <c:idx val="5"/>
            <c:invertIfNegative val="0"/>
            <c:bubble3D val="0"/>
            <c:spPr>
              <a:pattFill prst="dkDnDiag">
                <a:fgClr>
                  <a:schemeClr val="accent1"/>
                </a:fgClr>
                <a:bgClr>
                  <a:schemeClr val="bg1"/>
                </a:bgClr>
              </a:pattFill>
              <a:ln>
                <a:noFill/>
              </a:ln>
              <a:effectLst/>
            </c:spPr>
            <c:extLst xmlns:c16r2="http://schemas.microsoft.com/office/drawing/2015/06/chart">
              <c:ext xmlns:c16="http://schemas.microsoft.com/office/drawing/2014/chart" uri="{C3380CC4-5D6E-409C-BE32-E72D297353CC}">
                <c16:uniqueId val="{00000003-6190-446A-8EAD-8FB6160EE816}"/>
              </c:ext>
            </c:extLst>
          </c:dPt>
          <c:dPt>
            <c:idx val="6"/>
            <c:invertIfNegative val="0"/>
            <c:bubble3D val="0"/>
            <c:spPr>
              <a:pattFill prst="dkDnDiag">
                <a:fgClr>
                  <a:schemeClr val="accent1"/>
                </a:fgClr>
                <a:bgClr>
                  <a:schemeClr val="bg1"/>
                </a:bgClr>
              </a:pattFill>
              <a:ln>
                <a:noFill/>
              </a:ln>
              <a:effectLst/>
            </c:spPr>
            <c:extLst xmlns:c16r2="http://schemas.microsoft.com/office/drawing/2015/06/chart">
              <c:ext xmlns:c16="http://schemas.microsoft.com/office/drawing/2014/chart" uri="{C3380CC4-5D6E-409C-BE32-E72D297353CC}">
                <c16:uniqueId val="{00000005-6190-446A-8EAD-8FB6160EE816}"/>
              </c:ext>
            </c:extLst>
          </c:dPt>
          <c:dPt>
            <c:idx val="7"/>
            <c:invertIfNegative val="0"/>
            <c:bubble3D val="0"/>
            <c:spPr>
              <a:pattFill prst="dkDnDiag">
                <a:fgClr>
                  <a:schemeClr val="accent1"/>
                </a:fgClr>
                <a:bgClr>
                  <a:schemeClr val="bg1"/>
                </a:bgClr>
              </a:pattFill>
              <a:ln>
                <a:noFill/>
              </a:ln>
              <a:effectLst/>
            </c:spPr>
            <c:extLst xmlns:c16r2="http://schemas.microsoft.com/office/drawing/2015/06/chart">
              <c:ext xmlns:c16="http://schemas.microsoft.com/office/drawing/2014/chart" uri="{C3380CC4-5D6E-409C-BE32-E72D297353CC}">
                <c16:uniqueId val="{00000007-6190-446A-8EAD-8FB6160EE816}"/>
              </c:ext>
            </c:extLst>
          </c:dPt>
          <c:cat>
            <c:strRef>
              <c:f>'Debt Service'!$B$48:$I$48</c:f>
              <c:strCache>
                <c:ptCount val="8"/>
                <c:pt idx="0">
                  <c:v>2015</c:v>
                </c:pt>
                <c:pt idx="1">
                  <c:v>2016</c:v>
                </c:pt>
                <c:pt idx="2">
                  <c:v>2017</c:v>
                </c:pt>
                <c:pt idx="3">
                  <c:v>2018</c:v>
                </c:pt>
                <c:pt idx="4">
                  <c:v>Prsh-2019</c:v>
                </c:pt>
                <c:pt idx="5">
                  <c:v>Prsh-2020</c:v>
                </c:pt>
                <c:pt idx="6">
                  <c:v>Prsh-2021</c:v>
                </c:pt>
                <c:pt idx="7">
                  <c:v>Prsh-2022</c:v>
                </c:pt>
              </c:strCache>
            </c:strRef>
          </c:cat>
          <c:val>
            <c:numRef>
              <c:f>'Debt Service'!$B$49:$I$49</c:f>
              <c:numCache>
                <c:formatCode>_-* #,##0.0_L_e_k_-;\-* #,##0.0_L_e_k_-;_-* "-"??_L_e_k_-;_-@_-</c:formatCode>
                <c:ptCount val="8"/>
                <c:pt idx="0">
                  <c:v>38.642352000000002</c:v>
                </c:pt>
                <c:pt idx="1">
                  <c:v>36.259449999999994</c:v>
                </c:pt>
                <c:pt idx="2">
                  <c:v>31.903782</c:v>
                </c:pt>
                <c:pt idx="3">
                  <c:v>36.513370000000002</c:v>
                </c:pt>
                <c:pt idx="4">
                  <c:v>36.200000000000003</c:v>
                </c:pt>
                <c:pt idx="5">
                  <c:v>36.950000000000003</c:v>
                </c:pt>
                <c:pt idx="6">
                  <c:v>40.509</c:v>
                </c:pt>
                <c:pt idx="7">
                  <c:v>43.664000000000001</c:v>
                </c:pt>
              </c:numCache>
            </c:numRef>
          </c:val>
          <c:extLst xmlns:c16r2="http://schemas.microsoft.com/office/drawing/2015/06/chart">
            <c:ext xmlns:c16="http://schemas.microsoft.com/office/drawing/2014/chart" uri="{C3380CC4-5D6E-409C-BE32-E72D297353CC}">
              <c16:uniqueId val="{00000008-6190-446A-8EAD-8FB6160EE816}"/>
            </c:ext>
          </c:extLst>
        </c:ser>
        <c:dLbls>
          <c:showLegendKey val="0"/>
          <c:showVal val="0"/>
          <c:showCatName val="0"/>
          <c:showSerName val="0"/>
          <c:showPercent val="0"/>
          <c:showBubbleSize val="0"/>
        </c:dLbls>
        <c:gapWidth val="219"/>
        <c:overlap val="-27"/>
        <c:axId val="-1614599440"/>
        <c:axId val="-1614598896"/>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'Debt Service'!$A$50</c15:sqref>
                        </c15:formulaRef>
                      </c:ext>
                    </c:extLst>
                    <c:strCache>
                      <c:ptCount val="1"/>
                      <c:pt idx="0">
                        <c:v>PBB</c:v>
                      </c:pt>
                    </c:strCache>
                  </c:strRef>
                </c:tx>
                <c:spPr>
                  <a:solidFill>
                    <a:srgbClr val="C00000"/>
                  </a:solidFill>
                  <a:ln>
                    <a:noFill/>
                  </a:ln>
                  <a:effectLst/>
                </c:spPr>
                <c:invertIfNegative val="0"/>
                <c:dPt>
                  <c:idx val="4"/>
                  <c:invertIfNegative val="0"/>
                  <c:bubble3D val="0"/>
                  <c:spPr>
                    <a:pattFill prst="ltDnDiag">
                      <a:fgClr>
                        <a:srgbClr val="C00000"/>
                      </a:fgClr>
                      <a:bgClr>
                        <a:schemeClr val="bg1"/>
                      </a:bgClr>
                    </a:pattFill>
                    <a:ln>
                      <a:noFill/>
                    </a:ln>
                    <a:effectLst/>
                  </c:spPr>
                  <c:extLst xmlns:c16r2="http://schemas.microsoft.com/office/drawing/2015/06/chart">
                    <c:ext xmlns:c16="http://schemas.microsoft.com/office/drawing/2014/chart" uri="{C3380CC4-5D6E-409C-BE32-E72D297353CC}">
                      <c16:uniqueId val="{00000024-6190-446A-8EAD-8FB6160EE816}"/>
                    </c:ext>
                  </c:extLst>
                </c:dPt>
                <c:dPt>
                  <c:idx val="5"/>
                  <c:invertIfNegative val="0"/>
                  <c:bubble3D val="0"/>
                  <c:spPr>
                    <a:pattFill prst="ltDnDiag">
                      <a:fgClr>
                        <a:srgbClr val="C00000"/>
                      </a:fgClr>
                      <a:bgClr>
                        <a:schemeClr val="bg1"/>
                      </a:bgClr>
                    </a:pattFill>
                    <a:ln>
                      <a:noFill/>
                    </a:ln>
                    <a:effectLst/>
                  </c:spPr>
                  <c:extLst xmlns:c16r2="http://schemas.microsoft.com/office/drawing/2015/06/chart">
                    <c:ext xmlns:c16="http://schemas.microsoft.com/office/drawing/2014/chart" uri="{C3380CC4-5D6E-409C-BE32-E72D297353CC}">
                      <c16:uniqueId val="{00000026-6190-446A-8EAD-8FB6160EE816}"/>
                    </c:ext>
                  </c:extLst>
                </c:dPt>
                <c:dPt>
                  <c:idx val="6"/>
                  <c:invertIfNegative val="0"/>
                  <c:bubble3D val="0"/>
                  <c:spPr>
                    <a:pattFill prst="ltDnDiag">
                      <a:fgClr>
                        <a:srgbClr val="C00000"/>
                      </a:fgClr>
                      <a:bgClr>
                        <a:schemeClr val="bg1"/>
                      </a:bgClr>
                    </a:pattFill>
                    <a:ln>
                      <a:noFill/>
                    </a:ln>
                    <a:effectLst/>
                  </c:spPr>
                  <c:extLst xmlns:c16r2="http://schemas.microsoft.com/office/drawing/2015/06/chart">
                    <c:ext xmlns:c16="http://schemas.microsoft.com/office/drawing/2014/chart" uri="{C3380CC4-5D6E-409C-BE32-E72D297353CC}">
                      <c16:uniqueId val="{00000028-6190-446A-8EAD-8FB6160EE816}"/>
                    </c:ext>
                  </c:extLst>
                </c:dPt>
                <c:cat>
                  <c:strRef>
                    <c:extLst xmlns:c16r2="http://schemas.microsoft.com/office/drawing/2015/06/chart">
                      <c:ext uri="{02D57815-91ED-43cb-92C2-25804820EDAC}">
                        <c15:formulaRef>
                          <c15:sqref>'Debt Service'!$B$48:$I$48</c15:sqref>
                        </c15:formulaRef>
                      </c:ext>
                    </c:extLst>
                    <c:strCache>
                      <c:ptCount val="8"/>
                      <c:pt idx="0">
                        <c:v>2015</c:v>
                      </c:pt>
                      <c:pt idx="1">
                        <c:v>2016</c:v>
                      </c:pt>
                      <c:pt idx="2">
                        <c:v>2017</c:v>
                      </c:pt>
                      <c:pt idx="3">
                        <c:v>2018</c:v>
                      </c:pt>
                      <c:pt idx="4">
                        <c:v>Prsh-2019</c:v>
                      </c:pt>
                      <c:pt idx="5">
                        <c:v>Prsh-2020</c:v>
                      </c:pt>
                      <c:pt idx="6">
                        <c:v>Prsh-2021</c:v>
                      </c:pt>
                      <c:pt idx="7">
                        <c:v>Prsh-2022</c:v>
                      </c:pt>
                    </c:strCache>
                  </c:strRef>
                </c:cat>
                <c:val>
                  <c:numRef>
                    <c:extLst xmlns:c16r2="http://schemas.microsoft.com/office/drawing/2015/06/chart">
                      <c:ext uri="{02D57815-91ED-43cb-92C2-25804820EDAC}">
                        <c15:formulaRef>
                          <c15:sqref>'Debt Service'!$B$50:$I$50</c15:sqref>
                        </c15:formulaRef>
                      </c:ext>
                    </c:extLst>
                    <c:numCache>
                      <c:formatCode>_-* #,##0.0_L_e_k_-;\-* #,##0.0_L_e_k_-;_-* "-"??_L_e_k_-;_-@_-</c:formatCode>
                      <c:ptCount val="8"/>
                      <c:pt idx="0">
                        <c:v>1434.308</c:v>
                      </c:pt>
                      <c:pt idx="1">
                        <c:v>1472.4796000000001</c:v>
                      </c:pt>
                      <c:pt idx="2">
                        <c:v>1551.2813999999998</c:v>
                      </c:pt>
                      <c:pt idx="3">
                        <c:v>1630.904768761824</c:v>
                      </c:pt>
                      <c:pt idx="4">
                        <c:v>1705.2463524832281</c:v>
                      </c:pt>
                      <c:pt idx="5">
                        <c:v>1793.46632498599</c:v>
                      </c:pt>
                      <c:pt idx="6">
                        <c:v>1905.1286858246128</c:v>
                      </c:pt>
                      <c:pt idx="7">
                        <c:v>2039.5539219586376</c:v>
                      </c:pt>
                    </c:numCache>
                  </c:numRef>
                </c:val>
                <c:extLst xmlns:c16r2="http://schemas.microsoft.com/office/drawing/2015/06/chart">
                  <c:ext xmlns:c16="http://schemas.microsoft.com/office/drawing/2014/chart" uri="{C3380CC4-5D6E-409C-BE32-E72D297353CC}">
                    <c16:uniqueId val="{00000029-6190-446A-8EAD-8FB6160EE816}"/>
                  </c:ext>
                </c:extLst>
              </c15:ser>
            </c15:filteredBarSeries>
            <c15:filteredBarSeries>
              <c15:ser>
                <c:idx val="2"/>
                <c:order val="2"/>
                <c:tx>
                  <c:strRef>
                    <c:extLst xmlns:c16r2="http://schemas.microsoft.com/office/drawing/2015/06/chart" xmlns:c15="http://schemas.microsoft.com/office/drawing/2012/chart">
                      <c:ext xmlns:c15="http://schemas.microsoft.com/office/drawing/2012/chart" uri="{02D57815-91ED-43cb-92C2-25804820EDAC}">
                        <c15:formulaRef>
                          <c15:sqref>'Debt Service'!$A$51</c15:sqref>
                        </c15:formulaRef>
                      </c:ext>
                    </c:extLst>
                    <c:strCache>
                      <c:ptCount val="1"/>
                      <c:pt idx="0">
                        <c:v>Të ardhura tatimore</c:v>
                      </c:pt>
                    </c:strCache>
                  </c:strRef>
                </c:tx>
                <c:spPr>
                  <a:solidFill>
                    <a:schemeClr val="bg1">
                      <a:lumMod val="50000"/>
                    </a:schemeClr>
                  </a:solidFill>
                  <a:ln>
                    <a:noFill/>
                  </a:ln>
                  <a:effectLst/>
                </c:spPr>
                <c:invertIfNegative val="0"/>
                <c:dPt>
                  <c:idx val="4"/>
                  <c:invertIfNegative val="0"/>
                  <c:bubble3D val="0"/>
                  <c:spPr>
                    <a:pattFill prst="ltDnDiag">
                      <a:fgClr>
                        <a:schemeClr val="bg1">
                          <a:lumMod val="50000"/>
                        </a:schemeClr>
                      </a:fgClr>
                      <a:bgClr>
                        <a:schemeClr val="bg1"/>
                      </a:bgClr>
                    </a:pattFill>
                    <a:ln>
                      <a:noFill/>
                    </a:ln>
                    <a:effectLst/>
                  </c:spPr>
                  <c:extLst xmlns:c16r2="http://schemas.microsoft.com/office/drawing/2015/06/chart" xmlns:c15="http://schemas.microsoft.com/office/drawing/2012/chart">
                    <c:ext xmlns:c16="http://schemas.microsoft.com/office/drawing/2014/chart" uri="{C3380CC4-5D6E-409C-BE32-E72D297353CC}">
                      <c16:uniqueId val="{0000002B-6190-446A-8EAD-8FB6160EE816}"/>
                    </c:ext>
                  </c:extLst>
                </c:dPt>
                <c:dPt>
                  <c:idx val="5"/>
                  <c:invertIfNegative val="0"/>
                  <c:bubble3D val="0"/>
                  <c:spPr>
                    <a:pattFill prst="ltDnDiag">
                      <a:fgClr>
                        <a:schemeClr val="bg1">
                          <a:lumMod val="50000"/>
                        </a:schemeClr>
                      </a:fgClr>
                      <a:bgClr>
                        <a:schemeClr val="bg1"/>
                      </a:bgClr>
                    </a:pattFill>
                    <a:ln>
                      <a:noFill/>
                    </a:ln>
                    <a:effectLst/>
                  </c:spPr>
                  <c:extLst xmlns:c16r2="http://schemas.microsoft.com/office/drawing/2015/06/chart" xmlns:c15="http://schemas.microsoft.com/office/drawing/2012/chart">
                    <c:ext xmlns:c16="http://schemas.microsoft.com/office/drawing/2014/chart" uri="{C3380CC4-5D6E-409C-BE32-E72D297353CC}">
                      <c16:uniqueId val="{0000002D-6190-446A-8EAD-8FB6160EE816}"/>
                    </c:ext>
                  </c:extLst>
                </c:dPt>
                <c:dPt>
                  <c:idx val="6"/>
                  <c:invertIfNegative val="0"/>
                  <c:bubble3D val="0"/>
                  <c:spPr>
                    <a:pattFill prst="ltDnDiag">
                      <a:fgClr>
                        <a:schemeClr val="bg1">
                          <a:lumMod val="50000"/>
                        </a:schemeClr>
                      </a:fgClr>
                      <a:bgClr>
                        <a:schemeClr val="bg1"/>
                      </a:bgClr>
                    </a:pattFill>
                    <a:ln>
                      <a:noFill/>
                    </a:ln>
                    <a:effectLst/>
                  </c:spPr>
                  <c:extLst xmlns:c16r2="http://schemas.microsoft.com/office/drawing/2015/06/chart" xmlns:c15="http://schemas.microsoft.com/office/drawing/2012/chart">
                    <c:ext xmlns:c16="http://schemas.microsoft.com/office/drawing/2014/chart" uri="{C3380CC4-5D6E-409C-BE32-E72D297353CC}">
                      <c16:uniqueId val="{0000002F-6190-446A-8EAD-8FB6160EE816}"/>
                    </c:ext>
                  </c:extLst>
                </c:dPt>
                <c:cat>
                  <c:strRef>
                    <c:extLst xmlns:c16r2="http://schemas.microsoft.com/office/drawing/2015/06/chart" xmlns:c15="http://schemas.microsoft.com/office/drawing/2012/chart">
                      <c:ext xmlns:c15="http://schemas.microsoft.com/office/drawing/2012/chart" uri="{02D57815-91ED-43cb-92C2-25804820EDAC}">
                        <c15:formulaRef>
                          <c15:sqref>'Debt Service'!$B$48:$I$48</c15:sqref>
                        </c15:formulaRef>
                      </c:ext>
                    </c:extLst>
                    <c:strCache>
                      <c:ptCount val="8"/>
                      <c:pt idx="0">
                        <c:v>2015</c:v>
                      </c:pt>
                      <c:pt idx="1">
                        <c:v>2016</c:v>
                      </c:pt>
                      <c:pt idx="2">
                        <c:v>2017</c:v>
                      </c:pt>
                      <c:pt idx="3">
                        <c:v>2018</c:v>
                      </c:pt>
                      <c:pt idx="4">
                        <c:v>Prsh-2019</c:v>
                      </c:pt>
                      <c:pt idx="5">
                        <c:v>Prsh-2020</c:v>
                      </c:pt>
                      <c:pt idx="6">
                        <c:v>Prsh-2021</c:v>
                      </c:pt>
                      <c:pt idx="7">
                        <c:v>Prsh-2022</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'Debt Service'!$B$51:$I$51</c15:sqref>
                        </c15:formulaRef>
                      </c:ext>
                    </c:extLst>
                    <c:numCache>
                      <c:formatCode>_-* #,##0.0_L_e_k_-;\-* #,##0.0_L_e_k_-;_-* "-"??_L_e_k_-;_-@_-</c:formatCode>
                      <c:ptCount val="8"/>
                      <c:pt idx="0">
                        <c:v>345.56900000000002</c:v>
                      </c:pt>
                      <c:pt idx="1">
                        <c:v>369.89800000000002</c:v>
                      </c:pt>
                      <c:pt idx="2">
                        <c:v>398.62900000000002</c:v>
                      </c:pt>
                      <c:pt idx="3">
                        <c:v>419.33330999999998</c:v>
                      </c:pt>
                      <c:pt idx="4">
                        <c:v>438.97432964368051</c:v>
                      </c:pt>
                      <c:pt idx="5">
                        <c:v>465.08971612586453</c:v>
                      </c:pt>
                      <c:pt idx="6">
                        <c:v>490.81599541004721</c:v>
                      </c:pt>
                      <c:pt idx="7">
                        <c:v>525.40725525060611</c:v>
                      </c:pt>
                    </c:numCache>
                  </c:numRef>
                </c:val>
                <c:extLst xmlns:c16r2="http://schemas.microsoft.com/office/drawing/2015/06/chart" xmlns:c15="http://schemas.microsoft.com/office/drawing/2012/chart">
                  <c:ext xmlns:c16="http://schemas.microsoft.com/office/drawing/2014/chart" uri="{C3380CC4-5D6E-409C-BE32-E72D297353CC}">
                    <c16:uniqueId val="{00000030-6190-446A-8EAD-8FB6160EE816}"/>
                  </c:ext>
                </c:extLst>
              </c15:ser>
            </c15:filteredBarSeries>
          </c:ext>
        </c:extLst>
      </c:barChart>
      <c:lineChart>
        <c:grouping val="standard"/>
        <c:varyColors val="0"/>
        <c:ser>
          <c:idx val="3"/>
          <c:order val="3"/>
          <c:tx>
            <c:strRef>
              <c:f>'Debt Service'!$A$52</c:f>
              <c:strCache>
                <c:ptCount val="1"/>
                <c:pt idx="0">
                  <c:v>Shpenzime për interesa/PBB</c:v>
                </c:pt>
              </c:strCache>
            </c:strRef>
          </c:tx>
          <c:spPr>
            <a:ln w="28575" cap="rnd">
              <a:solidFill>
                <a:srgbClr val="C00000"/>
              </a:solidFill>
              <a:round/>
            </a:ln>
            <a:effectLst/>
          </c:spPr>
          <c:marker>
            <c:symbol val="diamond"/>
            <c:size val="5"/>
            <c:spPr>
              <a:solidFill>
                <a:srgbClr val="C00000"/>
              </a:solidFill>
              <a:ln w="9525">
                <a:noFill/>
              </a:ln>
              <a:effectLst/>
            </c:spPr>
          </c:marker>
          <c:dPt>
            <c:idx val="4"/>
            <c:bubble3D val="0"/>
            <c:spPr>
              <a:ln w="28575" cap="rnd">
                <a:solidFill>
                  <a:srgbClr val="C00000"/>
                </a:solidFill>
                <a:prstDash val="dash"/>
                <a:round/>
              </a:ln>
              <a:effectLst/>
            </c:spPr>
            <c:extLst xmlns:c16r2="http://schemas.microsoft.com/office/drawing/2015/06/chart">
              <c:ext xmlns:c16="http://schemas.microsoft.com/office/drawing/2014/chart" uri="{C3380CC4-5D6E-409C-BE32-E72D297353CC}">
                <c16:uniqueId val="{0000000A-6190-446A-8EAD-8FB6160EE816}"/>
              </c:ext>
            </c:extLst>
          </c:dPt>
          <c:dPt>
            <c:idx val="5"/>
            <c:bubble3D val="0"/>
            <c:spPr>
              <a:ln w="28575" cap="rnd">
                <a:solidFill>
                  <a:srgbClr val="C00000"/>
                </a:solidFill>
                <a:prstDash val="dash"/>
                <a:round/>
              </a:ln>
              <a:effectLst/>
            </c:spPr>
            <c:extLst xmlns:c16r2="http://schemas.microsoft.com/office/drawing/2015/06/chart">
              <c:ext xmlns:c16="http://schemas.microsoft.com/office/drawing/2014/chart" uri="{C3380CC4-5D6E-409C-BE32-E72D297353CC}">
                <c16:uniqueId val="{0000000C-6190-446A-8EAD-8FB6160EE816}"/>
              </c:ext>
            </c:extLst>
          </c:dPt>
          <c:dPt>
            <c:idx val="6"/>
            <c:bubble3D val="0"/>
            <c:spPr>
              <a:ln w="28575" cap="rnd">
                <a:solidFill>
                  <a:srgbClr val="C00000"/>
                </a:solidFill>
                <a:prstDash val="dash"/>
                <a:round/>
              </a:ln>
              <a:effectLst/>
            </c:spPr>
            <c:extLst xmlns:c16r2="http://schemas.microsoft.com/office/drawing/2015/06/chart">
              <c:ext xmlns:c16="http://schemas.microsoft.com/office/drawing/2014/chart" uri="{C3380CC4-5D6E-409C-BE32-E72D297353CC}">
                <c16:uniqueId val="{0000000E-6190-446A-8EAD-8FB6160EE816}"/>
              </c:ext>
            </c:extLst>
          </c:dPt>
          <c:dPt>
            <c:idx val="7"/>
            <c:bubble3D val="0"/>
            <c:spPr>
              <a:ln w="28575" cap="rnd">
                <a:solidFill>
                  <a:srgbClr val="C00000"/>
                </a:solidFill>
                <a:prstDash val="dash"/>
                <a:round/>
              </a:ln>
              <a:effectLst/>
            </c:spPr>
            <c:extLst xmlns:c16r2="http://schemas.microsoft.com/office/drawing/2015/06/chart">
              <c:ext xmlns:c16="http://schemas.microsoft.com/office/drawing/2014/chart" uri="{C3380CC4-5D6E-409C-BE32-E72D297353CC}">
                <c16:uniqueId val="{00000010-6190-446A-8EAD-8FB6160EE816}"/>
              </c:ext>
            </c:extLst>
          </c:dPt>
          <c:dLbls>
            <c:dLbl>
              <c:idx val="0"/>
              <c:layout>
                <c:manualLayout>
                  <c:x val="-6.2992125984251968E-3"/>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190-446A-8EAD-8FB6160EE816}"/>
                </c:ext>
                <c:ext xmlns:c15="http://schemas.microsoft.com/office/drawing/2012/chart" uri="{CE6537A1-D6FC-4f65-9D91-7224C49458BB}">
                  <c15:layout/>
                </c:ext>
              </c:extLst>
            </c:dLbl>
            <c:dLbl>
              <c:idx val="1"/>
              <c:layout>
                <c:manualLayout>
                  <c:x val="8.3989501312335957E-3"/>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190-446A-8EAD-8FB6160EE816}"/>
                </c:ext>
                <c:ext xmlns:c15="http://schemas.microsoft.com/office/drawing/2012/chart" uri="{CE6537A1-D6FC-4f65-9D91-7224C49458BB}">
                  <c15:layout/>
                </c:ext>
              </c:extLst>
            </c:dLbl>
            <c:dLbl>
              <c:idx val="2"/>
              <c:layout>
                <c:manualLayout>
                  <c:x val="4.1994750656167978E-3"/>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190-446A-8EAD-8FB6160EE816}"/>
                </c:ext>
                <c:ext xmlns:c15="http://schemas.microsoft.com/office/drawing/2012/chart" uri="{CE6537A1-D6FC-4f65-9D91-7224C49458BB}">
                  <c15:layout/>
                </c:ext>
              </c:extLst>
            </c:dLbl>
            <c:dLbl>
              <c:idx val="3"/>
              <c:layout>
                <c:manualLayout>
                  <c:x val="6.2992125984251196E-3"/>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6190-446A-8EAD-8FB6160EE816}"/>
                </c:ext>
                <c:ext xmlns:c15="http://schemas.microsoft.com/office/drawing/2012/chart" uri="{CE6537A1-D6FC-4f65-9D91-7224C49458BB}">
                  <c15:layout/>
                </c:ext>
              </c:extLst>
            </c:dLbl>
            <c:dLbl>
              <c:idx val="4"/>
              <c:layout>
                <c:manualLayout>
                  <c:x val="4.1994750656167206E-3"/>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190-446A-8EAD-8FB6160EE816}"/>
                </c:ext>
                <c:ext xmlns:c15="http://schemas.microsoft.com/office/drawing/2012/chart" uri="{CE6537A1-D6FC-4f65-9D91-7224C49458BB}">
                  <c15:layout/>
                </c:ext>
              </c:extLst>
            </c:dLbl>
            <c:dLbl>
              <c:idx val="5"/>
              <c:layout>
                <c:manualLayout>
                  <c:x val="0"/>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190-446A-8EAD-8FB6160EE816}"/>
                </c:ext>
                <c:ext xmlns:c15="http://schemas.microsoft.com/office/drawing/2012/chart" uri="{CE6537A1-D6FC-4f65-9D91-7224C49458BB}">
                  <c15:layout/>
                </c:ext>
              </c:extLst>
            </c:dLbl>
            <c:dLbl>
              <c:idx val="6"/>
              <c:layout>
                <c:manualLayout>
                  <c:x val="-1.5669334656024605E-16"/>
                  <c:y val="-4.00741686996124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190-446A-8EAD-8FB6160EE816}"/>
                </c:ext>
                <c:ext xmlns:c15="http://schemas.microsoft.com/office/drawing/2012/chart" uri="{CE6537A1-D6FC-4f65-9D91-7224C49458BB}">
                  <c15:layout/>
                </c:ext>
              </c:extLst>
            </c:dLbl>
            <c:dLbl>
              <c:idx val="7"/>
              <c:layout>
                <c:manualLayout>
                  <c:x val="-6.2992125984251968E-3"/>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190-446A-8EAD-8FB6160EE81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'Debt Service'!$B$48:$I$48</c:f>
              <c:strCache>
                <c:ptCount val="8"/>
                <c:pt idx="0">
                  <c:v>2015</c:v>
                </c:pt>
                <c:pt idx="1">
                  <c:v>2016</c:v>
                </c:pt>
                <c:pt idx="2">
                  <c:v>2017</c:v>
                </c:pt>
                <c:pt idx="3">
                  <c:v>2018</c:v>
                </c:pt>
                <c:pt idx="4">
                  <c:v>Prsh-2019</c:v>
                </c:pt>
                <c:pt idx="5">
                  <c:v>Prsh-2020</c:v>
                </c:pt>
                <c:pt idx="6">
                  <c:v>Prsh-2021</c:v>
                </c:pt>
                <c:pt idx="7">
                  <c:v>Prsh-2022</c:v>
                </c:pt>
              </c:strCache>
            </c:strRef>
          </c:cat>
          <c:val>
            <c:numRef>
              <c:f>'Debt Service'!$B$52:$I$52</c:f>
              <c:numCache>
                <c:formatCode>0.0%</c:formatCode>
                <c:ptCount val="8"/>
                <c:pt idx="0">
                  <c:v>2.6941460272131231E-2</c:v>
                </c:pt>
                <c:pt idx="1">
                  <c:v>2.4624755412570736E-2</c:v>
                </c:pt>
                <c:pt idx="2">
                  <c:v>2.0566082981462938E-2</c:v>
                </c:pt>
                <c:pt idx="3">
                  <c:v>2.2388413290201362E-2</c:v>
                </c:pt>
                <c:pt idx="4">
                  <c:v>2.1228604270159872E-2</c:v>
                </c:pt>
                <c:pt idx="5">
                  <c:v>2.0602561355752606E-2</c:v>
                </c:pt>
                <c:pt idx="6">
                  <c:v>2.1263130570345776E-2</c:v>
                </c:pt>
                <c:pt idx="7">
                  <c:v>2.1408602895905939E-2</c:v>
                </c:pt>
              </c:numCache>
            </c:numRef>
          </c:val>
          <c:smooth val="1"/>
          <c:extLst xmlns:c16r2="http://schemas.microsoft.com/office/drawing/2015/06/chart">
            <c:ext xmlns:c16="http://schemas.microsoft.com/office/drawing/2014/chart" uri="{C3380CC4-5D6E-409C-BE32-E72D297353CC}">
              <c16:uniqueId val="{00000015-6190-446A-8EAD-8FB6160EE816}"/>
            </c:ext>
          </c:extLst>
        </c:ser>
        <c:ser>
          <c:idx val="4"/>
          <c:order val="4"/>
          <c:tx>
            <c:strRef>
              <c:f>'Debt Service'!$A$53</c:f>
              <c:strCache>
                <c:ptCount val="1"/>
                <c:pt idx="0">
                  <c:v>Shpenzime për interesa/Të ardhura tatimore</c:v>
                </c:pt>
              </c:strCache>
            </c:strRef>
          </c:tx>
          <c:spPr>
            <a:ln w="28575" cap="rnd">
              <a:solidFill>
                <a:schemeClr val="accent6"/>
              </a:solidFill>
              <a:round/>
            </a:ln>
            <a:effectLst/>
          </c:spPr>
          <c:marker>
            <c:symbol val="diamond"/>
            <c:size val="5"/>
            <c:spPr>
              <a:solidFill>
                <a:schemeClr val="bg1">
                  <a:lumMod val="50000"/>
                </a:schemeClr>
              </a:solidFill>
              <a:ln w="9525">
                <a:noFill/>
              </a:ln>
              <a:effectLst/>
            </c:spPr>
          </c:marker>
          <c:dPt>
            <c:idx val="4"/>
            <c:bubble3D val="0"/>
            <c:spPr>
              <a:ln w="28575" cap="rnd">
                <a:solidFill>
                  <a:schemeClr val="accent6"/>
                </a:solidFill>
                <a:prstDash val="dash"/>
                <a:round/>
              </a:ln>
              <a:effectLst/>
            </c:spPr>
            <c:extLst xmlns:c16r2="http://schemas.microsoft.com/office/drawing/2015/06/chart">
              <c:ext xmlns:c16="http://schemas.microsoft.com/office/drawing/2014/chart" uri="{C3380CC4-5D6E-409C-BE32-E72D297353CC}">
                <c16:uniqueId val="{00000017-6190-446A-8EAD-8FB6160EE816}"/>
              </c:ext>
            </c:extLst>
          </c:dPt>
          <c:dPt>
            <c:idx val="5"/>
            <c:bubble3D val="0"/>
            <c:spPr>
              <a:ln w="28575" cap="rnd">
                <a:solidFill>
                  <a:schemeClr val="accent6"/>
                </a:solidFill>
                <a:prstDash val="dash"/>
                <a:round/>
              </a:ln>
              <a:effectLst/>
            </c:spPr>
            <c:extLst xmlns:c16r2="http://schemas.microsoft.com/office/drawing/2015/06/chart">
              <c:ext xmlns:c16="http://schemas.microsoft.com/office/drawing/2014/chart" uri="{C3380CC4-5D6E-409C-BE32-E72D297353CC}">
                <c16:uniqueId val="{00000019-6190-446A-8EAD-8FB6160EE816}"/>
              </c:ext>
            </c:extLst>
          </c:dPt>
          <c:dPt>
            <c:idx val="6"/>
            <c:bubble3D val="0"/>
            <c:spPr>
              <a:ln w="28575" cap="rnd">
                <a:solidFill>
                  <a:schemeClr val="accent6"/>
                </a:solidFill>
                <a:prstDash val="dash"/>
                <a:round/>
              </a:ln>
              <a:effectLst/>
            </c:spPr>
            <c:extLst xmlns:c16r2="http://schemas.microsoft.com/office/drawing/2015/06/chart">
              <c:ext xmlns:c16="http://schemas.microsoft.com/office/drawing/2014/chart" uri="{C3380CC4-5D6E-409C-BE32-E72D297353CC}">
                <c16:uniqueId val="{0000001B-6190-446A-8EAD-8FB6160EE816}"/>
              </c:ext>
            </c:extLst>
          </c:dPt>
          <c:dPt>
            <c:idx val="7"/>
            <c:bubble3D val="0"/>
            <c:spPr>
              <a:ln w="28575" cap="rnd">
                <a:solidFill>
                  <a:schemeClr val="accent6"/>
                </a:solidFill>
                <a:prstDash val="dash"/>
                <a:round/>
              </a:ln>
              <a:effectLst/>
            </c:spPr>
            <c:extLst xmlns:c16r2="http://schemas.microsoft.com/office/drawing/2015/06/chart">
              <c:ext xmlns:c16="http://schemas.microsoft.com/office/drawing/2014/chart" uri="{C3380CC4-5D6E-409C-BE32-E72D297353CC}">
                <c16:uniqueId val="{0000001D-6190-446A-8EAD-8FB6160EE816}"/>
              </c:ext>
            </c:extLst>
          </c:dPt>
          <c:dLbls>
            <c:dLbl>
              <c:idx val="0"/>
              <c:layout>
                <c:manualLayout>
                  <c:x val="-6.2992125984251968E-3"/>
                  <c:y val="-4.16666666666666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6190-446A-8EAD-8FB6160EE816}"/>
                </c:ext>
                <c:ext xmlns:c15="http://schemas.microsoft.com/office/drawing/2012/chart" uri="{CE6537A1-D6FC-4f65-9D91-7224C49458BB}">
                  <c15:layout/>
                </c:ext>
              </c:extLst>
            </c:dLbl>
            <c:dLbl>
              <c:idx val="1"/>
              <c:layout>
                <c:manualLayout>
                  <c:x val="0"/>
                  <c:y val="-2.77777777777778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6190-446A-8EAD-8FB6160EE816}"/>
                </c:ext>
                <c:ext xmlns:c15="http://schemas.microsoft.com/office/drawing/2012/chart" uri="{CE6537A1-D6FC-4f65-9D91-7224C49458BB}">
                  <c15:layout/>
                </c:ext>
              </c:extLst>
            </c:dLbl>
            <c:dLbl>
              <c:idx val="2"/>
              <c:layout>
                <c:manualLayout>
                  <c:x val="-1.2598425196850394E-2"/>
                  <c:y val="-6.45231157128981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6190-446A-8EAD-8FB6160EE816}"/>
                </c:ext>
                <c:ext xmlns:c15="http://schemas.microsoft.com/office/drawing/2012/chart" uri="{CE6537A1-D6FC-4f65-9D91-7224C49458BB}">
                  <c15:layout/>
                </c:ext>
              </c:extLst>
            </c:dLbl>
            <c:dLbl>
              <c:idx val="3"/>
              <c:layout>
                <c:manualLayout>
                  <c:x val="-1.6797900262467191E-2"/>
                  <c:y val="-6.48149296298592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6190-446A-8EAD-8FB6160EE816}"/>
                </c:ext>
                <c:ext xmlns:c15="http://schemas.microsoft.com/office/drawing/2012/chart" uri="{CE6537A1-D6FC-4f65-9D91-7224C49458BB}">
                  <c15:layout/>
                </c:ext>
              </c:extLst>
            </c:dLbl>
            <c:dLbl>
              <c:idx val="4"/>
              <c:layout>
                <c:manualLayout>
                  <c:x val="-2.0997375328084761E-3"/>
                  <c:y val="-4.16666666666667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6190-446A-8EAD-8FB6160EE816}"/>
                </c:ext>
                <c:ext xmlns:c15="http://schemas.microsoft.com/office/drawing/2012/chart" uri="{CE6537A1-D6FC-4f65-9D91-7224C49458BB}">
                  <c15:layout/>
                </c:ext>
              </c:extLst>
            </c:dLbl>
            <c:dLbl>
              <c:idx val="5"/>
              <c:layout>
                <c:manualLayout>
                  <c:x val="0"/>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6190-446A-8EAD-8FB6160EE816}"/>
                </c:ext>
                <c:ext xmlns:c15="http://schemas.microsoft.com/office/drawing/2012/chart" uri="{CE6537A1-D6FC-4f65-9D91-7224C49458BB}">
                  <c15:layout/>
                </c:ext>
              </c:extLst>
            </c:dLbl>
            <c:dLbl>
              <c:idx val="6"/>
              <c:layout>
                <c:manualLayout>
                  <c:x val="-3.3595800524934383E-2"/>
                  <c:y val="-6.48149296298592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6190-446A-8EAD-8FB6160EE816}"/>
                </c:ext>
                <c:ext xmlns:c15="http://schemas.microsoft.com/office/drawing/2012/chart" uri="{CE6537A1-D6FC-4f65-9D91-7224C49458BB}">
                  <c15:layout/>
                </c:ext>
              </c:extLst>
            </c:dLbl>
            <c:dLbl>
              <c:idx val="7"/>
              <c:layout>
                <c:manualLayout>
                  <c:x val="-6.2992125984251968E-3"/>
                  <c:y val="-6.48148148148148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6190-446A-8EAD-8FB6160EE81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7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'Debt Service'!$B$48:$I$48</c:f>
              <c:strCache>
                <c:ptCount val="8"/>
                <c:pt idx="0">
                  <c:v>2015</c:v>
                </c:pt>
                <c:pt idx="1">
                  <c:v>2016</c:v>
                </c:pt>
                <c:pt idx="2">
                  <c:v>2017</c:v>
                </c:pt>
                <c:pt idx="3">
                  <c:v>2018</c:v>
                </c:pt>
                <c:pt idx="4">
                  <c:v>Prsh-2019</c:v>
                </c:pt>
                <c:pt idx="5">
                  <c:v>Prsh-2020</c:v>
                </c:pt>
                <c:pt idx="6">
                  <c:v>Prsh-2021</c:v>
                </c:pt>
                <c:pt idx="7">
                  <c:v>Prsh-2022</c:v>
                </c:pt>
              </c:strCache>
            </c:strRef>
          </c:cat>
          <c:val>
            <c:numRef>
              <c:f>'Debt Service'!$B$53:$I$53</c:f>
              <c:numCache>
                <c:formatCode>0.0%</c:formatCode>
                <c:ptCount val="8"/>
                <c:pt idx="0">
                  <c:v>0.11182239147608726</c:v>
                </c:pt>
                <c:pt idx="1">
                  <c:v>9.8025536769595925E-2</c:v>
                </c:pt>
                <c:pt idx="2">
                  <c:v>8.0033770749243019E-2</c:v>
                </c:pt>
                <c:pt idx="3">
                  <c:v>8.7074814066166129E-2</c:v>
                </c:pt>
                <c:pt idx="4">
                  <c:v>8.2464958781038239E-2</c:v>
                </c:pt>
                <c:pt idx="5">
                  <c:v>7.9447037246466318E-2</c:v>
                </c:pt>
                <c:pt idx="6">
                  <c:v>8.2533984994024437E-2</c:v>
                </c:pt>
                <c:pt idx="7">
                  <c:v>8.3105057198293475E-2</c:v>
                </c:pt>
              </c:numCache>
            </c:numRef>
          </c:val>
          <c:smooth val="1"/>
          <c:extLst xmlns:c16r2="http://schemas.microsoft.com/office/drawing/2015/06/chart">
            <c:ext xmlns:c16="http://schemas.microsoft.com/office/drawing/2014/chart" uri="{C3380CC4-5D6E-409C-BE32-E72D297353CC}">
              <c16:uniqueId val="{00000022-6190-446A-8EAD-8FB6160EE816}"/>
            </c:ext>
          </c:extLst>
        </c:ser>
        <c:dLbls>
          <c:showLegendKey val="0"/>
          <c:showVal val="0"/>
          <c:showCatName val="0"/>
          <c:showSerName val="0"/>
          <c:showPercent val="0"/>
          <c:showBubbleSize val="0"/>
        </c:dLbls>
        <c:marker val="1"/>
        <c:smooth val="0"/>
        <c:axId val="-1609950064"/>
        <c:axId val="-1609956592"/>
      </c:lineChart>
      <c:catAx>
        <c:axId val="-16145994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14598896"/>
        <c:crosses val="autoZero"/>
        <c:auto val="1"/>
        <c:lblAlgn val="ctr"/>
        <c:lblOffset val="100"/>
        <c:noMultiLvlLbl val="0"/>
      </c:catAx>
      <c:valAx>
        <c:axId val="-1614598896"/>
        <c:scaling>
          <c:orientation val="minMax"/>
          <c:max val="60"/>
          <c:min val="0"/>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b="1">
                    <a:solidFill>
                      <a:schemeClr val="tx1"/>
                    </a:solidFill>
                  </a:rPr>
                  <a:t>në miliard Lekë</a:t>
                </a:r>
              </a:p>
            </c:rich>
          </c:tx>
          <c:layout>
            <c:manualLayout>
              <c:xMode val="edge"/>
              <c:yMode val="edge"/>
              <c:x val="1.6700235333335721E-2"/>
              <c:y val="0.22562878459090246"/>
            </c:manualLayout>
          </c:layout>
          <c:overlay val="0"/>
          <c:spPr>
            <a:noFill/>
            <a:ln>
              <a:noFill/>
            </a:ln>
            <a:effectLst/>
          </c:sp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14599440"/>
        <c:crosses val="autoZero"/>
        <c:crossBetween val="between"/>
        <c:majorUnit val="20"/>
      </c:valAx>
      <c:valAx>
        <c:axId val="-1609956592"/>
        <c:scaling>
          <c:orientation val="minMax"/>
          <c:max val="0.12000000000000001"/>
          <c:min val="0"/>
        </c:scaling>
        <c:delete val="0"/>
        <c:axPos val="r"/>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09950064"/>
        <c:crosses val="max"/>
        <c:crossBetween val="between"/>
        <c:majorUnit val="4.0000000000000008E-2"/>
      </c:valAx>
      <c:catAx>
        <c:axId val="-1609950064"/>
        <c:scaling>
          <c:orientation val="minMax"/>
        </c:scaling>
        <c:delete val="1"/>
        <c:axPos val="b"/>
        <c:numFmt formatCode="General" sourceLinked="1"/>
        <c:majorTickMark val="none"/>
        <c:minorTickMark val="none"/>
        <c:tickLblPos val="nextTo"/>
        <c:crossAx val="-1609956592"/>
        <c:crosses val="autoZero"/>
        <c:auto val="1"/>
        <c:lblAlgn val="ctr"/>
        <c:lblOffset val="100"/>
        <c:noMultiLvlLbl val="0"/>
      </c:catAx>
      <c:spPr>
        <a:noFill/>
        <a:ln>
          <a:noFill/>
        </a:ln>
        <a:effectLst/>
      </c:spPr>
    </c:plotArea>
    <c:legend>
      <c:legendPos val="b"/>
      <c:layout>
        <c:manualLayout>
          <c:xMode val="edge"/>
          <c:yMode val="edge"/>
          <c:x val="3.4124868249736498E-2"/>
          <c:y val="0.88496000992001989"/>
          <c:w val="0.9464836423006179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'Kerkesa Tregu Vjetore'!$A$3</c:f>
              <c:strCache>
                <c:ptCount val="1"/>
                <c:pt idx="0">
                  <c:v>Kërkesa</c:v>
                </c:pt>
              </c:strCache>
            </c:strRef>
          </c:tx>
          <c:spPr>
            <a:solidFill>
              <a:schemeClr val="accent1">
                <a:lumMod val="60000"/>
                <a:lumOff val="4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'Kerkesa Tregu Vjetore'!$B$2:$F$2</c:f>
              <c:strCache>
                <c:ptCount val="5"/>
                <c:pt idx="0">
                  <c:v>2015</c:v>
                </c:pt>
                <c:pt idx="1">
                  <c:v>2016</c:v>
                </c:pt>
                <c:pt idx="2">
                  <c:v>2017</c:v>
                </c:pt>
                <c:pt idx="3">
                  <c:v>2018</c:v>
                </c:pt>
                <c:pt idx="4">
                  <c:v>Sht-2019</c:v>
                </c:pt>
              </c:strCache>
            </c:strRef>
          </c:cat>
          <c:val>
            <c:numRef>
              <c:f>'Kerkesa Tregu Vjetore'!$B$3:$F$3</c:f>
              <c:numCache>
                <c:formatCode>0.0</c:formatCode>
                <c:ptCount val="5"/>
                <c:pt idx="0">
                  <c:v>498.60038581499998</c:v>
                </c:pt>
                <c:pt idx="1">
                  <c:v>440.29675219999996</c:v>
                </c:pt>
                <c:pt idx="2">
                  <c:v>422.54903517000002</c:v>
                </c:pt>
                <c:pt idx="3">
                  <c:v>401.13025000000005</c:v>
                </c:pt>
                <c:pt idx="4">
                  <c:v>318.72967999999997</c:v>
                </c:pt>
              </c:numCache>
            </c:numRef>
          </c:val>
          <c:extLst xmlns:c16r2="http://schemas.microsoft.com/office/drawing/2015/06/chart">
            <c:ext xmlns:c16="http://schemas.microsoft.com/office/drawing/2014/chart" uri="{C3380CC4-5D6E-409C-BE32-E72D297353CC}">
              <c16:uniqueId val="{00000000-C7EA-4110-A49F-B713E75FF50C}"/>
            </c:ext>
          </c:extLst>
        </c:ser>
        <c:ser>
          <c:idx val="1"/>
          <c:order val="1"/>
          <c:tx>
            <c:strRef>
              <c:f>'Kerkesa Tregu Vjetore'!$A$4</c:f>
              <c:strCache>
                <c:ptCount val="1"/>
                <c:pt idx="0">
                  <c:v>Oferta</c:v>
                </c:pt>
              </c:strCache>
            </c:strRef>
          </c:tx>
          <c:spPr>
            <a:solidFill>
              <a:srgbClr val="C00000"/>
            </a:solidFill>
            <a:ln>
              <a:noFill/>
            </a:ln>
            <a:effectLst/>
          </c:spPr>
          <c:invertIfNegative val="0"/>
          <c:dLbls>
            <c:dLbl>
              <c:idx val="0"/>
              <c:layout>
                <c:manualLayout>
                  <c:x val="0"/>
                  <c:y val="0.3881944444444443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7EA-4110-A49F-B713E75FF50C}"/>
                </c:ext>
                <c:ext xmlns:c15="http://schemas.microsoft.com/office/drawing/2012/chart" uri="{CE6537A1-D6FC-4f65-9D91-7224C49458BB}">
                  <c15:layout/>
                </c:ext>
              </c:extLst>
            </c:dLbl>
            <c:dLbl>
              <c:idx val="1"/>
              <c:layout>
                <c:manualLayout>
                  <c:x val="-3.7262442169814612E-17"/>
                  <c:y val="0.3474150627004957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7EA-4110-A49F-B713E75FF50C}"/>
                </c:ext>
                <c:ext xmlns:c15="http://schemas.microsoft.com/office/drawing/2012/chart" uri="{CE6537A1-D6FC-4f65-9D91-7224C49458BB}">
                  <c15:layout/>
                </c:ext>
              </c:extLst>
            </c:dLbl>
            <c:dLbl>
              <c:idx val="2"/>
              <c:layout>
                <c:manualLayout>
                  <c:x val="0"/>
                  <c:y val="0.298238918051910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7EA-4110-A49F-B713E75FF50C}"/>
                </c:ext>
                <c:ext xmlns:c15="http://schemas.microsoft.com/office/drawing/2012/chart" uri="{CE6537A1-D6FC-4f65-9D91-7224C49458BB}">
                  <c15:layout/>
                </c:ext>
              </c:extLst>
            </c:dLbl>
            <c:dLbl>
              <c:idx val="3"/>
              <c:layout>
                <c:manualLayout>
                  <c:x val="-7.4524884339629224E-17"/>
                  <c:y val="0.2778754738990959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7EA-4110-A49F-B713E75FF50C}"/>
                </c:ext>
                <c:ext xmlns:c15="http://schemas.microsoft.com/office/drawing/2012/chart" uri="{CE6537A1-D6FC-4f65-9D91-7224C49458BB}">
                  <c15:layout/>
                </c:ext>
              </c:extLst>
            </c:dLbl>
            <c:dLbl>
              <c:idx val="4"/>
              <c:layout>
                <c:manualLayout>
                  <c:x val="-1.4904976867925845E-16"/>
                  <c:y val="0.1971591571886846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7EA-4110-A49F-B713E75FF50C}"/>
                </c:ext>
                <c:ext xmlns:c15="http://schemas.microsoft.com/office/drawing/2012/chart" uri="{CE6537A1-D6FC-4f65-9D91-7224C49458BB}">
                  <c15:layout/>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'Kerkesa Tregu Vjetore'!$B$2:$F$2</c:f>
              <c:strCache>
                <c:ptCount val="5"/>
                <c:pt idx="0">
                  <c:v>2015</c:v>
                </c:pt>
                <c:pt idx="1">
                  <c:v>2016</c:v>
                </c:pt>
                <c:pt idx="2">
                  <c:v>2017</c:v>
                </c:pt>
                <c:pt idx="3">
                  <c:v>2018</c:v>
                </c:pt>
                <c:pt idx="4">
                  <c:v>Sht-2019</c:v>
                </c:pt>
              </c:strCache>
            </c:strRef>
          </c:cat>
          <c:val>
            <c:numRef>
              <c:f>'Kerkesa Tregu Vjetore'!$B$4:$F$4</c:f>
              <c:numCache>
                <c:formatCode>0.0</c:formatCode>
                <c:ptCount val="5"/>
                <c:pt idx="0">
                  <c:v>445.85995000000003</c:v>
                </c:pt>
                <c:pt idx="1">
                  <c:v>365.65650000000005</c:v>
                </c:pt>
                <c:pt idx="2">
                  <c:v>339.99564999999996</c:v>
                </c:pt>
                <c:pt idx="3">
                  <c:v>311.3</c:v>
                </c:pt>
                <c:pt idx="4">
                  <c:v>252.99999999999997</c:v>
                </c:pt>
              </c:numCache>
            </c:numRef>
          </c:val>
          <c:extLst xmlns:c16r2="http://schemas.microsoft.com/office/drawing/2015/06/chart">
            <c:ext xmlns:c16="http://schemas.microsoft.com/office/drawing/2014/chart" uri="{C3380CC4-5D6E-409C-BE32-E72D297353CC}">
              <c16:uniqueId val="{00000006-C7EA-4110-A49F-B713E75FF50C}"/>
            </c:ext>
          </c:extLst>
        </c:ser>
        <c:dLbls>
          <c:showLegendKey val="0"/>
          <c:showVal val="0"/>
          <c:showCatName val="0"/>
          <c:showSerName val="0"/>
          <c:showPercent val="0"/>
          <c:showBubbleSize val="0"/>
        </c:dLbls>
        <c:gapWidth val="219"/>
        <c:overlap val="1"/>
        <c:axId val="-1609952240"/>
        <c:axId val="-1609956048"/>
      </c:barChart>
      <c:lineChart>
        <c:grouping val="standard"/>
        <c:varyColors val="0"/>
        <c:ser>
          <c:idx val="2"/>
          <c:order val="2"/>
          <c:tx>
            <c:strRef>
              <c:f>'Kerkesa Tregu Vjetore'!$A$5</c:f>
              <c:strCache>
                <c:ptCount val="1"/>
                <c:pt idx="0">
                  <c:v>Raporti i Mbulimit</c:v>
                </c:pt>
              </c:strCache>
            </c:strRef>
          </c:tx>
          <c:spPr>
            <a:ln w="31750" cap="rnd">
              <a:solidFill>
                <a:schemeClr val="bg1">
                  <a:lumMod val="50000"/>
                </a:schemeClr>
              </a:solidFill>
              <a:round/>
            </a:ln>
            <a:effectLst/>
          </c:spPr>
          <c:marker>
            <c:symbol val="diamond"/>
            <c:size val="5"/>
            <c:spPr>
              <a:solidFill>
                <a:schemeClr val="bg1">
                  <a:lumMod val="50000"/>
                </a:schemeClr>
              </a:solidFill>
              <a:ln w="9525">
                <a:noFill/>
              </a:ln>
              <a:effectLst/>
            </c:spPr>
          </c:marker>
          <c:dLbls>
            <c:dLbl>
              <c:idx val="0"/>
              <c:layout>
                <c:manualLayout>
                  <c:x val="2.8455284552845527E-2"/>
                  <c:y val="-6.0185185185185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7EA-4110-A49F-B713E75FF50C}"/>
                </c:ext>
                <c:ext xmlns:c15="http://schemas.microsoft.com/office/drawing/2012/chart" uri="{CE6537A1-D6FC-4f65-9D91-7224C49458BB}">
                  <c15:layout/>
                </c:ext>
              </c:extLst>
            </c:dLbl>
            <c:dLbl>
              <c:idx val="1"/>
              <c:layout>
                <c:manualLayout>
                  <c:x val="3.6585419118449945E-2"/>
                  <c:y val="-7.4074074074074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7EA-4110-A49F-B713E75FF50C}"/>
                </c:ext>
                <c:ext xmlns:c15="http://schemas.microsoft.com/office/drawing/2012/chart" uri="{CE6537A1-D6FC-4f65-9D91-7224C49458BB}">
                  <c15:layout/>
                </c:ext>
              </c:extLst>
            </c:dLbl>
            <c:dLbl>
              <c:idx val="2"/>
              <c:layout>
                <c:manualLayout>
                  <c:x val="6.0975609756097563E-3"/>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7EA-4110-A49F-B713E75FF50C}"/>
                </c:ext>
                <c:ext xmlns:c15="http://schemas.microsoft.com/office/drawing/2012/chart" uri="{CE6537A1-D6FC-4f65-9D91-7224C49458BB}">
                  <c15:layout/>
                </c:ext>
              </c:extLst>
            </c:dLbl>
            <c:dLbl>
              <c:idx val="3"/>
              <c:layout>
                <c:manualLayout>
                  <c:x val="-1.016260162601626E-2"/>
                  <c:y val="-4.16666666666666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7EA-4110-A49F-B713E75FF50C}"/>
                </c:ext>
                <c:ext xmlns:c15="http://schemas.microsoft.com/office/drawing/2012/chart" uri="{CE6537A1-D6FC-4f65-9D91-7224C49458BB}">
                  <c15:layout/>
                </c:ext>
              </c:extLst>
            </c:dLbl>
            <c:dLbl>
              <c:idx val="4"/>
              <c:layout>
                <c:manualLayout>
                  <c:x val="-2.2357723577235773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7EA-4110-A49F-B713E75FF50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'Kerkesa Tregu Vjetore'!$B$2:$F$2</c:f>
              <c:strCache>
                <c:ptCount val="5"/>
                <c:pt idx="0">
                  <c:v>2015</c:v>
                </c:pt>
                <c:pt idx="1">
                  <c:v>2016</c:v>
                </c:pt>
                <c:pt idx="2">
                  <c:v>2017</c:v>
                </c:pt>
                <c:pt idx="3">
                  <c:v>2018</c:v>
                </c:pt>
                <c:pt idx="4">
                  <c:v>Sht-2019</c:v>
                </c:pt>
              </c:strCache>
            </c:strRef>
          </c:cat>
          <c:val>
            <c:numRef>
              <c:f>'Kerkesa Tregu Vjetore'!$B$5:$F$5</c:f>
              <c:numCache>
                <c:formatCode>0.00</c:formatCode>
                <c:ptCount val="5"/>
                <c:pt idx="0">
                  <c:v>1.1182892426534385</c:v>
                </c:pt>
                <c:pt idx="1">
                  <c:v>1.2041266932216435</c:v>
                </c:pt>
                <c:pt idx="2">
                  <c:v>1.2428071805330454</c:v>
                </c:pt>
                <c:pt idx="3">
                  <c:v>1.2885648891744299</c:v>
                </c:pt>
                <c:pt idx="4">
                  <c:v>1.2598011067193677</c:v>
                </c:pt>
              </c:numCache>
            </c:numRef>
          </c:val>
          <c:smooth val="1"/>
          <c:extLst xmlns:c16r2="http://schemas.microsoft.com/office/drawing/2015/06/chart">
            <c:ext xmlns:c16="http://schemas.microsoft.com/office/drawing/2014/chart" uri="{C3380CC4-5D6E-409C-BE32-E72D297353CC}">
              <c16:uniqueId val="{0000000C-C7EA-4110-A49F-B713E75FF50C}"/>
            </c:ext>
          </c:extLst>
        </c:ser>
        <c:dLbls>
          <c:showLegendKey val="0"/>
          <c:showVal val="0"/>
          <c:showCatName val="0"/>
          <c:showSerName val="0"/>
          <c:showPercent val="0"/>
          <c:showBubbleSize val="0"/>
        </c:dLbls>
        <c:marker val="1"/>
        <c:smooth val="0"/>
        <c:axId val="-1609955504"/>
        <c:axId val="-1609957680"/>
      </c:lineChart>
      <c:catAx>
        <c:axId val="-16099522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09956048"/>
        <c:crosses val="autoZero"/>
        <c:auto val="1"/>
        <c:lblAlgn val="ctr"/>
        <c:lblOffset val="100"/>
        <c:noMultiLvlLbl val="0"/>
      </c:catAx>
      <c:valAx>
        <c:axId val="-1609956048"/>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b="1">
                    <a:solidFill>
                      <a:sysClr val="windowText" lastClr="000000"/>
                    </a:solidFill>
                  </a:rPr>
                  <a:t>në</a:t>
                </a:r>
                <a:r>
                  <a:rPr lang="en-US" sz="900" b="1" baseline="0">
                    <a:solidFill>
                      <a:sysClr val="windowText" lastClr="000000"/>
                    </a:solidFill>
                  </a:rPr>
                  <a:t> miliard Lek</a:t>
                </a:r>
                <a:endParaRPr lang="en-US" sz="900" b="1">
                  <a:solidFill>
                    <a:sysClr val="windowText" lastClr="000000"/>
                  </a:solidFill>
                </a:endParaRPr>
              </a:p>
            </c:rich>
          </c:tx>
          <c:layout>
            <c:manualLayout>
              <c:xMode val="edge"/>
              <c:yMode val="edge"/>
              <c:x val="1.4381099126861838E-2"/>
              <c:y val="0.26022346165062699"/>
            </c:manualLayout>
          </c:layout>
          <c:overlay val="0"/>
          <c:spPr>
            <a:noFill/>
            <a:ln>
              <a:noFill/>
            </a:ln>
            <a:effectLst/>
          </c:sp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09952240"/>
        <c:crosses val="autoZero"/>
        <c:crossBetween val="between"/>
        <c:majorUnit val="200"/>
      </c:valAx>
      <c:valAx>
        <c:axId val="-1609957680"/>
        <c:scaling>
          <c:orientation val="minMax"/>
          <c:max val="1.5"/>
          <c:min val="0.5"/>
        </c:scaling>
        <c:delete val="0"/>
        <c:axPos val="r"/>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09955504"/>
        <c:crosses val="max"/>
        <c:crossBetween val="between"/>
        <c:majorUnit val="0.5"/>
      </c:valAx>
      <c:catAx>
        <c:axId val="-1609955504"/>
        <c:scaling>
          <c:orientation val="minMax"/>
        </c:scaling>
        <c:delete val="1"/>
        <c:axPos val="b"/>
        <c:numFmt formatCode="General" sourceLinked="1"/>
        <c:majorTickMark val="out"/>
        <c:minorTickMark val="none"/>
        <c:tickLblPos val="nextTo"/>
        <c:crossAx val="-160995768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019759144542364E-2"/>
          <c:y val="7.0239974500906063E-2"/>
          <c:w val="0.91207156697035907"/>
          <c:h val="0.69628322498306783"/>
        </c:manualLayout>
      </c:layout>
      <c:barChart>
        <c:barDir val="col"/>
        <c:grouping val="stacked"/>
        <c:varyColors val="0"/>
        <c:ser>
          <c:idx val="0"/>
          <c:order val="0"/>
          <c:tx>
            <c:strRef>
              <c:f>'Nr i ankandeve'!$A$4</c:f>
              <c:strCache>
                <c:ptCount val="1"/>
                <c:pt idx="0">
                  <c:v>Bono Thesari</c:v>
                </c:pt>
              </c:strCache>
            </c:strRef>
          </c:tx>
          <c:spPr>
            <a:solidFill>
              <a:srgbClr val="C00000"/>
            </a:solidFill>
            <a:ln>
              <a:noFill/>
            </a:ln>
            <a:effectLst/>
            <a:sp3d/>
          </c:spPr>
          <c:invertIfNegative val="0"/>
          <c:dPt>
            <c:idx val="4"/>
            <c:invertIfNegative val="0"/>
            <c:bubble3D val="0"/>
            <c:extLst xmlns:c16r2="http://schemas.microsoft.com/office/drawing/2015/06/chart">
              <c:ext xmlns:c16="http://schemas.microsoft.com/office/drawing/2014/chart" uri="{C3380CC4-5D6E-409C-BE32-E72D297353CC}">
                <c16:uniqueId val="{00000000-5D39-4B27-B11E-8EB24845FACC}"/>
              </c:ext>
            </c:extLst>
          </c:dPt>
          <c:dLbls>
            <c:spPr>
              <a:noFill/>
              <a:ln>
                <a:noFill/>
              </a:ln>
              <a:effectLst/>
            </c:spPr>
            <c:txPr>
              <a:bodyPr rot="0" spcFirstLastPara="1" vertOverflow="ellipsis" vert="horz" wrap="square" lIns="180000" tIns="19050" rIns="144000" bIns="19050" anchor="ctr" anchorCtr="1">
                <a:spAutoFit/>
              </a:bodyPr>
              <a:lstStyle/>
              <a:p>
                <a:pPr>
                  <a:defRPr sz="900" b="1"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'Nr i ankandeve'!$B$3:$F$3</c:f>
              <c:strCache>
                <c:ptCount val="5"/>
                <c:pt idx="0">
                  <c:v>2015</c:v>
                </c:pt>
                <c:pt idx="1">
                  <c:v>2016</c:v>
                </c:pt>
                <c:pt idx="2">
                  <c:v>2017</c:v>
                </c:pt>
                <c:pt idx="3">
                  <c:v>2018</c:v>
                </c:pt>
                <c:pt idx="4">
                  <c:v>Plan 2019</c:v>
                </c:pt>
              </c:strCache>
            </c:strRef>
          </c:cat>
          <c:val>
            <c:numRef>
              <c:f>'Nr i ankandeve'!$B$4:$F$4</c:f>
              <c:numCache>
                <c:formatCode>0</c:formatCode>
                <c:ptCount val="5"/>
                <c:pt idx="0">
                  <c:v>53</c:v>
                </c:pt>
                <c:pt idx="1">
                  <c:v>42</c:v>
                </c:pt>
                <c:pt idx="2">
                  <c:v>32</c:v>
                </c:pt>
                <c:pt idx="3">
                  <c:v>27</c:v>
                </c:pt>
                <c:pt idx="4">
                  <c:v>25</c:v>
                </c:pt>
              </c:numCache>
            </c:numRef>
          </c:val>
          <c:extLst xmlns:c16r2="http://schemas.microsoft.com/office/drawing/2015/06/chart">
            <c:ext xmlns:c16="http://schemas.microsoft.com/office/drawing/2014/chart" uri="{C3380CC4-5D6E-409C-BE32-E72D297353CC}">
              <c16:uniqueId val="{00000001-5D39-4B27-B11E-8EB24845FACC}"/>
            </c:ext>
          </c:extLst>
        </c:ser>
        <c:ser>
          <c:idx val="1"/>
          <c:order val="1"/>
          <c:tx>
            <c:strRef>
              <c:f>'Nr i ankandeve'!$A$5</c:f>
              <c:strCache>
                <c:ptCount val="1"/>
                <c:pt idx="0">
                  <c:v>Obligacione</c:v>
                </c:pt>
              </c:strCache>
            </c:strRef>
          </c:tx>
          <c:spPr>
            <a:solidFill>
              <a:schemeClr val="accent1"/>
            </a:solidFill>
            <a:ln>
              <a:noFill/>
            </a:ln>
            <a:effectLst/>
            <a:sp3d/>
          </c:spPr>
          <c:invertIfNegative val="0"/>
          <c:dPt>
            <c:idx val="3"/>
            <c:invertIfNegative val="0"/>
            <c:bubble3D val="0"/>
            <c:extLst xmlns:c16r2="http://schemas.microsoft.com/office/drawing/2015/06/chart">
              <c:ext xmlns:c16="http://schemas.microsoft.com/office/drawing/2014/chart" uri="{C3380CC4-5D6E-409C-BE32-E72D297353CC}">
                <c16:uniqueId val="{00000002-5D39-4B27-B11E-8EB24845FACC}"/>
              </c:ext>
            </c:extLst>
          </c:dPt>
          <c:dPt>
            <c:idx val="4"/>
            <c:invertIfNegative val="0"/>
            <c:bubble3D val="0"/>
            <c:extLst xmlns:c16r2="http://schemas.microsoft.com/office/drawing/2015/06/chart">
              <c:ext xmlns:c16="http://schemas.microsoft.com/office/drawing/2014/chart" uri="{C3380CC4-5D6E-409C-BE32-E72D297353CC}">
                <c16:uniqueId val="{00000003-5D39-4B27-B11E-8EB24845FACC}"/>
              </c:ext>
            </c:extLst>
          </c:dPt>
          <c:dLbls>
            <c:dLbl>
              <c:idx val="0"/>
              <c:layout>
                <c:manualLayout>
                  <c:x val="-9.2168333277170989E-4"/>
                  <c:y val="3.27279704460721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D39-4B27-B11E-8EB24845FACC}"/>
                </c:ext>
                <c:ext xmlns:c15="http://schemas.microsoft.com/office/drawing/2012/chart" uri="{CE6537A1-D6FC-4f65-9D91-7224C49458BB}">
                  <c15:layout/>
                </c:ext>
              </c:extLst>
            </c:dLbl>
            <c:dLbl>
              <c:idx val="1"/>
              <c:layout>
                <c:manualLayout>
                  <c:x val="-1.07526899928355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D39-4B27-B11E-8EB24845FAC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'Nr i ankandeve'!$B$3:$F$3</c:f>
              <c:strCache>
                <c:ptCount val="5"/>
                <c:pt idx="0">
                  <c:v>2015</c:v>
                </c:pt>
                <c:pt idx="1">
                  <c:v>2016</c:v>
                </c:pt>
                <c:pt idx="2">
                  <c:v>2017</c:v>
                </c:pt>
                <c:pt idx="3">
                  <c:v>2018</c:v>
                </c:pt>
                <c:pt idx="4">
                  <c:v>Plan 2019</c:v>
                </c:pt>
              </c:strCache>
            </c:strRef>
          </c:cat>
          <c:val>
            <c:numRef>
              <c:f>'Nr i ankandeve'!$B$5:$F$5</c:f>
              <c:numCache>
                <c:formatCode>0</c:formatCode>
                <c:ptCount val="5"/>
                <c:pt idx="0">
                  <c:v>38</c:v>
                </c:pt>
                <c:pt idx="1">
                  <c:v>27</c:v>
                </c:pt>
                <c:pt idx="2">
                  <c:v>22</c:v>
                </c:pt>
                <c:pt idx="3">
                  <c:v>22</c:v>
                </c:pt>
                <c:pt idx="4">
                  <c:v>11</c:v>
                </c:pt>
              </c:numCache>
            </c:numRef>
          </c:val>
          <c:extLst xmlns:c16r2="http://schemas.microsoft.com/office/drawing/2015/06/chart">
            <c:ext xmlns:c16="http://schemas.microsoft.com/office/drawing/2014/chart" uri="{C3380CC4-5D6E-409C-BE32-E72D297353CC}">
              <c16:uniqueId val="{00000006-5D39-4B27-B11E-8EB24845FACC}"/>
            </c:ext>
          </c:extLst>
        </c:ser>
        <c:ser>
          <c:idx val="2"/>
          <c:order val="2"/>
          <c:tx>
            <c:strRef>
              <c:f>'Nr i ankandeve'!$A$6</c:f>
              <c:strCache>
                <c:ptCount val="1"/>
                <c:pt idx="0">
                  <c:v>Rihapje</c:v>
                </c:pt>
              </c:strCache>
            </c:strRef>
          </c:tx>
          <c:spPr>
            <a:solidFill>
              <a:schemeClr val="bg1">
                <a:lumMod val="50000"/>
              </a:schemeClr>
            </a:solidFill>
            <a:ln>
              <a:noFill/>
            </a:ln>
            <a:effectLst/>
            <a:sp3d/>
          </c:spPr>
          <c:invertIfNegative val="0"/>
          <c:dPt>
            <c:idx val="3"/>
            <c:invertIfNegative val="0"/>
            <c:bubble3D val="0"/>
            <c:extLst xmlns:c16r2="http://schemas.microsoft.com/office/drawing/2015/06/chart">
              <c:ext xmlns:c16="http://schemas.microsoft.com/office/drawing/2014/chart" uri="{C3380CC4-5D6E-409C-BE32-E72D297353CC}">
                <c16:uniqueId val="{00000007-5D39-4B27-B11E-8EB24845FACC}"/>
              </c:ext>
            </c:extLst>
          </c:dPt>
          <c:dPt>
            <c:idx val="4"/>
            <c:invertIfNegative val="0"/>
            <c:bubble3D val="0"/>
            <c:extLst xmlns:c16r2="http://schemas.microsoft.com/office/drawing/2015/06/chart">
              <c:ext xmlns:c16="http://schemas.microsoft.com/office/drawing/2014/chart" uri="{C3380CC4-5D6E-409C-BE32-E72D297353CC}">
                <c16:uniqueId val="{00000008-5D39-4B27-B11E-8EB24845FACC}"/>
              </c:ext>
            </c:extLst>
          </c:dPt>
          <c:dLbls>
            <c:dLbl>
              <c:idx val="0"/>
              <c:layout>
                <c:manualLayout>
                  <c:x val="1.7482670435426341E-3"/>
                  <c:y val="-3.9801108194808983E-2"/>
                </c:manualLayout>
              </c:layout>
              <c:spPr>
                <a:noFill/>
                <a:ln>
                  <a:noFill/>
                </a:ln>
                <a:effectLst/>
              </c:spPr>
              <c:txPr>
                <a:bodyPr rot="0" spcFirstLastPara="1" vertOverflow="overflow" horzOverflow="overflow"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D39-4B27-B11E-8EB24845FACC}"/>
                </c:ext>
                <c:ext xmlns:c15="http://schemas.microsoft.com/office/drawing/2012/chart" uri="{CE6537A1-D6FC-4f65-9D91-7224C49458BB}">
                  <c15:spPr xmlns:c15="http://schemas.microsoft.com/office/drawing/2012/chart">
                    <a:prstGeom prst="rect">
                      <a:avLst/>
                    </a:prstGeom>
                  </c15:spPr>
                  <c15:layout/>
                </c:ext>
              </c:extLst>
            </c:dLbl>
            <c:dLbl>
              <c:idx val="1"/>
              <c:layout>
                <c:manualLayout>
                  <c:x val="3.516387374655483E-4"/>
                  <c:y val="-5.9266841644794399E-2"/>
                </c:manualLayout>
              </c:layout>
              <c:spPr>
                <a:noFill/>
                <a:ln>
                  <a:noFill/>
                </a:ln>
                <a:effectLst/>
              </c:spPr>
              <c:txPr>
                <a:bodyPr rot="0" spcFirstLastPara="1" vertOverflow="overflow" horzOverflow="overflow"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D39-4B27-B11E-8EB24845FACC}"/>
                </c:ext>
                <c:ext xmlns:c15="http://schemas.microsoft.com/office/drawing/2012/chart" uri="{CE6537A1-D6FC-4f65-9D91-7224C49458BB}">
                  <c15:spPr xmlns:c15="http://schemas.microsoft.com/office/drawing/2012/chart">
                    <a:prstGeom prst="rect">
                      <a:avLst/>
                    </a:prstGeom>
                  </c15:spPr>
                  <c15:layout/>
                </c:ext>
              </c:extLst>
            </c:dLbl>
            <c:dLbl>
              <c:idx val="2"/>
              <c:layout>
                <c:manualLayout>
                  <c:x val="2.9534288983107879E-3"/>
                  <c:y val="-5.4379119276757107E-2"/>
                </c:manualLayout>
              </c:layout>
              <c:spPr>
                <a:noFill/>
                <a:ln>
                  <a:noFill/>
                </a:ln>
                <a:effectLst/>
              </c:spPr>
              <c:txPr>
                <a:bodyPr rot="0" spcFirstLastPara="1" vertOverflow="overflow" horzOverflow="overflow"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D39-4B27-B11E-8EB24845FACC}"/>
                </c:ext>
                <c:ext xmlns:c15="http://schemas.microsoft.com/office/drawing/2012/chart" uri="{CE6537A1-D6FC-4f65-9D91-7224C49458BB}">
                  <c15:spPr xmlns:c15="http://schemas.microsoft.com/office/drawing/2012/chart">
                    <a:prstGeom prst="rect">
                      <a:avLst/>
                    </a:prstGeom>
                  </c15:spPr>
                  <c15:layout/>
                </c:ext>
              </c:extLst>
            </c:dLbl>
            <c:dLbl>
              <c:idx val="3"/>
              <c:layout>
                <c:manualLayout>
                  <c:x val="4.4010364089103462E-3"/>
                  <c:y val="-6.2312044327792394E-2"/>
                </c:manualLayout>
              </c:layout>
              <c:spPr>
                <a:noFill/>
                <a:ln>
                  <a:noFill/>
                </a:ln>
                <a:effectLst/>
              </c:spPr>
              <c:txPr>
                <a:bodyPr rot="0" spcFirstLastPara="1" vertOverflow="overflow" horzOverflow="overflow"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D39-4B27-B11E-8EB24845FACC}"/>
                </c:ext>
                <c:ext xmlns:c15="http://schemas.microsoft.com/office/drawing/2012/chart" uri="{CE6537A1-D6FC-4f65-9D91-7224C49458BB}">
                  <c15:spPr xmlns:c15="http://schemas.microsoft.com/office/drawing/2012/chart">
                    <a:prstGeom prst="rect">
                      <a:avLst/>
                    </a:prstGeom>
                  </c15:spPr>
                  <c15:layout/>
                </c:ext>
              </c:extLst>
            </c:dLbl>
            <c:dLbl>
              <c:idx val="4"/>
              <c:layout>
                <c:manualLayout>
                  <c:x val="2.1182448347802679E-4"/>
                  <c:y val="-2.9273840769904443E-3"/>
                </c:manualLayout>
              </c:layout>
              <c:spPr>
                <a:noFill/>
                <a:ln>
                  <a:noFill/>
                </a:ln>
                <a:effectLst/>
              </c:spPr>
              <c:txPr>
                <a:bodyPr wrap="square" lIns="38100" tIns="19050" rIns="38100" bIns="19050" anchor="ctr">
                  <a:spAutoFit/>
                </a:bodyPr>
                <a:lstStyle/>
                <a:p>
                  <a:pPr>
                    <a:defRPr sz="900" b="1">
                      <a:latin typeface="+mj-lt"/>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D39-4B27-B11E-8EB24845FACC}"/>
                </c:ext>
                <c:ext xmlns:c15="http://schemas.microsoft.com/office/drawing/2012/chart" uri="{CE6537A1-D6FC-4f65-9D91-7224C49458BB}">
                  <c15:layout/>
                </c:ext>
              </c:extLst>
            </c:dLbl>
            <c:spPr>
              <a:noFill/>
              <a:ln>
                <a:noFill/>
              </a:ln>
              <a:effectLst/>
            </c:spPr>
            <c:txPr>
              <a:bodyPr rot="0" spcFirstLastPara="1" vertOverflow="overflow" horzOverflow="overflow" vert="horz" wrap="square" lIns="38100" tIns="19050" rIns="38100" bIns="19050" anchor="ctr" anchorCtr="1">
                <a:spAutoFit/>
              </a:bodyPr>
              <a:lstStyle/>
              <a:p>
                <a:pPr>
                  <a:defRPr sz="900" b="1" i="0" u="none" strike="noStrike" kern="1200" baseline="0">
                    <a:solidFill>
                      <a:schemeClr val="bg1"/>
                    </a:solidFill>
                    <a:latin typeface="+mj-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'Nr i ankandeve'!$B$3:$F$3</c:f>
              <c:strCache>
                <c:ptCount val="5"/>
                <c:pt idx="0">
                  <c:v>2015</c:v>
                </c:pt>
                <c:pt idx="1">
                  <c:v>2016</c:v>
                </c:pt>
                <c:pt idx="2">
                  <c:v>2017</c:v>
                </c:pt>
                <c:pt idx="3">
                  <c:v>2018</c:v>
                </c:pt>
                <c:pt idx="4">
                  <c:v>Plan 2019</c:v>
                </c:pt>
              </c:strCache>
            </c:strRef>
          </c:cat>
          <c:val>
            <c:numRef>
              <c:f>'Nr i ankandeve'!$B$6:$F$6</c:f>
              <c:numCache>
                <c:formatCode>0</c:formatCode>
                <c:ptCount val="5"/>
                <c:pt idx="0">
                  <c:v>5</c:v>
                </c:pt>
                <c:pt idx="1">
                  <c:v>5</c:v>
                </c:pt>
                <c:pt idx="2">
                  <c:v>5</c:v>
                </c:pt>
                <c:pt idx="3">
                  <c:v>8</c:v>
                </c:pt>
                <c:pt idx="4">
                  <c:v>21</c:v>
                </c:pt>
              </c:numCache>
            </c:numRef>
          </c:val>
          <c:extLst xmlns:c16r2="http://schemas.microsoft.com/office/drawing/2015/06/chart">
            <c:ext xmlns:c16="http://schemas.microsoft.com/office/drawing/2014/chart" uri="{C3380CC4-5D6E-409C-BE32-E72D297353CC}">
              <c16:uniqueId val="{0000000C-5D39-4B27-B11E-8EB24845FACC}"/>
            </c:ext>
          </c:extLst>
        </c:ser>
        <c:dLbls>
          <c:showLegendKey val="0"/>
          <c:showVal val="0"/>
          <c:showCatName val="0"/>
          <c:showSerName val="0"/>
          <c:showPercent val="0"/>
          <c:showBubbleSize val="0"/>
        </c:dLbls>
        <c:gapWidth val="150"/>
        <c:overlap val="100"/>
        <c:axId val="-1609951696"/>
        <c:axId val="-1609946256"/>
      </c:barChart>
      <c:catAx>
        <c:axId val="-1609951696"/>
        <c:scaling>
          <c:orientation val="minMax"/>
        </c:scaling>
        <c:delete val="0"/>
        <c:axPos val="b"/>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09946256"/>
        <c:crosses val="autoZero"/>
        <c:auto val="1"/>
        <c:lblAlgn val="ctr"/>
        <c:lblOffset val="100"/>
        <c:noMultiLvlLbl val="0"/>
      </c:catAx>
      <c:valAx>
        <c:axId val="-1609946256"/>
        <c:scaling>
          <c:orientation val="minMax"/>
          <c:max val="100"/>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09951696"/>
        <c:crosses val="autoZero"/>
        <c:crossBetween val="between"/>
        <c:majorUnit val="20"/>
      </c:valAx>
      <c:spPr>
        <a:noFill/>
        <a:ln>
          <a:noFill/>
        </a:ln>
        <a:effectLst/>
        <a:sp3d/>
      </c:spPr>
    </c:plotArea>
    <c:legend>
      <c:legendPos val="b"/>
      <c:layout>
        <c:manualLayout>
          <c:xMode val="edge"/>
          <c:yMode val="edge"/>
          <c:x val="0.28919324988222628"/>
          <c:y val="0.8941900913643841"/>
          <c:w val="0.4216135002355475"/>
          <c:h val="0.1058099086356159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60908434480625"/>
          <c:y val="5.6847545219638244E-2"/>
          <c:w val="0.84097892239452599"/>
          <c:h val="0.85869905796659141"/>
        </c:manualLayout>
      </c:layout>
      <c:lineChart>
        <c:grouping val="standard"/>
        <c:varyColors val="0"/>
        <c:ser>
          <c:idx val="0"/>
          <c:order val="0"/>
          <c:tx>
            <c:strRef>
              <c:f>'Taksat grafiket'!$B$1</c:f>
              <c:strCache>
                <c:ptCount val="1"/>
                <c:pt idx="0">
                  <c:v>TVSH Bruto</c:v>
                </c:pt>
              </c:strCache>
            </c:strRef>
          </c:tx>
          <c:spPr>
            <a:ln w="349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1">
                        <a:lumMod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'Taksat grafiket'!$A$2:$A$9</c:f>
              <c:numCache>
                <c:formatCode>General</c:formatCode>
                <c:ptCount val="8"/>
                <c:pt idx="0">
                  <c:v>2012</c:v>
                </c:pt>
                <c:pt idx="1">
                  <c:v>2013</c:v>
                </c:pt>
                <c:pt idx="2">
                  <c:v>2014</c:v>
                </c:pt>
                <c:pt idx="3">
                  <c:v>2015</c:v>
                </c:pt>
                <c:pt idx="4">
                  <c:v>2016</c:v>
                </c:pt>
                <c:pt idx="5">
                  <c:v>2017</c:v>
                </c:pt>
                <c:pt idx="6">
                  <c:v>2018</c:v>
                </c:pt>
                <c:pt idx="7">
                  <c:v>2019</c:v>
                </c:pt>
              </c:numCache>
            </c:numRef>
          </c:cat>
          <c:val>
            <c:numRef>
              <c:f>'Taksat grafiket'!$B$2:$B$9</c:f>
              <c:numCache>
                <c:formatCode>_(* #,##0_);_(* \(#,##0\);_(* "-"??_);_(@_)</c:formatCode>
                <c:ptCount val="8"/>
                <c:pt idx="0">
                  <c:v>29388</c:v>
                </c:pt>
                <c:pt idx="1">
                  <c:v>28651</c:v>
                </c:pt>
                <c:pt idx="2">
                  <c:v>32519</c:v>
                </c:pt>
                <c:pt idx="3">
                  <c:v>34163</c:v>
                </c:pt>
                <c:pt idx="4">
                  <c:v>38742</c:v>
                </c:pt>
                <c:pt idx="5">
                  <c:v>44206</c:v>
                </c:pt>
                <c:pt idx="6">
                  <c:v>46633</c:v>
                </c:pt>
                <c:pt idx="7">
                  <c:v>44374</c:v>
                </c:pt>
              </c:numCache>
            </c:numRef>
          </c:val>
          <c:smooth val="0"/>
          <c:extLst xmlns:c16r2="http://schemas.microsoft.com/office/drawing/2015/06/chart">
            <c:ext xmlns:c16="http://schemas.microsoft.com/office/drawing/2014/chart" uri="{C3380CC4-5D6E-409C-BE32-E72D297353CC}">
              <c16:uniqueId val="{00000008-3E11-4107-8232-BCD821C9C83C}"/>
            </c:ext>
          </c:extLst>
        </c:ser>
        <c:ser>
          <c:idx val="1"/>
          <c:order val="1"/>
          <c:tx>
            <c:strRef>
              <c:f>'Taksat grafiket'!$C$1</c:f>
              <c:strCache>
                <c:ptCount val="1"/>
                <c:pt idx="0">
                  <c:v>TVSH Neto</c:v>
                </c:pt>
              </c:strCache>
            </c:strRef>
          </c:tx>
          <c:spPr>
            <a:ln w="28575" cap="rnd" cmpd="thickThin" algn="ctr">
              <a:solidFill>
                <a:schemeClr val="accent6">
                  <a:lumMod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6">
                        <a:lumMod val="50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'Taksat grafiket'!$A$2:$A$9</c:f>
              <c:numCache>
                <c:formatCode>General</c:formatCode>
                <c:ptCount val="8"/>
                <c:pt idx="0">
                  <c:v>2012</c:v>
                </c:pt>
                <c:pt idx="1">
                  <c:v>2013</c:v>
                </c:pt>
                <c:pt idx="2">
                  <c:v>2014</c:v>
                </c:pt>
                <c:pt idx="3">
                  <c:v>2015</c:v>
                </c:pt>
                <c:pt idx="4">
                  <c:v>2016</c:v>
                </c:pt>
                <c:pt idx="5">
                  <c:v>2017</c:v>
                </c:pt>
                <c:pt idx="6">
                  <c:v>2018</c:v>
                </c:pt>
                <c:pt idx="7">
                  <c:v>2019</c:v>
                </c:pt>
              </c:numCache>
            </c:numRef>
          </c:cat>
          <c:val>
            <c:numRef>
              <c:f>'Taksat grafiket'!$C$2:$C$9</c:f>
              <c:numCache>
                <c:formatCode>_(* #,##0_);_(* \(#,##0\);_(* "-"??_);_(@_)</c:formatCode>
                <c:ptCount val="8"/>
                <c:pt idx="0">
                  <c:v>22928</c:v>
                </c:pt>
                <c:pt idx="1">
                  <c:v>21475</c:v>
                </c:pt>
                <c:pt idx="2">
                  <c:v>25270</c:v>
                </c:pt>
                <c:pt idx="3">
                  <c:v>27588</c:v>
                </c:pt>
                <c:pt idx="4">
                  <c:v>30817</c:v>
                </c:pt>
                <c:pt idx="5">
                  <c:v>31762</c:v>
                </c:pt>
                <c:pt idx="6">
                  <c:v>33945</c:v>
                </c:pt>
                <c:pt idx="7">
                  <c:v>27238</c:v>
                </c:pt>
              </c:numCache>
            </c:numRef>
          </c:val>
          <c:smooth val="0"/>
          <c:extLst xmlns:c16r2="http://schemas.microsoft.com/office/drawing/2015/06/chart">
            <c:ext xmlns:c16="http://schemas.microsoft.com/office/drawing/2014/chart" uri="{C3380CC4-5D6E-409C-BE32-E72D297353CC}">
              <c16:uniqueId val="{00000009-3E11-4107-8232-BCD821C9C83C}"/>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49350608"/>
        <c:axId val="-1749345168"/>
      </c:lineChart>
      <c:catAx>
        <c:axId val="-1749350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49345168"/>
        <c:crosses val="autoZero"/>
        <c:auto val="1"/>
        <c:lblAlgn val="ctr"/>
        <c:lblOffset val="100"/>
        <c:noMultiLvlLbl val="0"/>
      </c:catAx>
      <c:valAx>
        <c:axId val="-1749345168"/>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493506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27008217859230477"/>
          <c:y val="0.65654031618140751"/>
          <c:w val="0.58210604132998656"/>
          <c:h val="7.4725833689393478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stacked"/>
        <c:varyColors val="0"/>
        <c:ser>
          <c:idx val="0"/>
          <c:order val="0"/>
          <c:tx>
            <c:strRef>
              <c:f>'Taksat grafiket'!$B$16</c:f>
              <c:strCache>
                <c:ptCount val="1"/>
                <c:pt idx="0">
                  <c:v>Rimbursim i TVSH</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extLst xmlns:c16r2="http://schemas.microsoft.com/office/drawing/2015/06/chart">
              <c:ext xmlns:c16="http://schemas.microsoft.com/office/drawing/2014/chart" uri="{C3380CC4-5D6E-409C-BE32-E72D297353CC}">
                <c16:uniqueId val="{00000000-64A9-48D1-9AE3-6CBF3EB594DE}"/>
              </c:ext>
            </c:extLst>
          </c:dPt>
          <c:dPt>
            <c:idx val="1"/>
            <c:invertIfNegative val="0"/>
            <c:bubble3D val="0"/>
            <c:extLst xmlns:c16r2="http://schemas.microsoft.com/office/drawing/2015/06/chart">
              <c:ext xmlns:c16="http://schemas.microsoft.com/office/drawing/2014/chart" uri="{C3380CC4-5D6E-409C-BE32-E72D297353CC}">
                <c16:uniqueId val="{00000001-64A9-48D1-9AE3-6CBF3EB594DE}"/>
              </c:ext>
            </c:extLst>
          </c:dPt>
          <c:dPt>
            <c:idx val="2"/>
            <c:invertIfNegative val="0"/>
            <c:bubble3D val="0"/>
            <c:extLst xmlns:c16r2="http://schemas.microsoft.com/office/drawing/2015/06/chart">
              <c:ext xmlns:c16="http://schemas.microsoft.com/office/drawing/2014/chart" uri="{C3380CC4-5D6E-409C-BE32-E72D297353CC}">
                <c16:uniqueId val="{00000002-64A9-48D1-9AE3-6CBF3EB594DE}"/>
              </c:ext>
            </c:extLst>
          </c:dPt>
          <c:dPt>
            <c:idx val="3"/>
            <c:invertIfNegative val="0"/>
            <c:bubble3D val="0"/>
            <c:extLst xmlns:c16r2="http://schemas.microsoft.com/office/drawing/2015/06/chart">
              <c:ext xmlns:c16="http://schemas.microsoft.com/office/drawing/2014/chart" uri="{C3380CC4-5D6E-409C-BE32-E72D297353CC}">
                <c16:uniqueId val="{00000003-64A9-48D1-9AE3-6CBF3EB594DE}"/>
              </c:ext>
            </c:extLst>
          </c:dPt>
          <c:dPt>
            <c:idx val="4"/>
            <c:invertIfNegative val="0"/>
            <c:bubble3D val="0"/>
            <c:extLst xmlns:c16r2="http://schemas.microsoft.com/office/drawing/2015/06/chart">
              <c:ext xmlns:c16="http://schemas.microsoft.com/office/drawing/2014/chart" uri="{C3380CC4-5D6E-409C-BE32-E72D297353CC}">
                <c16:uniqueId val="{00000004-64A9-48D1-9AE3-6CBF3EB594DE}"/>
              </c:ext>
            </c:extLst>
          </c:dPt>
          <c:dLbls>
            <c:dLbl>
              <c:idx val="0"/>
              <c:layout>
                <c:manualLayout>
                  <c:x val="-1.6025641025641025E-3"/>
                  <c:y val="-0.1725984647910173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4A9-48D1-9AE3-6CBF3EB594DE}"/>
                </c:ext>
                <c:ext xmlns:c15="http://schemas.microsoft.com/office/drawing/2012/chart" uri="{CE6537A1-D6FC-4f65-9D91-7224C49458BB}">
                  <c15:layout/>
                </c:ext>
              </c:extLst>
            </c:dLbl>
            <c:dLbl>
              <c:idx val="1"/>
              <c:layout>
                <c:manualLayout>
                  <c:x val="1.0108533730580975E-4"/>
                  <c:y val="-0.2196124307485724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4A9-48D1-9AE3-6CBF3EB594DE}"/>
                </c:ext>
                <c:ext xmlns:c15="http://schemas.microsoft.com/office/drawing/2012/chart" uri="{CE6537A1-D6FC-4f65-9D91-7224C49458BB}">
                  <c15:layout/>
                </c:ext>
              </c:extLst>
            </c:dLbl>
            <c:dLbl>
              <c:idx val="2"/>
              <c:layout>
                <c:manualLayout>
                  <c:x val="-4.7066751791161243E-3"/>
                  <c:y val="-0.191879419821613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4A9-48D1-9AE3-6CBF3EB594DE}"/>
                </c:ext>
                <c:ext xmlns:c15="http://schemas.microsoft.com/office/drawing/2012/chart" uri="{CE6537A1-D6FC-4f65-9D91-7224C49458BB}">
                  <c15:layout/>
                </c:ext>
              </c:extLst>
            </c:dLbl>
            <c:dLbl>
              <c:idx val="3"/>
              <c:layout>
                <c:manualLayout>
                  <c:x val="4.5045045045045045E-3"/>
                  <c:y val="-0.179542054403888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4A9-48D1-9AE3-6CBF3EB594DE}"/>
                </c:ext>
                <c:ext xmlns:c15="http://schemas.microsoft.com/office/drawing/2012/chart" uri="{CE6537A1-D6FC-4f65-9D91-7224C49458BB}">
                  <c15:layout/>
                </c:ext>
              </c:extLst>
            </c:dLbl>
            <c:dLbl>
              <c:idx val="4"/>
              <c:layout>
                <c:manualLayout>
                  <c:x val="-3.8808493532902981E-3"/>
                  <c:y val="-0.214601196157294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4A9-48D1-9AE3-6CBF3EB594DE}"/>
                </c:ext>
                <c:ext xmlns:c15="http://schemas.microsoft.com/office/drawing/2012/chart" uri="{CE6537A1-D6FC-4f65-9D91-7224C49458BB}">
                  <c15:layout/>
                </c:ext>
              </c:extLst>
            </c:dLbl>
            <c:dLbl>
              <c:idx val="5"/>
              <c:layout>
                <c:manualLayout>
                  <c:x val="2.9019176656971931E-3"/>
                  <c:y val="-0.3252132148463178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4A9-48D1-9AE3-6CBF3EB594DE}"/>
                </c:ext>
                <c:ext xmlns:c15="http://schemas.microsoft.com/office/drawing/2012/chart" uri="{CE6537A1-D6FC-4f65-9D91-7224C49458BB}">
                  <c15:layout/>
                </c:ext>
              </c:extLst>
            </c:dLbl>
            <c:dLbl>
              <c:idx val="6"/>
              <c:layout>
                <c:manualLayout>
                  <c:x val="8.7910218119286818E-3"/>
                  <c:y val="-0.3732917476224562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4A9-48D1-9AE3-6CBF3EB594DE}"/>
                </c:ext>
                <c:ext xmlns:c15="http://schemas.microsoft.com/office/drawing/2012/chart" uri="{CE6537A1-D6FC-4f65-9D91-7224C49458BB}">
                  <c15:layout/>
                </c:ext>
              </c:extLst>
            </c:dLbl>
            <c:dLbl>
              <c:idx val="7"/>
              <c:layout>
                <c:manualLayout>
                  <c:x val="-2.9019176656971931E-3"/>
                  <c:y val="-0.4562120665105299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4A9-48D1-9AE3-6CBF3EB594D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'Taksat grafiket'!$A$17:$A$24</c:f>
              <c:numCache>
                <c:formatCode>General</c:formatCode>
                <c:ptCount val="8"/>
                <c:pt idx="0">
                  <c:v>2012</c:v>
                </c:pt>
                <c:pt idx="1">
                  <c:v>2013</c:v>
                </c:pt>
                <c:pt idx="2">
                  <c:v>2014</c:v>
                </c:pt>
                <c:pt idx="3">
                  <c:v>2015</c:v>
                </c:pt>
                <c:pt idx="4">
                  <c:v>2016</c:v>
                </c:pt>
                <c:pt idx="5">
                  <c:v>2017</c:v>
                </c:pt>
                <c:pt idx="6">
                  <c:v>2018</c:v>
                </c:pt>
                <c:pt idx="7">
                  <c:v>2019</c:v>
                </c:pt>
              </c:numCache>
            </c:numRef>
          </c:cat>
          <c:val>
            <c:numRef>
              <c:f>'Taksat grafiket'!$B$17:$B$24</c:f>
              <c:numCache>
                <c:formatCode>_(* #,##0_);_(* \(#,##0\);_(* "-"??_);_(@_)</c:formatCode>
                <c:ptCount val="8"/>
                <c:pt idx="0">
                  <c:v>6459</c:v>
                </c:pt>
                <c:pt idx="1">
                  <c:v>7175</c:v>
                </c:pt>
                <c:pt idx="2">
                  <c:v>7249</c:v>
                </c:pt>
                <c:pt idx="3">
                  <c:v>6575</c:v>
                </c:pt>
                <c:pt idx="4">
                  <c:v>7925</c:v>
                </c:pt>
                <c:pt idx="5">
                  <c:v>12444</c:v>
                </c:pt>
                <c:pt idx="6">
                  <c:v>12688</c:v>
                </c:pt>
                <c:pt idx="7">
                  <c:v>17136</c:v>
                </c:pt>
              </c:numCache>
            </c:numRef>
          </c:val>
          <c:extLst xmlns:c16r2="http://schemas.microsoft.com/office/drawing/2015/06/chart">
            <c:ext xmlns:c16="http://schemas.microsoft.com/office/drawing/2014/chart" uri="{C3380CC4-5D6E-409C-BE32-E72D297353CC}">
              <c16:uniqueId val="{00000008-64A9-48D1-9AE3-6CBF3EB594DE}"/>
            </c:ext>
          </c:extLst>
        </c:ser>
        <c:dLbls>
          <c:showLegendKey val="0"/>
          <c:showVal val="0"/>
          <c:showCatName val="0"/>
          <c:showSerName val="0"/>
          <c:showPercent val="0"/>
          <c:showBubbleSize val="0"/>
        </c:dLbls>
        <c:gapWidth val="150"/>
        <c:overlap val="100"/>
        <c:axId val="-1749343536"/>
        <c:axId val="-1749342448"/>
      </c:barChart>
      <c:catAx>
        <c:axId val="-1749343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342448"/>
        <c:crosses val="autoZero"/>
        <c:auto val="1"/>
        <c:lblAlgn val="ctr"/>
        <c:lblOffset val="100"/>
        <c:noMultiLvlLbl val="0"/>
      </c:catAx>
      <c:valAx>
        <c:axId val="-174934244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343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698673727730939E-2"/>
          <c:y val="2.9406528354505895E-2"/>
          <c:w val="0.9453374137361461"/>
          <c:h val="0.90512705951356998"/>
        </c:manualLayout>
      </c:layout>
      <c:lineChart>
        <c:grouping val="standard"/>
        <c:varyColors val="0"/>
        <c:ser>
          <c:idx val="0"/>
          <c:order val="0"/>
          <c:tx>
            <c:strRef>
              <c:f>'Taksat grafiket'!$B$32</c:f>
              <c:strCache>
                <c:ptCount val="1"/>
                <c:pt idx="0">
                  <c:v>Fakt</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dLbls>
            <c:dLbl>
              <c:idx val="2"/>
              <c:layout>
                <c:manualLayout>
                  <c:x val="-5.3845957308433792E-2"/>
                  <c:y val="-1.36345117046558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4C7-4DB3-9278-1241122C35BE}"/>
                </c:ext>
                <c:ext xmlns:c15="http://schemas.microsoft.com/office/drawing/2012/chart" uri="{CE6537A1-D6FC-4f65-9D91-7224C49458BB}">
                  <c15:layout/>
                </c:ext>
              </c:extLst>
            </c:dLbl>
            <c:dLbl>
              <c:idx val="3"/>
              <c:layout>
                <c:manualLayout>
                  <c:x val="-3.3270736069495793E-2"/>
                  <c:y val="2.72690234093114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4C7-4DB3-9278-1241122C35B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'Taksat grafiket'!$A$33:$A$40</c:f>
              <c:numCache>
                <c:formatCode>General</c:formatCode>
                <c:ptCount val="8"/>
                <c:pt idx="0">
                  <c:v>2012</c:v>
                </c:pt>
                <c:pt idx="1">
                  <c:v>2013</c:v>
                </c:pt>
                <c:pt idx="2">
                  <c:v>2014</c:v>
                </c:pt>
                <c:pt idx="3">
                  <c:v>2015</c:v>
                </c:pt>
                <c:pt idx="4">
                  <c:v>2016</c:v>
                </c:pt>
                <c:pt idx="5">
                  <c:v>2017</c:v>
                </c:pt>
                <c:pt idx="6">
                  <c:v>2018</c:v>
                </c:pt>
                <c:pt idx="7">
                  <c:v>2019</c:v>
                </c:pt>
              </c:numCache>
            </c:numRef>
          </c:cat>
          <c:val>
            <c:numRef>
              <c:f>'Taksat grafiket'!$B$33:$B$40</c:f>
              <c:numCache>
                <c:formatCode>_(* #,##0_);_(* \(#,##0\);_(* "-"??_);_(@_)</c:formatCode>
                <c:ptCount val="8"/>
                <c:pt idx="0">
                  <c:v>15183</c:v>
                </c:pt>
                <c:pt idx="1">
                  <c:v>13563</c:v>
                </c:pt>
                <c:pt idx="2">
                  <c:v>19289</c:v>
                </c:pt>
                <c:pt idx="3">
                  <c:v>21622</c:v>
                </c:pt>
                <c:pt idx="4">
                  <c:v>26179</c:v>
                </c:pt>
                <c:pt idx="5">
                  <c:v>27631</c:v>
                </c:pt>
                <c:pt idx="6">
                  <c:v>30173</c:v>
                </c:pt>
                <c:pt idx="7">
                  <c:v>32744</c:v>
                </c:pt>
              </c:numCache>
            </c:numRef>
          </c:val>
          <c:smooth val="0"/>
          <c:extLst xmlns:c16r2="http://schemas.microsoft.com/office/drawing/2015/06/chart">
            <c:ext xmlns:c16="http://schemas.microsoft.com/office/drawing/2014/chart" uri="{C3380CC4-5D6E-409C-BE32-E72D297353CC}">
              <c16:uniqueId val="{00000002-94C7-4DB3-9278-1241122C35BE}"/>
            </c:ext>
          </c:extLst>
        </c:ser>
        <c:ser>
          <c:idx val="1"/>
          <c:order val="1"/>
          <c:tx>
            <c:strRef>
              <c:f>'Taksat grafiket'!$C$32</c:f>
              <c:strCache>
                <c:ptCount val="1"/>
                <c:pt idx="0">
                  <c:v>Plan</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dLbls>
            <c:dLbl>
              <c:idx val="1"/>
              <c:layout>
                <c:manualLayout>
                  <c:x val="-3.6146842264186005E-2"/>
                  <c:y val="-2.2724186174426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4C7-4DB3-9278-1241122C35BE}"/>
                </c:ext>
                <c:ext xmlns:c15="http://schemas.microsoft.com/office/drawing/2012/chart" uri="{CE6537A1-D6FC-4f65-9D91-7224C49458BB}">
                  <c15:layout/>
                </c:ext>
              </c:extLst>
            </c:dLbl>
            <c:dLbl>
              <c:idx val="2"/>
              <c:layout>
                <c:manualLayout>
                  <c:x val="-1.844772721993827E-2"/>
                  <c:y val="4.0903535113967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4C7-4DB3-9278-1241122C35BE}"/>
                </c:ext>
                <c:ext xmlns:c15="http://schemas.microsoft.com/office/drawing/2012/chart" uri="{CE6537A1-D6FC-4f65-9D91-7224C49458BB}">
                  <c15:layout/>
                </c:ext>
              </c:extLst>
            </c:dLbl>
            <c:dLbl>
              <c:idx val="3"/>
              <c:layout>
                <c:manualLayout>
                  <c:x val="-4.4996399786309954E-2"/>
                  <c:y val="-2.0451767556983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4C7-4DB3-9278-1241122C35BE}"/>
                </c:ext>
                <c:ext xmlns:c15="http://schemas.microsoft.com/office/drawing/2012/chart" uri="{CE6537A1-D6FC-4f65-9D91-7224C49458BB}">
                  <c15:layout/>
                </c:ext>
              </c:extLst>
            </c:dLbl>
            <c:dLbl>
              <c:idx val="6"/>
              <c:layout>
                <c:manualLayout>
                  <c:x val="-3.9096694771560636E-2"/>
                  <c:y val="2.72690234093114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4C7-4DB3-9278-1241122C35B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2">
                        <a:lumMod val="7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'Taksat grafiket'!$A$33:$A$40</c:f>
              <c:numCache>
                <c:formatCode>General</c:formatCode>
                <c:ptCount val="8"/>
                <c:pt idx="0">
                  <c:v>2012</c:v>
                </c:pt>
                <c:pt idx="1">
                  <c:v>2013</c:v>
                </c:pt>
                <c:pt idx="2">
                  <c:v>2014</c:v>
                </c:pt>
                <c:pt idx="3">
                  <c:v>2015</c:v>
                </c:pt>
                <c:pt idx="4">
                  <c:v>2016</c:v>
                </c:pt>
                <c:pt idx="5">
                  <c:v>2017</c:v>
                </c:pt>
                <c:pt idx="6">
                  <c:v>2018</c:v>
                </c:pt>
                <c:pt idx="7">
                  <c:v>2019</c:v>
                </c:pt>
              </c:numCache>
            </c:numRef>
          </c:cat>
          <c:val>
            <c:numRef>
              <c:f>'Taksat grafiket'!$C$33:$C$40</c:f>
              <c:numCache>
                <c:formatCode>_(* #,##0_);_(* \(#,##0\);_(* "-"??_);_(@_)</c:formatCode>
                <c:ptCount val="8"/>
                <c:pt idx="0">
                  <c:v>20010</c:v>
                </c:pt>
                <c:pt idx="1">
                  <c:v>13742</c:v>
                </c:pt>
                <c:pt idx="2">
                  <c:v>19241</c:v>
                </c:pt>
                <c:pt idx="3">
                  <c:v>21830</c:v>
                </c:pt>
                <c:pt idx="4">
                  <c:v>21580</c:v>
                </c:pt>
                <c:pt idx="5">
                  <c:v>26785</c:v>
                </c:pt>
                <c:pt idx="6">
                  <c:v>30076.136000000002</c:v>
                </c:pt>
                <c:pt idx="7">
                  <c:v>29587.419599081473</c:v>
                </c:pt>
              </c:numCache>
            </c:numRef>
          </c:val>
          <c:smooth val="0"/>
          <c:extLst xmlns:c16r2="http://schemas.microsoft.com/office/drawing/2015/06/chart">
            <c:ext xmlns:c16="http://schemas.microsoft.com/office/drawing/2014/chart" uri="{C3380CC4-5D6E-409C-BE32-E72D297353CC}">
              <c16:uniqueId val="{00000007-94C7-4DB3-9278-1241122C35BE}"/>
            </c:ext>
          </c:extLst>
        </c:ser>
        <c:dLbls>
          <c:dLblPos val="ctr"/>
          <c:showLegendKey val="0"/>
          <c:showVal val="1"/>
          <c:showCatName val="0"/>
          <c:showSerName val="0"/>
          <c:showPercent val="0"/>
          <c:showBubbleSize val="0"/>
        </c:dLbls>
        <c:smooth val="0"/>
        <c:axId val="-1749356048"/>
        <c:axId val="-1749354416"/>
      </c:lineChart>
      <c:catAx>
        <c:axId val="-174935604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crossAx val="-1749354416"/>
        <c:crosses val="autoZero"/>
        <c:auto val="1"/>
        <c:lblAlgn val="ctr"/>
        <c:lblOffset val="100"/>
        <c:noMultiLvlLbl val="0"/>
      </c:catAx>
      <c:valAx>
        <c:axId val="-1749354416"/>
        <c:scaling>
          <c:orientation val="minMax"/>
        </c:scaling>
        <c:delete val="0"/>
        <c:axPos val="l"/>
        <c:majorGridlines>
          <c:spPr>
            <a:ln w="9525" cap="flat" cmpd="sng" algn="ctr">
              <a:solidFill>
                <a:schemeClr val="tx2">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49356048"/>
        <c:crosses val="autoZero"/>
        <c:crossBetween val="between"/>
      </c:valAx>
      <c:spPr>
        <a:noFill/>
        <a:ln>
          <a:noFill/>
        </a:ln>
        <a:effectLst/>
      </c:spPr>
    </c:plotArea>
    <c:legend>
      <c:legendPos val="b"/>
      <c:layout>
        <c:manualLayout>
          <c:xMode val="edge"/>
          <c:yMode val="edge"/>
          <c:x val="0.40868032800247794"/>
          <c:y val="0.72907424707504798"/>
          <c:w val="0.21990609869418495"/>
          <c:h val="0.1292895591440900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0861183581437627E-2"/>
          <c:y val="1.9179879321860317E-2"/>
          <c:w val="0.97747787523561058"/>
          <c:h val="0.927139351835508"/>
        </c:manualLayout>
      </c:layout>
      <c:lineChart>
        <c:grouping val="standard"/>
        <c:varyColors val="0"/>
        <c:ser>
          <c:idx val="0"/>
          <c:order val="0"/>
          <c:tx>
            <c:strRef>
              <c:f>'Taksat grafiket'!$B$44</c:f>
              <c:strCache>
                <c:ptCount val="1"/>
                <c:pt idx="0">
                  <c:v>Fakt</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0"/>
                  <c:y val="2.81071468783776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6BF-4DB2-88AA-6BC71DA2B010}"/>
                </c:ext>
                <c:ext xmlns:c15="http://schemas.microsoft.com/office/drawing/2012/chart" uri="{CE6537A1-D6FC-4f65-9D91-7224C49458BB}">
                  <c15:layout/>
                </c:ext>
              </c:extLst>
            </c:dLbl>
            <c:dLbl>
              <c:idx val="1"/>
              <c:layout>
                <c:manualLayout>
                  <c:x val="-3.8597384378676804E-2"/>
                  <c:y val="2.37394533218225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6BF-4DB2-88AA-6BC71DA2B010}"/>
                </c:ext>
                <c:ext xmlns:c15="http://schemas.microsoft.com/office/drawing/2012/chart" uri="{CE6537A1-D6FC-4f65-9D91-7224C49458BB}">
                  <c15:layout/>
                </c:ext>
              </c:extLst>
            </c:dLbl>
            <c:dLbl>
              <c:idx val="2"/>
              <c:layout>
                <c:manualLayout>
                  <c:x val="-4.2512083763107576E-2"/>
                  <c:y val="4.216072031756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6BF-4DB2-88AA-6BC71DA2B010}"/>
                </c:ext>
                <c:ext xmlns:c15="http://schemas.microsoft.com/office/drawing/2012/chart" uri="{CE6537A1-D6FC-4f65-9D91-7224C49458BB}">
                  <c15:layout/>
                </c:ext>
              </c:extLst>
            </c:dLbl>
            <c:dLbl>
              <c:idx val="3"/>
              <c:layout>
                <c:manualLayout>
                  <c:x val="-4.6376818650662809E-2"/>
                  <c:y val="4.216072031756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6BF-4DB2-88AA-6BC71DA2B010}"/>
                </c:ext>
                <c:ext xmlns:c15="http://schemas.microsoft.com/office/drawing/2012/chart" uri="{CE6537A1-D6FC-4f65-9D91-7224C49458BB}">
                  <c15:layout/>
                </c:ext>
              </c:extLst>
            </c:dLbl>
            <c:dLbl>
              <c:idx val="4"/>
              <c:layout>
                <c:manualLayout>
                  <c:x val="-4.3553262738709388E-2"/>
                  <c:y val="2.57702493903153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6BF-4DB2-88AA-6BC71DA2B010}"/>
                </c:ext>
                <c:ext xmlns:c15="http://schemas.microsoft.com/office/drawing/2012/chart" uri="{CE6537A1-D6FC-4f65-9D91-7224C49458BB}">
                  <c15:layout/>
                </c:ext>
              </c:extLst>
            </c:dLbl>
            <c:dLbl>
              <c:idx val="5"/>
              <c:layout>
                <c:manualLayout>
                  <c:x val="2.5832654538872294E-3"/>
                  <c:y val="1.04137582065378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6BF-4DB2-88AA-6BC71DA2B010}"/>
                </c:ext>
                <c:ext xmlns:c15="http://schemas.microsoft.com/office/drawing/2012/chart" uri="{CE6537A1-D6FC-4f65-9D91-7224C49458BB}">
                  <c15:layout/>
                </c:ext>
              </c:extLst>
            </c:dLbl>
            <c:dLbl>
              <c:idx val="6"/>
              <c:layout>
                <c:manualLayout>
                  <c:x val="-1.8518531088786209E-2"/>
                  <c:y val="1.49842082872882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6BF-4DB2-88AA-6BC71DA2B010}"/>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'Taksat grafiket'!$A$45:$A$52</c:f>
              <c:numCache>
                <c:formatCode>General</c:formatCode>
                <c:ptCount val="8"/>
                <c:pt idx="0">
                  <c:v>2012</c:v>
                </c:pt>
                <c:pt idx="1">
                  <c:v>2013</c:v>
                </c:pt>
                <c:pt idx="2">
                  <c:v>2014</c:v>
                </c:pt>
                <c:pt idx="3">
                  <c:v>2015</c:v>
                </c:pt>
                <c:pt idx="4">
                  <c:v>2016</c:v>
                </c:pt>
                <c:pt idx="5">
                  <c:v>2017</c:v>
                </c:pt>
                <c:pt idx="6">
                  <c:v>2018</c:v>
                </c:pt>
                <c:pt idx="7">
                  <c:v>2019</c:v>
                </c:pt>
              </c:numCache>
            </c:numRef>
          </c:cat>
          <c:val>
            <c:numRef>
              <c:f>'Taksat grafiket'!$B$45:$B$52</c:f>
              <c:numCache>
                <c:formatCode>_(* #,##0_);_(* \(#,##0\);_(* "-"??_);_(@_)</c:formatCode>
                <c:ptCount val="8"/>
                <c:pt idx="0">
                  <c:v>24939</c:v>
                </c:pt>
                <c:pt idx="1">
                  <c:v>26002</c:v>
                </c:pt>
                <c:pt idx="2">
                  <c:v>24794</c:v>
                </c:pt>
                <c:pt idx="3">
                  <c:v>26721</c:v>
                </c:pt>
                <c:pt idx="4">
                  <c:v>29066</c:v>
                </c:pt>
                <c:pt idx="5">
                  <c:v>29504</c:v>
                </c:pt>
                <c:pt idx="6">
                  <c:v>33700</c:v>
                </c:pt>
                <c:pt idx="7">
                  <c:v>43328</c:v>
                </c:pt>
              </c:numCache>
            </c:numRef>
          </c:val>
          <c:smooth val="0"/>
          <c:extLst xmlns:c16r2="http://schemas.microsoft.com/office/drawing/2015/06/chart">
            <c:ext xmlns:c16="http://schemas.microsoft.com/office/drawing/2014/chart" uri="{C3380CC4-5D6E-409C-BE32-E72D297353CC}">
              <c16:uniqueId val="{00000007-06BF-4DB2-88AA-6BC71DA2B010}"/>
            </c:ext>
          </c:extLst>
        </c:ser>
        <c:ser>
          <c:idx val="1"/>
          <c:order val="1"/>
          <c:tx>
            <c:strRef>
              <c:f>'Taksat grafiket'!$C$44</c:f>
              <c:strCache>
                <c:ptCount val="1"/>
                <c:pt idx="0">
                  <c:v>Plan</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dLbls>
            <c:dLbl>
              <c:idx val="0"/>
              <c:layout>
                <c:manualLayout>
                  <c:x val="-3.6714981431774721E-2"/>
                  <c:y val="-3.16205402381748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6BF-4DB2-88AA-6BC71DA2B010}"/>
                </c:ext>
                <c:ext xmlns:c15="http://schemas.microsoft.com/office/drawing/2012/chart" uri="{CE6537A1-D6FC-4f65-9D91-7224C49458BB}">
                  <c15:layout/>
                </c:ext>
              </c:extLst>
            </c:dLbl>
            <c:dLbl>
              <c:idx val="1"/>
              <c:layout>
                <c:manualLayout>
                  <c:x val="-4.0629694995022177E-2"/>
                  <c:y val="-2.27242335839824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6BF-4DB2-88AA-6BC71DA2B010}"/>
                </c:ext>
                <c:ext xmlns:c15="http://schemas.microsoft.com/office/drawing/2012/chart" uri="{CE6537A1-D6FC-4f65-9D91-7224C49458BB}">
                  <c15:layout/>
                </c:ext>
              </c:extLst>
            </c:dLbl>
            <c:dLbl>
              <c:idx val="2"/>
              <c:layout>
                <c:manualLayout>
                  <c:x val="-4.6376818650662809E-2"/>
                  <c:y val="-4.56741136773637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6BF-4DB2-88AA-6BC71DA2B010}"/>
                </c:ext>
                <c:ext xmlns:c15="http://schemas.microsoft.com/office/drawing/2012/chart" uri="{CE6537A1-D6FC-4f65-9D91-7224C49458BB}">
                  <c15:layout/>
                </c:ext>
              </c:extLst>
            </c:dLbl>
            <c:dLbl>
              <c:idx val="3"/>
              <c:layout>
                <c:manualLayout>
                  <c:x val="-5.410628842577328E-2"/>
                  <c:y val="-3.16205402381748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6BF-4DB2-88AA-6BC71DA2B010}"/>
                </c:ext>
                <c:ext xmlns:c15="http://schemas.microsoft.com/office/drawing/2012/chart" uri="{CE6537A1-D6FC-4f65-9D91-7224C49458BB}">
                  <c15:layout/>
                </c:ext>
              </c:extLst>
            </c:dLbl>
            <c:dLbl>
              <c:idx val="4"/>
              <c:layout>
                <c:manualLayout>
                  <c:x val="-3.2800253416598785E-2"/>
                  <c:y val="-2.70195723097122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6BF-4DB2-88AA-6BC71DA2B010}"/>
                </c:ext>
                <c:ext xmlns:c15="http://schemas.microsoft.com/office/drawing/2012/chart" uri="{CE6537A1-D6FC-4f65-9D91-7224C49458BB}">
                  <c15:layout/>
                </c:ext>
              </c:extLst>
            </c:dLbl>
            <c:dLbl>
              <c:idx val="5"/>
              <c:layout>
                <c:manualLayout>
                  <c:x val="-2.5862068965517241E-2"/>
                  <c:y val="-2.4908007969136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6BF-4DB2-88AA-6BC71DA2B010}"/>
                </c:ext>
                <c:ext xmlns:c15="http://schemas.microsoft.com/office/drawing/2012/chart" uri="{CE6537A1-D6FC-4f65-9D91-7224C49458BB}">
                  <c15:layout/>
                </c:ext>
              </c:extLst>
            </c:dLbl>
            <c:dLbl>
              <c:idx val="6"/>
              <c:layout>
                <c:manualLayout>
                  <c:x val="-5.1651620056113678E-2"/>
                  <c:y val="-1.44525284035090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6BF-4DB2-88AA-6BC71DA2B010}"/>
                </c:ext>
                <c:ext xmlns:c15="http://schemas.microsoft.com/office/drawing/2012/chart" uri="{CE6537A1-D6FC-4f65-9D91-7224C49458BB}">
                  <c15:layout/>
                </c:ext>
              </c:extLst>
            </c:dLbl>
            <c:dLbl>
              <c:idx val="7"/>
              <c:layout>
                <c:manualLayout>
                  <c:x val="-1.3468013468013467E-2"/>
                  <c:y val="-2.65151515151515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6BF-4DB2-88AA-6BC71DA2B010}"/>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7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'Taksat grafiket'!$A$45:$A$52</c:f>
              <c:numCache>
                <c:formatCode>General</c:formatCode>
                <c:ptCount val="8"/>
                <c:pt idx="0">
                  <c:v>2012</c:v>
                </c:pt>
                <c:pt idx="1">
                  <c:v>2013</c:v>
                </c:pt>
                <c:pt idx="2">
                  <c:v>2014</c:v>
                </c:pt>
                <c:pt idx="3">
                  <c:v>2015</c:v>
                </c:pt>
                <c:pt idx="4">
                  <c:v>2016</c:v>
                </c:pt>
                <c:pt idx="5">
                  <c:v>2017</c:v>
                </c:pt>
                <c:pt idx="6">
                  <c:v>2018</c:v>
                </c:pt>
                <c:pt idx="7">
                  <c:v>2019</c:v>
                </c:pt>
              </c:numCache>
            </c:numRef>
          </c:cat>
          <c:val>
            <c:numRef>
              <c:f>'Taksat grafiket'!$C$45:$C$52</c:f>
              <c:numCache>
                <c:formatCode>_(* #,##0_);_(* \(#,##0\);_(* "-"??_);_(@_)</c:formatCode>
                <c:ptCount val="8"/>
                <c:pt idx="0">
                  <c:v>26550</c:v>
                </c:pt>
                <c:pt idx="1">
                  <c:v>27292</c:v>
                </c:pt>
                <c:pt idx="2">
                  <c:v>25252</c:v>
                </c:pt>
                <c:pt idx="3">
                  <c:v>28637</c:v>
                </c:pt>
                <c:pt idx="4">
                  <c:v>29240</c:v>
                </c:pt>
                <c:pt idx="5">
                  <c:v>30748</c:v>
                </c:pt>
                <c:pt idx="6">
                  <c:v>33764.047999999995</c:v>
                </c:pt>
                <c:pt idx="7">
                  <c:v>37792.159632065712</c:v>
                </c:pt>
              </c:numCache>
            </c:numRef>
          </c:val>
          <c:smooth val="0"/>
          <c:extLst xmlns:c16r2="http://schemas.microsoft.com/office/drawing/2015/06/chart">
            <c:ext xmlns:c16="http://schemas.microsoft.com/office/drawing/2014/chart" uri="{C3380CC4-5D6E-409C-BE32-E72D297353CC}">
              <c16:uniqueId val="{00000010-06BF-4DB2-88AA-6BC71DA2B010}"/>
            </c:ext>
          </c:extLst>
        </c:ser>
        <c:dLbls>
          <c:showLegendKey val="0"/>
          <c:showVal val="1"/>
          <c:showCatName val="0"/>
          <c:showSerName val="0"/>
          <c:showPercent val="0"/>
          <c:showBubbleSize val="0"/>
        </c:dLbls>
        <c:smooth val="0"/>
        <c:axId val="-1752771424"/>
        <c:axId val="-1752773056"/>
      </c:lineChart>
      <c:catAx>
        <c:axId val="-175277142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crossAx val="-1752773056"/>
        <c:crosses val="autoZero"/>
        <c:auto val="1"/>
        <c:lblAlgn val="ctr"/>
        <c:lblOffset val="100"/>
        <c:noMultiLvlLbl val="0"/>
      </c:catAx>
      <c:valAx>
        <c:axId val="-1752773056"/>
        <c:scaling>
          <c:orientation val="minMax"/>
        </c:scaling>
        <c:delete val="0"/>
        <c:axPos val="l"/>
        <c:majorGridlines>
          <c:spPr>
            <a:ln w="9525" cap="flat" cmpd="sng" algn="ctr">
              <a:solidFill>
                <a:schemeClr val="tx2">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crossAx val="-1752771424"/>
        <c:crosses val="autoZero"/>
        <c:crossBetween val="between"/>
      </c:valAx>
      <c:spPr>
        <a:noFill/>
        <a:ln>
          <a:noFill/>
        </a:ln>
        <a:effectLst/>
      </c:spPr>
    </c:plotArea>
    <c:legend>
      <c:legendPos val="b"/>
      <c:layout>
        <c:manualLayout>
          <c:xMode val="edge"/>
          <c:yMode val="edge"/>
          <c:x val="0.34628431251101366"/>
          <c:y val="0.75302658086232199"/>
          <c:w val="0.31187523008770812"/>
          <c:h val="0.1161823603898648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b="1"/>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63183011214515E-2"/>
          <c:y val="3.4735044164666988E-2"/>
          <c:w val="0.95730228044638521"/>
          <c:h val="0.89574679639077059"/>
        </c:manualLayout>
      </c:layout>
      <c:lineChart>
        <c:grouping val="standard"/>
        <c:varyColors val="0"/>
        <c:ser>
          <c:idx val="0"/>
          <c:order val="0"/>
          <c:tx>
            <c:strRef>
              <c:f>'Taksat grafiket'!$B$54</c:f>
              <c:strCache>
                <c:ptCount val="1"/>
                <c:pt idx="0">
                  <c:v>Fakt</c:v>
                </c:pt>
              </c:strCache>
            </c:strRef>
          </c:tx>
          <c:spPr>
            <a:ln w="41275" cap="rnd" cmpd="sng" algn="ctr">
              <a:solidFill>
                <a:schemeClr val="accent1"/>
              </a:solidFill>
              <a:round/>
            </a:ln>
            <a:effectLst/>
          </c:spPr>
          <c:marker>
            <c:symbol val="none"/>
          </c:marker>
          <c:dLbls>
            <c:dLbl>
              <c:idx val="1"/>
              <c:layout>
                <c:manualLayout>
                  <c:x val="-4.1182534001431667E-2"/>
                  <c:y val="-4.27330770017063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6EB-42A4-A262-81B87D7EAFC8}"/>
                </c:ext>
                <c:ext xmlns:c15="http://schemas.microsoft.com/office/drawing/2012/chart" uri="{CE6537A1-D6FC-4f65-9D91-7224C49458BB}">
                  <c15:layout/>
                </c:ext>
              </c:extLst>
            </c:dLbl>
            <c:dLbl>
              <c:idx val="2"/>
              <c:layout>
                <c:manualLayout>
                  <c:x val="-3.4934497816593885E-2"/>
                  <c:y val="3.77520326510493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6EB-42A4-A262-81B87D7EAFC8}"/>
                </c:ext>
                <c:ext xmlns:c15="http://schemas.microsoft.com/office/drawing/2012/chart" uri="{CE6537A1-D6FC-4f65-9D91-7224C49458BB}">
                  <c15:layout/>
                </c:ext>
              </c:extLst>
            </c:dLbl>
            <c:dLbl>
              <c:idx val="3"/>
              <c:layout>
                <c:manualLayout>
                  <c:x val="-3.6875303250849104E-2"/>
                  <c:y val="4.46160385876037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6EB-42A4-A262-81B87D7EAFC8}"/>
                </c:ext>
                <c:ext xmlns:c15="http://schemas.microsoft.com/office/drawing/2012/chart" uri="{CE6537A1-D6FC-4f65-9D91-7224C49458BB}">
                  <c15:layout/>
                </c:ext>
              </c:extLst>
            </c:dLbl>
            <c:dLbl>
              <c:idx val="4"/>
              <c:layout>
                <c:manualLayout>
                  <c:x val="-2.9112081513828238E-2"/>
                  <c:y val="3.08880267144949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6EB-42A4-A262-81B87D7EAFC8}"/>
                </c:ext>
                <c:ext xmlns:c15="http://schemas.microsoft.com/office/drawing/2012/chart" uri="{CE6537A1-D6FC-4f65-9D91-7224C49458BB}">
                  <c15:layout/>
                </c:ext>
              </c:extLst>
            </c:dLbl>
            <c:dLbl>
              <c:idx val="5"/>
              <c:layout>
                <c:manualLayout>
                  <c:x val="-6.0606060606060606E-3"/>
                  <c:y val="-2.26952848847973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6EB-42A4-A262-81B87D7EAFC8}"/>
                </c:ext>
                <c:ext xmlns:c15="http://schemas.microsoft.com/office/drawing/2012/chart" uri="{CE6537A1-D6FC-4f65-9D91-7224C49458BB}">
                  <c15:layout/>
                </c:ext>
              </c:extLst>
            </c:dLbl>
            <c:dLbl>
              <c:idx val="6"/>
              <c:layout>
                <c:manualLayout>
                  <c:x val="-2.8787878787878789E-2"/>
                  <c:y val="-3.40429273271959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6EB-42A4-A262-81B87D7EAFC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7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'Taksat grafiket'!$A$55:$A$62</c:f>
              <c:numCache>
                <c:formatCode>General</c:formatCode>
                <c:ptCount val="8"/>
                <c:pt idx="0">
                  <c:v>2012</c:v>
                </c:pt>
                <c:pt idx="1">
                  <c:v>2013</c:v>
                </c:pt>
                <c:pt idx="2">
                  <c:v>2014</c:v>
                </c:pt>
                <c:pt idx="3">
                  <c:v>2015</c:v>
                </c:pt>
                <c:pt idx="4">
                  <c:v>2016</c:v>
                </c:pt>
                <c:pt idx="5">
                  <c:v>2017</c:v>
                </c:pt>
                <c:pt idx="6">
                  <c:v>2018</c:v>
                </c:pt>
                <c:pt idx="7">
                  <c:v>2019</c:v>
                </c:pt>
              </c:numCache>
            </c:numRef>
          </c:cat>
          <c:val>
            <c:numRef>
              <c:f>'Taksat grafiket'!$B$55:$B$62</c:f>
              <c:numCache>
                <c:formatCode>_(* #,##0_);_(* \(#,##0\);_(* "-"??_);_(@_)</c:formatCode>
                <c:ptCount val="8"/>
                <c:pt idx="0">
                  <c:v>20712</c:v>
                </c:pt>
                <c:pt idx="1">
                  <c:v>18004</c:v>
                </c:pt>
                <c:pt idx="2">
                  <c:v>23348</c:v>
                </c:pt>
                <c:pt idx="3">
                  <c:v>26990</c:v>
                </c:pt>
                <c:pt idx="4">
                  <c:v>29888</c:v>
                </c:pt>
                <c:pt idx="5">
                  <c:v>33708</c:v>
                </c:pt>
                <c:pt idx="6">
                  <c:v>32953</c:v>
                </c:pt>
                <c:pt idx="7">
                  <c:v>30902</c:v>
                </c:pt>
              </c:numCache>
            </c:numRef>
          </c:val>
          <c:smooth val="0"/>
          <c:extLst xmlns:c16r2="http://schemas.microsoft.com/office/drawing/2015/06/chart">
            <c:ext xmlns:c16="http://schemas.microsoft.com/office/drawing/2014/chart" uri="{C3380CC4-5D6E-409C-BE32-E72D297353CC}">
              <c16:uniqueId val="{00000006-16EB-42A4-A262-81B87D7EAFC8}"/>
            </c:ext>
          </c:extLst>
        </c:ser>
        <c:ser>
          <c:idx val="1"/>
          <c:order val="1"/>
          <c:tx>
            <c:strRef>
              <c:f>'Taksat grafiket'!$C$54</c:f>
              <c:strCache>
                <c:ptCount val="1"/>
                <c:pt idx="0">
                  <c:v>Plan</c:v>
                </c:pt>
              </c:strCache>
            </c:strRef>
          </c:tx>
          <c:spPr>
            <a:ln w="31750" cap="rnd" cmpd="sng" algn="ctr">
              <a:solidFill>
                <a:schemeClr val="accent2"/>
              </a:solidFill>
              <a:round/>
            </a:ln>
            <a:effectLst/>
          </c:spPr>
          <c:marker>
            <c:symbol val="none"/>
          </c:marker>
          <c:dLbls>
            <c:dLbl>
              <c:idx val="0"/>
              <c:layout>
                <c:manualLayout>
                  <c:x val="-3.2993692382338673E-2"/>
                  <c:y val="3.43200296827721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6EB-42A4-A262-81B87D7EAFC8}"/>
                </c:ext>
                <c:ext xmlns:c15="http://schemas.microsoft.com/office/drawing/2012/chart" uri="{CE6537A1-D6FC-4f65-9D91-7224C49458BB}">
                  <c15:layout/>
                </c:ext>
              </c:extLst>
            </c:dLbl>
            <c:dLbl>
              <c:idx val="1"/>
              <c:layout>
                <c:manualLayout>
                  <c:x val="-3.2517298973991887E-2"/>
                  <c:y val="2.34697838193698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6EB-42A4-A262-81B87D7EAFC8}"/>
                </c:ext>
                <c:ext xmlns:c15="http://schemas.microsoft.com/office/drawing/2012/chart" uri="{CE6537A1-D6FC-4f65-9D91-7224C49458BB}">
                  <c15:layout/>
                </c:ext>
              </c:extLst>
            </c:dLbl>
            <c:dLbl>
              <c:idx val="2"/>
              <c:layout>
                <c:manualLayout>
                  <c:x val="-4.6391911238367931E-2"/>
                  <c:y val="-3.55933548205857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6EB-42A4-A262-81B87D7EAFC8}"/>
                </c:ext>
                <c:ext xmlns:c15="http://schemas.microsoft.com/office/drawing/2012/chart" uri="{CE6537A1-D6FC-4f65-9D91-7224C49458BB}">
                  <c15:layout/>
                </c:ext>
              </c:extLst>
            </c:dLbl>
            <c:dLbl>
              <c:idx val="3"/>
              <c:layout>
                <c:manualLayout>
                  <c:x val="-4.0995108565974707E-2"/>
                  <c:y val="-3.32684283926234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6EB-42A4-A262-81B87D7EAFC8}"/>
                </c:ext>
                <c:ext xmlns:c15="http://schemas.microsoft.com/office/drawing/2012/chart" uri="{CE6537A1-D6FC-4f65-9D91-7224C49458BB}">
                  <c15:layout/>
                </c:ext>
              </c:extLst>
            </c:dLbl>
            <c:dLbl>
              <c:idx val="4"/>
              <c:layout>
                <c:manualLayout>
                  <c:x val="-5.4342552159146046E-2"/>
                  <c:y val="-5.14800445241582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6EB-42A4-A262-81B87D7EAFC8}"/>
                </c:ext>
                <c:ext xmlns:c15="http://schemas.microsoft.com/office/drawing/2012/chart" uri="{CE6537A1-D6FC-4f65-9D91-7224C49458BB}">
                  <c15:layout/>
                </c:ext>
              </c:extLst>
            </c:dLbl>
            <c:dLbl>
              <c:idx val="5"/>
              <c:layout>
                <c:manualLayout>
                  <c:x val="-6.0606060606060606E-3"/>
                  <c:y val="4.3121041281114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6EB-42A4-A262-81B87D7EAFC8}"/>
                </c:ext>
                <c:ext xmlns:c15="http://schemas.microsoft.com/office/drawing/2012/chart" uri="{CE6537A1-D6FC-4f65-9D91-7224C49458BB}">
                  <c15:layout/>
                </c:ext>
              </c:extLst>
            </c:dLbl>
            <c:dLbl>
              <c:idx val="6"/>
              <c:layout>
                <c:manualLayout>
                  <c:x val="-2.3684204247196375E-2"/>
                  <c:y val="2.90487137313263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6EB-42A4-A262-81B87D7EAFC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7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'Taksat grafiket'!$A$55:$A$62</c:f>
              <c:numCache>
                <c:formatCode>General</c:formatCode>
                <c:ptCount val="8"/>
                <c:pt idx="0">
                  <c:v>2012</c:v>
                </c:pt>
                <c:pt idx="1">
                  <c:v>2013</c:v>
                </c:pt>
                <c:pt idx="2">
                  <c:v>2014</c:v>
                </c:pt>
                <c:pt idx="3">
                  <c:v>2015</c:v>
                </c:pt>
                <c:pt idx="4">
                  <c:v>2016</c:v>
                </c:pt>
                <c:pt idx="5">
                  <c:v>2017</c:v>
                </c:pt>
                <c:pt idx="6">
                  <c:v>2018</c:v>
                </c:pt>
                <c:pt idx="7">
                  <c:v>2019</c:v>
                </c:pt>
              </c:numCache>
            </c:numRef>
          </c:cat>
          <c:val>
            <c:numRef>
              <c:f>'Taksat grafiket'!$C$55:$C$62</c:f>
              <c:numCache>
                <c:formatCode>_(* #,##0_);_(* \(#,##0\);_(* "-"??_);_(@_)</c:formatCode>
                <c:ptCount val="8"/>
                <c:pt idx="0">
                  <c:v>16210</c:v>
                </c:pt>
                <c:pt idx="1">
                  <c:v>16221</c:v>
                </c:pt>
                <c:pt idx="2">
                  <c:v>23913</c:v>
                </c:pt>
                <c:pt idx="3">
                  <c:v>28214</c:v>
                </c:pt>
                <c:pt idx="4">
                  <c:v>30320</c:v>
                </c:pt>
                <c:pt idx="5">
                  <c:v>34300</c:v>
                </c:pt>
                <c:pt idx="6">
                  <c:v>32652.496600000002</c:v>
                </c:pt>
                <c:pt idx="7">
                  <c:v>35014.515528810509</c:v>
                </c:pt>
              </c:numCache>
            </c:numRef>
          </c:val>
          <c:smooth val="0"/>
          <c:extLst xmlns:c16r2="http://schemas.microsoft.com/office/drawing/2015/06/chart">
            <c:ext xmlns:c16="http://schemas.microsoft.com/office/drawing/2014/chart" uri="{C3380CC4-5D6E-409C-BE32-E72D297353CC}">
              <c16:uniqueId val="{0000000E-16EB-42A4-A262-81B87D7EAFC8}"/>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52764352"/>
        <c:axId val="-1614604336"/>
      </c:lineChart>
      <c:catAx>
        <c:axId val="-17527643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spc="20" baseline="0">
                <a:solidFill>
                  <a:schemeClr val="accent1">
                    <a:lumMod val="75000"/>
                  </a:schemeClr>
                </a:solidFill>
                <a:latin typeface="+mn-lt"/>
                <a:ea typeface="+mn-ea"/>
                <a:cs typeface="+mn-cs"/>
              </a:defRPr>
            </a:pPr>
            <a:endParaRPr lang="en-US"/>
          </a:p>
        </c:txPr>
        <c:crossAx val="-1614604336"/>
        <c:crosses val="autoZero"/>
        <c:auto val="1"/>
        <c:lblAlgn val="ctr"/>
        <c:lblOffset val="100"/>
        <c:noMultiLvlLbl val="0"/>
      </c:catAx>
      <c:valAx>
        <c:axId val="-1614604336"/>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chemeClr val="accent1">
                    <a:lumMod val="75000"/>
                  </a:schemeClr>
                </a:solidFill>
                <a:latin typeface="+mn-lt"/>
                <a:ea typeface="+mn-ea"/>
                <a:cs typeface="+mn-cs"/>
              </a:defRPr>
            </a:pPr>
            <a:endParaRPr lang="en-US"/>
          </a:p>
        </c:txPr>
        <c:crossAx val="-175276435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41144601870333869"/>
          <c:y val="0.71444451443569545"/>
          <c:w val="0.27288358784078898"/>
          <c:h val="9.9777007874015763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accent1">
                  <a:lumMod val="7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782713415803E-2"/>
          <c:y val="6.4081028337287113E-2"/>
          <c:w val="0.93283994610162779"/>
          <c:h val="0.72425391270535633"/>
        </c:manualLayout>
      </c:layout>
      <c:barChart>
        <c:barDir val="col"/>
        <c:grouping val="clustered"/>
        <c:varyColors val="0"/>
        <c:ser>
          <c:idx val="0"/>
          <c:order val="0"/>
          <c:tx>
            <c:strRef>
              <c:f>'Borxhi Kompozimi'!$A$14</c:f>
              <c:strCache>
                <c:ptCount val="1"/>
                <c:pt idx="0">
                  <c:v>Instrumente të tregtueshme</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'Borxhi Kompozimi'!$B$13:$F$13</c:f>
              <c:strCache>
                <c:ptCount val="5"/>
                <c:pt idx="0">
                  <c:v>2015</c:v>
                </c:pt>
                <c:pt idx="1">
                  <c:v>2016</c:v>
                </c:pt>
                <c:pt idx="2">
                  <c:v>2017</c:v>
                </c:pt>
                <c:pt idx="3">
                  <c:v>2018</c:v>
                </c:pt>
                <c:pt idx="4">
                  <c:v>Sht-2019</c:v>
                </c:pt>
              </c:strCache>
            </c:strRef>
          </c:cat>
          <c:val>
            <c:numRef>
              <c:f>'Borxhi Kompozimi'!$B$14:$F$14</c:f>
              <c:numCache>
                <c:formatCode>0.0%</c:formatCode>
                <c:ptCount val="5"/>
                <c:pt idx="0">
                  <c:v>0.55907805376676134</c:v>
                </c:pt>
                <c:pt idx="1">
                  <c:v>0.55520527213659532</c:v>
                </c:pt>
                <c:pt idx="2">
                  <c:v>0.5580271147371606</c:v>
                </c:pt>
                <c:pt idx="3">
                  <c:v>0.59432138359154785</c:v>
                </c:pt>
                <c:pt idx="4">
                  <c:v>0.60031478917367498</c:v>
                </c:pt>
              </c:numCache>
            </c:numRef>
          </c:val>
          <c:extLst xmlns:c16r2="http://schemas.microsoft.com/office/drawing/2015/06/chart">
            <c:ext xmlns:c16="http://schemas.microsoft.com/office/drawing/2014/chart" uri="{C3380CC4-5D6E-409C-BE32-E72D297353CC}">
              <c16:uniqueId val="{00000000-B2E2-4BF1-8B0E-06D15F3DF7F5}"/>
            </c:ext>
          </c:extLst>
        </c:ser>
        <c:ser>
          <c:idx val="2"/>
          <c:order val="1"/>
          <c:tx>
            <c:strRef>
              <c:f>'Borxhi Kompozimi'!$A$16</c:f>
              <c:strCache>
                <c:ptCount val="1"/>
                <c:pt idx="0">
                  <c:v>Hua për financim projektesh</c:v>
                </c:pt>
              </c:strCache>
            </c:strRef>
          </c:tx>
          <c:spPr>
            <a:solidFill>
              <a:srgbClr val="C00000"/>
            </a:solidFill>
            <a:ln>
              <a:noFill/>
            </a:ln>
            <a:effectLst/>
          </c:spPr>
          <c:invertIfNegative val="0"/>
          <c:dLbls>
            <c:dLbl>
              <c:idx val="0"/>
              <c:layout>
                <c:manualLayout>
                  <c:x val="-5.7932399884277411E-3"/>
                  <c:y val="-4.6383599988100755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2E2-4BF1-8B0E-06D15F3DF7F5}"/>
                </c:ext>
                <c:ext xmlns:c15="http://schemas.microsoft.com/office/drawing/2012/chart" uri="{CE6537A1-D6FC-4f65-9D91-7224C49458BB}">
                  <c15:layout/>
                </c:ext>
              </c:extLst>
            </c:dLbl>
            <c:dLbl>
              <c:idx val="1"/>
              <c:layout>
                <c:manualLayout>
                  <c:x val="-3.7017285189949517E-3"/>
                  <c:y val="1.60966564375867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2E2-4BF1-8B0E-06D15F3DF7F5}"/>
                </c:ext>
                <c:ext xmlns:c15="http://schemas.microsoft.com/office/drawing/2012/chart" uri="{CE6537A1-D6FC-4f65-9D91-7224C49458BB}">
                  <c15:layout/>
                </c:ext>
              </c:extLst>
            </c:dLbl>
            <c:dLbl>
              <c:idx val="2"/>
              <c:layout>
                <c:manualLayout>
                  <c:x val="-2.0915114694328549E-3"/>
                  <c:y val="1.51802626304964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2E2-4BF1-8B0E-06D15F3DF7F5}"/>
                </c:ext>
                <c:ext xmlns:c15="http://schemas.microsoft.com/office/drawing/2012/chart" uri="{CE6537A1-D6FC-4f65-9D91-7224C49458BB}">
                  <c15:layout/>
                </c:ext>
              </c:extLst>
            </c:dLbl>
            <c:dLbl>
              <c:idx val="3"/>
              <c:layout>
                <c:manualLayout>
                  <c:x val="-3.5413899955732625E-3"/>
                  <c:y val="1.51802626304964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2E2-4BF1-8B0E-06D15F3DF7F5}"/>
                </c:ext>
                <c:ext xmlns:c15="http://schemas.microsoft.com/office/drawing/2012/chart" uri="{CE6537A1-D6FC-4f65-9D91-7224C49458BB}">
                  <c15:layout/>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'Borxhi Kompozimi'!$B$13:$F$13</c:f>
              <c:strCache>
                <c:ptCount val="5"/>
                <c:pt idx="0">
                  <c:v>2015</c:v>
                </c:pt>
                <c:pt idx="1">
                  <c:v>2016</c:v>
                </c:pt>
                <c:pt idx="2">
                  <c:v>2017</c:v>
                </c:pt>
                <c:pt idx="3">
                  <c:v>2018</c:v>
                </c:pt>
                <c:pt idx="4">
                  <c:v>Sht-2019</c:v>
                </c:pt>
              </c:strCache>
            </c:strRef>
          </c:cat>
          <c:val>
            <c:numRef>
              <c:f>'Borxhi Kompozimi'!$B$16:$F$16</c:f>
              <c:numCache>
                <c:formatCode>0.0%</c:formatCode>
                <c:ptCount val="5"/>
                <c:pt idx="0">
                  <c:v>0.28201764221155612</c:v>
                </c:pt>
                <c:pt idx="1">
                  <c:v>0.27481021822788249</c:v>
                </c:pt>
                <c:pt idx="2">
                  <c:v>0.25990098210582335</c:v>
                </c:pt>
                <c:pt idx="3">
                  <c:v>0.24205469206337524</c:v>
                </c:pt>
                <c:pt idx="4">
                  <c:v>0.24015392714854691</c:v>
                </c:pt>
              </c:numCache>
            </c:numRef>
          </c:val>
          <c:extLst xmlns:c16r2="http://schemas.microsoft.com/office/drawing/2015/06/chart">
            <c:ext xmlns:c16="http://schemas.microsoft.com/office/drawing/2014/chart" uri="{C3380CC4-5D6E-409C-BE32-E72D297353CC}">
              <c16:uniqueId val="{00000005-B2E2-4BF1-8B0E-06D15F3DF7F5}"/>
            </c:ext>
          </c:extLst>
        </c:ser>
        <c:ser>
          <c:idx val="3"/>
          <c:order val="2"/>
          <c:tx>
            <c:strRef>
              <c:f>'Borxhi Kompozimi'!$A$17</c:f>
              <c:strCache>
                <c:ptCount val="1"/>
                <c:pt idx="0">
                  <c:v>Mbështetje Buxhetore</c:v>
                </c:pt>
              </c:strCache>
            </c:strRef>
          </c:tx>
          <c:spPr>
            <a:solidFill>
              <a:schemeClr val="accent6">
                <a:lumMod val="75000"/>
              </a:schemeClr>
            </a:solidFill>
            <a:ln>
              <a:noFill/>
            </a:ln>
            <a:effectLst/>
          </c:spPr>
          <c:invertIfNegative val="0"/>
          <c:dLbls>
            <c:dLbl>
              <c:idx val="0"/>
              <c:layout>
                <c:manualLayout>
                  <c:x val="0"/>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2E2-4BF1-8B0E-06D15F3DF7F5}"/>
                </c:ext>
                <c:ext xmlns:c15="http://schemas.microsoft.com/office/drawing/2012/chart" uri="{CE6537A1-D6FC-4f65-9D91-7224C49458BB}">
                  <c15:layout/>
                </c:ext>
              </c:extLst>
            </c:dLbl>
            <c:dLbl>
              <c:idx val="1"/>
              <c:layout>
                <c:manualLayout>
                  <c:x val="-2.251849992854479E-3"/>
                  <c:y val="1.51802626304964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2E2-4BF1-8B0E-06D15F3DF7F5}"/>
                </c:ext>
                <c:ext xmlns:c15="http://schemas.microsoft.com/office/drawing/2012/chart" uri="{CE6537A1-D6FC-4f65-9D91-7224C49458BB}">
                  <c15:layout/>
                </c:ext>
              </c:extLst>
            </c:dLbl>
            <c:dLbl>
              <c:idx val="2"/>
              <c:layout>
                <c:manualLayout>
                  <c:x val="-3.2081647164622351E-4"/>
                  <c:y val="5.365684956558949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2E2-4BF1-8B0E-06D15F3DF7F5}"/>
                </c:ext>
                <c:ext xmlns:c15="http://schemas.microsoft.com/office/drawing/2012/chart" uri="{CE6537A1-D6FC-4f65-9D91-7224C49458BB}">
                  <c15:layout/>
                </c:ext>
              </c:extLst>
            </c:dLbl>
            <c:dLbl>
              <c:idx val="3"/>
              <c:layout>
                <c:manualLayout>
                  <c:x val="-2.2518499928546086E-3"/>
                  <c:y val="1.51802626304964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2E2-4BF1-8B0E-06D15F3DF7F5}"/>
                </c:ext>
                <c:ext xmlns:c15="http://schemas.microsoft.com/office/drawing/2012/chart" uri="{CE6537A1-D6FC-4f65-9D91-7224C49458BB}">
                  <c15:layout/>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'Borxhi Kompozimi'!$B$13:$F$13</c:f>
              <c:strCache>
                <c:ptCount val="5"/>
                <c:pt idx="0">
                  <c:v>2015</c:v>
                </c:pt>
                <c:pt idx="1">
                  <c:v>2016</c:v>
                </c:pt>
                <c:pt idx="2">
                  <c:v>2017</c:v>
                </c:pt>
                <c:pt idx="3">
                  <c:v>2018</c:v>
                </c:pt>
                <c:pt idx="4">
                  <c:v>Sht-2019</c:v>
                </c:pt>
              </c:strCache>
            </c:strRef>
          </c:cat>
          <c:val>
            <c:numRef>
              <c:f>'Borxhi Kompozimi'!$B$17:$F$17</c:f>
              <c:numCache>
                <c:formatCode>0.0%</c:formatCode>
                <c:ptCount val="5"/>
                <c:pt idx="0">
                  <c:v>0.10514667290159262</c:v>
                </c:pt>
                <c:pt idx="1">
                  <c:v>0.11981274946895636</c:v>
                </c:pt>
                <c:pt idx="2">
                  <c:v>0.1361938064424964</c:v>
                </c:pt>
                <c:pt idx="3">
                  <c:v>0.12325402314242208</c:v>
                </c:pt>
                <c:pt idx="4">
                  <c:v>0.12067678821004925</c:v>
                </c:pt>
              </c:numCache>
            </c:numRef>
          </c:val>
          <c:extLst xmlns:c16r2="http://schemas.microsoft.com/office/drawing/2015/06/chart">
            <c:ext xmlns:c16="http://schemas.microsoft.com/office/drawing/2014/chart" uri="{C3380CC4-5D6E-409C-BE32-E72D297353CC}">
              <c16:uniqueId val="{0000000A-B2E2-4BF1-8B0E-06D15F3DF7F5}"/>
            </c:ext>
          </c:extLst>
        </c:ser>
        <c:ser>
          <c:idx val="1"/>
          <c:order val="3"/>
          <c:tx>
            <c:strRef>
              <c:f>'Borxhi Kompozimi'!$A$15</c:f>
              <c:strCache>
                <c:ptCount val="1"/>
                <c:pt idx="0">
                  <c:v>Garanci</c:v>
                </c:pt>
              </c:strCache>
            </c:strRef>
          </c:tx>
          <c:spPr>
            <a:solidFill>
              <a:srgbClr val="FFC000"/>
            </a:solidFill>
            <a:ln>
              <a:noFill/>
            </a:ln>
            <a:effectLst/>
          </c:spPr>
          <c:invertIfNegative val="0"/>
          <c:dLbls>
            <c:dLbl>
              <c:idx val="0"/>
              <c:layout>
                <c:manualLayout>
                  <c:x val="-3.2074836799252516E-4"/>
                  <c:y val="1.60966564375868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2E2-4BF1-8B0E-06D15F3DF7F5}"/>
                </c:ext>
                <c:ext xmlns:c15="http://schemas.microsoft.com/office/drawing/2012/chart" uri="{CE6537A1-D6FC-4f65-9D91-7224C49458BB}">
                  <c15:layout/>
                </c:ext>
              </c:extLst>
            </c:dLbl>
            <c:dLbl>
              <c:idx val="1"/>
              <c:layout>
                <c:manualLayout>
                  <c:x val="8.0838500765100104E-4"/>
                  <c:y val="1.60966564375867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2E2-4BF1-8B0E-06D15F3DF7F5}"/>
                </c:ext>
                <c:ext xmlns:c15="http://schemas.microsoft.com/office/drawing/2012/chart" uri="{CE6537A1-D6FC-4f65-9D91-7224C49458BB}">
                  <c15:layout/>
                </c:ext>
              </c:extLst>
            </c:dLbl>
            <c:dLbl>
              <c:idx val="2"/>
              <c:layout>
                <c:manualLayout>
                  <c:x val="1.610305958132045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2E2-4BF1-8B0E-06D15F3DF7F5}"/>
                </c:ext>
                <c:ext xmlns:c15="http://schemas.microsoft.com/office/drawing/2012/chart" uri="{CE6537A1-D6FC-4f65-9D91-7224C49458BB}">
                  <c15:layout/>
                </c:ext>
              </c:extLst>
            </c:dLbl>
            <c:dLbl>
              <c:idx val="3"/>
              <c:layout>
                <c:manualLayout>
                  <c:x val="-9.6230999013569517E-4"/>
                  <c:y val="5.365684956558949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2E2-4BF1-8B0E-06D15F3DF7F5}"/>
                </c:ext>
                <c:ext xmlns:c15="http://schemas.microsoft.com/office/drawing/2012/chart" uri="{CE6537A1-D6FC-4f65-9D91-7224C49458BB}">
                  <c15:layout/>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'Borxhi Kompozimi'!$B$13:$F$13</c:f>
              <c:strCache>
                <c:ptCount val="5"/>
                <c:pt idx="0">
                  <c:v>2015</c:v>
                </c:pt>
                <c:pt idx="1">
                  <c:v>2016</c:v>
                </c:pt>
                <c:pt idx="2">
                  <c:v>2017</c:v>
                </c:pt>
                <c:pt idx="3">
                  <c:v>2018</c:v>
                </c:pt>
                <c:pt idx="4">
                  <c:v>Sht-2019</c:v>
                </c:pt>
              </c:strCache>
            </c:strRef>
          </c:cat>
          <c:val>
            <c:numRef>
              <c:f>'Borxhi Kompozimi'!$B$15:$F$15</c:f>
              <c:numCache>
                <c:formatCode>0.0%</c:formatCode>
                <c:ptCount val="5"/>
                <c:pt idx="0">
                  <c:v>5.3757631120089987E-2</c:v>
                </c:pt>
                <c:pt idx="1">
                  <c:v>5.0171760166565729E-2</c:v>
                </c:pt>
                <c:pt idx="2">
                  <c:v>4.5878096714519791E-2</c:v>
                </c:pt>
                <c:pt idx="3">
                  <c:v>4.036990120265483E-2</c:v>
                </c:pt>
                <c:pt idx="4">
                  <c:v>3.8854495467728546E-2</c:v>
                </c:pt>
              </c:numCache>
            </c:numRef>
          </c:val>
          <c:extLst xmlns:c16r2="http://schemas.microsoft.com/office/drawing/2015/06/chart">
            <c:ext xmlns:c16="http://schemas.microsoft.com/office/drawing/2014/chart" uri="{C3380CC4-5D6E-409C-BE32-E72D297353CC}">
              <c16:uniqueId val="{0000000F-B2E2-4BF1-8B0E-06D15F3DF7F5}"/>
            </c:ext>
          </c:extLst>
        </c:ser>
        <c:dLbls>
          <c:showLegendKey val="0"/>
          <c:showVal val="0"/>
          <c:showCatName val="0"/>
          <c:showSerName val="0"/>
          <c:showPercent val="0"/>
          <c:showBubbleSize val="0"/>
        </c:dLbls>
        <c:gapWidth val="118"/>
        <c:axId val="-1614594544"/>
        <c:axId val="-1614605424"/>
      </c:barChart>
      <c:catAx>
        <c:axId val="-161459454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14605424"/>
        <c:crosses val="autoZero"/>
        <c:auto val="1"/>
        <c:lblAlgn val="ctr"/>
        <c:lblOffset val="100"/>
        <c:noMultiLvlLbl val="0"/>
      </c:catAx>
      <c:valAx>
        <c:axId val="-1614605424"/>
        <c:scaling>
          <c:orientation val="minMax"/>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14594544"/>
        <c:crosses val="autoZero"/>
        <c:crossBetween val="between"/>
        <c:majorUnit val="0.2"/>
      </c:valAx>
      <c:spPr>
        <a:noFill/>
        <a:ln>
          <a:noFill/>
        </a:ln>
        <a:effectLst/>
      </c:spPr>
    </c:plotArea>
    <c:legend>
      <c:legendPos val="b"/>
      <c:layout>
        <c:manualLayout>
          <c:xMode val="edge"/>
          <c:yMode val="edge"/>
          <c:x val="7.1777037485698914E-2"/>
          <c:y val="0.89612658275197798"/>
          <c:w val="0.88702207922934362"/>
          <c:h val="8.538957494467770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5848372935684"/>
          <c:y val="9.6523876160042349E-2"/>
          <c:w val="0.84529126890112183"/>
          <c:h val="0.66216550517392225"/>
        </c:manualLayout>
      </c:layout>
      <c:barChart>
        <c:barDir val="col"/>
        <c:grouping val="stacked"/>
        <c:varyColors val="0"/>
        <c:ser>
          <c:idx val="0"/>
          <c:order val="0"/>
          <c:tx>
            <c:strRef>
              <c:f>'BB sipas titujve'!$A$21</c:f>
              <c:strCache>
                <c:ptCount val="1"/>
                <c:pt idx="0">
                  <c:v>Deri në 1 vit</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'BB sipas titujve'!$B$20:$F$20</c:f>
              <c:strCache>
                <c:ptCount val="5"/>
                <c:pt idx="0">
                  <c:v>2015</c:v>
                </c:pt>
                <c:pt idx="1">
                  <c:v>2016</c:v>
                </c:pt>
                <c:pt idx="2">
                  <c:v>2017</c:v>
                </c:pt>
                <c:pt idx="3">
                  <c:v>2018</c:v>
                </c:pt>
                <c:pt idx="4">
                  <c:v>Sht-2019</c:v>
                </c:pt>
              </c:strCache>
            </c:strRef>
          </c:cat>
          <c:val>
            <c:numRef>
              <c:f>'BB sipas titujve'!$B$21:$F$21</c:f>
              <c:numCache>
                <c:formatCode>0.0%</c:formatCode>
                <c:ptCount val="5"/>
                <c:pt idx="0">
                  <c:v>0.42965846447943695</c:v>
                </c:pt>
                <c:pt idx="1">
                  <c:v>0.39448993948019762</c:v>
                </c:pt>
                <c:pt idx="2">
                  <c:v>0.35661495929817533</c:v>
                </c:pt>
                <c:pt idx="3">
                  <c:v>0.3442709566429682</c:v>
                </c:pt>
                <c:pt idx="4">
                  <c:v>0.3404247270989646</c:v>
                </c:pt>
              </c:numCache>
            </c:numRef>
          </c:val>
          <c:extLst xmlns:c16r2="http://schemas.microsoft.com/office/drawing/2015/06/chart">
            <c:ext xmlns:c16="http://schemas.microsoft.com/office/drawing/2014/chart" uri="{C3380CC4-5D6E-409C-BE32-E72D297353CC}">
              <c16:uniqueId val="{00000000-FC2E-4BB4-A3EA-4E225D552680}"/>
            </c:ext>
          </c:extLst>
        </c:ser>
        <c:ser>
          <c:idx val="1"/>
          <c:order val="1"/>
          <c:tx>
            <c:strRef>
              <c:f>'BB sipas titujve'!$A$22</c:f>
              <c:strCache>
                <c:ptCount val="1"/>
                <c:pt idx="0">
                  <c:v>1 deri në 3 vite</c:v>
                </c:pt>
              </c:strCache>
            </c:strRef>
          </c:tx>
          <c:spPr>
            <a:solidFill>
              <a:srgbClr val="C00000"/>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'BB sipas titujve'!$B$20:$F$20</c:f>
              <c:strCache>
                <c:ptCount val="5"/>
                <c:pt idx="0">
                  <c:v>2015</c:v>
                </c:pt>
                <c:pt idx="1">
                  <c:v>2016</c:v>
                </c:pt>
                <c:pt idx="2">
                  <c:v>2017</c:v>
                </c:pt>
                <c:pt idx="3">
                  <c:v>2018</c:v>
                </c:pt>
                <c:pt idx="4">
                  <c:v>Sht-2019</c:v>
                </c:pt>
              </c:strCache>
            </c:strRef>
          </c:cat>
          <c:val>
            <c:numRef>
              <c:f>'BB sipas titujve'!$B$22:$F$22</c:f>
              <c:numCache>
                <c:formatCode>0.0%</c:formatCode>
                <c:ptCount val="5"/>
                <c:pt idx="0">
                  <c:v>0.22586279058178721</c:v>
                </c:pt>
                <c:pt idx="1">
                  <c:v>0.21210635631980793</c:v>
                </c:pt>
                <c:pt idx="2">
                  <c:v>0.21967232831650157</c:v>
                </c:pt>
                <c:pt idx="3">
                  <c:v>0.211345530552463</c:v>
                </c:pt>
                <c:pt idx="4">
                  <c:v>0.18928228419565038</c:v>
                </c:pt>
              </c:numCache>
            </c:numRef>
          </c:val>
          <c:extLst xmlns:c16r2="http://schemas.microsoft.com/office/drawing/2015/06/chart">
            <c:ext xmlns:c16="http://schemas.microsoft.com/office/drawing/2014/chart" uri="{C3380CC4-5D6E-409C-BE32-E72D297353CC}">
              <c16:uniqueId val="{00000001-FC2E-4BB4-A3EA-4E225D552680}"/>
            </c:ext>
          </c:extLst>
        </c:ser>
        <c:ser>
          <c:idx val="2"/>
          <c:order val="2"/>
          <c:tx>
            <c:strRef>
              <c:f>'BB sipas titujve'!$A$23</c:f>
              <c:strCache>
                <c:ptCount val="1"/>
                <c:pt idx="0">
                  <c:v>3 deri në 5 vite</c:v>
                </c:pt>
              </c:strCache>
            </c:strRef>
          </c:tx>
          <c:spPr>
            <a:solidFill>
              <a:schemeClr val="bg1">
                <a:lumMod val="75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'BB sipas titujve'!$B$20:$F$20</c:f>
              <c:strCache>
                <c:ptCount val="5"/>
                <c:pt idx="0">
                  <c:v>2015</c:v>
                </c:pt>
                <c:pt idx="1">
                  <c:v>2016</c:v>
                </c:pt>
                <c:pt idx="2">
                  <c:v>2017</c:v>
                </c:pt>
                <c:pt idx="3">
                  <c:v>2018</c:v>
                </c:pt>
                <c:pt idx="4">
                  <c:v>Sht-2019</c:v>
                </c:pt>
              </c:strCache>
            </c:strRef>
          </c:cat>
          <c:val>
            <c:numRef>
              <c:f>'BB sipas titujve'!$B$23:$F$23</c:f>
              <c:numCache>
                <c:formatCode>0.0%</c:formatCode>
                <c:ptCount val="5"/>
                <c:pt idx="0">
                  <c:v>0.17440029267040957</c:v>
                </c:pt>
                <c:pt idx="1">
                  <c:v>0.18542036666349801</c:v>
                </c:pt>
                <c:pt idx="2">
                  <c:v>0.18854049117130847</c:v>
                </c:pt>
                <c:pt idx="3">
                  <c:v>0.17920198206823099</c:v>
                </c:pt>
                <c:pt idx="4">
                  <c:v>0.18608515464850398</c:v>
                </c:pt>
              </c:numCache>
            </c:numRef>
          </c:val>
          <c:extLst xmlns:c16r2="http://schemas.microsoft.com/office/drawing/2015/06/chart">
            <c:ext xmlns:c16="http://schemas.microsoft.com/office/drawing/2014/chart" uri="{C3380CC4-5D6E-409C-BE32-E72D297353CC}">
              <c16:uniqueId val="{00000002-FC2E-4BB4-A3EA-4E225D552680}"/>
            </c:ext>
          </c:extLst>
        </c:ser>
        <c:ser>
          <c:idx val="3"/>
          <c:order val="3"/>
          <c:tx>
            <c:strRef>
              <c:f>'BB sipas titujve'!$A$24</c:f>
              <c:strCache>
                <c:ptCount val="1"/>
                <c:pt idx="0">
                  <c:v>Mbi 5 vite</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'BB sipas titujve'!$B$20:$F$20</c:f>
              <c:strCache>
                <c:ptCount val="5"/>
                <c:pt idx="0">
                  <c:v>2015</c:v>
                </c:pt>
                <c:pt idx="1">
                  <c:v>2016</c:v>
                </c:pt>
                <c:pt idx="2">
                  <c:v>2017</c:v>
                </c:pt>
                <c:pt idx="3">
                  <c:v>2018</c:v>
                </c:pt>
                <c:pt idx="4">
                  <c:v>Sht-2019</c:v>
                </c:pt>
              </c:strCache>
            </c:strRef>
          </c:cat>
          <c:val>
            <c:numRef>
              <c:f>'BB sipas titujve'!$B$24:$F$24</c:f>
              <c:numCache>
                <c:formatCode>0.0%</c:formatCode>
                <c:ptCount val="5"/>
                <c:pt idx="0">
                  <c:v>0.17007845226836621</c:v>
                </c:pt>
                <c:pt idx="1">
                  <c:v>0.20798333753649637</c:v>
                </c:pt>
                <c:pt idx="2">
                  <c:v>0.23517222121401465</c:v>
                </c:pt>
                <c:pt idx="3">
                  <c:v>0.26518153073633771</c:v>
                </c:pt>
                <c:pt idx="4">
                  <c:v>0.28420783405688099</c:v>
                </c:pt>
              </c:numCache>
            </c:numRef>
          </c:val>
          <c:extLst xmlns:c16r2="http://schemas.microsoft.com/office/drawing/2015/06/chart">
            <c:ext xmlns:c16="http://schemas.microsoft.com/office/drawing/2014/chart" uri="{C3380CC4-5D6E-409C-BE32-E72D297353CC}">
              <c16:uniqueId val="{00000003-FC2E-4BB4-A3EA-4E225D552680}"/>
            </c:ext>
          </c:extLst>
        </c:ser>
        <c:dLbls>
          <c:showLegendKey val="0"/>
          <c:showVal val="0"/>
          <c:showCatName val="0"/>
          <c:showSerName val="0"/>
          <c:showPercent val="0"/>
          <c:showBubbleSize val="0"/>
        </c:dLbls>
        <c:gapWidth val="110"/>
        <c:overlap val="100"/>
        <c:axId val="-1614598352"/>
        <c:axId val="-1614604880"/>
      </c:barChart>
      <c:catAx>
        <c:axId val="-161459835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614604880"/>
        <c:crosses val="autoZero"/>
        <c:auto val="1"/>
        <c:lblAlgn val="ctr"/>
        <c:lblOffset val="100"/>
        <c:noMultiLvlLbl val="0"/>
      </c:catAx>
      <c:valAx>
        <c:axId val="-1614604880"/>
        <c:scaling>
          <c:orientation val="minMax"/>
          <c:max val="1"/>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614598352"/>
        <c:crosses val="autoZero"/>
        <c:crossBetween val="between"/>
        <c:majorUnit val="0.2"/>
      </c:valAx>
      <c:spPr>
        <a:noFill/>
        <a:ln>
          <a:noFill/>
        </a:ln>
        <a:effectLst/>
      </c:spPr>
    </c:plotArea>
    <c:legend>
      <c:legendPos val="b"/>
      <c:layout>
        <c:manualLayout>
          <c:xMode val="edge"/>
          <c:yMode val="edge"/>
          <c:x val="0"/>
          <c:y val="0.8875470804876181"/>
          <c:w val="0.99466239286460878"/>
          <c:h val="0.1117821462972742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ysClr val="window" lastClr="FFFFFF">
          <a:lumMod val="75000"/>
        </a:sys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8643386272406"/>
          <c:y val="6.4839375184202769E-2"/>
          <c:w val="0.84751764540533869"/>
          <c:h val="0.7107374840744376"/>
        </c:manualLayout>
      </c:layout>
      <c:barChart>
        <c:barDir val="col"/>
        <c:grouping val="percentStacked"/>
        <c:varyColors val="0"/>
        <c:ser>
          <c:idx val="0"/>
          <c:order val="0"/>
          <c:tx>
            <c:strRef>
              <c:f>'BB sipas titujve'!$A$53</c:f>
              <c:strCache>
                <c:ptCount val="1"/>
                <c:pt idx="0">
                  <c:v>Maturitet nën 1 vit</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'BB sipas titujve'!$B$46:$G$46</c:f>
              <c:strCache>
                <c:ptCount val="5"/>
                <c:pt idx="0">
                  <c:v>2015</c:v>
                </c:pt>
                <c:pt idx="1">
                  <c:v>2016</c:v>
                </c:pt>
                <c:pt idx="2">
                  <c:v>2017</c:v>
                </c:pt>
                <c:pt idx="3">
                  <c:v>2018</c:v>
                </c:pt>
                <c:pt idx="4">
                  <c:v>Sht-2019</c:v>
                </c:pt>
              </c:strCache>
            </c:strRef>
          </c:cat>
          <c:val>
            <c:numRef>
              <c:f>'BB sipas titujve'!$B$53:$G$53</c:f>
              <c:numCache>
                <c:formatCode>#,#00%</c:formatCode>
                <c:ptCount val="5"/>
                <c:pt idx="0">
                  <c:v>0.22694673089990047</c:v>
                </c:pt>
                <c:pt idx="1">
                  <c:v>0.20687643654031004</c:v>
                </c:pt>
                <c:pt idx="2">
                  <c:v>0.18800451109327329</c:v>
                </c:pt>
                <c:pt idx="3">
                  <c:v>0.18320514014362566</c:v>
                </c:pt>
                <c:pt idx="4">
                  <c:v>0.18339779322859182</c:v>
                </c:pt>
              </c:numCache>
            </c:numRef>
          </c:val>
          <c:extLst xmlns:c16r2="http://schemas.microsoft.com/office/drawing/2015/06/chart">
            <c:ext xmlns:c16="http://schemas.microsoft.com/office/drawing/2014/chart" uri="{C3380CC4-5D6E-409C-BE32-E72D297353CC}">
              <c16:uniqueId val="{00000000-F159-4BFE-B6F9-A9E8EEDDEF4D}"/>
            </c:ext>
          </c:extLst>
        </c:ser>
        <c:ser>
          <c:idx val="1"/>
          <c:order val="1"/>
          <c:tx>
            <c:strRef>
              <c:f>'BB sipas titujve'!$A$54</c:f>
              <c:strCache>
                <c:ptCount val="1"/>
                <c:pt idx="0">
                  <c:v>Maturitet mbi 1 vit</c:v>
                </c:pt>
              </c:strCache>
            </c:strRef>
          </c:tx>
          <c:spPr>
            <a:solidFill>
              <a:srgbClr val="C000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'BB sipas titujve'!$B$46:$G$46</c:f>
              <c:strCache>
                <c:ptCount val="5"/>
                <c:pt idx="0">
                  <c:v>2015</c:v>
                </c:pt>
                <c:pt idx="1">
                  <c:v>2016</c:v>
                </c:pt>
                <c:pt idx="2">
                  <c:v>2017</c:v>
                </c:pt>
                <c:pt idx="3">
                  <c:v>2018</c:v>
                </c:pt>
                <c:pt idx="4">
                  <c:v>Sht-2019</c:v>
                </c:pt>
              </c:strCache>
            </c:strRef>
          </c:cat>
          <c:val>
            <c:numRef>
              <c:f>'BB sipas titujve'!$B$54:$G$54</c:f>
              <c:numCache>
                <c:formatCode>#,#00%</c:formatCode>
                <c:ptCount val="5"/>
                <c:pt idx="0">
                  <c:v>0.77305326910009953</c:v>
                </c:pt>
                <c:pt idx="1">
                  <c:v>0.79312356345968993</c:v>
                </c:pt>
                <c:pt idx="2">
                  <c:v>0.81199548890672668</c:v>
                </c:pt>
                <c:pt idx="3">
                  <c:v>0.81679485985637434</c:v>
                </c:pt>
                <c:pt idx="4">
                  <c:v>0.81660220677140827</c:v>
                </c:pt>
              </c:numCache>
            </c:numRef>
          </c:val>
          <c:extLst xmlns:c16r2="http://schemas.microsoft.com/office/drawing/2015/06/chart">
            <c:ext xmlns:c16="http://schemas.microsoft.com/office/drawing/2014/chart" uri="{C3380CC4-5D6E-409C-BE32-E72D297353CC}">
              <c16:uniqueId val="{00000001-F159-4BFE-B6F9-A9E8EEDDEF4D}"/>
            </c:ext>
          </c:extLst>
        </c:ser>
        <c:dLbls>
          <c:showLegendKey val="0"/>
          <c:showVal val="0"/>
          <c:showCatName val="0"/>
          <c:showSerName val="0"/>
          <c:showPercent val="0"/>
          <c:showBubbleSize val="0"/>
        </c:dLbls>
        <c:gapWidth val="110"/>
        <c:overlap val="100"/>
        <c:axId val="-1614603792"/>
        <c:axId val="-1614602160"/>
      </c:barChart>
      <c:catAx>
        <c:axId val="-16146037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614602160"/>
        <c:crosses val="autoZero"/>
        <c:auto val="1"/>
        <c:lblAlgn val="ctr"/>
        <c:lblOffset val="100"/>
        <c:noMultiLvlLbl val="0"/>
      </c:catAx>
      <c:valAx>
        <c:axId val="-1614602160"/>
        <c:scaling>
          <c:orientation val="minMax"/>
        </c:scaling>
        <c:delete val="0"/>
        <c:axPos val="l"/>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614603792"/>
        <c:crosses val="autoZero"/>
        <c:crossBetween val="between"/>
        <c:majorUnit val="0.2"/>
      </c:valAx>
      <c:spPr>
        <a:noFill/>
        <a:ln>
          <a:noFill/>
        </a:ln>
        <a:effectLst/>
      </c:spPr>
    </c:plotArea>
    <c:legend>
      <c:legendPos val="b"/>
      <c:layout>
        <c:manualLayout>
          <c:xMode val="edge"/>
          <c:yMode val="edge"/>
          <c:x val="7.2154617036506802E-2"/>
          <c:y val="0.90052980777933256"/>
          <c:w val="0.8741023712657322"/>
          <c:h val="9.947019222066737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ysClr val="window" lastClr="FFFFFF">
          <a:lumMod val="75000"/>
        </a:sys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5C78D9C7770C417484963A4D3570EB7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92</Nr_x002e__x0020_akti>
    <Data_x0020_e_x0020_Krijimit xmlns="0e656187-b300-4fb0-8bf4-3a50f872073c">2020-02-06T14:10:07Z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2020-02-05T23:00:00Z</Date_x0020_protokolli>
    <Titulli xmlns="0e656187-b300-4fb0-8bf4-3a50f872073c">Për miratimin e programit të reformave ekonomike (ERP) 2020-2022</Titulli>
    <Modifikuesi xmlns="0e656187-b300-4fb0-8bf4-3a50f872073c">entela.suli</Modifikuesi>
    <Nr_x002e__x0020_prot_x0020_QBZ xmlns="0e656187-b300-4fb0-8bf4-3a50f872073c">219</Nr_x002e__x0020_prot_x0020_QBZ>
    <Data_x0020_e_x0020_Modifikimit xmlns="0e656187-b300-4fb0-8bf4-3a50f872073c">2020-02-06T14:10:53Z</Data_x0020_e_x0020_Modifikimit>
    <Dekretuar xmlns="0e656187-b300-4fb0-8bf4-3a50f872073c">false</Dekretuar>
    <Data xmlns="0e656187-b300-4fb0-8bf4-3a50f872073c">2020-02-04T23:00:00Z</Data>
    <Nr_x002e__x0020_protokolli_x0020_i_x0020_aktit xmlns="0e656187-b300-4fb0-8bf4-3a50f872073c">635/1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5C78D9C7770C417484963A4D3570EB7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92</Nr_x002e__x0020_akti>
    <Data_x0020_e_x0020_Krijimit xmlns="0e656187-b300-4fb0-8bf4-3a50f872073c">2020-02-06T14:10:07Z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2020-02-05T23:00:00Z</Date_x0020_protokolli>
    <Titulli xmlns="0e656187-b300-4fb0-8bf4-3a50f872073c">Për miratimin e programit të reformave ekonomike (ERP) 2020-2022</Titulli>
    <Modifikuesi xmlns="0e656187-b300-4fb0-8bf4-3a50f872073c">entela.suli</Modifikuesi>
    <Nr_x002e__x0020_prot_x0020_QBZ xmlns="0e656187-b300-4fb0-8bf4-3a50f872073c">219</Nr_x002e__x0020_prot_x0020_QBZ>
    <Data_x0020_e_x0020_Modifikimit xmlns="0e656187-b300-4fb0-8bf4-3a50f872073c">2020-02-06T14:10:53Z</Data_x0020_e_x0020_Modifikimit>
    <Dekretuar xmlns="0e656187-b300-4fb0-8bf4-3a50f872073c">false</Dekretuar>
    <Data xmlns="0e656187-b300-4fb0-8bf4-3a50f872073c">2020-02-04T23:00:00Z</Data>
    <Nr_x002e__x0020_protokolli_x0020_i_x0020_aktit xmlns="0e656187-b300-4fb0-8bf4-3a50f872073c">635/1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3A9C9-B23C-4560-9C8B-ACED442E9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94FFAB1-1BB3-42C1-B309-84D2748DD410}">
  <ds:schemaRefs>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0e656187-b300-4fb0-8bf4-3a50f872073c"/>
    <ds:schemaRef ds:uri="http://purl.org/dc/dcmitype/"/>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B205AEAA-59A7-41D7-8124-51965A3E84A9}">
  <ds:schemaRefs>
    <ds:schemaRef ds:uri="http://schemas.microsoft.com/sharepoint/v3/contenttype/forms"/>
  </ds:schemaRefs>
</ds:datastoreItem>
</file>

<file path=customXml/itemProps4.xml><?xml version="1.0" encoding="utf-8"?>
<ds:datastoreItem xmlns:ds="http://schemas.openxmlformats.org/officeDocument/2006/customXml" ds:itemID="{F08B125F-750D-485E-9AF9-F47F5D7DD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52195FD-5D71-4954-BE2A-8C5D59CBA1E2}">
  <ds:schemaRefs>
    <ds:schemaRef ds:uri="http://schemas.microsoft.com/office/2006/metadata/properties"/>
    <ds:schemaRef ds:uri="http://schemas.microsoft.com/office/infopath/2007/PartnerControls"/>
    <ds:schemaRef ds:uri="0e656187-b300-4fb0-8bf4-3a50f872073c"/>
  </ds:schemaRefs>
</ds:datastoreItem>
</file>

<file path=customXml/itemProps6.xml><?xml version="1.0" encoding="utf-8"?>
<ds:datastoreItem xmlns:ds="http://schemas.openxmlformats.org/officeDocument/2006/customXml" ds:itemID="{65F6BC99-9BB0-4073-962E-975443AA172D}">
  <ds:schemaRefs>
    <ds:schemaRef ds:uri="http://schemas.microsoft.com/sharepoint/v3/contenttype/forms"/>
  </ds:schemaRefs>
</ds:datastoreItem>
</file>

<file path=customXml/itemProps7.xml><?xml version="1.0" encoding="utf-8"?>
<ds:datastoreItem xmlns:ds="http://schemas.openxmlformats.org/officeDocument/2006/customXml" ds:itemID="{0CB58489-601D-4863-B77D-405C4FE56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148</Pages>
  <Words>65378</Words>
  <Characters>372659</Characters>
  <Application>Microsoft Office Word</Application>
  <DocSecurity>0</DocSecurity>
  <Lines>3105</Lines>
  <Paragraphs>874</Paragraphs>
  <ScaleCrop>false</ScaleCrop>
  <HeadingPairs>
    <vt:vector size="2" baseType="variant">
      <vt:variant>
        <vt:lpstr>Title</vt:lpstr>
      </vt:variant>
      <vt:variant>
        <vt:i4>1</vt:i4>
      </vt:variant>
    </vt:vector>
  </HeadingPairs>
  <TitlesOfParts>
    <vt:vector size="1" baseType="lpstr">
      <vt:lpstr>Projektvendimi për miratimin e Programit të Reformave Ekonomike ERP 2020-2022</vt:lpstr>
    </vt:vector>
  </TitlesOfParts>
  <Company/>
  <LinksUpToDate>false</LinksUpToDate>
  <CharactersWithSpaces>437163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 për miratimin e Programit të Reformave Ekonomike ERP 2020-2022</dc:title>
  <dc:creator>Elson Caka</dc:creator>
  <cp:lastModifiedBy>Entela Suli</cp:lastModifiedBy>
  <cp:revision>347</cp:revision>
  <cp:lastPrinted>2020-02-05T08:37:00Z</cp:lastPrinted>
  <dcterms:created xsi:type="dcterms:W3CDTF">2020-02-07T12:28:00Z</dcterms:created>
  <dcterms:modified xsi:type="dcterms:W3CDTF">2020-02-12T12:11:00Z</dcterms:modified>
</cp:coreProperties>
</file>