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CA45F2" w14:textId="704BA764" w:rsidR="00496EAA" w:rsidRPr="002B0DE3" w:rsidRDefault="002B0DE3" w:rsidP="002B0DE3">
      <w:pPr>
        <w:spacing w:after="0" w:line="240" w:lineRule="auto"/>
        <w:jc w:val="center"/>
        <w:rPr>
          <w:rFonts w:ascii="Garamond" w:hAnsi="Garamond"/>
          <w:b/>
          <w:sz w:val="24"/>
          <w:szCs w:val="24"/>
        </w:rPr>
      </w:pPr>
      <w:r w:rsidRPr="002B0DE3">
        <w:rPr>
          <w:rFonts w:ascii="Garamond" w:hAnsi="Garamond"/>
          <w:b/>
          <w:sz w:val="24"/>
          <w:szCs w:val="24"/>
        </w:rPr>
        <w:t>VENDI</w:t>
      </w:r>
      <w:r w:rsidR="00496EAA" w:rsidRPr="002B0DE3">
        <w:rPr>
          <w:rFonts w:ascii="Garamond" w:hAnsi="Garamond"/>
          <w:b/>
          <w:sz w:val="24"/>
          <w:szCs w:val="24"/>
        </w:rPr>
        <w:t>M</w:t>
      </w:r>
    </w:p>
    <w:p w14:paraId="4DCA45F5" w14:textId="77777777" w:rsidR="00496EAA" w:rsidRPr="002B0DE3" w:rsidRDefault="00496EAA" w:rsidP="002B0DE3">
      <w:pPr>
        <w:spacing w:after="0" w:line="240" w:lineRule="auto"/>
        <w:jc w:val="center"/>
        <w:rPr>
          <w:rFonts w:ascii="Garamond" w:hAnsi="Garamond"/>
          <w:b/>
          <w:sz w:val="24"/>
          <w:szCs w:val="24"/>
        </w:rPr>
      </w:pPr>
      <w:r w:rsidRPr="002B0DE3">
        <w:rPr>
          <w:rFonts w:ascii="Garamond" w:hAnsi="Garamond"/>
          <w:b/>
          <w:sz w:val="24"/>
          <w:szCs w:val="24"/>
        </w:rPr>
        <w:t>Nr.</w:t>
      </w:r>
      <w:r w:rsidR="00D8655F" w:rsidRPr="002B0DE3">
        <w:rPr>
          <w:rFonts w:ascii="Garamond" w:hAnsi="Garamond"/>
          <w:b/>
          <w:sz w:val="24"/>
          <w:szCs w:val="24"/>
        </w:rPr>
        <w:t>301</w:t>
      </w:r>
      <w:r w:rsidRPr="002B0DE3">
        <w:rPr>
          <w:rFonts w:ascii="Garamond" w:hAnsi="Garamond"/>
          <w:b/>
          <w:sz w:val="24"/>
          <w:szCs w:val="24"/>
        </w:rPr>
        <w:t xml:space="preserve">, datë </w:t>
      </w:r>
      <w:r w:rsidR="00D8655F" w:rsidRPr="002B0DE3">
        <w:rPr>
          <w:rFonts w:ascii="Garamond" w:hAnsi="Garamond"/>
          <w:b/>
          <w:sz w:val="24"/>
          <w:szCs w:val="24"/>
        </w:rPr>
        <w:t>15.4.2020</w:t>
      </w:r>
    </w:p>
    <w:p w14:paraId="4DCA45F6" w14:textId="77777777" w:rsidR="00496EAA" w:rsidRPr="002B0DE3" w:rsidRDefault="00496EAA" w:rsidP="002B0DE3">
      <w:pPr>
        <w:spacing w:after="0" w:line="240" w:lineRule="auto"/>
        <w:jc w:val="center"/>
        <w:rPr>
          <w:rFonts w:ascii="Garamond" w:hAnsi="Garamond"/>
          <w:b/>
          <w:sz w:val="24"/>
          <w:szCs w:val="24"/>
        </w:rPr>
      </w:pPr>
    </w:p>
    <w:p w14:paraId="4DCA45FA" w14:textId="418BF722" w:rsidR="00496EAA" w:rsidRPr="002B0DE3" w:rsidRDefault="002B0DE3" w:rsidP="002B0DE3">
      <w:pPr>
        <w:spacing w:after="0" w:line="240" w:lineRule="auto"/>
        <w:jc w:val="center"/>
        <w:rPr>
          <w:rFonts w:ascii="Garamond" w:hAnsi="Garamond"/>
          <w:b/>
          <w:sz w:val="24"/>
          <w:szCs w:val="24"/>
        </w:rPr>
      </w:pPr>
      <w:r w:rsidRPr="002B0DE3">
        <w:rPr>
          <w:rFonts w:ascii="Garamond" w:hAnsi="Garamond"/>
          <w:b/>
          <w:sz w:val="24"/>
          <w:szCs w:val="24"/>
        </w:rPr>
        <w:t xml:space="preserve">PËR </w:t>
      </w:r>
      <w:r w:rsidR="00496EAA" w:rsidRPr="002B0DE3">
        <w:rPr>
          <w:rFonts w:ascii="Garamond" w:hAnsi="Garamond"/>
          <w:b/>
          <w:sz w:val="24"/>
          <w:szCs w:val="24"/>
        </w:rPr>
        <w:t xml:space="preserve">NORMAT E STREHIMIT, SI DHE KUSHTET E STANDARDET PËR BANESAT SOCIALE ME QIRA QË BLIHEN NË </w:t>
      </w:r>
      <w:r w:rsidRPr="002B0DE3">
        <w:rPr>
          <w:rFonts w:ascii="Garamond" w:hAnsi="Garamond"/>
          <w:b/>
          <w:sz w:val="24"/>
          <w:szCs w:val="24"/>
        </w:rPr>
        <w:t xml:space="preserve">TREG </w:t>
      </w:r>
      <w:r w:rsidR="00496EAA" w:rsidRPr="002B0DE3">
        <w:rPr>
          <w:rFonts w:ascii="Garamond" w:hAnsi="Garamond"/>
          <w:b/>
          <w:sz w:val="24"/>
          <w:szCs w:val="24"/>
        </w:rPr>
        <w:t>DHE BANESAT ME KOSTO TË ULËT</w:t>
      </w:r>
    </w:p>
    <w:p w14:paraId="4DCA45FB" w14:textId="77777777" w:rsidR="00496EAA" w:rsidRPr="002B0DE3" w:rsidRDefault="00496EAA" w:rsidP="002B0DE3">
      <w:pPr>
        <w:spacing w:after="0" w:line="240" w:lineRule="auto"/>
        <w:ind w:firstLine="284"/>
        <w:jc w:val="both"/>
        <w:rPr>
          <w:rFonts w:ascii="Garamond" w:hAnsi="Garamond"/>
          <w:sz w:val="24"/>
          <w:szCs w:val="24"/>
        </w:rPr>
      </w:pPr>
    </w:p>
    <w:p w14:paraId="4DCA45FC" w14:textId="2301A219"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 xml:space="preserve">Në mbështetje të nenit 100 të Kushtetutës dhe të shkronjës “a”, të pikës 1, të nenit 13, të pikës 3, të nenit 21, të pikës 3, të nenit 45, dhe të pikës 3, të nenit 48, të ligjit  nr.22/2018, “Për strehimin social”, me propozimin e ministrit të Financave dhe Ekonomisë, Këshilli i Ministrave </w:t>
      </w:r>
    </w:p>
    <w:p w14:paraId="4DCA45FD" w14:textId="77777777" w:rsidR="00496EAA" w:rsidRPr="002B0DE3" w:rsidRDefault="00496EAA" w:rsidP="002B0DE3">
      <w:pPr>
        <w:spacing w:after="0" w:line="240" w:lineRule="auto"/>
        <w:ind w:firstLine="284"/>
        <w:jc w:val="both"/>
        <w:rPr>
          <w:rFonts w:ascii="Garamond" w:hAnsi="Garamond"/>
          <w:sz w:val="24"/>
          <w:szCs w:val="24"/>
        </w:rPr>
      </w:pPr>
    </w:p>
    <w:p w14:paraId="4DCA45FE" w14:textId="00C931E6" w:rsidR="00496EAA" w:rsidRPr="002B0DE3" w:rsidRDefault="002B0DE3" w:rsidP="002B0DE3">
      <w:pPr>
        <w:spacing w:after="0" w:line="240" w:lineRule="auto"/>
        <w:jc w:val="center"/>
        <w:rPr>
          <w:rFonts w:ascii="Garamond" w:hAnsi="Garamond"/>
          <w:sz w:val="24"/>
          <w:szCs w:val="24"/>
        </w:rPr>
      </w:pPr>
      <w:r>
        <w:rPr>
          <w:rFonts w:ascii="Garamond" w:hAnsi="Garamond"/>
          <w:sz w:val="24"/>
          <w:szCs w:val="24"/>
        </w:rPr>
        <w:t>VENDOS</w:t>
      </w:r>
      <w:r w:rsidR="00496EAA" w:rsidRPr="002B0DE3">
        <w:rPr>
          <w:rFonts w:ascii="Garamond" w:hAnsi="Garamond"/>
          <w:sz w:val="24"/>
          <w:szCs w:val="24"/>
        </w:rPr>
        <w:t>I:</w:t>
      </w:r>
    </w:p>
    <w:p w14:paraId="4DCA45FF" w14:textId="77777777" w:rsidR="00496EAA" w:rsidRPr="002B0DE3" w:rsidRDefault="00496EAA" w:rsidP="002B0DE3">
      <w:pPr>
        <w:spacing w:after="0" w:line="240" w:lineRule="auto"/>
        <w:ind w:firstLine="284"/>
        <w:jc w:val="both"/>
        <w:rPr>
          <w:rFonts w:ascii="Garamond" w:hAnsi="Garamond"/>
          <w:sz w:val="24"/>
          <w:szCs w:val="24"/>
        </w:rPr>
      </w:pPr>
    </w:p>
    <w:p w14:paraId="4DCA4601" w14:textId="10B4545B" w:rsidR="00496EAA" w:rsidRPr="002B0DE3" w:rsidRDefault="002B0DE3" w:rsidP="002B0DE3">
      <w:pPr>
        <w:spacing w:after="0" w:line="240" w:lineRule="auto"/>
        <w:ind w:firstLine="284"/>
        <w:jc w:val="both"/>
        <w:rPr>
          <w:rFonts w:ascii="Garamond" w:hAnsi="Garamond"/>
          <w:sz w:val="24"/>
          <w:szCs w:val="24"/>
        </w:rPr>
      </w:pPr>
      <w:r>
        <w:rPr>
          <w:rFonts w:ascii="Garamond" w:hAnsi="Garamond"/>
          <w:sz w:val="24"/>
          <w:szCs w:val="24"/>
        </w:rPr>
        <w:t xml:space="preserve">1. </w:t>
      </w:r>
      <w:r w:rsidR="00496EAA" w:rsidRPr="002B0DE3">
        <w:rPr>
          <w:rFonts w:ascii="Garamond" w:hAnsi="Garamond"/>
          <w:sz w:val="24"/>
          <w:szCs w:val="24"/>
        </w:rPr>
        <w:t>Ky vendim ka për qëllim të përcaktojë:</w:t>
      </w:r>
    </w:p>
    <w:p w14:paraId="4DCA4603" w14:textId="3EDBBE8B" w:rsidR="00496EAA" w:rsidRPr="002B0DE3" w:rsidRDefault="002B0DE3" w:rsidP="002B0DE3">
      <w:pPr>
        <w:spacing w:after="0" w:line="240" w:lineRule="auto"/>
        <w:ind w:firstLine="284"/>
        <w:jc w:val="both"/>
        <w:rPr>
          <w:rFonts w:ascii="Garamond" w:hAnsi="Garamond"/>
          <w:sz w:val="24"/>
          <w:szCs w:val="24"/>
        </w:rPr>
      </w:pPr>
      <w:r>
        <w:rPr>
          <w:rFonts w:ascii="Garamond" w:hAnsi="Garamond"/>
          <w:sz w:val="24"/>
          <w:szCs w:val="24"/>
        </w:rPr>
        <w:t xml:space="preserve">a) </w:t>
      </w:r>
      <w:r w:rsidR="00496EAA" w:rsidRPr="002B0DE3">
        <w:rPr>
          <w:rFonts w:ascii="Garamond" w:hAnsi="Garamond"/>
          <w:sz w:val="24"/>
          <w:szCs w:val="24"/>
        </w:rPr>
        <w:t>normën e strehimit për familjet që përfitojnë nga programet sociale të strehimit,</w:t>
      </w:r>
    </w:p>
    <w:p w14:paraId="4DCA4604" w14:textId="0F29B995" w:rsidR="00496EAA" w:rsidRPr="002B0DE3" w:rsidRDefault="002B0DE3" w:rsidP="002B0DE3">
      <w:pPr>
        <w:spacing w:after="0" w:line="240" w:lineRule="auto"/>
        <w:ind w:firstLine="284"/>
        <w:jc w:val="both"/>
        <w:rPr>
          <w:rFonts w:ascii="Garamond" w:hAnsi="Garamond"/>
          <w:sz w:val="24"/>
          <w:szCs w:val="24"/>
        </w:rPr>
      </w:pPr>
      <w:r>
        <w:rPr>
          <w:rFonts w:ascii="Garamond" w:hAnsi="Garamond"/>
          <w:sz w:val="24"/>
          <w:szCs w:val="24"/>
        </w:rPr>
        <w:t xml:space="preserve">b) </w:t>
      </w:r>
      <w:r w:rsidR="00496EAA" w:rsidRPr="002B0DE3">
        <w:rPr>
          <w:rFonts w:ascii="Garamond" w:hAnsi="Garamond"/>
          <w:sz w:val="24"/>
          <w:szCs w:val="24"/>
        </w:rPr>
        <w:t>kushtet dhe standardet për banesat sociale me qira që blihen në treg;</w:t>
      </w:r>
    </w:p>
    <w:p w14:paraId="4DCA4605" w14:textId="692196BE" w:rsidR="00496EAA" w:rsidRPr="002B0DE3" w:rsidRDefault="002B0DE3" w:rsidP="002B0DE3">
      <w:pPr>
        <w:spacing w:after="0" w:line="240" w:lineRule="auto"/>
        <w:ind w:firstLine="284"/>
        <w:jc w:val="both"/>
        <w:rPr>
          <w:rFonts w:ascii="Garamond" w:hAnsi="Garamond"/>
          <w:sz w:val="24"/>
          <w:szCs w:val="24"/>
        </w:rPr>
      </w:pPr>
      <w:r>
        <w:rPr>
          <w:rFonts w:ascii="Garamond" w:hAnsi="Garamond"/>
          <w:sz w:val="24"/>
          <w:szCs w:val="24"/>
        </w:rPr>
        <w:t xml:space="preserve">c) </w:t>
      </w:r>
      <w:r w:rsidR="00496EAA" w:rsidRPr="002B0DE3">
        <w:rPr>
          <w:rFonts w:ascii="Garamond" w:hAnsi="Garamond"/>
          <w:sz w:val="24"/>
          <w:szCs w:val="24"/>
        </w:rPr>
        <w:t>standardet e banesave me kosto të ulët.</w:t>
      </w:r>
    </w:p>
    <w:p w14:paraId="4DCA4607" w14:textId="48A0DF79" w:rsidR="00496EAA" w:rsidRPr="002B0DE3" w:rsidRDefault="002B0DE3" w:rsidP="002B0DE3">
      <w:pPr>
        <w:spacing w:after="0" w:line="240" w:lineRule="auto"/>
        <w:ind w:firstLine="284"/>
        <w:jc w:val="both"/>
        <w:rPr>
          <w:rFonts w:ascii="Garamond" w:hAnsi="Garamond"/>
          <w:sz w:val="24"/>
          <w:szCs w:val="24"/>
        </w:rPr>
      </w:pPr>
      <w:r>
        <w:rPr>
          <w:rFonts w:ascii="Garamond" w:hAnsi="Garamond"/>
          <w:sz w:val="24"/>
          <w:szCs w:val="24"/>
        </w:rPr>
        <w:t xml:space="preserve">2. </w:t>
      </w:r>
      <w:r w:rsidR="00496EAA" w:rsidRPr="002B0DE3">
        <w:rPr>
          <w:rFonts w:ascii="Garamond" w:hAnsi="Garamond"/>
          <w:sz w:val="24"/>
          <w:szCs w:val="24"/>
        </w:rPr>
        <w:t xml:space="preserve">Çdo kusht apo standard ndërtimi për banesat sociale sipas programeve të parashikuara në ligjin nr.22/2018, “Për strehimin social”, që nuk është parashikuar në këtë vendim, zbatohet në përputhje me kushtet dhe standardet e ndërtimit në fuqi në Republikën e Shqipërisë. </w:t>
      </w:r>
    </w:p>
    <w:p w14:paraId="4DCA460A" w14:textId="5D4F80C9" w:rsidR="00496EAA" w:rsidRPr="002B0DE3" w:rsidRDefault="002B0DE3" w:rsidP="004936E5">
      <w:pPr>
        <w:spacing w:after="0" w:line="240" w:lineRule="auto"/>
        <w:ind w:firstLine="284"/>
        <w:jc w:val="both"/>
        <w:rPr>
          <w:rFonts w:ascii="Garamond" w:hAnsi="Garamond"/>
          <w:sz w:val="24"/>
          <w:szCs w:val="24"/>
        </w:rPr>
      </w:pPr>
      <w:r>
        <w:rPr>
          <w:rFonts w:ascii="Garamond" w:hAnsi="Garamond"/>
          <w:sz w:val="24"/>
          <w:szCs w:val="24"/>
        </w:rPr>
        <w:t xml:space="preserve">3. </w:t>
      </w:r>
      <w:r w:rsidR="00496EAA" w:rsidRPr="002B0DE3">
        <w:rPr>
          <w:rFonts w:ascii="Garamond" w:hAnsi="Garamond"/>
          <w:sz w:val="24"/>
          <w:szCs w:val="24"/>
        </w:rPr>
        <w:t>Norma e strehimit për programet e strehimit social, në përputhje me parimet e politikave të strehimit, bazuar në nenet 3 deri 10, të ligjit nr.22/2018, “Për strehimin social”, është 30 m</w:t>
      </w:r>
      <w:r w:rsidR="00496EAA" w:rsidRPr="00FE5C15">
        <w:rPr>
          <w:rFonts w:ascii="Garamond" w:hAnsi="Garamond"/>
          <w:sz w:val="24"/>
          <w:szCs w:val="24"/>
          <w:vertAlign w:val="superscript"/>
        </w:rPr>
        <w:t>2</w:t>
      </w:r>
      <w:r w:rsidR="00496EAA" w:rsidRPr="002B0DE3">
        <w:rPr>
          <w:rFonts w:ascii="Garamond" w:hAnsi="Garamond"/>
          <w:sz w:val="24"/>
          <w:szCs w:val="24"/>
        </w:rPr>
        <w:t xml:space="preserve"> sipërfaqe neto për personin e parë. Për çdo person shtesë, sipërfaqja neto shtohet me 10m</w:t>
      </w:r>
      <w:r w:rsidR="00496EAA" w:rsidRPr="00FE5C15">
        <w:rPr>
          <w:rFonts w:ascii="Garamond" w:hAnsi="Garamond"/>
          <w:sz w:val="24"/>
          <w:szCs w:val="24"/>
          <w:vertAlign w:val="superscript"/>
        </w:rPr>
        <w:t>2</w:t>
      </w:r>
      <w:r w:rsidR="00496EAA" w:rsidRPr="002B0DE3">
        <w:rPr>
          <w:rFonts w:ascii="Garamond" w:hAnsi="Garamond"/>
          <w:sz w:val="24"/>
          <w:szCs w:val="24"/>
        </w:rPr>
        <w:t xml:space="preserve"> dhe llogaritet sipas formulës më poshtë:</w:t>
      </w:r>
    </w:p>
    <w:p w14:paraId="4DCA460C" w14:textId="4F462470" w:rsidR="00496EAA" w:rsidRPr="002B0DE3" w:rsidRDefault="00496EAA" w:rsidP="004936E5">
      <w:pPr>
        <w:spacing w:after="0" w:line="240" w:lineRule="auto"/>
        <w:ind w:firstLine="284"/>
        <w:rPr>
          <w:rFonts w:ascii="Garamond" w:hAnsi="Garamond"/>
          <w:sz w:val="24"/>
          <w:szCs w:val="24"/>
        </w:rPr>
      </w:pPr>
      <w:r w:rsidRPr="002B0DE3">
        <w:rPr>
          <w:rFonts w:ascii="Garamond" w:hAnsi="Garamond"/>
          <w:sz w:val="24"/>
          <w:szCs w:val="24"/>
        </w:rPr>
        <w:t>Sipërfaqja Neto e Banesës = 20m</w:t>
      </w:r>
      <w:r w:rsidRPr="004936E5">
        <w:rPr>
          <w:rFonts w:ascii="Garamond" w:hAnsi="Garamond"/>
          <w:sz w:val="24"/>
          <w:szCs w:val="24"/>
          <w:vertAlign w:val="superscript"/>
        </w:rPr>
        <w:t>2</w:t>
      </w:r>
      <w:r w:rsidRPr="002B0DE3">
        <w:rPr>
          <w:rFonts w:ascii="Garamond" w:hAnsi="Garamond"/>
          <w:sz w:val="24"/>
          <w:szCs w:val="24"/>
        </w:rPr>
        <w:t xml:space="preserve"> + N x 10 m</w:t>
      </w:r>
      <w:r w:rsidR="004936E5" w:rsidRPr="00FE5C15">
        <w:rPr>
          <w:rFonts w:ascii="Garamond" w:hAnsi="Garamond"/>
          <w:sz w:val="24"/>
          <w:szCs w:val="24"/>
          <w:vertAlign w:val="superscript"/>
        </w:rPr>
        <w:t>2</w:t>
      </w:r>
    </w:p>
    <w:p w14:paraId="4DCA460E" w14:textId="50F0C403" w:rsidR="00496EAA" w:rsidRPr="002B0DE3" w:rsidRDefault="004936E5" w:rsidP="004936E5">
      <w:pPr>
        <w:spacing w:after="0" w:line="240" w:lineRule="auto"/>
        <w:ind w:firstLine="284"/>
        <w:jc w:val="both"/>
        <w:rPr>
          <w:rFonts w:ascii="Garamond" w:hAnsi="Garamond"/>
          <w:sz w:val="24"/>
          <w:szCs w:val="24"/>
        </w:rPr>
      </w:pPr>
      <w:r>
        <w:rPr>
          <w:rFonts w:ascii="Garamond" w:hAnsi="Garamond"/>
          <w:sz w:val="24"/>
          <w:szCs w:val="24"/>
        </w:rPr>
        <w:t>Ku:</w:t>
      </w:r>
    </w:p>
    <w:p w14:paraId="4DCA460F" w14:textId="73C11254"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Sipërfaqja neto e banesës: </w:t>
      </w:r>
      <w:r w:rsidR="00496EAA" w:rsidRPr="002B0DE3">
        <w:rPr>
          <w:rFonts w:ascii="Garamond" w:hAnsi="Garamond"/>
          <w:sz w:val="24"/>
          <w:szCs w:val="24"/>
        </w:rPr>
        <w:t xml:space="preserve">është sipërfaqja e shfrytëzimit pa muret e brendshme dhe perimetralë, e quajtur ndryshe si sipërfaqja e përdorshme ose e shkeljes. </w:t>
      </w:r>
    </w:p>
    <w:p w14:paraId="4DCA4611" w14:textId="6F8E2561"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N </w:t>
      </w:r>
      <w:r w:rsidR="00496EAA" w:rsidRPr="002B0DE3">
        <w:rPr>
          <w:rFonts w:ascii="Garamond" w:hAnsi="Garamond"/>
          <w:sz w:val="24"/>
          <w:szCs w:val="24"/>
        </w:rPr>
        <w:t>është numri i banorëve mbi moshën 5 (pesë) vjeç.</w:t>
      </w:r>
    </w:p>
    <w:p w14:paraId="4DCA4613" w14:textId="3B3CDEB8"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4. </w:t>
      </w:r>
      <w:r w:rsidR="00496EAA" w:rsidRPr="002B0DE3">
        <w:rPr>
          <w:rFonts w:ascii="Garamond" w:hAnsi="Garamond"/>
          <w:sz w:val="24"/>
          <w:szCs w:val="24"/>
        </w:rPr>
        <w:t>Kur në përbërje të familjes ka një a më shumë persona me aftësi të kufizuara, norma e strehimit për personin e parë është 40m</w:t>
      </w:r>
      <w:r w:rsidR="00496EAA" w:rsidRPr="004936E5">
        <w:rPr>
          <w:rFonts w:ascii="Garamond" w:hAnsi="Garamond"/>
          <w:sz w:val="24"/>
          <w:szCs w:val="24"/>
          <w:vertAlign w:val="superscript"/>
        </w:rPr>
        <w:t>2</w:t>
      </w:r>
      <w:r w:rsidR="00496EAA" w:rsidRPr="002B0DE3">
        <w:rPr>
          <w:rFonts w:ascii="Garamond" w:hAnsi="Garamond"/>
          <w:sz w:val="24"/>
          <w:szCs w:val="24"/>
        </w:rPr>
        <w:t>. Për çdo person shtesë, sipërfaqja neto shtohet me 10m</w:t>
      </w:r>
      <w:r w:rsidR="00496EAA" w:rsidRPr="00FE5C15">
        <w:rPr>
          <w:rFonts w:ascii="Garamond" w:hAnsi="Garamond"/>
          <w:sz w:val="24"/>
          <w:szCs w:val="24"/>
          <w:vertAlign w:val="superscript"/>
        </w:rPr>
        <w:t>2</w:t>
      </w:r>
      <w:r w:rsidR="00496EAA" w:rsidRPr="002B0DE3">
        <w:rPr>
          <w:rFonts w:ascii="Garamond" w:hAnsi="Garamond"/>
          <w:sz w:val="24"/>
          <w:szCs w:val="24"/>
        </w:rPr>
        <w:t xml:space="preserve"> dhe llogaritet sipas formulës:</w:t>
      </w:r>
    </w:p>
    <w:p w14:paraId="4DCA4615" w14:textId="77777777"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Sipërfaqja Neto e Banesës = 30m</w:t>
      </w:r>
      <w:r w:rsidRPr="004936E5">
        <w:rPr>
          <w:rFonts w:ascii="Garamond" w:hAnsi="Garamond"/>
          <w:sz w:val="24"/>
          <w:szCs w:val="24"/>
          <w:vertAlign w:val="superscript"/>
        </w:rPr>
        <w:t>2</w:t>
      </w:r>
      <w:r w:rsidRPr="002B0DE3">
        <w:rPr>
          <w:rFonts w:ascii="Garamond" w:hAnsi="Garamond"/>
          <w:sz w:val="24"/>
          <w:szCs w:val="24"/>
        </w:rPr>
        <w:t xml:space="preserve"> + N x 10m</w:t>
      </w:r>
      <w:r w:rsidRPr="00FE5C15">
        <w:rPr>
          <w:rFonts w:ascii="Garamond" w:hAnsi="Garamond"/>
          <w:sz w:val="24"/>
          <w:szCs w:val="24"/>
          <w:vertAlign w:val="superscript"/>
        </w:rPr>
        <w:t>2</w:t>
      </w:r>
    </w:p>
    <w:p w14:paraId="4DCA4617" w14:textId="77777777"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Ku:</w:t>
      </w:r>
    </w:p>
    <w:p w14:paraId="4DCA4619" w14:textId="0323E6AE"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‘Sipërfaqja neto e banesës’ dhe ‘N’ kanë kuptimin si në pikën 3 të këtij vendimi.</w:t>
      </w:r>
    </w:p>
    <w:p w14:paraId="4DCA461B" w14:textId="0B2770ED"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5. </w:t>
      </w:r>
      <w:r w:rsidR="00496EAA" w:rsidRPr="002B0DE3">
        <w:rPr>
          <w:rFonts w:ascii="Garamond" w:hAnsi="Garamond"/>
          <w:sz w:val="24"/>
          <w:szCs w:val="24"/>
        </w:rPr>
        <w:t>Banesë e mbipopulluar quhet ajo banesë që plotëson njërin ose disa prej kushteve të mëposhtme:</w:t>
      </w:r>
    </w:p>
    <w:p w14:paraId="4DCA461D" w14:textId="72FEB4AB"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a) </w:t>
      </w:r>
      <w:r w:rsidR="00496EAA" w:rsidRPr="002B0DE3">
        <w:rPr>
          <w:rFonts w:ascii="Garamond" w:hAnsi="Garamond"/>
          <w:sz w:val="24"/>
          <w:szCs w:val="24"/>
        </w:rPr>
        <w:t xml:space="preserve">Kur ka sipërfaqe banimi neto më të vogël se norma e strehimit; </w:t>
      </w:r>
    </w:p>
    <w:p w14:paraId="4DCA461E" w14:textId="504B8951"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b) </w:t>
      </w:r>
      <w:r w:rsidR="00496EAA" w:rsidRPr="002B0DE3">
        <w:rPr>
          <w:rFonts w:ascii="Garamond" w:hAnsi="Garamond"/>
          <w:sz w:val="24"/>
          <w:szCs w:val="24"/>
        </w:rPr>
        <w:t>Kur më shumë se dy persona</w:t>
      </w:r>
      <w:r w:rsidR="00003E56" w:rsidRPr="002B0DE3">
        <w:rPr>
          <w:rFonts w:ascii="Garamond" w:hAnsi="Garamond"/>
          <w:sz w:val="24"/>
          <w:szCs w:val="24"/>
        </w:rPr>
        <w:t xml:space="preserve"> që</w:t>
      </w:r>
      <w:r w:rsidR="00496EAA" w:rsidRPr="002B0DE3">
        <w:rPr>
          <w:rFonts w:ascii="Garamond" w:hAnsi="Garamond"/>
          <w:sz w:val="24"/>
          <w:szCs w:val="24"/>
        </w:rPr>
        <w:t xml:space="preserve"> shfrytëzojnë një dhomë gjumi; </w:t>
      </w:r>
    </w:p>
    <w:p w14:paraId="4DCA461F" w14:textId="7CDFC230"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c) </w:t>
      </w:r>
      <w:r w:rsidR="00496EAA" w:rsidRPr="002B0DE3">
        <w:rPr>
          <w:rFonts w:ascii="Garamond" w:hAnsi="Garamond"/>
          <w:sz w:val="24"/>
          <w:szCs w:val="24"/>
        </w:rPr>
        <w:t>Kur dy persona me seks të ndryshëm mbi moshën 10 vjeç dhe që nuk janë në li</w:t>
      </w:r>
      <w:r w:rsidR="00003E56" w:rsidRPr="002B0DE3">
        <w:rPr>
          <w:rFonts w:ascii="Garamond" w:hAnsi="Garamond"/>
          <w:sz w:val="24"/>
          <w:szCs w:val="24"/>
        </w:rPr>
        <w:t>dhje martesore ose bashkëjetese</w:t>
      </w:r>
      <w:r w:rsidR="00496EAA" w:rsidRPr="002B0DE3">
        <w:rPr>
          <w:rFonts w:ascii="Garamond" w:hAnsi="Garamond"/>
          <w:sz w:val="24"/>
          <w:szCs w:val="24"/>
        </w:rPr>
        <w:t xml:space="preserve"> shfrytëzojnë një dhomë gjumi.</w:t>
      </w:r>
    </w:p>
    <w:p w14:paraId="4DCA4621" w14:textId="2F299C81"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6. </w:t>
      </w:r>
      <w:r w:rsidR="00496EAA" w:rsidRPr="002B0DE3">
        <w:rPr>
          <w:rFonts w:ascii="Garamond" w:hAnsi="Garamond"/>
          <w:sz w:val="24"/>
          <w:szCs w:val="24"/>
        </w:rPr>
        <w:t>Një dhomë gjumi në një njësi banimi mund të shfrytëzohet nga:</w:t>
      </w:r>
    </w:p>
    <w:p w14:paraId="4DCA4623" w14:textId="6A65DE72"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 </w:t>
      </w:r>
      <w:r w:rsidR="00496EAA" w:rsidRPr="002B0DE3">
        <w:rPr>
          <w:rFonts w:ascii="Garamond" w:hAnsi="Garamond"/>
          <w:sz w:val="24"/>
          <w:szCs w:val="24"/>
        </w:rPr>
        <w:t>një çift;</w:t>
      </w:r>
    </w:p>
    <w:p w14:paraId="4DCA4624" w14:textId="6113B698"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 </w:t>
      </w:r>
      <w:r w:rsidR="00496EAA" w:rsidRPr="002B0DE3">
        <w:rPr>
          <w:rFonts w:ascii="Garamond" w:hAnsi="Garamond"/>
          <w:sz w:val="24"/>
          <w:szCs w:val="24"/>
        </w:rPr>
        <w:t>dy individë të të njëjtit seks;</w:t>
      </w:r>
    </w:p>
    <w:p w14:paraId="4DCA4625" w14:textId="4C50D6BC"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 </w:t>
      </w:r>
      <w:r w:rsidR="00496EAA" w:rsidRPr="002B0DE3">
        <w:rPr>
          <w:rFonts w:ascii="Garamond" w:hAnsi="Garamond"/>
          <w:sz w:val="24"/>
          <w:szCs w:val="24"/>
        </w:rPr>
        <w:t>2 individë me seks të ndryshëm nën moshën 10 vjeç;</w:t>
      </w:r>
    </w:p>
    <w:p w14:paraId="4DCA4626" w14:textId="544ACB41"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 </w:t>
      </w:r>
      <w:r w:rsidR="00496EAA" w:rsidRPr="002B0DE3">
        <w:rPr>
          <w:rFonts w:ascii="Garamond" w:hAnsi="Garamond"/>
          <w:sz w:val="24"/>
          <w:szCs w:val="24"/>
        </w:rPr>
        <w:t>një individ.</w:t>
      </w:r>
    </w:p>
    <w:p w14:paraId="4DCA4628" w14:textId="5464581A"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7. </w:t>
      </w:r>
      <w:r w:rsidR="00496EAA" w:rsidRPr="002B0DE3">
        <w:rPr>
          <w:rFonts w:ascii="Garamond" w:hAnsi="Garamond"/>
          <w:sz w:val="24"/>
          <w:szCs w:val="24"/>
        </w:rPr>
        <w:t>Norma e shfrytëzimit të hapësirave të banimit pasqyrohet në tabelën nr.1 në vijim.</w:t>
      </w:r>
    </w:p>
    <w:p w14:paraId="4DCA4629" w14:textId="77777777" w:rsidR="00496EAA" w:rsidRDefault="00496EAA" w:rsidP="002B0DE3">
      <w:pPr>
        <w:spacing w:after="0" w:line="240" w:lineRule="auto"/>
        <w:ind w:firstLine="284"/>
        <w:jc w:val="both"/>
        <w:rPr>
          <w:rFonts w:ascii="Garamond" w:hAnsi="Garamond"/>
          <w:sz w:val="24"/>
          <w:szCs w:val="24"/>
        </w:rPr>
      </w:pPr>
    </w:p>
    <w:p w14:paraId="2894AEF8" w14:textId="77777777" w:rsidR="004936E5" w:rsidRDefault="004936E5" w:rsidP="002B0DE3">
      <w:pPr>
        <w:spacing w:after="0" w:line="240" w:lineRule="auto"/>
        <w:ind w:firstLine="284"/>
        <w:jc w:val="both"/>
        <w:rPr>
          <w:rFonts w:ascii="Garamond" w:hAnsi="Garamond"/>
          <w:sz w:val="24"/>
          <w:szCs w:val="24"/>
        </w:rPr>
      </w:pPr>
    </w:p>
    <w:p w14:paraId="6B092B8B" w14:textId="77777777" w:rsidR="004936E5" w:rsidRDefault="004936E5" w:rsidP="002B0DE3">
      <w:pPr>
        <w:spacing w:after="0" w:line="240" w:lineRule="auto"/>
        <w:ind w:firstLine="284"/>
        <w:jc w:val="both"/>
        <w:rPr>
          <w:rFonts w:ascii="Garamond" w:hAnsi="Garamond"/>
          <w:sz w:val="24"/>
          <w:szCs w:val="24"/>
        </w:rPr>
      </w:pPr>
    </w:p>
    <w:p w14:paraId="59D87053" w14:textId="77777777" w:rsidR="004936E5" w:rsidRPr="002B0DE3" w:rsidRDefault="004936E5" w:rsidP="002B0DE3">
      <w:pPr>
        <w:spacing w:after="0" w:line="240" w:lineRule="auto"/>
        <w:ind w:firstLine="284"/>
        <w:jc w:val="both"/>
        <w:rPr>
          <w:rFonts w:ascii="Garamond" w:hAnsi="Garamond"/>
          <w:sz w:val="24"/>
          <w:szCs w:val="24"/>
        </w:rPr>
      </w:pPr>
    </w:p>
    <w:p w14:paraId="4DCA462A" w14:textId="77777777"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lastRenderedPageBreak/>
        <w:t>Tabela 1: Shfrytëzimi i mundshëm i njësive të banimit</w:t>
      </w:r>
    </w:p>
    <w:p w14:paraId="4DCA462B" w14:textId="77777777" w:rsidR="00496EAA" w:rsidRPr="002B0DE3" w:rsidRDefault="00496EAA" w:rsidP="002B0DE3">
      <w:pPr>
        <w:spacing w:after="0" w:line="240" w:lineRule="auto"/>
        <w:ind w:firstLine="284"/>
        <w:jc w:val="both"/>
        <w:rPr>
          <w:rFonts w:ascii="Garamond" w:hAnsi="Garamond"/>
          <w:sz w:val="24"/>
          <w:szCs w:val="24"/>
        </w:rPr>
      </w:pPr>
    </w:p>
    <w:tbl>
      <w:tblPr>
        <w:tblStyle w:val="TableGrid"/>
        <w:tblW w:w="9000" w:type="dxa"/>
        <w:tblInd w:w="355" w:type="dxa"/>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Look w:val="04A0" w:firstRow="1" w:lastRow="0" w:firstColumn="1" w:lastColumn="0" w:noHBand="0" w:noVBand="1"/>
      </w:tblPr>
      <w:tblGrid>
        <w:gridCol w:w="1271"/>
        <w:gridCol w:w="1609"/>
        <w:gridCol w:w="1559"/>
        <w:gridCol w:w="1560"/>
        <w:gridCol w:w="1559"/>
        <w:gridCol w:w="1442"/>
      </w:tblGrid>
      <w:tr w:rsidR="00496EAA" w:rsidRPr="002B0DE3" w14:paraId="4DCA4632" w14:textId="77777777" w:rsidTr="00496EAA">
        <w:trPr>
          <w:trHeight w:val="367"/>
        </w:trPr>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2C"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Tipi i njësisë së banimit</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2D"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Numri i dhomave të gjumit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2E"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N – Numri i banorëve</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2F"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Dhoma 1</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0"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Dhoma 2</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1"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Dhoma 3</w:t>
            </w:r>
          </w:p>
        </w:tc>
      </w:tr>
      <w:tr w:rsidR="00496EAA" w:rsidRPr="002B0DE3" w14:paraId="4DCA4639" w14:textId="77777777" w:rsidTr="00496EAA">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3"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Studio</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4"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5"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1-2</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6"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1P / çift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7"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8"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w:t>
            </w:r>
          </w:p>
        </w:tc>
      </w:tr>
      <w:tr w:rsidR="00496EAA" w:rsidRPr="002B0DE3" w14:paraId="4DCA4640" w14:textId="77777777" w:rsidTr="00496EAA">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A"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1+1</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B"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C"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2</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D"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çift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E"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3F"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w:t>
            </w:r>
          </w:p>
        </w:tc>
      </w:tr>
      <w:tr w:rsidR="00496EAA" w:rsidRPr="002B0DE3" w14:paraId="4DCA4647" w14:textId="77777777" w:rsidTr="00496EAA">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1"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2+1</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2"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2</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3"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3-4</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4"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1P / çift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5"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1P / MM / FF</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6"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w:t>
            </w:r>
          </w:p>
        </w:tc>
      </w:tr>
      <w:tr w:rsidR="00496EAA" w:rsidRPr="002B0DE3" w14:paraId="4DCA464E" w14:textId="77777777" w:rsidTr="00496EAA">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8"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3+1</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9"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3</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A"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4-6</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B"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1P / çift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C"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1P / MM / FF</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DCA464D"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1P / MM / FF</w:t>
            </w:r>
          </w:p>
        </w:tc>
      </w:tr>
    </w:tbl>
    <w:p w14:paraId="4DCA464F" w14:textId="77777777" w:rsidR="00496EAA" w:rsidRPr="002B0DE3" w:rsidRDefault="00496EAA" w:rsidP="002B0DE3">
      <w:pPr>
        <w:spacing w:after="0" w:line="240" w:lineRule="auto"/>
        <w:ind w:firstLine="284"/>
        <w:jc w:val="both"/>
        <w:rPr>
          <w:rFonts w:ascii="Garamond" w:hAnsi="Garamond"/>
          <w:sz w:val="24"/>
          <w:szCs w:val="24"/>
        </w:rPr>
      </w:pPr>
    </w:p>
    <w:p w14:paraId="4DCA4650" w14:textId="69A871AA"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8. </w:t>
      </w:r>
      <w:r w:rsidR="00496EAA" w:rsidRPr="002B0DE3">
        <w:rPr>
          <w:rFonts w:ascii="Garamond" w:hAnsi="Garamond"/>
          <w:sz w:val="24"/>
          <w:szCs w:val="24"/>
        </w:rPr>
        <w:t>Kushtet dhe standardet e parashikuara në këtë vendim zbatohen nga njësitë e vetëqeverisjes vendore dhe Enti Kombëtar i Banesave, si dhe çdo institucion tjetër publik ose privat, për programet e mëposhtme të strehimit social:</w:t>
      </w:r>
    </w:p>
    <w:p w14:paraId="4DCA4652" w14:textId="7E1D8396"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a) </w:t>
      </w:r>
      <w:r w:rsidR="00496EAA" w:rsidRPr="002B0DE3">
        <w:rPr>
          <w:rFonts w:ascii="Garamond" w:hAnsi="Garamond"/>
          <w:sz w:val="24"/>
          <w:szCs w:val="24"/>
        </w:rPr>
        <w:t>Programi i banesave sociale me qira (BSQ);</w:t>
      </w:r>
    </w:p>
    <w:p w14:paraId="4DCA4653" w14:textId="4D4E02DC"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b) </w:t>
      </w:r>
      <w:r w:rsidR="00496EAA" w:rsidRPr="002B0DE3">
        <w:rPr>
          <w:rFonts w:ascii="Garamond" w:hAnsi="Garamond"/>
          <w:sz w:val="24"/>
          <w:szCs w:val="24"/>
        </w:rPr>
        <w:t xml:space="preserve">Programi i banesave me kosto të ulët (BKU). </w:t>
      </w:r>
    </w:p>
    <w:p w14:paraId="4DCA4655" w14:textId="0E8BD528"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9. </w:t>
      </w:r>
      <w:r w:rsidR="00496EAA" w:rsidRPr="002B0DE3">
        <w:rPr>
          <w:rFonts w:ascii="Garamond" w:hAnsi="Garamond"/>
          <w:sz w:val="24"/>
          <w:szCs w:val="24"/>
        </w:rPr>
        <w:t>Banesat sociale ndërtohen, blihen nga tregu apo përshtaten në zona të cilat plotësojnë kushtet e mëposhtme:</w:t>
      </w:r>
    </w:p>
    <w:p w14:paraId="4DCA4657" w14:textId="257D05D2" w:rsidR="00496EAA" w:rsidRPr="002B0DE3" w:rsidRDefault="004936E5" w:rsidP="002B0DE3">
      <w:pPr>
        <w:spacing w:after="0" w:line="240" w:lineRule="auto"/>
        <w:ind w:firstLine="284"/>
        <w:jc w:val="both"/>
        <w:rPr>
          <w:rFonts w:ascii="Garamond" w:hAnsi="Garamond"/>
          <w:sz w:val="24"/>
          <w:szCs w:val="24"/>
        </w:rPr>
      </w:pPr>
      <w:bookmarkStart w:id="0" w:name="_Hlk12621063"/>
      <w:r>
        <w:rPr>
          <w:rFonts w:ascii="Garamond" w:hAnsi="Garamond"/>
          <w:sz w:val="24"/>
          <w:szCs w:val="24"/>
        </w:rPr>
        <w:t xml:space="preserve">a) </w:t>
      </w:r>
      <w:r w:rsidR="00496EAA" w:rsidRPr="002B0DE3">
        <w:rPr>
          <w:rFonts w:ascii="Garamond" w:hAnsi="Garamond"/>
          <w:sz w:val="24"/>
          <w:szCs w:val="24"/>
        </w:rPr>
        <w:t>Janë të pastra nga ndotja e ajrit, ndotja e tokës apo forma të tjera që përbëjnë rreziqe shëndetësore, kërcënime dhe rreziqe natyrore ose njerëzore, sipas legjislacionit në fuqi mbi mbrojtjen civile, mbrojtjen e mjedisit dhe cilësinë e ajrit në mjedis;</w:t>
      </w:r>
    </w:p>
    <w:p w14:paraId="4DCA4658" w14:textId="48551C29"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b) </w:t>
      </w:r>
      <w:r w:rsidR="00496EAA" w:rsidRPr="002B0DE3">
        <w:rPr>
          <w:rFonts w:ascii="Garamond" w:hAnsi="Garamond"/>
          <w:sz w:val="24"/>
          <w:szCs w:val="24"/>
        </w:rPr>
        <w:t>Janë të ekspozuara mirë ndaj rrezatimit diellor;</w:t>
      </w:r>
    </w:p>
    <w:p w14:paraId="4DCA4659" w14:textId="042626B1"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c) </w:t>
      </w:r>
      <w:r w:rsidR="00496EAA" w:rsidRPr="002B0DE3">
        <w:rPr>
          <w:rFonts w:ascii="Garamond" w:hAnsi="Garamond"/>
          <w:sz w:val="24"/>
          <w:szCs w:val="24"/>
        </w:rPr>
        <w:t>Respektojnë legjislacionin në fuqi lidhur me ekspozimin ndaj nivelit të zhurmave;</w:t>
      </w:r>
    </w:p>
    <w:p w14:paraId="4DCA465A" w14:textId="77777777"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ç) Ofrojnë akses të automjeteve, furnizim me ujë dhe energji elektrike;</w:t>
      </w:r>
    </w:p>
    <w:p w14:paraId="4DCA465B" w14:textId="46A706F4"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d) </w:t>
      </w:r>
      <w:r w:rsidR="00496EAA" w:rsidRPr="002B0DE3">
        <w:rPr>
          <w:rFonts w:ascii="Garamond" w:hAnsi="Garamond"/>
          <w:sz w:val="24"/>
          <w:szCs w:val="24"/>
        </w:rPr>
        <w:t>Mundësojnë akses në shërbimet publike bazë në distancë të përshkueshme në këmbë ose përmes transportit të rregullt publik.</w:t>
      </w:r>
    </w:p>
    <w:bookmarkEnd w:id="0"/>
    <w:p w14:paraId="4DCA465D" w14:textId="10C29064"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10. </w:t>
      </w:r>
      <w:r w:rsidR="00496EAA" w:rsidRPr="002B0DE3">
        <w:rPr>
          <w:rFonts w:ascii="Garamond" w:hAnsi="Garamond"/>
          <w:sz w:val="24"/>
          <w:szCs w:val="24"/>
        </w:rPr>
        <w:t>Banesat sociale, që ndërtohen, blihen nga tregu ose përshtaten, përmbushin të gjitha rregullat në fuqi në respektim të mjedisit, si dhe kushtet e mëposhtme:</w:t>
      </w:r>
    </w:p>
    <w:p w14:paraId="4DCA465F" w14:textId="132A0653"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a) </w:t>
      </w:r>
      <w:r w:rsidR="00496EAA" w:rsidRPr="002B0DE3">
        <w:rPr>
          <w:rFonts w:ascii="Garamond" w:hAnsi="Garamond"/>
          <w:sz w:val="24"/>
          <w:szCs w:val="24"/>
        </w:rPr>
        <w:t>Konsumi i energjisë të jetë në përputhje me legjislacionin në fuqi për performancën  energjetike të ndërtesave;</w:t>
      </w:r>
    </w:p>
    <w:p w14:paraId="4DCA4660" w14:textId="4E416842"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b) </w:t>
      </w:r>
      <w:r w:rsidR="00496EAA" w:rsidRPr="002B0DE3">
        <w:rPr>
          <w:rFonts w:ascii="Garamond" w:hAnsi="Garamond"/>
          <w:sz w:val="24"/>
          <w:szCs w:val="24"/>
        </w:rPr>
        <w:t>Përqendrimi i nivelit të radonit në mjediset e brendshme të jetë sipas parashikimeve në legjislacionin në fuqi.</w:t>
      </w:r>
    </w:p>
    <w:p w14:paraId="4DCA4662" w14:textId="3E49781B"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11. </w:t>
      </w:r>
      <w:r w:rsidR="00496EAA" w:rsidRPr="002B0DE3">
        <w:rPr>
          <w:rFonts w:ascii="Garamond" w:hAnsi="Garamond"/>
          <w:sz w:val="24"/>
          <w:szCs w:val="24"/>
        </w:rPr>
        <w:t>Banesat sociale, që ndërtohen, blihen nga tregu apo përshtaten, duhet të plotësojnë këto kushte:</w:t>
      </w:r>
    </w:p>
    <w:p w14:paraId="4DCA4664" w14:textId="23916C44"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a) </w:t>
      </w:r>
      <w:r w:rsidR="00496EAA" w:rsidRPr="002B0DE3">
        <w:rPr>
          <w:rFonts w:ascii="Garamond" w:hAnsi="Garamond"/>
          <w:sz w:val="24"/>
          <w:szCs w:val="24"/>
        </w:rPr>
        <w:t>Lartësia minimale dysheme-tavan për hapësirat e banimit në njësitë e banimit nuk duhet të jetë më e vogël se 265 cm;</w:t>
      </w:r>
    </w:p>
    <w:p w14:paraId="4DCA4665" w14:textId="1CF338FC"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b) </w:t>
      </w:r>
      <w:r w:rsidR="00496EAA" w:rsidRPr="002B0DE3">
        <w:rPr>
          <w:rFonts w:ascii="Garamond" w:hAnsi="Garamond"/>
          <w:sz w:val="24"/>
          <w:szCs w:val="24"/>
        </w:rPr>
        <w:t>Lartësia minimale dysheme-tavan për hapësirat e shërbimit dhe në bodrume nuk duhet të jetë më e vogël se 240 cm;</w:t>
      </w:r>
    </w:p>
    <w:p w14:paraId="4DCA4666" w14:textId="39DDCB94"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c) </w:t>
      </w:r>
      <w:r w:rsidR="00496EAA" w:rsidRPr="002B0DE3">
        <w:rPr>
          <w:rFonts w:ascii="Garamond" w:hAnsi="Garamond"/>
          <w:sz w:val="24"/>
          <w:szCs w:val="24"/>
        </w:rPr>
        <w:t>Të</w:t>
      </w:r>
      <w:r w:rsidR="00003E56" w:rsidRPr="002B0DE3">
        <w:rPr>
          <w:rFonts w:ascii="Garamond" w:hAnsi="Garamond"/>
          <w:sz w:val="24"/>
          <w:szCs w:val="24"/>
        </w:rPr>
        <w:t xml:space="preserve"> sigurojnë parkim për biçikleta;</w:t>
      </w:r>
    </w:p>
    <w:p w14:paraId="4DCA4667" w14:textId="49A67F9D"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ç) </w:t>
      </w:r>
      <w:r w:rsidR="00496EAA" w:rsidRPr="002B0DE3">
        <w:rPr>
          <w:rFonts w:ascii="Garamond" w:hAnsi="Garamond"/>
          <w:sz w:val="24"/>
          <w:szCs w:val="24"/>
        </w:rPr>
        <w:t>Të sigurojnë të paktën 1 hapësirë parkimi për çdo 5 njësi banimi, e cila, sipas rastit, mund të jetë brenda ose jashtë ndërtesës;</w:t>
      </w:r>
    </w:p>
    <w:p w14:paraId="4DCA4668" w14:textId="137A8D65"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d) </w:t>
      </w:r>
      <w:r w:rsidR="00496EAA" w:rsidRPr="002B0DE3">
        <w:rPr>
          <w:rFonts w:ascii="Garamond" w:hAnsi="Garamond"/>
          <w:sz w:val="24"/>
          <w:szCs w:val="24"/>
        </w:rPr>
        <w:t xml:space="preserve">Mbështjellësja e ndërtesës të projektohet për të mundësuar që rrjedhja e ajrit të jetë minimale, rezistenca termike të jetë e lartë dhe të eliminohen urat termike, të maksimizohet përfitimi diellor gjatë dimrit dhe të minimizohet gjatë verës; </w:t>
      </w:r>
    </w:p>
    <w:p w14:paraId="4DCA4669" w14:textId="309B3CBD"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 xml:space="preserve">dh) </w:t>
      </w:r>
      <w:r w:rsidRPr="002B0DE3">
        <w:rPr>
          <w:rFonts w:ascii="Garamond" w:hAnsi="Garamond"/>
          <w:sz w:val="24"/>
          <w:szCs w:val="24"/>
        </w:rPr>
        <w:tab/>
        <w:t xml:space="preserve">Orientimi i objekteve të maksimizojë ekspozimin nga jugu dhe sigurimin e ajrosjes tërthore; </w:t>
      </w:r>
    </w:p>
    <w:p w14:paraId="4DCA466A" w14:textId="4E75E804"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e) </w:t>
      </w:r>
      <w:r w:rsidR="00496EAA" w:rsidRPr="002B0DE3">
        <w:rPr>
          <w:rFonts w:ascii="Garamond" w:hAnsi="Garamond"/>
          <w:sz w:val="24"/>
          <w:szCs w:val="24"/>
        </w:rPr>
        <w:t>Fasadat me orientim nga  jugu dhe perëndimi, veçanërisht në zonat me verë të nxehtë, të jenë të pajisura me hijezues;</w:t>
      </w:r>
    </w:p>
    <w:p w14:paraId="4DCA466B" w14:textId="2BE8296E"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ë) </w:t>
      </w:r>
      <w:r w:rsidR="00496EAA" w:rsidRPr="002B0DE3">
        <w:rPr>
          <w:rFonts w:ascii="Garamond" w:hAnsi="Garamond"/>
          <w:sz w:val="24"/>
          <w:szCs w:val="24"/>
        </w:rPr>
        <w:t xml:space="preserve">Kur është e mundur, të sigurojnë instalimin e paneleve diellore për ngrohjen e ujit dhe paneleve fotovoltaike; </w:t>
      </w:r>
    </w:p>
    <w:p w14:paraId="4DCA466C" w14:textId="048A297F"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lastRenderedPageBreak/>
        <w:t xml:space="preserve">f) </w:t>
      </w:r>
      <w:r w:rsidR="00496EAA" w:rsidRPr="002B0DE3">
        <w:rPr>
          <w:rFonts w:ascii="Garamond" w:hAnsi="Garamond"/>
          <w:sz w:val="24"/>
          <w:szCs w:val="24"/>
        </w:rPr>
        <w:t>Në sistemimet e jashtme të ndërtesave të përdoren materiale të përshkueshme, ku  të paktën 20% e sipërfaqes të jetë e përshkueshme;</w:t>
      </w:r>
    </w:p>
    <w:p w14:paraId="4DCA466D" w14:textId="43669A05"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g) </w:t>
      </w:r>
      <w:r w:rsidR="00496EAA" w:rsidRPr="002B0DE3">
        <w:rPr>
          <w:rFonts w:ascii="Garamond" w:hAnsi="Garamond"/>
          <w:sz w:val="24"/>
          <w:szCs w:val="24"/>
        </w:rPr>
        <w:t>Sistemimet e mjediseve të jashtme të maksimizojnë sipërfaqet e gjelbra dhe natyrore dhe të minimizojnë përdorimin e materialeve ndërtimore;</w:t>
      </w:r>
    </w:p>
    <w:p w14:paraId="4DCA466E" w14:textId="6FD474D2"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gj) Të jenë të pajisura me ashensorë të përshtatshëm për akses nga persona me aftësi të kufizuara, në masën një ashensor për jo më shumë se 75 njësi banimi;</w:t>
      </w:r>
    </w:p>
    <w:p w14:paraId="4DCA466F" w14:textId="44929167"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h) </w:t>
      </w:r>
      <w:r w:rsidR="00496EAA" w:rsidRPr="002B0DE3">
        <w:rPr>
          <w:rFonts w:ascii="Garamond" w:hAnsi="Garamond"/>
          <w:sz w:val="24"/>
          <w:szCs w:val="24"/>
        </w:rPr>
        <w:t>Kur është e mundur, të sigurojnë projektimin e tarracave të gjelbra ose mbulesave të shfrytëzueshme si hapësirë sociale për banorët.</w:t>
      </w:r>
    </w:p>
    <w:p w14:paraId="4DCA4671" w14:textId="45E0F2A9"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12. </w:t>
      </w:r>
      <w:r w:rsidR="00496EAA" w:rsidRPr="002B0DE3">
        <w:rPr>
          <w:rFonts w:ascii="Garamond" w:hAnsi="Garamond"/>
          <w:sz w:val="24"/>
          <w:szCs w:val="24"/>
        </w:rPr>
        <w:t>Në ndërtimin e banesave sociale, njësitë e vetëqeverisjes vendore nxisin dhe përhapin shembujt më të mirë në përdorimin e materialeve të ndërtimit miqësore për mjedisin, si materiale të ricikluara, materiale lehtësisht të riciklueshme, materiale për prodhimin e të cilave shkaktohet impakt mjedisor minimal, materiale që mundësojnë kursim të lartë të energjisë etj.</w:t>
      </w:r>
    </w:p>
    <w:p w14:paraId="4DCA4673" w14:textId="03AF1FEE"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13. </w:t>
      </w:r>
      <w:r w:rsidR="00496EAA" w:rsidRPr="002B0DE3">
        <w:rPr>
          <w:rFonts w:ascii="Garamond" w:hAnsi="Garamond"/>
          <w:sz w:val="24"/>
          <w:szCs w:val="24"/>
        </w:rPr>
        <w:t xml:space="preserve">Njësia e banimit në një banesë sociale, që ndërtohet, blihet ose përshtatet, përfshin të paktën një dhomë ndenjieje, një hapësirë ngrënieje, një kuzhinë, një dhomë gjumi për dy veta, një ballkon dhe një banjë. Njësia e banimit mund të jetë edhe një banesë studio apo banesë me një dhomë të vetme (garsonierë), ku të gjitha mjediset e përmendura në këtë pikë të këtij vendimi kombinohen në një hapësirë të vetme, përveç ballkonit dhe banjës, të cilat janë të ndara. </w:t>
      </w:r>
    </w:p>
    <w:p w14:paraId="4DCA4675" w14:textId="70689180"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14. </w:t>
      </w:r>
      <w:r w:rsidR="00496EAA" w:rsidRPr="002B0DE3">
        <w:rPr>
          <w:rFonts w:ascii="Garamond" w:hAnsi="Garamond"/>
          <w:sz w:val="24"/>
          <w:szCs w:val="24"/>
        </w:rPr>
        <w:t>Njësitë e vetëqeverisjes vendore sigurohen që ndërtimet, për të cilat kërkohet leje zhvillimore dhe do të përdoren për strehim social, të jenë të orientuara në mënyrë të tillë që të përfitojnë nga ajrimi natyror dhe rrezatimi diellor, aty ku është e mundur të jenë të orientuara në dy drejtime të horizontit, dhe, të paktën një nga dhomat e banesës të ekspozohet ndaj rrezatimit diellor për të paktën dy orë në ditë, e matur në solsticin dimëror (20-23 dhjetor).</w:t>
      </w:r>
    </w:p>
    <w:p w14:paraId="4DCA4677" w14:textId="76A2C37F"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15. </w:t>
      </w:r>
      <w:r w:rsidR="00496EAA" w:rsidRPr="002B0DE3">
        <w:rPr>
          <w:rFonts w:ascii="Garamond" w:hAnsi="Garamond"/>
          <w:sz w:val="24"/>
          <w:szCs w:val="24"/>
        </w:rPr>
        <w:t>Hapësirat minimale të shfrytëzueshme në një banesë sociale që ndërtohet, blihet ose përshtatet si dhe sipërfaqja neto maksimale e lejuar për llojet më të zakonshme të njësive të banimit janë sipas tabelës nr.2:</w:t>
      </w:r>
    </w:p>
    <w:p w14:paraId="4DCA4678" w14:textId="77777777" w:rsidR="00496EAA" w:rsidRPr="002B0DE3" w:rsidRDefault="00496EAA" w:rsidP="002B0DE3">
      <w:pPr>
        <w:spacing w:after="0" w:line="240" w:lineRule="auto"/>
        <w:ind w:firstLine="284"/>
        <w:jc w:val="both"/>
        <w:rPr>
          <w:rFonts w:ascii="Garamond" w:hAnsi="Garamond"/>
          <w:sz w:val="24"/>
          <w:szCs w:val="24"/>
        </w:rPr>
      </w:pPr>
    </w:p>
    <w:p w14:paraId="4DCA4679" w14:textId="77777777"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Tabela nr. 2: Sipërfaqja neto minimale dhe maksimale për llojet më të zakonshme të njësive të banimit.</w:t>
      </w:r>
    </w:p>
    <w:p w14:paraId="4DCA467A" w14:textId="77777777" w:rsidR="00496EAA" w:rsidRPr="002B0DE3" w:rsidRDefault="00496EAA" w:rsidP="002B0DE3">
      <w:pPr>
        <w:spacing w:after="0" w:line="240" w:lineRule="auto"/>
        <w:ind w:firstLine="284"/>
        <w:jc w:val="both"/>
        <w:rPr>
          <w:rFonts w:ascii="Garamond" w:hAnsi="Garamond"/>
          <w:sz w:val="24"/>
          <w:szCs w:val="24"/>
        </w:rPr>
      </w:pPr>
    </w:p>
    <w:tbl>
      <w:tblPr>
        <w:tblStyle w:val="TableGrid"/>
        <w:tblW w:w="7195" w:type="dxa"/>
        <w:tblInd w:w="805" w:type="dxa"/>
        <w:tblLook w:val="04A0" w:firstRow="1" w:lastRow="0" w:firstColumn="1" w:lastColumn="0" w:noHBand="0" w:noVBand="1"/>
      </w:tblPr>
      <w:tblGrid>
        <w:gridCol w:w="2483"/>
        <w:gridCol w:w="2429"/>
        <w:gridCol w:w="2283"/>
      </w:tblGrid>
      <w:tr w:rsidR="00496EAA" w:rsidRPr="002B0DE3" w14:paraId="4DCA467C" w14:textId="77777777" w:rsidTr="00496EAA">
        <w:tc>
          <w:tcPr>
            <w:tcW w:w="7195" w:type="dxa"/>
            <w:gridSpan w:val="3"/>
            <w:tcBorders>
              <w:top w:val="single" w:sz="4" w:space="0" w:color="auto"/>
              <w:left w:val="single" w:sz="4" w:space="0" w:color="auto"/>
              <w:bottom w:val="single" w:sz="4" w:space="0" w:color="auto"/>
              <w:right w:val="single" w:sz="4" w:space="0" w:color="auto"/>
            </w:tcBorders>
            <w:hideMark/>
          </w:tcPr>
          <w:p w14:paraId="4DCA467B"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Sipërfaqet për çdo lloj banese</w:t>
            </w:r>
          </w:p>
        </w:tc>
      </w:tr>
      <w:tr w:rsidR="00496EAA" w:rsidRPr="002B0DE3" w14:paraId="4DCA467F" w14:textId="77777777" w:rsidTr="00496EAA">
        <w:tc>
          <w:tcPr>
            <w:tcW w:w="2483" w:type="dxa"/>
            <w:vMerge w:val="restart"/>
            <w:tcBorders>
              <w:top w:val="single" w:sz="4" w:space="0" w:color="auto"/>
              <w:left w:val="single" w:sz="4" w:space="0" w:color="auto"/>
              <w:bottom w:val="single" w:sz="4" w:space="0" w:color="auto"/>
              <w:right w:val="single" w:sz="4" w:space="0" w:color="auto"/>
            </w:tcBorders>
            <w:hideMark/>
          </w:tcPr>
          <w:p w14:paraId="4DCA467D"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Tipi i njësisë së banimit</w:t>
            </w:r>
          </w:p>
        </w:tc>
        <w:tc>
          <w:tcPr>
            <w:tcW w:w="4712" w:type="dxa"/>
            <w:gridSpan w:val="2"/>
            <w:tcBorders>
              <w:top w:val="single" w:sz="4" w:space="0" w:color="auto"/>
              <w:left w:val="single" w:sz="4" w:space="0" w:color="auto"/>
              <w:bottom w:val="single" w:sz="4" w:space="0" w:color="auto"/>
              <w:right w:val="single" w:sz="4" w:space="0" w:color="auto"/>
            </w:tcBorders>
            <w:hideMark/>
          </w:tcPr>
          <w:p w14:paraId="4DCA467E"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Sipërfaqja Neto (m2)</w:t>
            </w:r>
          </w:p>
        </w:tc>
      </w:tr>
      <w:tr w:rsidR="00496EAA" w:rsidRPr="002B0DE3" w14:paraId="4DCA4683" w14:textId="77777777" w:rsidTr="00496EAA">
        <w:tc>
          <w:tcPr>
            <w:tcW w:w="0" w:type="auto"/>
            <w:vMerge/>
            <w:tcBorders>
              <w:top w:val="single" w:sz="4" w:space="0" w:color="auto"/>
              <w:left w:val="single" w:sz="4" w:space="0" w:color="auto"/>
              <w:bottom w:val="single" w:sz="4" w:space="0" w:color="auto"/>
              <w:right w:val="single" w:sz="4" w:space="0" w:color="auto"/>
            </w:tcBorders>
            <w:vAlign w:val="center"/>
            <w:hideMark/>
          </w:tcPr>
          <w:p w14:paraId="4DCA4680" w14:textId="77777777" w:rsidR="00496EAA" w:rsidRPr="002B0DE3" w:rsidRDefault="00496EAA" w:rsidP="004936E5">
            <w:pPr>
              <w:spacing w:line="240" w:lineRule="auto"/>
              <w:jc w:val="both"/>
              <w:rPr>
                <w:rFonts w:ascii="Garamond" w:hAnsi="Garamond"/>
                <w:sz w:val="24"/>
                <w:szCs w:val="24"/>
              </w:rPr>
            </w:pPr>
          </w:p>
        </w:tc>
        <w:tc>
          <w:tcPr>
            <w:tcW w:w="2429" w:type="dxa"/>
            <w:tcBorders>
              <w:top w:val="single" w:sz="4" w:space="0" w:color="auto"/>
              <w:left w:val="single" w:sz="4" w:space="0" w:color="auto"/>
              <w:bottom w:val="single" w:sz="4" w:space="0" w:color="auto"/>
              <w:right w:val="single" w:sz="4" w:space="0" w:color="auto"/>
            </w:tcBorders>
            <w:hideMark/>
          </w:tcPr>
          <w:p w14:paraId="4DCA4681"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Minimale</w:t>
            </w:r>
          </w:p>
        </w:tc>
        <w:tc>
          <w:tcPr>
            <w:tcW w:w="2283" w:type="dxa"/>
            <w:tcBorders>
              <w:top w:val="single" w:sz="4" w:space="0" w:color="auto"/>
              <w:left w:val="single" w:sz="4" w:space="0" w:color="auto"/>
              <w:bottom w:val="single" w:sz="4" w:space="0" w:color="auto"/>
              <w:right w:val="single" w:sz="4" w:space="0" w:color="auto"/>
            </w:tcBorders>
            <w:hideMark/>
          </w:tcPr>
          <w:p w14:paraId="4DCA4682"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Maksimale</w:t>
            </w:r>
          </w:p>
        </w:tc>
      </w:tr>
      <w:tr w:rsidR="00496EAA" w:rsidRPr="002B0DE3" w14:paraId="4DCA4687" w14:textId="77777777" w:rsidTr="00496EAA">
        <w:tc>
          <w:tcPr>
            <w:tcW w:w="2483" w:type="dxa"/>
            <w:tcBorders>
              <w:top w:val="single" w:sz="4" w:space="0" w:color="auto"/>
              <w:left w:val="single" w:sz="4" w:space="0" w:color="auto"/>
              <w:bottom w:val="single" w:sz="4" w:space="0" w:color="auto"/>
              <w:right w:val="single" w:sz="4" w:space="0" w:color="auto"/>
            </w:tcBorders>
            <w:hideMark/>
          </w:tcPr>
          <w:p w14:paraId="4DCA4684"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Studio</w:t>
            </w:r>
          </w:p>
        </w:tc>
        <w:tc>
          <w:tcPr>
            <w:tcW w:w="2429" w:type="dxa"/>
            <w:tcBorders>
              <w:top w:val="single" w:sz="4" w:space="0" w:color="auto"/>
              <w:left w:val="single" w:sz="4" w:space="0" w:color="auto"/>
              <w:bottom w:val="single" w:sz="4" w:space="0" w:color="auto"/>
              <w:right w:val="single" w:sz="4" w:space="0" w:color="auto"/>
            </w:tcBorders>
            <w:hideMark/>
          </w:tcPr>
          <w:p w14:paraId="4DCA4685"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30</w:t>
            </w:r>
          </w:p>
        </w:tc>
        <w:tc>
          <w:tcPr>
            <w:tcW w:w="2283" w:type="dxa"/>
            <w:tcBorders>
              <w:top w:val="single" w:sz="4" w:space="0" w:color="auto"/>
              <w:left w:val="single" w:sz="4" w:space="0" w:color="auto"/>
              <w:bottom w:val="single" w:sz="4" w:space="0" w:color="auto"/>
              <w:right w:val="single" w:sz="4" w:space="0" w:color="auto"/>
            </w:tcBorders>
            <w:hideMark/>
          </w:tcPr>
          <w:p w14:paraId="4DCA4686"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45</w:t>
            </w:r>
          </w:p>
        </w:tc>
      </w:tr>
      <w:tr w:rsidR="00496EAA" w:rsidRPr="002B0DE3" w14:paraId="4DCA468B" w14:textId="77777777" w:rsidTr="00496EAA">
        <w:tc>
          <w:tcPr>
            <w:tcW w:w="2483" w:type="dxa"/>
            <w:tcBorders>
              <w:top w:val="single" w:sz="4" w:space="0" w:color="auto"/>
              <w:left w:val="single" w:sz="4" w:space="0" w:color="auto"/>
              <w:bottom w:val="single" w:sz="4" w:space="0" w:color="auto"/>
              <w:right w:val="single" w:sz="4" w:space="0" w:color="auto"/>
            </w:tcBorders>
            <w:hideMark/>
          </w:tcPr>
          <w:p w14:paraId="4DCA4688"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1+1</w:t>
            </w:r>
          </w:p>
        </w:tc>
        <w:tc>
          <w:tcPr>
            <w:tcW w:w="2429" w:type="dxa"/>
            <w:tcBorders>
              <w:top w:val="single" w:sz="4" w:space="0" w:color="auto"/>
              <w:left w:val="single" w:sz="4" w:space="0" w:color="auto"/>
              <w:bottom w:val="single" w:sz="4" w:space="0" w:color="auto"/>
              <w:right w:val="single" w:sz="4" w:space="0" w:color="auto"/>
            </w:tcBorders>
            <w:hideMark/>
          </w:tcPr>
          <w:p w14:paraId="4DCA4689"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40</w:t>
            </w:r>
          </w:p>
        </w:tc>
        <w:tc>
          <w:tcPr>
            <w:tcW w:w="2283" w:type="dxa"/>
            <w:tcBorders>
              <w:top w:val="single" w:sz="4" w:space="0" w:color="auto"/>
              <w:left w:val="single" w:sz="4" w:space="0" w:color="auto"/>
              <w:bottom w:val="single" w:sz="4" w:space="0" w:color="auto"/>
              <w:right w:val="single" w:sz="4" w:space="0" w:color="auto"/>
            </w:tcBorders>
            <w:hideMark/>
          </w:tcPr>
          <w:p w14:paraId="4DCA468A"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55</w:t>
            </w:r>
          </w:p>
        </w:tc>
      </w:tr>
      <w:tr w:rsidR="00496EAA" w:rsidRPr="002B0DE3" w14:paraId="4DCA468F" w14:textId="77777777" w:rsidTr="00496EAA">
        <w:tc>
          <w:tcPr>
            <w:tcW w:w="2483" w:type="dxa"/>
            <w:tcBorders>
              <w:top w:val="single" w:sz="4" w:space="0" w:color="auto"/>
              <w:left w:val="single" w:sz="4" w:space="0" w:color="auto"/>
              <w:bottom w:val="single" w:sz="4" w:space="0" w:color="auto"/>
              <w:right w:val="single" w:sz="4" w:space="0" w:color="auto"/>
            </w:tcBorders>
            <w:hideMark/>
          </w:tcPr>
          <w:p w14:paraId="4DCA468C"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2+1</w:t>
            </w:r>
          </w:p>
        </w:tc>
        <w:tc>
          <w:tcPr>
            <w:tcW w:w="2429" w:type="dxa"/>
            <w:tcBorders>
              <w:top w:val="single" w:sz="4" w:space="0" w:color="auto"/>
              <w:left w:val="single" w:sz="4" w:space="0" w:color="auto"/>
              <w:bottom w:val="single" w:sz="4" w:space="0" w:color="auto"/>
              <w:right w:val="single" w:sz="4" w:space="0" w:color="auto"/>
            </w:tcBorders>
            <w:hideMark/>
          </w:tcPr>
          <w:p w14:paraId="4DCA468D"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50</w:t>
            </w:r>
          </w:p>
        </w:tc>
        <w:tc>
          <w:tcPr>
            <w:tcW w:w="2283" w:type="dxa"/>
            <w:tcBorders>
              <w:top w:val="single" w:sz="4" w:space="0" w:color="auto"/>
              <w:left w:val="single" w:sz="4" w:space="0" w:color="auto"/>
              <w:bottom w:val="single" w:sz="4" w:space="0" w:color="auto"/>
              <w:right w:val="single" w:sz="4" w:space="0" w:color="auto"/>
            </w:tcBorders>
            <w:hideMark/>
          </w:tcPr>
          <w:p w14:paraId="4DCA468E"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81</w:t>
            </w:r>
          </w:p>
        </w:tc>
      </w:tr>
      <w:tr w:rsidR="00496EAA" w:rsidRPr="002B0DE3" w14:paraId="4DCA4693" w14:textId="77777777" w:rsidTr="00496EAA">
        <w:tc>
          <w:tcPr>
            <w:tcW w:w="2483" w:type="dxa"/>
            <w:tcBorders>
              <w:top w:val="single" w:sz="4" w:space="0" w:color="auto"/>
              <w:left w:val="single" w:sz="4" w:space="0" w:color="auto"/>
              <w:bottom w:val="single" w:sz="4" w:space="0" w:color="auto"/>
              <w:right w:val="single" w:sz="4" w:space="0" w:color="auto"/>
            </w:tcBorders>
            <w:hideMark/>
          </w:tcPr>
          <w:p w14:paraId="4DCA4690"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3+1</w:t>
            </w:r>
          </w:p>
        </w:tc>
        <w:tc>
          <w:tcPr>
            <w:tcW w:w="2429" w:type="dxa"/>
            <w:tcBorders>
              <w:top w:val="single" w:sz="4" w:space="0" w:color="auto"/>
              <w:left w:val="single" w:sz="4" w:space="0" w:color="auto"/>
              <w:bottom w:val="single" w:sz="4" w:space="0" w:color="auto"/>
              <w:right w:val="single" w:sz="4" w:space="0" w:color="auto"/>
            </w:tcBorders>
            <w:hideMark/>
          </w:tcPr>
          <w:p w14:paraId="4DCA4691"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60</w:t>
            </w:r>
          </w:p>
        </w:tc>
        <w:tc>
          <w:tcPr>
            <w:tcW w:w="2283" w:type="dxa"/>
            <w:tcBorders>
              <w:top w:val="single" w:sz="4" w:space="0" w:color="auto"/>
              <w:left w:val="single" w:sz="4" w:space="0" w:color="auto"/>
              <w:bottom w:val="single" w:sz="4" w:space="0" w:color="auto"/>
              <w:right w:val="single" w:sz="4" w:space="0" w:color="auto"/>
            </w:tcBorders>
            <w:hideMark/>
          </w:tcPr>
          <w:p w14:paraId="4DCA4692" w14:textId="77777777" w:rsidR="00496EAA" w:rsidRPr="002B0DE3" w:rsidRDefault="00496EAA" w:rsidP="004936E5">
            <w:pPr>
              <w:spacing w:line="240" w:lineRule="auto"/>
              <w:jc w:val="both"/>
              <w:rPr>
                <w:rFonts w:ascii="Garamond" w:hAnsi="Garamond"/>
                <w:sz w:val="24"/>
                <w:szCs w:val="24"/>
              </w:rPr>
            </w:pPr>
            <w:r w:rsidRPr="002B0DE3">
              <w:rPr>
                <w:rFonts w:ascii="Garamond" w:hAnsi="Garamond"/>
                <w:sz w:val="24"/>
                <w:szCs w:val="24"/>
              </w:rPr>
              <w:t>100</w:t>
            </w:r>
          </w:p>
        </w:tc>
      </w:tr>
    </w:tbl>
    <w:p w14:paraId="4DCA4694" w14:textId="77777777" w:rsidR="00496EAA" w:rsidRPr="002B0DE3" w:rsidRDefault="00496EAA" w:rsidP="002B0DE3">
      <w:pPr>
        <w:spacing w:after="0" w:line="240" w:lineRule="auto"/>
        <w:ind w:firstLine="284"/>
        <w:jc w:val="both"/>
        <w:rPr>
          <w:rFonts w:ascii="Garamond" w:hAnsi="Garamond"/>
          <w:sz w:val="24"/>
          <w:szCs w:val="24"/>
        </w:rPr>
      </w:pPr>
    </w:p>
    <w:p w14:paraId="4DCA4695" w14:textId="7E177010"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16. </w:t>
      </w:r>
      <w:r w:rsidR="00496EAA" w:rsidRPr="002B0DE3">
        <w:rPr>
          <w:rFonts w:ascii="Garamond" w:hAnsi="Garamond"/>
          <w:sz w:val="24"/>
          <w:szCs w:val="24"/>
        </w:rPr>
        <w:t>Në njësitë e banimit në banesat sociale që ndërtohen, blihen ose përshtaten, plotësohen këto kushte e standarde:</w:t>
      </w:r>
    </w:p>
    <w:p w14:paraId="4DCA4697" w14:textId="6433224D"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a) </w:t>
      </w:r>
      <w:r w:rsidR="00496EAA" w:rsidRPr="002B0DE3">
        <w:rPr>
          <w:rFonts w:ascii="Garamond" w:hAnsi="Garamond"/>
          <w:sz w:val="24"/>
          <w:szCs w:val="24"/>
        </w:rPr>
        <w:t>Kuzhina duhet të jetë e pajisur me lavapjatë dhe sistem mekanik për nxjerrjen e avujve që vendoset mbi sipërfaqen e gatimit. Në lavapjatë duhet të ketë ujë të nxehtë. Muri pranë lavapjatës dhe rreth sobës së gatimit duhet të vishet me materiale të cilat janë të lehta për t'u pastruar dhe rezistente ndaj temperaturave të larta dhe lagështisë;</w:t>
      </w:r>
    </w:p>
    <w:p w14:paraId="4DCA4698" w14:textId="18B7D3FE"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b) </w:t>
      </w:r>
      <w:r w:rsidR="00496EAA" w:rsidRPr="002B0DE3">
        <w:rPr>
          <w:rFonts w:ascii="Garamond" w:hAnsi="Garamond"/>
          <w:sz w:val="24"/>
          <w:szCs w:val="24"/>
        </w:rPr>
        <w:t xml:space="preserve">Banja duhet të jetë e pajisur me </w:t>
      </w:r>
      <w:r w:rsidR="00003E56" w:rsidRPr="002B0DE3">
        <w:rPr>
          <w:rFonts w:ascii="Garamond" w:hAnsi="Garamond"/>
          <w:sz w:val="24"/>
          <w:szCs w:val="24"/>
        </w:rPr>
        <w:t>W</w:t>
      </w:r>
      <w:r w:rsidR="00496EAA" w:rsidRPr="002B0DE3">
        <w:rPr>
          <w:rFonts w:ascii="Garamond" w:hAnsi="Garamond"/>
          <w:sz w:val="24"/>
          <w:szCs w:val="24"/>
        </w:rPr>
        <w:t>C, lavaman dhe dush. Instalimi i vaskave ose i bideve është në varësi të hapësirës, buxhetit dhe kërkesave specifike. Banja duhet të furnizohet me ujë të nxehtë. Sipërfaqet e mureve të banjës duhet të jenë të trajtuara deri në lartësinë 2m me materiale të cilat pastrohen me lehtësi dhe që janë rezistente ndaj lagështisë. Dyshemeja duhet të jetë e padepërtueshme nga uji dhe rezistente ndaj rrëshqitjes. Në ndërtimet e reja dhe objektet që përshtaten, duhet të sigurohet ajrim mekanik në nivelin 15 (pesëmbëdhjetë) ndërrime të ajrit në orë;</w:t>
      </w:r>
    </w:p>
    <w:p w14:paraId="4DCA4699" w14:textId="5F4C7FF4"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lastRenderedPageBreak/>
        <w:t xml:space="preserve">c) </w:t>
      </w:r>
      <w:r w:rsidR="00496EAA" w:rsidRPr="002B0DE3">
        <w:rPr>
          <w:rFonts w:ascii="Garamond" w:hAnsi="Garamond"/>
          <w:sz w:val="24"/>
          <w:szCs w:val="24"/>
        </w:rPr>
        <w:t xml:space="preserve">Ballkoni, lozha, veranda, tarraca ofrojnë hapësirë për zgjerimin e ambientit të ndenjies në mjedisin e jashtëm. Kur është e mundur, në klima të ftohta, me qëllim përthithjen e energjisë diellore dhe ruajtjen e nxehtësisë në dimër, duhet të sigurohet mbyllja me xham e ballkoneve. Në ndërtimet e reja, rekomandohet që zona e ballkonit të rritet proporcionalisht me numrin e banorëve, duke siguruar së paku 0.6 m²/banor; </w:t>
      </w:r>
    </w:p>
    <w:p w14:paraId="4DCA469A" w14:textId="77777777"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 xml:space="preserve">ç) Dhoma e gjumit duhet të sigurojë hapësirë për shtretër dhe hapësira private për një ose dy banorë. Të gjitha dhomat e gjumit duhet të aksesohen të pavarura, në mënyrë që të mos kalohet përmes asnjërës prej tyre për të hyrë në një dhomë tjetër gjumi. </w:t>
      </w:r>
    </w:p>
    <w:p w14:paraId="4DCA469C" w14:textId="14D594D3" w:rsidR="00496EAA" w:rsidRPr="002B0DE3" w:rsidRDefault="004936E5" w:rsidP="002B0DE3">
      <w:pPr>
        <w:spacing w:after="0" w:line="240" w:lineRule="auto"/>
        <w:ind w:firstLine="284"/>
        <w:jc w:val="both"/>
        <w:rPr>
          <w:rFonts w:ascii="Garamond" w:hAnsi="Garamond"/>
          <w:sz w:val="24"/>
          <w:szCs w:val="24"/>
        </w:rPr>
      </w:pPr>
      <w:bookmarkStart w:id="1" w:name="_Toc12730738"/>
      <w:r>
        <w:rPr>
          <w:rFonts w:ascii="Garamond" w:hAnsi="Garamond"/>
          <w:sz w:val="24"/>
          <w:szCs w:val="24"/>
        </w:rPr>
        <w:t xml:space="preserve">17. </w:t>
      </w:r>
      <w:r w:rsidR="00496EAA" w:rsidRPr="002B0DE3">
        <w:rPr>
          <w:rFonts w:ascii="Garamond" w:hAnsi="Garamond"/>
          <w:sz w:val="24"/>
          <w:szCs w:val="24"/>
        </w:rPr>
        <w:t xml:space="preserve">Njësitë e vetëqeverisjes vendore, Enti Kombëtar i Banesave si dhe çdo institucion tjetër publik ose privat, që zbaton programe sociale strehimi nëpërmjet blerjes së banesave nga tregu, kur është e mundur, duhet të sigurojnë në maksimum zbatimin e kushteve dhe standardeve të përcaktuara në këtë vendim. </w:t>
      </w:r>
    </w:p>
    <w:p w14:paraId="4DCA469E" w14:textId="60BB2CAE"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18. </w:t>
      </w:r>
      <w:r w:rsidR="00496EAA" w:rsidRPr="002B0DE3">
        <w:rPr>
          <w:rFonts w:ascii="Garamond" w:hAnsi="Garamond"/>
          <w:sz w:val="24"/>
          <w:szCs w:val="24"/>
        </w:rPr>
        <w:t>Njësitë e vetëqeverisjes vendore sigurohen që ndërtimet, për të cilat kërkohet leje zhvillimore dhe që do të përdoren për strehim social, të plotësojnë kushtet dhe standardet e parashikuara në këtë vendim.</w:t>
      </w:r>
    </w:p>
    <w:p w14:paraId="4DCA46A0" w14:textId="07ADFABD"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19. </w:t>
      </w:r>
      <w:r w:rsidR="00496EAA" w:rsidRPr="002B0DE3">
        <w:rPr>
          <w:rFonts w:ascii="Garamond" w:hAnsi="Garamond"/>
          <w:sz w:val="24"/>
          <w:szCs w:val="24"/>
        </w:rPr>
        <w:t>Kur është e mundur teknikisht dhe kostot e investimeve janë të arsyeshme, me qëllim përmirësimin e kushteve të banesave sociale të blera në treg apo atyre ekzistuese, mund të bëhen ndërhyrje, veçanërisht për përmirësimin e performancës energjetike të banesës, pastrimin e ajrit ose tokës së ndotur, eliminimin ose reduktimin e zhurmave, eliminimin e lagështirës etj.</w:t>
      </w:r>
      <w:bookmarkEnd w:id="1"/>
    </w:p>
    <w:p w14:paraId="4DCA46A2" w14:textId="3878CAE0" w:rsidR="00496EAA" w:rsidRPr="002B0DE3" w:rsidRDefault="004936E5" w:rsidP="002B0DE3">
      <w:pPr>
        <w:spacing w:after="0" w:line="240" w:lineRule="auto"/>
        <w:ind w:firstLine="284"/>
        <w:jc w:val="both"/>
        <w:rPr>
          <w:rFonts w:ascii="Garamond" w:hAnsi="Garamond"/>
          <w:sz w:val="24"/>
          <w:szCs w:val="24"/>
        </w:rPr>
      </w:pPr>
      <w:r>
        <w:rPr>
          <w:rFonts w:ascii="Garamond" w:hAnsi="Garamond"/>
          <w:sz w:val="24"/>
          <w:szCs w:val="24"/>
        </w:rPr>
        <w:t xml:space="preserve">20. </w:t>
      </w:r>
      <w:r w:rsidR="00496EAA" w:rsidRPr="002B0DE3">
        <w:rPr>
          <w:rFonts w:ascii="Garamond" w:hAnsi="Garamond"/>
          <w:sz w:val="24"/>
          <w:szCs w:val="24"/>
        </w:rPr>
        <w:t>Ngarkohen Enti Kombëtar i Banesave, njësitë e vetëqeverisjes vendore, si dhe çdo institucion tjetër publik a privat që zbaton programe sociale strehimi për zbatimin e këtij vendimi.</w:t>
      </w:r>
    </w:p>
    <w:p w14:paraId="4DCA46A4" w14:textId="673EF7BE" w:rsidR="00496EAA" w:rsidRPr="002B0DE3" w:rsidRDefault="00496EAA" w:rsidP="002B0DE3">
      <w:pPr>
        <w:spacing w:after="0" w:line="240" w:lineRule="auto"/>
        <w:ind w:firstLine="284"/>
        <w:jc w:val="both"/>
        <w:rPr>
          <w:rFonts w:ascii="Garamond" w:hAnsi="Garamond"/>
          <w:sz w:val="24"/>
          <w:szCs w:val="24"/>
        </w:rPr>
      </w:pPr>
      <w:r w:rsidRPr="002B0DE3">
        <w:rPr>
          <w:rFonts w:ascii="Garamond" w:hAnsi="Garamond"/>
          <w:sz w:val="24"/>
          <w:szCs w:val="24"/>
        </w:rPr>
        <w:t>Ky vendim hyn në fuqi pas botimit në</w:t>
      </w:r>
      <w:r w:rsidR="004936E5">
        <w:rPr>
          <w:rFonts w:ascii="Garamond" w:hAnsi="Garamond"/>
          <w:sz w:val="24"/>
          <w:szCs w:val="24"/>
        </w:rPr>
        <w:t xml:space="preserve"> </w:t>
      </w:r>
      <w:r w:rsidRPr="002B0DE3">
        <w:rPr>
          <w:rFonts w:ascii="Garamond" w:hAnsi="Garamond"/>
          <w:sz w:val="24"/>
          <w:szCs w:val="24"/>
        </w:rPr>
        <w:t xml:space="preserve">Fletoren </w:t>
      </w:r>
      <w:r w:rsidR="004936E5" w:rsidRPr="002B0DE3">
        <w:rPr>
          <w:rFonts w:ascii="Garamond" w:hAnsi="Garamond"/>
          <w:sz w:val="24"/>
          <w:szCs w:val="24"/>
        </w:rPr>
        <w:t>Zyrtar</w:t>
      </w:r>
      <w:r w:rsidR="004936E5">
        <w:rPr>
          <w:rFonts w:ascii="Garamond" w:hAnsi="Garamond"/>
          <w:sz w:val="24"/>
          <w:szCs w:val="24"/>
        </w:rPr>
        <w:t>e</w:t>
      </w:r>
      <w:r w:rsidRPr="002B0DE3">
        <w:rPr>
          <w:rFonts w:ascii="Garamond" w:hAnsi="Garamond"/>
          <w:sz w:val="24"/>
          <w:szCs w:val="24"/>
        </w:rPr>
        <w:t>.</w:t>
      </w:r>
    </w:p>
    <w:p w14:paraId="4DCA46A6" w14:textId="77777777" w:rsidR="00496EAA" w:rsidRPr="002B0DE3" w:rsidRDefault="00496EAA" w:rsidP="002B0DE3">
      <w:pPr>
        <w:spacing w:after="0" w:line="240" w:lineRule="auto"/>
        <w:ind w:firstLine="284"/>
        <w:jc w:val="both"/>
        <w:rPr>
          <w:rFonts w:ascii="Garamond" w:hAnsi="Garamond"/>
          <w:sz w:val="24"/>
          <w:szCs w:val="24"/>
        </w:rPr>
      </w:pPr>
    </w:p>
    <w:p w14:paraId="4DCA46A7" w14:textId="50712E5D" w:rsidR="00496EAA" w:rsidRPr="002B0DE3" w:rsidRDefault="004936E5" w:rsidP="004936E5">
      <w:pPr>
        <w:spacing w:after="0" w:line="240" w:lineRule="auto"/>
        <w:ind w:firstLine="284"/>
        <w:jc w:val="right"/>
        <w:rPr>
          <w:rFonts w:ascii="Garamond" w:hAnsi="Garamond"/>
          <w:sz w:val="24"/>
          <w:szCs w:val="24"/>
        </w:rPr>
      </w:pPr>
      <w:r>
        <w:rPr>
          <w:rFonts w:ascii="Garamond" w:hAnsi="Garamond"/>
          <w:sz w:val="24"/>
          <w:szCs w:val="24"/>
        </w:rPr>
        <w:t>KRYEMINIS</w:t>
      </w:r>
      <w:r w:rsidR="00496EAA" w:rsidRPr="002B0DE3">
        <w:rPr>
          <w:rFonts w:ascii="Garamond" w:hAnsi="Garamond"/>
          <w:sz w:val="24"/>
          <w:szCs w:val="24"/>
        </w:rPr>
        <w:t>T</w:t>
      </w:r>
      <w:r w:rsidR="00FE5C15">
        <w:rPr>
          <w:rFonts w:ascii="Garamond" w:hAnsi="Garamond"/>
          <w:sz w:val="24"/>
          <w:szCs w:val="24"/>
        </w:rPr>
        <w:t>Ë</w:t>
      </w:r>
      <w:bookmarkStart w:id="2" w:name="_GoBack"/>
      <w:bookmarkEnd w:id="2"/>
      <w:r>
        <w:rPr>
          <w:rFonts w:ascii="Garamond" w:hAnsi="Garamond"/>
          <w:sz w:val="24"/>
          <w:szCs w:val="24"/>
        </w:rPr>
        <w:t>R</w:t>
      </w:r>
    </w:p>
    <w:p w14:paraId="4DCA46AA" w14:textId="00A7A554" w:rsidR="00496EAA" w:rsidRPr="004936E5" w:rsidRDefault="004936E5" w:rsidP="004936E5">
      <w:pPr>
        <w:spacing w:after="0" w:line="240" w:lineRule="auto"/>
        <w:ind w:firstLine="284"/>
        <w:jc w:val="right"/>
        <w:rPr>
          <w:rFonts w:ascii="Garamond" w:hAnsi="Garamond"/>
          <w:b/>
          <w:sz w:val="24"/>
          <w:szCs w:val="24"/>
        </w:rPr>
      </w:pPr>
      <w:r w:rsidRPr="004936E5">
        <w:rPr>
          <w:rFonts w:ascii="Garamond" w:hAnsi="Garamond"/>
          <w:b/>
          <w:sz w:val="24"/>
          <w:szCs w:val="24"/>
        </w:rPr>
        <w:t>Edi Rama</w:t>
      </w:r>
    </w:p>
    <w:p w14:paraId="4DCA46AB" w14:textId="77777777" w:rsidR="00BF4EE1" w:rsidRPr="002B0DE3" w:rsidRDefault="00BF4EE1" w:rsidP="002B0DE3">
      <w:pPr>
        <w:spacing w:after="0" w:line="240" w:lineRule="auto"/>
        <w:ind w:firstLine="284"/>
        <w:jc w:val="both"/>
        <w:rPr>
          <w:rFonts w:ascii="Garamond" w:hAnsi="Garamond"/>
          <w:sz w:val="24"/>
          <w:szCs w:val="24"/>
        </w:rPr>
      </w:pPr>
    </w:p>
    <w:p w14:paraId="4DCA46B1" w14:textId="77777777" w:rsidR="00F04476" w:rsidRPr="002B0DE3" w:rsidRDefault="00F04476" w:rsidP="002B0DE3">
      <w:pPr>
        <w:spacing w:after="0" w:line="240" w:lineRule="auto"/>
        <w:ind w:firstLine="284"/>
        <w:jc w:val="both"/>
        <w:rPr>
          <w:rFonts w:ascii="Garamond" w:hAnsi="Garamond"/>
          <w:sz w:val="24"/>
          <w:szCs w:val="24"/>
        </w:rPr>
      </w:pPr>
    </w:p>
    <w:sectPr w:rsidR="00F04476" w:rsidRPr="002B0DE3" w:rsidSect="00024904">
      <w:headerReference w:type="default" r:id="rId14"/>
      <w:footerReference w:type="default" r:id="rId1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D8339" w14:textId="77777777" w:rsidR="00FE5C15" w:rsidRDefault="00FE5C15" w:rsidP="00605BCE">
      <w:pPr>
        <w:spacing w:after="0" w:line="240" w:lineRule="auto"/>
      </w:pPr>
      <w:r>
        <w:separator/>
      </w:r>
    </w:p>
  </w:endnote>
  <w:endnote w:type="continuationSeparator" w:id="0">
    <w:p w14:paraId="1AC38760" w14:textId="77777777" w:rsidR="00FE5C15" w:rsidRDefault="00FE5C15" w:rsidP="00605BCE">
      <w:pPr>
        <w:spacing w:after="0" w:line="240" w:lineRule="auto"/>
      </w:pPr>
      <w:r>
        <w:continuationSeparator/>
      </w:r>
    </w:p>
  </w:endnote>
  <w:endnote w:type="continuationNotice" w:id="1">
    <w:p w14:paraId="12BB3078" w14:textId="77777777" w:rsidR="00FE5C15" w:rsidRDefault="00FE5C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A46BB" w14:textId="77777777" w:rsidR="00FE5C15" w:rsidRDefault="00FE5C15">
    <w:pPr>
      <w:spacing w:after="0" w:line="200" w:lineRule="exact"/>
      <w:rPr>
        <w:sz w:val="20"/>
        <w:szCs w:val="20"/>
      </w:rPr>
    </w:pPr>
    <w:r>
      <w:rPr>
        <w:noProof/>
        <w:lang w:val="en-US"/>
      </w:rPr>
      <mc:AlternateContent>
        <mc:Choice Requires="wps">
          <w:drawing>
            <wp:anchor distT="0" distB="0" distL="114300" distR="114300" simplePos="0" relativeHeight="251658240" behindDoc="1" locked="0" layoutInCell="1" allowOverlap="1" wp14:anchorId="4DCA46BC" wp14:editId="4DCA46BD">
              <wp:simplePos x="0" y="0"/>
              <wp:positionH relativeFrom="page">
                <wp:posOffset>6487795</wp:posOffset>
              </wp:positionH>
              <wp:positionV relativeFrom="page">
                <wp:posOffset>10071735</wp:posOffset>
              </wp:positionV>
              <wp:extent cx="203200" cy="177800"/>
              <wp:effectExtent l="127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A46BE" w14:textId="77777777" w:rsidR="00FE5C15" w:rsidRDefault="00FE5C15">
                          <w:pPr>
                            <w:spacing w:after="0" w:line="272" w:lineRule="exact"/>
                            <w:ind w:left="40" w:right="-20"/>
                            <w:rPr>
                              <w:rFonts w:ascii="Book Antiqua" w:eastAsia="Book Antiqua" w:hAnsi="Book Antiqua" w:cs="Book Antiqua"/>
                              <w:sz w:val="24"/>
                              <w:szCs w:val="24"/>
                            </w:rPr>
                          </w:pPr>
                          <w:r>
                            <w:fldChar w:fldCharType="begin"/>
                          </w:r>
                          <w:r>
                            <w:rPr>
                              <w:rFonts w:ascii="Book Antiqua" w:eastAsia="Book Antiqua" w:hAnsi="Book Antiqua" w:cs="Book Antiqua"/>
                              <w:position w:val="1"/>
                              <w:sz w:val="24"/>
                              <w:szCs w:val="24"/>
                            </w:rPr>
                            <w:instrText xml:space="preserve"> PAGE </w:instrText>
                          </w:r>
                          <w:r>
                            <w:fldChar w:fldCharType="separate"/>
                          </w:r>
                          <w:r w:rsidR="00525582">
                            <w:rPr>
                              <w:rFonts w:ascii="Book Antiqua" w:eastAsia="Book Antiqua" w:hAnsi="Book Antiqua" w:cs="Book Antiqua"/>
                              <w:noProof/>
                              <w:position w:val="1"/>
                              <w:sz w:val="24"/>
                              <w:szCs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46BC" id="_x0000_t202" coordsize="21600,21600" o:spt="202" path="m,l,21600r21600,l21600,xe">
              <v:stroke joinstyle="miter"/>
              <v:path gradientshapeok="t" o:connecttype="rect"/>
            </v:shapetype>
            <v:shape id="Text Box 1" o:spid="_x0000_s1026" type="#_x0000_t202" style="position:absolute;margin-left:510.85pt;margin-top:793.05pt;width:16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" filled="f" stroked="f">
              <v:textbox inset="0,0,0,0">
                <w:txbxContent>
                  <w:p w14:paraId="4DCA46BE" w14:textId="77777777" w:rsidR="00FE5C15" w:rsidRDefault="00FE5C15">
                    <w:pPr>
                      <w:spacing w:after="0" w:line="272" w:lineRule="exact"/>
                      <w:ind w:left="40" w:right="-20"/>
                      <w:rPr>
                        <w:rFonts w:ascii="Book Antiqua" w:eastAsia="Book Antiqua" w:hAnsi="Book Antiqua" w:cs="Book Antiqua"/>
                        <w:sz w:val="24"/>
                        <w:szCs w:val="24"/>
                      </w:rPr>
                    </w:pPr>
                    <w:r>
                      <w:fldChar w:fldCharType="begin"/>
                    </w:r>
                    <w:r>
                      <w:rPr>
                        <w:rFonts w:ascii="Book Antiqua" w:eastAsia="Book Antiqua" w:hAnsi="Book Antiqua" w:cs="Book Antiqua"/>
                        <w:position w:val="1"/>
                        <w:sz w:val="24"/>
                        <w:szCs w:val="24"/>
                      </w:rPr>
                      <w:instrText xml:space="preserve"> PAGE </w:instrText>
                    </w:r>
                    <w:r>
                      <w:fldChar w:fldCharType="separate"/>
                    </w:r>
                    <w:r w:rsidR="00525582">
                      <w:rPr>
                        <w:rFonts w:ascii="Book Antiqua" w:eastAsia="Book Antiqua" w:hAnsi="Book Antiqua" w:cs="Book Antiqua"/>
                        <w:noProof/>
                        <w:position w:val="1"/>
                        <w:sz w:val="24"/>
                        <w:szCs w:val="24"/>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A10B5" w14:textId="77777777" w:rsidR="00FE5C15" w:rsidRDefault="00FE5C15" w:rsidP="00605BCE">
      <w:pPr>
        <w:spacing w:after="0" w:line="240" w:lineRule="auto"/>
      </w:pPr>
      <w:r>
        <w:separator/>
      </w:r>
    </w:p>
  </w:footnote>
  <w:footnote w:type="continuationSeparator" w:id="0">
    <w:p w14:paraId="4EE75358" w14:textId="77777777" w:rsidR="00FE5C15" w:rsidRDefault="00FE5C15" w:rsidP="00605BCE">
      <w:pPr>
        <w:spacing w:after="0" w:line="240" w:lineRule="auto"/>
      </w:pPr>
      <w:r>
        <w:continuationSeparator/>
      </w:r>
    </w:p>
  </w:footnote>
  <w:footnote w:type="continuationNotice" w:id="1">
    <w:p w14:paraId="77D8DE26" w14:textId="77777777" w:rsidR="00FE5C15" w:rsidRDefault="00FE5C1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A46BA" w14:textId="77777777" w:rsidR="00FE5C15" w:rsidRDefault="00FE5C15">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A454F"/>
    <w:multiLevelType w:val="hybridMultilevel"/>
    <w:tmpl w:val="406A6CB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3A7AC8"/>
    <w:multiLevelType w:val="hybridMultilevel"/>
    <w:tmpl w:val="55FABF2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97C9A"/>
    <w:multiLevelType w:val="hybridMultilevel"/>
    <w:tmpl w:val="F4C01E76"/>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C500B9"/>
    <w:multiLevelType w:val="hybridMultilevel"/>
    <w:tmpl w:val="AF98E7B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53C5C"/>
    <w:multiLevelType w:val="hybridMultilevel"/>
    <w:tmpl w:val="9E1C469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394B1B"/>
    <w:multiLevelType w:val="hybridMultilevel"/>
    <w:tmpl w:val="4046268C"/>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E46C5D"/>
    <w:multiLevelType w:val="multilevel"/>
    <w:tmpl w:val="F48E6B2C"/>
    <w:lvl w:ilvl="0">
      <w:start w:val="7"/>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single"/>
      </w:rPr>
    </w:lvl>
    <w:lvl w:ilvl="2">
      <w:start w:val="1"/>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7">
    <w:nsid w:val="16ED44D6"/>
    <w:multiLevelType w:val="hybridMultilevel"/>
    <w:tmpl w:val="AD0E7E30"/>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E20020"/>
    <w:multiLevelType w:val="hybridMultilevel"/>
    <w:tmpl w:val="E89E89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685C19"/>
    <w:multiLevelType w:val="hybridMultilevel"/>
    <w:tmpl w:val="E284845C"/>
    <w:lvl w:ilvl="0" w:tplc="44C49E4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B303FC"/>
    <w:multiLevelType w:val="hybridMultilevel"/>
    <w:tmpl w:val="9E0CB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38641F"/>
    <w:multiLevelType w:val="hybridMultilevel"/>
    <w:tmpl w:val="17208390"/>
    <w:lvl w:ilvl="0" w:tplc="8FF88E18">
      <w:start w:val="1"/>
      <w:numFmt w:val="lowerLetter"/>
      <w:lvlText w:val="%1)"/>
      <w:lvlJc w:val="left"/>
      <w:pPr>
        <w:ind w:left="720" w:hanging="360"/>
      </w:pPr>
      <w:rPr>
        <w:rFonts w:ascii="Times New Roman" w:eastAsia="Times New Roman"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486DEA"/>
    <w:multiLevelType w:val="hybridMultilevel"/>
    <w:tmpl w:val="2C0E8ACC"/>
    <w:lvl w:ilvl="0" w:tplc="3AC623B8">
      <w:start w:val="1"/>
      <w:numFmt w:val="decimal"/>
      <w:lvlText w:val="%1."/>
      <w:lvlJc w:val="left"/>
      <w:pPr>
        <w:ind w:left="1440" w:hanging="360"/>
      </w:pPr>
      <w:rPr>
        <w:sz w:val="28"/>
      </w:rPr>
    </w:lvl>
    <w:lvl w:ilvl="1" w:tplc="79624492">
      <w:start w:val="1"/>
      <w:numFmt w:val="lowerLetter"/>
      <w:lvlText w:val="%2)"/>
      <w:lvlJc w:val="left"/>
      <w:pPr>
        <w:ind w:left="2160" w:hanging="360"/>
      </w:pPr>
      <w:rPr>
        <w:rFonts w:ascii="Times New Roman" w:eastAsia="Times New Roman" w:hAnsi="Times New Roman" w:cs="Times New Roman"/>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9637FA0"/>
    <w:multiLevelType w:val="multilevel"/>
    <w:tmpl w:val="F1607ED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A280A7F"/>
    <w:multiLevelType w:val="hybridMultilevel"/>
    <w:tmpl w:val="56927A6C"/>
    <w:lvl w:ilvl="0" w:tplc="FF96C990">
      <w:start w:val="1"/>
      <w:numFmt w:val="lowerLetter"/>
      <w:lvlText w:val="%1)"/>
      <w:lvlJc w:val="left"/>
      <w:pPr>
        <w:ind w:left="1080" w:hanging="360"/>
      </w:pPr>
      <w:rPr>
        <w:rFonts w:ascii="Times New Roman" w:eastAsia="Times New Roman" w:hAnsi="Times New Roman" w:cs="Times New Roman"/>
        <w:sz w:val="28"/>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51295F"/>
    <w:multiLevelType w:val="hybridMultilevel"/>
    <w:tmpl w:val="CBA2BD5A"/>
    <w:lvl w:ilvl="0" w:tplc="04090019">
      <w:start w:val="1"/>
      <w:numFmt w:val="lowerLetter"/>
      <w:lvlText w:val="%1."/>
      <w:lvlJc w:val="left"/>
      <w:pPr>
        <w:ind w:left="720" w:hanging="360"/>
      </w:pPr>
      <w:rPr>
        <w:rFonts w:hint="default"/>
      </w:rPr>
    </w:lvl>
    <w:lvl w:ilvl="1" w:tplc="E5F6AD16">
      <w:start w:val="10"/>
      <w:numFmt w:val="bullet"/>
      <w:lvlText w:val=""/>
      <w:lvlJc w:val="left"/>
      <w:pPr>
        <w:ind w:left="720" w:hanging="360"/>
      </w:pPr>
      <w:rPr>
        <w:rFonts w:ascii="Calibri" w:eastAsiaTheme="minorHAnsi" w:hAnsi="Calibri" w:cs="Calibri"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nsid w:val="31B23D09"/>
    <w:multiLevelType w:val="hybridMultilevel"/>
    <w:tmpl w:val="BE70647E"/>
    <w:lvl w:ilvl="0" w:tplc="96969E8C">
      <w:start w:val="1"/>
      <w:numFmt w:val="decimal"/>
      <w:lvlText w:val="%1."/>
      <w:lvlJc w:val="left"/>
      <w:pPr>
        <w:ind w:left="233" w:hanging="274"/>
      </w:pPr>
      <w:rPr>
        <w:rFonts w:ascii="Times New Roman" w:eastAsia="Times New Roman" w:hAnsi="Times New Roman" w:cs="Times New Roman" w:hint="default"/>
        <w:spacing w:val="-2"/>
        <w:w w:val="103"/>
        <w:sz w:val="24"/>
        <w:szCs w:val="24"/>
      </w:rPr>
    </w:lvl>
    <w:lvl w:ilvl="1" w:tplc="A8CACD00">
      <w:numFmt w:val="bullet"/>
      <w:lvlText w:val="•"/>
      <w:lvlJc w:val="left"/>
      <w:pPr>
        <w:ind w:left="1114" w:hanging="274"/>
      </w:pPr>
      <w:rPr>
        <w:rFonts w:hint="default"/>
      </w:rPr>
    </w:lvl>
    <w:lvl w:ilvl="2" w:tplc="F65AA218">
      <w:numFmt w:val="bullet"/>
      <w:lvlText w:val="•"/>
      <w:lvlJc w:val="left"/>
      <w:pPr>
        <w:ind w:left="1988" w:hanging="274"/>
      </w:pPr>
      <w:rPr>
        <w:rFonts w:hint="default"/>
      </w:rPr>
    </w:lvl>
    <w:lvl w:ilvl="3" w:tplc="139C9C74">
      <w:numFmt w:val="bullet"/>
      <w:lvlText w:val="•"/>
      <w:lvlJc w:val="left"/>
      <w:pPr>
        <w:ind w:left="2862" w:hanging="274"/>
      </w:pPr>
      <w:rPr>
        <w:rFonts w:hint="default"/>
      </w:rPr>
    </w:lvl>
    <w:lvl w:ilvl="4" w:tplc="943A079C">
      <w:numFmt w:val="bullet"/>
      <w:lvlText w:val="•"/>
      <w:lvlJc w:val="left"/>
      <w:pPr>
        <w:ind w:left="3736" w:hanging="274"/>
      </w:pPr>
      <w:rPr>
        <w:rFonts w:hint="default"/>
      </w:rPr>
    </w:lvl>
    <w:lvl w:ilvl="5" w:tplc="38486BD0">
      <w:numFmt w:val="bullet"/>
      <w:lvlText w:val="•"/>
      <w:lvlJc w:val="left"/>
      <w:pPr>
        <w:ind w:left="4610" w:hanging="274"/>
      </w:pPr>
      <w:rPr>
        <w:rFonts w:hint="default"/>
      </w:rPr>
    </w:lvl>
    <w:lvl w:ilvl="6" w:tplc="805E106A">
      <w:numFmt w:val="bullet"/>
      <w:lvlText w:val="•"/>
      <w:lvlJc w:val="left"/>
      <w:pPr>
        <w:ind w:left="5484" w:hanging="274"/>
      </w:pPr>
      <w:rPr>
        <w:rFonts w:hint="default"/>
      </w:rPr>
    </w:lvl>
    <w:lvl w:ilvl="7" w:tplc="00AC1A4E">
      <w:numFmt w:val="bullet"/>
      <w:lvlText w:val="•"/>
      <w:lvlJc w:val="left"/>
      <w:pPr>
        <w:ind w:left="6358" w:hanging="274"/>
      </w:pPr>
      <w:rPr>
        <w:rFonts w:hint="default"/>
      </w:rPr>
    </w:lvl>
    <w:lvl w:ilvl="8" w:tplc="88AA7534">
      <w:numFmt w:val="bullet"/>
      <w:lvlText w:val="•"/>
      <w:lvlJc w:val="left"/>
      <w:pPr>
        <w:ind w:left="7232" w:hanging="274"/>
      </w:pPr>
      <w:rPr>
        <w:rFonts w:hint="default"/>
      </w:rPr>
    </w:lvl>
  </w:abstractNum>
  <w:abstractNum w:abstractNumId="17">
    <w:nsid w:val="35995DAE"/>
    <w:multiLevelType w:val="hybridMultilevel"/>
    <w:tmpl w:val="7B3E60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6450B6"/>
    <w:multiLevelType w:val="hybridMultilevel"/>
    <w:tmpl w:val="4E28CE5C"/>
    <w:lvl w:ilvl="0" w:tplc="1A2EDEB4">
      <w:start w:val="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E71F38"/>
    <w:multiLevelType w:val="hybridMultilevel"/>
    <w:tmpl w:val="028E636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176ACB"/>
    <w:multiLevelType w:val="hybridMultilevel"/>
    <w:tmpl w:val="91FE576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523CCF"/>
    <w:multiLevelType w:val="hybridMultilevel"/>
    <w:tmpl w:val="45BEE1EA"/>
    <w:lvl w:ilvl="0" w:tplc="04090019">
      <w:start w:val="1"/>
      <w:numFmt w:val="lowerLetter"/>
      <w:lvlText w:val="%1."/>
      <w:lvlJc w:val="left"/>
      <w:pPr>
        <w:ind w:left="720" w:hanging="360"/>
      </w:pPr>
      <w:rPr>
        <w:rFonts w:hint="default"/>
      </w:rPr>
    </w:lvl>
    <w:lvl w:ilvl="1" w:tplc="E5F6AD16">
      <w:start w:val="10"/>
      <w:numFmt w:val="bullet"/>
      <w:lvlText w:val=""/>
      <w:lvlJc w:val="left"/>
      <w:pPr>
        <w:ind w:left="720" w:hanging="360"/>
      </w:pPr>
      <w:rPr>
        <w:rFonts w:ascii="Calibri" w:eastAsiaTheme="minorHAnsi" w:hAnsi="Calibri" w:cs="Calibri"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nsid w:val="53D152E4"/>
    <w:multiLevelType w:val="hybridMultilevel"/>
    <w:tmpl w:val="884AE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1A4F79"/>
    <w:multiLevelType w:val="hybridMultilevel"/>
    <w:tmpl w:val="2FE0017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AA959F9"/>
    <w:multiLevelType w:val="hybridMultilevel"/>
    <w:tmpl w:val="F8A4500E"/>
    <w:lvl w:ilvl="0" w:tplc="1A2EDE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245404"/>
    <w:multiLevelType w:val="hybridMultilevel"/>
    <w:tmpl w:val="7D7EEBE0"/>
    <w:lvl w:ilvl="0" w:tplc="8BAA9A38">
      <w:start w:val="1"/>
      <w:numFmt w:val="lowerLetter"/>
      <w:lvlText w:val="%1)"/>
      <w:lvlJc w:val="left"/>
      <w:pPr>
        <w:ind w:left="720" w:hanging="360"/>
      </w:pPr>
      <w:rPr>
        <w:rFonts w:ascii="Times New Roman" w:eastAsia="Times New Roman" w:hAnsi="Times New Roman" w:cs="Times New Roman"/>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5F0932"/>
    <w:multiLevelType w:val="hybridMultilevel"/>
    <w:tmpl w:val="C4FED95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2602E4"/>
    <w:multiLevelType w:val="hybridMultilevel"/>
    <w:tmpl w:val="3ECA19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41A7DB2"/>
    <w:multiLevelType w:val="hybridMultilevel"/>
    <w:tmpl w:val="DA4C576C"/>
    <w:lvl w:ilvl="0" w:tplc="1A2EDE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79319B"/>
    <w:multiLevelType w:val="hybridMultilevel"/>
    <w:tmpl w:val="77F430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7C6288"/>
    <w:multiLevelType w:val="hybridMultilevel"/>
    <w:tmpl w:val="B2DE70C8"/>
    <w:lvl w:ilvl="0" w:tplc="53900E4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4564E1"/>
    <w:multiLevelType w:val="hybridMultilevel"/>
    <w:tmpl w:val="FD7887F2"/>
    <w:lvl w:ilvl="0" w:tplc="1A2EDEB4">
      <w:start w:val="4"/>
      <w:numFmt w:val="bullet"/>
      <w:lvlText w:val="-"/>
      <w:lvlJc w:val="left"/>
      <w:pPr>
        <w:ind w:left="720" w:hanging="360"/>
      </w:pPr>
      <w:rPr>
        <w:rFonts w:ascii="Calibri" w:eastAsiaTheme="minorHAnsi" w:hAnsi="Calibri" w:cstheme="minorBidi" w:hint="default"/>
      </w:rPr>
    </w:lvl>
    <w:lvl w:ilvl="1" w:tplc="E5F6AD16">
      <w:start w:val="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9F2D8C"/>
    <w:multiLevelType w:val="hybridMultilevel"/>
    <w:tmpl w:val="1016A360"/>
    <w:lvl w:ilvl="0" w:tplc="49DCEBD8">
      <w:start w:val="1"/>
      <w:numFmt w:val="lowerLetter"/>
      <w:lvlText w:val="%1)"/>
      <w:lvlJc w:val="left"/>
      <w:pPr>
        <w:ind w:left="720" w:hanging="360"/>
      </w:pPr>
      <w:rPr>
        <w:rFonts w:ascii="Times New Roman" w:eastAsia="Times New Roman"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8A5120"/>
    <w:multiLevelType w:val="hybridMultilevel"/>
    <w:tmpl w:val="12045F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7B35DCE"/>
    <w:multiLevelType w:val="hybridMultilevel"/>
    <w:tmpl w:val="050AC3B6"/>
    <w:lvl w:ilvl="0" w:tplc="D46CB554">
      <w:start w:val="2"/>
      <w:numFmt w:val="bullet"/>
      <w:lvlText w:val="-"/>
      <w:lvlJc w:val="left"/>
      <w:pPr>
        <w:ind w:left="720" w:hanging="360"/>
      </w:pPr>
      <w:rPr>
        <w:rFonts w:ascii="Times New Roman" w:eastAsia="Book Antiqu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8233220"/>
    <w:multiLevelType w:val="hybridMultilevel"/>
    <w:tmpl w:val="75CA50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8651564"/>
    <w:multiLevelType w:val="hybridMultilevel"/>
    <w:tmpl w:val="A642A4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CC96F2C"/>
    <w:multiLevelType w:val="hybridMultilevel"/>
    <w:tmpl w:val="7128AE4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17"/>
  </w:num>
  <w:num w:numId="4">
    <w:abstractNumId w:val="22"/>
  </w:num>
  <w:num w:numId="5">
    <w:abstractNumId w:val="28"/>
  </w:num>
  <w:num w:numId="6">
    <w:abstractNumId w:val="24"/>
  </w:num>
  <w:num w:numId="7">
    <w:abstractNumId w:val="6"/>
  </w:num>
  <w:num w:numId="8">
    <w:abstractNumId w:val="13"/>
  </w:num>
  <w:num w:numId="9">
    <w:abstractNumId w:val="7"/>
  </w:num>
  <w:num w:numId="10">
    <w:abstractNumId w:val="20"/>
  </w:num>
  <w:num w:numId="11">
    <w:abstractNumId w:val="4"/>
  </w:num>
  <w:num w:numId="12">
    <w:abstractNumId w:val="25"/>
  </w:num>
  <w:num w:numId="13">
    <w:abstractNumId w:val="26"/>
  </w:num>
  <w:num w:numId="14">
    <w:abstractNumId w:val="18"/>
  </w:num>
  <w:num w:numId="15">
    <w:abstractNumId w:val="32"/>
  </w:num>
  <w:num w:numId="16">
    <w:abstractNumId w:val="31"/>
  </w:num>
  <w:num w:numId="17">
    <w:abstractNumId w:val="9"/>
  </w:num>
  <w:num w:numId="18">
    <w:abstractNumId w:val="14"/>
  </w:num>
  <w:num w:numId="19">
    <w:abstractNumId w:val="27"/>
  </w:num>
  <w:num w:numId="20">
    <w:abstractNumId w:val="5"/>
  </w:num>
  <w:num w:numId="21">
    <w:abstractNumId w:val="2"/>
  </w:num>
  <w:num w:numId="22">
    <w:abstractNumId w:val="11"/>
  </w:num>
  <w:num w:numId="23">
    <w:abstractNumId w:val="3"/>
  </w:num>
  <w:num w:numId="24">
    <w:abstractNumId w:val="37"/>
  </w:num>
  <w:num w:numId="25">
    <w:abstractNumId w:val="33"/>
  </w:num>
  <w:num w:numId="26">
    <w:abstractNumId w:val="21"/>
  </w:num>
  <w:num w:numId="27">
    <w:abstractNumId w:val="15"/>
  </w:num>
  <w:num w:numId="28">
    <w:abstractNumId w:val="8"/>
  </w:num>
  <w:num w:numId="29">
    <w:abstractNumId w:val="36"/>
  </w:num>
  <w:num w:numId="30">
    <w:abstractNumId w:val="29"/>
  </w:num>
  <w:num w:numId="31">
    <w:abstractNumId w:val="23"/>
  </w:num>
  <w:num w:numId="32">
    <w:abstractNumId w:val="19"/>
  </w:num>
  <w:num w:numId="33">
    <w:abstractNumId w:val="35"/>
  </w:num>
  <w:num w:numId="34">
    <w:abstractNumId w:val="0"/>
  </w:num>
  <w:num w:numId="35">
    <w:abstractNumId w:val="1"/>
  </w:num>
  <w:num w:numId="36">
    <w:abstractNumId w:val="30"/>
  </w:num>
  <w:num w:numId="37">
    <w:abstractNumId w:val="10"/>
  </w:num>
  <w:num w:numId="38">
    <w:abstractNumId w:val="34"/>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15F"/>
    <w:rsid w:val="00003E56"/>
    <w:rsid w:val="00006E8C"/>
    <w:rsid w:val="00020FDB"/>
    <w:rsid w:val="00023887"/>
    <w:rsid w:val="00024904"/>
    <w:rsid w:val="00026129"/>
    <w:rsid w:val="00030B4B"/>
    <w:rsid w:val="0003350B"/>
    <w:rsid w:val="000476CF"/>
    <w:rsid w:val="000508E7"/>
    <w:rsid w:val="00053BBA"/>
    <w:rsid w:val="00094154"/>
    <w:rsid w:val="00095E9F"/>
    <w:rsid w:val="000C1873"/>
    <w:rsid w:val="000C1B21"/>
    <w:rsid w:val="000C759E"/>
    <w:rsid w:val="000D294B"/>
    <w:rsid w:val="000D334B"/>
    <w:rsid w:val="000E11AE"/>
    <w:rsid w:val="001032D3"/>
    <w:rsid w:val="00105565"/>
    <w:rsid w:val="00107252"/>
    <w:rsid w:val="0011038F"/>
    <w:rsid w:val="00111235"/>
    <w:rsid w:val="001237CD"/>
    <w:rsid w:val="00131A67"/>
    <w:rsid w:val="00135358"/>
    <w:rsid w:val="00141683"/>
    <w:rsid w:val="00152B25"/>
    <w:rsid w:val="00154EFE"/>
    <w:rsid w:val="00162164"/>
    <w:rsid w:val="00163F41"/>
    <w:rsid w:val="00170850"/>
    <w:rsid w:val="00174E39"/>
    <w:rsid w:val="00183434"/>
    <w:rsid w:val="001A19BB"/>
    <w:rsid w:val="001A4FD0"/>
    <w:rsid w:val="001B0C15"/>
    <w:rsid w:val="001B7E40"/>
    <w:rsid w:val="001E3864"/>
    <w:rsid w:val="001E54E6"/>
    <w:rsid w:val="001E71A7"/>
    <w:rsid w:val="001E72C3"/>
    <w:rsid w:val="00203D5B"/>
    <w:rsid w:val="00221156"/>
    <w:rsid w:val="002211C5"/>
    <w:rsid w:val="002305CF"/>
    <w:rsid w:val="00233786"/>
    <w:rsid w:val="002349F7"/>
    <w:rsid w:val="00235B14"/>
    <w:rsid w:val="00246B90"/>
    <w:rsid w:val="00247673"/>
    <w:rsid w:val="00254E93"/>
    <w:rsid w:val="002613D4"/>
    <w:rsid w:val="00267996"/>
    <w:rsid w:val="00296C66"/>
    <w:rsid w:val="002A21AC"/>
    <w:rsid w:val="002A57D5"/>
    <w:rsid w:val="002B0029"/>
    <w:rsid w:val="002B0DE3"/>
    <w:rsid w:val="002B2655"/>
    <w:rsid w:val="002C3493"/>
    <w:rsid w:val="002D3927"/>
    <w:rsid w:val="002D5B76"/>
    <w:rsid w:val="002E2A84"/>
    <w:rsid w:val="002E51B9"/>
    <w:rsid w:val="00306CDC"/>
    <w:rsid w:val="00326E43"/>
    <w:rsid w:val="00330C93"/>
    <w:rsid w:val="00366D61"/>
    <w:rsid w:val="00367B6D"/>
    <w:rsid w:val="0038475B"/>
    <w:rsid w:val="003B59F3"/>
    <w:rsid w:val="003B5DCA"/>
    <w:rsid w:val="003C5F20"/>
    <w:rsid w:val="003D178C"/>
    <w:rsid w:val="003D6336"/>
    <w:rsid w:val="003D71A6"/>
    <w:rsid w:val="003E285A"/>
    <w:rsid w:val="003F692A"/>
    <w:rsid w:val="003F7C9F"/>
    <w:rsid w:val="00404056"/>
    <w:rsid w:val="0040551F"/>
    <w:rsid w:val="00406DDA"/>
    <w:rsid w:val="00407378"/>
    <w:rsid w:val="004279ED"/>
    <w:rsid w:val="004360CF"/>
    <w:rsid w:val="00443ACB"/>
    <w:rsid w:val="00445D22"/>
    <w:rsid w:val="00457385"/>
    <w:rsid w:val="00464E1B"/>
    <w:rsid w:val="004936E5"/>
    <w:rsid w:val="00496DC2"/>
    <w:rsid w:val="00496EAA"/>
    <w:rsid w:val="00497339"/>
    <w:rsid w:val="004C2229"/>
    <w:rsid w:val="004C498A"/>
    <w:rsid w:val="004C5FCF"/>
    <w:rsid w:val="004C7B09"/>
    <w:rsid w:val="004D068E"/>
    <w:rsid w:val="004D134F"/>
    <w:rsid w:val="004D24D6"/>
    <w:rsid w:val="004D5D8E"/>
    <w:rsid w:val="004E3E8A"/>
    <w:rsid w:val="004E42D7"/>
    <w:rsid w:val="004F02F1"/>
    <w:rsid w:val="004F1BD4"/>
    <w:rsid w:val="004F1E75"/>
    <w:rsid w:val="005031D2"/>
    <w:rsid w:val="005131A3"/>
    <w:rsid w:val="00525582"/>
    <w:rsid w:val="005571F4"/>
    <w:rsid w:val="00563CAF"/>
    <w:rsid w:val="00587CD0"/>
    <w:rsid w:val="00596242"/>
    <w:rsid w:val="005C6B39"/>
    <w:rsid w:val="005E4F42"/>
    <w:rsid w:val="00602629"/>
    <w:rsid w:val="00605BCE"/>
    <w:rsid w:val="00605D60"/>
    <w:rsid w:val="006246E3"/>
    <w:rsid w:val="006313EB"/>
    <w:rsid w:val="00631E27"/>
    <w:rsid w:val="0065069A"/>
    <w:rsid w:val="00652AAB"/>
    <w:rsid w:val="00662DB9"/>
    <w:rsid w:val="0066564A"/>
    <w:rsid w:val="0067019E"/>
    <w:rsid w:val="00670EDB"/>
    <w:rsid w:val="00685721"/>
    <w:rsid w:val="00695B12"/>
    <w:rsid w:val="006965CB"/>
    <w:rsid w:val="006A0BAF"/>
    <w:rsid w:val="006A5C4A"/>
    <w:rsid w:val="006A7346"/>
    <w:rsid w:val="006B38F6"/>
    <w:rsid w:val="006B42D4"/>
    <w:rsid w:val="006C21EA"/>
    <w:rsid w:val="006C23FF"/>
    <w:rsid w:val="006C5912"/>
    <w:rsid w:val="006E5735"/>
    <w:rsid w:val="006E5AD3"/>
    <w:rsid w:val="006E7B90"/>
    <w:rsid w:val="007042EE"/>
    <w:rsid w:val="007144DA"/>
    <w:rsid w:val="00714DBD"/>
    <w:rsid w:val="00715375"/>
    <w:rsid w:val="00733EB4"/>
    <w:rsid w:val="00734036"/>
    <w:rsid w:val="00752F22"/>
    <w:rsid w:val="007570EA"/>
    <w:rsid w:val="00765846"/>
    <w:rsid w:val="00766954"/>
    <w:rsid w:val="00781685"/>
    <w:rsid w:val="0078515F"/>
    <w:rsid w:val="00792199"/>
    <w:rsid w:val="007947E0"/>
    <w:rsid w:val="007A7F92"/>
    <w:rsid w:val="007C42EA"/>
    <w:rsid w:val="007C43FA"/>
    <w:rsid w:val="007E4714"/>
    <w:rsid w:val="00806A9F"/>
    <w:rsid w:val="00807B47"/>
    <w:rsid w:val="00822234"/>
    <w:rsid w:val="00845618"/>
    <w:rsid w:val="008635BD"/>
    <w:rsid w:val="0087551A"/>
    <w:rsid w:val="00875E4A"/>
    <w:rsid w:val="00881FA3"/>
    <w:rsid w:val="00890197"/>
    <w:rsid w:val="00890DF8"/>
    <w:rsid w:val="008918CB"/>
    <w:rsid w:val="008925BE"/>
    <w:rsid w:val="008A227F"/>
    <w:rsid w:val="008A3BFF"/>
    <w:rsid w:val="008C179D"/>
    <w:rsid w:val="008C487B"/>
    <w:rsid w:val="008C67F2"/>
    <w:rsid w:val="008D2049"/>
    <w:rsid w:val="008E60FB"/>
    <w:rsid w:val="008F4D94"/>
    <w:rsid w:val="009000D2"/>
    <w:rsid w:val="00906DBF"/>
    <w:rsid w:val="00924331"/>
    <w:rsid w:val="009256A9"/>
    <w:rsid w:val="00927410"/>
    <w:rsid w:val="00930053"/>
    <w:rsid w:val="00936ACE"/>
    <w:rsid w:val="00945ABA"/>
    <w:rsid w:val="00954E5B"/>
    <w:rsid w:val="009636BD"/>
    <w:rsid w:val="00965D77"/>
    <w:rsid w:val="00974180"/>
    <w:rsid w:val="00980C70"/>
    <w:rsid w:val="00982508"/>
    <w:rsid w:val="009A0B99"/>
    <w:rsid w:val="009A27C1"/>
    <w:rsid w:val="009A698C"/>
    <w:rsid w:val="009B59F4"/>
    <w:rsid w:val="009C7733"/>
    <w:rsid w:val="009D0AD6"/>
    <w:rsid w:val="009D79AF"/>
    <w:rsid w:val="009E16E0"/>
    <w:rsid w:val="009F5A93"/>
    <w:rsid w:val="009F6637"/>
    <w:rsid w:val="00A167D4"/>
    <w:rsid w:val="00A179D1"/>
    <w:rsid w:val="00A208BD"/>
    <w:rsid w:val="00A22080"/>
    <w:rsid w:val="00A24D84"/>
    <w:rsid w:val="00A32E85"/>
    <w:rsid w:val="00A44CE2"/>
    <w:rsid w:val="00A57A51"/>
    <w:rsid w:val="00A620FB"/>
    <w:rsid w:val="00A65CAA"/>
    <w:rsid w:val="00A80B52"/>
    <w:rsid w:val="00A87BBD"/>
    <w:rsid w:val="00A93D86"/>
    <w:rsid w:val="00A97C39"/>
    <w:rsid w:val="00AA3F90"/>
    <w:rsid w:val="00AB36EF"/>
    <w:rsid w:val="00AB6A9B"/>
    <w:rsid w:val="00AC01F1"/>
    <w:rsid w:val="00AC410C"/>
    <w:rsid w:val="00AD330B"/>
    <w:rsid w:val="00AF0288"/>
    <w:rsid w:val="00B11BA7"/>
    <w:rsid w:val="00B11E57"/>
    <w:rsid w:val="00B168E8"/>
    <w:rsid w:val="00B30897"/>
    <w:rsid w:val="00B34135"/>
    <w:rsid w:val="00B41579"/>
    <w:rsid w:val="00B50766"/>
    <w:rsid w:val="00B55267"/>
    <w:rsid w:val="00B62418"/>
    <w:rsid w:val="00B646CF"/>
    <w:rsid w:val="00B7306F"/>
    <w:rsid w:val="00B82E88"/>
    <w:rsid w:val="00B977B9"/>
    <w:rsid w:val="00BB0319"/>
    <w:rsid w:val="00BB10CA"/>
    <w:rsid w:val="00BD631C"/>
    <w:rsid w:val="00BD63E4"/>
    <w:rsid w:val="00BF06ED"/>
    <w:rsid w:val="00BF327F"/>
    <w:rsid w:val="00BF4EE1"/>
    <w:rsid w:val="00BF7E29"/>
    <w:rsid w:val="00C01AF8"/>
    <w:rsid w:val="00C15D09"/>
    <w:rsid w:val="00C203CF"/>
    <w:rsid w:val="00C35F0F"/>
    <w:rsid w:val="00C37BC0"/>
    <w:rsid w:val="00C4585D"/>
    <w:rsid w:val="00C52AF8"/>
    <w:rsid w:val="00C56F47"/>
    <w:rsid w:val="00C76178"/>
    <w:rsid w:val="00C83EA7"/>
    <w:rsid w:val="00C90F49"/>
    <w:rsid w:val="00C97C01"/>
    <w:rsid w:val="00CA004E"/>
    <w:rsid w:val="00CD7377"/>
    <w:rsid w:val="00CE27DD"/>
    <w:rsid w:val="00CF70E1"/>
    <w:rsid w:val="00D00285"/>
    <w:rsid w:val="00D00A77"/>
    <w:rsid w:val="00D04D05"/>
    <w:rsid w:val="00D2555B"/>
    <w:rsid w:val="00D40E20"/>
    <w:rsid w:val="00D44DBE"/>
    <w:rsid w:val="00D45030"/>
    <w:rsid w:val="00D81200"/>
    <w:rsid w:val="00D82B0A"/>
    <w:rsid w:val="00D8655F"/>
    <w:rsid w:val="00DA0BCC"/>
    <w:rsid w:val="00DA17BF"/>
    <w:rsid w:val="00DA2B6D"/>
    <w:rsid w:val="00DA374A"/>
    <w:rsid w:val="00DA4D75"/>
    <w:rsid w:val="00DC10E0"/>
    <w:rsid w:val="00DC14C1"/>
    <w:rsid w:val="00DD4447"/>
    <w:rsid w:val="00DE0D3C"/>
    <w:rsid w:val="00DE414D"/>
    <w:rsid w:val="00DF26A9"/>
    <w:rsid w:val="00DF4C9A"/>
    <w:rsid w:val="00DF4CF2"/>
    <w:rsid w:val="00E0582F"/>
    <w:rsid w:val="00E1119B"/>
    <w:rsid w:val="00E11FA9"/>
    <w:rsid w:val="00E15708"/>
    <w:rsid w:val="00E15C20"/>
    <w:rsid w:val="00E16AF6"/>
    <w:rsid w:val="00E1768A"/>
    <w:rsid w:val="00E32D9D"/>
    <w:rsid w:val="00E43076"/>
    <w:rsid w:val="00E43BCD"/>
    <w:rsid w:val="00E4621B"/>
    <w:rsid w:val="00E46297"/>
    <w:rsid w:val="00E7009F"/>
    <w:rsid w:val="00E72CAC"/>
    <w:rsid w:val="00E76C70"/>
    <w:rsid w:val="00EB0A86"/>
    <w:rsid w:val="00EB2271"/>
    <w:rsid w:val="00EC39CB"/>
    <w:rsid w:val="00ED2CE4"/>
    <w:rsid w:val="00ED3F71"/>
    <w:rsid w:val="00EE168E"/>
    <w:rsid w:val="00EF0A3F"/>
    <w:rsid w:val="00EF2D65"/>
    <w:rsid w:val="00EF3449"/>
    <w:rsid w:val="00F0009D"/>
    <w:rsid w:val="00F04476"/>
    <w:rsid w:val="00F04DF4"/>
    <w:rsid w:val="00F07BAC"/>
    <w:rsid w:val="00F27401"/>
    <w:rsid w:val="00F44320"/>
    <w:rsid w:val="00F44D1D"/>
    <w:rsid w:val="00F523AA"/>
    <w:rsid w:val="00F6021B"/>
    <w:rsid w:val="00F64B98"/>
    <w:rsid w:val="00F667C5"/>
    <w:rsid w:val="00F75B75"/>
    <w:rsid w:val="00F969DC"/>
    <w:rsid w:val="00FA77D7"/>
    <w:rsid w:val="00FC0AD6"/>
    <w:rsid w:val="00FC2ED0"/>
    <w:rsid w:val="00FD3534"/>
    <w:rsid w:val="00FD46C5"/>
    <w:rsid w:val="00FE21CB"/>
    <w:rsid w:val="00FE3FD1"/>
    <w:rsid w:val="00FE5C15"/>
    <w:rsid w:val="00FF298E"/>
    <w:rsid w:val="00FF4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DCA45EF"/>
  <w15:docId w15:val="{1BF8EA49-7281-4312-BC1C-37E40045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EAA"/>
    <w:pPr>
      <w:spacing w:line="256" w:lineRule="auto"/>
    </w:pPr>
    <w:rPr>
      <w:lang w:val="sq-AL"/>
    </w:rPr>
  </w:style>
  <w:style w:type="paragraph" w:styleId="Heading2">
    <w:name w:val="heading 2"/>
    <w:basedOn w:val="Normal"/>
    <w:next w:val="Normal"/>
    <w:link w:val="Heading2Char"/>
    <w:uiPriority w:val="9"/>
    <w:semiHidden/>
    <w:unhideWhenUsed/>
    <w:qFormat/>
    <w:rsid w:val="00C15D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875E4A"/>
    <w:pPr>
      <w:spacing w:before="100" w:beforeAutospacing="1" w:after="100" w:afterAutospacing="1" w:line="240" w:lineRule="auto"/>
      <w:outlineLvl w:val="2"/>
    </w:pPr>
    <w:rPr>
      <w:rFonts w:ascii="Times New Roman" w:eastAsia="Times New Roman" w:hAnsi="Times New Roman" w:cs="Times New Roman"/>
      <w:b/>
      <w:bCs/>
      <w:sz w:val="24"/>
      <w:szCs w:val="24"/>
      <w:bdr w:val="none" w:sz="0" w:space="0" w:color="auto" w:frame="1"/>
      <w:lang w:val="en-GB"/>
    </w:rPr>
  </w:style>
  <w:style w:type="paragraph" w:styleId="Heading4">
    <w:name w:val="heading 4"/>
    <w:basedOn w:val="Normal"/>
    <w:next w:val="Normal"/>
    <w:link w:val="Heading4Char"/>
    <w:uiPriority w:val="9"/>
    <w:semiHidden/>
    <w:unhideWhenUsed/>
    <w:qFormat/>
    <w:rsid w:val="00927410"/>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7136586280358981926msoplaintext">
    <w:name w:val="m_-7136586280358981926msoplaintext"/>
    <w:basedOn w:val="Normal"/>
    <w:rsid w:val="0078515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7136586280358981926msolistparagraph">
    <w:name w:val="m_-7136586280358981926msolistparagraph"/>
    <w:basedOn w:val="Normal"/>
    <w:rsid w:val="007851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8515F"/>
    <w:rPr>
      <w:color w:val="0000FF"/>
      <w:u w:val="single"/>
    </w:rPr>
  </w:style>
  <w:style w:type="paragraph" w:styleId="ListParagraph">
    <w:name w:val="List Paragraph"/>
    <w:basedOn w:val="Normal"/>
    <w:uiPriority w:val="34"/>
    <w:qFormat/>
    <w:rsid w:val="007042EE"/>
    <w:pPr>
      <w:widowControl w:val="0"/>
      <w:autoSpaceDE w:val="0"/>
      <w:autoSpaceDN w:val="0"/>
      <w:spacing w:after="0" w:line="240" w:lineRule="auto"/>
      <w:ind w:left="234" w:firstLine="678"/>
      <w:jc w:val="both"/>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1E72C3"/>
    <w:rPr>
      <w:sz w:val="16"/>
      <w:szCs w:val="16"/>
    </w:rPr>
  </w:style>
  <w:style w:type="paragraph" w:styleId="CommentText">
    <w:name w:val="annotation text"/>
    <w:basedOn w:val="Normal"/>
    <w:link w:val="CommentTextChar"/>
    <w:uiPriority w:val="99"/>
    <w:unhideWhenUsed/>
    <w:rsid w:val="001E72C3"/>
    <w:pPr>
      <w:spacing w:line="240" w:lineRule="auto"/>
    </w:pPr>
    <w:rPr>
      <w:sz w:val="20"/>
      <w:szCs w:val="20"/>
    </w:rPr>
  </w:style>
  <w:style w:type="character" w:customStyle="1" w:styleId="CommentTextChar">
    <w:name w:val="Comment Text Char"/>
    <w:basedOn w:val="DefaultParagraphFont"/>
    <w:link w:val="CommentText"/>
    <w:uiPriority w:val="99"/>
    <w:rsid w:val="001E72C3"/>
    <w:rPr>
      <w:sz w:val="20"/>
      <w:szCs w:val="20"/>
      <w:lang w:val="sq-AL"/>
    </w:rPr>
  </w:style>
  <w:style w:type="paragraph" w:styleId="CommentSubject">
    <w:name w:val="annotation subject"/>
    <w:basedOn w:val="CommentText"/>
    <w:next w:val="CommentText"/>
    <w:link w:val="CommentSubjectChar"/>
    <w:uiPriority w:val="99"/>
    <w:semiHidden/>
    <w:unhideWhenUsed/>
    <w:rsid w:val="001E72C3"/>
    <w:rPr>
      <w:b/>
      <w:bCs/>
    </w:rPr>
  </w:style>
  <w:style w:type="character" w:customStyle="1" w:styleId="CommentSubjectChar">
    <w:name w:val="Comment Subject Char"/>
    <w:basedOn w:val="CommentTextChar"/>
    <w:link w:val="CommentSubject"/>
    <w:uiPriority w:val="99"/>
    <w:semiHidden/>
    <w:rsid w:val="001E72C3"/>
    <w:rPr>
      <w:b/>
      <w:bCs/>
      <w:sz w:val="20"/>
      <w:szCs w:val="20"/>
      <w:lang w:val="sq-AL"/>
    </w:rPr>
  </w:style>
  <w:style w:type="paragraph" w:styleId="BalloonText">
    <w:name w:val="Balloon Text"/>
    <w:basedOn w:val="Normal"/>
    <w:link w:val="BalloonTextChar"/>
    <w:uiPriority w:val="99"/>
    <w:semiHidden/>
    <w:unhideWhenUsed/>
    <w:rsid w:val="001E72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2C3"/>
    <w:rPr>
      <w:rFonts w:ascii="Segoe UI" w:hAnsi="Segoe UI" w:cs="Segoe UI"/>
      <w:sz w:val="18"/>
      <w:szCs w:val="18"/>
      <w:lang w:val="sq-AL"/>
    </w:rPr>
  </w:style>
  <w:style w:type="paragraph" w:styleId="FootnoteText">
    <w:name w:val="footnote text"/>
    <w:aliases w:val="single space,FOOTNOTES,fn,ft,ADB,pod carou,Footnote Text Char1 Char,Footnote Text Char2 Char Char,Footnote Text Char Char2 Char Char,Footnote Text Char1 Char Char Char,Footnote Text Char Char Char Char Char,fn Char Char,Char,footnote text"/>
    <w:basedOn w:val="Normal"/>
    <w:link w:val="FootnoteTextChar"/>
    <w:uiPriority w:val="99"/>
    <w:unhideWhenUsed/>
    <w:rsid w:val="00605BCE"/>
    <w:pPr>
      <w:spacing w:after="200" w:line="276" w:lineRule="auto"/>
    </w:pPr>
    <w:rPr>
      <w:rFonts w:ascii="Calibri" w:eastAsia="MS Mincho" w:hAnsi="Calibri" w:cs="Times New Roman"/>
      <w:sz w:val="20"/>
      <w:szCs w:val="20"/>
      <w:lang w:val="en-US"/>
    </w:rPr>
  </w:style>
  <w:style w:type="character" w:customStyle="1" w:styleId="FootnoteTextChar">
    <w:name w:val="Footnote Text Char"/>
    <w:aliases w:val="single space Char,FOOTNOTES Char,fn Char,ft Char,ADB Char,pod carou Char,Footnote Text Char1 Char Char,Footnote Text Char2 Char Char Char,Footnote Text Char Char2 Char Char Char,Footnote Text Char1 Char Char Char Char,Char Char"/>
    <w:basedOn w:val="DefaultParagraphFont"/>
    <w:link w:val="FootnoteText"/>
    <w:uiPriority w:val="99"/>
    <w:rsid w:val="00605BCE"/>
    <w:rPr>
      <w:rFonts w:ascii="Calibri" w:eastAsia="MS Mincho" w:hAnsi="Calibri" w:cs="Times New Roman"/>
      <w:sz w:val="20"/>
      <w:szCs w:val="20"/>
    </w:rPr>
  </w:style>
  <w:style w:type="character" w:styleId="FootnoteReference">
    <w:name w:val="footnote reference"/>
    <w:uiPriority w:val="99"/>
    <w:semiHidden/>
    <w:unhideWhenUsed/>
    <w:rsid w:val="00605BCE"/>
    <w:rPr>
      <w:vertAlign w:val="superscript"/>
    </w:rPr>
  </w:style>
  <w:style w:type="table" w:styleId="TableGrid">
    <w:name w:val="Table Grid"/>
    <w:basedOn w:val="TableNormal"/>
    <w:uiPriority w:val="59"/>
    <w:rsid w:val="002E51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875E4A"/>
    <w:rPr>
      <w:rFonts w:ascii="Times New Roman" w:eastAsia="Times New Roman" w:hAnsi="Times New Roman" w:cs="Times New Roman"/>
      <w:b/>
      <w:bCs/>
      <w:sz w:val="24"/>
      <w:szCs w:val="24"/>
      <w:bdr w:val="none" w:sz="0" w:space="0" w:color="auto" w:frame="1"/>
      <w:lang w:val="en-GB"/>
    </w:rPr>
  </w:style>
  <w:style w:type="character" w:customStyle="1" w:styleId="tlid-translation">
    <w:name w:val="tlid-translation"/>
    <w:basedOn w:val="DefaultParagraphFont"/>
    <w:rsid w:val="00875E4A"/>
  </w:style>
  <w:style w:type="character" w:customStyle="1" w:styleId="Heading4Char">
    <w:name w:val="Heading 4 Char"/>
    <w:basedOn w:val="DefaultParagraphFont"/>
    <w:link w:val="Heading4"/>
    <w:uiPriority w:val="9"/>
    <w:semiHidden/>
    <w:rsid w:val="00927410"/>
    <w:rPr>
      <w:rFonts w:asciiTheme="majorHAnsi" w:eastAsiaTheme="majorEastAsia" w:hAnsiTheme="majorHAnsi" w:cstheme="majorBidi"/>
      <w:b/>
      <w:bCs/>
      <w:i/>
      <w:iCs/>
      <w:color w:val="5B9BD5" w:themeColor="accent1"/>
      <w:lang w:val="sq-AL"/>
    </w:rPr>
  </w:style>
  <w:style w:type="paragraph" w:styleId="NormalWeb">
    <w:name w:val="Normal (Web)"/>
    <w:basedOn w:val="Normal"/>
    <w:uiPriority w:val="99"/>
    <w:unhideWhenUsed/>
    <w:rsid w:val="0092741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C15D09"/>
    <w:rPr>
      <w:rFonts w:asciiTheme="majorHAnsi" w:eastAsiaTheme="majorEastAsia" w:hAnsiTheme="majorHAnsi" w:cstheme="majorBidi"/>
      <w:b/>
      <w:bCs/>
      <w:color w:val="5B9BD5" w:themeColor="accent1"/>
      <w:sz w:val="26"/>
      <w:szCs w:val="26"/>
      <w:lang w:val="sq-AL"/>
    </w:rPr>
  </w:style>
  <w:style w:type="paragraph" w:styleId="Header">
    <w:name w:val="header"/>
    <w:basedOn w:val="Normal"/>
    <w:link w:val="HeaderChar"/>
    <w:uiPriority w:val="99"/>
    <w:unhideWhenUsed/>
    <w:rsid w:val="00C52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AF8"/>
    <w:rPr>
      <w:lang w:val="sq-AL"/>
    </w:rPr>
  </w:style>
  <w:style w:type="paragraph" w:styleId="Footer">
    <w:name w:val="footer"/>
    <w:basedOn w:val="Normal"/>
    <w:link w:val="FooterChar"/>
    <w:uiPriority w:val="99"/>
    <w:unhideWhenUsed/>
    <w:rsid w:val="00C52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AF8"/>
    <w:rPr>
      <w:lang w:val="sq-AL"/>
    </w:rPr>
  </w:style>
  <w:style w:type="paragraph" w:styleId="Revision">
    <w:name w:val="Revision"/>
    <w:hidden/>
    <w:uiPriority w:val="99"/>
    <w:semiHidden/>
    <w:rsid w:val="00C52AF8"/>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24380">
      <w:bodyDiv w:val="1"/>
      <w:marLeft w:val="0"/>
      <w:marRight w:val="0"/>
      <w:marTop w:val="0"/>
      <w:marBottom w:val="0"/>
      <w:divBdr>
        <w:top w:val="none" w:sz="0" w:space="0" w:color="auto"/>
        <w:left w:val="none" w:sz="0" w:space="0" w:color="auto"/>
        <w:bottom w:val="none" w:sz="0" w:space="0" w:color="auto"/>
        <w:right w:val="none" w:sz="0" w:space="0" w:color="auto"/>
      </w:divBdr>
    </w:div>
    <w:div w:id="345717273">
      <w:bodyDiv w:val="1"/>
      <w:marLeft w:val="0"/>
      <w:marRight w:val="0"/>
      <w:marTop w:val="0"/>
      <w:marBottom w:val="0"/>
      <w:divBdr>
        <w:top w:val="none" w:sz="0" w:space="0" w:color="auto"/>
        <w:left w:val="none" w:sz="0" w:space="0" w:color="auto"/>
        <w:bottom w:val="none" w:sz="0" w:space="0" w:color="auto"/>
        <w:right w:val="none" w:sz="0" w:space="0" w:color="auto"/>
      </w:divBdr>
      <w:divsChild>
        <w:div w:id="360668218">
          <w:marLeft w:val="0"/>
          <w:marRight w:val="0"/>
          <w:marTop w:val="0"/>
          <w:marBottom w:val="0"/>
          <w:divBdr>
            <w:top w:val="none" w:sz="0" w:space="0" w:color="auto"/>
            <w:left w:val="none" w:sz="0" w:space="0" w:color="auto"/>
            <w:bottom w:val="none" w:sz="0" w:space="0" w:color="auto"/>
            <w:right w:val="none" w:sz="0" w:space="0" w:color="auto"/>
          </w:divBdr>
        </w:div>
        <w:div w:id="824007074">
          <w:marLeft w:val="0"/>
          <w:marRight w:val="0"/>
          <w:marTop w:val="0"/>
          <w:marBottom w:val="0"/>
          <w:divBdr>
            <w:top w:val="none" w:sz="0" w:space="0" w:color="auto"/>
            <w:left w:val="none" w:sz="0" w:space="0" w:color="auto"/>
            <w:bottom w:val="none" w:sz="0" w:space="0" w:color="auto"/>
            <w:right w:val="none" w:sz="0" w:space="0" w:color="auto"/>
          </w:divBdr>
        </w:div>
        <w:div w:id="951086556">
          <w:marLeft w:val="0"/>
          <w:marRight w:val="0"/>
          <w:marTop w:val="0"/>
          <w:marBottom w:val="0"/>
          <w:divBdr>
            <w:top w:val="none" w:sz="0" w:space="0" w:color="auto"/>
            <w:left w:val="none" w:sz="0" w:space="0" w:color="auto"/>
            <w:bottom w:val="none" w:sz="0" w:space="0" w:color="auto"/>
            <w:right w:val="none" w:sz="0" w:space="0" w:color="auto"/>
          </w:divBdr>
        </w:div>
        <w:div w:id="1058893503">
          <w:marLeft w:val="0"/>
          <w:marRight w:val="0"/>
          <w:marTop w:val="0"/>
          <w:marBottom w:val="0"/>
          <w:divBdr>
            <w:top w:val="none" w:sz="0" w:space="0" w:color="auto"/>
            <w:left w:val="none" w:sz="0" w:space="0" w:color="auto"/>
            <w:bottom w:val="none" w:sz="0" w:space="0" w:color="auto"/>
            <w:right w:val="none" w:sz="0" w:space="0" w:color="auto"/>
          </w:divBdr>
        </w:div>
        <w:div w:id="1310943522">
          <w:marLeft w:val="0"/>
          <w:marRight w:val="0"/>
          <w:marTop w:val="0"/>
          <w:marBottom w:val="0"/>
          <w:divBdr>
            <w:top w:val="none" w:sz="0" w:space="0" w:color="auto"/>
            <w:left w:val="none" w:sz="0" w:space="0" w:color="auto"/>
            <w:bottom w:val="none" w:sz="0" w:space="0" w:color="auto"/>
            <w:right w:val="none" w:sz="0" w:space="0" w:color="auto"/>
          </w:divBdr>
        </w:div>
        <w:div w:id="1638298505">
          <w:marLeft w:val="0"/>
          <w:marRight w:val="0"/>
          <w:marTop w:val="0"/>
          <w:marBottom w:val="0"/>
          <w:divBdr>
            <w:top w:val="none" w:sz="0" w:space="0" w:color="auto"/>
            <w:left w:val="none" w:sz="0" w:space="0" w:color="auto"/>
            <w:bottom w:val="none" w:sz="0" w:space="0" w:color="auto"/>
            <w:right w:val="none" w:sz="0" w:space="0" w:color="auto"/>
          </w:divBdr>
          <w:divsChild>
            <w:div w:id="883982104">
              <w:marLeft w:val="0"/>
              <w:marRight w:val="0"/>
              <w:marTop w:val="0"/>
              <w:marBottom w:val="0"/>
              <w:divBdr>
                <w:top w:val="single" w:sz="8" w:space="3" w:color="E1E1E1"/>
                <w:left w:val="none" w:sz="0" w:space="0" w:color="auto"/>
                <w:bottom w:val="none" w:sz="0" w:space="0" w:color="auto"/>
                <w:right w:val="none" w:sz="0" w:space="0" w:color="auto"/>
              </w:divBdr>
            </w:div>
          </w:divsChild>
        </w:div>
        <w:div w:id="1750225022">
          <w:marLeft w:val="0"/>
          <w:marRight w:val="0"/>
          <w:marTop w:val="0"/>
          <w:marBottom w:val="0"/>
          <w:divBdr>
            <w:top w:val="none" w:sz="0" w:space="0" w:color="auto"/>
            <w:left w:val="none" w:sz="0" w:space="0" w:color="auto"/>
            <w:bottom w:val="none" w:sz="0" w:space="0" w:color="auto"/>
            <w:right w:val="none" w:sz="0" w:space="0" w:color="auto"/>
          </w:divBdr>
        </w:div>
        <w:div w:id="2131588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4AE8E794A2D421CB70A1EF751ABFA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301</Nr_x002e__x0020_akti>
    <Data_x0020_e_x0020_Krijimit xmlns="0e656187-b300-4fb0-8bf4-3a50f872073c">2020-04-21T09:39:40Z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2020-04-16T22:00:00Z</Date_x0020_protokolli>
    <Titulli xmlns="0e656187-b300-4fb0-8bf4-3a50f872073c">Për normat e strehimit, si dhe kushtet e standardet për banesat sociale me qira që blihen në treg dhe banesat me kosto të ulët</Titulli>
    <Modifikuesi xmlns="0e656187-b300-4fb0-8bf4-3a50f872073c">gladiola.cicako</Modifikuesi>
    <Nr_x002e__x0020_prot_x0020_QBZ xmlns="0e656187-b300-4fb0-8bf4-3a50f872073c">620</Nr_x002e__x0020_prot_x0020_QBZ>
    <Data_x0020_e_x0020_Modifikimit xmlns="0e656187-b300-4fb0-8bf4-3a50f872073c">2020-04-21T10:27:43Z</Data_x0020_e_x0020_Modifikimit>
    <Dekretuar xmlns="0e656187-b300-4fb0-8bf4-3a50f872073c">false</Dekretuar>
    <Data xmlns="0e656187-b300-4fb0-8bf4-3a50f872073c">2020-04-14T22:00:00Z</Data>
    <Nr_x002e__x0020_protokolli_x0020_i_x0020_aktit xmlns="0e656187-b300-4fb0-8bf4-3a50f872073c">415/1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24AE8E794A2D421CB70A1EF751ABFA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D4812-6150-4969-BC56-78F66E102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5A2B76E-F58F-4E85-B8FD-9B3A8A45714D}">
  <ds:schemaRefs>
    <ds:schemaRef ds:uri="http://purl.org/dc/elements/1.1/"/>
    <ds:schemaRef ds:uri="0e656187-b300-4fb0-8bf4-3a50f872073c"/>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www.w3.org/XML/1998/namespace"/>
    <ds:schemaRef ds:uri="http://purl.org/dc/terms/"/>
  </ds:schemaRefs>
</ds:datastoreItem>
</file>

<file path=customXml/itemProps3.xml><?xml version="1.0" encoding="utf-8"?>
<ds:datastoreItem xmlns:ds="http://schemas.openxmlformats.org/officeDocument/2006/customXml" ds:itemID="{A52E03D2-EFA2-4576-AC2B-2DCCBF8FA242}">
  <ds:schemaRefs>
    <ds:schemaRef ds:uri="http://schemas.microsoft.com/sharepoint/v3/contenttype/forms"/>
  </ds:schemaRefs>
</ds:datastoreItem>
</file>

<file path=customXml/itemProps4.xml><?xml version="1.0" encoding="utf-8"?>
<ds:datastoreItem xmlns:ds="http://schemas.openxmlformats.org/officeDocument/2006/customXml" ds:itemID="{2850CB80-BCB2-4ACC-B436-D29D4FBF40C3}">
  <ds:schemaRefs>
    <ds:schemaRef ds:uri="http://schemas.openxmlformats.org/officeDocument/2006/bibliography"/>
  </ds:schemaRefs>
</ds:datastoreItem>
</file>

<file path=customXml/itemProps5.xml><?xml version="1.0" encoding="utf-8"?>
<ds:datastoreItem xmlns:ds="http://schemas.openxmlformats.org/officeDocument/2006/customXml" ds:itemID="{4F33F042-65A1-4BD3-8E12-497C5CB7C030}">
  <ds:schemaRefs>
    <ds:schemaRef ds:uri="http://schemas.microsoft.com/sharepoint/v3/contenttype/forms"/>
  </ds:schemaRefs>
</ds:datastoreItem>
</file>

<file path=customXml/itemProps6.xml><?xml version="1.0" encoding="utf-8"?>
<ds:datastoreItem xmlns:ds="http://schemas.openxmlformats.org/officeDocument/2006/customXml" ds:itemID="{EC795B45-AACB-4EFC-8680-1E934416B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0EFC9A18-9BE5-4F2B-98DF-738792B07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1575</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Për normat e strehimit, si dhe kushtet e standardet për banesat sociale me qira që blihen në treg dhe banesat me kosto të ulët</vt:lpstr>
    </vt:vector>
  </TitlesOfParts>
  <Company/>
  <LinksUpToDate>false</LinksUpToDate>
  <CharactersWithSpaces>10533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normat e strehimit, si dhe kushtet e standardet për banesat sociale me qira që blihen në treg dhe banesat me kosto të ulët</dc:title>
  <dc:creator>eralda</dc:creator>
  <cp:lastModifiedBy>Entela Suli</cp:lastModifiedBy>
  <cp:revision>7</cp:revision>
  <cp:lastPrinted>2020-04-15T13:38:00Z</cp:lastPrinted>
  <dcterms:created xsi:type="dcterms:W3CDTF">2020-04-17T19:59:00Z</dcterms:created>
  <dcterms:modified xsi:type="dcterms:W3CDTF">2020-04-21T16:59:00Z</dcterms:modified>
</cp:coreProperties>
</file>