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12EE3" w14:textId="77777777" w:rsidR="005E16E9" w:rsidRPr="00042998" w:rsidRDefault="005E16E9" w:rsidP="005E16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2998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108F0F" w14:textId="36D523AB" w:rsidR="005E16E9" w:rsidRPr="00042998" w:rsidRDefault="005E16E9" w:rsidP="005E16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42998">
        <w:rPr>
          <w:rFonts w:ascii="Garamond" w:hAnsi="Garamond"/>
          <w:b/>
          <w:sz w:val="24"/>
          <w:szCs w:val="24"/>
          <w:lang w:val="sq-AL"/>
        </w:rPr>
        <w:t>431, datë 3.6.2020</w:t>
      </w:r>
    </w:p>
    <w:p w14:paraId="294D0F10" w14:textId="77777777" w:rsidR="005E16E9" w:rsidRPr="00042998" w:rsidRDefault="005E16E9" w:rsidP="005E16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479FC6" w14:textId="77777777" w:rsidR="005E16E9" w:rsidRPr="00042998" w:rsidRDefault="005E16E9" w:rsidP="005E16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2998">
        <w:rPr>
          <w:rFonts w:ascii="Garamond" w:hAnsi="Garamond"/>
          <w:b/>
          <w:sz w:val="24"/>
          <w:szCs w:val="24"/>
          <w:lang w:val="sq-AL"/>
        </w:rPr>
        <w:t>PËR PLATFORMËN QENDRORE TË FATURAVE</w:t>
      </w:r>
    </w:p>
    <w:p w14:paraId="32C922EE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DE08C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Në mbështetje të nenit 100 të Kushtetutës dhe të pikës 7, të nenit 26, të ligjit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Pr="00042998">
        <w:rPr>
          <w:rFonts w:ascii="Garamond" w:hAnsi="Garamond"/>
          <w:sz w:val="24"/>
          <w:szCs w:val="24"/>
          <w:lang w:val="sq-AL"/>
        </w:rPr>
        <w:t>87/2019, “Për faturën dhe sistemin e monitorimit të qarkullimit”, me propozimin e ministrit të Financave dhe Ekonomisë, Këshilli i Ministrave</w:t>
      </w:r>
    </w:p>
    <w:p w14:paraId="6BAC3DC3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CA590D" w14:textId="77777777" w:rsidR="005E16E9" w:rsidRPr="00042998" w:rsidRDefault="005E16E9" w:rsidP="005E16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VENDOSI:</w:t>
      </w:r>
    </w:p>
    <w:p w14:paraId="72C72142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53E380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I. TË PËRGJITHSHME</w:t>
      </w:r>
    </w:p>
    <w:p w14:paraId="194B8F60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Pr="00042998">
        <w:rPr>
          <w:rFonts w:ascii="Garamond" w:hAnsi="Garamond"/>
          <w:sz w:val="24"/>
          <w:szCs w:val="24"/>
          <w:lang w:val="sq-AL"/>
        </w:rPr>
        <w:t>Ky vendim përcakton të drejtat dhe detyrimet e Agjencisë Kombëtare të Shoqërisë së Informacionit (në vijim AKSHI) mbi lidhjen dhe paraqitjen e informacionit të lëshuesve dhe marrësve të faturave elektronike në platformën qendrore të faturave.</w:t>
      </w:r>
    </w:p>
    <w:p w14:paraId="02C8229B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II. PËRKUFIZIME</w:t>
      </w:r>
    </w:p>
    <w:p w14:paraId="52E447C9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Në kuptim të këtij vendimi, me termat e mëposhtëm nënkuptojmë:</w:t>
      </w:r>
    </w:p>
    <w:p w14:paraId="1AA2BBB2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b/>
          <w:sz w:val="24"/>
          <w:szCs w:val="24"/>
          <w:lang w:val="sq-AL"/>
        </w:rPr>
        <w:t>2. “Platforma qendrore e faturave”</w:t>
      </w:r>
      <w:r w:rsidRPr="00110BB9">
        <w:rPr>
          <w:rFonts w:ascii="Garamond" w:hAnsi="Garamond"/>
          <w:sz w:val="24"/>
          <w:szCs w:val="24"/>
          <w:lang w:val="sq-AL"/>
        </w:rPr>
        <w:t>,</w:t>
      </w:r>
      <w:r w:rsidRPr="00042998">
        <w:rPr>
          <w:rFonts w:ascii="Garamond" w:hAnsi="Garamond"/>
          <w:sz w:val="24"/>
          <w:szCs w:val="24"/>
          <w:lang w:val="sq-AL"/>
        </w:rPr>
        <w:t xml:space="preserve"> sipas përcaktimit në shkronjën “i”, të nenit 3, të ligjit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Pr="00042998">
        <w:rPr>
          <w:rFonts w:ascii="Garamond" w:hAnsi="Garamond"/>
          <w:sz w:val="24"/>
          <w:szCs w:val="24"/>
          <w:lang w:val="sq-AL"/>
        </w:rPr>
        <w:t xml:space="preserve">87/2019, “Për faturën dhe sistemin e monitorimit të qarkullimit”. </w:t>
      </w:r>
    </w:p>
    <w:p w14:paraId="700765B1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b/>
          <w:sz w:val="24"/>
          <w:szCs w:val="24"/>
          <w:lang w:val="sq-AL"/>
        </w:rPr>
        <w:t xml:space="preserve">3. “SOAP </w:t>
      </w:r>
      <w:proofErr w:type="spellStart"/>
      <w:r w:rsidRPr="0081511E">
        <w:rPr>
          <w:rFonts w:ascii="Garamond" w:hAnsi="Garamond"/>
          <w:b/>
          <w:i/>
          <w:sz w:val="24"/>
          <w:szCs w:val="24"/>
          <w:lang w:val="sq-AL"/>
        </w:rPr>
        <w:t>web</w:t>
      </w:r>
      <w:proofErr w:type="spellEnd"/>
      <w:r w:rsidRPr="0081511E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81511E">
        <w:rPr>
          <w:rFonts w:ascii="Garamond" w:hAnsi="Garamond"/>
          <w:b/>
          <w:i/>
          <w:sz w:val="24"/>
          <w:szCs w:val="24"/>
          <w:lang w:val="sq-AL"/>
        </w:rPr>
        <w:t>services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>”, protokoll i bazuar në XML, që ka për qëllim shkëmbimin e informacionit të strukturuar, ndërmjet tatimpaguesit dhe administratës tatimore, nëpërmjet sistemeve kompjuterike.</w:t>
      </w:r>
    </w:p>
    <w:p w14:paraId="66D522D2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b/>
          <w:sz w:val="24"/>
          <w:szCs w:val="24"/>
          <w:lang w:val="sq-AL"/>
        </w:rPr>
        <w:t xml:space="preserve">4. “Portali </w:t>
      </w:r>
      <w:proofErr w:type="spellStart"/>
      <w:r w:rsidRPr="0081511E">
        <w:rPr>
          <w:rFonts w:ascii="Garamond" w:hAnsi="Garamond"/>
          <w:b/>
          <w:i/>
          <w:sz w:val="24"/>
          <w:szCs w:val="24"/>
          <w:lang w:val="sq-AL"/>
        </w:rPr>
        <w:t>Self-Care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”, ndërfaqja e standardizuar për komunikim, ndërmjet tatimpaguesit dhe administratës tatimore, nëpërmjet rrjetit të sigurt për transferimin elektronik të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dhënave nëpërmjet internetit.</w:t>
      </w:r>
    </w:p>
    <w:p w14:paraId="19A5C54F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III. AUTORIZIMET DHE DETYRIMET GJATË PËRDORIMIT TË PLATFORMËS QENDRORE TË FATURAVE</w:t>
      </w:r>
    </w:p>
    <w:p w14:paraId="078F1436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5. AKSHI është i ngarkuar për krijimin, zhvillimin, mirëmbajtjen, administrimin dhe menaxhimin e platformës qendrore të faturave.</w:t>
      </w:r>
    </w:p>
    <w:p w14:paraId="17070B0D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6. Lëshuesit dhe marrësit e faturave elektronike janë të detyruar të lidhen dhe të regjistrohen në platformën qendrore të faturave.</w:t>
      </w:r>
    </w:p>
    <w:p w14:paraId="043FA461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7. AKSHI, lëshuesit dhe marrësit e faturave elektronike, për qëllime të përdorimit të platformës qendrore të faturave, janë të detyruar të sigurojnë ofrimin dhe mirëmbajtjen e shërbimeve thelbësore për rolin e tyre, në një mënyrë të besueshme dhe profesionale, në përputhje me dokumentacionin dhe specifikimet teknike të shkëmbimit të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dhënave, të publikuara në faqen zyrtare të internetit të Drejtorisë së Përgjithshme të Tatimeve dhe të Agjencisë Kombëtare të Shoqërisë së Informacionit.</w:t>
      </w:r>
    </w:p>
    <w:p w14:paraId="1891C8A0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8. AKSHI, lëshuesit dhe marrësit e faturave elektronike, për qëllime të përdorimit të </w:t>
      </w:r>
      <w:r>
        <w:rPr>
          <w:rFonts w:ascii="Garamond" w:hAnsi="Garamond"/>
          <w:sz w:val="24"/>
          <w:szCs w:val="24"/>
          <w:lang w:val="sq-AL"/>
        </w:rPr>
        <w:t>p</w:t>
      </w:r>
      <w:r w:rsidRPr="00042998">
        <w:rPr>
          <w:rFonts w:ascii="Garamond" w:hAnsi="Garamond"/>
          <w:sz w:val="24"/>
          <w:szCs w:val="24"/>
          <w:lang w:val="sq-AL"/>
        </w:rPr>
        <w:t>latform</w:t>
      </w:r>
      <w:r>
        <w:rPr>
          <w:rFonts w:ascii="Garamond" w:hAnsi="Garamond"/>
          <w:sz w:val="24"/>
          <w:szCs w:val="24"/>
          <w:lang w:val="sq-AL"/>
        </w:rPr>
        <w:t>ë</w:t>
      </w:r>
      <w:r w:rsidRPr="00042998">
        <w:rPr>
          <w:rFonts w:ascii="Garamond" w:hAnsi="Garamond"/>
          <w:sz w:val="24"/>
          <w:szCs w:val="24"/>
          <w:lang w:val="sq-AL"/>
        </w:rPr>
        <w:t>s qendrore të faturave, janë të detyruar që, në ofrimin e shërbimeve dhe në komunikim ndërmjet tyre, të vënë në dispozicion të njëri-tjetrit informacionin përkatës që disponojnë, të respektojnë rregullat e zbatueshme për mbrojtjen e të dhënave, veçanërisht ato që mbrojnë të dhënat personale dhe përdorin procedurat dhe pajisjet e duhura teknologjike.</w:t>
      </w:r>
    </w:p>
    <w:p w14:paraId="2BCA5C1F" w14:textId="77777777" w:rsidR="005E16E9" w:rsidRPr="00A72C34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C34">
        <w:rPr>
          <w:rFonts w:ascii="Garamond" w:hAnsi="Garamond"/>
          <w:sz w:val="24"/>
          <w:szCs w:val="24"/>
          <w:lang w:val="sq-AL"/>
        </w:rPr>
        <w:t>IV. ZBATIMI TEKNIK</w:t>
      </w:r>
    </w:p>
    <w:p w14:paraId="0D3CDB5F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9. AKSHI, lëshuesit dhe marrësit e faturave elektronike janë të detyruar të sigurojnë zbatimin e legjislacionit në fuqi për faturën dhe sistemin e monitorimit të qarkullimit dhe mirëmbajtjen e sistemeve të tyre të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dhënave.</w:t>
      </w:r>
    </w:p>
    <w:p w14:paraId="72B87146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10. AKSHI është i detyruar të sigurojë që shërbimet në fushën e platformës qendrore të faturave të jenë në përputhje me specifikimet e rregulluara teknike të shkëmbimit të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dhënave, të publikuara në faqen zyrtare të internetit të Drejtorisë së Përgjithshme të Tatimeve dhe të Agjencisë Kombëtare të Shoqërisë së Informacionit.</w:t>
      </w:r>
    </w:p>
    <w:p w14:paraId="28DE7940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11. AKSHI, në bashkëpunim me Drejtorinë e Përgjithshme të Tatimeve, të hartojë dhe të publikojë në faqet e tyre zyrtare të internetit specifikimet teknike të shkëmbimit të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dhënave, </w:t>
      </w:r>
      <w:r w:rsidRPr="00042998">
        <w:rPr>
          <w:rFonts w:ascii="Garamond" w:hAnsi="Garamond"/>
          <w:sz w:val="24"/>
          <w:szCs w:val="24"/>
          <w:lang w:val="sq-AL"/>
        </w:rPr>
        <w:lastRenderedPageBreak/>
        <w:t>specifikimin bazë të përdorimit të faturave e dokumentacionet e tjera, si dhe çdo ndryshim të tyre.</w:t>
      </w:r>
    </w:p>
    <w:p w14:paraId="79DE5899" w14:textId="77777777" w:rsidR="005E16E9" w:rsidRPr="006F2AF4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AF4">
        <w:rPr>
          <w:rFonts w:ascii="Garamond" w:hAnsi="Garamond"/>
          <w:sz w:val="24"/>
          <w:szCs w:val="24"/>
          <w:lang w:val="sq-AL"/>
        </w:rPr>
        <w:t>V. LIDHJA ME PLATFORMËN QENDRORE TË FATURAVE</w:t>
      </w:r>
    </w:p>
    <w:p w14:paraId="61F9E94E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Aksesimi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i platformës qendrore të faturave dhe shkëmbimi i informacionit ndërmjet AKSHI-t, lëshuesit dhe marrësit të faturave elektronike përmes platformës qendrore të faturave, do të jetë përmes shërbimeve të internetit të SOAP, duke përdorur mesazhe ose përmes portalit </w:t>
      </w:r>
      <w:proofErr w:type="spellStart"/>
      <w:r w:rsidRPr="001C53F2">
        <w:rPr>
          <w:rFonts w:ascii="Garamond" w:hAnsi="Garamond"/>
          <w:i/>
          <w:sz w:val="24"/>
          <w:szCs w:val="24"/>
          <w:lang w:val="sq-AL"/>
        </w:rPr>
        <w:t>Self-Care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>.</w:t>
      </w:r>
    </w:p>
    <w:p w14:paraId="4B783B9D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13. Për qëllim të vendosjes së një lidhjeje me platformën qendrore të faturave, lëshuesit dhe marrësit e faturave elektronike janë të detyruar të përdorin dy mjedise të ndryshme, ku instalohen dhe shërbehen versione identike të platformës qendrore të faturave:</w:t>
      </w:r>
    </w:p>
    <w:p w14:paraId="5E93CD8D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a) mjedisi provë/t</w:t>
      </w:r>
      <w:bookmarkStart w:id="0" w:name="_GoBack"/>
      <w:bookmarkEnd w:id="0"/>
      <w:r w:rsidRPr="00042998">
        <w:rPr>
          <w:rFonts w:ascii="Garamond" w:hAnsi="Garamond"/>
          <w:sz w:val="24"/>
          <w:szCs w:val="24"/>
          <w:lang w:val="sq-AL"/>
        </w:rPr>
        <w:t xml:space="preserve">est </w:t>
      </w:r>
      <w:r>
        <w:rPr>
          <w:rFonts w:ascii="Garamond" w:hAnsi="Garamond"/>
          <w:sz w:val="24"/>
          <w:szCs w:val="24"/>
          <w:lang w:val="sq-AL"/>
        </w:rPr>
        <w:t>–</w:t>
      </w:r>
      <w:r w:rsidRPr="00042998">
        <w:rPr>
          <w:rFonts w:ascii="Garamond" w:hAnsi="Garamond"/>
          <w:sz w:val="24"/>
          <w:szCs w:val="24"/>
          <w:lang w:val="sq-AL"/>
        </w:rPr>
        <w:t xml:space="preserve"> për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042998">
        <w:rPr>
          <w:rFonts w:ascii="Garamond" w:hAnsi="Garamond"/>
          <w:sz w:val="24"/>
          <w:szCs w:val="24"/>
          <w:lang w:val="sq-AL"/>
        </w:rPr>
        <w:t>qëllimet e trajnimit dhe të verifikimit të programeve; dhe</w:t>
      </w:r>
    </w:p>
    <w:p w14:paraId="67417A0E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b) mjedisi i punës </w:t>
      </w:r>
      <w:r>
        <w:rPr>
          <w:rFonts w:ascii="Garamond" w:hAnsi="Garamond"/>
          <w:sz w:val="24"/>
          <w:szCs w:val="24"/>
          <w:lang w:val="sq-AL"/>
        </w:rPr>
        <w:t>–</w:t>
      </w:r>
      <w:r w:rsidRPr="00042998">
        <w:rPr>
          <w:rFonts w:ascii="Garamond" w:hAnsi="Garamond"/>
          <w:sz w:val="24"/>
          <w:szCs w:val="24"/>
          <w:lang w:val="sq-AL"/>
        </w:rPr>
        <w:t xml:space="preserve"> për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042998">
        <w:rPr>
          <w:rFonts w:ascii="Garamond" w:hAnsi="Garamond"/>
          <w:sz w:val="24"/>
          <w:szCs w:val="24"/>
          <w:lang w:val="sq-AL"/>
        </w:rPr>
        <w:t xml:space="preserve">shkëmbimin zyrtar të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dhënave elektronike dhe informacionit.</w:t>
      </w:r>
    </w:p>
    <w:p w14:paraId="55F45123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AKSHI i siguron lëshuesve dhe marrësve të faturave elektronike mjediset e provës/testit dhe punës për platformën qendrore të faturave.</w:t>
      </w:r>
    </w:p>
    <w:p w14:paraId="18D994B1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14. Kushtet për lidhjen e lëshuesve dhe të marrësve të faturave elektronike me mjedisin e punës të platformës qendrore të faturave janë:</w:t>
      </w:r>
    </w:p>
    <w:p w14:paraId="6E2A1022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a) kalimi me sukses i skenarëve të testit të detyrueshëm në mjedisin e provës/testit në platformën qendrore të faturave;</w:t>
      </w:r>
    </w:p>
    <w:p w14:paraId="5EB9CD47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b) verifikimi i zgjidhjes </w:t>
      </w:r>
      <w:proofErr w:type="spellStart"/>
      <w:r w:rsidRPr="00FE0801">
        <w:rPr>
          <w:rFonts w:ascii="Garamond" w:hAnsi="Garamond"/>
          <w:i/>
          <w:sz w:val="24"/>
          <w:szCs w:val="24"/>
          <w:lang w:val="sq-AL"/>
        </w:rPr>
        <w:t>software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>-ike.</w:t>
      </w:r>
    </w:p>
    <w:p w14:paraId="19051069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Vetëm një version i verifikuar dhe i certifikuar i zgjidhjes </w:t>
      </w:r>
      <w:proofErr w:type="spellStart"/>
      <w:r w:rsidRPr="00FE0801">
        <w:rPr>
          <w:rFonts w:ascii="Garamond" w:hAnsi="Garamond"/>
          <w:i/>
          <w:sz w:val="24"/>
          <w:szCs w:val="24"/>
          <w:lang w:val="sq-AL"/>
        </w:rPr>
        <w:t>software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-ike mund të përdoret në mjedisin e punës. Zgjidhja </w:t>
      </w:r>
      <w:proofErr w:type="spellStart"/>
      <w:r w:rsidRPr="00FE0801">
        <w:rPr>
          <w:rFonts w:ascii="Garamond" w:hAnsi="Garamond"/>
          <w:i/>
          <w:sz w:val="24"/>
          <w:szCs w:val="24"/>
          <w:lang w:val="sq-AL"/>
        </w:rPr>
        <w:t>software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>-ike e certifikuar një herë e lëshuesve dhe marrësve të faturave elektronike në mjedisin e provës/testit mund të përdoret për çdo lidhje të mëtejshme me platformën qendrore të faturave në mjedisin e punës.</w:t>
      </w:r>
    </w:p>
    <w:p w14:paraId="72534A08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c) regjistrimi i lëshuesve dhe marrësve të faturave elektronike në platformën qendrore të faturave.</w:t>
      </w:r>
    </w:p>
    <w:p w14:paraId="004C1676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15. Lëshuesit dhe marrësit e faturave elektronike janë të detyruar të përdorin certifikata elektronike të lëshuara nga AKSHI për t’u lidhur me platformën qendrore të faturave.</w:t>
      </w:r>
    </w:p>
    <w:p w14:paraId="02066298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16. Certifikatat elektronike përdoren për të krijuar një lidhje të sigurt me platformën qendrore të faturave, për të identifikuar lëshuesit dhe marrësit e faturave elektronike kur shkëmbehen të dhënat në mënyrë elektronike, si dhe për nënshkrimin elektronik të mesazheve në komunikim, ndërmjet AKSHI-t, lëshuesit dhe marrësit të faturave elektronike. Certifikatat elektronike sigurojnë nëse lidhja është vendosur dhe është në përputhje me specifikimet teknike të shkëmbimit të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dhënave, të përmendura në pikën 11, të këtij vendimi.</w:t>
      </w:r>
    </w:p>
    <w:p w14:paraId="4A011DC3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 xml:space="preserve">17. Lëshuesit dhe marrësit e një fature elektronike që krijojnë lidhje me platformën qendrore të faturave në një mjedis </w:t>
      </w:r>
      <w:r>
        <w:rPr>
          <w:rFonts w:ascii="Garamond" w:hAnsi="Garamond"/>
          <w:sz w:val="24"/>
          <w:szCs w:val="24"/>
          <w:lang w:val="sq-AL"/>
        </w:rPr>
        <w:t>p</w:t>
      </w:r>
      <w:r w:rsidRPr="00042998">
        <w:rPr>
          <w:rFonts w:ascii="Garamond" w:hAnsi="Garamond"/>
          <w:sz w:val="24"/>
          <w:szCs w:val="24"/>
          <w:lang w:val="sq-AL"/>
        </w:rPr>
        <w:t xml:space="preserve">rove/test dhe/ose pune janë të detyruar të zbatojnë specifikimet e duhura, në përputhje me specifikimet teknike të shkëmbimit të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dhënave, të përmendura në pikën 11, të këtij vendimi, të cilat rregullojnë mënyrën dhe kushtet e </w:t>
      </w:r>
      <w:proofErr w:type="spellStart"/>
      <w:r w:rsidRPr="00042998">
        <w:rPr>
          <w:rFonts w:ascii="Garamond" w:hAnsi="Garamond"/>
          <w:sz w:val="24"/>
          <w:szCs w:val="24"/>
          <w:lang w:val="sq-AL"/>
        </w:rPr>
        <w:t>aksesimit</w:t>
      </w:r>
      <w:proofErr w:type="spellEnd"/>
      <w:r w:rsidRPr="00042998">
        <w:rPr>
          <w:rFonts w:ascii="Garamond" w:hAnsi="Garamond"/>
          <w:sz w:val="24"/>
          <w:szCs w:val="24"/>
          <w:lang w:val="sq-AL"/>
        </w:rPr>
        <w:t xml:space="preserve"> (hyrjes) dhe të përdorimit të mjedisit të </w:t>
      </w:r>
      <w:r>
        <w:rPr>
          <w:rFonts w:ascii="Garamond" w:hAnsi="Garamond"/>
          <w:sz w:val="24"/>
          <w:szCs w:val="24"/>
          <w:lang w:val="sq-AL"/>
        </w:rPr>
        <w:t>p</w:t>
      </w:r>
      <w:r w:rsidRPr="00042998">
        <w:rPr>
          <w:rFonts w:ascii="Garamond" w:hAnsi="Garamond"/>
          <w:sz w:val="24"/>
          <w:szCs w:val="24"/>
          <w:lang w:val="sq-AL"/>
        </w:rPr>
        <w:t>rov</w:t>
      </w:r>
      <w:r>
        <w:rPr>
          <w:rFonts w:ascii="Garamond" w:hAnsi="Garamond"/>
          <w:sz w:val="24"/>
          <w:szCs w:val="24"/>
          <w:lang w:val="sq-AL"/>
        </w:rPr>
        <w:t>ë</w:t>
      </w:r>
      <w:r w:rsidRPr="00042998">
        <w:rPr>
          <w:rFonts w:ascii="Garamond" w:hAnsi="Garamond"/>
          <w:sz w:val="24"/>
          <w:szCs w:val="24"/>
          <w:lang w:val="sq-AL"/>
        </w:rPr>
        <w:t>s/testit dhe punës.</w:t>
      </w:r>
    </w:p>
    <w:p w14:paraId="27DFA110" w14:textId="77777777" w:rsidR="005E16E9" w:rsidRPr="00083B16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3B16">
        <w:rPr>
          <w:rFonts w:ascii="Garamond" w:hAnsi="Garamond"/>
          <w:sz w:val="24"/>
          <w:szCs w:val="24"/>
          <w:lang w:val="sq-AL"/>
        </w:rPr>
        <w:t>VI. ORGANET QË NGARKOHEN PËR ZBATIM</w:t>
      </w:r>
    </w:p>
    <w:p w14:paraId="4932B78E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18. Ngarkohen Agjencia Kombëtare e Shoqërisë së Informacionit dhe Drejtoria e Përgjithshme e Tatimeve për zbatimin e këtij vendimi.</w:t>
      </w:r>
    </w:p>
    <w:p w14:paraId="39B8AD22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7CD6D66D" w14:textId="77777777" w:rsidR="005E16E9" w:rsidRPr="00042998" w:rsidRDefault="005E16E9" w:rsidP="005E1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ED1513" w14:textId="77777777" w:rsidR="005E16E9" w:rsidRPr="00042998" w:rsidRDefault="005E16E9" w:rsidP="005E16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42998">
        <w:rPr>
          <w:rFonts w:ascii="Garamond" w:hAnsi="Garamond"/>
          <w:sz w:val="24"/>
          <w:szCs w:val="24"/>
          <w:lang w:val="sq-AL"/>
        </w:rPr>
        <w:t>KRYEMINISTËR</w:t>
      </w:r>
    </w:p>
    <w:p w14:paraId="24598DC6" w14:textId="328B6EC6" w:rsidR="00C832E5" w:rsidRPr="005E16E9" w:rsidRDefault="005E16E9" w:rsidP="005E16E9">
      <w:pPr>
        <w:spacing w:after="0" w:line="240" w:lineRule="auto"/>
        <w:ind w:firstLine="284"/>
        <w:jc w:val="right"/>
      </w:pPr>
      <w:r w:rsidRPr="00042998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42998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C832E5" w:rsidRPr="005E16E9" w:rsidSect="004A451B">
      <w:headerReference w:type="default" r:id="rId12"/>
      <w:pgSz w:w="11906" w:h="16838"/>
      <w:pgMar w:top="1350" w:right="1440" w:bottom="990" w:left="1440" w:header="0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CE1D9" w14:textId="77777777" w:rsidR="001C53F2" w:rsidRDefault="001C53F2" w:rsidP="00227B77">
      <w:pPr>
        <w:spacing w:after="0" w:line="240" w:lineRule="auto"/>
      </w:pPr>
      <w:r>
        <w:separator/>
      </w:r>
    </w:p>
  </w:endnote>
  <w:endnote w:type="continuationSeparator" w:id="0">
    <w:p w14:paraId="18171E91" w14:textId="77777777" w:rsidR="001C53F2" w:rsidRDefault="001C53F2" w:rsidP="00227B77">
      <w:pPr>
        <w:spacing w:after="0" w:line="240" w:lineRule="auto"/>
      </w:pPr>
      <w:r>
        <w:continuationSeparator/>
      </w:r>
    </w:p>
  </w:endnote>
  <w:endnote w:type="continuationNotice" w:id="1">
    <w:p w14:paraId="72B07142" w14:textId="77777777" w:rsidR="001C53F2" w:rsidRDefault="001C53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3869D" w14:textId="77777777" w:rsidR="001C53F2" w:rsidRDefault="001C53F2" w:rsidP="00227B77">
      <w:pPr>
        <w:spacing w:after="0" w:line="240" w:lineRule="auto"/>
      </w:pPr>
      <w:r>
        <w:separator/>
      </w:r>
    </w:p>
  </w:footnote>
  <w:footnote w:type="continuationSeparator" w:id="0">
    <w:p w14:paraId="4F2736E8" w14:textId="77777777" w:rsidR="001C53F2" w:rsidRDefault="001C53F2" w:rsidP="00227B77">
      <w:pPr>
        <w:spacing w:after="0" w:line="240" w:lineRule="auto"/>
      </w:pPr>
      <w:r>
        <w:continuationSeparator/>
      </w:r>
    </w:p>
  </w:footnote>
  <w:footnote w:type="continuationNotice" w:id="1">
    <w:p w14:paraId="707357AE" w14:textId="77777777" w:rsidR="001C53F2" w:rsidRDefault="001C53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98DCF" w14:textId="77777777" w:rsidR="001C53F2" w:rsidRDefault="001C53F2" w:rsidP="00227B77">
    <w:pPr>
      <w:pStyle w:val="Header"/>
      <w:spacing w:line="72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53765"/>
    <w:multiLevelType w:val="hybridMultilevel"/>
    <w:tmpl w:val="9C86456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22080"/>
    <w:multiLevelType w:val="hybridMultilevel"/>
    <w:tmpl w:val="A5A4FA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467F4"/>
    <w:multiLevelType w:val="hybridMultilevel"/>
    <w:tmpl w:val="A5A4FA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A0397"/>
    <w:multiLevelType w:val="hybridMultilevel"/>
    <w:tmpl w:val="579443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3B8"/>
    <w:rsid w:val="00023715"/>
    <w:rsid w:val="0003056A"/>
    <w:rsid w:val="00030883"/>
    <w:rsid w:val="00042998"/>
    <w:rsid w:val="00083B16"/>
    <w:rsid w:val="000A1502"/>
    <w:rsid w:val="000C3061"/>
    <w:rsid w:val="000D580D"/>
    <w:rsid w:val="001053BF"/>
    <w:rsid w:val="00106CF7"/>
    <w:rsid w:val="00110BB9"/>
    <w:rsid w:val="001149CD"/>
    <w:rsid w:val="00116C95"/>
    <w:rsid w:val="00123ECA"/>
    <w:rsid w:val="00141141"/>
    <w:rsid w:val="00160514"/>
    <w:rsid w:val="001A5F38"/>
    <w:rsid w:val="001B43B6"/>
    <w:rsid w:val="001B6BE4"/>
    <w:rsid w:val="001C53F2"/>
    <w:rsid w:val="0020576A"/>
    <w:rsid w:val="00227B77"/>
    <w:rsid w:val="00232666"/>
    <w:rsid w:val="00280716"/>
    <w:rsid w:val="002A726F"/>
    <w:rsid w:val="00321A02"/>
    <w:rsid w:val="00326767"/>
    <w:rsid w:val="003401D4"/>
    <w:rsid w:val="00346E05"/>
    <w:rsid w:val="00352D3D"/>
    <w:rsid w:val="00357FEA"/>
    <w:rsid w:val="0039056A"/>
    <w:rsid w:val="00396183"/>
    <w:rsid w:val="003D5224"/>
    <w:rsid w:val="004249EF"/>
    <w:rsid w:val="00426989"/>
    <w:rsid w:val="0043536D"/>
    <w:rsid w:val="00440E93"/>
    <w:rsid w:val="00454A1C"/>
    <w:rsid w:val="00462CA8"/>
    <w:rsid w:val="00464CA3"/>
    <w:rsid w:val="004A1FC7"/>
    <w:rsid w:val="004A451B"/>
    <w:rsid w:val="004D434D"/>
    <w:rsid w:val="004F20A9"/>
    <w:rsid w:val="005241F5"/>
    <w:rsid w:val="00531D54"/>
    <w:rsid w:val="00546C67"/>
    <w:rsid w:val="0055501D"/>
    <w:rsid w:val="005760FD"/>
    <w:rsid w:val="005853E9"/>
    <w:rsid w:val="005A08EB"/>
    <w:rsid w:val="005A28BD"/>
    <w:rsid w:val="005C3AC0"/>
    <w:rsid w:val="005E16E9"/>
    <w:rsid w:val="005E68E6"/>
    <w:rsid w:val="005E7C0D"/>
    <w:rsid w:val="00620806"/>
    <w:rsid w:val="00667DE5"/>
    <w:rsid w:val="00674A63"/>
    <w:rsid w:val="006B5D24"/>
    <w:rsid w:val="006D59AF"/>
    <w:rsid w:val="006E1F5E"/>
    <w:rsid w:val="006E3907"/>
    <w:rsid w:val="006F2AF4"/>
    <w:rsid w:val="0075001B"/>
    <w:rsid w:val="007B3B64"/>
    <w:rsid w:val="007C1D56"/>
    <w:rsid w:val="007E1112"/>
    <w:rsid w:val="007E33D8"/>
    <w:rsid w:val="0081048D"/>
    <w:rsid w:val="00872414"/>
    <w:rsid w:val="00876871"/>
    <w:rsid w:val="00887F32"/>
    <w:rsid w:val="00897AE0"/>
    <w:rsid w:val="008A5512"/>
    <w:rsid w:val="008A569B"/>
    <w:rsid w:val="008D32F1"/>
    <w:rsid w:val="008D78D8"/>
    <w:rsid w:val="008F785A"/>
    <w:rsid w:val="00904431"/>
    <w:rsid w:val="00957154"/>
    <w:rsid w:val="009E41A4"/>
    <w:rsid w:val="009E508B"/>
    <w:rsid w:val="00A23044"/>
    <w:rsid w:val="00A41019"/>
    <w:rsid w:val="00A547FB"/>
    <w:rsid w:val="00A72C34"/>
    <w:rsid w:val="00AA039D"/>
    <w:rsid w:val="00AB2400"/>
    <w:rsid w:val="00AB3B4C"/>
    <w:rsid w:val="00B063D9"/>
    <w:rsid w:val="00B7697A"/>
    <w:rsid w:val="00B84783"/>
    <w:rsid w:val="00B905A2"/>
    <w:rsid w:val="00BD1117"/>
    <w:rsid w:val="00BD12B5"/>
    <w:rsid w:val="00BF7FE5"/>
    <w:rsid w:val="00C11BF7"/>
    <w:rsid w:val="00C13CCF"/>
    <w:rsid w:val="00C20F5F"/>
    <w:rsid w:val="00C333B8"/>
    <w:rsid w:val="00C34602"/>
    <w:rsid w:val="00C51D2B"/>
    <w:rsid w:val="00C71F0F"/>
    <w:rsid w:val="00C760C4"/>
    <w:rsid w:val="00C80B54"/>
    <w:rsid w:val="00C832E5"/>
    <w:rsid w:val="00CA356E"/>
    <w:rsid w:val="00CB41FC"/>
    <w:rsid w:val="00CC7F11"/>
    <w:rsid w:val="00CD00E3"/>
    <w:rsid w:val="00CE7B83"/>
    <w:rsid w:val="00D07051"/>
    <w:rsid w:val="00D56AE7"/>
    <w:rsid w:val="00D66BB0"/>
    <w:rsid w:val="00D73B2B"/>
    <w:rsid w:val="00D8266B"/>
    <w:rsid w:val="00DB1F61"/>
    <w:rsid w:val="00DC4815"/>
    <w:rsid w:val="00DC7E5D"/>
    <w:rsid w:val="00DD0D36"/>
    <w:rsid w:val="00DE641C"/>
    <w:rsid w:val="00DF0FA1"/>
    <w:rsid w:val="00DF6C35"/>
    <w:rsid w:val="00E16022"/>
    <w:rsid w:val="00E21EB6"/>
    <w:rsid w:val="00E444B3"/>
    <w:rsid w:val="00E50172"/>
    <w:rsid w:val="00E83DEC"/>
    <w:rsid w:val="00EB3116"/>
    <w:rsid w:val="00EC57C9"/>
    <w:rsid w:val="00EF70CA"/>
    <w:rsid w:val="00F61556"/>
    <w:rsid w:val="00FD7AA9"/>
    <w:rsid w:val="00FE0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4598D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33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3B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64C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C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C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C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CA3"/>
    <w:rPr>
      <w:b/>
      <w:bCs/>
      <w:sz w:val="20"/>
      <w:szCs w:val="20"/>
    </w:rPr>
  </w:style>
  <w:style w:type="paragraph" w:styleId="NoSpacing">
    <w:name w:val="No Spacing"/>
    <w:uiPriority w:val="1"/>
    <w:qFormat/>
    <w:rsid w:val="00C20F5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27B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B77"/>
  </w:style>
  <w:style w:type="paragraph" w:styleId="Footer">
    <w:name w:val="footer"/>
    <w:basedOn w:val="Normal"/>
    <w:link w:val="FooterChar"/>
    <w:uiPriority w:val="99"/>
    <w:unhideWhenUsed/>
    <w:rsid w:val="00227B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B77"/>
  </w:style>
  <w:style w:type="paragraph" w:styleId="ListParagraph">
    <w:name w:val="List Paragraph"/>
    <w:basedOn w:val="Normal"/>
    <w:uiPriority w:val="34"/>
    <w:qFormat/>
    <w:rsid w:val="00D56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9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E3A705726049A5829FF056F3CF8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2020-06-05T09:12:22Z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Për platformën qendrore të faturave</Titulli>
    <Modifikuesi xmlns="0e656187-b300-4fb0-8bf4-3a50f872073c">jorina.kryeziu</Modifikuesi>
    <Nr_x002e__x0020_prot_x0020_QBZ xmlns="0e656187-b300-4fb0-8bf4-3a50f872073c">871</Nr_x002e__x0020_prot_x0020_QBZ>
    <Data_x0020_e_x0020_Modifikimit xmlns="0e656187-b300-4fb0-8bf4-3a50f872073c">2020-06-08T08:20:41Z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E3A705726049A5829FF056F3CF8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51F8C3-399F-41E9-9304-473BD4DC1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E50638-D965-4F90-912A-AAF80A86C0C4}">
  <ds:schemaRefs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67F5FD4-7CAB-4E43-A2DC-2A909B8FB4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9B6F31-AC74-47B4-A1DA-ABE75D003C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D16AF3-2340-4FA9-838E-2A6C93C57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platformën qendrore të faturave</vt:lpstr>
    </vt:vector>
  </TitlesOfParts>
  <Company/>
  <LinksUpToDate>false</LinksUpToDate>
  <CharactersWithSpaces>6368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platformën qendrore të faturave</dc:title>
  <cp:lastModifiedBy/>
  <cp:revision>1</cp:revision>
  <dcterms:created xsi:type="dcterms:W3CDTF">2020-06-05T09:00:00Z</dcterms:created>
  <dcterms:modified xsi:type="dcterms:W3CDTF">2020-06-08T08:39:00Z</dcterms:modified>
</cp:coreProperties>
</file>