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94470" w14:textId="77777777" w:rsidR="00F511C4" w:rsidRPr="00F511C4" w:rsidRDefault="00F511C4" w:rsidP="00F511C4">
      <w:pPr>
        <w:spacing w:after="0" w:line="240" w:lineRule="auto"/>
        <w:ind w:firstLine="288"/>
        <w:jc w:val="center"/>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VENDIM</w:t>
      </w:r>
    </w:p>
    <w:p w14:paraId="05935269" w14:textId="77777777" w:rsidR="00F511C4" w:rsidRPr="00F511C4" w:rsidRDefault="00F511C4" w:rsidP="00F511C4">
      <w:pPr>
        <w:tabs>
          <w:tab w:val="left" w:pos="3480"/>
        </w:tabs>
        <w:spacing w:after="0" w:line="240" w:lineRule="auto"/>
        <w:ind w:firstLine="288"/>
        <w:jc w:val="center"/>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Nr. 1117, datë 16.12.2020</w:t>
      </w:r>
    </w:p>
    <w:p w14:paraId="7FCD31D3" w14:textId="77777777" w:rsidR="00F511C4" w:rsidRPr="00F511C4" w:rsidRDefault="00F511C4" w:rsidP="00F511C4">
      <w:pPr>
        <w:tabs>
          <w:tab w:val="left" w:pos="3480"/>
        </w:tabs>
        <w:spacing w:after="0" w:line="240" w:lineRule="auto"/>
        <w:ind w:firstLine="288"/>
        <w:jc w:val="center"/>
        <w:rPr>
          <w:rFonts w:ascii="Garamond" w:eastAsia="Times New Roman" w:hAnsi="Garamond" w:cs="Times New Roman"/>
          <w:b/>
          <w:sz w:val="24"/>
          <w:szCs w:val="24"/>
          <w:lang w:val="sq-AL"/>
        </w:rPr>
      </w:pPr>
    </w:p>
    <w:p w14:paraId="7DFD67E1" w14:textId="77777777" w:rsidR="00F511C4" w:rsidRPr="00F511C4" w:rsidRDefault="00F511C4" w:rsidP="00F511C4">
      <w:pPr>
        <w:spacing w:after="0" w:line="240" w:lineRule="auto"/>
        <w:ind w:firstLine="288"/>
        <w:jc w:val="center"/>
        <w:rPr>
          <w:rFonts w:ascii="Garamond" w:eastAsia="Times New Roman" w:hAnsi="Garamond" w:cs="Times New Roman"/>
          <w:b/>
          <w:sz w:val="24"/>
          <w:szCs w:val="24"/>
          <w:lang w:val="sq-AL" w:eastAsia="sq-AL"/>
        </w:rPr>
      </w:pPr>
      <w:r w:rsidRPr="00F511C4">
        <w:rPr>
          <w:rFonts w:ascii="Garamond" w:eastAsia="Times New Roman" w:hAnsi="Garamond" w:cs="Times New Roman"/>
          <w:b/>
          <w:sz w:val="24"/>
          <w:szCs w:val="24"/>
          <w:lang w:val="sq-AL" w:eastAsia="sq-AL"/>
        </w:rPr>
        <w:t>PËR MIRATIMIN E STRATEGJISË NDËRSEKTORIALE TË MENAXHIMIT TË INTEGRUAR TË KUFIRIT 2021–2027 DHE TË PLANIT TË VEPRIMIT 2024–2025</w:t>
      </w:r>
      <w:r w:rsidRPr="00F511C4">
        <w:rPr>
          <w:rFonts w:ascii="Garamond" w:eastAsia="Times New Roman" w:hAnsi="Garamond" w:cs="Times New Roman"/>
          <w:b/>
          <w:sz w:val="24"/>
          <w:szCs w:val="24"/>
          <w:vertAlign w:val="superscript"/>
          <w:lang w:val="sq-AL" w:eastAsia="sq-AL"/>
        </w:rPr>
        <w:footnoteReference w:id="2"/>
      </w:r>
    </w:p>
    <w:p w14:paraId="7D87293B" w14:textId="77777777" w:rsidR="00F511C4" w:rsidRPr="00F511C4" w:rsidRDefault="00F511C4" w:rsidP="00F511C4">
      <w:pPr>
        <w:spacing w:after="0" w:line="240" w:lineRule="auto"/>
        <w:ind w:firstLine="288"/>
        <w:jc w:val="center"/>
        <w:rPr>
          <w:rFonts w:ascii="Garamond" w:eastAsia="Times New Roman" w:hAnsi="Garamond" w:cs="Times New Roman"/>
          <w:i/>
          <w:sz w:val="24"/>
          <w:szCs w:val="24"/>
          <w:lang w:val="sq-AL" w:eastAsia="sq-AL"/>
        </w:rPr>
      </w:pPr>
      <w:r w:rsidRPr="00F511C4">
        <w:rPr>
          <w:rFonts w:ascii="Garamond" w:eastAsia="Times New Roman" w:hAnsi="Garamond" w:cs="Times New Roman"/>
          <w:i/>
          <w:sz w:val="24"/>
          <w:szCs w:val="24"/>
          <w:lang w:val="sq-AL" w:eastAsia="sq-AL"/>
        </w:rPr>
        <w:t>(Ndryshuar me VKM-në nr. 487, datë 24.7.2024)</w:t>
      </w:r>
    </w:p>
    <w:p w14:paraId="4545BE6F" w14:textId="77777777" w:rsidR="00F511C4" w:rsidRPr="00F511C4" w:rsidRDefault="00F511C4" w:rsidP="00F511C4">
      <w:pPr>
        <w:spacing w:after="0" w:line="240" w:lineRule="auto"/>
        <w:ind w:firstLine="288"/>
        <w:jc w:val="right"/>
        <w:rPr>
          <w:rFonts w:ascii="Garamond" w:eastAsia="Times New Roman" w:hAnsi="Garamond" w:cs="Times New Roman"/>
          <w:i/>
          <w:sz w:val="24"/>
          <w:szCs w:val="24"/>
          <w:lang w:val="sq-AL" w:eastAsia="sq-AL"/>
        </w:rPr>
      </w:pPr>
      <w:r w:rsidRPr="00F511C4">
        <w:rPr>
          <w:rFonts w:ascii="Garamond" w:eastAsia="Times New Roman" w:hAnsi="Garamond" w:cs="Times New Roman"/>
          <w:i/>
          <w:sz w:val="24"/>
          <w:szCs w:val="24"/>
          <w:lang w:val="sq-AL" w:eastAsia="sq-AL"/>
        </w:rPr>
        <w:t>(I përditësuar)</w:t>
      </w:r>
    </w:p>
    <w:p w14:paraId="1FA787DC" w14:textId="77777777" w:rsidR="00F511C4" w:rsidRPr="00F511C4" w:rsidRDefault="00F511C4" w:rsidP="00F511C4">
      <w:pPr>
        <w:spacing w:after="0" w:line="240" w:lineRule="auto"/>
        <w:ind w:firstLine="288"/>
        <w:jc w:val="right"/>
        <w:rPr>
          <w:rFonts w:ascii="Garamond" w:eastAsia="Times New Roman" w:hAnsi="Garamond" w:cs="Times New Roman"/>
          <w:i/>
          <w:sz w:val="24"/>
          <w:szCs w:val="24"/>
          <w:lang w:val="sq-AL" w:eastAsia="sq-AL"/>
        </w:rPr>
      </w:pPr>
    </w:p>
    <w:p w14:paraId="7913CD19" w14:textId="77777777" w:rsidR="00F511C4" w:rsidRPr="00F511C4" w:rsidRDefault="00F511C4" w:rsidP="00F511C4">
      <w:pPr>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Në mbështetje të nenit 100 të Kushtetutës, me propozimin e ministrit të Brendshëm, Këshilli i Ministrave</w:t>
      </w:r>
    </w:p>
    <w:p w14:paraId="07B0318B" w14:textId="77777777" w:rsidR="00F511C4" w:rsidRPr="00F511C4" w:rsidRDefault="00F511C4" w:rsidP="00F511C4">
      <w:pPr>
        <w:spacing w:after="0" w:line="240" w:lineRule="auto"/>
        <w:jc w:val="both"/>
        <w:rPr>
          <w:rFonts w:ascii="Garamond" w:eastAsia="Times New Roman" w:hAnsi="Garamond" w:cs="Times New Roman"/>
          <w:bCs/>
          <w:sz w:val="24"/>
          <w:szCs w:val="24"/>
          <w:lang w:val="sq-AL" w:eastAsia="sq-AL"/>
        </w:rPr>
      </w:pPr>
    </w:p>
    <w:p w14:paraId="0D6965E9" w14:textId="77777777" w:rsidR="00F511C4" w:rsidRPr="00F511C4" w:rsidRDefault="00F511C4" w:rsidP="00F511C4">
      <w:pPr>
        <w:spacing w:after="0" w:line="240" w:lineRule="auto"/>
        <w:ind w:firstLine="288"/>
        <w:jc w:val="center"/>
        <w:rPr>
          <w:rFonts w:ascii="Garamond" w:eastAsia="Times New Roman" w:hAnsi="Garamond" w:cs="Times New Roman"/>
          <w:bCs/>
          <w:sz w:val="24"/>
          <w:szCs w:val="24"/>
          <w:lang w:val="sq-AL" w:eastAsia="sq-AL"/>
        </w:rPr>
      </w:pPr>
      <w:r w:rsidRPr="00F511C4">
        <w:rPr>
          <w:rFonts w:ascii="Garamond" w:eastAsia="Times New Roman" w:hAnsi="Garamond" w:cs="Times New Roman"/>
          <w:bCs/>
          <w:sz w:val="24"/>
          <w:szCs w:val="24"/>
          <w:lang w:val="sq-AL" w:eastAsia="sq-AL"/>
        </w:rPr>
        <w:t>VENDOSI:</w:t>
      </w:r>
    </w:p>
    <w:p w14:paraId="1F7748E7" w14:textId="77777777" w:rsidR="00F511C4" w:rsidRPr="00F511C4" w:rsidRDefault="00F511C4" w:rsidP="00F511C4">
      <w:pPr>
        <w:spacing w:after="0" w:line="240" w:lineRule="auto"/>
        <w:ind w:firstLine="288"/>
        <w:jc w:val="center"/>
        <w:rPr>
          <w:rFonts w:ascii="Garamond" w:eastAsia="Times New Roman" w:hAnsi="Garamond" w:cs="Times New Roman"/>
          <w:bCs/>
          <w:sz w:val="24"/>
          <w:szCs w:val="24"/>
          <w:lang w:val="sq-AL" w:eastAsia="sq-AL"/>
        </w:rPr>
      </w:pPr>
    </w:p>
    <w:p w14:paraId="3E3494A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1. Miratimin e Strategjisë Ndërsektoriale të Menaxhimit të Integruar të Kufirit 2021–2027 dhe të planit të veprimit </w:t>
      </w:r>
      <w:r w:rsidRPr="00F511C4">
        <w:rPr>
          <w:rFonts w:ascii="Garamond" w:eastAsia="Times New Roman" w:hAnsi="Garamond" w:cs="Times New Roman"/>
          <w:i/>
          <w:sz w:val="24"/>
          <w:szCs w:val="24"/>
          <w:lang w:val="sq-AL"/>
        </w:rPr>
        <w:t>2024–2025</w:t>
      </w:r>
      <w:r w:rsidRPr="00F511C4">
        <w:rPr>
          <w:rFonts w:ascii="Garamond" w:eastAsia="Times New Roman" w:hAnsi="Garamond" w:cs="Times New Roman"/>
          <w:sz w:val="24"/>
          <w:szCs w:val="24"/>
          <w:lang w:val="sq-AL"/>
        </w:rPr>
        <w:t>, sipas tekstit që i bashkëlidhet këtij vendimi.</w:t>
      </w:r>
    </w:p>
    <w:p w14:paraId="02383A4B" w14:textId="77777777" w:rsidR="00F511C4" w:rsidRPr="00F511C4" w:rsidRDefault="00F511C4" w:rsidP="00F511C4">
      <w:pPr>
        <w:tabs>
          <w:tab w:val="left" w:pos="1080"/>
        </w:tabs>
        <w:spacing w:after="0" w:line="240" w:lineRule="auto"/>
        <w:ind w:firstLine="288"/>
        <w:contextualSpacing/>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2. Ngarkohen </w:t>
      </w:r>
      <w:r w:rsidRPr="00F511C4">
        <w:rPr>
          <w:rFonts w:ascii="Garamond" w:eastAsia="Times New Roman" w:hAnsi="Garamond" w:cs="Times New Roman"/>
          <w:bCs/>
          <w:sz w:val="24"/>
          <w:szCs w:val="24"/>
          <w:lang w:val="sq-AL"/>
        </w:rPr>
        <w:t xml:space="preserve">Ministria e Brendshme, ministritë dhe institucionet përgjegjëse të përmendura në tekstin e kësaj strategjie </w:t>
      </w:r>
      <w:r w:rsidRPr="00F511C4">
        <w:rPr>
          <w:rFonts w:ascii="Garamond" w:eastAsia="Times New Roman" w:hAnsi="Garamond" w:cs="Times New Roman"/>
          <w:sz w:val="24"/>
          <w:szCs w:val="24"/>
          <w:lang w:val="sq-AL"/>
        </w:rPr>
        <w:t>për zbatimin e këtij vendimi.</w:t>
      </w:r>
    </w:p>
    <w:p w14:paraId="4220FE60" w14:textId="77777777" w:rsidR="00F511C4" w:rsidRPr="00F511C4" w:rsidRDefault="00F511C4" w:rsidP="00F511C4">
      <w:pPr>
        <w:shd w:val="clear" w:color="auto" w:fill="FFFFFF"/>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Ky vendim hyn në fuqi pas botimit në Fletoren Zyrtare.</w:t>
      </w:r>
    </w:p>
    <w:p w14:paraId="06CB8C63" w14:textId="77777777" w:rsidR="00F511C4" w:rsidRPr="00F511C4" w:rsidRDefault="00F511C4" w:rsidP="00F511C4">
      <w:pPr>
        <w:shd w:val="clear" w:color="auto" w:fill="FFFFFF"/>
        <w:spacing w:after="0" w:line="240" w:lineRule="auto"/>
        <w:ind w:firstLine="288"/>
        <w:jc w:val="both"/>
        <w:rPr>
          <w:rFonts w:ascii="Garamond" w:eastAsia="Times New Roman" w:hAnsi="Garamond" w:cs="Times New Roman"/>
          <w:sz w:val="24"/>
          <w:szCs w:val="24"/>
          <w:lang w:val="sq-AL"/>
        </w:rPr>
      </w:pPr>
    </w:p>
    <w:p w14:paraId="49D55E79" w14:textId="77777777" w:rsidR="00F511C4" w:rsidRPr="00F511C4" w:rsidRDefault="00F511C4" w:rsidP="00F511C4">
      <w:pPr>
        <w:spacing w:after="0" w:line="240" w:lineRule="auto"/>
        <w:ind w:firstLine="288"/>
        <w:jc w:val="right"/>
        <w:rPr>
          <w:rFonts w:ascii="Garamond" w:eastAsia="Times New Roman" w:hAnsi="Garamond" w:cs="Times New Roman"/>
          <w:sz w:val="24"/>
          <w:szCs w:val="24"/>
          <w:lang w:val="sq-AL" w:bidi="en-US"/>
        </w:rPr>
      </w:pPr>
      <w:r w:rsidRPr="00F511C4">
        <w:rPr>
          <w:rFonts w:ascii="Garamond" w:eastAsia="Times New Roman" w:hAnsi="Garamond" w:cs="Times New Roman"/>
          <w:sz w:val="24"/>
          <w:szCs w:val="24"/>
          <w:lang w:val="sq-AL" w:bidi="en-US"/>
        </w:rPr>
        <w:t>ZËVENDËSKRYEMINISTËR</w:t>
      </w:r>
    </w:p>
    <w:p w14:paraId="19961DC1" w14:textId="77777777" w:rsidR="00F511C4" w:rsidRPr="00F511C4" w:rsidRDefault="00F511C4" w:rsidP="00F511C4">
      <w:pPr>
        <w:spacing w:after="0" w:line="240" w:lineRule="auto"/>
        <w:ind w:firstLine="288"/>
        <w:jc w:val="right"/>
        <w:rPr>
          <w:rFonts w:ascii="Garamond" w:eastAsia="Times New Roman" w:hAnsi="Garamond" w:cs="Times New Roman"/>
          <w:b/>
          <w:bCs/>
          <w:sz w:val="24"/>
          <w:szCs w:val="24"/>
          <w:lang w:val="sq-AL" w:bidi="en-US"/>
        </w:rPr>
      </w:pPr>
      <w:r w:rsidRPr="00F511C4">
        <w:rPr>
          <w:rFonts w:ascii="Garamond" w:eastAsia="Times New Roman" w:hAnsi="Garamond" w:cs="Times New Roman"/>
          <w:b/>
          <w:bCs/>
          <w:sz w:val="24"/>
          <w:szCs w:val="24"/>
          <w:lang w:val="sq-AL" w:bidi="en-US"/>
        </w:rPr>
        <w:t>Erion Braçe</w:t>
      </w:r>
    </w:p>
    <w:p w14:paraId="2F0027C4" w14:textId="77777777" w:rsidR="00F511C4" w:rsidRPr="00F511C4" w:rsidRDefault="00F511C4" w:rsidP="00F511C4">
      <w:pPr>
        <w:spacing w:after="0" w:line="240" w:lineRule="auto"/>
        <w:ind w:firstLine="288"/>
        <w:jc w:val="center"/>
        <w:rPr>
          <w:rFonts w:ascii="Garamond" w:eastAsia="Times New Roman" w:hAnsi="Garamond" w:cs="Times New Roman"/>
          <w:b/>
          <w:bCs/>
          <w:sz w:val="24"/>
          <w:szCs w:val="24"/>
          <w:lang w:val="sq-AL" w:bidi="en-US"/>
        </w:rPr>
      </w:pPr>
    </w:p>
    <w:p w14:paraId="34025BF3" w14:textId="77777777" w:rsidR="00F511C4" w:rsidRPr="00F511C4" w:rsidRDefault="00F511C4" w:rsidP="00F511C4">
      <w:pPr>
        <w:spacing w:after="0" w:line="240" w:lineRule="auto"/>
        <w:ind w:firstLine="288"/>
        <w:jc w:val="center"/>
        <w:rPr>
          <w:rFonts w:ascii="Garamond" w:eastAsia="Times New Roman" w:hAnsi="Garamond" w:cs="Times New Roman"/>
          <w:b/>
          <w:bCs/>
          <w:color w:val="000000" w:themeColor="text1"/>
          <w:sz w:val="24"/>
          <w:szCs w:val="24"/>
          <w:lang w:val="sq-AL"/>
        </w:rPr>
      </w:pPr>
      <w:r w:rsidRPr="00F511C4">
        <w:rPr>
          <w:rFonts w:ascii="Garamond" w:eastAsia="Times New Roman" w:hAnsi="Garamond" w:cs="Times New Roman"/>
          <w:b/>
          <w:bCs/>
          <w:color w:val="000000" w:themeColor="text1"/>
          <w:sz w:val="24"/>
          <w:szCs w:val="24"/>
          <w:lang w:val="sq-AL"/>
        </w:rPr>
        <w:t>Strategjia Ndërsektoriale e Menaxhimit të Integruar të Kufirit dhe plani i veprimit 2021–2027</w:t>
      </w:r>
    </w:p>
    <w:p w14:paraId="598E59A2" w14:textId="77777777" w:rsidR="00F511C4" w:rsidRPr="00F511C4" w:rsidRDefault="00F511C4" w:rsidP="00F511C4">
      <w:pPr>
        <w:spacing w:after="0" w:line="240" w:lineRule="auto"/>
        <w:ind w:firstLine="288"/>
        <w:jc w:val="center"/>
        <w:rPr>
          <w:rFonts w:ascii="Garamond" w:eastAsia="Times New Roman" w:hAnsi="Garamond" w:cs="Times New Roman"/>
          <w:b/>
          <w:bCs/>
          <w:color w:val="000000" w:themeColor="text1"/>
          <w:sz w:val="24"/>
          <w:szCs w:val="24"/>
          <w:lang w:val="sq-AL"/>
        </w:rPr>
      </w:pPr>
    </w:p>
    <w:p w14:paraId="45118C52" w14:textId="77777777" w:rsidR="00F511C4" w:rsidRPr="00F511C4" w:rsidRDefault="00F511C4" w:rsidP="00F511C4">
      <w:pPr>
        <w:spacing w:after="0" w:line="240" w:lineRule="auto"/>
        <w:ind w:firstLine="288"/>
        <w:jc w:val="center"/>
        <w:rPr>
          <w:rFonts w:ascii="Garamond" w:eastAsia="Times New Roman" w:hAnsi="Garamond" w:cs="Times New Roman"/>
          <w:bCs/>
          <w:color w:val="000000" w:themeColor="text1"/>
          <w:sz w:val="24"/>
          <w:szCs w:val="24"/>
          <w:lang w:val="sq-AL"/>
        </w:rPr>
      </w:pPr>
      <w:r w:rsidRPr="00F511C4">
        <w:rPr>
          <w:rFonts w:ascii="Garamond" w:eastAsia="Times New Roman" w:hAnsi="Garamond" w:cs="Times New Roman"/>
          <w:bCs/>
          <w:color w:val="000000" w:themeColor="text1"/>
          <w:sz w:val="24"/>
          <w:szCs w:val="24"/>
          <w:lang w:val="sq-AL"/>
        </w:rPr>
        <w:t>STRATEGJIA</w:t>
      </w:r>
    </w:p>
    <w:p w14:paraId="4D40F1EA" w14:textId="77777777" w:rsidR="00F511C4" w:rsidRPr="00F511C4" w:rsidRDefault="00F511C4" w:rsidP="00F511C4">
      <w:pPr>
        <w:spacing w:after="0" w:line="240" w:lineRule="auto"/>
        <w:ind w:firstLine="288"/>
        <w:jc w:val="center"/>
        <w:rPr>
          <w:rFonts w:ascii="Garamond" w:eastAsia="Times New Roman" w:hAnsi="Garamond" w:cs="Times New Roman"/>
          <w:bCs/>
          <w:color w:val="000000" w:themeColor="text1"/>
          <w:sz w:val="24"/>
          <w:szCs w:val="24"/>
          <w:lang w:val="sq-AL"/>
        </w:rPr>
      </w:pPr>
      <w:r w:rsidRPr="00F511C4">
        <w:rPr>
          <w:rFonts w:ascii="Garamond" w:eastAsia="Times New Roman" w:hAnsi="Garamond" w:cs="Times New Roman"/>
          <w:bCs/>
          <w:color w:val="000000" w:themeColor="text1"/>
          <w:sz w:val="24"/>
          <w:szCs w:val="24"/>
          <w:lang w:val="sq-AL"/>
        </w:rPr>
        <w:t>NDËRSEKTORIALE E MENAXHIMIT TË INTEGRUAR TË KUFIRIT</w:t>
      </w:r>
    </w:p>
    <w:p w14:paraId="4F8D8CD3" w14:textId="77777777" w:rsidR="00F511C4" w:rsidRPr="00F511C4" w:rsidRDefault="00F511C4" w:rsidP="00F511C4">
      <w:pPr>
        <w:spacing w:after="0" w:line="240" w:lineRule="auto"/>
        <w:ind w:firstLine="288"/>
        <w:jc w:val="center"/>
        <w:rPr>
          <w:rFonts w:ascii="Garamond" w:eastAsia="Times New Roman" w:hAnsi="Garamond" w:cs="Times New Roman"/>
          <w:bCs/>
          <w:color w:val="000000" w:themeColor="text1"/>
          <w:sz w:val="24"/>
          <w:szCs w:val="24"/>
          <w:lang w:val="sq-AL"/>
        </w:rPr>
      </w:pPr>
      <w:r w:rsidRPr="00F511C4">
        <w:rPr>
          <w:rFonts w:ascii="Garamond" w:eastAsia="Times New Roman" w:hAnsi="Garamond" w:cs="Times New Roman"/>
          <w:bCs/>
          <w:color w:val="000000" w:themeColor="text1"/>
          <w:sz w:val="24"/>
          <w:szCs w:val="24"/>
          <w:lang w:val="sq-AL"/>
        </w:rPr>
        <w:t>(2021–2027)</w:t>
      </w:r>
    </w:p>
    <w:p w14:paraId="04606D4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Përgatitur nga:</w:t>
      </w:r>
    </w:p>
    <w:p w14:paraId="024DACA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Ministria e Brendshme - Policia e Shtetit/Departamenti për Kufirin dhe Migracionin;</w:t>
      </w:r>
    </w:p>
    <w:p w14:paraId="78E4D39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Ministria e </w:t>
      </w:r>
      <w:r w:rsidRPr="00F511C4">
        <w:rPr>
          <w:rFonts w:ascii="Garamond" w:eastAsia="Times New Roman" w:hAnsi="Garamond" w:cs="Times New Roman"/>
          <w:color w:val="000000"/>
          <w:sz w:val="24"/>
          <w:szCs w:val="24"/>
          <w:lang w:val="sq-AL"/>
        </w:rPr>
        <w:t xml:space="preserve">Financave dhe Ekonomisë </w:t>
      </w:r>
      <w:r w:rsidRPr="00F511C4">
        <w:rPr>
          <w:rFonts w:ascii="Garamond" w:eastAsia="Times New Roman" w:hAnsi="Garamond" w:cs="Times New Roman"/>
          <w:sz w:val="24"/>
          <w:szCs w:val="24"/>
          <w:lang w:val="sq-AL"/>
        </w:rPr>
        <w:t>- Drejtoria e Përgjithshme e Doganave;</w:t>
      </w:r>
    </w:p>
    <w:p w14:paraId="7D97052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Ministria e </w:t>
      </w:r>
      <w:r w:rsidRPr="00F511C4">
        <w:rPr>
          <w:rFonts w:ascii="Garamond" w:eastAsia="Times New Roman" w:hAnsi="Garamond" w:cs="Times New Roman"/>
          <w:color w:val="000000"/>
          <w:sz w:val="24"/>
          <w:szCs w:val="24"/>
          <w:lang w:val="sq-AL"/>
        </w:rPr>
        <w:t>Bujqësisë dhe Zhvillimit Rural</w:t>
      </w:r>
      <w:r w:rsidRPr="00F511C4">
        <w:rPr>
          <w:rFonts w:ascii="Garamond" w:eastAsia="Times New Roman" w:hAnsi="Garamond" w:cs="Times New Roman"/>
          <w:sz w:val="24"/>
          <w:szCs w:val="24"/>
          <w:lang w:val="sq-AL"/>
        </w:rPr>
        <w:t xml:space="preserve"> - Autoriteti Kombëtar i Ushqimit;</w:t>
      </w:r>
    </w:p>
    <w:p w14:paraId="25AE89B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Ministria e Shëndetësisë dhe Mbrojtjes Sociale - Operatori i Shërbimeve të Kujdesit Shëndetësor;</w:t>
      </w:r>
    </w:p>
    <w:p w14:paraId="33E5B00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Ministria e Mbrojtjes - Forca Detare/Roja Bregdetare - Agjencia Kombëtare e Mbrojtjes Civile; </w:t>
      </w:r>
    </w:p>
    <w:p w14:paraId="0D9FF7F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Ministria për Evropën dhe Punët e Jashtme - Drejtoria e Çështjeve Konsullore;</w:t>
      </w:r>
    </w:p>
    <w:p w14:paraId="4CF92B6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Ministria e Drejtësisë;</w:t>
      </w:r>
    </w:p>
    <w:p w14:paraId="0E03ED3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Ministria e Infrastrukturës dhe Energjisë - Drejtoria e Përgjithshme Detare;</w:t>
      </w:r>
    </w:p>
    <w:p w14:paraId="47B0DB3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Ministria e </w:t>
      </w:r>
      <w:r w:rsidRPr="00F511C4">
        <w:rPr>
          <w:rFonts w:ascii="Garamond" w:eastAsia="Times New Roman" w:hAnsi="Garamond" w:cs="Times New Roman"/>
          <w:color w:val="000000"/>
          <w:sz w:val="24"/>
          <w:szCs w:val="24"/>
          <w:lang w:val="sq-AL"/>
        </w:rPr>
        <w:t>Turizmit dhe Mjedisit</w:t>
      </w:r>
      <w:r w:rsidRPr="00F511C4">
        <w:rPr>
          <w:rFonts w:ascii="Garamond" w:eastAsia="Times New Roman" w:hAnsi="Garamond" w:cs="Times New Roman"/>
          <w:sz w:val="24"/>
          <w:szCs w:val="24"/>
          <w:lang w:val="sq-AL"/>
        </w:rPr>
        <w:t>;</w:t>
      </w:r>
    </w:p>
    <w:p w14:paraId="66D653D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Ministria e Arsimit, Sportit dhe Rinisë; </w:t>
      </w:r>
    </w:p>
    <w:p w14:paraId="475C872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Ministria e Kulturës - Instituti Kombëtar i Regjistrimit të Trashëgimisë Kulturore;</w:t>
      </w:r>
    </w:p>
    <w:p w14:paraId="43B8ACC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Qendra Ndërinstitucionale Operacionale Detare (QNOD);</w:t>
      </w:r>
    </w:p>
    <w:p w14:paraId="1EC9BD3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sz w:val="24"/>
          <w:szCs w:val="24"/>
          <w:lang w:val="sq-AL"/>
        </w:rPr>
        <w:t>Komisioneri për të Drejtën e Informimit dhe Mbrojtjen e të Dhënave Personale</w:t>
      </w:r>
    </w:p>
    <w:p w14:paraId="3C6DB0A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p>
    <w:p w14:paraId="571F4BF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PËRMBAJTJA</w:t>
      </w:r>
    </w:p>
    <w:p w14:paraId="66B307C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LISTA E SHKURTIMEVE </w:t>
      </w:r>
    </w:p>
    <w:p w14:paraId="7D3DE8C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PJESA I: KONTEKSTI STRATEGJIK </w:t>
      </w:r>
    </w:p>
    <w:p w14:paraId="4B172C4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1. Hyrja dhe qëllimi i dokumentit </w:t>
      </w:r>
    </w:p>
    <w:p w14:paraId="530B46E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2. Kuadri ligjor, institucional, arritjet dhe lidhja me dokumentet dhe prioritetet strategjike</w:t>
      </w:r>
    </w:p>
    <w:p w14:paraId="72AD2B2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2.1 Analiza dhe arritjet </w:t>
      </w:r>
    </w:p>
    <w:p w14:paraId="785E037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2.3 Sfidat </w:t>
      </w:r>
    </w:p>
    <w:p w14:paraId="49B8976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3. Pozicioni gjeopolitik dhe karakteristikat e kufirit </w:t>
      </w:r>
    </w:p>
    <w:p w14:paraId="4995C8F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4. Vizioni i strategjisë </w:t>
      </w:r>
    </w:p>
    <w:p w14:paraId="124AED6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4.1 Vizioni </w:t>
      </w:r>
    </w:p>
    <w:p w14:paraId="5F81EA5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4.2 Misioni dhe vlerat </w:t>
      </w:r>
    </w:p>
    <w:p w14:paraId="16091E9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4.3 Treguesit e impaktit dhe treguesit e rezultatit</w:t>
      </w:r>
    </w:p>
    <w:p w14:paraId="76E69BA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PJESA II: QËLLIMI I POLITIKAVE DHE OBJEKTIVAT SPECIFIKE TË STRATEGJISË </w:t>
      </w:r>
    </w:p>
    <w:p w14:paraId="07ED727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1. Qëllimi i politikës 1 – Mbrojtja e sigurisë së brendshme dhe menaxhimi i flukseve migratore, me qëllim parandalimin e migracionit të parregullt, si dhe parandalimin dhe goditjen e krimit ndërkufitar</w:t>
      </w:r>
    </w:p>
    <w:p w14:paraId="3B4D063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1.1 Objektivi specifik 1, i qëllimit të politikës 1: Rritja e nivelit të përputhshmërisë me standardet evropiane dhe të </w:t>
      </w:r>
      <w:r w:rsidRPr="00F511C4">
        <w:rPr>
          <w:rFonts w:ascii="Garamond" w:eastAsia="Times New Roman" w:hAnsi="Garamond" w:cs="Times New Roman"/>
          <w:i/>
          <w:sz w:val="24"/>
          <w:szCs w:val="24"/>
          <w:lang w:val="sq-AL"/>
        </w:rPr>
        <w:t>Schengen</w:t>
      </w:r>
      <w:r w:rsidRPr="00F511C4">
        <w:rPr>
          <w:rFonts w:ascii="Garamond" w:eastAsia="Times New Roman" w:hAnsi="Garamond" w:cs="Times New Roman"/>
          <w:sz w:val="24"/>
          <w:szCs w:val="24"/>
          <w:lang w:val="sq-AL"/>
        </w:rPr>
        <w:t xml:space="preserve">-it, në aspektin legjislativ, administrativ dhe institucional në fushën e menaxhimit të integruar të kufijve, veçanërisht në fushën e kontrollit dhe mbikëqyrjes së kufirit dhe forcimi i bashkëpunimit ndëragjenci dhe bashkëpunimit ndërkombëtar </w:t>
      </w:r>
    </w:p>
    <w:p w14:paraId="14F339C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1.2 Objektivi specifik 2, i qëllimit të politikës 1: Përmirësimi i sistemit për mbikëqyrjen e hapësirës detare, kontrollit kufitar dhe kërkim–shpëtimit në det </w:t>
      </w:r>
    </w:p>
    <w:p w14:paraId="51FD498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1.3 Objektivi specifik 3, i qëllimit të politikës 1: Reduktimi i vulnerabilitetit (ndjeshmërisë) në kufi duke reaguar në mënyrë më efektive me vendosjen e burimeve të disponueshme, bazuar në analizën e rrezikut të kryer dhe kërcënimit që mund të ndikojë në sigurinë kufitare, në përputhje me modelin e CIRAM-it të BE-së</w:t>
      </w:r>
    </w:p>
    <w:p w14:paraId="7CFBD5D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1.4 Objektivi specifik 4, i qëllimit të politikës 1: Bashkëpunim i zgjeruar ndërinstitucional në menaxhimin e integruar të kufijve për të përmirësuar trafikun ndërkufitar, përmirësimin e sigurisë kufitare, luftën ndaj krimit ndërkufitar, mbrojtjen e jetës, shëndetit dhe pronën e njerëzve, shëndetin e kafshëve, bimësinë dhe ekosistemet përgjatë kufirit shtetëror</w:t>
      </w:r>
    </w:p>
    <w:p w14:paraId="6448036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1.5 Objektivi specifik 5, i qëllimit të politikës 1: Forcimi i bashkëpunimit ndërkombëtar, veçanërisht me vendet fqinje, institucionet e BE-së dhe Agjencinë Evropiane të Rojës Kufitare dhe Bregdetare (FRONTEX) për çështjet e kufijve, parandalimin e migracionit të paligjshëm, krimin ndërkufitar dhe ripranimin e personave me qëndrim të parregullt</w:t>
      </w:r>
    </w:p>
    <w:p w14:paraId="39B7865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1.6 Objektivi specifik 6, i qëllimit të politikës 1: Përmirësimi i sistemit të ripranimit (kthimit dhe pranimit) të shtetasve të huaj dhe vendas në përputhje me marrëveshjet e lidhura dhe në bashkëpunim me misionet diplomatike dhe konsullore</w:t>
      </w:r>
    </w:p>
    <w:p w14:paraId="50A8D3F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2. Qëllimi i politikës 2: Lehtësimi i qarkullimit legal të shtetasve dhe mallrave</w:t>
      </w:r>
    </w:p>
    <w:p w14:paraId="77D7FB2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2.1 Objektivi specifik 1, i qëllimit të politikës 2: Përmirësimi i infrastrukturës në pikat e kalimit kufitar me qëllim krijimin e kushteve që sigurojnë kalim të lehtësuar dhe të sigurt të shtetasve dhe mallrave</w:t>
      </w:r>
    </w:p>
    <w:p w14:paraId="33CAD3E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2.2 Objektivi specifik 2, i qëllimit të politikës 2: Negocimi dhe nënshkrimi i marrëveshjeve për ngritjen e pikave të përbashkëta të kalimit kufitar dhe doganor</w:t>
      </w:r>
    </w:p>
    <w:p w14:paraId="072FD20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2.3 Objektivi specifik 3, i qëllimit të politikës 2: Alokimi i burimeve të nevojshme njerëzore, në pikat e kalimit të kufitar, në përputhje me fluksin e qarkullimit ndërkufitar</w:t>
      </w:r>
    </w:p>
    <w:p w14:paraId="50994E9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2.4 Objektivi specifik 4, i qëllimit të politikës 2: Forcimi i kapaciteteve logjistike për zbulimin e dokumenteve të falsifikuara të udhëtimit</w:t>
      </w:r>
    </w:p>
    <w:p w14:paraId="24685D2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2.5 Objektivi specifik 5, i qëllimit të politikës 2: Forcimi i kapaciteteve profesionale të rojeve kufitare që shërbejnë në pikat e kalimit kufitar</w:t>
      </w:r>
    </w:p>
    <w:p w14:paraId="52CA95C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3. Qëllimi i politikës 3: Respektimi i plotë i të drejtave themelore, përfshirë trajtimin e çdo individi me respekt të plotë për dinjitetin dhe mundësimin e qasjes në mbrojtjen ndërkombëtare të atyre që kanë nevojë</w:t>
      </w:r>
    </w:p>
    <w:p w14:paraId="40DFFF3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3.1 Objektivi specifik 1, i qëllimit të politikës 3: Përmirësimi i nivelit të respektimit, mbrojtjes dhe promovimit të të drejtave themelore, sjelljes profesionale të oficerëve të kontrollit kufitar, si </w:t>
      </w:r>
      <w:r w:rsidRPr="00F511C4">
        <w:rPr>
          <w:rFonts w:ascii="Garamond" w:eastAsia="Times New Roman" w:hAnsi="Garamond" w:cs="Times New Roman"/>
          <w:sz w:val="24"/>
          <w:szCs w:val="24"/>
          <w:lang w:val="sq-AL"/>
        </w:rPr>
        <w:lastRenderedPageBreak/>
        <w:t>dhe të aftësive të tyre profesionale për përdorim më efikas të pajisjeve teknike, trajnimit dhe zhvillimit profesional</w:t>
      </w:r>
    </w:p>
    <w:p w14:paraId="6C4F466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3.2 Objektivi specifik 2, i qëllimit të politikës 3: Kontrolli i cilësisë në zbatimin e ligjit, për menaxhimin e kufijve dhe sjellja e policëve dhe doganierëve të përfshirë në kontrollin kufitar dhe doganor, të kryhet në përputhje aktet ligjore dhe nënligjore dhe me standardet e BE-së</w:t>
      </w:r>
    </w:p>
    <w:p w14:paraId="384D0B0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3.3 Objektivi specifik 3, i qëllimit të politikës 3: Sigurimi i qasjes në mbrojtjen ndërkombëtare të atyre që kanë nevojë</w:t>
      </w:r>
    </w:p>
    <w:p w14:paraId="7EACE02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PJESA III: PROJEKTET KRYESORE PËR ZBATIMIN E STRATEGJISË</w:t>
      </w:r>
    </w:p>
    <w:p w14:paraId="491F7B5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PJESA IV: ZBATIMI, PËRGJEGJËSIA E INSTITUCIONEVE, RAPORTIMI DHE</w:t>
      </w:r>
    </w:p>
    <w:p w14:paraId="57CB0C7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MONITORIMI</w:t>
      </w:r>
    </w:p>
    <w:p w14:paraId="23AA585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1. Përgjegjësia e institucioneve</w:t>
      </w:r>
    </w:p>
    <w:p w14:paraId="590B1DE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2. Llogaridhënia, raportimi dhe monitorimi</w:t>
      </w:r>
    </w:p>
    <w:p w14:paraId="1A85FD4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PJESA V: KOSTIMI DHE BURIMET FINANCIARE </w:t>
      </w:r>
    </w:p>
    <w:p w14:paraId="2152840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ANEKS 1: PLANI I VEPRIMIT 2021–2023</w:t>
      </w:r>
    </w:p>
    <w:p w14:paraId="759EF3D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ANEKS 1: PASAPORTA E INDIKATORËVE </w:t>
      </w:r>
    </w:p>
    <w:p w14:paraId="6DFCE135"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sz w:val="24"/>
          <w:szCs w:val="24"/>
          <w:lang w:val="sq-AL"/>
        </w:rPr>
      </w:pPr>
    </w:p>
    <w:p w14:paraId="19589C54" w14:textId="77777777" w:rsidR="00F511C4" w:rsidRPr="00F511C4" w:rsidRDefault="00F511C4" w:rsidP="00F511C4">
      <w:pPr>
        <w:spacing w:after="0" w:line="240" w:lineRule="auto"/>
        <w:ind w:firstLine="113"/>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Lista e shkurtimeve</w:t>
      </w:r>
    </w:p>
    <w:p w14:paraId="7771EF8B" w14:textId="77777777" w:rsidR="00F511C4" w:rsidRPr="00F511C4" w:rsidRDefault="00F511C4" w:rsidP="00F511C4">
      <w:pPr>
        <w:spacing w:after="0" w:line="240" w:lineRule="auto"/>
        <w:ind w:firstLine="113"/>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AKU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Autoriteti Kombëtar i Ushqimit</w:t>
      </w:r>
    </w:p>
    <w:p w14:paraId="68FFAE11" w14:textId="77777777" w:rsidR="00F511C4" w:rsidRPr="00F511C4" w:rsidRDefault="00F511C4" w:rsidP="00F511C4">
      <w:pPr>
        <w:spacing w:after="0" w:line="240" w:lineRule="auto"/>
        <w:ind w:firstLine="113"/>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ASCAP </w:t>
      </w:r>
      <w:r w:rsidRPr="00F511C4">
        <w:rPr>
          <w:rFonts w:ascii="Garamond" w:eastAsia="Times New Roman" w:hAnsi="Garamond" w:cs="Times New Roman"/>
          <w:bCs/>
          <w:sz w:val="24"/>
          <w:szCs w:val="24"/>
          <w:lang w:val="sq-AL"/>
        </w:rPr>
        <w:tab/>
        <w:t xml:space="preserve">– </w:t>
      </w:r>
      <w:r w:rsidRPr="00F511C4">
        <w:rPr>
          <w:rFonts w:ascii="Garamond" w:eastAsia="Times New Roman" w:hAnsi="Garamond" w:cs="Times New Roman"/>
          <w:sz w:val="24"/>
          <w:szCs w:val="24"/>
          <w:lang w:val="sq-AL"/>
        </w:rPr>
        <w:t>Agjencia e Sigurimit të Cilësisë të Arsimit Parauniversitar</w:t>
      </w:r>
    </w:p>
    <w:p w14:paraId="33C5A4B5"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BE </w:t>
      </w:r>
      <w:r w:rsidRPr="00F511C4">
        <w:rPr>
          <w:rFonts w:ascii="Garamond" w:eastAsia="Yu Mincho" w:hAnsi="Garamond" w:cs="Times New Roman"/>
          <w:sz w:val="24"/>
          <w:szCs w:val="24"/>
          <w:lang w:val="sq-AL"/>
        </w:rPr>
        <w:tab/>
        <w:t xml:space="preserve"> – Bashkimi Evropian</w:t>
      </w:r>
    </w:p>
    <w:p w14:paraId="404C8820"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sz w:val="24"/>
          <w:szCs w:val="24"/>
          <w:shd w:val="clear" w:color="auto" w:fill="FFFF00"/>
          <w:lang w:val="sq-AL"/>
        </w:rPr>
      </w:pPr>
      <w:r w:rsidRPr="00F511C4">
        <w:rPr>
          <w:rFonts w:ascii="Garamond" w:eastAsia="Times New Roman" w:hAnsi="Garamond" w:cs="Times New Roman"/>
          <w:bCs/>
          <w:sz w:val="24"/>
          <w:szCs w:val="24"/>
          <w:lang w:val="sq-AL"/>
        </w:rPr>
        <w:t xml:space="preserve">CIRAM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shd w:val="clear" w:color="auto" w:fill="FFFFFF"/>
          <w:lang w:val="sq-AL"/>
        </w:rPr>
        <w:t xml:space="preserve">– </w:t>
      </w:r>
      <w:r w:rsidRPr="00F511C4">
        <w:rPr>
          <w:rFonts w:ascii="Garamond" w:eastAsia="Times New Roman" w:hAnsi="Garamond" w:cs="Times New Roman"/>
          <w:sz w:val="24"/>
          <w:szCs w:val="24"/>
          <w:shd w:val="clear" w:color="auto" w:fill="FFFFFF"/>
          <w:lang w:val="sq-AL"/>
        </w:rPr>
        <w:t>Modeli i Përbashkët i Analizës së Integruar të Riskut</w:t>
      </w:r>
    </w:p>
    <w:p w14:paraId="530EFB55"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CRO</w:t>
      </w:r>
      <w:r w:rsidRPr="00F511C4">
        <w:rPr>
          <w:rFonts w:ascii="Garamond" w:eastAsia="Times New Roman" w:hAnsi="Garamond" w:cs="Times New Roman"/>
          <w:sz w:val="24"/>
          <w:szCs w:val="24"/>
          <w:lang w:val="sq-AL"/>
        </w:rPr>
        <w:tab/>
      </w:r>
      <w:r w:rsidRPr="00F511C4">
        <w:rPr>
          <w:rFonts w:ascii="Garamond" w:eastAsia="Times New Roman" w:hAnsi="Garamond" w:cs="Times New Roman"/>
          <w:sz w:val="24"/>
          <w:szCs w:val="24"/>
          <w:lang w:val="sq-AL"/>
        </w:rPr>
        <w:tab/>
        <w:t>– Fluturime të Grupuara të Kthimit</w:t>
      </w:r>
    </w:p>
    <w:p w14:paraId="00CCBF34"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DKM </w:t>
      </w:r>
      <w:r w:rsidRPr="00F511C4">
        <w:rPr>
          <w:rFonts w:ascii="Garamond" w:eastAsia="Yu Mincho" w:hAnsi="Garamond" w:cs="Times New Roman"/>
          <w:sz w:val="24"/>
          <w:szCs w:val="24"/>
          <w:lang w:val="sq-AL"/>
        </w:rPr>
        <w:tab/>
        <w:t>– Departamenti për Kufirin dhe Migracionin</w:t>
      </w:r>
    </w:p>
    <w:p w14:paraId="49CFE0C4"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DPAP </w:t>
      </w:r>
      <w:r w:rsidRPr="00F511C4">
        <w:rPr>
          <w:rFonts w:ascii="Garamond" w:eastAsia="Yu Mincho" w:hAnsi="Garamond" w:cs="Times New Roman"/>
          <w:sz w:val="24"/>
          <w:szCs w:val="24"/>
          <w:lang w:val="sq-AL"/>
        </w:rPr>
        <w:tab/>
        <w:t xml:space="preserve">– </w:t>
      </w:r>
      <w:r w:rsidRPr="00F511C4">
        <w:rPr>
          <w:rFonts w:ascii="Garamond" w:eastAsia="Yu Mincho" w:hAnsi="Garamond" w:cs="Times New Roman"/>
          <w:bCs/>
          <w:sz w:val="24"/>
          <w:szCs w:val="24"/>
          <w:lang w:val="sq-AL"/>
        </w:rPr>
        <w:t>Drejtoria e Përgjithshme e Arsimit Parauniversitar</w:t>
      </w:r>
    </w:p>
    <w:p w14:paraId="46EEA5DB"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DPD </w:t>
      </w:r>
      <w:r w:rsidRPr="00F511C4">
        <w:rPr>
          <w:rFonts w:ascii="Garamond" w:eastAsia="Yu Mincho" w:hAnsi="Garamond" w:cs="Times New Roman"/>
          <w:sz w:val="24"/>
          <w:szCs w:val="24"/>
          <w:lang w:val="sq-AL"/>
        </w:rPr>
        <w:tab/>
      </w:r>
      <w:r w:rsidRPr="00F511C4">
        <w:rPr>
          <w:rFonts w:ascii="Garamond" w:eastAsia="Yu Mincho" w:hAnsi="Garamond" w:cs="Times New Roman"/>
          <w:sz w:val="24"/>
          <w:szCs w:val="24"/>
          <w:lang w:val="sq-AL"/>
        </w:rPr>
        <w:tab/>
        <w:t>– Drejtoria e Përgjithshme e Doganave</w:t>
      </w:r>
    </w:p>
    <w:p w14:paraId="4C5DA204"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DPPSH </w:t>
      </w:r>
      <w:r w:rsidRPr="00F511C4">
        <w:rPr>
          <w:rFonts w:ascii="Garamond" w:eastAsia="Yu Mincho" w:hAnsi="Garamond" w:cs="Times New Roman"/>
          <w:sz w:val="24"/>
          <w:szCs w:val="24"/>
          <w:lang w:val="sq-AL"/>
        </w:rPr>
        <w:tab/>
        <w:t>– Drejtoria e Përgjithshme e Policisë së Shtetit</w:t>
      </w:r>
    </w:p>
    <w:p w14:paraId="3F1D5D07"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DVKM </w:t>
      </w:r>
      <w:r w:rsidRPr="00F511C4">
        <w:rPr>
          <w:rFonts w:ascii="Garamond" w:eastAsia="Times New Roman" w:hAnsi="Garamond" w:cs="Times New Roman"/>
          <w:bCs/>
          <w:sz w:val="24"/>
          <w:szCs w:val="24"/>
          <w:lang w:val="sq-AL"/>
        </w:rPr>
        <w:tab/>
        <w:t>– Drejtori Vendore për Kufirin dhe Migracionin</w:t>
      </w:r>
    </w:p>
    <w:p w14:paraId="6486ACC2"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DVP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Drejtori Vendore e Policisë</w:t>
      </w:r>
    </w:p>
    <w:p w14:paraId="1D9E78CD"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EUROSUR </w:t>
      </w:r>
      <w:r w:rsidRPr="00F511C4">
        <w:rPr>
          <w:rFonts w:ascii="Garamond" w:eastAsia="Yu Mincho" w:hAnsi="Garamond" w:cs="Times New Roman"/>
          <w:sz w:val="24"/>
          <w:szCs w:val="24"/>
          <w:lang w:val="sq-AL"/>
        </w:rPr>
        <w:tab/>
        <w:t>– Sistemi Evropian i Mbikëqyrjes së Kufijve</w:t>
      </w:r>
    </w:p>
    <w:p w14:paraId="638D20A5"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EXBS </w:t>
      </w:r>
      <w:r w:rsidRPr="00F511C4">
        <w:rPr>
          <w:rFonts w:ascii="Garamond" w:eastAsia="Times New Roman" w:hAnsi="Garamond" w:cs="Times New Roman"/>
          <w:bCs/>
          <w:sz w:val="24"/>
          <w:szCs w:val="24"/>
          <w:lang w:val="sq-AL"/>
        </w:rPr>
        <w:tab/>
        <w:t>– Kontrolli i Eksporteve lidhur me Sigurinë Kufitare</w:t>
      </w:r>
    </w:p>
    <w:p w14:paraId="382A416B"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FER </w:t>
      </w:r>
      <w:r w:rsidRPr="00F511C4">
        <w:rPr>
          <w:rFonts w:ascii="Garamond" w:eastAsia="Times New Roman" w:hAnsi="Garamond" w:cs="Times New Roman"/>
          <w:sz w:val="24"/>
          <w:szCs w:val="24"/>
          <w:lang w:val="sq-AL"/>
        </w:rPr>
        <w:tab/>
      </w:r>
      <w:r w:rsidRPr="00F511C4">
        <w:rPr>
          <w:rFonts w:ascii="Garamond" w:eastAsia="Times New Roman" w:hAnsi="Garamond" w:cs="Times New Roman"/>
          <w:sz w:val="24"/>
          <w:szCs w:val="24"/>
          <w:lang w:val="sq-AL"/>
        </w:rPr>
        <w:tab/>
        <w:t>– Regjistri Elektronik për të Huajt</w:t>
      </w:r>
    </w:p>
    <w:p w14:paraId="481C79CA"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FRONTEX </w:t>
      </w:r>
      <w:r w:rsidRPr="00F511C4">
        <w:rPr>
          <w:rFonts w:ascii="Garamond" w:eastAsia="Yu Mincho" w:hAnsi="Garamond" w:cs="Times New Roman"/>
          <w:sz w:val="24"/>
          <w:szCs w:val="24"/>
          <w:lang w:val="sq-AL"/>
        </w:rPr>
        <w:tab/>
        <w:t>– Agjencia Evropiane për Kufirin dhe Rojën Bregdetare</w:t>
      </w:r>
    </w:p>
    <w:p w14:paraId="07792502"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IKRKT </w:t>
      </w:r>
      <w:r w:rsidRPr="00F511C4">
        <w:rPr>
          <w:rFonts w:ascii="Garamond" w:eastAsia="Times New Roman" w:hAnsi="Garamond" w:cs="Times New Roman"/>
          <w:bCs/>
          <w:sz w:val="24"/>
          <w:szCs w:val="24"/>
          <w:lang w:val="sq-AL"/>
        </w:rPr>
        <w:tab/>
        <w:t>– Instituti Kombëtar i Regjistrimit të Trashëgimisë Kulturore</w:t>
      </w:r>
    </w:p>
    <w:p w14:paraId="4D8D8369"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IOM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Organizata Ndërkombëtare e Migracionit</w:t>
      </w:r>
    </w:p>
    <w:p w14:paraId="48F72A23"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IT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xml:space="preserve">– Teknologjia e Informacionit </w:t>
      </w:r>
    </w:p>
    <w:p w14:paraId="4D185622"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KE </w:t>
      </w:r>
      <w:r w:rsidRPr="00F511C4">
        <w:rPr>
          <w:rFonts w:ascii="Garamond" w:eastAsia="Yu Mincho" w:hAnsi="Garamond" w:cs="Times New Roman"/>
          <w:sz w:val="24"/>
          <w:szCs w:val="24"/>
          <w:lang w:val="sq-AL"/>
        </w:rPr>
        <w:tab/>
      </w:r>
      <w:r w:rsidRPr="00F511C4">
        <w:rPr>
          <w:rFonts w:ascii="Garamond" w:eastAsia="Yu Mincho" w:hAnsi="Garamond" w:cs="Times New Roman"/>
          <w:sz w:val="24"/>
          <w:szCs w:val="24"/>
          <w:lang w:val="sq-AL"/>
        </w:rPr>
        <w:tab/>
      </w:r>
      <w:r w:rsidRPr="00F511C4">
        <w:rPr>
          <w:rFonts w:ascii="Garamond" w:eastAsia="Yu Mincho" w:hAnsi="Garamond" w:cs="Times New Roman"/>
          <w:b/>
          <w:sz w:val="24"/>
          <w:szCs w:val="24"/>
          <w:lang w:val="sq-AL"/>
        </w:rPr>
        <w:t xml:space="preserve">– </w:t>
      </w:r>
      <w:r w:rsidRPr="00F511C4">
        <w:rPr>
          <w:rFonts w:ascii="Garamond" w:eastAsia="Yu Mincho" w:hAnsi="Garamond" w:cs="Times New Roman"/>
          <w:sz w:val="24"/>
          <w:szCs w:val="24"/>
          <w:lang w:val="sq-AL"/>
        </w:rPr>
        <w:t>Këshilli i Evropës</w:t>
      </w:r>
    </w:p>
    <w:p w14:paraId="39AD32E4"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MASR – Ministria e Arsimit, Sportit dhe Rinisë</w:t>
      </w:r>
    </w:p>
    <w:p w14:paraId="448614D1"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MB </w:t>
      </w:r>
      <w:r w:rsidRPr="00F511C4">
        <w:rPr>
          <w:rFonts w:ascii="Garamond" w:eastAsia="Yu Mincho" w:hAnsi="Garamond" w:cs="Times New Roman"/>
          <w:sz w:val="24"/>
          <w:szCs w:val="24"/>
          <w:lang w:val="sq-AL"/>
        </w:rPr>
        <w:tab/>
      </w:r>
      <w:r w:rsidRPr="00F511C4">
        <w:rPr>
          <w:rFonts w:ascii="Garamond" w:eastAsia="Yu Mincho" w:hAnsi="Garamond" w:cs="Times New Roman"/>
          <w:sz w:val="24"/>
          <w:szCs w:val="24"/>
          <w:lang w:val="sq-AL"/>
        </w:rPr>
        <w:tab/>
        <w:t>– Ministria e Brendshme</w:t>
      </w:r>
    </w:p>
    <w:p w14:paraId="66D97469" w14:textId="77777777" w:rsidR="00F511C4" w:rsidRPr="00F511C4" w:rsidRDefault="00F511C4" w:rsidP="00F511C4">
      <w:pPr>
        <w:spacing w:after="0" w:line="240" w:lineRule="auto"/>
        <w:ind w:firstLine="113"/>
        <w:rPr>
          <w:rFonts w:ascii="Garamond" w:eastAsia="Yu Mincho" w:hAnsi="Garamond" w:cs="Times New Roman"/>
          <w:color w:val="000000"/>
          <w:sz w:val="24"/>
          <w:szCs w:val="24"/>
          <w:lang w:val="sq-AL"/>
        </w:rPr>
      </w:pPr>
      <w:r w:rsidRPr="00F511C4">
        <w:rPr>
          <w:rFonts w:ascii="Garamond" w:eastAsia="Yu Mincho" w:hAnsi="Garamond" w:cs="Times New Roman"/>
          <w:color w:val="000000"/>
          <w:sz w:val="24"/>
          <w:szCs w:val="24"/>
          <w:lang w:val="sq-AL"/>
        </w:rPr>
        <w:t>M</w:t>
      </w:r>
      <w:r w:rsidRPr="00F511C4">
        <w:rPr>
          <w:rFonts w:ascii="Garamond" w:eastAsia="Yu Mincho" w:hAnsi="Garamond" w:cs="Times New Roman"/>
          <w:bCs/>
          <w:sz w:val="24"/>
          <w:szCs w:val="24"/>
          <w:lang w:val="sq-AL"/>
        </w:rPr>
        <w:t>BZHR</w:t>
      </w:r>
      <w:r w:rsidRPr="00F511C4">
        <w:rPr>
          <w:rFonts w:ascii="Garamond" w:eastAsia="Yu Mincho" w:hAnsi="Garamond" w:cs="Times New Roman"/>
          <w:bCs/>
          <w:sz w:val="24"/>
          <w:szCs w:val="24"/>
          <w:lang w:val="sq-AL"/>
        </w:rPr>
        <w:tab/>
        <w:t xml:space="preserve">– Ministria e </w:t>
      </w:r>
      <w:r w:rsidRPr="00F511C4">
        <w:rPr>
          <w:rFonts w:ascii="Garamond" w:eastAsia="Yu Mincho" w:hAnsi="Garamond" w:cs="Times New Roman"/>
          <w:color w:val="000000"/>
          <w:sz w:val="24"/>
          <w:szCs w:val="24"/>
          <w:lang w:val="sq-AL"/>
        </w:rPr>
        <w:t>Bujqësisë dhe Zhvillimit Rural</w:t>
      </w:r>
    </w:p>
    <w:p w14:paraId="3F53BBDB" w14:textId="77777777" w:rsidR="00F511C4" w:rsidRPr="00F511C4" w:rsidRDefault="00F511C4" w:rsidP="00F511C4">
      <w:pPr>
        <w:autoSpaceDE w:val="0"/>
        <w:autoSpaceDN w:val="0"/>
        <w:adjustRightInd w:val="0"/>
        <w:spacing w:after="0" w:line="240" w:lineRule="auto"/>
        <w:ind w:firstLine="113"/>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MD</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Ministria e Drejtësisë</w:t>
      </w:r>
    </w:p>
    <w:p w14:paraId="0A5AA6FD"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MEF </w:t>
      </w:r>
      <w:r w:rsidRPr="00F511C4">
        <w:rPr>
          <w:rFonts w:ascii="Garamond" w:eastAsia="Yu Mincho" w:hAnsi="Garamond" w:cs="Times New Roman"/>
          <w:sz w:val="24"/>
          <w:szCs w:val="24"/>
          <w:lang w:val="sq-AL"/>
        </w:rPr>
        <w:tab/>
      </w:r>
      <w:r w:rsidRPr="00F511C4">
        <w:rPr>
          <w:rFonts w:ascii="Garamond" w:eastAsia="Yu Mincho" w:hAnsi="Garamond" w:cs="Times New Roman"/>
          <w:sz w:val="24"/>
          <w:szCs w:val="24"/>
          <w:lang w:val="sq-AL"/>
        </w:rPr>
        <w:tab/>
        <w:t>– Ministria e Ekonomisë dhe Financave</w:t>
      </w:r>
    </w:p>
    <w:p w14:paraId="52C4F700"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MEPJ </w:t>
      </w:r>
      <w:r w:rsidRPr="00F511C4">
        <w:rPr>
          <w:rFonts w:ascii="Garamond" w:eastAsia="Yu Mincho" w:hAnsi="Garamond" w:cs="Times New Roman"/>
          <w:sz w:val="24"/>
          <w:szCs w:val="24"/>
          <w:lang w:val="sq-AL"/>
        </w:rPr>
        <w:tab/>
        <w:t>– Ministria për Evropën dhe Punët e Jashtme</w:t>
      </w:r>
    </w:p>
    <w:p w14:paraId="69449297" w14:textId="77777777" w:rsidR="00F511C4" w:rsidRPr="00F511C4" w:rsidRDefault="00F511C4" w:rsidP="00F511C4">
      <w:pPr>
        <w:autoSpaceDE w:val="0"/>
        <w:autoSpaceDN w:val="0"/>
        <w:adjustRightInd w:val="0"/>
        <w:spacing w:after="0" w:line="240" w:lineRule="auto"/>
        <w:ind w:firstLine="113"/>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MIE</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xml:space="preserve">– Ministria e Infrastrukturës dhe Energjisë </w:t>
      </w:r>
    </w:p>
    <w:p w14:paraId="06B891A9" w14:textId="77777777" w:rsidR="00F511C4" w:rsidRPr="00F511C4" w:rsidRDefault="00F511C4" w:rsidP="00F511C4">
      <w:pPr>
        <w:spacing w:after="0" w:line="240" w:lineRule="auto"/>
        <w:ind w:firstLine="113"/>
        <w:rPr>
          <w:rFonts w:ascii="Garamond" w:eastAsia="Times New Roman" w:hAnsi="Garamond" w:cs="Times New Roman"/>
          <w:sz w:val="24"/>
          <w:szCs w:val="24"/>
          <w:lang w:val="sq-AL"/>
        </w:rPr>
      </w:pPr>
      <w:r w:rsidRPr="00F511C4">
        <w:rPr>
          <w:rFonts w:ascii="Garamond" w:eastAsia="Times New Roman" w:hAnsi="Garamond" w:cs="Times New Roman"/>
          <w:bCs/>
          <w:sz w:val="24"/>
          <w:szCs w:val="24"/>
          <w:lang w:val="sq-AL"/>
        </w:rPr>
        <w:t xml:space="preserve">MIK </w:t>
      </w:r>
      <w:r w:rsidRPr="00F511C4">
        <w:rPr>
          <w:rFonts w:ascii="Garamond" w:eastAsia="Times New Roman" w:hAnsi="Garamond" w:cs="Times New Roman"/>
          <w:b/>
          <w:bCs/>
          <w:sz w:val="24"/>
          <w:szCs w:val="24"/>
          <w:lang w:val="sq-AL"/>
        </w:rPr>
        <w:t xml:space="preserve">– </w:t>
      </w:r>
      <w:r w:rsidRPr="00F511C4">
        <w:rPr>
          <w:rFonts w:ascii="Garamond" w:eastAsia="Times New Roman" w:hAnsi="Garamond" w:cs="Times New Roman"/>
          <w:bCs/>
          <w:sz w:val="24"/>
          <w:szCs w:val="24"/>
          <w:lang w:val="sq-AL"/>
        </w:rPr>
        <w:t>Menaxhim i Integruar i Kufirit</w:t>
      </w:r>
    </w:p>
    <w:p w14:paraId="71B8BBF6" w14:textId="77777777" w:rsidR="00F511C4" w:rsidRPr="00F511C4" w:rsidRDefault="00F511C4" w:rsidP="00F511C4">
      <w:pPr>
        <w:spacing w:after="0" w:line="240" w:lineRule="auto"/>
        <w:ind w:firstLine="113"/>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MK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Ministria e Kulturës</w:t>
      </w:r>
    </w:p>
    <w:p w14:paraId="570FB5B7" w14:textId="77777777" w:rsidR="00F511C4" w:rsidRPr="00F511C4" w:rsidRDefault="00F511C4" w:rsidP="00F511C4">
      <w:pPr>
        <w:autoSpaceDE w:val="0"/>
        <w:autoSpaceDN w:val="0"/>
        <w:adjustRightInd w:val="0"/>
        <w:spacing w:after="0" w:line="240" w:lineRule="auto"/>
        <w:ind w:firstLine="113"/>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MM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Ministria e Mbrojtjes</w:t>
      </w:r>
    </w:p>
    <w:p w14:paraId="10BB164F"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MSA </w:t>
      </w:r>
      <w:r w:rsidRPr="00F511C4">
        <w:rPr>
          <w:rFonts w:ascii="Garamond" w:eastAsia="Yu Mincho" w:hAnsi="Garamond" w:cs="Times New Roman"/>
          <w:sz w:val="24"/>
          <w:szCs w:val="24"/>
          <w:lang w:val="sq-AL"/>
        </w:rPr>
        <w:tab/>
      </w:r>
      <w:r w:rsidRPr="00F511C4">
        <w:rPr>
          <w:rFonts w:ascii="Garamond" w:eastAsia="Yu Mincho" w:hAnsi="Garamond" w:cs="Times New Roman"/>
          <w:sz w:val="24"/>
          <w:szCs w:val="24"/>
          <w:lang w:val="sq-AL"/>
        </w:rPr>
        <w:tab/>
        <w:t>– Marrëveshja e Stabilizim-Asocimit</w:t>
      </w:r>
    </w:p>
    <w:p w14:paraId="74538C98" w14:textId="77777777" w:rsidR="00F511C4" w:rsidRPr="00F511C4" w:rsidRDefault="00F511C4" w:rsidP="00F511C4">
      <w:pPr>
        <w:autoSpaceDE w:val="0"/>
        <w:autoSpaceDN w:val="0"/>
        <w:adjustRightInd w:val="0"/>
        <w:spacing w:after="0" w:line="240" w:lineRule="auto"/>
        <w:ind w:firstLine="113"/>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MSH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Ministria e Shëndetësisë</w:t>
      </w:r>
    </w:p>
    <w:p w14:paraId="44459064" w14:textId="77777777" w:rsidR="00F511C4" w:rsidRPr="00F511C4" w:rsidRDefault="00F511C4" w:rsidP="00F511C4">
      <w:pPr>
        <w:spacing w:after="0" w:line="240" w:lineRule="auto"/>
        <w:ind w:firstLine="113"/>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MSHMS</w:t>
      </w:r>
      <w:r w:rsidRPr="00F511C4">
        <w:rPr>
          <w:rFonts w:ascii="Garamond" w:eastAsia="Times New Roman" w:hAnsi="Garamond" w:cs="Times New Roman"/>
          <w:sz w:val="24"/>
          <w:szCs w:val="24"/>
          <w:lang w:val="sq-AL"/>
        </w:rPr>
        <w:tab/>
        <w:t xml:space="preserve">– </w:t>
      </w:r>
      <w:r w:rsidRPr="00F511C4">
        <w:rPr>
          <w:rFonts w:ascii="Garamond" w:eastAsia="Times New Roman" w:hAnsi="Garamond" w:cs="Times New Roman"/>
          <w:bCs/>
          <w:sz w:val="24"/>
          <w:szCs w:val="24"/>
          <w:lang w:val="sq-AL"/>
        </w:rPr>
        <w:t xml:space="preserve">Ministria e </w:t>
      </w:r>
      <w:r w:rsidRPr="00F511C4">
        <w:rPr>
          <w:rFonts w:ascii="Garamond" w:eastAsia="Times New Roman" w:hAnsi="Garamond" w:cs="Times New Roman"/>
          <w:color w:val="000000"/>
          <w:sz w:val="24"/>
          <w:szCs w:val="24"/>
          <w:lang w:val="sq-AL"/>
        </w:rPr>
        <w:t>Shëndetësisë dhe Mbrojtjes Sociale</w:t>
      </w:r>
    </w:p>
    <w:p w14:paraId="3BC118D5" w14:textId="77777777" w:rsidR="00F511C4" w:rsidRPr="00F511C4" w:rsidRDefault="00F511C4" w:rsidP="00F511C4">
      <w:pPr>
        <w:autoSpaceDE w:val="0"/>
        <w:autoSpaceDN w:val="0"/>
        <w:adjustRightInd w:val="0"/>
        <w:spacing w:after="0" w:line="240" w:lineRule="auto"/>
        <w:ind w:firstLine="113"/>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MTM </w:t>
      </w:r>
      <w:r w:rsidRPr="00F511C4">
        <w:rPr>
          <w:rFonts w:ascii="Garamond" w:eastAsia="Times New Roman" w:hAnsi="Garamond" w:cs="Times New Roman"/>
          <w:bCs/>
          <w:sz w:val="24"/>
          <w:szCs w:val="24"/>
          <w:lang w:val="sq-AL"/>
        </w:rPr>
        <w:tab/>
        <w:t xml:space="preserve">– Ministria e </w:t>
      </w:r>
      <w:r w:rsidRPr="00F511C4">
        <w:rPr>
          <w:rFonts w:ascii="Garamond" w:eastAsia="Times New Roman" w:hAnsi="Garamond" w:cs="Times New Roman"/>
          <w:color w:val="000000"/>
          <w:sz w:val="24"/>
          <w:szCs w:val="24"/>
          <w:lang w:val="sq-AL"/>
        </w:rPr>
        <w:t>Turizmit dhe Mjedisit</w:t>
      </w:r>
    </w:p>
    <w:p w14:paraId="79E2684F"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Ombudsman</w:t>
      </w:r>
      <w:r w:rsidRPr="00F511C4">
        <w:rPr>
          <w:rFonts w:ascii="Garamond" w:eastAsia="Times New Roman" w:hAnsi="Garamond" w:cs="Times New Roman"/>
          <w:sz w:val="24"/>
          <w:szCs w:val="24"/>
          <w:lang w:val="sq-AL"/>
        </w:rPr>
        <w:tab/>
        <w:t>– Avokati i Popullit</w:t>
      </w:r>
    </w:p>
    <w:p w14:paraId="7DC8A318" w14:textId="77777777" w:rsidR="00F511C4" w:rsidRPr="00F511C4" w:rsidRDefault="00F511C4" w:rsidP="00F511C4">
      <w:pPr>
        <w:autoSpaceDE w:val="0"/>
        <w:autoSpaceDN w:val="0"/>
        <w:adjustRightInd w:val="0"/>
        <w:spacing w:after="0" w:line="240" w:lineRule="auto"/>
        <w:ind w:firstLine="113"/>
        <w:jc w:val="both"/>
        <w:rPr>
          <w:rFonts w:ascii="Garamond" w:eastAsia="Calibri" w:hAnsi="Garamond" w:cs="Times New Roman"/>
          <w:bCs/>
          <w:sz w:val="24"/>
          <w:szCs w:val="24"/>
          <w:lang w:val="sq-AL"/>
        </w:rPr>
      </w:pPr>
      <w:r w:rsidRPr="00F511C4">
        <w:rPr>
          <w:rFonts w:ascii="Garamond" w:eastAsia="Times New Roman" w:hAnsi="Garamond" w:cs="Times New Roman"/>
          <w:bCs/>
          <w:sz w:val="24"/>
          <w:szCs w:val="24"/>
          <w:lang w:val="sq-AL"/>
        </w:rPr>
        <w:lastRenderedPageBreak/>
        <w:t xml:space="preserve">PAMECA </w:t>
      </w:r>
      <w:r w:rsidRPr="00F511C4">
        <w:rPr>
          <w:rFonts w:ascii="Garamond" w:eastAsia="Times New Roman" w:hAnsi="Garamond" w:cs="Times New Roman"/>
          <w:bCs/>
          <w:sz w:val="24"/>
          <w:szCs w:val="24"/>
          <w:lang w:val="sq-AL"/>
        </w:rPr>
        <w:tab/>
        <w:t xml:space="preserve">– Misioni i Asistencës së Komunitetit Evropian për Shqipërinë </w:t>
      </w:r>
    </w:p>
    <w:p w14:paraId="1525CE6D"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PE </w:t>
      </w:r>
      <w:r w:rsidRPr="00F511C4">
        <w:rPr>
          <w:rFonts w:ascii="Garamond" w:eastAsia="Yu Mincho" w:hAnsi="Garamond" w:cs="Times New Roman"/>
          <w:sz w:val="24"/>
          <w:szCs w:val="24"/>
          <w:lang w:val="sq-AL"/>
        </w:rPr>
        <w:tab/>
      </w:r>
      <w:r w:rsidRPr="00F511C4">
        <w:rPr>
          <w:rFonts w:ascii="Garamond" w:eastAsia="Yu Mincho" w:hAnsi="Garamond" w:cs="Times New Roman"/>
          <w:sz w:val="24"/>
          <w:szCs w:val="24"/>
          <w:lang w:val="sq-AL"/>
        </w:rPr>
        <w:tab/>
        <w:t>– Parlamenti Evropian</w:t>
      </w:r>
    </w:p>
    <w:p w14:paraId="666CE511"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PIK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Pikë e Kalimit Kufitar</w:t>
      </w:r>
    </w:p>
    <w:p w14:paraId="7A9CA33A"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PISCES </w:t>
      </w:r>
      <w:r w:rsidRPr="00F511C4">
        <w:rPr>
          <w:rFonts w:ascii="Garamond" w:eastAsia="Times New Roman" w:hAnsi="Garamond" w:cs="Times New Roman"/>
          <w:bCs/>
          <w:sz w:val="24"/>
          <w:szCs w:val="24"/>
          <w:lang w:val="sq-AL"/>
        </w:rPr>
        <w:tab/>
        <w:t xml:space="preserve">– Sistemi për Krahasimin dhe Vlerësimin e Sigurt të Identifikimit Personal </w:t>
      </w:r>
    </w:p>
    <w:p w14:paraId="662ED10B"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PKIE</w:t>
      </w:r>
      <w:r w:rsidRPr="00F511C4">
        <w:rPr>
          <w:rFonts w:ascii="Garamond" w:eastAsia="Yu Mincho" w:hAnsi="Garamond" w:cs="Times New Roman"/>
          <w:sz w:val="24"/>
          <w:szCs w:val="24"/>
          <w:lang w:val="sq-AL"/>
        </w:rPr>
        <w:tab/>
      </w:r>
      <w:r w:rsidRPr="00F511C4">
        <w:rPr>
          <w:rFonts w:ascii="Garamond" w:eastAsia="Yu Mincho" w:hAnsi="Garamond" w:cs="Times New Roman"/>
          <w:sz w:val="24"/>
          <w:szCs w:val="24"/>
          <w:lang w:val="sq-AL"/>
        </w:rPr>
        <w:tab/>
        <w:t>– Plani Kombëtar për Integrimin Evropian</w:t>
      </w:r>
    </w:p>
    <w:p w14:paraId="2D167F45"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PKK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Pikë e Kalimit Kufitar</w:t>
      </w:r>
    </w:p>
    <w:p w14:paraId="531D3F99"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PKM </w:t>
      </w:r>
      <w:r w:rsidRPr="00F511C4">
        <w:rPr>
          <w:rFonts w:ascii="Garamond" w:eastAsia="Yu Mincho" w:hAnsi="Garamond" w:cs="Times New Roman"/>
          <w:sz w:val="24"/>
          <w:szCs w:val="24"/>
          <w:lang w:val="sq-AL"/>
        </w:rPr>
        <w:tab/>
      </w:r>
      <w:r w:rsidRPr="00F511C4">
        <w:rPr>
          <w:rFonts w:ascii="Garamond" w:eastAsia="Yu Mincho" w:hAnsi="Garamond" w:cs="Times New Roman"/>
          <w:sz w:val="24"/>
          <w:szCs w:val="24"/>
          <w:lang w:val="sq-AL"/>
        </w:rPr>
        <w:tab/>
        <w:t>– Policia Kufitare dhe e Migracionit</w:t>
      </w:r>
    </w:p>
    <w:p w14:paraId="241DC001"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PNR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Regjistri i Emrit të Pasagjerit</w:t>
      </w:r>
    </w:p>
    <w:p w14:paraId="245B9DAA"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PPKK </w:t>
      </w:r>
      <w:r w:rsidRPr="00F511C4">
        <w:rPr>
          <w:rFonts w:ascii="Garamond" w:eastAsia="Times New Roman" w:hAnsi="Garamond" w:cs="Times New Roman"/>
          <w:bCs/>
          <w:sz w:val="24"/>
          <w:szCs w:val="24"/>
          <w:lang w:val="sq-AL"/>
        </w:rPr>
        <w:tab/>
        <w:t>– Pikë e Përbashkët e Kalimit Kufitar</w:t>
      </w:r>
    </w:p>
    <w:p w14:paraId="69BC382E"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PSH</w:t>
      </w:r>
      <w:r w:rsidRPr="00F511C4">
        <w:rPr>
          <w:rFonts w:ascii="Garamond" w:eastAsia="Yu Mincho" w:hAnsi="Garamond" w:cs="Times New Roman"/>
          <w:sz w:val="24"/>
          <w:szCs w:val="24"/>
          <w:lang w:val="sq-AL"/>
        </w:rPr>
        <w:tab/>
      </w:r>
      <w:r w:rsidRPr="00F511C4">
        <w:rPr>
          <w:rFonts w:ascii="Garamond" w:eastAsia="Yu Mincho" w:hAnsi="Garamond" w:cs="Times New Roman"/>
          <w:sz w:val="24"/>
          <w:szCs w:val="24"/>
          <w:lang w:val="sq-AL"/>
        </w:rPr>
        <w:tab/>
        <w:t>– Policia e Shtetit</w:t>
      </w:r>
    </w:p>
    <w:p w14:paraId="74C42A1A"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PSP</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Procedura Standarde të Punës</w:t>
      </w:r>
    </w:p>
    <w:p w14:paraId="24902F24"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QKK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Qendra Kombëtare e Koordinimit</w:t>
      </w:r>
    </w:p>
    <w:p w14:paraId="4A6D501E"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sz w:val="24"/>
          <w:szCs w:val="24"/>
          <w:lang w:val="sq-AL"/>
        </w:rPr>
        <w:t xml:space="preserve">QMH </w:t>
      </w:r>
      <w:r w:rsidRPr="00F511C4">
        <w:rPr>
          <w:rFonts w:ascii="Garamond" w:eastAsia="Times New Roman" w:hAnsi="Garamond" w:cs="Times New Roman"/>
          <w:sz w:val="24"/>
          <w:szCs w:val="24"/>
          <w:lang w:val="sq-AL"/>
        </w:rPr>
        <w:tab/>
        <w:t>– Qendra e Mbyllur për të Huajt</w:t>
      </w:r>
    </w:p>
    <w:p w14:paraId="5EA77925"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QNOD </w:t>
      </w:r>
      <w:r w:rsidRPr="00F511C4">
        <w:rPr>
          <w:rFonts w:ascii="Garamond" w:eastAsia="Times New Roman" w:hAnsi="Garamond" w:cs="Times New Roman"/>
          <w:bCs/>
          <w:sz w:val="24"/>
          <w:szCs w:val="24"/>
          <w:lang w:val="sq-AL"/>
        </w:rPr>
        <w:tab/>
        <w:t>– Qendra Ndërinstitucionale Operacionale Detare</w:t>
      </w:r>
    </w:p>
    <w:p w14:paraId="59DF7002"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QRK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Qendrat Rajonale të Koordinimit</w:t>
      </w:r>
    </w:p>
    <w:p w14:paraId="6BD8E852"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QSHI </w:t>
      </w:r>
      <w:r w:rsidRPr="00F511C4">
        <w:rPr>
          <w:rFonts w:ascii="Garamond" w:eastAsia="Times New Roman" w:hAnsi="Garamond" w:cs="Times New Roman"/>
          <w:bCs/>
          <w:sz w:val="24"/>
          <w:szCs w:val="24"/>
          <w:lang w:val="sq-AL"/>
        </w:rPr>
        <w:tab/>
        <w:t>– Qendrat e Përbashkëta të Shkëmbimit të Informacionit</w:t>
      </w:r>
    </w:p>
    <w:p w14:paraId="7B558BB2" w14:textId="77777777" w:rsidR="00F511C4" w:rsidRPr="00F511C4" w:rsidRDefault="00F511C4" w:rsidP="00F511C4">
      <w:pPr>
        <w:autoSpaceDE w:val="0"/>
        <w:autoSpaceDN w:val="0"/>
        <w:adjustRightInd w:val="0"/>
        <w:spacing w:after="0" w:line="240" w:lineRule="auto"/>
        <w:ind w:firstLine="113"/>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RB</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xml:space="preserve">– Roja Bregdetare </w:t>
      </w:r>
    </w:p>
    <w:p w14:paraId="1BDD19E3"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RCC </w:t>
      </w:r>
      <w:r w:rsidRPr="00F511C4">
        <w:rPr>
          <w:rFonts w:ascii="Garamond" w:eastAsia="Times New Roman" w:hAnsi="Garamond" w:cs="Times New Roman"/>
          <w:sz w:val="24"/>
          <w:szCs w:val="24"/>
          <w:lang w:val="sq-AL"/>
        </w:rPr>
        <w:tab/>
      </w:r>
      <w:r w:rsidRPr="00F511C4">
        <w:rPr>
          <w:rFonts w:ascii="Garamond" w:eastAsia="Times New Roman" w:hAnsi="Garamond" w:cs="Times New Roman"/>
          <w:sz w:val="24"/>
          <w:szCs w:val="24"/>
          <w:lang w:val="sq-AL"/>
        </w:rPr>
        <w:tab/>
        <w:t>– Këshilli i Bashkëpunimit Rajonal</w:t>
      </w:r>
    </w:p>
    <w:p w14:paraId="0C36D470"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RSH </w:t>
      </w:r>
      <w:r w:rsidRPr="00F511C4">
        <w:rPr>
          <w:rFonts w:ascii="Garamond" w:eastAsia="Yu Mincho" w:hAnsi="Garamond" w:cs="Times New Roman"/>
          <w:sz w:val="24"/>
          <w:szCs w:val="24"/>
          <w:lang w:val="sq-AL"/>
        </w:rPr>
        <w:tab/>
      </w:r>
      <w:r w:rsidRPr="00F511C4">
        <w:rPr>
          <w:rFonts w:ascii="Garamond" w:eastAsia="Yu Mincho" w:hAnsi="Garamond" w:cs="Times New Roman"/>
          <w:sz w:val="24"/>
          <w:szCs w:val="24"/>
          <w:lang w:val="sq-AL"/>
        </w:rPr>
        <w:tab/>
        <w:t>– Republika e Shqipërisë</w:t>
      </w:r>
    </w:p>
    <w:p w14:paraId="2E807E4B"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SELEC </w:t>
      </w:r>
      <w:r w:rsidRPr="00F511C4">
        <w:rPr>
          <w:rFonts w:ascii="Garamond" w:eastAsia="Times New Roman" w:hAnsi="Garamond" w:cs="Times New Roman"/>
          <w:color w:val="000000"/>
          <w:sz w:val="24"/>
          <w:szCs w:val="24"/>
          <w:lang w:val="sq-AL"/>
        </w:rPr>
        <w:tab/>
        <w:t xml:space="preserve">– </w:t>
      </w:r>
      <w:r w:rsidRPr="00F511C4">
        <w:rPr>
          <w:rFonts w:ascii="Garamond" w:eastAsia="Times New Roman" w:hAnsi="Garamond" w:cs="Times New Roman"/>
          <w:sz w:val="24"/>
          <w:szCs w:val="24"/>
          <w:lang w:val="sq-AL"/>
        </w:rPr>
        <w:t xml:space="preserve">Qendra </w:t>
      </w:r>
      <w:r w:rsidRPr="00F511C4">
        <w:rPr>
          <w:rFonts w:ascii="Garamond" w:eastAsia="Times New Roman" w:hAnsi="Garamond" w:cs="Times New Roman"/>
          <w:color w:val="000000"/>
          <w:sz w:val="24"/>
          <w:szCs w:val="24"/>
          <w:lang w:val="sq-AL"/>
        </w:rPr>
        <w:t>për Zbatimin e Ligjit në Evropën Juglindore</w:t>
      </w:r>
    </w:p>
    <w:p w14:paraId="1279C02A"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SE-V</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Sistemi Evropian i Vizave</w:t>
      </w:r>
    </w:p>
    <w:p w14:paraId="63CDD895"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SHDSH </w:t>
      </w:r>
      <w:r w:rsidRPr="00F511C4">
        <w:rPr>
          <w:rFonts w:ascii="Garamond" w:eastAsia="Yu Mincho" w:hAnsi="Garamond" w:cs="Times New Roman"/>
          <w:sz w:val="24"/>
          <w:szCs w:val="24"/>
          <w:lang w:val="sq-AL"/>
        </w:rPr>
        <w:tab/>
        <w:t>– Shërbimi Doganor Shqiptar</w:t>
      </w:r>
    </w:p>
    <w:p w14:paraId="6AFAB759" w14:textId="77777777" w:rsidR="00F511C4" w:rsidRPr="00F511C4" w:rsidRDefault="00F511C4" w:rsidP="00F511C4">
      <w:pPr>
        <w:autoSpaceDE w:val="0"/>
        <w:autoSpaceDN w:val="0"/>
        <w:adjustRightInd w:val="0"/>
        <w:spacing w:after="0" w:line="240" w:lineRule="auto"/>
        <w:ind w:firstLine="113"/>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SHKSH </w:t>
      </w:r>
      <w:r w:rsidRPr="00F511C4">
        <w:rPr>
          <w:rFonts w:ascii="Garamond" w:eastAsia="Times New Roman" w:hAnsi="Garamond" w:cs="Times New Roman"/>
          <w:bCs/>
          <w:sz w:val="24"/>
          <w:szCs w:val="24"/>
          <w:lang w:val="sq-AL"/>
        </w:rPr>
        <w:tab/>
        <w:t>– Shërbimi Konsullor Shqiptar</w:t>
      </w:r>
    </w:p>
    <w:p w14:paraId="2F58CEC3" w14:textId="77777777" w:rsidR="00F511C4" w:rsidRPr="00F511C4" w:rsidRDefault="00F511C4" w:rsidP="00F511C4">
      <w:pPr>
        <w:autoSpaceDE w:val="0"/>
        <w:autoSpaceDN w:val="0"/>
        <w:adjustRightInd w:val="0"/>
        <w:spacing w:after="0" w:line="240" w:lineRule="auto"/>
        <w:ind w:firstLine="113"/>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SHSA </w:t>
      </w:r>
      <w:r w:rsidRPr="00F511C4">
        <w:rPr>
          <w:rFonts w:ascii="Garamond" w:eastAsia="Times New Roman" w:hAnsi="Garamond" w:cs="Times New Roman"/>
          <w:bCs/>
          <w:sz w:val="24"/>
          <w:szCs w:val="24"/>
          <w:lang w:val="sq-AL"/>
        </w:rPr>
        <w:tab/>
        <w:t>– Shërbimi Veterinar Antiepidemik</w:t>
      </w:r>
    </w:p>
    <w:p w14:paraId="7D00EB5F" w14:textId="77777777" w:rsidR="00F511C4" w:rsidRPr="00F511C4" w:rsidRDefault="00F511C4" w:rsidP="00F511C4">
      <w:pPr>
        <w:spacing w:after="0" w:line="240" w:lineRule="auto"/>
        <w:ind w:firstLine="113"/>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SIS </w:t>
      </w:r>
      <w:r w:rsidRPr="00F511C4">
        <w:rPr>
          <w:rFonts w:ascii="Garamond" w:eastAsia="Yu Mincho" w:hAnsi="Garamond" w:cs="Times New Roman"/>
          <w:sz w:val="24"/>
          <w:szCs w:val="24"/>
          <w:lang w:val="sq-AL"/>
        </w:rPr>
        <w:tab/>
      </w:r>
      <w:r w:rsidRPr="00F511C4">
        <w:rPr>
          <w:rFonts w:ascii="Garamond" w:eastAsia="Yu Mincho" w:hAnsi="Garamond" w:cs="Times New Roman"/>
          <w:sz w:val="24"/>
          <w:szCs w:val="24"/>
          <w:lang w:val="sq-AL"/>
        </w:rPr>
        <w:tab/>
        <w:t>– Sistemi Evropian i Sigurisë</w:t>
      </w:r>
    </w:p>
    <w:p w14:paraId="2752A83B"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SIVHD </w:t>
      </w:r>
      <w:r w:rsidRPr="00F511C4">
        <w:rPr>
          <w:rFonts w:ascii="Garamond" w:eastAsia="Times New Roman" w:hAnsi="Garamond" w:cs="Times New Roman"/>
          <w:bCs/>
          <w:sz w:val="24"/>
          <w:szCs w:val="24"/>
          <w:lang w:val="sq-AL"/>
        </w:rPr>
        <w:tab/>
        <w:t>– Sistemi i Vëzhgimit të Hapësirës Detare</w:t>
      </w:r>
    </w:p>
    <w:p w14:paraId="290C97B5"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SPK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Stacion i Policisë Kufitare</w:t>
      </w:r>
    </w:p>
    <w:p w14:paraId="6324BE0A"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TIMS </w:t>
      </w:r>
      <w:r w:rsidRPr="00F511C4">
        <w:rPr>
          <w:rFonts w:ascii="Garamond" w:eastAsia="Times New Roman" w:hAnsi="Garamond" w:cs="Times New Roman"/>
          <w:bCs/>
          <w:sz w:val="24"/>
          <w:szCs w:val="24"/>
          <w:lang w:val="sq-AL"/>
        </w:rPr>
        <w:tab/>
        <w:t xml:space="preserve">– Sistemi i Menaxhimit Total të Informacionit </w:t>
      </w:r>
    </w:p>
    <w:p w14:paraId="139B63D2"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UNHCR </w:t>
      </w:r>
      <w:r w:rsidRPr="00F511C4">
        <w:rPr>
          <w:rFonts w:ascii="Garamond" w:eastAsia="Times New Roman" w:hAnsi="Garamond" w:cs="Times New Roman"/>
          <w:bCs/>
          <w:sz w:val="24"/>
          <w:szCs w:val="24"/>
          <w:lang w:val="sq-AL"/>
        </w:rPr>
        <w:tab/>
        <w:t>– Komisariati i Lartë i OKB-së për Refugjatët</w:t>
      </w:r>
    </w:p>
    <w:p w14:paraId="4B512F21"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VIS </w:t>
      </w:r>
      <w:r w:rsidRPr="00F511C4">
        <w:rPr>
          <w:rFonts w:ascii="Garamond" w:eastAsia="Times New Roman" w:hAnsi="Garamond" w:cs="Times New Roman"/>
          <w:sz w:val="24"/>
          <w:szCs w:val="24"/>
          <w:lang w:val="sq-AL"/>
        </w:rPr>
        <w:tab/>
      </w:r>
      <w:r w:rsidRPr="00F511C4">
        <w:rPr>
          <w:rFonts w:ascii="Garamond" w:eastAsia="Times New Roman" w:hAnsi="Garamond" w:cs="Times New Roman"/>
          <w:sz w:val="24"/>
          <w:szCs w:val="24"/>
          <w:lang w:val="sq-AL"/>
        </w:rPr>
        <w:tab/>
        <w:t>– Sistemi i Informacionit për Vizat</w:t>
      </w:r>
    </w:p>
    <w:p w14:paraId="0489D58A"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 xml:space="preserve">VKM </w:t>
      </w:r>
      <w:r w:rsidRPr="00F511C4">
        <w:rPr>
          <w:rFonts w:ascii="Garamond" w:eastAsia="Times New Roman" w:hAnsi="Garamond" w:cs="Times New Roman"/>
          <w:bCs/>
          <w:sz w:val="24"/>
          <w:szCs w:val="24"/>
          <w:lang w:val="sq-AL"/>
        </w:rPr>
        <w:tab/>
      </w:r>
      <w:r w:rsidRPr="00F511C4">
        <w:rPr>
          <w:rFonts w:ascii="Garamond" w:eastAsia="Times New Roman" w:hAnsi="Garamond" w:cs="Times New Roman"/>
          <w:bCs/>
          <w:sz w:val="24"/>
          <w:szCs w:val="24"/>
          <w:lang w:val="sq-AL"/>
        </w:rPr>
        <w:tab/>
        <w:t>– Vendim i Këshillit të Ministrave</w:t>
      </w:r>
    </w:p>
    <w:p w14:paraId="36D1CCBA" w14:textId="77777777" w:rsidR="00F511C4" w:rsidRPr="00F511C4" w:rsidRDefault="00F511C4" w:rsidP="00F511C4">
      <w:pPr>
        <w:autoSpaceDE w:val="0"/>
        <w:autoSpaceDN w:val="0"/>
        <w:adjustRightInd w:val="0"/>
        <w:spacing w:after="0" w:line="240" w:lineRule="auto"/>
        <w:ind w:firstLine="113"/>
        <w:jc w:val="both"/>
        <w:rPr>
          <w:rFonts w:ascii="Garamond" w:eastAsia="Times New Roman" w:hAnsi="Garamond" w:cs="Times New Roman"/>
          <w:bCs/>
          <w:sz w:val="24"/>
          <w:szCs w:val="24"/>
          <w:lang w:val="sq-AL"/>
        </w:rPr>
      </w:pPr>
    </w:p>
    <w:p w14:paraId="29A7BAE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PJESA I: KONTEKSTI STRATEGJIK</w:t>
      </w:r>
    </w:p>
    <w:p w14:paraId="22B95C9A" w14:textId="77777777" w:rsidR="00F511C4" w:rsidRPr="00F511C4" w:rsidRDefault="00F511C4" w:rsidP="00F511C4">
      <w:pPr>
        <w:autoSpaceDE w:val="0"/>
        <w:autoSpaceDN w:val="0"/>
        <w:adjustRightInd w:val="0"/>
        <w:spacing w:after="0" w:line="240" w:lineRule="auto"/>
        <w:ind w:firstLine="288"/>
        <w:jc w:val="both"/>
        <w:rPr>
          <w:rFonts w:ascii="Garamond" w:eastAsia="Calibri Light" w:hAnsi="Garamond" w:cs="Times New Roman"/>
          <w:sz w:val="24"/>
          <w:szCs w:val="24"/>
          <w:lang w:val="sq-AL"/>
        </w:rPr>
      </w:pPr>
    </w:p>
    <w:p w14:paraId="3C22340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073286E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1. Hyrja dhe qëllimi i dokumentit</w:t>
      </w:r>
    </w:p>
    <w:p w14:paraId="386CF7C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Anëtarësimi në Bashkimin Evropian (BE) është orientimi strategjik dhe prioritet i deklaruar për Republikën e Shqipërisë, i cili nënkupton përqafimin e vlerave dhe standardeve evropiane të miratuara në të gjitha fushat politike, publike, sociale e më gjerë. Qarkullimi i lirë i personave dhe mallrave ndërmjet vendeve anëtare të BE-së kërkon përafrimin dhe aplikimin e masave të caktuara, ndër të tjera, arritjen e standardeve të larta të kontrollit të kufijve të jashtëm. Duke marrë në konsideratë faktin se, Republika e Shqipërisë ndodhet në kufijtë e jashtëm të BE-së, si dhe anëtarësimin e pritshëm në BE të vendeve të tjera fqinje, për vendin tonë ka një rëndësi të madhe prezantimi dhe zbatimi në vazhdimësi i konceptit të menaxhimit të integruar të kufijve, i cili duhet të jetë në përputhje me zgjidhjet aktuale në rajon dhe BE.</w:t>
      </w:r>
    </w:p>
    <w:p w14:paraId="476B1E5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Miratimi i Strategjisë së Menaxhimit të Integruar të Kufirit, këtu e më tej të quajtur Strategjia, përbën jo vetëm një parakusht për integrimin e plotë në BE, por zbatimi i këtij koncepti bashkëkohor është, njëkohësisht, një tregues i qartë se Republika e Shqipërisë është e gatshme të kontribuojë për sigurinë në rajon, si një partner i besueshëm i Bashkimit Evropian në kontrollin e kufijve të saj.</w:t>
      </w:r>
    </w:p>
    <w:p w14:paraId="737778D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Republika e Shqipërisë, nëpërmjet miratimit të këtij dokumenti strategjik, si dhe të gjitha investimeve në këtë drejtim, ka si qëllim arritjen e standardeve të BE-së në fushën e Menaxhimit të Integruar të Kufirit. Arritja e këtyre standardeve ofron siguri për qytetarët shqiptarë dhe të huaj për lëvizjen e lirë dhe të sigurt, si dhe për zhvillimin e aktiviteteve ekonomike dhe ndërkufitare pa barriera.</w:t>
      </w:r>
    </w:p>
    <w:p w14:paraId="4962F73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Ky dokument strategjik bazohet në Strategjinë Kombëtare për Zhvillim dhe Integrim dhe në reformat aktuale në vendin tonë, në Strategjinë Evropiane Teknike dhe Operacionale të Menaxhimit të Integruar të Kufirit</w:t>
      </w:r>
      <w:r w:rsidRPr="00F511C4">
        <w:rPr>
          <w:rFonts w:ascii="Garamond" w:eastAsia="Times New Roman" w:hAnsi="Garamond" w:cs="Times New Roman"/>
          <w:sz w:val="24"/>
          <w:szCs w:val="24"/>
          <w:vertAlign w:val="superscript"/>
          <w:lang w:val="sq-AL"/>
        </w:rPr>
        <w:footnoteReference w:id="3"/>
      </w:r>
      <w:r w:rsidRPr="00F511C4">
        <w:rPr>
          <w:rFonts w:ascii="Garamond" w:eastAsia="Times New Roman" w:hAnsi="Garamond" w:cs="Times New Roman"/>
          <w:sz w:val="24"/>
          <w:szCs w:val="24"/>
          <w:lang w:val="sq-AL"/>
        </w:rPr>
        <w:t>, në udhëzimet e Komisionit Evropian për Menaxhimin e Integruar të Kufirit</w:t>
      </w:r>
      <w:r w:rsidRPr="00F511C4">
        <w:rPr>
          <w:rFonts w:ascii="Garamond" w:eastAsia="Times New Roman" w:hAnsi="Garamond" w:cs="Times New Roman"/>
          <w:sz w:val="24"/>
          <w:szCs w:val="24"/>
          <w:vertAlign w:val="superscript"/>
          <w:lang w:val="sq-AL"/>
        </w:rPr>
        <w:footnoteReference w:id="4"/>
      </w:r>
      <w:r w:rsidRPr="00F511C4">
        <w:rPr>
          <w:rFonts w:ascii="Garamond" w:eastAsia="Times New Roman" w:hAnsi="Garamond" w:cs="Times New Roman"/>
          <w:sz w:val="24"/>
          <w:szCs w:val="24"/>
          <w:lang w:val="sq-AL"/>
        </w:rPr>
        <w:t xml:space="preserve">, katalogun </w:t>
      </w:r>
      <w:r w:rsidRPr="00F511C4">
        <w:rPr>
          <w:rFonts w:ascii="Garamond" w:eastAsia="Times New Roman" w:hAnsi="Garamond" w:cs="Times New Roman"/>
          <w:i/>
          <w:sz w:val="24"/>
          <w:szCs w:val="24"/>
          <w:lang w:val="sq-AL"/>
        </w:rPr>
        <w:t>Schengen</w:t>
      </w:r>
      <w:r w:rsidRPr="00F511C4">
        <w:rPr>
          <w:rFonts w:ascii="Garamond" w:eastAsia="Times New Roman" w:hAnsi="Garamond" w:cs="Times New Roman"/>
          <w:sz w:val="24"/>
          <w:szCs w:val="24"/>
          <w:lang w:val="sq-AL"/>
        </w:rPr>
        <w:t>, legjislacionin komunitar në fushën e kufijve të jashtëm, konventat ndërkombëtare të nënshkruara në fushën e mbrojtjes së të drejtave të njeriut, të drejtat e azilkërkuesve dhe ato të refugjatëve, si dhe në praktikat më të mira nga vendet anëtare të Bashkimit Evropian dhe të rajonit.</w:t>
      </w:r>
    </w:p>
    <w:p w14:paraId="74B3CF2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Menaxhimi i Integruari Kufirit dhe siguria kufitare përbën një angazhim të veçantë në raport me legjislacionin në fuqi, situatën politike dhe sigurinë kombëtare të vendit, si dhe me marrëdhëniet ndërkombëtare, veçanërisht në procesin e anëtarësimit në Bashkimin Evropian, si dhe në organizma të tjera ndërkombëtare.</w:t>
      </w:r>
    </w:p>
    <w:p w14:paraId="311FE06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Menaxhimi i Integruar i Kufirit (MIK) synon të garantojë një qarkullim ndërkufitar në mënyrë efikase dhe adresimin e sfidave migratore, kërcënimeve të mundshme ndaj sigurisë kufitare, duke kontribuar në:</w:t>
      </w:r>
    </w:p>
    <w:p w14:paraId="2EF03DA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parandalimin dhe goditjen e krimeve të rënda me dimension ndërkufitar siç janë: trafiqet e paligjshme, kontrabandimi i migrantëve, trafikimi i qenieve njerëzore, terrorizmi, kontrabanda;</w:t>
      </w:r>
    </w:p>
    <w:p w14:paraId="517A545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parandalimin e krimeve mjedisore;</w:t>
      </w:r>
    </w:p>
    <w:p w14:paraId="5D0330B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parandalimin, zbulimin dhe reagimin ndaj kërcënimeve ndërkufitare në fushën shëndetësore;</w:t>
      </w:r>
    </w:p>
    <w:p w14:paraId="5E7036B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garantimin e një niveli të lartë të sigurisë së brendshme duke kontribuar në këtë mënyrë në stabilitetin e vendeve fqinje dhe të vendeve të tjera;</w:t>
      </w:r>
    </w:p>
    <w:p w14:paraId="11EFF5B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222222"/>
          <w:sz w:val="24"/>
          <w:szCs w:val="24"/>
          <w:lang w:val="sq-AL"/>
        </w:rPr>
      </w:pPr>
      <w:r w:rsidRPr="00F511C4">
        <w:rPr>
          <w:rFonts w:ascii="Garamond" w:eastAsia="Times New Roman" w:hAnsi="Garamond" w:cs="Times New Roman"/>
          <w:sz w:val="24"/>
          <w:szCs w:val="24"/>
          <w:lang w:val="sq-AL"/>
        </w:rPr>
        <w:t>- respektimin e plotë të të drejtave themelore të qytetarëve</w:t>
      </w:r>
      <w:r w:rsidRPr="00F511C4">
        <w:rPr>
          <w:rFonts w:ascii="Garamond" w:eastAsia="Times New Roman" w:hAnsi="Garamond" w:cs="Times New Roman"/>
          <w:color w:val="222222"/>
          <w:sz w:val="24"/>
          <w:szCs w:val="24"/>
          <w:lang w:val="sq-AL"/>
        </w:rPr>
        <w:t>.</w:t>
      </w:r>
    </w:p>
    <w:p w14:paraId="3DB1D17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Strategjia ka për qëllim të përcaktojë politikat e duhura për të përmirësuar më tej:</w:t>
      </w:r>
    </w:p>
    <w:p w14:paraId="69BD51E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standardet e sigurisë kufitare, nëpërmjet përmirësimit të mëtejshëm të kuadrit ligjor dhe rregullator me synim përafrimin me </w:t>
      </w:r>
      <w:r w:rsidRPr="00F511C4">
        <w:rPr>
          <w:rFonts w:ascii="Garamond" w:eastAsia="Times New Roman" w:hAnsi="Garamond" w:cs="Times New Roman"/>
          <w:i/>
          <w:sz w:val="24"/>
          <w:szCs w:val="24"/>
          <w:lang w:val="sq-AL"/>
        </w:rPr>
        <w:t>acquis communitaire</w:t>
      </w:r>
      <w:r w:rsidRPr="00F511C4">
        <w:rPr>
          <w:rFonts w:ascii="Garamond" w:eastAsia="Times New Roman" w:hAnsi="Garamond" w:cs="Times New Roman"/>
          <w:sz w:val="24"/>
          <w:szCs w:val="24"/>
          <w:lang w:val="sq-AL"/>
        </w:rPr>
        <w:t>;</w:t>
      </w:r>
    </w:p>
    <w:p w14:paraId="1EFB703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kapacitetet e analizës së riskut;</w:t>
      </w:r>
    </w:p>
    <w:p w14:paraId="2F0DE14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kapacitetet e reja dhe përmirësimin e mëtejshëm të kapaciteteve teknologjike të kontrollit dhe mbikëqyrjes së kufirit;</w:t>
      </w:r>
    </w:p>
    <w:p w14:paraId="42872F3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forcimin e mëtejshëm të burimeve njerëzore dhe kapaciteteve operacionale e profesionale të autoriteteve kompetente dhe agjencive që operojnë në kufi, me qëllim parandalimin dhe goditjen e krimit ndërkufitar;</w:t>
      </w:r>
    </w:p>
    <w:p w14:paraId="572B181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forcimin e mëtejshëm të bashkëpunimit ndërkufitar (me vendet fqinje, vendet e rajonit, vendet anëtare të Bashkimit Evropian dhe agjencitë e tij, si dhe me organizatat ndërkombëtare);</w:t>
      </w:r>
    </w:p>
    <w:p w14:paraId="2B47EC4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konsolidimin dhe riorganizimin e strukturave të integruara në kufi;</w:t>
      </w:r>
    </w:p>
    <w:p w14:paraId="0140CD1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forcimin e kapaciteteve dhe koordinimin e bashkëveprimit ndërinstitucional për kërkimin dhe shpëtimin e shtetasve në situatë të rrezikshme në det;</w:t>
      </w:r>
    </w:p>
    <w:p w14:paraId="2E08CF0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vendosjen e një mekanizmi të kontrollit të cilësisë dhe të respektimit rigoroz të të drejtave themelore të njeriut.</w:t>
      </w:r>
    </w:p>
    <w:p w14:paraId="22FA6FE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iCs/>
          <w:sz w:val="24"/>
          <w:szCs w:val="24"/>
          <w:lang w:val="sq-AL"/>
        </w:rPr>
      </w:pPr>
      <w:r w:rsidRPr="00F511C4">
        <w:rPr>
          <w:rFonts w:ascii="Garamond" w:eastAsia="Times New Roman" w:hAnsi="Garamond" w:cs="Times New Roman"/>
          <w:bCs/>
          <w:iCs/>
          <w:sz w:val="24"/>
          <w:szCs w:val="24"/>
          <w:lang w:val="sq-AL"/>
        </w:rPr>
        <w:t>Menaxhimi i Integruar i Kufirit është bashkërendimi dhe bashkëpunimi kombëtar dhe ndërkombëtar ndërmjet të gjitha autoriteteve dhe agjencive, të përfshira në sigurinë kufitare dhe lehtësimin e tregtisë, me qëllim përsosjen e sistemeve të efektshme dhe me rendiment të Menaxhimit të Integruar të Kufirit, me synimin e arritjes së qëllimit të përbashkët të kufijve të hapur, por të kontrolluar dhe të sigurt.</w:t>
      </w:r>
    </w:p>
    <w:p w14:paraId="7CA3864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Implementimi i filozofisë së Menaxhimit të Integruar të Kufirit është jetik për ruajtjen e sigurisë së brendshme, për parandalimin e imigracionit të parregullt, parandalimin dhe goditjen e krimit ndërkufitar dhe për sigurimin e qarkullimit legjitim, të lehtësuar të udhëtarëve dhe mallrave, si dhe parandalimin e kërcënimeve ndërkufitare të shëndetit publik. Në këtë mënyrë, koncepti i Menaxhimit të Integruar të Kufirit siguron efikasitet me kosto-efektive në menaxhimin e kufijve dhe kontrollin e qarkullimit të shtetasve dhe mallrave.</w:t>
      </w:r>
    </w:p>
    <w:p w14:paraId="28646C4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Yu Mincho" w:hAnsi="Garamond" w:cs="Times New Roman"/>
          <w:sz w:val="24"/>
          <w:szCs w:val="24"/>
          <w:lang w:val="sq-AL"/>
        </w:rPr>
        <w:t>Komponen</w:t>
      </w:r>
      <w:r w:rsidRPr="00F511C4">
        <w:rPr>
          <w:rFonts w:ascii="Garamond" w:eastAsia="Times New Roman" w:hAnsi="Garamond" w:cs="Times New Roman"/>
          <w:sz w:val="24"/>
          <w:szCs w:val="24"/>
          <w:lang w:val="sq-AL"/>
        </w:rPr>
        <w:t>tët kryesorë të Menaxhimit të Integruar të Kufirit janë:</w:t>
      </w:r>
    </w:p>
    <w:p w14:paraId="2F9B1E3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Kontrolli dhe mbikëqyrja e kufirit;</w:t>
      </w:r>
    </w:p>
    <w:p w14:paraId="6CE1DFF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Kërkim–shpëtimi në situata që mund të ndodhin gjatë operacioneve të mbikëqyrjes së kufirit;</w:t>
      </w:r>
    </w:p>
    <w:p w14:paraId="305A005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Parandalimi dhe goditja e krimit ndërkufitar;</w:t>
      </w:r>
    </w:p>
    <w:p w14:paraId="07CBDBF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Analiza e riskut;</w:t>
      </w:r>
    </w:p>
    <w:p w14:paraId="32C1EB0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Bashkëpunimi ndërkufitar dhe ndërkombëtar;</w:t>
      </w:r>
    </w:p>
    <w:p w14:paraId="5461EE5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Bashkëpunimi ndëragjenci;</w:t>
      </w:r>
    </w:p>
    <w:p w14:paraId="4C00688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Masat teknike dhe operacionale për kontrollin e territorit;</w:t>
      </w:r>
    </w:p>
    <w:p w14:paraId="46B7BBD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Aftësia për të reaguar në situata të papritura;</w:t>
      </w:r>
    </w:p>
    <w:p w14:paraId="11AF1AE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Kthimi i shtetasve me qëndrim të parregullt;</w:t>
      </w:r>
    </w:p>
    <w:p w14:paraId="05A7CEF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Përdorimi i teknologjisë moderne për kontrollin dhe mbikëqyrjen e kufirit;</w:t>
      </w:r>
    </w:p>
    <w:p w14:paraId="11BA777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Mekanizmi i kontrollit të cilësisë;</w:t>
      </w:r>
    </w:p>
    <w:p w14:paraId="39853B56"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sz w:val="24"/>
          <w:szCs w:val="24"/>
          <w:lang w:val="sq-AL"/>
        </w:rPr>
        <w:t>- Mekanizmat e solidaritetit.</w:t>
      </w:r>
    </w:p>
    <w:p w14:paraId="474233C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Komponentët horizontal të Menaxhimit të Integruar të Kufirit janë:</w:t>
      </w:r>
    </w:p>
    <w:p w14:paraId="51CA05F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Të drejtat themelore të individit;</w:t>
      </w:r>
    </w:p>
    <w:p w14:paraId="4E54451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Edukimi dhe trajnimi;</w:t>
      </w:r>
    </w:p>
    <w:p w14:paraId="11EBC4E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Inovacioni.</w:t>
      </w:r>
    </w:p>
    <w:p w14:paraId="1CED65D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drawing>
          <wp:anchor distT="0" distB="0" distL="114300" distR="114300" simplePos="0" relativeHeight="251659264" behindDoc="0" locked="0" layoutInCell="1" allowOverlap="1" wp14:anchorId="3DC19122" wp14:editId="45E9A6FC">
            <wp:simplePos x="0" y="0"/>
            <wp:positionH relativeFrom="margin">
              <wp:align>left</wp:align>
            </wp:positionH>
            <wp:positionV relativeFrom="paragraph">
              <wp:posOffset>854075</wp:posOffset>
            </wp:positionV>
            <wp:extent cx="5479415" cy="3642360"/>
            <wp:effectExtent l="0" t="0" r="698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8332" t="23591" r="20688" b="16155"/>
                    <a:stretch/>
                  </pic:blipFill>
                  <pic:spPr bwMode="auto">
                    <a:xfrm>
                      <a:off x="0" y="0"/>
                      <a:ext cx="5479415" cy="3642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511C4">
        <w:rPr>
          <w:rFonts w:ascii="Garamond" w:eastAsia="Times New Roman" w:hAnsi="Garamond" w:cs="Times New Roman"/>
          <w:sz w:val="24"/>
          <w:szCs w:val="24"/>
          <w:lang w:val="sq-AL"/>
        </w:rPr>
        <w:t>Qëllimet e politikave të Strategjisë Ndërsektoriale të Menaxhimit të Integruar të Kufirit 2021–2027 janë zhvillimi i një sistemi të integruar të administrimit të kufijve në përputhje me sistemin evropian të mbikëqyrjes kufitare dhe rritja e sigurisë kufitare duke përmirësuar bashkëpunimin në të gjitha nivelet dhe forcimin e kapaciteteve administrative, infrastrukturore dhe teknike.</w:t>
      </w:r>
    </w:p>
    <w:p w14:paraId="5A691BC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0D5CB63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br w:type="textWrapping" w:clear="all"/>
      </w:r>
    </w:p>
    <w:p w14:paraId="38C6D93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 xml:space="preserve">Nevoja për Strategjinë e Menaxhimit të Integruar të Kufirit </w:t>
      </w:r>
    </w:p>
    <w:p w14:paraId="3F87AAC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Strategjia Ndërsektoriale e Menaxhimit të Integruar të Kufirit 2021–2027 dhe plani i veprimit 2021–2027 në zbatim të saj, vjen si një nevojë për rinovimin e Strategjisë së Menaxhimit të Integruar të Kufirit dhe planit të veprimit 2014 – 2020, e cila është gjithashtu pjesë e masave të Planit Kombëtar të Integrimit Evropian.</w:t>
      </w:r>
    </w:p>
    <w:p w14:paraId="52B097E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Duke pasur parasysh që rregullorja e re e BE-së, e cila hyri në fuqi në 4 dhjetor 2019, modifikoi pjesërisht konceptin e MIK të BE-së, ishte e nevojshme të përafrohej më tej Strategjia. Strategjia e Menaxhimit të Integruar të Kufijve dhe plani i veprimit janë në përputhje me konceptin më të fundit të BE-së për MIK dhe me Strategjinë Evropiane Teknike dhe Operacionale të Menaxhimit të Integruar të Kufirit.</w:t>
      </w:r>
    </w:p>
    <w:p w14:paraId="5BC01E1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Dokumenti strategjik është gjithashtu në përputhje me angazhimet në kuadër të procesit të integrimit dhe hapjes së negociatave për anëtarësim në BE, kryesisht në pjesën që lidhet me: </w:t>
      </w:r>
    </w:p>
    <w:p w14:paraId="744EE91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Rekomandime nga raporti i Komisionit Evropian për Republikën e Shqipërisë, për kapitullin 24, për Kufirin e Jashtëm dhe në zonën </w:t>
      </w:r>
      <w:r w:rsidRPr="00F511C4">
        <w:rPr>
          <w:rFonts w:ascii="Garamond" w:eastAsia="Times New Roman" w:hAnsi="Garamond" w:cs="Times New Roman"/>
          <w:i/>
          <w:sz w:val="24"/>
          <w:szCs w:val="24"/>
          <w:lang w:val="sq-AL"/>
        </w:rPr>
        <w:t>Schengen</w:t>
      </w:r>
      <w:r w:rsidRPr="00F511C4">
        <w:rPr>
          <w:rFonts w:ascii="Garamond" w:eastAsia="Times New Roman" w:hAnsi="Garamond" w:cs="Times New Roman"/>
          <w:sz w:val="24"/>
          <w:szCs w:val="24"/>
          <w:lang w:val="sq-AL"/>
        </w:rPr>
        <w:t>-in;</w:t>
      </w:r>
    </w:p>
    <w:p w14:paraId="124FF81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Rregulloren (BE) 2019/1896, të Parlamentit Evropian dhe të Këshillit, e 13 nëntorit 2019, për Agjencinë Evropiane të Rojës Kufitare dhe Bregdetare;</w:t>
      </w:r>
    </w:p>
    <w:p w14:paraId="20EC2AF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Kodin i kufijve të zonës</w:t>
      </w:r>
      <w:r w:rsidRPr="00F511C4">
        <w:rPr>
          <w:rFonts w:ascii="Garamond" w:eastAsia="Times New Roman" w:hAnsi="Garamond" w:cs="Times New Roman"/>
          <w:i/>
          <w:sz w:val="24"/>
          <w:szCs w:val="24"/>
          <w:lang w:val="sq-AL"/>
        </w:rPr>
        <w:t xml:space="preserve"> Schengen</w:t>
      </w:r>
      <w:r w:rsidRPr="00F511C4">
        <w:rPr>
          <w:rFonts w:ascii="Garamond" w:eastAsia="Times New Roman" w:hAnsi="Garamond" w:cs="Times New Roman"/>
          <w:sz w:val="24"/>
          <w:szCs w:val="24"/>
          <w:lang w:val="sq-AL"/>
        </w:rPr>
        <w:t xml:space="preserve"> dhe katalogun e azhurnuar të </w:t>
      </w:r>
      <w:r w:rsidRPr="00F511C4">
        <w:rPr>
          <w:rFonts w:ascii="Garamond" w:eastAsia="Times New Roman" w:hAnsi="Garamond" w:cs="Times New Roman"/>
          <w:i/>
          <w:sz w:val="24"/>
          <w:szCs w:val="24"/>
          <w:lang w:val="sq-AL"/>
        </w:rPr>
        <w:t>Schengen</w:t>
      </w:r>
      <w:r w:rsidRPr="00F511C4">
        <w:rPr>
          <w:rFonts w:ascii="Garamond" w:eastAsia="Times New Roman" w:hAnsi="Garamond" w:cs="Times New Roman"/>
          <w:sz w:val="24"/>
          <w:szCs w:val="24"/>
          <w:lang w:val="sq-AL"/>
        </w:rPr>
        <w:t>-it të BE-së;</w:t>
      </w:r>
    </w:p>
    <w:p w14:paraId="1F3A406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Rekomandimet dhe praktikat më të mira për mbikëqyrjen e kufijve të jashtëm, kthimin dhe ripranimin (Këshilli i Bashkimit Evropian nr. 7864/09); </w:t>
      </w:r>
    </w:p>
    <w:p w14:paraId="18C6232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Strategjinë Evropiane Teknike dhe Operacioninale të Menaxhimit të Integruar të Kufirit; </w:t>
      </w:r>
    </w:p>
    <w:p w14:paraId="043FB10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Sistemi Evropian i Mbikëqyrjes së Kufijve (EUROSUR).</w:t>
      </w:r>
    </w:p>
    <w:p w14:paraId="1A76A71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Vëmendje e veçantë iu kushtua përafrimit të Strategjisë me rregulloren (BE) 2019/1896, të Parlamentit Evropian dhe të Këshillit të 13 nëntorit 2019, “Për krijimin e një Kufiri Evropian dhe Rojës Bregdetare” dhe “Strategjinë Evropiane Teknike dhe Operacionale të Menaxhimit të Integruar të Kufirit”, në mënyrë që të sigurohet një menaxhim i integruar evropian i kufijve të jashtëm, si dhe menaxhimin e kufijve të saj, në përputhje me të drejtat themelore dhe përparimin e politikës së kthimit të unionit.</w:t>
      </w:r>
    </w:p>
    <w:p w14:paraId="54F5FA5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Republika e Shqipërisë, si një vend kandidat për anëtarësim në BE, është përpjekur të harmonizojë konceptin e saj të MIK me kërkesat e BE-së në fazën e pranimit, megjithëse, në këtë fazë të integrimit, nuk është e mundur të implementohen plotësisht të gjithë përbërësit strategjikë të MIK-ut Evropian. Megjithatë, Shqipëria mbetet e gatshme për të zbatuar plotësisht këtë koncept me hyrjen e Republikës së Shqipërisë në BE.</w:t>
      </w:r>
    </w:p>
    <w:p w14:paraId="7B92EB7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Strategjia është e përgatitur në përputhje me standardet e BE-së, duke marrë parasysh edhe elemente shtesë kombëtar të rëndësishëm për MIK-un, në mënyrë që Strategjia të jetë funksionale dhe ndërvepruese me atë evropiane.</w:t>
      </w:r>
    </w:p>
    <w:p w14:paraId="4E6150E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Zbatimi i masave të përcaktuara, në periudhën 2021 – 2027, është i rëndësishëm për forcimin e mëtejshëm të sigurisë kufitare, lehtësimin e qarkullimit ndërkufitar të shtetasve dhe mallrave, arritjen e kritereve të Sistemit Evropian të Sigurisë, për forcimin e aftësisë për të marrë përsipër detyrimet që rrjedhin nga anëtarësimi në BE, si dhe për të përmbushur kërkesat e </w:t>
      </w:r>
      <w:r w:rsidRPr="00F511C4">
        <w:rPr>
          <w:rFonts w:ascii="Garamond" w:eastAsia="Times New Roman" w:hAnsi="Garamond" w:cs="Times New Roman"/>
          <w:i/>
          <w:sz w:val="24"/>
          <w:szCs w:val="24"/>
          <w:lang w:val="sq-AL"/>
        </w:rPr>
        <w:t>Schengen</w:t>
      </w:r>
      <w:r w:rsidRPr="00F511C4">
        <w:rPr>
          <w:rFonts w:ascii="Garamond" w:eastAsia="Times New Roman" w:hAnsi="Garamond" w:cs="Times New Roman"/>
          <w:sz w:val="24"/>
          <w:szCs w:val="24"/>
          <w:lang w:val="sq-AL"/>
        </w:rPr>
        <w:t>-it.</w:t>
      </w:r>
    </w:p>
    <w:p w14:paraId="066ACCF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Burimet e nevojshme financiare për zbatimin e masave të Strategjisë së MIK-ut do të planifikohen brenda planeve të veprimit dhe do të vendosen në baza vjetore, brenda buxhetit aktual dhe kapitalit të Republikës së Shqipërisë, për nevojat e ministrive dhe autoriteteve të tjera administrative kompetente, për zbatimin e planit të veprimit, siç sugjerohet në përfundimet në lidhje me shqyrtimin dhe miratimin e Strategjisë dhe planit të veprimit 2021–2027. Dinamika e sigurimit të fondeve gjithashtu do të varet nga gatishmëria e bashkësisë ndërkombëtare për të aprovuar mbështetjen e donatorëve në kuadrin e fondeve ndërkombëtare të ndihmës së paraaderimit për zbatimin e masave konkrete, si dhe dinamikën e proceseve integruese të Republikës së Shqipërisë. Shumica e veprimtarive të organeve me kompetencë në zbatimin e </w:t>
      </w:r>
      <w:r w:rsidRPr="00F511C4">
        <w:rPr>
          <w:rFonts w:ascii="Garamond" w:eastAsia="Times New Roman" w:hAnsi="Garamond" w:cs="Times New Roman"/>
          <w:sz w:val="24"/>
          <w:szCs w:val="24"/>
          <w:lang w:val="sq-AL"/>
        </w:rPr>
        <w:lastRenderedPageBreak/>
        <w:t>Strategjisë dhe planit të veprimit, kornizë në këtë fushë, do të realizohen brenda aktiviteteve të rregullta të këtyre autoriteteve.</w:t>
      </w:r>
    </w:p>
    <w:p w14:paraId="4A453DE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Metodologjia</w:t>
      </w:r>
    </w:p>
    <w:p w14:paraId="5D638BA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Siç është shpjeguar në nënkapitullin 2, kuadri ligjor dhe institucional në fuqi dhe lidhja me dokumentet dhe prioritetet strategjike të këtij dokumenti, përputhet plotësisht me dokumentet strategjike në nivel ndërkombëtar e kombëtar të miratuar nga Kuvendi dhe Këshilli i Ministrave duke bërë që vizioni, objektivat strategjike dhe specifike të parashikuara të përputhen plotësisht me këto dokumente strategjike.</w:t>
      </w:r>
    </w:p>
    <w:p w14:paraId="4EF2226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Nisma për hartimin e kësaj Strategjie është ndërmarrë nga Ministria e Brendshme si institucion përgjegjës për fushën e menaxhimit të integruar të kufijve, bazuar kjo dhe në fushën e saj të përgjegjësisë të rregulluar me vendimin nr. 502, datë 13.9.2017, të Këshillit të Ministrave “Për përcaktimin e fushës së përgjegjësisë shtetërore të Ministrisë së Brendshme”. </w:t>
      </w:r>
    </w:p>
    <w:p w14:paraId="3A1E5F8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Ministria e Brendshme, dhe institucione të tjera si: Ministria e Financave dhe Ekonomisë – Drejtoria e Përgjithshme e Doganave; Ministria e Bujqësisë dhe Zhvillimit Rural – Autoriteti Kombëtar i Ushqimit; Ministria e Shëndetësisë dhe Mbrojtjes Sociale – Operatori i Shërbimeve të Kujdesit Shëndetësor; Ministria e Mbrojtjes – Forca Detare/Roja Bregdetare – Agjencia Kombëtare e Mbrojtjes Civile; Ministria për Evropën dhe Punët e Jashtme – Drejtoria e Çështjeve Konsullore; Ministria e Drejtësisë; Ministria e Infrastrukturës dhe Energjisë – Drejtoria e Përgjithshme Detare; Ministria e Turizmit dhe Mjedisit; Ministria e Arsimit, Sportit dhe Rinisë; Ministria e Kulturës; Qendra Ndërinstitucionale Operacionale Detare (QNOD); Komisioneri për të Drejtën e Informimit dhe Mbrojtjen e të Dhënave Personale kanë dhënë kontribut të veçantë gjatë procesit të hartimit të kësaj Strategjie. </w:t>
      </w:r>
    </w:p>
    <w:p w14:paraId="3A43618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Në hartimin e këtij dokumenti, krahas infrastrukturës ligjore, programeve të ndryshme shtetërore, në analizën për vlerësimin e gjendjes dhe planifikimin e prioriteteve, objektivave dhe alternativave të zhvillimit për të ardhmen, janë marrë në konsideratë të gjitha marrëveshjet ndërkombëtare të ratifikuara nga Republika e Shqipërisë, aktet ndërkombëtare ku Republika e Shqipërisë është palë, si dhe rekomandimet e Komisionit Evropian. </w:t>
      </w:r>
    </w:p>
    <w:p w14:paraId="4602888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Dokumenti është shpërndarë për konsultim publik në faqen e Kryeministrisë për Konsultim publik, në fillim të dhjetorit 2020, në adresën: </w:t>
      </w:r>
    </w:p>
    <w:p w14:paraId="6A3CC496" w14:textId="77777777" w:rsidR="00F511C4" w:rsidRPr="00F511C4" w:rsidRDefault="00351EC7" w:rsidP="00F511C4">
      <w:pPr>
        <w:autoSpaceDE w:val="0"/>
        <w:autoSpaceDN w:val="0"/>
        <w:adjustRightInd w:val="0"/>
        <w:spacing w:after="0" w:line="240" w:lineRule="auto"/>
        <w:jc w:val="both"/>
        <w:rPr>
          <w:rFonts w:ascii="Garamond" w:eastAsia="Times New Roman" w:hAnsi="Garamond" w:cs="Times New Roman"/>
          <w:sz w:val="24"/>
          <w:szCs w:val="24"/>
          <w:lang w:val="sq-AL"/>
        </w:rPr>
      </w:pPr>
      <w:hyperlink r:id="rId14" w:history="1">
        <w:r w:rsidR="00F511C4" w:rsidRPr="00F511C4">
          <w:rPr>
            <w:rFonts w:ascii="Garamond" w:eastAsia="Times New Roman" w:hAnsi="Garamond" w:cs="Times New Roman"/>
            <w:color w:val="1A0DAB"/>
            <w:sz w:val="24"/>
            <w:szCs w:val="24"/>
            <w:u w:val="single"/>
            <w:lang w:val="sq-AL"/>
          </w:rPr>
          <w:t>https://konsultimipublik.gov.al/Konsultime/Detaje/311</w:t>
        </w:r>
      </w:hyperlink>
      <w:r w:rsidR="00F511C4" w:rsidRPr="00F511C4">
        <w:rPr>
          <w:rFonts w:ascii="Garamond" w:eastAsia="Times New Roman" w:hAnsi="Garamond" w:cs="Times New Roman"/>
          <w:sz w:val="24"/>
          <w:szCs w:val="24"/>
          <w:lang w:val="sq-AL"/>
        </w:rPr>
        <w:t>.</w:t>
      </w:r>
    </w:p>
    <w:p w14:paraId="384EA00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color w:val="2F5496"/>
          <w:sz w:val="24"/>
          <w:szCs w:val="24"/>
          <w:lang w:val="sq-AL"/>
        </w:rPr>
      </w:pPr>
    </w:p>
    <w:p w14:paraId="3B5D4DA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2. Kuadri ligjor, institucional, arritjet dhe lidhja me dokumentet dhe prioritetet strategjike</w:t>
      </w:r>
    </w:p>
    <w:p w14:paraId="057A0E1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Zbatimi efektiv i Strategjisë së Menaxhimit të Integruar të Kufijve 2014 – 2020, ishte i rëndësishëm për përafrimin me Sistemin Evropian të Sigurisë, jetësimin e angazhimeve të Shqipërisë që rrjedhin nga procesi i anëtarësimi në BE, si dhe nevojave për forcimin e sigurisë kombëtare, rajonale dhe më gjerë. Kjo Strategji u vlerësua në përputhje të plotë me standardet evropiane.</w:t>
      </w:r>
      <w:r w:rsidRPr="00F511C4">
        <w:rPr>
          <w:rFonts w:ascii="Garamond" w:eastAsia="Times New Roman" w:hAnsi="Garamond" w:cs="Times New Roman"/>
          <w:sz w:val="24"/>
          <w:szCs w:val="24"/>
          <w:vertAlign w:val="superscript"/>
          <w:lang w:val="sq-AL"/>
        </w:rPr>
        <w:footnoteReference w:id="5"/>
      </w:r>
    </w:p>
    <w:p w14:paraId="367A4D5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Qëllimi i përgjithshëm strategjik i Qeverisë Shqiptare për Menaxhimin e Integruar të Kufijve, ishte përsosja e Sistemit të Sigurisë Kufitare, duke arritur përafrimin e plotë me atë të vendeve anëtare të BE-së, ndërsa qëllimi specifik i Strategjisë së MIK ishte konsolidimi i arritjeve në fushën e Menaxhimit të Integruar të Kufirit për përmirësimin e sigurisë së kufirit, lehtësimin e lëvizjes së shtetasve dhe shkëmbimeve tregtare, në mënyrë që të garantohen kufijtë e hapur dhe të sigurt, në funksion të përmirësimit të cilësisë së jetës së qytetarëve.</w:t>
      </w:r>
    </w:p>
    <w:p w14:paraId="0CF5A7B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Objektivat e Strategjisë dhe planit të veprimit (2014–2020) janë realizuar dhe përparim i mirë mund të vërehet në lidhje me arritjen e të gjitha objektivave individuale të përcaktuara në Strategji.</w:t>
      </w:r>
    </w:p>
    <w:p w14:paraId="472F2E2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Ky proces u pasua nga një seri aktivitetesh të ndërmarra në bashkëpunim me Bashkimin Evropian, me prioritetet e mëposhtme: </w:t>
      </w:r>
    </w:p>
    <w:p w14:paraId="7809995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 xml:space="preserve">- harmonizimi i legjislacionit me </w:t>
      </w:r>
      <w:r w:rsidRPr="00F511C4">
        <w:rPr>
          <w:rFonts w:ascii="Garamond" w:eastAsia="Times New Roman" w:hAnsi="Garamond" w:cs="Times New Roman"/>
          <w:i/>
          <w:sz w:val="24"/>
          <w:szCs w:val="24"/>
          <w:lang w:val="sq-AL"/>
        </w:rPr>
        <w:t>acquis</w:t>
      </w:r>
      <w:r w:rsidRPr="00F511C4">
        <w:rPr>
          <w:rFonts w:ascii="Garamond" w:eastAsia="Times New Roman" w:hAnsi="Garamond" w:cs="Times New Roman"/>
          <w:sz w:val="24"/>
          <w:szCs w:val="24"/>
          <w:lang w:val="sq-AL"/>
        </w:rPr>
        <w:t xml:space="preserve"> të BE-së; </w:t>
      </w:r>
    </w:p>
    <w:p w14:paraId="234D0B1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përfundimi i marrëveshjeve bilaterale për kufirin shtetëror, vendkalimet kufitare dhe trafikun kufitar; </w:t>
      </w:r>
    </w:p>
    <w:p w14:paraId="5DAEE1F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nënshkrimi i marrëveshjeve bilaterale të bashkëpunimit policor dhe protokolleve për patrullime të përbashkëta;</w:t>
      </w:r>
    </w:p>
    <w:p w14:paraId="1920C46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harmonizimi i konceptit organizativ dhe të personelit; </w:t>
      </w:r>
    </w:p>
    <w:p w14:paraId="191BC2A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modernizimi dhe përmirësimi i sistemeve të arsimit dhe të aftësimit, si dhe ngritja e nivelit të profesionalizmit të oficerëve të kufirit; </w:t>
      </w:r>
    </w:p>
    <w:p w14:paraId="5906E6E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përmirësimi i sistemit të informacionit dhe infrastrukturës kufitare; </w:t>
      </w:r>
    </w:p>
    <w:p w14:paraId="78D4A67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prokurimi i pajisjeve teknike të nevojshme për kryerjen e kontrolleve kufitare dhe mbikëqyrjen kufitare; </w:t>
      </w:r>
    </w:p>
    <w:p w14:paraId="110259A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krijimi dhe përditësimi i analizës së rrezikut dhe shkëmbimi i informacionit në përputhje me një model të përbashkët të analizës së rrezikut; </w:t>
      </w:r>
    </w:p>
    <w:p w14:paraId="2236276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forcimi i aftësive për të luftuar korrupsionin dhe forcimi i kornizës ligjore dhe mekanizmave për bashkëpunim dypalësh dhe shumëpalësh.</w:t>
      </w:r>
    </w:p>
    <w:p w14:paraId="1293263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Ky dokument strategjik është i ndërlidhur, kontribuon dhe i bazuar në parimet që rrjedhin nga dokumente strategjike kombëtare dhe ndërkombëtare, si më poshtë:</w:t>
      </w:r>
    </w:p>
    <w:p w14:paraId="322DC68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Programi qeverisës për periudhën 2017–2021;</w:t>
      </w:r>
    </w:p>
    <w:p w14:paraId="2124F10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Prioritetet e Qeverisë që lidhet me Rendin dhe Sigurinë Publike;</w:t>
      </w:r>
    </w:p>
    <w:p w14:paraId="213F227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Strategjia Kombëtare për Zhvillim dhe Integrim (SKZHI) 2015–2020; kapitulli “Qeverisja e Mirë, Demokracia dhe Shteti i së Drejtës”, e lidhur me objektivat e mëposhtme:</w:t>
      </w:r>
    </w:p>
    <w:p w14:paraId="0E19D3F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Cs/>
          <w:color w:val="000000"/>
          <w:sz w:val="24"/>
          <w:szCs w:val="24"/>
          <w:lang w:val="sq-AL"/>
        </w:rPr>
        <w:t xml:space="preserve">1. Forcimin e forcës zbuluese në luftën kundër krimit </w:t>
      </w:r>
      <w:r w:rsidRPr="00F511C4">
        <w:rPr>
          <w:rFonts w:ascii="Garamond" w:eastAsia="Times New Roman" w:hAnsi="Garamond" w:cs="Times New Roman"/>
          <w:color w:val="000000"/>
          <w:sz w:val="24"/>
          <w:szCs w:val="24"/>
          <w:lang w:val="sq-AL"/>
        </w:rPr>
        <w:t xml:space="preserve">ndërkufitar </w:t>
      </w:r>
      <w:r w:rsidRPr="00F511C4">
        <w:rPr>
          <w:rFonts w:ascii="Garamond" w:eastAsia="Times New Roman" w:hAnsi="Garamond" w:cs="Times New Roman"/>
          <w:bCs/>
          <w:color w:val="000000"/>
          <w:sz w:val="24"/>
          <w:szCs w:val="24"/>
          <w:lang w:val="sq-AL"/>
        </w:rPr>
        <w:t xml:space="preserve">nëpërmjet: </w:t>
      </w:r>
    </w:p>
    <w:p w14:paraId="0FE4C4E8"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 rritjes së shkallës së zbulimit të trafikimit të paligjshëm; </w:t>
      </w:r>
    </w:p>
    <w:p w14:paraId="5662B18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 rritjes së shkallës së zbulimit dhe eliminimit të tregtisë së lëndëve narkotike. </w:t>
      </w:r>
    </w:p>
    <w:p w14:paraId="2341593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bCs/>
          <w:color w:val="000000"/>
          <w:sz w:val="24"/>
          <w:szCs w:val="24"/>
          <w:lang w:val="sq-AL"/>
        </w:rPr>
        <w:t>2. Rritjen e profesionalizmit dhe aftësive teknike</w:t>
      </w:r>
      <w:r w:rsidRPr="00F511C4">
        <w:rPr>
          <w:rFonts w:ascii="Garamond" w:eastAsia="Times New Roman" w:hAnsi="Garamond" w:cs="Times New Roman"/>
          <w:b/>
          <w:bCs/>
          <w:color w:val="000000"/>
          <w:sz w:val="24"/>
          <w:szCs w:val="24"/>
          <w:lang w:val="sq-AL"/>
        </w:rPr>
        <w:t xml:space="preserve"> </w:t>
      </w:r>
      <w:r w:rsidRPr="00F511C4">
        <w:rPr>
          <w:rFonts w:ascii="Garamond" w:eastAsia="Times New Roman" w:hAnsi="Garamond" w:cs="Times New Roman"/>
          <w:color w:val="000000"/>
          <w:sz w:val="24"/>
          <w:szCs w:val="24"/>
          <w:lang w:val="sq-AL"/>
        </w:rPr>
        <w:t xml:space="preserve">për zbulimin dhe luftën kundër përdorimit të dokumenteve të falsifikuara për kalimin e kufirit. </w:t>
      </w:r>
    </w:p>
    <w:p w14:paraId="1D077BC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bCs/>
          <w:color w:val="000000"/>
          <w:sz w:val="24"/>
          <w:szCs w:val="24"/>
          <w:lang w:val="sq-AL"/>
        </w:rPr>
        <w:t>3. Përmirësimin e standardeve të kontrollit dhe mbikëqyrjes</w:t>
      </w:r>
      <w:r w:rsidRPr="00F511C4">
        <w:rPr>
          <w:rFonts w:ascii="Garamond" w:eastAsia="Times New Roman" w:hAnsi="Garamond" w:cs="Times New Roman"/>
          <w:b/>
          <w:bCs/>
          <w:color w:val="000000"/>
          <w:sz w:val="24"/>
          <w:szCs w:val="24"/>
          <w:lang w:val="sq-AL"/>
        </w:rPr>
        <w:t xml:space="preserve"> </w:t>
      </w:r>
      <w:r w:rsidRPr="00F511C4">
        <w:rPr>
          <w:rFonts w:ascii="Garamond" w:eastAsia="Times New Roman" w:hAnsi="Garamond" w:cs="Times New Roman"/>
          <w:color w:val="000000"/>
          <w:sz w:val="24"/>
          <w:szCs w:val="24"/>
          <w:lang w:val="sq-AL"/>
        </w:rPr>
        <w:t xml:space="preserve">përmes standardizimit të Pikave të Kalimit të Kufirit (PKK) sipas standardeve të BE-së dhe Kodit </w:t>
      </w:r>
      <w:r w:rsidRPr="00F511C4">
        <w:rPr>
          <w:rFonts w:ascii="Garamond" w:eastAsia="Times New Roman" w:hAnsi="Garamond" w:cs="Times New Roman"/>
          <w:i/>
          <w:color w:val="000000"/>
          <w:sz w:val="24"/>
          <w:szCs w:val="24"/>
          <w:lang w:val="sq-AL"/>
        </w:rPr>
        <w:t>Schengen</w:t>
      </w:r>
      <w:r w:rsidRPr="00F511C4">
        <w:rPr>
          <w:rFonts w:ascii="Garamond" w:eastAsia="Times New Roman" w:hAnsi="Garamond" w:cs="Times New Roman"/>
          <w:color w:val="000000"/>
          <w:sz w:val="24"/>
          <w:szCs w:val="24"/>
          <w:lang w:val="sq-AL"/>
        </w:rPr>
        <w:t>.</w:t>
      </w:r>
    </w:p>
    <w:p w14:paraId="4324460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bCs/>
          <w:color w:val="000000"/>
          <w:sz w:val="24"/>
          <w:szCs w:val="24"/>
          <w:lang w:val="sq-AL"/>
        </w:rPr>
        <w:t>4. Parandalimin dhe pakësimin e rasteve të migrimit të paligjshëm</w:t>
      </w:r>
      <w:r w:rsidRPr="00F511C4">
        <w:rPr>
          <w:rFonts w:ascii="Garamond" w:eastAsia="Times New Roman" w:hAnsi="Garamond" w:cs="Times New Roman"/>
          <w:b/>
          <w:bCs/>
          <w:color w:val="000000"/>
          <w:sz w:val="24"/>
          <w:szCs w:val="24"/>
          <w:lang w:val="sq-AL"/>
        </w:rPr>
        <w:t xml:space="preserve"> </w:t>
      </w:r>
      <w:r w:rsidRPr="00F511C4">
        <w:rPr>
          <w:rFonts w:ascii="Garamond" w:eastAsia="Times New Roman" w:hAnsi="Garamond" w:cs="Times New Roman"/>
          <w:color w:val="000000"/>
          <w:sz w:val="24"/>
          <w:szCs w:val="24"/>
          <w:lang w:val="sq-AL"/>
        </w:rPr>
        <w:t xml:space="preserve">dhe të qytetarëve të huaj që kapen në territorin e Shqipërisë me dokumente të parregullta, përmes: </w:t>
      </w:r>
    </w:p>
    <w:p w14:paraId="619E5D7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 kryerjes së analizave të sakta të riskut; </w:t>
      </w:r>
    </w:p>
    <w:p w14:paraId="13758F6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 dislokimit të forcave në zonat më problematike; dhe </w:t>
      </w:r>
    </w:p>
    <w:p w14:paraId="200B3A1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 furnizimit me pajisje moderne për parandalimin e migracionit të paligjshëm. </w:t>
      </w:r>
    </w:p>
    <w:p w14:paraId="69C0256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bCs/>
          <w:color w:val="000000"/>
          <w:sz w:val="24"/>
          <w:szCs w:val="24"/>
          <w:lang w:val="sq-AL"/>
        </w:rPr>
        <w:t xml:space="preserve">5. Parandalimin dhe uljen e migracionit të paligjshëm nëpërmjet: </w:t>
      </w:r>
    </w:p>
    <w:p w14:paraId="0B6797D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 rritjes së shkallës së zbulimit dhe eliminimit të migracionit të paligjshëm; </w:t>
      </w:r>
    </w:p>
    <w:p w14:paraId="2039E30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 uljes së rasteve të migracionit të paligjshëm dhe të qytetarëve të huaj të kapur në territorin e Shqipërisë me dokumente të parregullta; </w:t>
      </w:r>
    </w:p>
    <w:p w14:paraId="67C6A8E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 monitorimit të flukseve të migracionit përmes analizave mujore dhe vjetore të riskut në përputhje me standardet e FRONTEX-it. </w:t>
      </w:r>
    </w:p>
    <w:p w14:paraId="4B49A1D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 monitorimit të fluksit të migracionit nëpërmjet analizave mujore dhe vjetore të riskut në përputhje me modelin e CIRAM-it; dhe </w:t>
      </w:r>
    </w:p>
    <w:p w14:paraId="62D1C63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 forcimit të bashkëpunimit me vendet fqinje në parandalimin dhe luftimin e migracionit të parregullt të qytetarëve shqiptarë dhe të shtetasve të vendeve të treta, në kuadër të marrëveshjeve ekzistuese dypalëshe, Konventës së Bashkëpunimit Policor për Evropën Juglindore dhe iniciativat rajonale. </w:t>
      </w:r>
    </w:p>
    <w:p w14:paraId="24ADE60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bCs/>
          <w:color w:val="000000"/>
          <w:sz w:val="24"/>
          <w:szCs w:val="24"/>
          <w:lang w:val="sq-AL"/>
        </w:rPr>
        <w:t xml:space="preserve">6. Forcimin e përgjithshëm të kapaciteteve të Qendrës Ndërinstitucionale Operacionale Detare. </w:t>
      </w:r>
    </w:p>
    <w:p w14:paraId="3E5F51C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Lidhja me PKIE-n dhe legjislacionin e BE-së (kapitulli 24 – Drejtësia, Liria dhe Siguria, nënkapitulli: Kufijtë e jashtëm).</w:t>
      </w:r>
      <w:r w:rsidRPr="00F511C4">
        <w:rPr>
          <w:rFonts w:ascii="Garamond" w:eastAsia="Times New Roman" w:hAnsi="Garamond" w:cs="Times New Roman"/>
          <w:sz w:val="24"/>
          <w:szCs w:val="24"/>
          <w:lang w:val="sq-AL"/>
        </w:rPr>
        <w:t xml:space="preserve"> Kjo Strategji nuk përafron në vetvete një akt të legjislacionit të Bashkimit Evropian, por do të shërbejë si instrument për adresimin e rekomandimeve të Bashkimit Evropian për përafrimin me </w:t>
      </w:r>
      <w:r w:rsidRPr="00F511C4">
        <w:rPr>
          <w:rFonts w:ascii="Garamond" w:eastAsia="Times New Roman" w:hAnsi="Garamond" w:cs="Times New Roman"/>
          <w:i/>
          <w:sz w:val="24"/>
          <w:szCs w:val="24"/>
          <w:lang w:val="sq-AL"/>
        </w:rPr>
        <w:t>acquis communauitaire</w:t>
      </w:r>
      <w:r w:rsidRPr="00F511C4">
        <w:rPr>
          <w:rFonts w:ascii="Garamond" w:eastAsia="Times New Roman" w:hAnsi="Garamond" w:cs="Times New Roman"/>
          <w:sz w:val="24"/>
          <w:szCs w:val="24"/>
          <w:lang w:val="sq-AL"/>
        </w:rPr>
        <w:t xml:space="preserve"> të BE-së, për fushën e rendit dhe sigurisë publike.</w:t>
      </w:r>
    </w:p>
    <w:p w14:paraId="69D1C71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Politikat dhe objektivat specifike të Strategjisë Ndërsektoriale të Menaxhimit të Integruar të Kufirit 2021–2027 dhe plani i veprimit 2021–2023, janë gjithashtu, në përputhje me “Objektivat e Zhvillimit të Qëndrueshëm (OZHQ/SDG) dhe Agjendës 2030”, respektivisht:</w:t>
      </w:r>
    </w:p>
    <w:p w14:paraId="2FD092BB" w14:textId="77777777" w:rsidR="00F511C4" w:rsidRPr="00F511C4" w:rsidRDefault="00F511C4" w:rsidP="00F511C4">
      <w:pPr>
        <w:autoSpaceDE w:val="0"/>
        <w:autoSpaceDN w:val="0"/>
        <w:adjustRightInd w:val="0"/>
        <w:spacing w:after="0" w:line="240" w:lineRule="auto"/>
        <w:ind w:firstLine="288"/>
        <w:jc w:val="both"/>
        <w:rPr>
          <w:rFonts w:ascii="Garamond" w:eastAsia="Century Schoolbook" w:hAnsi="Garamond" w:cs="Times New Roman"/>
          <w:sz w:val="24"/>
          <w:szCs w:val="24"/>
          <w:lang w:val="sq-AL" w:eastAsia="ja-JP"/>
        </w:rPr>
      </w:pPr>
      <w:r w:rsidRPr="00F511C4">
        <w:rPr>
          <w:rFonts w:ascii="Garamond" w:eastAsia="Century Schoolbook" w:hAnsi="Garamond" w:cs="Times New Roman"/>
          <w:b/>
          <w:sz w:val="24"/>
          <w:szCs w:val="24"/>
          <w:lang w:val="sq-AL" w:eastAsia="ja-JP"/>
        </w:rPr>
        <w:t>OZHQ 10</w:t>
      </w:r>
      <w:r w:rsidRPr="00F511C4">
        <w:rPr>
          <w:rFonts w:ascii="Garamond" w:eastAsia="Century Schoolbook" w:hAnsi="Garamond" w:cs="Times New Roman"/>
          <w:sz w:val="24"/>
          <w:szCs w:val="24"/>
          <w:lang w:val="sq-AL" w:eastAsia="ja-JP"/>
        </w:rPr>
        <w:t>: Zvogëlimi i pabarazisë brenda dhe ndërmjet vendeve.</w:t>
      </w:r>
    </w:p>
    <w:p w14:paraId="6F99D8B0" w14:textId="77777777" w:rsidR="00F511C4" w:rsidRPr="00F511C4" w:rsidRDefault="00F511C4" w:rsidP="00F511C4">
      <w:pPr>
        <w:autoSpaceDE w:val="0"/>
        <w:autoSpaceDN w:val="0"/>
        <w:adjustRightInd w:val="0"/>
        <w:spacing w:after="0" w:line="240" w:lineRule="auto"/>
        <w:ind w:firstLine="288"/>
        <w:jc w:val="both"/>
        <w:rPr>
          <w:rFonts w:ascii="Garamond" w:eastAsia="Century Schoolbook" w:hAnsi="Garamond" w:cs="Times New Roman"/>
          <w:sz w:val="24"/>
          <w:szCs w:val="24"/>
          <w:lang w:val="sq-AL" w:eastAsia="ja-JP"/>
        </w:rPr>
      </w:pPr>
      <w:r w:rsidRPr="00F511C4">
        <w:rPr>
          <w:rFonts w:ascii="Garamond" w:eastAsia="Century Schoolbook" w:hAnsi="Garamond" w:cs="Times New Roman"/>
          <w:b/>
          <w:sz w:val="24"/>
          <w:szCs w:val="24"/>
          <w:lang w:val="sq-AL" w:eastAsia="ja-JP"/>
        </w:rPr>
        <w:t>Qëllimi 10.7</w:t>
      </w:r>
      <w:r w:rsidRPr="00F511C4">
        <w:rPr>
          <w:rFonts w:ascii="Garamond" w:eastAsia="Century Schoolbook" w:hAnsi="Garamond" w:cs="Times New Roman"/>
          <w:sz w:val="24"/>
          <w:szCs w:val="24"/>
          <w:lang w:val="sq-AL" w:eastAsia="ja-JP"/>
        </w:rPr>
        <w:t>: Lehtësimi i migrimit të organizuar, të sigurt, të rregullt dhe të përgjegjshëm dhe lëvizshmërinë e njerëzve, duke përfshirë zbatimin e politikave të planifikuara dhe mirë të menaxhuara të migracionit.</w:t>
      </w:r>
    </w:p>
    <w:p w14:paraId="7C1AC01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2.1 Analiza dhe arritjet</w:t>
      </w:r>
    </w:p>
    <w:p w14:paraId="2947F86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Në fushën e Menaxhimit të Integruar të Kufirit, Shqipëria, gjatë viteve 2014 – 2020, ka realizuar progres të vazhdueshëm në të gjithë komponentët përbërës të MIK, si: në fushën e përmirësimit të kuadrit ligjor, të organizimit dhe të menaxhimit të agjencive kufitare, të rritjes së kapaciteteve administrative dhe profesionale të strukturave, të zbatimit të procedurave standarde të punës, të zbatimit të programeve të trajnimit dhe kurrikulave, të përmirësimit të infrastrukturës dhe teknologjisë së informacionit, në funksion të rritjes së cilësisë së shërbimit ndaj qytetarëve, lehtësimit të shkëmbimeve tregtare, dhe në drejtim të forcimit të goditjes së aktivitetit të paligjshëm nëpërmjet kufirit shtetëror dhe rritjes së sigurisë kufitare.</w:t>
      </w:r>
    </w:p>
    <w:p w14:paraId="4911CE0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color w:val="000000"/>
          <w:sz w:val="24"/>
          <w:szCs w:val="24"/>
          <w:lang w:val="sq-AL"/>
        </w:rPr>
        <w:t>Komisioni Evropian ka vlerësuar në vazhdimësi përparimin e bërë në lidhje me Menaxhimin e Integruar të Kufirit, por sfidat për MIK në Shqipëri kërkojnë përmirësime të mëtejshme brenda agjencive të kufirit, si dhe në bashkëpunimin ndëragjenci e ndërkombëtar. Me konkretisht do të përmendim sa më poshtë:</w:t>
      </w:r>
    </w:p>
    <w:p w14:paraId="4B1AB6DE" w14:textId="77777777" w:rsidR="00F511C4" w:rsidRPr="00F511C4" w:rsidRDefault="00F511C4" w:rsidP="00F511C4">
      <w:pPr>
        <w:spacing w:after="0" w:line="240" w:lineRule="auto"/>
        <w:ind w:firstLine="284"/>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Përmirësime të mëtejshme të kuadrit ligjor rregullator, të strukturave të agjencive kufitare, të procedurave të punës, të burimeve njerëzore dhe trajnimeve, të shkëmbimit të informacionit dhe të infrastrukturës dhe pajisjeve me qëllim përafrimin me standardet e Bashkimit Evropian dhe praktikat më të mira ndërkombëtare;</w:t>
      </w:r>
    </w:p>
    <w:p w14:paraId="5AE63CF0" w14:textId="77777777" w:rsidR="00F511C4" w:rsidRPr="00F511C4" w:rsidRDefault="00F511C4" w:rsidP="00F511C4">
      <w:pPr>
        <w:spacing w:after="0" w:line="240" w:lineRule="auto"/>
        <w:ind w:firstLine="284"/>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Forcimi i bashkëpunimit ndëragjenci në funksion të rritjes së cilësisë dhe shpejtësisë së shkëmbimin të informacionit, procedurave për kontrolle të përbashkëta, analizës së përbashkët të riskut për komponentë të caktuar në kontrollin kufitar, në përdorimin e përbashkët të infrastrukturës kufitare dhe pajisjeve, si dhe në zhvillimin e mëtejshëm të programeve të përbashkëta të trajnimit për personelin e agjencive kufitare.</w:t>
      </w:r>
    </w:p>
    <w:p w14:paraId="4DBC984E" w14:textId="77777777" w:rsidR="00F511C4" w:rsidRPr="00F511C4" w:rsidRDefault="00F511C4" w:rsidP="00F511C4">
      <w:pPr>
        <w:spacing w:after="0" w:line="240" w:lineRule="auto"/>
        <w:ind w:firstLine="284"/>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Përmirësimin e mëtejshëm të bashkëpunimit ndërkombëtar, për të zbatuar një zinxhir masash në luftën e autoriteteve kufitare ndaj aktiviteteve të kundërligjshme nëpërmjet kufirit përfshirë dhe terrorizmin.</w:t>
      </w:r>
    </w:p>
    <w:p w14:paraId="572BCF5C" w14:textId="77777777" w:rsidR="00F511C4" w:rsidRPr="00F511C4" w:rsidRDefault="00F511C4" w:rsidP="00F511C4">
      <w:pPr>
        <w:spacing w:after="0" w:line="240" w:lineRule="auto"/>
        <w:ind w:firstLine="284"/>
        <w:jc w:val="both"/>
        <w:rPr>
          <w:rFonts w:ascii="Garamond" w:eastAsia="Times New Roman" w:hAnsi="Garamond" w:cs="Times New Roman"/>
          <w:color w:val="000000"/>
          <w:sz w:val="24"/>
          <w:szCs w:val="24"/>
          <w:lang w:val="sq-AL"/>
        </w:rPr>
      </w:pPr>
      <w:r w:rsidRPr="00F511C4">
        <w:rPr>
          <w:rFonts w:ascii="Garamond" w:eastAsia="Times New Roman" w:hAnsi="Garamond" w:cs="Times New Roman"/>
          <w:b/>
          <w:bCs/>
          <w:sz w:val="24"/>
          <w:szCs w:val="24"/>
          <w:lang w:val="sq-AL"/>
        </w:rPr>
        <w:t>Kuadri ligjor rregullator</w:t>
      </w:r>
    </w:p>
    <w:p w14:paraId="46BEF342" w14:textId="77777777" w:rsidR="00F511C4" w:rsidRPr="00F511C4" w:rsidRDefault="00F511C4" w:rsidP="00F511C4">
      <w:pPr>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Në zbatim </w:t>
      </w:r>
      <w:r w:rsidRPr="00F511C4">
        <w:rPr>
          <w:rFonts w:ascii="Garamond" w:eastAsia="Times New Roman" w:hAnsi="Garamond" w:cs="Times New Roman"/>
          <w:color w:val="000000"/>
          <w:sz w:val="24"/>
          <w:szCs w:val="24"/>
          <w:lang w:val="sq-AL"/>
        </w:rPr>
        <w:t>të</w:t>
      </w:r>
      <w:r w:rsidRPr="00F511C4">
        <w:rPr>
          <w:rFonts w:ascii="Garamond" w:eastAsia="Times New Roman" w:hAnsi="Garamond" w:cs="Times New Roman"/>
          <w:sz w:val="24"/>
          <w:szCs w:val="24"/>
          <w:lang w:val="sq-AL"/>
        </w:rPr>
        <w:t xml:space="preserve"> objektivave strategjike dhe të masave të parashikuara në planin e veprimit të Strategjisë së Menaxhimit të Integruar të Kufirit 2014 – 2020, janë përmbushur të gjitha nënobjektivat e parashikuara, duke realizuar në total gjithë paketën ligjore për kontrollin kufitar, duke u përafruar me legjislacionin komunitar të menaxhimit të kufirit. Për pasojë u përgatitën dhe u miratuan aktet ligjore si më poshtë:</w:t>
      </w:r>
    </w:p>
    <w:p w14:paraId="268707F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Ligji nr.71/2016, “Për kontrollin kufitar”</w:t>
      </w:r>
      <w:r w:rsidRPr="00F511C4">
        <w:rPr>
          <w:rFonts w:ascii="Garamond" w:eastAsia="Times New Roman" w:hAnsi="Garamond" w:cs="Times New Roman"/>
          <w:sz w:val="24"/>
          <w:szCs w:val="24"/>
          <w:vertAlign w:val="superscript"/>
          <w:lang w:val="sq-AL"/>
        </w:rPr>
        <w:footnoteReference w:id="6"/>
      </w:r>
      <w:r w:rsidRPr="00F511C4">
        <w:rPr>
          <w:rFonts w:ascii="Garamond" w:eastAsia="Times New Roman" w:hAnsi="Garamond" w:cs="Times New Roman"/>
          <w:sz w:val="24"/>
          <w:szCs w:val="24"/>
          <w:lang w:val="sq-AL"/>
        </w:rPr>
        <w:t>;</w:t>
      </w:r>
    </w:p>
    <w:p w14:paraId="2549522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Ligji nr.102/2014, “Kodi Doganor i Republikës së Shqipërisë”;</w:t>
      </w:r>
    </w:p>
    <w:p w14:paraId="08E2016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Ligj nr. 22/2020, “Për disa shtesa në ligjin nr. 71/2016, ‘Për kontrollin kufitar’”</w:t>
      </w:r>
      <w:r w:rsidRPr="00F511C4">
        <w:rPr>
          <w:rFonts w:ascii="Garamond" w:eastAsia="Times New Roman" w:hAnsi="Garamond" w:cs="Times New Roman"/>
          <w:sz w:val="24"/>
          <w:szCs w:val="24"/>
          <w:vertAlign w:val="superscript"/>
          <w:lang w:val="sq-AL"/>
        </w:rPr>
        <w:footnoteReference w:id="7"/>
      </w:r>
      <w:r w:rsidRPr="00F511C4">
        <w:rPr>
          <w:rFonts w:ascii="Garamond" w:eastAsia="Times New Roman" w:hAnsi="Garamond" w:cs="Times New Roman"/>
          <w:sz w:val="24"/>
          <w:szCs w:val="24"/>
          <w:lang w:val="sq-AL"/>
        </w:rPr>
        <w:t>;</w:t>
      </w:r>
    </w:p>
    <w:p w14:paraId="615BC43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Ligji nr. 74/2016, “Për disa ndryshime dhe shtesa në ligjin nr. 108/2013, ‘Për të huajt’”</w:t>
      </w:r>
      <w:r w:rsidRPr="00F511C4">
        <w:rPr>
          <w:rFonts w:ascii="Garamond" w:eastAsia="Times New Roman" w:hAnsi="Garamond" w:cs="Times New Roman"/>
          <w:sz w:val="24"/>
          <w:szCs w:val="24"/>
          <w:vertAlign w:val="superscript"/>
          <w:lang w:val="sq-AL"/>
        </w:rPr>
        <w:footnoteReference w:id="8"/>
      </w:r>
      <w:r w:rsidRPr="00F511C4">
        <w:rPr>
          <w:rFonts w:ascii="Garamond" w:eastAsia="Times New Roman" w:hAnsi="Garamond" w:cs="Times New Roman"/>
          <w:sz w:val="24"/>
          <w:szCs w:val="24"/>
          <w:lang w:val="sq-AL"/>
        </w:rPr>
        <w:t xml:space="preserve">, </w:t>
      </w:r>
    </w:p>
    <w:p w14:paraId="1882A9D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 xml:space="preserve">- Ligji nr. 121/2014, “Për azilin në Republikën e Shqipërisë”; udhëzimi nr. 293/2015, i ministrit të Brendshëm, “Për procedurat e trajtimit të të huajve me qëndrim të parregullt në Shqipëri”; </w:t>
      </w:r>
    </w:p>
    <w:p w14:paraId="67B9E09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Ligji nr. 15/2016, “Për parandalimin dhe luftimin e infeksioneve dhe sëmundjeve infektive”;</w:t>
      </w:r>
    </w:p>
    <w:p w14:paraId="60E8D72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Ligji nr. 18/2017, “Për të drejtat dhe mbrojtjen e fëmijës”;</w:t>
      </w:r>
    </w:p>
    <w:p w14:paraId="5F92705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Udhëzimi i përbashkët nr. 515, datë 27.9.2016, i ministrit të Punëve të Brendshme dhe Komisionerit për të Drejtën e Informimit e Mbrojtjen e të Dhënave Personale “Për përpunimin e të dhënave personale nga Roja Kufitare”;</w:t>
      </w:r>
    </w:p>
    <w:p w14:paraId="0FEBD76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Vendimi nr. 729, datë 20.10.2016, “Për përcaktimin e tabelave dhe simboleve në pikat e kalimit kufitar dhe zonat e verifikimit kufitar”;</w:t>
      </w:r>
    </w:p>
    <w:p w14:paraId="65B252B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Vendimi nr. 745, datë 26.10.2016,</w:t>
      </w:r>
      <w:r w:rsidRPr="00F511C4">
        <w:rPr>
          <w:rFonts w:ascii="Garamond" w:eastAsia="Times New Roman" w:hAnsi="Garamond" w:cs="Times New Roman"/>
          <w:bCs/>
          <w:sz w:val="24"/>
          <w:szCs w:val="24"/>
          <w:lang w:val="sq-AL"/>
        </w:rPr>
        <w:t> “Për kryerjen e verifikimeve të përbashkëta kufitare”;</w:t>
      </w:r>
    </w:p>
    <w:p w14:paraId="051B41D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Cs/>
          <w:sz w:val="24"/>
          <w:szCs w:val="24"/>
          <w:lang w:val="sq-AL"/>
        </w:rPr>
        <w:t>- Vendimi nr. 806, datë 16.11.2016, “Për përcaktimin e rregullave të verifikimit kufitar që zbatohen për kategori të caktuara të personave dhe mjeteve”;</w:t>
      </w:r>
    </w:p>
    <w:p w14:paraId="01B8CFE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Cs/>
          <w:sz w:val="24"/>
          <w:szCs w:val="24"/>
          <w:lang w:val="sq-AL"/>
        </w:rPr>
        <w:t>- Vendimi i Këshillit të Ministrave nr. 824, datë 23.11.2016, “Për përcaktimin e formatit dhe të specifikimeve teknike të vulave të verifikimit kufitar dhe të rregullave të vendosjes së tyre në dokumentet e udhëtimit gjatë hyrje/daljeve në kufirin shtetëror”;</w:t>
      </w:r>
    </w:p>
    <w:p w14:paraId="2A0BEC9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Cs/>
          <w:sz w:val="24"/>
          <w:szCs w:val="24"/>
          <w:lang w:val="sq-AL"/>
        </w:rPr>
        <w:t>- Udhëzimi i ministrit të Brendshëm nr. 469, datë 22.8.2016, “Për listën e pikave të kalimit kufitar dhe zonave transit në Republikën Shqipërisë”;</w:t>
      </w:r>
    </w:p>
    <w:p w14:paraId="26802E6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Cs/>
          <w:sz w:val="24"/>
          <w:szCs w:val="24"/>
          <w:lang w:val="sq-AL"/>
        </w:rPr>
        <w:t>- Udhëzim i ministrit të Brendshëm nr. 579, datë 20.10.2016, “Për informacionin që u jepet personave të cilët janë subjekt i verifikimeve të vijës së dytë në pikat e kalimit kufitar”;</w:t>
      </w:r>
    </w:p>
    <w:p w14:paraId="1E8021B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Vendimi i Këshillit të Ministrave nr. 441, datë 15.6.2016, “Për miratimin e formës dhe të përmbajtjes së lejes së qëndrimit për të huajt”;</w:t>
      </w:r>
    </w:p>
    <w:p w14:paraId="3499771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Vendimi i Këshillit të Ministrave nr. 442, datë 15.6.2016, “Për caktimin e elementeve të sigurisë dhe miratimin e formës dhe të modelit të dokumenteve të udhëtimit për të huajt”; </w:t>
      </w:r>
    </w:p>
    <w:p w14:paraId="7E79930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Vendimi i Këshillit të Ministrave nr. 651, datë 10.11.2017, “Për dispozitat zbatuese të ligjit nr. 104, datë 31.7.2014, ‘Kodi Doganor i RSH-së’”; </w:t>
      </w:r>
    </w:p>
    <w:p w14:paraId="1909605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VKM-ja nr. 439, datë 13.5.2011, “Për miratimin e dokumentit ‘</w:t>
      </w:r>
      <w:r w:rsidRPr="00F511C4">
        <w:rPr>
          <w:rFonts w:ascii="Garamond" w:eastAsia="Times New Roman" w:hAnsi="Garamond" w:cs="Times New Roman"/>
          <w:bCs/>
          <w:sz w:val="24"/>
          <w:szCs w:val="24"/>
          <w:lang w:val="sq-AL"/>
        </w:rPr>
        <w:t xml:space="preserve">Politikat dhe procedurat e funksionimit të Qendrës Ndërinstitucionale Operacionale Detare </w:t>
      </w:r>
      <w:r w:rsidRPr="00F511C4">
        <w:rPr>
          <w:rFonts w:ascii="Garamond" w:eastAsia="Times New Roman" w:hAnsi="Garamond" w:cs="Times New Roman"/>
          <w:bCs/>
          <w:color w:val="000000"/>
          <w:sz w:val="24"/>
          <w:szCs w:val="24"/>
          <w:lang w:val="sq-AL"/>
        </w:rPr>
        <w:t>(QNOD)’”;</w:t>
      </w:r>
    </w:p>
    <w:p w14:paraId="17C0938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1146/2014, i ministrit të Brendshëm “Për disa shtesa dhe ndryshime në urdhrin nr. 851/2009, ‘Për miratimin e procedurave standarde të punës për kufirin dhe migracionin’”.</w:t>
      </w:r>
    </w:p>
    <w:p w14:paraId="51E8CAA1" w14:textId="77777777" w:rsidR="00F511C4" w:rsidRPr="00F511C4" w:rsidRDefault="00F511C4" w:rsidP="00F511C4">
      <w:pPr>
        <w:autoSpaceDE w:val="0"/>
        <w:autoSpaceDN w:val="0"/>
        <w:adjustRightInd w:val="0"/>
        <w:spacing w:after="0" w:line="240" w:lineRule="auto"/>
        <w:ind w:firstLine="288"/>
        <w:jc w:val="both"/>
        <w:rPr>
          <w:rFonts w:ascii="Garamond" w:eastAsia="Garamond" w:hAnsi="Garamond" w:cs="Times New Roman"/>
          <w:sz w:val="24"/>
          <w:szCs w:val="24"/>
          <w:lang w:val="sq-AL"/>
        </w:rPr>
      </w:pPr>
      <w:r w:rsidRPr="00F511C4">
        <w:rPr>
          <w:rFonts w:ascii="Garamond" w:eastAsia="Times New Roman" w:hAnsi="Garamond" w:cs="Times New Roman"/>
          <w:sz w:val="24"/>
          <w:szCs w:val="24"/>
          <w:lang w:val="sq-AL"/>
        </w:rPr>
        <w:t>- VKM-ja nr.</w:t>
      </w:r>
      <w:r w:rsidRPr="00F511C4">
        <w:rPr>
          <w:rFonts w:ascii="Garamond" w:eastAsia="Garamond" w:hAnsi="Garamond" w:cs="Times New Roman"/>
          <w:sz w:val="24"/>
          <w:szCs w:val="24"/>
          <w:lang w:val="sq-AL"/>
        </w:rPr>
        <w:t xml:space="preserve"> 729, datë 13.11.2019, “Për miratimin e Planit Kombëtar të Kërkim–Shpëtimit në Republikën e Shqipërisë dhe planit të veprimit të tij”.</w:t>
      </w:r>
    </w:p>
    <w:p w14:paraId="6AB276D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 përmbushje të objektivave janë rishikuar marrëveshjet me vendet fqinje për PKK-n duke i kthyer ato në pika të përbashkëta të kalimit kufitar; është nënshkruar memorandum bashkëpunimi mes PSH-së dhe TIA-s, i cili është në përputhje me Programin Kombëtar të Sigurisë në Aviacion; janë miratuar aktet ligjore dhe masat plotësuese për kontrollin e territorit; si dhe është përmirësuar legjislacioni kombëtar në lidhje me shkëmbimin efikas të informacionit ndërmjet agjencive kufitare dhe ndërmjet agjencive të tjera ligjzbatuese dhe mbrojtjen e të dhënave.</w:t>
      </w:r>
    </w:p>
    <w:p w14:paraId="5B86666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Në përmbushje të masave të parashikuara në MIK, janë hartuar akte nënligjore që kanë rregulluar bashkëpunimin ndërmjet agjencive të përfshira në të, për shkëmbimin e informacionit, analiza risku, shërbime, operacione dhe hetime të përbashkëta. Në këtë kuadër është përmirësuar mekanizmi i monitorimit të hapësirës detare dhe është rritur goditja e aktivitetit të kundërligjshëm. </w:t>
      </w:r>
    </w:p>
    <w:p w14:paraId="4E137C1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Gjithashtu është përmirësuar kuadri legjislativ për funksionimin e QNOD-it, me qëllim përsosjen e koordinimit ndërinstitucional për monitorimin e hapësirës detare dhe kryerjen e operacioneve të përbashkëta të zbatimit të ligjit në det.</w:t>
      </w:r>
    </w:p>
    <w:p w14:paraId="5C8D9105" w14:textId="77777777" w:rsidR="00F511C4" w:rsidRPr="00F511C4" w:rsidRDefault="00F511C4" w:rsidP="00F511C4">
      <w:pPr>
        <w:spacing w:after="0" w:line="240" w:lineRule="auto"/>
        <w:jc w:val="both"/>
        <w:rPr>
          <w:rFonts w:ascii="Garamond" w:eastAsia="Calibri" w:hAnsi="Garamond" w:cs="Times New Roman"/>
          <w:sz w:val="24"/>
          <w:szCs w:val="24"/>
          <w:lang w:val="sq-AL" w:eastAsia="ja-JP"/>
        </w:rPr>
      </w:pPr>
      <w:r w:rsidRPr="00F511C4">
        <w:rPr>
          <w:rFonts w:ascii="Garamond" w:eastAsia="Calibri" w:hAnsi="Garamond" w:cs="Times New Roman"/>
          <w:sz w:val="24"/>
          <w:szCs w:val="24"/>
          <w:lang w:val="sq-AL" w:eastAsia="ja-JP"/>
        </w:rPr>
        <w:lastRenderedPageBreak/>
        <w:t>Këto akte ligjore dhe nënligjore janë hartuar duke u bazuar në rekomandimet e BE-së dhe në Standardet Schengen, të parashikuara në Strategjinë për Menaxhimin e Integruar të Kufirit 2014–2020.</w:t>
      </w:r>
    </w:p>
    <w:p w14:paraId="3E014BE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Procedurat</w:t>
      </w:r>
    </w:p>
    <w:p w14:paraId="52C9A3A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 fushën e procedurave u zhvilluan dhe u përmirësuan procedurat standarde të punës nga agjencitë e përfshira në MIK. Në përmbushje të objektivave janë miratuar “</w:t>
      </w:r>
      <w:r w:rsidRPr="00F511C4">
        <w:rPr>
          <w:rFonts w:ascii="Garamond" w:eastAsia="Times New Roman" w:hAnsi="Garamond" w:cs="Times New Roman"/>
          <w:i/>
          <w:sz w:val="24"/>
          <w:szCs w:val="24"/>
          <w:lang w:val="sq-AL"/>
        </w:rPr>
        <w:t>Procedurat Standarde të Punës</w:t>
      </w:r>
      <w:r w:rsidRPr="00F511C4">
        <w:rPr>
          <w:rFonts w:ascii="Garamond" w:eastAsia="Times New Roman" w:hAnsi="Garamond" w:cs="Times New Roman"/>
          <w:sz w:val="24"/>
          <w:szCs w:val="24"/>
          <w:lang w:val="sq-AL"/>
        </w:rPr>
        <w:t xml:space="preserve">” për të gjitha strukturat e Departamentit për Kufirin dhe Migracionin, bazuar me ligjin nr. 71/2016, </w:t>
      </w:r>
      <w:r w:rsidRPr="00F511C4">
        <w:rPr>
          <w:rFonts w:ascii="Garamond" w:eastAsia="Times New Roman" w:hAnsi="Garamond" w:cs="Times New Roman"/>
          <w:i/>
          <w:sz w:val="24"/>
          <w:szCs w:val="24"/>
          <w:lang w:val="sq-AL"/>
        </w:rPr>
        <w:t>“Për kontrollin kufitar”</w:t>
      </w:r>
      <w:r w:rsidRPr="00F511C4">
        <w:rPr>
          <w:rFonts w:ascii="Garamond" w:eastAsia="Times New Roman" w:hAnsi="Garamond" w:cs="Times New Roman"/>
          <w:sz w:val="24"/>
          <w:szCs w:val="24"/>
          <w:lang w:val="sq-AL"/>
        </w:rPr>
        <w:t xml:space="preserve">, dhe në Manualin Schengen për PKM-n. Këto procedura janë përmirësuar dhe përditësuar me ndryshimet e Kodit Schengen. </w:t>
      </w:r>
    </w:p>
    <w:p w14:paraId="1C98032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iCs/>
          <w:sz w:val="24"/>
          <w:szCs w:val="24"/>
          <w:lang w:val="sq-AL"/>
        </w:rPr>
      </w:pPr>
      <w:r w:rsidRPr="00F511C4">
        <w:rPr>
          <w:rFonts w:ascii="Garamond" w:eastAsia="Times New Roman" w:hAnsi="Garamond" w:cs="Times New Roman"/>
          <w:sz w:val="24"/>
          <w:szCs w:val="24"/>
          <w:lang w:val="sq-AL"/>
        </w:rPr>
        <w:t>Gjithashtu, u përmirësuan procedurat doganore për të lehtësuar shkëmbimet tregtare dhe marrjen nga ky shërbim të përgjegjësive në fushën e sigurisë kufitare. Në kuadër të funksionimit të QNOD-it, për koordinimin e punës midis agjencive ligjzbatuese, janë miratuar</w:t>
      </w:r>
      <w:r w:rsidRPr="00F511C4">
        <w:rPr>
          <w:rFonts w:ascii="Garamond" w:eastAsia="Times New Roman" w:hAnsi="Garamond" w:cs="Times New Roman"/>
          <w:iCs/>
          <w:sz w:val="24"/>
          <w:szCs w:val="24"/>
          <w:lang w:val="sq-AL"/>
        </w:rPr>
        <w:t xml:space="preserve"> “</w:t>
      </w:r>
      <w:r w:rsidRPr="00F511C4">
        <w:rPr>
          <w:rFonts w:ascii="Garamond" w:eastAsia="Times New Roman" w:hAnsi="Garamond" w:cs="Times New Roman"/>
          <w:i/>
          <w:iCs/>
          <w:sz w:val="24"/>
          <w:szCs w:val="24"/>
          <w:lang w:val="sq-AL"/>
        </w:rPr>
        <w:t>Politikat dhe Procedurat e Funksionimit të Qendrës Ndërinstitucionale Operacionale Detare</w:t>
      </w:r>
      <w:r w:rsidRPr="00F511C4">
        <w:rPr>
          <w:rFonts w:ascii="Garamond" w:eastAsia="Times New Roman" w:hAnsi="Garamond" w:cs="Times New Roman"/>
          <w:iCs/>
          <w:sz w:val="24"/>
          <w:szCs w:val="24"/>
          <w:lang w:val="sq-AL"/>
        </w:rPr>
        <w:t>”.</w:t>
      </w:r>
    </w:p>
    <w:p w14:paraId="0EBCCB14" w14:textId="77777777" w:rsidR="00F511C4" w:rsidRPr="00F511C4" w:rsidRDefault="00F511C4" w:rsidP="00F511C4">
      <w:pPr>
        <w:autoSpaceDE w:val="0"/>
        <w:autoSpaceDN w:val="0"/>
        <w:adjustRightInd w:val="0"/>
        <w:spacing w:after="0" w:line="240" w:lineRule="auto"/>
        <w:ind w:firstLine="288"/>
        <w:jc w:val="both"/>
        <w:rPr>
          <w:rFonts w:ascii="Garamond" w:eastAsia="Yu Mincho" w:hAnsi="Garamond" w:cs="Times New Roman"/>
          <w:spacing w:val="-1"/>
          <w:sz w:val="24"/>
          <w:szCs w:val="24"/>
          <w:lang w:val="sq-AL"/>
        </w:rPr>
      </w:pPr>
      <w:r w:rsidRPr="00F511C4">
        <w:rPr>
          <w:rFonts w:ascii="Garamond" w:eastAsia="Times New Roman" w:hAnsi="Garamond" w:cs="Times New Roman"/>
          <w:sz w:val="24"/>
          <w:szCs w:val="24"/>
          <w:lang w:val="sq-AL"/>
        </w:rPr>
        <w:t>Këto procedura j</w:t>
      </w:r>
      <w:r w:rsidRPr="00F511C4">
        <w:rPr>
          <w:rFonts w:ascii="Garamond" w:eastAsia="Times New Roman" w:hAnsi="Garamond" w:cs="Times New Roman"/>
          <w:color w:val="000000"/>
          <w:sz w:val="24"/>
          <w:szCs w:val="24"/>
          <w:lang w:val="sq-AL"/>
        </w:rPr>
        <w:t xml:space="preserve">anë në zhvillim sipas konceptit dhe detyrimeve që rrjedhin nga iniciativa e </w:t>
      </w:r>
      <w:r w:rsidRPr="00F511C4">
        <w:rPr>
          <w:rFonts w:ascii="Garamond" w:eastAsia="Calibri" w:hAnsi="Garamond" w:cs="Times New Roman"/>
          <w:sz w:val="24"/>
          <w:szCs w:val="24"/>
          <w:lang w:val="sq-AL" w:eastAsia="ja-JP"/>
        </w:rPr>
        <w:t>Schengenit</w:t>
      </w:r>
      <w:r w:rsidRPr="00F511C4">
        <w:rPr>
          <w:rFonts w:ascii="Garamond" w:eastAsia="Times New Roman" w:hAnsi="Garamond" w:cs="Times New Roman"/>
          <w:color w:val="000000"/>
          <w:sz w:val="24"/>
          <w:szCs w:val="24"/>
          <w:lang w:val="sq-AL"/>
        </w:rPr>
        <w:t xml:space="preserve"> Ballkanik dhe të rregullores së Agjencisë për Kufirin Evropian dhe Rojën Bregdetare</w:t>
      </w:r>
      <w:r w:rsidRPr="00F511C4">
        <w:rPr>
          <w:rFonts w:ascii="Garamond" w:eastAsia="Times New Roman" w:hAnsi="Garamond" w:cs="Times New Roman"/>
          <w:spacing w:val="-1"/>
          <w:sz w:val="24"/>
          <w:szCs w:val="24"/>
          <w:lang w:val="sq-AL"/>
        </w:rPr>
        <w:t>.</w:t>
      </w:r>
    </w:p>
    <w:p w14:paraId="7BC779A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Bashkëpunimi në përgjithësi dhe bashkëpunimi ndërkombëtar në veçanti është realizuar me partnerët ndërkombëtarë, në përputhje të plotë me standardet e vendeve të BE-së. Aktiviteti i kundërligjshëm identifikohet dhe shkëmbehet me vendet e tjera, duke siguruar veprime të përbashkëta për goditjen e tij. Gjithashtu janë hartuar procedura të përbashkëta për shkëmbimin e informacionit, operacionet dhe hetimet e përbashkëta, janë miratuar procedurat standarde për largimin/dëbimin e shtetasve të huaj me qëndrim të parregullt në Shqipëri, si dhe është krijuar një mekanizëm për kontrollet e kontejnerëve në porte.</w:t>
      </w:r>
    </w:p>
    <w:p w14:paraId="2E9409F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pacing w:val="-1"/>
          <w:sz w:val="24"/>
          <w:szCs w:val="24"/>
          <w:lang w:val="sq-AL"/>
        </w:rPr>
      </w:pPr>
      <w:r w:rsidRPr="00F511C4">
        <w:rPr>
          <w:rFonts w:ascii="Garamond" w:eastAsia="Times New Roman" w:hAnsi="Garamond" w:cs="Times New Roman"/>
          <w:bCs/>
          <w:sz w:val="24"/>
          <w:szCs w:val="24"/>
          <w:lang w:val="sq-AL"/>
        </w:rPr>
        <w:t xml:space="preserve">Në qëllimet strategjike për bashkëpunimin ndërmjet agjencive të Policisë Kufitare dhe Migracionit, Shërbimit Doganor Shqiptar, Autoritetit Kombëtar të Ushqimit, Shërbimit Sanitar Antiepidemik dhe agjencive të tjera të përfshira në MIK, është parashikuar ngritja e një Qendre </w:t>
      </w:r>
      <w:r w:rsidRPr="00F511C4">
        <w:rPr>
          <w:rFonts w:ascii="Garamond" w:eastAsia="Times New Roman" w:hAnsi="Garamond" w:cs="Times New Roman"/>
          <w:sz w:val="24"/>
          <w:szCs w:val="24"/>
          <w:lang w:val="sq-AL"/>
        </w:rPr>
        <w:t xml:space="preserve">Kombëtare Koordinimi për Menaxhimin e Integruar të Kufirit. Për shkak të mungesës së fondeve, kjo qendër nuk është bërë e mundur të krijohet. Si pasojë nuk është realizuar as nënobjektivi për hartimin e procedurave të punës për mekanizmin e Koordinatorit Kombëtar të MIK dhe as për Qendrën. </w:t>
      </w:r>
      <w:r w:rsidRPr="00F511C4">
        <w:rPr>
          <w:rFonts w:ascii="Garamond" w:eastAsia="Times New Roman" w:hAnsi="Garamond" w:cs="Times New Roman"/>
          <w:spacing w:val="-1"/>
          <w:sz w:val="24"/>
          <w:szCs w:val="24"/>
          <w:lang w:val="sq-AL"/>
        </w:rPr>
        <w:t xml:space="preserve">Nisur nga domosdoshmëria e menaxhimit të integruar të sistemeve teknologjike, të pajisjeve tjera speciale, si dhe të </w:t>
      </w:r>
      <w:r w:rsidRPr="00F511C4">
        <w:rPr>
          <w:rFonts w:ascii="Garamond" w:eastAsia="Times New Roman" w:hAnsi="Garamond" w:cs="Times New Roman"/>
          <w:color w:val="000000"/>
          <w:sz w:val="24"/>
          <w:szCs w:val="24"/>
          <w:lang w:val="sq-AL"/>
        </w:rPr>
        <w:t>të</w:t>
      </w:r>
      <w:r w:rsidRPr="00F511C4">
        <w:rPr>
          <w:rFonts w:ascii="Garamond" w:eastAsia="Times New Roman" w:hAnsi="Garamond" w:cs="Times New Roman"/>
          <w:spacing w:val="-1"/>
          <w:sz w:val="24"/>
          <w:szCs w:val="24"/>
          <w:lang w:val="sq-AL"/>
        </w:rPr>
        <w:t xml:space="preserve"> gjitha shërbimeve të agjencive të përfshira, ky mbetet një ndër objektivat kryesore në Strategjinë e re. </w:t>
      </w:r>
    </w:p>
    <w:p w14:paraId="004FF97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Gjithashtu, nuk janë hartuar procedurat e përbashkëta për Qendrën Rajonale të Monitorimit të Hapësirës Detare në bashkëpunim me palët pjesëmarrëse dhe me asistencën ndërkombëtare, sepse nuk është krijuar Qendra për mungesë fondesh.</w:t>
      </w:r>
    </w:p>
    <w:p w14:paraId="172219C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sz w:val="24"/>
          <w:szCs w:val="24"/>
          <w:lang w:val="sq-AL"/>
        </w:rPr>
      </w:pPr>
      <w:r w:rsidRPr="00F511C4">
        <w:rPr>
          <w:rFonts w:ascii="Garamond" w:eastAsia="Times New Roman" w:hAnsi="Garamond" w:cs="Times New Roman"/>
          <w:bCs/>
          <w:sz w:val="24"/>
          <w:szCs w:val="24"/>
          <w:lang w:val="sq-AL"/>
        </w:rPr>
        <w:t>Sa më sipër, miratimi i legjislacionit të ri për kufirin dhe migracionin u ndoq nga miratimi i procedurave të reja standarde të punës në këto fusha, të cilat u përshtaten plotësisht me legjislacionin e ri, si më poshtë:</w:t>
      </w:r>
    </w:p>
    <w:p w14:paraId="1244C9E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163, datë 8.2.2018, “Procedura e punës për organizimin, planizimin dhe kryerjen e shërbimit në SPK&amp;M, sipas situatës dhe analizës së riskut”;</w:t>
      </w:r>
    </w:p>
    <w:p w14:paraId="74038C5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164, datë 8.2.2018, “Procedurat e punës për mbikëqyrjen e kufirit”;</w:t>
      </w:r>
    </w:p>
    <w:p w14:paraId="472C436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165, datë 8.2.2018, “Procedurat e punës për verifikimin kufitar në PKK e PPKK-së”;</w:t>
      </w:r>
    </w:p>
    <w:p w14:paraId="08218E7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166, datë 8.2.2018, “Procedurat e punës për verifikimin e trafikut tokësor, trafikut ajror, detar e liqenor në kufi”;</w:t>
      </w:r>
    </w:p>
    <w:p w14:paraId="0A636E3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167, datë 8.2.2018, “Procedura e punës për lehtësimin e verifikimeve kufitare”;</w:t>
      </w:r>
    </w:p>
    <w:p w14:paraId="2387AE3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168, datë 8.2.2018, “Procedura standarde për refuzimin e hyrjes në kufi të RSH-së, të shtetasit të huaj”;</w:t>
      </w:r>
    </w:p>
    <w:p w14:paraId="273327F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169, datë 8.2.2018, “Procedurat standarde të punës për refuzimin e daljes së shtetasve shqiptarë dhe të huaj në kufi”;</w:t>
      </w:r>
    </w:p>
    <w:p w14:paraId="7091A44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175, datë 8.2.2018, “Procedurat e regjistrimit në sistemin TIMS të verifikimit që kryhet për kontrollin e hyrje/daljeve”;</w:t>
      </w:r>
    </w:p>
    <w:p w14:paraId="1E57CDF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Urdhri nr. 170, datë 8.2.2018, “Procedurat standarde për trajtimin e shtetasve të huaj me leje qëndrimi”;</w:t>
      </w:r>
    </w:p>
    <w:p w14:paraId="29859A4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171, datë 8.2.2018, “Procedurat standarde e punës për lëshimin e vizave në kufi dhe anulimin e tyre”;</w:t>
      </w:r>
    </w:p>
    <w:p w14:paraId="057D7BC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-Urdhri nr. 172, datë 8.2.2018, “Procedurat standarde për përzgjedhjen e shtetasve të huaj të parregullt dhe masat që merren”;</w:t>
      </w:r>
    </w:p>
    <w:p w14:paraId="3A033CA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173, datë 8.2.2018, “Procedurat standarde për zgjatjen e qëndrimit mbi afatin e përcaktuar ligjor të shtetasit të huaj”;</w:t>
      </w:r>
    </w:p>
    <w:p w14:paraId="293B33C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174, datë 8.2.2018, “Procedurat standarde për vlerësimin e aplikimeve për vizë në Shqipëri të shtetasve të huaj”;</w:t>
      </w:r>
    </w:p>
    <w:p w14:paraId="5F3D3F7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176 datë 8.2.2018 “Procedurat standarde për largimin/dëbimin e shtetasit të huaj me qëndrim të parregullt në RSH”;</w:t>
      </w:r>
    </w:p>
    <w:p w14:paraId="4BB8959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1294/1, datë 17.5.2016, “Procedura e punës për zbulimin e lëndëve radioaktive”;</w:t>
      </w:r>
    </w:p>
    <w:p w14:paraId="034FA82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Urdhri nr. 18378, datë 8.8.2017, “Procedurat standarde të punës që drejtojnë përzgjedhjen dhe skanimin e bazuar në risk të ngarkesave dhe mjeteve të transportit që kalojnë kufijtë e Republikës së Shqipërisë me anë të skanerëve fiks dhe të lëvizshëm”;</w:t>
      </w:r>
    </w:p>
    <w:p w14:paraId="21F1F7D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Ligji nr. 9863, datë 28.1.2008, “Për ushqimin”, i ndryshuar;</w:t>
      </w:r>
    </w:p>
    <w:p w14:paraId="5ABEDF7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Ligji nr. 16/2020, “Për disa ndryshime dhe shtesa në ligjin nr. 9863, datë 28.1.2008, ‘Për ushqimin’ i ndryshuar”;</w:t>
      </w:r>
    </w:p>
    <w:p w14:paraId="67906EB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Ligji nr. 10465, datë 29.9.2011, “Për shërbimin veterinar në Republikën e Shqipërisë”, i ndryshuar;</w:t>
      </w:r>
    </w:p>
    <w:p w14:paraId="2AF5289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Ligj nr. 18/2018, “Për ratifikimin e protokollit shtesë 5, të marrëveshjes për amendimin dhe aderimin në marrëveshjen e tregtisë së lirë të Evropës Qendrore”.</w:t>
      </w:r>
    </w:p>
    <w:p w14:paraId="1A222FB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Manuali për inspektimin fitosanitar në pikat e kalimit kufitar nr. 4635, datë 16.10.2006;</w:t>
      </w:r>
    </w:p>
    <w:p w14:paraId="2C8CA48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VKM-ja nr. 403, datë 13.5.2015, “Për disa ndryshime dhe shtesa në vendimin nr. 654, datë 30.9.2009, të KM-s, “Për organizimin, strukturën, funksionimin e QNOD-it dhe bashkëveprimin me institucionet shtetërore që kanë interesa në det, të ndryshuar”;</w:t>
      </w:r>
    </w:p>
    <w:p w14:paraId="2A90488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VKM-ja nr. 585, datë 1.7.2015, “Për disa shtesa dhe ndryshime në vendimin nr. 439, datë 13.5.2011, të KM-s ‘Për miratimin e dokumentit ‘Politikat dhe procedurat e funksionimit të QNOD-it’’”.</w:t>
      </w:r>
    </w:p>
    <w:p w14:paraId="7C3B1E1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Menaxhimi dhe organizimi (kuadri institucional)</w:t>
      </w:r>
    </w:p>
    <w:p w14:paraId="02FE10E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sz w:val="24"/>
          <w:szCs w:val="24"/>
          <w:lang w:val="sq-AL"/>
        </w:rPr>
      </w:pPr>
      <w:r w:rsidRPr="00F511C4">
        <w:rPr>
          <w:rFonts w:ascii="Garamond" w:eastAsia="Times New Roman" w:hAnsi="Garamond" w:cs="Times New Roman"/>
          <w:sz w:val="24"/>
          <w:szCs w:val="24"/>
          <w:lang w:val="sq-AL" w:eastAsia="ja-JP"/>
        </w:rPr>
        <w:t>Në drejtim të menaxhimit dhe organizimit (kuadrit institucional), u konsolidua struktura e Policisë Kufitare dhe Migracionit, sipas rekomandimeve dhe e bazuar në objektivat e Strategjisë, si dhe struktura e analizës së riskut dhe sektori i hetimit, e cila është ndryshuar dhe përmirësuar. Shërbimi i analizës së riskut dhe të hetimit është shtrirë në të gjitha drejtoritë vendore.</w:t>
      </w:r>
      <w:r w:rsidRPr="00F511C4">
        <w:rPr>
          <w:rFonts w:ascii="Garamond" w:eastAsia="Times New Roman" w:hAnsi="Garamond" w:cs="Times New Roman"/>
          <w:bCs/>
          <w:sz w:val="24"/>
          <w:szCs w:val="24"/>
          <w:lang w:val="sq-AL"/>
        </w:rPr>
        <w:t xml:space="preserve"> Organizmi i ri strukturor u propozua dhe miratua në përputhje me praktikat më të mira të vendeve anëtare të Bashkimit Evropian. </w:t>
      </w:r>
    </w:p>
    <w:p w14:paraId="67DC335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Me urdhrin nr. 177, datë 18.3.2018, të ministrit të Brendshëm, është miratuar struktura e Drejtorisë së Përgjithshme të Policisë së Shtetit, përfshirë këtu edhe strukturën e Departamentit për Kufirin dhe Migracionin, ndërsa, me urdhrin nr. 328/1, datë 2.5.2018, të drejtorit të Përgjithshëm të Policisë së Shtetit është miratuar struktura dhe përbërja organike e drejtorive vendore për kufirin dhe migracionin. Në kuadër të miratimit të strukturës së re dhe përbërjes organike, janë ngritur strukturat e zbatimit të masave plotësuese për kontrollin e territorit në nivel qendror dhe vendor. </w:t>
      </w:r>
    </w:p>
    <w:p w14:paraId="05AA188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Cs/>
          <w:sz w:val="24"/>
          <w:szCs w:val="24"/>
          <w:lang w:val="sq-AL"/>
        </w:rPr>
        <w:t xml:space="preserve">Megjithatë, suprimimi i strukturave të menaxhimit të burimeve njerëzore dhe logjistike, në vitin 2016, si dhe suprimimi i strukturave të hetimit në Policinë Kufitare dhe Migracionit, cenoi autonominë e këtyre strukturave, filozofi mbi të cilën u bë organizimi i tyre dhe nuk ishte në përputhje me rekomandimet e partnerëve ndërkombëtarë. Suprimimi i strukturave të menaxhimit të burimeve njerëzore dhe logjistike solli paqartësi në menaxhimin e këtyre burimeve. Vështirësi të mëdha u hasën sidomos në përgatitjen dhe menaxhimin e dokumentacionit për burimet njerëzore, si dhe të donacioneve të shumta në mbështetje të shërbimeve të Policisë Kufitare dhe Migracionit. </w:t>
      </w:r>
      <w:r w:rsidRPr="00F511C4">
        <w:rPr>
          <w:rFonts w:ascii="Garamond" w:eastAsia="Times New Roman" w:hAnsi="Garamond" w:cs="Times New Roman"/>
          <w:bCs/>
          <w:sz w:val="24"/>
          <w:szCs w:val="24"/>
          <w:lang w:val="sq-AL"/>
        </w:rPr>
        <w:lastRenderedPageBreak/>
        <w:t>Suprimimi i strukturave të hetimit shkaktoi humbjen e aftësive operacionale në fushën e krimit ndërkufitar, për veprat penale që mbuloheshin nga këto struktura dhe ishte në kundërshtim me rekomandimet e progresraportit të Komisionit Evropian të vitit 2016, ku nënvizohet se,</w:t>
      </w:r>
      <w:r w:rsidRPr="00F511C4">
        <w:rPr>
          <w:rFonts w:ascii="Garamond" w:eastAsia="Times New Roman" w:hAnsi="Garamond" w:cs="Times New Roman"/>
          <w:bCs/>
          <w:i/>
          <w:sz w:val="24"/>
          <w:szCs w:val="24"/>
          <w:lang w:val="sq-AL"/>
        </w:rPr>
        <w:t>”….</w:t>
      </w:r>
      <w:r w:rsidRPr="00F511C4">
        <w:rPr>
          <w:rFonts w:ascii="Garamond" w:eastAsia="Times New Roman" w:hAnsi="Garamond" w:cs="Times New Roman"/>
          <w:i/>
          <w:sz w:val="24"/>
          <w:szCs w:val="24"/>
          <w:lang w:val="sq-AL"/>
        </w:rPr>
        <w:t>Kompetencat hetimore të policisë kufitare duhet të forcohen, në mënyrë të veçantë për zbulimin e personave të kontrabanduar dhe rastet e trafikimit”</w:t>
      </w:r>
      <w:r w:rsidRPr="00F511C4">
        <w:rPr>
          <w:rFonts w:ascii="Garamond" w:eastAsia="Times New Roman" w:hAnsi="Garamond" w:cs="Times New Roman"/>
          <w:sz w:val="24"/>
          <w:szCs w:val="24"/>
          <w:lang w:val="sq-AL"/>
        </w:rPr>
        <w:t>.</w:t>
      </w:r>
    </w:p>
    <w:p w14:paraId="697CAD7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pacing w:val="-1"/>
          <w:sz w:val="24"/>
          <w:szCs w:val="24"/>
          <w:lang w:val="sq-AL"/>
        </w:rPr>
      </w:pPr>
      <w:r w:rsidRPr="00F511C4">
        <w:rPr>
          <w:rFonts w:ascii="Garamond" w:eastAsia="Times New Roman" w:hAnsi="Garamond" w:cs="Times New Roman"/>
          <w:sz w:val="24"/>
          <w:szCs w:val="24"/>
          <w:lang w:val="sq-AL"/>
        </w:rPr>
        <w:t xml:space="preserve">Gjithsesi, struktura aktuale ka garantuar funksionimin operacional të strukturave qendrore dhe vendore për kufirin dhe migracionin. Struktura e PKM-së ka lehtësuar bashkëpunimin dhe shkëmbimin e informacionit brenda saj, ndërmjet agjencive </w:t>
      </w:r>
      <w:r w:rsidRPr="00F511C4">
        <w:rPr>
          <w:rFonts w:ascii="Garamond" w:eastAsia="Times New Roman" w:hAnsi="Garamond" w:cs="Times New Roman"/>
          <w:spacing w:val="-1"/>
          <w:sz w:val="24"/>
          <w:szCs w:val="24"/>
          <w:lang w:val="sq-AL"/>
        </w:rPr>
        <w:t>dhe në nivel ndërkombëtar.</w:t>
      </w:r>
    </w:p>
    <w:p w14:paraId="6F16A82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 funksion të çështjes së kontrollit civil mbi operacionet detare</w:t>
      </w:r>
      <w:r w:rsidRPr="00F511C4">
        <w:rPr>
          <w:rFonts w:ascii="Garamond" w:eastAsia="Times New Roman" w:hAnsi="Garamond" w:cs="Times New Roman"/>
          <w:sz w:val="24"/>
          <w:szCs w:val="24"/>
          <w:lang w:val="sq-AL" w:eastAsia="ja-JP"/>
        </w:rPr>
        <w:t xml:space="preserve"> dhe harmonizimin e marrëdhënieve midis institucioneve që kanë përgjegjësi dhe interesa në det, u konsolidua Qendra Ndërinstitucionale Operacionale Detare.</w:t>
      </w:r>
    </w:p>
    <w:p w14:paraId="533EEEA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pacing w:val="-1"/>
          <w:sz w:val="24"/>
          <w:szCs w:val="24"/>
          <w:lang w:val="sq-AL"/>
        </w:rPr>
      </w:pPr>
      <w:r w:rsidRPr="00F511C4">
        <w:rPr>
          <w:rFonts w:ascii="Garamond" w:eastAsia="Times New Roman" w:hAnsi="Garamond" w:cs="Times New Roman"/>
          <w:spacing w:val="-1"/>
          <w:sz w:val="24"/>
          <w:szCs w:val="24"/>
          <w:lang w:val="sq-AL"/>
        </w:rPr>
        <w:t xml:space="preserve">Në përmbushje të masave të MIK, janë realizuar dhe implementuar ndryshimet në strukturë. Megjithatë problem mbetet mosha mesatare e lartë e stafit të policisë kufitare dhe migracionit </w:t>
      </w:r>
      <w:r w:rsidRPr="00F511C4">
        <w:rPr>
          <w:rFonts w:ascii="Garamond" w:eastAsia="Times New Roman" w:hAnsi="Garamond" w:cs="Times New Roman"/>
          <w:i/>
          <w:spacing w:val="-1"/>
          <w:sz w:val="24"/>
          <w:szCs w:val="24"/>
          <w:lang w:val="sq-AL"/>
        </w:rPr>
        <w:t xml:space="preserve">(aktualisht rreth 50 vjeç). </w:t>
      </w:r>
      <w:r w:rsidRPr="00F511C4">
        <w:rPr>
          <w:rFonts w:ascii="Garamond" w:eastAsia="Times New Roman" w:hAnsi="Garamond" w:cs="Times New Roman"/>
          <w:spacing w:val="-1"/>
          <w:sz w:val="24"/>
          <w:szCs w:val="24"/>
          <w:lang w:val="sq-AL"/>
        </w:rPr>
        <w:t xml:space="preserve">Për këto arsye rritja e numrit të rojeve kufitare dhe konsolidimi i mëtejshëm i strukturës mbetet objektiv për t’u përfshirë në Strategjinë e re, në zbatim kjo edhe të rekomandimit të progresraportit të Komisionit Evropian dhe të ekspertëve të misioneve të BE-së. </w:t>
      </w:r>
    </w:p>
    <w:p w14:paraId="3055BBD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Gjithashtu në përmbushje të masave të MIK, janë krijuar dhe funksionojnë GLO-të (grupet e lëvizshme operacionale) në çdo drejtori vendore, të cilat kryejnë, krahas patrullave të zakonshme, kontrollin dhe monitorimin e territorit në bazë dhe të informacioneve shtesë të marra në rrugë ligjore për veprimtari të k/ligjshme.</w:t>
      </w:r>
    </w:p>
    <w:p w14:paraId="641495D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Planëzimi elektronik i punës së Policisë Kufitare nuk është realizuar për shkak të mungesës së fondeve për vënien në funksionim të programit të përgatitur për këtë qëllim nga PAMECA.</w:t>
      </w:r>
    </w:p>
    <w:p w14:paraId="04C4B49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i/>
          <w:sz w:val="24"/>
          <w:szCs w:val="24"/>
          <w:lang w:val="sq-AL"/>
        </w:rPr>
        <w:t>Sistemi Blu Box</w:t>
      </w:r>
      <w:r w:rsidRPr="00F511C4">
        <w:rPr>
          <w:rFonts w:ascii="Garamond" w:eastAsia="Times New Roman" w:hAnsi="Garamond" w:cs="Times New Roman"/>
          <w:sz w:val="24"/>
          <w:szCs w:val="24"/>
          <w:lang w:val="sq-AL"/>
        </w:rPr>
        <w:t xml:space="preserve"> për mjetet e peshkimit, aktualisht nuk funksionon, për mungesë të fondeve dhe menaxhimit të tyre. Ndërkohë, </w:t>
      </w:r>
      <w:r w:rsidRPr="00F511C4">
        <w:rPr>
          <w:rFonts w:ascii="Garamond" w:eastAsia="Times New Roman" w:hAnsi="Garamond" w:cs="Times New Roman"/>
          <w:i/>
          <w:sz w:val="24"/>
          <w:szCs w:val="24"/>
          <w:lang w:val="sq-AL"/>
        </w:rPr>
        <w:t>Sistemi i Komunikimit Tetra</w:t>
      </w:r>
      <w:r w:rsidRPr="00F511C4">
        <w:rPr>
          <w:rFonts w:ascii="Garamond" w:eastAsia="Times New Roman" w:hAnsi="Garamond" w:cs="Times New Roman"/>
          <w:sz w:val="24"/>
          <w:szCs w:val="24"/>
          <w:lang w:val="sq-AL"/>
        </w:rPr>
        <w:t xml:space="preserve"> është funksional në të gjithë hapësirën detare, dhe po punohet për krijimin e bazës së të dhënave për mjetet lundruese, midis agjencive ligjzbatuese.</w:t>
      </w:r>
    </w:p>
    <w:p w14:paraId="0951D9A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Gjithashtu, me qëllim të përmbushjes së veprimtarisë administrative, realizimit të misionit institucional dhe në funksion të rritjes së eficiencës në punë, për t’u përgjigjur sfidave të reja, me VKM-në nr. 9, datë 11.1.2017, është miratuar struktura e re organizative e Administratës Doganore Shqiptare. Drejtoria e Përgjithshme e Doganave përbëhet nga 1.052 punonjës, të shpërndarë në nivel qendror dhe vendor. </w:t>
      </w:r>
    </w:p>
    <w:p w14:paraId="2416D33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Burimet njerëzore dhe trajnimi</w:t>
      </w:r>
    </w:p>
    <w:p w14:paraId="1AB2147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Lidhur me këtë fushë, në Strategjinë aktuale u parashikuan aktivitete që kanë të bëjnë me rekrutimin dhe përzgjedhjen e personelit të agjencive që operojnë në kufi, bazuar në standardet e BE-së. Në përmbushje të objektivave të kësaj fushe nga </w:t>
      </w:r>
      <w:r w:rsidRPr="00F511C4">
        <w:rPr>
          <w:rFonts w:ascii="Garamond" w:eastAsia="Calibri" w:hAnsi="Garamond" w:cs="Times New Roman"/>
          <w:sz w:val="24"/>
          <w:szCs w:val="24"/>
          <w:lang w:val="sq-AL"/>
        </w:rPr>
        <w:t xml:space="preserve">agjencitë e kufirit bëhet menaxhimi i burimeve njerëzore dhe ndiqet ecuria e tyre në karrierë. </w:t>
      </w:r>
      <w:r w:rsidRPr="00F511C4">
        <w:rPr>
          <w:rFonts w:ascii="Garamond" w:eastAsia="Times New Roman" w:hAnsi="Garamond" w:cs="Times New Roman"/>
          <w:sz w:val="24"/>
          <w:szCs w:val="24"/>
          <w:lang w:val="sq-AL"/>
        </w:rPr>
        <w:t xml:space="preserve">Për vendet e punës bëhet përzgjedhja e personelit bazuar në kritere të mirëpërcaktuara dhe të miratuara. </w:t>
      </w:r>
    </w:p>
    <w:p w14:paraId="3CC7DC2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Duke parë nevojën imediate për forcimin e kapaciteteve njerëzore të Policisë Kufitare dhe Migracionit, nevojë që u evidentua më së shumti gjatë periudhës së krizës migratore që preku edhe vendin tonë, Departamenti për Kufirin dhe Migracionin bëri një studim të hollësishëm të nevojave për burimet shtesë, ku u theksua nevoja për shtimin e 500 funksioneve shtesë. Nga ana tjetër, nevoja për burime njerëzore shtesë ishte rekomanduar në vazhdimësi nga Komisioni Evropian, në progresraportet e tij ndër vite. Në progresraportin e Komisionit Evropian të vitit 2016 shkruhet: “…</w:t>
      </w:r>
      <w:r w:rsidRPr="00F511C4">
        <w:rPr>
          <w:rFonts w:ascii="Garamond" w:eastAsia="Times New Roman" w:hAnsi="Garamond" w:cs="Times New Roman"/>
          <w:i/>
          <w:sz w:val="24"/>
          <w:szCs w:val="24"/>
          <w:lang w:val="sq-AL"/>
        </w:rPr>
        <w:t>Stafi i përgjithshëm i Drejtorisë së Përgjithshme për Kufirin dhe Migracionin është i limituar (1 653 punonjës), në veçanti kundër sfondit të krizës së migrimit që prek të gjithë rajonin</w:t>
      </w:r>
      <w:r w:rsidRPr="00F511C4">
        <w:rPr>
          <w:rFonts w:ascii="Garamond" w:eastAsia="Times New Roman" w:hAnsi="Garamond" w:cs="Times New Roman"/>
          <w:sz w:val="24"/>
          <w:szCs w:val="24"/>
          <w:lang w:val="sq-AL"/>
        </w:rPr>
        <w:t>”.</w:t>
      </w:r>
      <w:r w:rsidRPr="00F511C4">
        <w:rPr>
          <w:rFonts w:ascii="Garamond" w:eastAsia="Times New Roman" w:hAnsi="Garamond" w:cs="Times New Roman"/>
          <w:sz w:val="24"/>
          <w:szCs w:val="24"/>
          <w:vertAlign w:val="superscript"/>
          <w:lang w:val="sq-AL"/>
        </w:rPr>
        <w:footnoteReference w:id="9"/>
      </w:r>
    </w:p>
    <w:p w14:paraId="5A5532C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Në muajin gusht të vitit 2020, në zbatim të urdhrit të ministrit të Brendshëm nr. 207, datë 30.7.2020, me urdhrin e drejtorit të Përgjithshëm të Policisë së Shtetit nr. 665, datë 1.8.2020, u </w:t>
      </w:r>
      <w:r w:rsidRPr="00F511C4">
        <w:rPr>
          <w:rFonts w:ascii="Garamond" w:eastAsia="Times New Roman" w:hAnsi="Garamond" w:cs="Times New Roman"/>
          <w:sz w:val="24"/>
          <w:szCs w:val="24"/>
          <w:lang w:val="sq-AL"/>
        </w:rPr>
        <w:lastRenderedPageBreak/>
        <w:t>miratuan shtesa prej 200 funksionesh të rolit bazë për Policinë Kufitare dhe Migracionit, ose 12% e numrit ekzistues të punonjësve të shërbimeve të policisë kufitare dhe migracionit.</w:t>
      </w:r>
    </w:p>
    <w:p w14:paraId="118A1D7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Gjatë viteve në fjalë, për forcimin e kapaciteteve profesionale të Policisë Kufitare dhe Migracionit, personeli i PKM-së i është nënshtruar trajnimeve të ndryshme, në përgjigje të nevojave të saj, të reflektuara në planet vjetore të trajnimeve, por edhe trajnimeve të zhvilluara nga ekspertë të organizatave partnere.</w:t>
      </w:r>
    </w:p>
    <w:p w14:paraId="7A992CE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Bazuar në Strategjinë e MIK, janë krijuar mekanizma trajnimi të cilat ndjekin ecurinë e trajnimeve të personelit të agjencive të kufirit. Për PKM-në ky aktivitet zhvillohet në bazë të Strategjisë së Trajnimeve, me qëllim përgatitjen për të qenë pjesë e operacioneve për kufijtë e jashtëm, pas pranimit në BE. Në këtë kuadër janë realizuar trajnime me strukturat e tjera të policisë, trajnime mes agjencive ndërkufitare. </w:t>
      </w:r>
    </w:p>
    <w:p w14:paraId="615C8F7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Trajnimi i personelit të PKM-së bëhet në bazë të 30 kurrikulave të FRONTEX-it, të miratuara dhe të përditësuara me zhvillimet e reja të dokumenteve të BE-së për kufijtë e jashtëm. Në zbatim të programit vjetor zhvillohen trajnime 4-mujore për nivelin bazë dhe trajnime të avancuara 1-mujore.</w:t>
      </w:r>
    </w:p>
    <w:p w14:paraId="36F93B6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Në muajin janar të vitit 2018, është miratuar kurrikula e trajnimit bazë e Policisë Kufitare dhe Migracionit, me shtrirje kohore prej tre muajsh, e cila është në përputhje të plotë me kurrikulën e përbashkët të FRONTEX-it </w:t>
      </w:r>
      <w:r w:rsidRPr="00F511C4">
        <w:rPr>
          <w:rFonts w:ascii="Garamond" w:eastAsia="Times New Roman" w:hAnsi="Garamond" w:cs="Times New Roman"/>
          <w:i/>
          <w:sz w:val="24"/>
          <w:szCs w:val="24"/>
          <w:lang w:val="sq-AL"/>
        </w:rPr>
        <w:t>(Common Core Curricula)</w:t>
      </w:r>
      <w:r w:rsidRPr="00F511C4">
        <w:rPr>
          <w:rFonts w:ascii="Garamond" w:eastAsia="Times New Roman" w:hAnsi="Garamond" w:cs="Times New Roman"/>
          <w:sz w:val="24"/>
          <w:szCs w:val="24"/>
          <w:lang w:val="sq-AL"/>
        </w:rPr>
        <w:t xml:space="preserve"> dhe që është përgatitur në bashkëpunim me ekspertin afatgjatë të projektit PAMECA V, si anëtar i grupit të punës dhe njëkohësisht trajner në këtë trajnim. Rekrutët e rinj të Policisë Kufitare dhe Migracionit i nënshtrohen trajnimit bazë të Policisë Kufitare sipas kësaj kurrikule. </w:t>
      </w:r>
    </w:p>
    <w:p w14:paraId="1267959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Gjithashtu, janë zhvilluar programe trajnimi për agjencitë që operojnë në kufi, të ofruara nga donatorë ndërkombëtarë si: FRONTEX; DCAF; EXBS; OSCE; IOM, Policia Federale Gjermane; Policia Franceze; Policia Holandeze, etj.</w:t>
      </w:r>
    </w:p>
    <w:p w14:paraId="2AE3634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pacing w:val="-1"/>
          <w:sz w:val="24"/>
          <w:szCs w:val="24"/>
          <w:lang w:val="sq-AL"/>
        </w:rPr>
      </w:pPr>
      <w:r w:rsidRPr="00F511C4">
        <w:rPr>
          <w:rFonts w:ascii="Garamond" w:eastAsia="Times New Roman" w:hAnsi="Garamond" w:cs="Times New Roman"/>
          <w:sz w:val="24"/>
          <w:szCs w:val="24"/>
          <w:lang w:val="sq-AL"/>
        </w:rPr>
        <w:t xml:space="preserve">Puna e PKM-së, përveç masave parandaluese nëpërmjet kontrolleve, analizave të fenomeneve dhe ndëshkimeve administrative dhe penale, monitorohet edhe nëpërmjet mbikëqyrjes, vëzhgimit e kontrollit me pajisje elektronike dhe sistemit TIMS. </w:t>
      </w:r>
      <w:r w:rsidRPr="00F511C4">
        <w:rPr>
          <w:rFonts w:ascii="Garamond" w:eastAsia="Times New Roman" w:hAnsi="Garamond" w:cs="Times New Roman"/>
          <w:spacing w:val="-1"/>
          <w:sz w:val="24"/>
          <w:szCs w:val="24"/>
          <w:lang w:val="sq-AL"/>
        </w:rPr>
        <w:t xml:space="preserve">Megjithatë, për shkak të zhvillimeve teknologjike dhe procedurale, përditësimi i këtij sistemi mbetet objektiv për t’u përfshirë në Strategjinë e re. </w:t>
      </w:r>
    </w:p>
    <w:p w14:paraId="706574C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Gjatë vitit 2018–2019, janë zhvilluar trajnime 2- 4- 6-javore, të personelit të Policisë Kufitare në Qendrën Stërvitore të Forcës Detare, nën drejtimin e instruktorëve të Rojës Bregdetare. Kurset e zhvilluara kanë qenë të fokusuara në certifikimin e personelit si drejtues i mjeteve detare, përdorimin e sistemeve elektromekanike dhe të komunikimit të anijes, si dhe planifikimit e pjesëmarrjes në një operacion kërkim–shpëtimi (SAR).</w:t>
      </w:r>
    </w:p>
    <w:p w14:paraId="7F3F225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Gjatë periudhës 2014–2020janë zhvilluar trajnime të ndryshme që kanë adresuar nevojat dhe prioritetet në drejtim të forcimit të kapaciteteve profesionale të shërbimeve për kufirin dhe migracionin. Konkretisht gjatë kësaj periudhe janë zhvilluar 474 trajnime dhe seminare, me pjesëmarrjen e 4690 punonjësve të Policisë Kufitare dhe Migracionit.</w:t>
      </w:r>
    </w:p>
    <w:p w14:paraId="3415F25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48FE17F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56EA595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7771323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4C9F83B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lastRenderedPageBreak/>
        <w:drawing>
          <wp:inline distT="0" distB="0" distL="0" distR="0" wp14:anchorId="2FB7DF06" wp14:editId="3BF3BBFA">
            <wp:extent cx="5834418" cy="3519920"/>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3412" t="28438" r="20603" b="22243"/>
                    <a:stretch/>
                  </pic:blipFill>
                  <pic:spPr bwMode="auto">
                    <a:xfrm>
                      <a:off x="0" y="0"/>
                      <a:ext cx="5857331" cy="3533743"/>
                    </a:xfrm>
                    <a:prstGeom prst="rect">
                      <a:avLst/>
                    </a:prstGeom>
                    <a:ln>
                      <a:noFill/>
                    </a:ln>
                    <a:extLst>
                      <a:ext uri="{53640926-AAD7-44D8-BBD7-CCE9431645EC}">
                        <a14:shadowObscured xmlns:a14="http://schemas.microsoft.com/office/drawing/2010/main"/>
                      </a:ext>
                    </a:extLst>
                  </pic:spPr>
                </pic:pic>
              </a:graphicData>
            </a:graphic>
          </wp:inline>
        </w:drawing>
      </w:r>
    </w:p>
    <w:p w14:paraId="1E8D4F3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 zbatim të VKM-së nr. 921, datë 29.12.2014, “</w:t>
      </w:r>
      <w:r w:rsidRPr="00F511C4">
        <w:rPr>
          <w:rFonts w:ascii="Garamond" w:eastAsia="Times New Roman" w:hAnsi="Garamond" w:cs="Times New Roman"/>
          <w:i/>
          <w:sz w:val="24"/>
          <w:szCs w:val="24"/>
          <w:lang w:val="sq-AL"/>
        </w:rPr>
        <w:t>Për personelin e administratës doganore</w:t>
      </w:r>
      <w:r w:rsidRPr="00F511C4">
        <w:rPr>
          <w:rFonts w:ascii="Garamond" w:eastAsia="Times New Roman" w:hAnsi="Garamond" w:cs="Times New Roman"/>
          <w:sz w:val="24"/>
          <w:szCs w:val="24"/>
          <w:lang w:val="sq-AL"/>
        </w:rPr>
        <w:t>”, të ndryshuar, janë analizuar të gjithë kriteret kualifikuese të rekrutimit në administratën doganore dhe janë miratuar nga Ministria e Financave dhe Ekonomisë. Mbi këto kritere dhe përshkrime të punës mundësohet rekrutimi i kapaciteteve me performancë të lartë dhe kompetente.</w:t>
      </w:r>
    </w:p>
    <w:p w14:paraId="2E249FE3"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sz w:val="24"/>
          <w:szCs w:val="24"/>
          <w:lang w:val="sq-AL"/>
        </w:rPr>
        <w:t xml:space="preserve">Për rritjen e aftësimit profesional dhe në përputhje me nevojat e punonjësve të Administratës Doganore janë zhvilluar trajnime nga drejtori të ndryshme në Drejtorinë e Përgjithshme të Doganave si: </w:t>
      </w:r>
      <w:r w:rsidRPr="00F511C4">
        <w:rPr>
          <w:rFonts w:ascii="Garamond" w:eastAsia="Calibri" w:hAnsi="Garamond" w:cs="Times New Roman"/>
          <w:sz w:val="24"/>
          <w:szCs w:val="24"/>
          <w:lang w:val="sq-AL"/>
        </w:rPr>
        <w:t xml:space="preserve">Drejtoria e Tarifës dhe Origjinës, Laboratorit Doganor, Procedurave Juridike, Mbrojtjes së Pronësisë Intelektuale, Auditit të Brendshëm, Vlerës Doganore dhe Departamenti i Akcizës, si dhe në bashkëpunim me institucione të tjera brenda vendit, ku mund të përmendet, ILDKPKI-ja, QTATD-ja (Qendra e Trajnimeve të Administratës Tatimore dhe Doganore); ASPA (Shkolla Shqiptare e Administratës Publike); DAP-i (Departamenti i Administratës Publike), Instituti i Fizikës Bërthamore; Ministria e Financave dhe Ekonomisë, Ministria e Mbrojtjes, Kryeministria, etj. </w:t>
      </w:r>
    </w:p>
    <w:p w14:paraId="4E169610"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sz w:val="24"/>
          <w:szCs w:val="24"/>
          <w:lang w:val="sq-AL"/>
        </w:rPr>
        <w:t>Gjithashtu edhe shumë institucione të tjera jashtë vendit kanë dhënë një kontribut të veçantë në trajnimin e punonjësve të Administratës Doganore Shqiptare. Vlen të përmendim: EXBS (Programi i Kontrollit të Eksporteve dhe Sigurisë Kufitare - Ambasada Amerikane); CROËN AGENTS, BE (Bashkimi Evropian); CEFTA</w:t>
      </w:r>
      <w:r w:rsidRPr="00F511C4">
        <w:rPr>
          <w:rFonts w:ascii="Garamond" w:eastAsia="Times New Roman" w:hAnsi="Garamond" w:cs="Times New Roman"/>
          <w:i/>
          <w:sz w:val="24"/>
          <w:szCs w:val="24"/>
          <w:lang w:val="sq-AL"/>
        </w:rPr>
        <w:t>(Central European Free Trade Agreement</w:t>
      </w:r>
      <w:r w:rsidRPr="00F511C4">
        <w:rPr>
          <w:rFonts w:ascii="Garamond" w:eastAsia="Times New Roman" w:hAnsi="Garamond" w:cs="Times New Roman"/>
          <w:sz w:val="24"/>
          <w:szCs w:val="24"/>
          <w:lang w:val="sq-AL"/>
        </w:rPr>
        <w:t xml:space="preserve">); IPA 2013 Drejtoria e Përgjithshme e Doganave dhe Taksave Indirekte Franceze; OBD (Organizata Botërore e Doganave); TAIEX (Asistenca Teknike dhe Shkëmbimi i Informacionit në Komisionin Evropian); GIZ (Fondi i Hapur Rajonal për Promovimin e Tregtisë së Jashtme), UK </w:t>
      </w:r>
      <w:r w:rsidRPr="00F511C4">
        <w:rPr>
          <w:rFonts w:ascii="Garamond" w:eastAsia="Times New Roman" w:hAnsi="Garamond" w:cs="Times New Roman"/>
          <w:i/>
          <w:sz w:val="24"/>
          <w:szCs w:val="24"/>
          <w:lang w:val="sq-AL"/>
        </w:rPr>
        <w:t>Border Force</w:t>
      </w:r>
      <w:r w:rsidRPr="00F511C4">
        <w:rPr>
          <w:rFonts w:ascii="Garamond" w:eastAsia="Times New Roman" w:hAnsi="Garamond" w:cs="Times New Roman"/>
          <w:sz w:val="24"/>
          <w:szCs w:val="24"/>
          <w:lang w:val="sq-AL"/>
        </w:rPr>
        <w:t xml:space="preserve">, Doganat franceze etj. Gjatë periudhës 2014–2020janë zhvilluar 461 trajnime dhe seminare, me pjesëmarrjen e 7267 punonjësve të Administratës Doganore. </w:t>
      </w:r>
    </w:p>
    <w:p w14:paraId="5387D26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Për sa i përket QNOD-it, me VKM të veçantë është miratuar struktura e saj. Në vitin 2016, në strukturën e QNOD-it u shtua sektori i Administratorëve të Sallës Operacionale, ndërsa në vitin 2018, sektori i IT-së i QNOD-it i kaloi AKSHIT. Ndryshimet strukturore në zbatim të këtyre VKM-ve janë implementuar në vitin 2016 dhe 2018.</w:t>
      </w:r>
    </w:p>
    <w:p w14:paraId="1C9FBD8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Me qëllim përmirësimin e koordinimit të veprimtarisë dhe ndërveprimit midis agjencive ligjzbatuese dhe trajnimit të personelit të këtyre agjencive, Roja Bregdetare organizon dhe zhvillon çdo vit stërvitjet “SAREX” dhe “IMPONIMI”. Stërvitja SAREX ka për qëllim njohjen e procedurave SAR, të përcaktuara në konventat ndërkombëtare dhe aktet ligjore kombëtare, koordinimin dhe unifikimin e veprimeve të agjencive kombëtare që veprojnë në hapësirën detare </w:t>
      </w:r>
      <w:r w:rsidRPr="00F511C4">
        <w:rPr>
          <w:rFonts w:ascii="Garamond" w:eastAsia="Times New Roman" w:hAnsi="Garamond" w:cs="Times New Roman"/>
          <w:sz w:val="24"/>
          <w:szCs w:val="24"/>
          <w:lang w:val="sq-AL"/>
        </w:rPr>
        <w:lastRenderedPageBreak/>
        <w:t xml:space="preserve">gjatë një operacion kërkim–shpëtimi (SAR) në det. Stërvitja IMPONIMI kryhet në bashkëpunim me të gjitha institucionet ligjzbatuese dhe me interesa në det, si dhe ka për qëllim trajnimin dhe rritjen e ndërveprimit ndërinstitucional në situatat e ndotjeve detare dhe zbatimin e ligjshmërisë në det. </w:t>
      </w:r>
    </w:p>
    <w:p w14:paraId="373653B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Personeli i Rojës Bregdetare kryen trajnime vjetore në Qendrat e Trajnimit të Rojës Bregdetare në SHBA, Itali, Angli dhe Turqi.</w:t>
      </w:r>
    </w:p>
    <w:p w14:paraId="3A36300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Komunikimi, shkëmbimi dhe teknologjia e informacionit</w:t>
      </w:r>
    </w:p>
    <w:p w14:paraId="4BDD5E4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Komunikimi dhe shkëmbimi i informacionit u zhvillua në mënyrë të shpejtë në këtë periudhë. Vlen të përmendet informatizimi i të gjitha shërbimeve të kufirit dhe pajisja e tyre me mjete komunikimi. U miratuan akte administrative të brendshme dhe të përbashkëta. Gjithashtu janë përgatitur manuale përdorimi dhe procedura që lehtësojnë shkëmbimin e informacionit. Të gjitha PKK-t e Republikës se Shqipërisë janë të lidhura </w:t>
      </w:r>
      <w:r w:rsidRPr="00F511C4">
        <w:rPr>
          <w:rFonts w:ascii="Garamond" w:eastAsia="Times New Roman" w:hAnsi="Garamond" w:cs="Times New Roman"/>
          <w:i/>
          <w:sz w:val="24"/>
          <w:szCs w:val="24"/>
          <w:lang w:val="sq-AL"/>
        </w:rPr>
        <w:t>online</w:t>
      </w:r>
      <w:r w:rsidRPr="00F511C4">
        <w:rPr>
          <w:rFonts w:ascii="Garamond" w:eastAsia="Times New Roman" w:hAnsi="Garamond" w:cs="Times New Roman"/>
          <w:sz w:val="24"/>
          <w:szCs w:val="24"/>
          <w:lang w:val="sq-AL"/>
        </w:rPr>
        <w:t xml:space="preserve"> me sistemin TIMS, një sistem ku policia kufitare evidenton hyrje/daljet në kufirin shtetëror dhe të gjithë problematikën që lind në kufi. </w:t>
      </w:r>
    </w:p>
    <w:p w14:paraId="067591B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Sistemi TIMS ka vijuar të funksionojë në pothuajse të gjitha pikat e kalimit kufitar. Njoftimet e vendosur nga strukturat e ndryshme të Policisë së Shtetit dhe për llogari të agjencive të tjera të zbatimit të ligjit, ka forcuar ndjeshëm punën e Policisë Kufitare në kontrollin e qarkullimit të shtetasve, mjeteve dhe mallrave. Ndërfaqja me sistemin ASF2 të INTERPOL-it ka vijuar të jetë një mjet i pazëvendësueshëm në identifikimin e personave, dokumenteve të udhëtimin dhe mjeteve në kërkim, apo të shtetasve me rekorde kriminale. Aksesimi i TIMS-it nga shërbimet e Drejtorisë së Përgjithshme të Doganave siguron shkëmbimin e informacionit në kohë reale. </w:t>
      </w:r>
    </w:p>
    <w:p w14:paraId="6763285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Aktualisht është në proces ratifikimi memorandumi i bashkëpunimit me Qeverinë e Shteteve të Bashkuara të Amerikë, për instalimin e sistemit PISCES, fillimisht në 8 pikat më të mëdha të kalimit kufitar. Ky sistem, ofron grumbullimin dhe përpunimin e një game më të madhe të informacionit në Pikat e Kalimit Kufitar, si dhe verifikimin në kohë reale të identitetit të shtetasve nëpërmjet gjurmëve papilare. </w:t>
      </w:r>
    </w:p>
    <w:p w14:paraId="620F60C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Megjithatë, gjatë periudhës së kaluar janë hasur vështirësi për sa i përket instalimit dhe përdorimit të TIMS-it në disa stacione të Policisë Kufitare dhe Migracionit, si më poshtë:</w:t>
      </w:r>
    </w:p>
    <w:p w14:paraId="0301987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Në DVKM Shkodër, në Stacionin e Policisë Kufitare Bajzë nuk ka as linjë interneti dhe as sistem TIMS;</w:t>
      </w:r>
    </w:p>
    <w:p w14:paraId="6F4256E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Në stacionin e Policisë Kufitare Bashkim, interneti sigurohet me sinjal satelitor, por nuk funksionon;</w:t>
      </w:r>
    </w:p>
    <w:p w14:paraId="5F0CE80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Në DVKM Durrës, në Stacionet e Policisë Kufitare Spille dhe Divjakë nuk është instaluar asnjëherë TIMS-i;</w:t>
      </w:r>
    </w:p>
    <w:p w14:paraId="0D2E857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Në DVKM Korçë, TIMS-i nuk është instaluar asnjë herë në Stacionet e Policisë Kufitare Pustec, Shtikë dhe Leskovik;</w:t>
      </w:r>
    </w:p>
    <w:p w14:paraId="4CC260F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Në DVKM Vlorë, TIMS-i nuk është i instaluar në Stacionet e Policisë Kufitare Livadhja, Borsh, Triport, Hoxhare dhe Dhërmi;</w:t>
      </w:r>
    </w:p>
    <w:p w14:paraId="580FF6C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Në DVKM Kukës, në Stacionet e Policisë Kufitare Shishtavec dhe PKK Orgjost, interneti është me sinjal satelitor, por TIMS-i nuk funksionon. Në këtë rast interneti shërben vetëm për komunikim me </w:t>
      </w:r>
      <w:r w:rsidRPr="00F511C4">
        <w:rPr>
          <w:rFonts w:ascii="Garamond" w:eastAsia="Times New Roman" w:hAnsi="Garamond" w:cs="Times New Roman"/>
          <w:i/>
          <w:sz w:val="24"/>
          <w:szCs w:val="24"/>
          <w:lang w:val="sq-AL"/>
        </w:rPr>
        <w:t>email</w:t>
      </w:r>
      <w:r w:rsidRPr="00F511C4">
        <w:rPr>
          <w:rFonts w:ascii="Garamond" w:eastAsia="Times New Roman" w:hAnsi="Garamond" w:cs="Times New Roman"/>
          <w:sz w:val="24"/>
          <w:szCs w:val="24"/>
          <w:lang w:val="sq-AL"/>
        </w:rPr>
        <w:t>;</w:t>
      </w:r>
    </w:p>
    <w:p w14:paraId="777ABF2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Në Pikën e Kalimit Kufitar Borje, nuk është instaluar TIMS-i dhe as nuk ka internet;</w:t>
      </w:r>
    </w:p>
    <w:p w14:paraId="3B032D7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Në Stacionin e Policisë Kufitare Viçisht nuk ka shërbim internet dhe as TIMS;</w:t>
      </w:r>
    </w:p>
    <w:p w14:paraId="03F48F1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Në Pikën e Përbashkët të Kalimit të Kufirit Trebisht/Xhepisht, interneti ofrohet me sinjal satelitor, por nuk funksionon.</w:t>
      </w:r>
    </w:p>
    <w:p w14:paraId="5822432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Me financim të Bashkimit Evropian është mundësuar instalimi i sistemit të komunikimit TETRA për hapësirën detare, i cili aktualisht është në funksion por ka probleme që duhen zgjidhur në lidhje me mirëmbajtjen dhe përmirësimin e tij. Për më tepër, Policisë Kufitare dhe Migracionit, në shumicën e juridiksionit të saj, i mungon një sistem i komunikimit me radio, mjaftueshëm efektiv dhe i sigurt. Oficerët e Patrullës Kufitare janë tepër të varur nga komunikimi me celularë për të siguruar komunikimin “një me një”. Mungesa e sigurisë së komunikimit dhe informacionit, boshllëqet në mbulim dhe qëndrueshmëria, kanë krijuar një numër rreziqesh dhe dobësish </w:t>
      </w:r>
      <w:r w:rsidRPr="00F511C4">
        <w:rPr>
          <w:rFonts w:ascii="Garamond" w:eastAsia="Times New Roman" w:hAnsi="Garamond" w:cs="Times New Roman"/>
          <w:sz w:val="24"/>
          <w:szCs w:val="24"/>
          <w:lang w:val="sq-AL"/>
        </w:rPr>
        <w:lastRenderedPageBreak/>
        <w:t>operacionale aktuale dhe potenciale. Një audit i IT-së, në maj 2015, ka theksuar se ekziston nevoja kritike për të ripërcaktuar dhe ridizenjuar platformat e vjetruara të teknologjisë së komunikimit operacional të shërbimeve në terren.</w:t>
      </w:r>
    </w:p>
    <w:p w14:paraId="35778BF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 zbatim të detyrimeve që rrjedhin nga MIK, është realizuar:</w:t>
      </w:r>
    </w:p>
    <w:p w14:paraId="4642015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Aksesi i PKM-s në sistemin e regjistrit të mjeteve të transportit dhe në </w:t>
      </w:r>
      <w:r w:rsidRPr="00F511C4">
        <w:rPr>
          <w:rFonts w:ascii="Garamond" w:eastAsia="Times New Roman" w:hAnsi="Garamond" w:cs="Times New Roman"/>
          <w:i/>
          <w:sz w:val="24"/>
          <w:szCs w:val="24"/>
          <w:lang w:val="sq-AL"/>
        </w:rPr>
        <w:t>e-gjoba</w:t>
      </w:r>
      <w:r w:rsidRPr="00F511C4">
        <w:rPr>
          <w:rFonts w:ascii="Garamond" w:eastAsia="Times New Roman" w:hAnsi="Garamond" w:cs="Times New Roman"/>
          <w:sz w:val="24"/>
          <w:szCs w:val="24"/>
          <w:lang w:val="sq-AL"/>
        </w:rPr>
        <w:t xml:space="preserve">; </w:t>
      </w:r>
    </w:p>
    <w:p w14:paraId="6D3A225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Janë hartuar dhe miratuar procedura standarde me synim përmirësimin dhe evidentimin e migrantëve dhe azilkërkuesve, me qëllim integrimin e informacionit respektiv dhe lehtësimin e shkëmbimit të informacionit ndëragjenci dhe ndërkombëtar; </w:t>
      </w:r>
    </w:p>
    <w:p w14:paraId="6A439B1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Është në proces përpilimi të regjistrit të përbashkët me Kapitanerinë e Porteve, për regjistrin detar të mjeteve lundruese.</w:t>
      </w:r>
    </w:p>
    <w:p w14:paraId="3EA1085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Monitorimi i hapësirës detare realizohet nëpërmjet sistemit SIVHD (Sistemi i Integruar i Vëzhgimit të Hapësirës Detare). Forca Detare është struktura përgjegjëse për SIVHD. </w:t>
      </w:r>
    </w:p>
    <w:p w14:paraId="42C99C5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 QNOD grumbullohen dhe dokumentohen të dhënat nga të gjitha institucionet pjesëmarrëse me interesa në hapësirën detare dhe përgatiten e zhvillohen analiza risku ndërinstitucionale dy herë në vit (6-mujore dhe vjetore), sipas modelit Evropian “</w:t>
      </w:r>
      <w:r w:rsidRPr="00F511C4">
        <w:rPr>
          <w:rFonts w:ascii="Garamond" w:eastAsia="Times New Roman" w:hAnsi="Garamond" w:cs="Times New Roman"/>
          <w:i/>
          <w:sz w:val="24"/>
          <w:szCs w:val="24"/>
          <w:lang w:val="sq-AL"/>
        </w:rPr>
        <w:t>Common Integrated Risk Analyses Model</w:t>
      </w:r>
      <w:r w:rsidRPr="00F511C4">
        <w:rPr>
          <w:rFonts w:ascii="Garamond" w:eastAsia="Times New Roman" w:hAnsi="Garamond" w:cs="Times New Roman"/>
          <w:sz w:val="24"/>
          <w:szCs w:val="24"/>
          <w:lang w:val="sq-AL"/>
        </w:rPr>
        <w:t xml:space="preserve">” CIRAM 2.0. </w:t>
      </w:r>
    </w:p>
    <w:p w14:paraId="4B7E976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Për mungesë fondesh nuk janë vendosur radarë në Kepin e Rodonit dhe Gjuzës në përmbushje të nënobjektivit për përmirësimin e shkëmbimit të informacionit. Gjithashtu, nuk është realizuar masa për realizimin e shkëmbimit të informacionit me vendet e BE-së në kohë reale, duke gjetur mirëkuptimin e palëve për aksesim të sistemeve, për shkak të statusit të vendit tonë, vend i tretë, jo pjesë e BE-së dhe nuk ka akses në databazën e BE-së. Mbetet detyrim dhe objektiv përmirësimi dhe kompletimi me sisteme të reja të kontrollit, dhe shkëmbimit të informacionit, si përmirësimi i sistemit aktual TIMS, implementimi i sistemit PISCES, implementimi i sistemit PNR/API, sistemi i radiokomunikimit, etj., për shkak se pajisjet aktuale nuk mundësojnë, si në sasi dhe në cilësi, përmbushjen e detyrave.</w:t>
      </w:r>
    </w:p>
    <w:p w14:paraId="5284462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Shërbimi doganor ka realizuar në bashkëpunim me OBD-në, implementimin e CEN-it </w:t>
      </w:r>
      <w:r w:rsidRPr="00F511C4">
        <w:rPr>
          <w:rFonts w:ascii="Garamond" w:eastAsia="Times New Roman" w:hAnsi="Garamond" w:cs="Times New Roman"/>
          <w:i/>
          <w:sz w:val="24"/>
          <w:szCs w:val="24"/>
          <w:lang w:val="sq-AL"/>
        </w:rPr>
        <w:t>(National Customs Enforcement Network),</w:t>
      </w:r>
      <w:r w:rsidRPr="00F511C4">
        <w:rPr>
          <w:rFonts w:ascii="Garamond" w:eastAsia="Times New Roman" w:hAnsi="Garamond" w:cs="Times New Roman"/>
          <w:sz w:val="24"/>
          <w:szCs w:val="24"/>
          <w:lang w:val="sq-AL"/>
        </w:rPr>
        <w:t xml:space="preserve"> për të ndihmuar doganat në mbledhjen, ruajtjen, analizimin e informacionit/të dhënave të zbatimit të ligjit në mënyrë efektive, në nivel kombëtar dhe ndërkombëtar, në mënyrë që të fuqizohen aftësitë e inteligjencës, dhe të përmirësohet profilizimi në një nivel strategjik, taktik dhe operacional, me mundësinë për të shkëmbyer këtë informacion në nivel rajonal dhe ndërkombëtar. Gjithashtu, Shërbimi Doganor shkëmben informacion dhe dokumentacion për procedura doganore dhe transaksione të dyshimta me strukturat homologe bazuar në marrëveshjet bilaterale dhe shumëpalëshe, si dhe protokollet e mirëkuptimit: të tilla si vendet anëtare të Bashkimit Evropian në kuadër të protokollit 6 të: “Marrëveshjes së stabilizim-asocimit midis Komuniteteve Evropiane dhe shteteve të tyre anëtare nga njëra anë dhe Republikës së Shqipërisë nga ana tjetër”, Konventa e Nairobit, Konventa e Johanesburgut; Konventa e Qendrës së Zbatimit të Ligjit të Evropës Juglindore (Konventa SELEC), në kuadër të marrëveshjeve dypalëshe për bashkëpunim dhe ndihmë të ndërsjellë në fushën e doganave me autoritetet Homologe të: Turqisë, Italisë, Greqisë, Maqedonisë, Sllovenisë, Bullgarisë, Moldavisë, Rumanisë, Polonisë, Sllovakisë, Qipros, Austrisë, Spanjës, Malit të Zi, Kroacisë, Kosovës, Bosnje Hercegovinës, Hungarisë, Serbisë, Britanisë së madhe, Irlandës së Veriut dhe Kinës.</w:t>
      </w:r>
    </w:p>
    <w:p w14:paraId="3784354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ADSH-ja ka përfunduar me sukses projektin e binjakëzimit nga IPA 2012 me Agjencinë e Doganave dhe Monopoleve të Italisë për asistencë në ngritjen e kapaciteteve dhe menaxhimin e zbatimit të sistemit të ri të kompjuterizuar të transportit (NCTS).</w:t>
      </w:r>
    </w:p>
    <w:p w14:paraId="65FD19A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Kodi Doganor dhe dispozitat zbatuese lidhur me NCTS-në janë përafruar me ato të BE-së dhe janë të miratuara. Mbetet zhvillimi i modulit NCTS, testimi dhe vlerësimi nga ekspertet e BE-së dhe më pas ndjekja e procedurave ligjore për aderimin në Konventën e Transitit të Përbashkët.</w:t>
      </w:r>
    </w:p>
    <w:p w14:paraId="39CEA16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Infrastruktura dhe pajisjet</w:t>
      </w:r>
    </w:p>
    <w:p w14:paraId="4712653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Agjencitë e kufirit kanë infrastrukturën e duhur për realizimin e misionit të tyre. Në zbatim të marrëveshjeve ndërmjet Shqipërisë dhe vendeve fqinje, janë hapur PKK të reja, të përcaktuara si PPKK (Pika të Përbashkëta të Kalimit Kufitar) me Kosovën, Malin e Zi, Maqedoninë e Veriut, si </w:t>
      </w:r>
      <w:r w:rsidRPr="00F511C4">
        <w:rPr>
          <w:rFonts w:ascii="Garamond" w:eastAsia="Times New Roman" w:hAnsi="Garamond" w:cs="Times New Roman"/>
          <w:sz w:val="24"/>
          <w:szCs w:val="24"/>
          <w:lang w:val="sq-AL"/>
        </w:rPr>
        <w:lastRenderedPageBreak/>
        <w:t xml:space="preserve">dhe janë rikonstruktuar dhe ndërtuar ambiente bashkëkohore pune (2 PKK: një PPKK me Kosovën dhe një Malin e Zi). Megjithëse janë hartuar projektet për përmirësimin e infrastrukturës në PKK Hani i Hotit, PKK Morinë, PKK Kapshticë dhe PKK Kakavijë, është realizuar financimi vetëm për PKK Hani i Hotit dhe Muriqan. </w:t>
      </w:r>
    </w:p>
    <w:p w14:paraId="27C22B2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Gjithashtu shërbimet kufitare kanë përmirësuar në vijimësi inventarin e pajisjeve të kontrollit dhe survejimit të kufirit, disa prej të cilave janë futur për herë të parë në këtë shërbim. Këtu mund të përmenden si vijon: pajisje për kontrollin e dokumenteve; të mjeteve të transportit gjatë kontrolleve në vijën e parë dhe të dytë; pajisje të vëzhgimit ditën dhe natën; sistemin SMARTDEC i cili është vendosur në drejtimet me risk të kufirit shtetëror dhe sistemi i monitorimit me kamera në PKK.</w:t>
      </w:r>
    </w:p>
    <w:p w14:paraId="5EFD484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Për sa i përket monitorimit të hapësirës detare është realizuar përmirësimi i infrastrukturës së QNOD-it, duke bërë të mundur marrjen dhe shkëmbimin e informacionit nga të gjitha institucionet pjesë të QNOD-it, nga sistemet SIHVD, TETRA, BLU BOX, TIMS, etj. Bashkëpunimi ndërinstitucional në luftën kundër korrupsionit është rritur. Mekanizmi i ngritur për të monitoruar aktivitetin e agjencive kufitare si: strukturat antikorrupsion në agjencitë e kufirit, vendosja e kamerave në PKK, zbatimin e sistemeve të teknologjisë së informacionit në kryerjen e procedurave kufitare dhe një sërë masash të tjera ka bërë që të arrihet progres në këtë fushë.</w:t>
      </w:r>
    </w:p>
    <w:p w14:paraId="35CAF44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Megjithatë, Sistemi i Monitorimit të Anijeve të Peshkimit është jashtë funksionit që nga 30 marsi i vitit 2017. Ky sistem është në fazën e prokurimit nga AKSHI dhe pritet që më 2021-shin të implementohet sistemi i ri. SIVHD-ja pritet që të përmirësohet sipas kontratës që Ministria e Mbrojtjes ka nënshkruar me kompaninë amerikane “</w:t>
      </w:r>
      <w:r w:rsidRPr="00F511C4">
        <w:rPr>
          <w:rFonts w:ascii="Garamond" w:eastAsia="Times New Roman" w:hAnsi="Garamond" w:cs="Times New Roman"/>
          <w:i/>
          <w:sz w:val="24"/>
          <w:szCs w:val="24"/>
          <w:lang w:val="sq-AL"/>
        </w:rPr>
        <w:t>Lockheed Martin</w:t>
      </w:r>
      <w:r w:rsidRPr="00F511C4">
        <w:rPr>
          <w:rFonts w:ascii="Garamond" w:eastAsia="Times New Roman" w:hAnsi="Garamond" w:cs="Times New Roman"/>
          <w:sz w:val="24"/>
          <w:szCs w:val="24"/>
          <w:lang w:val="sq-AL"/>
        </w:rPr>
        <w:t>”, në kuadër të detyrimeve që ka RSH-ja në NATO. Projekti i bazës së të dhënave të trafikut detar, është në fazën e implementimi nga AKSHI në bashkëpunim me QNOD-in. Financimi i këtij projekti është deklaruar se do të financohet nga “</w:t>
      </w:r>
      <w:r w:rsidRPr="00F511C4">
        <w:rPr>
          <w:rFonts w:ascii="Garamond" w:eastAsia="Times New Roman" w:hAnsi="Garamond" w:cs="Times New Roman"/>
          <w:i/>
          <w:sz w:val="24"/>
          <w:szCs w:val="24"/>
          <w:lang w:val="sq-AL"/>
        </w:rPr>
        <w:t>Border Force</w:t>
      </w:r>
      <w:r w:rsidRPr="00F511C4">
        <w:rPr>
          <w:rFonts w:ascii="Garamond" w:eastAsia="Times New Roman" w:hAnsi="Garamond" w:cs="Times New Roman"/>
          <w:sz w:val="24"/>
          <w:szCs w:val="24"/>
          <w:lang w:val="sq-AL"/>
        </w:rPr>
        <w:t>”, Mbretëria e Bashkuar. Në kuadër të bashkëpunimit me partnerët, nga data 17 janar 2020, oficerët e shërbimit 24-orësh pranë sallës operacionale të QNOD-it, kanë akses edhe në aplikacionin “</w:t>
      </w:r>
      <w:r w:rsidRPr="00F511C4">
        <w:rPr>
          <w:rFonts w:ascii="Garamond" w:eastAsia="Times New Roman" w:hAnsi="Garamond" w:cs="Times New Roman"/>
          <w:i/>
          <w:sz w:val="24"/>
          <w:szCs w:val="24"/>
          <w:lang w:val="sq-AL"/>
        </w:rPr>
        <w:t>Lloyd’s informa</w:t>
      </w:r>
      <w:r w:rsidRPr="00F511C4">
        <w:rPr>
          <w:rFonts w:ascii="Garamond" w:eastAsia="Times New Roman" w:hAnsi="Garamond" w:cs="Times New Roman"/>
          <w:sz w:val="24"/>
          <w:szCs w:val="24"/>
          <w:lang w:val="sq-AL"/>
        </w:rPr>
        <w:t>” për marrjen e të dhënave të trafikut detar, të siguruar dhe financuar nga “</w:t>
      </w:r>
      <w:r w:rsidRPr="00F511C4">
        <w:rPr>
          <w:rFonts w:ascii="Garamond" w:eastAsia="Times New Roman" w:hAnsi="Garamond" w:cs="Times New Roman"/>
          <w:i/>
          <w:sz w:val="24"/>
          <w:szCs w:val="24"/>
          <w:lang w:val="sq-AL"/>
        </w:rPr>
        <w:t>Border Force</w:t>
      </w:r>
      <w:r w:rsidRPr="00F511C4">
        <w:rPr>
          <w:rFonts w:ascii="Garamond" w:eastAsia="Times New Roman" w:hAnsi="Garamond" w:cs="Times New Roman"/>
          <w:sz w:val="24"/>
          <w:szCs w:val="24"/>
          <w:lang w:val="sq-AL"/>
        </w:rPr>
        <w:t>”, Mbretëria e Bashkuar.</w:t>
      </w:r>
    </w:p>
    <w:p w14:paraId="460B41B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Gjithashtu është e domosdoshme ngritja e Sistemit të Vëzhgimit të Policisë së Shtetit (PKM) për mbikëqyrjen e hapësirës detare, sistem i cili të jetë burim shtesë informacioni në QNOD, si dhe përcjellja e transmetimit të panoramës së përgjithshme të hapësirës detare në Qendrën Kombëtare të Menaxhimit të Integruar të Kufirit.</w:t>
      </w:r>
    </w:p>
    <w:p w14:paraId="38E5844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Në realizim të objektivit për përmirësimin e infrastrukturës për akomodimin e migrantëve dhe azilkërkuesve, në bashkëpunim me agjencitë e përfshira në këtë proces janë hapur Qendra të Përkohshme Pritjeje në Gjirokastër, Kakavijë, Ersekë. </w:t>
      </w:r>
    </w:p>
    <w:p w14:paraId="580FFCA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Tashmë, në sajë të mbështetjes së ofruar nga organizata dhe institucione partnere, Policia Kufitare dhe Migracionit situata e furnizimit me pajisje ka ndryshuar dukshëm, duke forcuar kapacitetet e kontrollit dhe mbikëqyrjes së kufirit. Mbështetja e EXBS, Policisë Federale Gjermane, IOM, UNHCR dhe Bashkimit Evropian ka mundësuar një flotë të mjeteve të patrullimit dhe transportit thuajse të re, ku përfshihen rreth 70 automjete të kapaciteteve të ndryshme. Për kontrollin dhe mbikëqyrjen e kufirit janë siguruar fibroskopë, videoskopë, kamera termike, dylbi dite dhe dylbi nate me rreze të gjatë, lupa zmadhuese me burime të ndryshme drite, një laborator për ekzaminimin e dokumenteve të udhëtimit, dy sisteme të mbikëqyrjes së kufirit (TVV Vans), një sistem të lëvizshëm të zbulimit të radioaktivitetit (dhuruar nga Departamenti i Energjisë i Shteteve të bashkuara të Amerikës), skaner portativ, pajisje për kontrollin e kamionëve dhe autobusëve, pajisje për kontrollin e dendësisë (</w:t>
      </w:r>
      <w:r w:rsidRPr="00F511C4">
        <w:rPr>
          <w:rFonts w:ascii="Garamond" w:eastAsia="Times New Roman" w:hAnsi="Garamond" w:cs="Times New Roman"/>
          <w:i/>
          <w:sz w:val="24"/>
          <w:szCs w:val="24"/>
          <w:lang w:val="sq-AL"/>
        </w:rPr>
        <w:t>baster</w:t>
      </w:r>
      <w:r w:rsidRPr="00F511C4">
        <w:rPr>
          <w:rFonts w:ascii="Garamond" w:eastAsia="Times New Roman" w:hAnsi="Garamond" w:cs="Times New Roman"/>
          <w:sz w:val="24"/>
          <w:szCs w:val="24"/>
          <w:lang w:val="sq-AL"/>
        </w:rPr>
        <w:t>), 16 mikrobusë, elektrikë dore. Ndërsa me financim nga buxheti i shtetit, janë siguruar lexues optik të dokumenteve të udhëtimit për çdo post pune në Pikat e Kalimit Kufitar.</w:t>
      </w:r>
    </w:p>
    <w:p w14:paraId="785D0F6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Në kuadër të bashkëpunimit që ka Shërbimi Doganor me Departamentin e Energjisë së Shteteve të Bashkuara dhe IAEA-n për të përmirësuar infrastrukturën për zbulimin bërthamor, për zbulimin dhe parandalimin e trafikut të materialeve të veçanta bërthamore dhe materialeve të tjera radioaktive, janë siguruar 13 polimastera dhe një sistem i lëvizshëm për zbulimin e radioaktivitetit </w:t>
      </w:r>
      <w:r w:rsidRPr="00F511C4">
        <w:rPr>
          <w:rFonts w:ascii="Garamond" w:eastAsia="Times New Roman" w:hAnsi="Garamond" w:cs="Times New Roman"/>
          <w:sz w:val="24"/>
          <w:szCs w:val="24"/>
          <w:lang w:val="sq-AL"/>
        </w:rPr>
        <w:lastRenderedPageBreak/>
        <w:t xml:space="preserve">MDS </w:t>
      </w:r>
      <w:r w:rsidRPr="00F511C4">
        <w:rPr>
          <w:rFonts w:ascii="Garamond" w:eastAsia="Times New Roman" w:hAnsi="Garamond" w:cs="Times New Roman"/>
          <w:i/>
          <w:sz w:val="24"/>
          <w:szCs w:val="24"/>
          <w:lang w:val="sq-AL"/>
        </w:rPr>
        <w:t>(Mobile Detection Van)</w:t>
      </w:r>
      <w:r w:rsidRPr="00F511C4">
        <w:rPr>
          <w:rFonts w:ascii="Garamond" w:eastAsia="Times New Roman" w:hAnsi="Garamond" w:cs="Times New Roman"/>
          <w:sz w:val="24"/>
          <w:szCs w:val="24"/>
          <w:lang w:val="sq-AL"/>
        </w:rPr>
        <w:t xml:space="preserve">. Në PKK, Hani Hotit është në fazën e zbatimit të projektit me IAEA-n, për instalimin e portaleve të monitorimit të radioaktivitetit (RPM). Nga programi i EXBS-së për personelin doganor janë siguruar 5 CT 40 pajisje të kontrollit në vijë të dytë, një “Hazmat 360” dhe 6 </w:t>
      </w:r>
      <w:r w:rsidRPr="00F511C4">
        <w:rPr>
          <w:rFonts w:ascii="Garamond" w:eastAsia="Times New Roman" w:hAnsi="Garamond" w:cs="Times New Roman"/>
          <w:i/>
          <w:sz w:val="24"/>
          <w:szCs w:val="24"/>
          <w:lang w:val="sq-AL"/>
        </w:rPr>
        <w:t>identifinder</w:t>
      </w:r>
      <w:r w:rsidRPr="00F511C4">
        <w:rPr>
          <w:rFonts w:ascii="Garamond" w:eastAsia="Times New Roman" w:hAnsi="Garamond" w:cs="Times New Roman"/>
          <w:sz w:val="24"/>
          <w:szCs w:val="24"/>
          <w:lang w:val="sq-AL"/>
        </w:rPr>
        <w:t>.</w:t>
      </w:r>
    </w:p>
    <w:p w14:paraId="2524AFB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Ndërkohë, vendimi Këshillit të Ministrave nr. 745, datë 26.10.2016, </w:t>
      </w:r>
      <w:r w:rsidRPr="00F511C4">
        <w:rPr>
          <w:rFonts w:ascii="Garamond" w:eastAsia="Times New Roman" w:hAnsi="Garamond" w:cs="Times New Roman"/>
          <w:i/>
          <w:sz w:val="24"/>
          <w:szCs w:val="24"/>
          <w:lang w:val="sq-AL"/>
        </w:rPr>
        <w:t>”Për kryerjen e verifikimeve të përbashkëta kufitare”</w:t>
      </w:r>
      <w:r w:rsidRPr="00F511C4">
        <w:rPr>
          <w:rFonts w:ascii="Garamond" w:eastAsia="Times New Roman" w:hAnsi="Garamond" w:cs="Times New Roman"/>
          <w:sz w:val="24"/>
          <w:szCs w:val="24"/>
          <w:lang w:val="sq-AL"/>
        </w:rPr>
        <w:t>, jo vetëm ka forcuar kuadrin e bashkëpunimit institucional të agjencive që operojnë në kufi, por ka parashikuar përdorimin e përbashkët të pajisjeve të kontrollit kufitar.</w:t>
      </w:r>
    </w:p>
    <w:p w14:paraId="0B76F74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Në vitin 2018, Komisioni Evropian miratoi financimin e projektit </w:t>
      </w:r>
      <w:r w:rsidRPr="00F511C4">
        <w:rPr>
          <w:rFonts w:ascii="Garamond" w:eastAsia="Times New Roman" w:hAnsi="Garamond" w:cs="Times New Roman"/>
          <w:i/>
          <w:sz w:val="24"/>
          <w:szCs w:val="24"/>
          <w:lang w:val="sq-AL"/>
        </w:rPr>
        <w:t>“Për forcimin e kapaciteteve të policisë kufitare në luftën kundër trafiqeve të paligjshme”</w:t>
      </w:r>
      <w:r w:rsidRPr="00F511C4">
        <w:rPr>
          <w:rFonts w:ascii="Garamond" w:eastAsia="Times New Roman" w:hAnsi="Garamond" w:cs="Times New Roman"/>
          <w:sz w:val="24"/>
          <w:szCs w:val="24"/>
          <w:lang w:val="sq-AL"/>
        </w:rPr>
        <w:t>, në shumën 6.000.000 euro, ku parashikohet blerja e mjeteve të lundrimit të kapaciteteve dhe fuqive motorike të ndryshme për mbikëqyrjen e kufirit blu, sisteme të mbikëqyrjes së kufirit (TVV Vans), pajisje të lëvizshme për mbikëqyrjen e kufirit (radarë, kamera termike, dylbi dite dhe nate), si dhe pajisje për verifikimet kufitare në Pikat e kalimit Kufitar.</w:t>
      </w:r>
    </w:p>
    <w:p w14:paraId="6DF802F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Në muajin korrik të vitit 2019, u përurua përfundimi i punimeve në Pikën e Kalimit Kufitar Morinë, i cili u mundësua me financim nga Bashkimi Evropian prej 1 (një) milion euro. Tashmë PKK Morinë vlerësohet se është në përputhje me standardet e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rPr>
        <w:t>-it dhe do të ketë efekt përmirësues në menaxhimin e kufijve të Shqipërisë në përputhje me standardet e BE-së. Këtij financimi i është shtuar edhe financimi nga Buxheti i Shtetit, nëpërmjet Drejtorisë së Përgjithshme të Doganave me një fond prej 85.8 milion lekë ose rreth 684 000 euro, për ndërtimin e terminalit të autobusëve, godinës së inspektimit (kontrolli i vijës së dytë), godinës së inceneratorit (për mallrat e ndaluara nga AKU-ja) dhe punime të jashtme duke kompletuar kështu projektin e plotë të Pikës së Kalimi Kufitar.</w:t>
      </w:r>
    </w:p>
    <w:p w14:paraId="5E96270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 muajin gusht të vitit 2019 është inauguruar përfundimi i rikonstruksionit të Pikës së Kalimit Kufitar Hani i Hotit. Rikonstruksioni i kësaj pike kalimi është mundësuar me fondin prej 2.4 milion euro të Bashkimit Evropian, ndërtimi i ndërtesës administrative me financim nga Buxheti i Shtetit, me një fond prej 4.2 milionë lekë.</w:t>
      </w:r>
    </w:p>
    <w:p w14:paraId="4164100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 kuadër të parandalimit të trafikimit, nëpërmjet proceseve dhe pajisjeve të përmirësuara, në shkurt 2020 u inaugurua Njësia për Kontrollin e Kargove dhe Kolive Ajrore në Rinas. Ky projekt i ofruar nga UNODC, por edhe me mbështetjen e OBD-së, Qeverisë Gjermane dhe asaj Franceze, u dha një njësi me staf të trajnuar për një kontroll të sigurt të kargove dhe të postës ajrore në aeroportin e Rinasit, me fibroskop por edhe pajisje detektuese të eksplozivëve.</w:t>
      </w:r>
    </w:p>
    <w:p w14:paraId="36C7F09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Punimet vijojnë për ndërtimin e pikës së përbashkët të kalimit Zatriebaçka Cijevna – Grabon, ndërsa protokolli për implementimin e kontrollit të përbashkët të kufirit dhe pagesën e shpenzimeve në pikën e përbashkët të kalimit kufitar Zatriebaçka Cijevna – Grabon, është nënshkruar me 5 prill, në Podgoricë dhe 28 maj 2018, në Tiranë.</w:t>
      </w:r>
    </w:p>
    <w:p w14:paraId="2F661AC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Referuar gjendjes aktuale, si dhe kërkesave në rritje për t’iu afruar nivelit të standardeve të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rPr>
        <w:t xml:space="preserve">-it/BE për kontrollin dhe mbikëqyrjen e kufirit, duhet të përmirësohet infrastruktura e PKK/Stacioneve të PKM-së, sistemi i vëzhgimit dhe mbikëqyrjes së kufirit blu dhe të gjelbër me radar, kamera termike, SMARTDEC dhe mjete e pajisje të tjera të teknologjisë bashkëkohore. </w:t>
      </w:r>
    </w:p>
    <w:p w14:paraId="7B1E7ED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Parandalimi dhe goditja e krimit ndërkufitar</w:t>
      </w:r>
    </w:p>
    <w:p w14:paraId="5BF5C91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xml:space="preserve">Nga analizimi i vazhdueshëm i situatës dhe i statistikave të kriminalitetit me karakter ndërkufitar, </w:t>
      </w:r>
      <w:r w:rsidRPr="00F511C4">
        <w:rPr>
          <w:rFonts w:ascii="Garamond" w:eastAsia="Times New Roman" w:hAnsi="Garamond" w:cs="Times New Roman"/>
          <w:b/>
          <w:i/>
          <w:sz w:val="24"/>
          <w:szCs w:val="24"/>
          <w:lang w:val="sq-AL" w:eastAsia="sq-AL"/>
        </w:rPr>
        <w:t>trafiqet e paligjshme</w:t>
      </w:r>
      <w:r w:rsidRPr="00F511C4">
        <w:rPr>
          <w:rFonts w:ascii="Garamond" w:eastAsia="Times New Roman" w:hAnsi="Garamond" w:cs="Times New Roman"/>
          <w:sz w:val="24"/>
          <w:szCs w:val="24"/>
          <w:lang w:val="sq-AL" w:eastAsia="sq-AL"/>
        </w:rPr>
        <w:t xml:space="preserve"> vijojnë të mbeten një nga kërcënimet kryesore të sigurisë kufitare. Parandalimi dhe goditja e trafikut të lëndëve narkotike dhe trafikimi i mjeteve motorrike ka qenë dhe mbetet një nga objektivat kryesore të shërbimeve për kufirin dhe migracionin. Gjatë periudhës 2014 – 2020, shërbimet e Policisë Kufitare në Pikat e Kalimit të Kufirit apo në kufirin shtetëror kanë evidentuar 560 raste të lëndëve narkotike ku janë sekuestruar sasi të ndryshme të lëndëve të ndryshme narkotike që arrin në total prej afërsisht 51 414 kg. Bashkëpunimi ndërkufitar me vendet fqinje është forcuar në këtë drejtim. Gjatë periudhës 2014 – 2020, në sajë të bashkëpunimit me njësinë e </w:t>
      </w:r>
      <w:r w:rsidRPr="00F511C4">
        <w:rPr>
          <w:rFonts w:ascii="Garamond" w:eastAsia="Times New Roman" w:hAnsi="Garamond" w:cs="Times New Roman"/>
          <w:i/>
          <w:sz w:val="24"/>
          <w:szCs w:val="24"/>
          <w:lang w:val="sq-AL" w:eastAsia="sq-AL"/>
        </w:rPr>
        <w:t>Guardia di Finanza</w:t>
      </w:r>
      <w:r w:rsidRPr="00F511C4">
        <w:rPr>
          <w:rFonts w:ascii="Garamond" w:eastAsia="Times New Roman" w:hAnsi="Garamond" w:cs="Times New Roman"/>
          <w:sz w:val="24"/>
          <w:szCs w:val="24"/>
          <w:lang w:val="sq-AL" w:eastAsia="sq-AL"/>
        </w:rPr>
        <w:t xml:space="preserve"> në vendin tonë, si dhe Rojën Bregdetare Greke dhe autoritetet kufitare Malazeze, janë zhvilluar në total 258 operacione të përbashkëta, ku janë sekuestruar një sasi lënde narkotike afërsisht prej 70663 kg. </w:t>
      </w:r>
    </w:p>
    <w:p w14:paraId="7F2F507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lastRenderedPageBreak/>
        <w:t>Operacionet e përbashkëta kundër fenomenit të trafikimit të lëndëve narkotike janë zhvilluar dhe me autoritetet kufitare të Malit të Zi dhe Rojën Bregdetare Greke. Këto operacione kanë qenë të limituara për shkak edhe të tendencës që fenomeni i trafikimit të lëndëve narkotike ka pasur kryesisht destinacion Italinë nëpërmjet hapësirës detare, ndërsa me Greqinë dhe Malin e Zi kjo tendencë e trafikimit të lëndëve narkotike kryesisht është zhvilluar nëpërmjet kufirit të gjelbër.</w:t>
      </w:r>
    </w:p>
    <w:p w14:paraId="552FB7E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p>
    <w:p w14:paraId="22AF19B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drawing>
          <wp:inline distT="0" distB="0" distL="0" distR="0" wp14:anchorId="107F34A6" wp14:editId="7B137B13">
            <wp:extent cx="5199797" cy="3012027"/>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2227" t="32858" r="22971" b="21007"/>
                    <a:stretch/>
                  </pic:blipFill>
                  <pic:spPr bwMode="auto">
                    <a:xfrm>
                      <a:off x="0" y="0"/>
                      <a:ext cx="5219287" cy="3023317"/>
                    </a:xfrm>
                    <a:prstGeom prst="rect">
                      <a:avLst/>
                    </a:prstGeom>
                    <a:ln>
                      <a:noFill/>
                    </a:ln>
                    <a:extLst>
                      <a:ext uri="{53640926-AAD7-44D8-BBD7-CCE9431645EC}">
                        <a14:shadowObscured xmlns:a14="http://schemas.microsoft.com/office/drawing/2010/main"/>
                      </a:ext>
                    </a:extLst>
                  </pic:spPr>
                </pic:pic>
              </a:graphicData>
            </a:graphic>
          </wp:inline>
        </w:drawing>
      </w:r>
    </w:p>
    <w:p w14:paraId="327A8AE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drawing>
          <wp:anchor distT="0" distB="0" distL="114300" distR="114300" simplePos="0" relativeHeight="251660288" behindDoc="0" locked="0" layoutInCell="1" allowOverlap="1" wp14:anchorId="35657FA4" wp14:editId="11DE743F">
            <wp:simplePos x="0" y="0"/>
            <wp:positionH relativeFrom="margin">
              <wp:posOffset>382270</wp:posOffset>
            </wp:positionH>
            <wp:positionV relativeFrom="paragraph">
              <wp:posOffset>168910</wp:posOffset>
            </wp:positionV>
            <wp:extent cx="4960620" cy="271399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2938" t="37283" r="24398" b="21213"/>
                    <a:stretch/>
                  </pic:blipFill>
                  <pic:spPr bwMode="auto">
                    <a:xfrm>
                      <a:off x="0" y="0"/>
                      <a:ext cx="4960620" cy="2713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2F785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br w:type="textWrapping" w:clear="all"/>
      </w:r>
    </w:p>
    <w:p w14:paraId="122872D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Fenomeni i </w:t>
      </w:r>
      <w:r w:rsidRPr="00F511C4">
        <w:rPr>
          <w:rFonts w:ascii="Garamond" w:eastAsia="Times New Roman" w:hAnsi="Garamond" w:cs="Times New Roman"/>
          <w:b/>
          <w:i/>
          <w:sz w:val="24"/>
          <w:szCs w:val="24"/>
          <w:lang w:val="sq-AL"/>
        </w:rPr>
        <w:t>migracionit të parregullt</w:t>
      </w:r>
      <w:r w:rsidRPr="00F511C4">
        <w:rPr>
          <w:rFonts w:ascii="Garamond" w:eastAsia="Times New Roman" w:hAnsi="Garamond" w:cs="Times New Roman"/>
          <w:sz w:val="24"/>
          <w:szCs w:val="24"/>
          <w:lang w:val="sq-AL"/>
        </w:rPr>
        <w:t xml:space="preserve"> me prejardhje afrikane dhe aziatike, në drejtim të vendeve të Bashkimit Evropian, ka disa vite që ekziston duke u zhvilluar në rrugë dhe në mënyra të ndryshme. Ky migracion është klasik i përzier, pra që përfshin grupe që largohen për shkak të konflikteve të luftës dhe grupe që i largohen gjendjes së vështirë ekonomike. Në linja të përgjithshme ky migracion zhvillohet në rrugë detare, tokësore dhe nga ajri. Me mbylljen e rrugëve që synonin territoret spanjolle në Atlantik, intensiteti i lëvizjeve u shtua në drejtimin nga Libia në Mesdhe, në rrugë detare dhe nëpërmjet Ballkanit Perëndimor në rrugë tokësore. </w:t>
      </w:r>
    </w:p>
    <w:p w14:paraId="34CA04F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452D11F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Gjatë viteve të kaluara politika migratore e shteteve anëtare të BE-së ndryshoi, herë duke ndjekur atë të “dyerve të hapura”, që çoi në krijimin e rrugës së Ballkanit Perëndimor Greqi–Maqedoni–</w:t>
      </w:r>
      <w:r w:rsidRPr="00F511C4">
        <w:rPr>
          <w:rFonts w:ascii="Garamond" w:eastAsia="Times New Roman" w:hAnsi="Garamond" w:cs="Times New Roman"/>
          <w:sz w:val="24"/>
          <w:szCs w:val="24"/>
          <w:lang w:val="sq-AL"/>
        </w:rPr>
        <w:lastRenderedPageBreak/>
        <w:t xml:space="preserve">Serbi–Hungari dhe Greqi–Maqedoni–Serbi–Kroaci–Austri, e herë në atë të politikave kombëtare, që çoi njëherë në profilizimin sipas shtetësisë të imigrantëve, dhe më tej në kufizimin e numrit që pranohej të kalonte në këtë rrugëtim e deri në mbylljen totale të saj. </w:t>
      </w:r>
    </w:p>
    <w:p w14:paraId="6D16AD8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Sa i përket ndikimit të këtij fluksi nga Greqia në Shqipëri, shumica e të intervistuarve të kapur në kufi apo në brendësi të territorit, kanë deklaruar se kanë mbërritur në Shqipëri nëpërmjet transportit publik nga Athina, Selaniku dhe qytete të tjera në afërsi të pikës së kalimit Kakavijë e Kapshticë, dhe më tej kanë hyrë nëpërmjet kufirit të gjelbër duke synuar Malin e Zi dhe Kosovën me destinacion kryesisht Gjermaninë. Topografia e kufirit të gjelbër në këtë rajon lejon kalim relativisht të lehtë. Infrastruktura rrugore në të dyja anët e këtyre zonave kufitare është më e mirë se në zonat e tjera kufitare, duke e bërë atë pikën më të mundshme të hyrjes. Infrastruktura aktuale në vend nuk është e mjaftueshme për të trajtuar flukse të mëdha hyrëse të imigrantëve dhe azilkërkuesve. </w:t>
      </w:r>
    </w:p>
    <w:p w14:paraId="1A0B355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Gjithashtu, një tregues pozitiv që duhet theksuar është edhe fakti që përgjatë gjithë këtyre viteve, si pasojë e masave të marra dhe kontrollit të pandërprerë të vijës bregdetare nuk ka asnjë rast të kalimit nëpërmjet rrugëve detare në drejtim të Italisë të imigrantëve të parregullt. Ky është një sukses i madh dhe përvojë shumë e mirë për të cilën po punohet në vazhdimësi për ta ruajtur këtë standard. Theksojmë se kontrolli i vijës së kalimit kufitar detar është një rrugë që ka problematika edhe në vendet më të zhvilluara të BE-së. Për këtë arsye Forca Detare ka hartuar planin e modernizimit të rritjes së kapaciteteve të Rojës Bregdetare.</w:t>
      </w:r>
    </w:p>
    <w:p w14:paraId="3B09E74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Për më të shumtën e emigrantëve të paligjshëm që udhëtojnë në vendet e tjera të destinacionit nëpërmjet së ashtuquajturës rrugë e Ballkanit Perëndimor, Shqipëria është kryesisht vend transit. Duke pasur parasysh që linja kufitare jugore e juglindore shtrihet përgjatë kufijve malorë dhe zonave më pak të populluara në një masë më të madhe, zbulimi i migrantëve të parregullt nënkupton që policia kufitare nuk është e pajisur në mënyrë të duhur për të luftuar dhe zbuluar këtë lloj të krimit ndërkufitar.</w:t>
      </w:r>
    </w:p>
    <w:p w14:paraId="05FB649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Gjithashtu, një dukuri e dukshme, e cila është rritur në mënyrë të vazhdueshme, me të cilën Shqipëria është përballur vitet e kaluara, është numri i azilkërkuesve. Duke qenë në kufi me një vend anëtar të BE-së, si Greqia, në të cilin aktualisht ka grumbullime të mëdha imigrantësh të ardhur nga vendet e lindjes, statusi i Italisë si vend anëtar i BE-së dhe hyrja e Kroacisë në Bashkimin Evropian, janë një motiv shtesë për ardhjen dhe rritjen e numrit të azilkërkuesve në Shqipëri, me qëllim lëvizjen drejt këtyre vendeve.</w:t>
      </w:r>
    </w:p>
    <w:p w14:paraId="184FCD9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Siç shihet nga grafiku, më poshtë, viti 2015, 2016 dhe 2017, njohu rënie të numrit të imigrantëve të parregullt, por viti 2018 dhe 2019 dhe viti 2020 shënon një trend rritjeje, me hapa të shpejtë, gjë që tregon se Shqipëria vijon të jetë vend atraktiv për kalimin transit nga Greqia drejt vendeve të Bashkimit Evropian.</w:t>
      </w:r>
    </w:p>
    <w:p w14:paraId="488F5C5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drawing>
          <wp:anchor distT="0" distB="0" distL="114300" distR="114300" simplePos="0" relativeHeight="251661312" behindDoc="0" locked="0" layoutInCell="1" allowOverlap="1" wp14:anchorId="1E1E5B2C" wp14:editId="0D9C6900">
            <wp:simplePos x="0" y="0"/>
            <wp:positionH relativeFrom="margin">
              <wp:align>left</wp:align>
            </wp:positionH>
            <wp:positionV relativeFrom="paragraph">
              <wp:posOffset>173355</wp:posOffset>
            </wp:positionV>
            <wp:extent cx="3670935" cy="2157095"/>
            <wp:effectExtent l="0" t="0" r="571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32583" t="30545" r="22032" b="22046"/>
                    <a:stretch/>
                  </pic:blipFill>
                  <pic:spPr bwMode="auto">
                    <a:xfrm>
                      <a:off x="0" y="0"/>
                      <a:ext cx="3670935" cy="2157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D770A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br w:type="textWrapping" w:clear="all"/>
      </w:r>
    </w:p>
    <w:p w14:paraId="6A0A26E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Përveç këtyre rrjedhave të migracionit, të cilat janë shoqëruar nga fenomene të ndryshme kriminale si: trafikimi i qenieve njerëzore, kondrabandimi i imigrantëve (dhënia ndihmë për kalim </w:t>
      </w:r>
      <w:r w:rsidRPr="00F511C4">
        <w:rPr>
          <w:rFonts w:ascii="Garamond" w:eastAsia="Times New Roman" w:hAnsi="Garamond" w:cs="Times New Roman"/>
          <w:sz w:val="24"/>
          <w:szCs w:val="24"/>
          <w:lang w:val="sq-AL"/>
        </w:rPr>
        <w:lastRenderedPageBreak/>
        <w:t>të paligjshëm të kufirit) dhe falsifikimi i dokumenteve, apo qarkullimi i mundshëm i elementeve ekstremiste të dhunshme dhe atyre terroriste, duhet të theksohet se e ashtuquajtura rrugë ballkanike është ende rrugë aktuale për kontrabandën e drogave të paligjshme, automjeteve të vjedhura dhe armëve dhe lidhjen e vendeve të Bashkimit Evropian me Lindjen e Mesme dhe Lindjen e Largët, që është një sfidë për të gjitha autoritetet e përfshira në menaxhimin e kufijve.</w:t>
      </w:r>
    </w:p>
    <w:p w14:paraId="2282B95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Gjatë periudhës 2014–2020, nga ana e Policisë Kufitare dhe Migracionit, janë evidentuar 231 raste </w:t>
      </w:r>
      <w:r w:rsidRPr="00F511C4">
        <w:rPr>
          <w:rFonts w:ascii="Garamond" w:eastAsia="Times New Roman" w:hAnsi="Garamond" w:cs="Times New Roman"/>
          <w:i/>
          <w:sz w:val="24"/>
          <w:szCs w:val="24"/>
          <w:lang w:val="sq-AL"/>
        </w:rPr>
        <w:t>të dhënies ndihmë të kalimit të paligjshëm të kufirit</w:t>
      </w:r>
      <w:r w:rsidRPr="00F511C4">
        <w:rPr>
          <w:rFonts w:ascii="Garamond" w:eastAsia="Times New Roman" w:hAnsi="Garamond" w:cs="Times New Roman"/>
          <w:b/>
          <w:i/>
          <w:sz w:val="24"/>
          <w:szCs w:val="24"/>
          <w:lang w:val="sq-AL"/>
        </w:rPr>
        <w:t xml:space="preserve"> </w:t>
      </w:r>
      <w:r w:rsidRPr="00F511C4">
        <w:rPr>
          <w:rFonts w:ascii="Garamond" w:eastAsia="Times New Roman" w:hAnsi="Garamond" w:cs="Times New Roman"/>
          <w:sz w:val="24"/>
          <w:szCs w:val="24"/>
          <w:lang w:val="sq-AL"/>
        </w:rPr>
        <w:t>(kondrabandimin e imigrantëve). Kalimi i paligjshëm i kufirit, kryesisht i shtetasve shqiptar drejt vendeve fqinje, ka mbetur fenomen i përhapur. Ky fenomen është më i përhapur në kufirin juglindor, me Greqinë, ku shtetasit shqiptar, qëllimi i të cilëve është punësimi sezonal apo që kanë shkelur, në të kaluarën, afatet e qëndrimit, kalojnë ose tentojnë të kalojnë kufirin duke iu shmangur kontrolleve kufitare. Gjatë periudhës 2014–2020, janë evidentuar 3985 raste të kalimit të paligjshëm të kufirit.</w:t>
      </w:r>
    </w:p>
    <w:p w14:paraId="0C0D278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drawing>
          <wp:anchor distT="0" distB="0" distL="114300" distR="114300" simplePos="0" relativeHeight="251662336" behindDoc="0" locked="0" layoutInCell="1" allowOverlap="1" wp14:anchorId="4474D973" wp14:editId="51C6F04F">
            <wp:simplePos x="0" y="0"/>
            <wp:positionH relativeFrom="margin">
              <wp:align>left</wp:align>
            </wp:positionH>
            <wp:positionV relativeFrom="paragraph">
              <wp:posOffset>175895</wp:posOffset>
            </wp:positionV>
            <wp:extent cx="5718175" cy="3275330"/>
            <wp:effectExtent l="0" t="0" r="0"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31161" t="31597" r="23327" b="22053"/>
                    <a:stretch/>
                  </pic:blipFill>
                  <pic:spPr bwMode="auto">
                    <a:xfrm>
                      <a:off x="0" y="0"/>
                      <a:ext cx="5725632" cy="32796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B1651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br/>
      </w:r>
    </w:p>
    <w:p w14:paraId="03800C6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i/>
          <w:sz w:val="24"/>
          <w:szCs w:val="24"/>
          <w:lang w:val="sq-AL"/>
        </w:rPr>
        <w:t>Mosdeklarimi i të hollave dhe sendeve</w:t>
      </w:r>
      <w:r w:rsidRPr="00F511C4">
        <w:rPr>
          <w:rFonts w:ascii="Garamond" w:eastAsia="Times New Roman" w:hAnsi="Garamond" w:cs="Times New Roman"/>
          <w:sz w:val="24"/>
          <w:szCs w:val="24"/>
          <w:lang w:val="sq-AL"/>
        </w:rPr>
        <w:t xml:space="preserve"> me vlerë në kufi ka qenë fenomen tjetër që ka kërcënuar sigurinë kufitare. Gjatë periudhës 2014 – 2020, nga shërbimet e Policisë Kufitare janë evidentuar 148 raste të tilla dhe janë sekuestruar 8 584 584 €.</w:t>
      </w:r>
    </w:p>
    <w:p w14:paraId="6268BEB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i/>
          <w:sz w:val="24"/>
          <w:szCs w:val="24"/>
          <w:lang w:val="sq-AL"/>
        </w:rPr>
        <w:t>Përdorimi i dokumenteve të falsifikuara të udhëtimit vijon</w:t>
      </w:r>
      <w:r w:rsidRPr="00F511C4">
        <w:rPr>
          <w:rFonts w:ascii="Garamond" w:eastAsia="Times New Roman" w:hAnsi="Garamond" w:cs="Times New Roman"/>
          <w:sz w:val="24"/>
          <w:szCs w:val="24"/>
          <w:lang w:val="sq-AL"/>
        </w:rPr>
        <w:t xml:space="preserve"> të mbetet tjetër kërcënim. Të dhënat flasin kryesisht për falsifikim të dokumenteve të huaja nga shtetas shqiptar që kërkojnë të udhëtojnë drejt vendeve të Bashkimit Evropian por edhe në Shtetet e Bashkuara të Amerikës dhe Britanisë së Madhe, por nuk kanë munguar rastet e përdorimit të dokumenteve të falsifikuara të udhëtimit nga shtetas të huaj, të cilët tentojnë të kalojnë transit, nëpërmjet vendit tonë, drejt vendeve të tjera. Gjatë periudhës 2014 – 2020, nga ana e strukturave të Policisë Kufitare dhe Migracionit janë evidentuar 1734 raste të falsifikimit të dokumenteve të udhëtimit dhe janë sekuestruar 1923 dokumente të falsifikuara.</w:t>
      </w:r>
    </w:p>
    <w:p w14:paraId="6769FAA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67C2AA8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32148AD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591ED10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0E46474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lastRenderedPageBreak/>
        <w:drawing>
          <wp:inline distT="0" distB="0" distL="0" distR="0" wp14:anchorId="57FDF73E" wp14:editId="4502D89E">
            <wp:extent cx="5192090" cy="2821341"/>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4005" t="45293" r="23892" b="14035"/>
                    <a:stretch/>
                  </pic:blipFill>
                  <pic:spPr bwMode="auto">
                    <a:xfrm>
                      <a:off x="0" y="0"/>
                      <a:ext cx="5249397" cy="2852481"/>
                    </a:xfrm>
                    <a:prstGeom prst="rect">
                      <a:avLst/>
                    </a:prstGeom>
                    <a:ln>
                      <a:noFill/>
                    </a:ln>
                    <a:extLst>
                      <a:ext uri="{53640926-AAD7-44D8-BBD7-CCE9431645EC}">
                        <a14:shadowObscured xmlns:a14="http://schemas.microsoft.com/office/drawing/2010/main"/>
                      </a:ext>
                    </a:extLst>
                  </pic:spPr>
                </pic:pic>
              </a:graphicData>
            </a:graphic>
          </wp:inline>
        </w:drawing>
      </w:r>
    </w:p>
    <w:p w14:paraId="392A003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1B56C3A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i/>
          <w:sz w:val="24"/>
          <w:szCs w:val="24"/>
          <w:lang w:val="sq-AL"/>
        </w:rPr>
        <w:t>Krimet në fushën e doganave</w:t>
      </w:r>
      <w:r w:rsidRPr="00F511C4">
        <w:rPr>
          <w:rFonts w:ascii="Garamond" w:eastAsia="Times New Roman" w:hAnsi="Garamond" w:cs="Times New Roman"/>
          <w:sz w:val="24"/>
          <w:szCs w:val="24"/>
          <w:lang w:val="sq-AL"/>
        </w:rPr>
        <w:t xml:space="preserve"> kanë qenë dhe mbeten tjetër objektiv prioritar i agjencive që operojnë në kufi. Gjatë periudhës 2014 – 2020, nga strukturat e Policisë Kufitare në bashkëpunim edhe me shërbimin doganor, janë evidentuar 328 vepra penale në fushën e kontrabandës së mallrave.</w:t>
      </w:r>
    </w:p>
    <w:p w14:paraId="6A9D963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i/>
          <w:sz w:val="24"/>
          <w:szCs w:val="24"/>
          <w:lang w:val="sq-AL" w:eastAsia="sq-AL"/>
        </w:rPr>
        <w:t>Qarkullimi i mundshëm i elementeve terroriste dhe individëve ekstremist të dhunshëm</w:t>
      </w:r>
      <w:r w:rsidRPr="00F511C4">
        <w:rPr>
          <w:rFonts w:ascii="Garamond" w:eastAsia="Times New Roman" w:hAnsi="Garamond" w:cs="Times New Roman"/>
          <w:sz w:val="24"/>
          <w:szCs w:val="24"/>
          <w:lang w:val="sq-AL" w:eastAsia="sq-AL"/>
        </w:rPr>
        <w:t xml:space="preserve">, ndonëse jo shumë i përhapur, mbetet kërcënim serioz. Eksperienca e vendeve që kanë qenë objekt i sulmeve terroriste dhe rasti i një luftëtari të huaj terrorist të kapur në vendin tonë dhe me pas të ekstraduar, është tregues i qarkullimit të mundshëm të tyre nëpërmjet vendit tonë. </w:t>
      </w:r>
    </w:p>
    <w:p w14:paraId="3A97C78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i/>
          <w:sz w:val="24"/>
          <w:szCs w:val="24"/>
          <w:lang w:val="sq-AL" w:eastAsia="sq-AL"/>
        </w:rPr>
        <w:t>Trafikimi dhe mbajtja pa leje e armëve të zjarrit,</w:t>
      </w:r>
      <w:r w:rsidRPr="00F511C4">
        <w:rPr>
          <w:rFonts w:ascii="Garamond" w:eastAsia="Times New Roman" w:hAnsi="Garamond" w:cs="Times New Roman"/>
          <w:b/>
          <w:i/>
          <w:sz w:val="24"/>
          <w:szCs w:val="24"/>
          <w:lang w:val="sq-AL" w:eastAsia="sq-AL"/>
        </w:rPr>
        <w:t xml:space="preserve"> </w:t>
      </w:r>
      <w:r w:rsidRPr="00F511C4">
        <w:rPr>
          <w:rFonts w:ascii="Garamond" w:eastAsia="Times New Roman" w:hAnsi="Garamond" w:cs="Times New Roman"/>
          <w:sz w:val="24"/>
          <w:szCs w:val="24"/>
          <w:lang w:val="sq-AL" w:eastAsia="sq-AL"/>
        </w:rPr>
        <w:t>ndonëse është reduktuar ndjeshëm, mbetet kërcënim për sigurinë kufitare dhe rrjedhimisht edhe për atë kombëtare.</w:t>
      </w:r>
    </w:p>
    <w:p w14:paraId="6BCEEEF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2.2 Sfidat</w:t>
      </w:r>
    </w:p>
    <w:p w14:paraId="7CB37BC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 përputhje me konceptin e ri të Menaxhimit të Integruar të Kufirit të BE-së dhe procedurat e standardizuara në kufijtë e jashtëm, sfidat me të cilat përballen vendet anëtare të BE-së, kërkesat për forcimin e bashkëpunimit operacional në kontrollin kufitar, nevojën për të përmirësuar analizën e rreziqeve, si dhe bashkëpunimin ndërministror dhe ndërkombëtar, është përgatitur Strategjia e Menaxhimit të Integruar të Kufirit 2021–2027 dhe plani i veprimit në zbatim të saj, me aktivitete të identifikuara që kërkohen për të arritur në mënyrë efektive objektivat e përcaktuara në këtë dokument.</w:t>
      </w:r>
    </w:p>
    <w:p w14:paraId="0C9FBA7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Strategjia dhe plani i veprimit për zbatimin e Strategjisë pasqyrojnë konceptin e Menaxhimit të Integruar të Kufirit të BE-së, duke marrë parasysh statusin aktual të integrimit të Shqipërisë në BE. </w:t>
      </w:r>
    </w:p>
    <w:p w14:paraId="66C20E5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Përveç këtij dokumenti strategjik, agjencitë e zbatimit të ligjit, veçanërisht ato që kanë detyrime të përcaktuara në këtë dokument, do të koordinojnë planet e punës duke siguruar përparim të koordinuar drejt një qëllimi të përbashkët me rëndësi për anëtarësimin në Bashkimin Evropian dhe në zonën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rPr>
        <w:t>.</w:t>
      </w:r>
    </w:p>
    <w:p w14:paraId="3DAE3ED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3. Pozicioni gjeopolitik dhe karakteristikat e kufirit</w:t>
      </w:r>
    </w:p>
    <w:p w14:paraId="60AE4A6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Shqipëria është një vend evropian, mesdhetar dhe ballkanik me lidhje me të gjithë botën përmes porteve në detin Adriatik e Jon dhe aeroportin e Tiranës. Shqipëria, gjithashtu, ka zona të caktuara ujore në detet Adriatik e Jon dhe në liqenin e Shkodrës, Pogradecit dhe Prespës.</w:t>
      </w:r>
    </w:p>
    <w:p w14:paraId="1969FC8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Politikisht Shqipëria është vend kandidat për anëtarësimin në BE, gjeografikisht ndodhet midis Republikës së Greqisë, shtetit anëtar të BE-së, vendeve që kanë statusin e vendeve kandidate të BE-së (Mali i Zi, Maqedonia) dhe Kosovës, vend që ka nënshkruar Marrëveshjen e stabilizim-asocimit me BE-në, gjë e cila i vendos, autoritetet e shtetit shqiptar para detyrimit për të miratuar standardet dhe praktikat më të mira të Bashkimit Evropian në fushën e sigurisë kufitare, për shkak të marrjes së përgjegjësisë relativisht të shpejtë për kontrollin e kufijve të jashtëm të Bashkimit Evropian.</w:t>
      </w:r>
    </w:p>
    <w:p w14:paraId="1209CB7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Migracioni, si një proces i vazhdueshëm i lëvizjes së njerëzve, është në qendër të interesit politik jo vetëm në Evropë, por në mbarë botën, pasi Bashkimi Evropian po përballet me presione të vazhdueshme domethënëse të migracionit.</w:t>
      </w:r>
    </w:p>
    <w:p w14:paraId="1CCE865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Shqipëria është një vend i Evropës Juglindore dhe Mesdheut dhe ndodhet në kryqëzimin midis Evropës Lindore dhe Perëndimore dhe pjesëve jugore dhe veriore të kontinentit. Për shkak të vendndodhjes së saj gjeografike, është një lidhje natyrore përmes së cilës kalojnë flukse të caktuara migracioni dhe trafiku. Zhvillimi ekonomik, nevojat e tregut të punës dhe veçanërisht lidhjet e transportit që përshkojnë territorin e Shqipërisë dhe kanë kontribuar në flukset e shumta të migracionit. </w:t>
      </w:r>
    </w:p>
    <w:p w14:paraId="3A03AA3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Duke marrë parasysh pozicionin gjeopolitik, specifikat e kufijve jeshil dhe blu dhe analizën e rreziqeve, aspektet kryesore të sigurisë së kufijve kanë të bëjnë me:</w:t>
      </w:r>
    </w:p>
    <w:p w14:paraId="39A5E33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xml:space="preserve">Kufiri shtetëror i Republikës së Shqipërisë shtrihet mbi tokë, det, liqene dhe lumenj dhe gjatësia e tij është rreth 1094 km (nëse i shtohet dhe vija bregdetare, gjatësia është 1250 km), si më poshtë: </w:t>
      </w:r>
    </w:p>
    <w:p w14:paraId="2C096EC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Kufi tokësor 627 km;</w:t>
      </w:r>
    </w:p>
    <w:p w14:paraId="00EC511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Kufi detar 362 km (përfshirë vijën bregdetare, 472 km);</w:t>
      </w:r>
    </w:p>
    <w:p w14:paraId="04EFB60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Kufi liqenor 73 km;</w:t>
      </w:r>
    </w:p>
    <w:p w14:paraId="7B27CA4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Kufi lumor 78 km.</w:t>
      </w:r>
    </w:p>
    <w:p w14:paraId="40878B3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Sipas shteteve gjatësia e kufirit është, si më poshtë:</w:t>
      </w:r>
    </w:p>
    <w:p w14:paraId="2AF4CF5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Me Malin e Zi: gjatësia e kufirit është 220 km, nga të cilat, 126 km tokësor; 22 km detar, 38 km liqenor, 24km lumor dhe 8 km përrenj;</w:t>
      </w:r>
    </w:p>
    <w:p w14:paraId="0CC2267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Me Kosovën: gjatësia e kufirit është 123 km, nga të cilat, 117 km tokësor, 1 km liqenor dhe 5 km përrenj;</w:t>
      </w:r>
    </w:p>
    <w:p w14:paraId="0F49E35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Me Maqedoninë: gjatësia e kufirit është 186 km, nga të cilat, 137 km tokësor, 28 km liqenor, 12 km lumor dhe 9 km përrenj;</w:t>
      </w:r>
    </w:p>
    <w:p w14:paraId="20A2769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-Me Greqinë: gjatësia e kufirit është 349 km, nga të cilat, 247 km tokësor, 78 km detar, 7 km liqenor, 9 km lumor dhe 8 km përrenj.</w:t>
      </w:r>
    </w:p>
    <w:p w14:paraId="13AC425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Kufiri shtetëror i detit territorial me zonën fqinje (det ndërkombëtar) është 262 km.</w:t>
      </w:r>
    </w:p>
    <w:p w14:paraId="527ADCE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Hapësira e detit territorial ku RSH-ja zhvillon autoritet të plotë për zbatimin e ligjit është 5041 km.</w:t>
      </w:r>
    </w:p>
    <w:p w14:paraId="4E78573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eastAsia="sq-AL"/>
        </w:rPr>
      </w:pPr>
      <w:r w:rsidRPr="00F511C4">
        <w:rPr>
          <w:rFonts w:ascii="Garamond" w:eastAsia="Times New Roman" w:hAnsi="Garamond" w:cs="Times New Roman"/>
          <w:color w:val="000000"/>
          <w:sz w:val="24"/>
          <w:szCs w:val="24"/>
          <w:lang w:val="sq-AL" w:eastAsia="sq-AL"/>
        </w:rPr>
        <w:t>- Në territorin e Republikës së Shqipërisë operojnë gjithsej 31 pika të kalimit kufitar të cilat sipas kategorive janë:</w:t>
      </w:r>
    </w:p>
    <w:p w14:paraId="79B6AAA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xml:space="preserve">- 1 </w:t>
      </w:r>
      <w:r w:rsidRPr="00F511C4">
        <w:rPr>
          <w:rFonts w:ascii="Garamond" w:eastAsia="Times New Roman" w:hAnsi="Garamond" w:cs="Times New Roman"/>
          <w:sz w:val="24"/>
          <w:szCs w:val="24"/>
          <w:lang w:val="sq-AL"/>
        </w:rPr>
        <w:t>PKK ajrore (PKK Aeroporti Rinas);</w:t>
      </w:r>
    </w:p>
    <w:p w14:paraId="6FBDA20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xml:space="preserve">- 8 </w:t>
      </w:r>
      <w:r w:rsidRPr="00F511C4">
        <w:rPr>
          <w:rFonts w:ascii="Garamond" w:eastAsia="Times New Roman" w:hAnsi="Garamond" w:cs="Times New Roman"/>
          <w:sz w:val="24"/>
          <w:szCs w:val="24"/>
          <w:lang w:val="sq-AL"/>
        </w:rPr>
        <w:t>PKK detare(PKK Porti Durrës, PKK Porti Vlorë, PKK Porti Sarandë, PKK Porti Shëngjin, PKK Porti Himarë, PKK Porto Romano për transport karburantesh, PKK Petrolifera, PKK Limion);</w:t>
      </w:r>
    </w:p>
    <w:p w14:paraId="58FEE7C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- 1</w:t>
      </w:r>
      <w:r w:rsidRPr="00F511C4">
        <w:rPr>
          <w:rFonts w:ascii="Garamond" w:eastAsia="Times New Roman" w:hAnsi="Garamond" w:cs="Times New Roman"/>
          <w:sz w:val="24"/>
          <w:szCs w:val="24"/>
          <w:lang w:val="sq-AL"/>
        </w:rPr>
        <w:t xml:space="preserve"> PKK liqenore (PKK Moli i Qytetit Pogradec, me Maqedoninë e Veriut, sezonale verore);</w:t>
      </w:r>
    </w:p>
    <w:p w14:paraId="460D838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xml:space="preserve">- 1 </w:t>
      </w:r>
      <w:r w:rsidRPr="00F511C4">
        <w:rPr>
          <w:rFonts w:ascii="Garamond" w:eastAsia="Times New Roman" w:hAnsi="Garamond" w:cs="Times New Roman"/>
          <w:sz w:val="24"/>
          <w:szCs w:val="24"/>
          <w:lang w:val="sq-AL"/>
        </w:rPr>
        <w:t>PKK hekurudhore (PKK Bajzë, shërbim i përbashkët me Policinë Malazeze në Tuz);</w:t>
      </w:r>
    </w:p>
    <w:p w14:paraId="0F7C60B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xml:space="preserve">- 20 </w:t>
      </w:r>
      <w:r w:rsidRPr="00F511C4">
        <w:rPr>
          <w:rFonts w:ascii="Garamond" w:eastAsia="Times New Roman" w:hAnsi="Garamond" w:cs="Times New Roman"/>
          <w:sz w:val="24"/>
          <w:szCs w:val="24"/>
          <w:lang w:val="sq-AL"/>
        </w:rPr>
        <w:t>PKK tokësore (PKK Qafë-Botë, PKK Rips, PKK Kakavijë, PKK Tre Urat, PKK Sopik, PKK Kapshticë, PKK Qafë Thanë, PKK Tushemisht, PKK Gorricë, PKK Bllatë, PKK Trebisht, PPKK Morinë, PPKK Qafë-Morinë, PPKK Qafë-Prush, PPKK Shishtavec, PPKK Orgjost, PPKK Borje, PPKK Çerem, PKK Hani i Hotit, PPKK Murriqan, PKK Bashkim, PPKK Grabon (Aktualisht jo funksionale, por në përfundim të procesit për hapje).</w:t>
      </w:r>
    </w:p>
    <w:p w14:paraId="3195F6B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Pikat e kalit kufitar sipas shtetit kufitar janë si më poshtë:</w:t>
      </w:r>
    </w:p>
    <w:p w14:paraId="6126757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- 5</w:t>
      </w:r>
      <w:r w:rsidRPr="00F511C4">
        <w:rPr>
          <w:rFonts w:ascii="Garamond" w:eastAsia="Times New Roman" w:hAnsi="Garamond" w:cs="Times New Roman"/>
          <w:sz w:val="24"/>
          <w:szCs w:val="24"/>
          <w:lang w:val="sq-AL"/>
        </w:rPr>
        <w:t xml:space="preserve"> PKK me Malin e Zi (nga këto </w:t>
      </w:r>
      <w:r w:rsidRPr="00F511C4">
        <w:rPr>
          <w:rFonts w:ascii="Garamond" w:eastAsia="Times New Roman" w:hAnsi="Garamond" w:cs="Times New Roman"/>
          <w:b/>
          <w:sz w:val="24"/>
          <w:szCs w:val="24"/>
          <w:lang w:val="sq-AL"/>
        </w:rPr>
        <w:t>1</w:t>
      </w:r>
      <w:r w:rsidRPr="00F511C4">
        <w:rPr>
          <w:rFonts w:ascii="Garamond" w:eastAsia="Times New Roman" w:hAnsi="Garamond" w:cs="Times New Roman"/>
          <w:sz w:val="24"/>
          <w:szCs w:val="24"/>
          <w:lang w:val="sq-AL"/>
        </w:rPr>
        <w:t xml:space="preserve"> hekurudhore, </w:t>
      </w:r>
      <w:r w:rsidRPr="00F511C4">
        <w:rPr>
          <w:rFonts w:ascii="Garamond" w:eastAsia="Times New Roman" w:hAnsi="Garamond" w:cs="Times New Roman"/>
          <w:b/>
          <w:sz w:val="24"/>
          <w:szCs w:val="24"/>
          <w:lang w:val="sq-AL"/>
        </w:rPr>
        <w:t>3</w:t>
      </w:r>
      <w:r w:rsidRPr="00F511C4">
        <w:rPr>
          <w:rFonts w:ascii="Garamond" w:eastAsia="Times New Roman" w:hAnsi="Garamond" w:cs="Times New Roman"/>
          <w:sz w:val="24"/>
          <w:szCs w:val="24"/>
          <w:lang w:val="sq-AL"/>
        </w:rPr>
        <w:t xml:space="preserve"> pika të përbashkëta të kalimit kufitar);</w:t>
      </w:r>
    </w:p>
    <w:p w14:paraId="1B76204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- 7</w:t>
      </w:r>
      <w:r w:rsidRPr="00F511C4">
        <w:rPr>
          <w:rFonts w:ascii="Garamond" w:eastAsia="Times New Roman" w:hAnsi="Garamond" w:cs="Times New Roman"/>
          <w:sz w:val="24"/>
          <w:szCs w:val="24"/>
          <w:lang w:val="sq-AL"/>
        </w:rPr>
        <w:t xml:space="preserve"> PPKK me Kosovën(</w:t>
      </w:r>
      <w:r w:rsidRPr="00F511C4">
        <w:rPr>
          <w:rFonts w:ascii="Garamond" w:eastAsia="Times New Roman" w:hAnsi="Garamond" w:cs="Times New Roman"/>
          <w:b/>
          <w:sz w:val="24"/>
          <w:szCs w:val="24"/>
          <w:lang w:val="sq-AL"/>
        </w:rPr>
        <w:t>7</w:t>
      </w:r>
      <w:r w:rsidRPr="00F511C4">
        <w:rPr>
          <w:rFonts w:ascii="Garamond" w:eastAsia="Times New Roman" w:hAnsi="Garamond" w:cs="Times New Roman"/>
          <w:sz w:val="24"/>
          <w:szCs w:val="24"/>
          <w:lang w:val="sq-AL"/>
        </w:rPr>
        <w:t xml:space="preserve"> pika të përbashkëta të kalimit kufitar);</w:t>
      </w:r>
    </w:p>
    <w:p w14:paraId="1DC1959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- 5</w:t>
      </w:r>
      <w:r w:rsidRPr="00F511C4">
        <w:rPr>
          <w:rFonts w:ascii="Garamond" w:eastAsia="Times New Roman" w:hAnsi="Garamond" w:cs="Times New Roman"/>
          <w:sz w:val="24"/>
          <w:szCs w:val="24"/>
          <w:lang w:val="sq-AL"/>
        </w:rPr>
        <w:t xml:space="preserve"> PKK me Maqedoninë e Veriut (nga këto </w:t>
      </w:r>
      <w:r w:rsidRPr="00F511C4">
        <w:rPr>
          <w:rFonts w:ascii="Garamond" w:eastAsia="Times New Roman" w:hAnsi="Garamond" w:cs="Times New Roman"/>
          <w:b/>
          <w:sz w:val="24"/>
          <w:szCs w:val="24"/>
          <w:lang w:val="sq-AL"/>
        </w:rPr>
        <w:t>1</w:t>
      </w:r>
      <w:r w:rsidRPr="00F511C4">
        <w:rPr>
          <w:rFonts w:ascii="Garamond" w:eastAsia="Times New Roman" w:hAnsi="Garamond" w:cs="Times New Roman"/>
          <w:sz w:val="24"/>
          <w:szCs w:val="24"/>
          <w:lang w:val="sq-AL"/>
        </w:rPr>
        <w:t xml:space="preserve"> liqenore);</w:t>
      </w:r>
    </w:p>
    <w:p w14:paraId="2694B27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- 9</w:t>
      </w:r>
      <w:r w:rsidRPr="00F511C4">
        <w:rPr>
          <w:rFonts w:ascii="Garamond" w:eastAsia="Times New Roman" w:hAnsi="Garamond" w:cs="Times New Roman"/>
          <w:sz w:val="24"/>
          <w:szCs w:val="24"/>
          <w:lang w:val="sq-AL"/>
        </w:rPr>
        <w:t xml:space="preserve"> PKK me Greqinë (nga këto </w:t>
      </w:r>
      <w:r w:rsidRPr="00F511C4">
        <w:rPr>
          <w:rFonts w:ascii="Garamond" w:eastAsia="Times New Roman" w:hAnsi="Garamond" w:cs="Times New Roman"/>
          <w:b/>
          <w:sz w:val="24"/>
          <w:szCs w:val="24"/>
          <w:lang w:val="sq-AL"/>
        </w:rPr>
        <w:t xml:space="preserve">3 </w:t>
      </w:r>
      <w:r w:rsidRPr="00F511C4">
        <w:rPr>
          <w:rFonts w:ascii="Garamond" w:eastAsia="Times New Roman" w:hAnsi="Garamond" w:cs="Times New Roman"/>
          <w:sz w:val="24"/>
          <w:szCs w:val="24"/>
          <w:lang w:val="sq-AL"/>
        </w:rPr>
        <w:t>detare);</w:t>
      </w:r>
    </w:p>
    <w:p w14:paraId="318FA60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xml:space="preserve">- 5 </w:t>
      </w:r>
      <w:r w:rsidRPr="00F511C4">
        <w:rPr>
          <w:rFonts w:ascii="Garamond" w:eastAsia="Times New Roman" w:hAnsi="Garamond" w:cs="Times New Roman"/>
          <w:sz w:val="24"/>
          <w:szCs w:val="24"/>
          <w:lang w:val="sq-AL"/>
        </w:rPr>
        <w:t>PKK me Italinë (</w:t>
      </w:r>
      <w:r w:rsidRPr="00F511C4">
        <w:rPr>
          <w:rFonts w:ascii="Garamond" w:eastAsia="Times New Roman" w:hAnsi="Garamond" w:cs="Times New Roman"/>
          <w:b/>
          <w:sz w:val="24"/>
          <w:szCs w:val="24"/>
          <w:lang w:val="sq-AL"/>
        </w:rPr>
        <w:t>5</w:t>
      </w:r>
      <w:r w:rsidRPr="00F511C4">
        <w:rPr>
          <w:rFonts w:ascii="Garamond" w:eastAsia="Times New Roman" w:hAnsi="Garamond" w:cs="Times New Roman"/>
          <w:sz w:val="24"/>
          <w:szCs w:val="24"/>
          <w:lang w:val="sq-AL"/>
        </w:rPr>
        <w:t xml:space="preserve"> detare).</w:t>
      </w:r>
    </w:p>
    <w:p w14:paraId="6EE0F46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eastAsia="sq-AL"/>
        </w:rPr>
        <w:t xml:space="preserve">Kompleksiteti i administrimit të kufirit shtetëror të Republikës së Shqipërisë përcaktohet nga specifikat e tij: kufiri i gjatë shtetëror në lidhje me sipërfaqen e përgjithshme të territorit të shtetit; një numër i madh i pikave të kalimit kufitar; numër i shumtë i rrugëve që kryqëzojnë vijën e kufirit; </w:t>
      </w:r>
      <w:r w:rsidRPr="00F511C4">
        <w:rPr>
          <w:rFonts w:ascii="Garamond" w:eastAsia="Times New Roman" w:hAnsi="Garamond" w:cs="Times New Roman"/>
          <w:sz w:val="24"/>
          <w:szCs w:val="24"/>
          <w:lang w:val="sq-AL" w:eastAsia="sq-AL"/>
        </w:rPr>
        <w:lastRenderedPageBreak/>
        <w:t>kufiri shtetëror që rrjedh përgjatë lumenjve për shkak të niveleve të ulëta të ujit është i përshtatshëm për kalime të paligjshme; vargjet malore e bëjnë të vështirë kontrollin e kufirit të gjelbër dhe si e tillë lehtëson kalimin e flukseve migratore, por edhe krimin ndërkufitar të të gjitha llojeve.</w:t>
      </w:r>
    </w:p>
    <w:p w14:paraId="470C93B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4. Vizioni i Strategjisë</w:t>
      </w:r>
    </w:p>
    <w:p w14:paraId="488BC93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4.1 Vizioni</w:t>
      </w:r>
    </w:p>
    <w:p w14:paraId="35B2445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Sigurimi i një qarkullimi të sigurt të shtetasve dhe mallrave nëpërmjet kufirit shtetëror dhe marrja e masave të nevojshme për të parandaluar dhe goditur të gjitha format e krimit ndërkufitar dhe të migrimit të parregullt.</w:t>
      </w:r>
    </w:p>
    <w:p w14:paraId="12F50B9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Vizioni i kësaj Strategjie është në përputhje me Strategjinë Kombëtare për Zhvillim dhe Integrim 2015 – 2020, ku siguria kufitare lidhet me shtyllën e “Mirëqeverisjes, Demokracisë dhe shtetit të së Drejtës” dhe mbështet vizionin e SKZHI-së “Konsolidimi i arritjeve të menaxhimit të konsoliduar të kufirit për të siguruar kufij të hapur dhe të sigurt, në harmoni të plotë me standardet e BE-së”, në lidhje me objektivat e parashikuara për: - Forcimin e forcës zbuluese në luftën kundër krimit ndërkufitar; - Rritjen e profesionalizmit dhe aftësive teknike për zbulimin dhe luftën kundër përdorimit të dokumenteve të falsifikuara për kalimin e kufirit; - Përmirësimin e standardeve të kontrollit dhe mbikëqyrjes përmes standardizimit të Pikave të Kalimit të Kufirit (PKK) sipas standardeve të BE-së dhe Kodit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rPr>
        <w:t xml:space="preserve">; - Parandalimin dhe pakësimin e rasteve të migrimit të paligjshëm dhe të qytetarëve të huaj që kapen në territorin e Shqipërisë me dokumente të parregullta; - Parandalimin dhe uljen e migracionit të paligjshëm; - Forcimin e përgjithshëm i kapaciteteve të Qendrës Ndërinstitucionale Operacionale Detare. </w:t>
      </w:r>
    </w:p>
    <w:p w14:paraId="5DCA39A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4.2 Misioni dhe vlerat</w:t>
      </w:r>
    </w:p>
    <w:p w14:paraId="3211C1E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Strategji ka si mision menaxhimin e integruar të kufirit, koordinimin dhe veprimin e përbashkët të autoriteteve të përfshira në sistemin MIK, për të minimizuar kërcënimet ndaj sigurisë kufitare, kushtet e brendshme të sigurisë dhe pjesë të sistemit të përgjithshëm të sigurisë të Republikës së Shqipërisë.</w:t>
      </w:r>
    </w:p>
    <w:p w14:paraId="6E48DB1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Strategjia Ndërsektoriale e Menaxhimit të Integruar të Kufirit 2021–2027, përshkohet nga një set vlerash që qëndrojnë në themel të funksionimit të agjencive të përfshira në sigurinë kufitare dhe lehtësimin e tregtisë, si profesionalizmi, respekti për të drejtat themelore, bashkëpunimi, transparenca dhe llogaridhënia.</w:t>
      </w:r>
    </w:p>
    <w:p w14:paraId="7C0ACEB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45A8FA9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drawing>
          <wp:inline distT="0" distB="0" distL="0" distR="0" wp14:anchorId="193D1019" wp14:editId="569F5BBC">
            <wp:extent cx="5576933" cy="1651379"/>
            <wp:effectExtent l="0" t="0" r="508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2465" t="37284" r="23911" b="39752"/>
                    <a:stretch/>
                  </pic:blipFill>
                  <pic:spPr bwMode="auto">
                    <a:xfrm>
                      <a:off x="0" y="0"/>
                      <a:ext cx="5642562" cy="1670812"/>
                    </a:xfrm>
                    <a:prstGeom prst="rect">
                      <a:avLst/>
                    </a:prstGeom>
                    <a:ln>
                      <a:noFill/>
                    </a:ln>
                    <a:extLst>
                      <a:ext uri="{53640926-AAD7-44D8-BBD7-CCE9431645EC}">
                        <a14:shadowObscured xmlns:a14="http://schemas.microsoft.com/office/drawing/2010/main"/>
                      </a:ext>
                    </a:extLst>
                  </pic:spPr>
                </pic:pic>
              </a:graphicData>
            </a:graphic>
          </wp:inline>
        </w:drawing>
      </w:r>
    </w:p>
    <w:p w14:paraId="7EA2C1B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44EF105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4.3 Treguesit e impaktit dhe treguesit e rezultatit</w:t>
      </w:r>
    </w:p>
    <w:p w14:paraId="225247DA"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sz w:val="24"/>
          <w:szCs w:val="24"/>
          <w:lang w:val="sq-AL"/>
        </w:rPr>
        <w:t>Në përputhje me qëllimin strategjik të Republikës së Shqipërisë për t’u bërë anëtar i Bashkimit Evropian, Shqipëria është zotuar të përmbushë kriteret që rrjedhin nga procesi i pranimit në Bashkimin Evropian dhe të zbatojë plotësisht parimet e përcaktuara të Bashkimit Evropian në lidhje me lirinë, demokracinë, respektimin e të drejta vetë njeriut, dhe sundimin e ligjit. Për të përmbushur angazhimin e saj për menaxhimin e kufijve dhe për të forcuar më tej partneritetin, stabilitetin dhe rritjen e ekonomisë, si dhe për të zvogëluar rreziqet e sigurisë, Shqipëria ka vendosur një sistem të integruar të administrimit të kufijve dhe vazhdon të përmirësojë këtë sistem në përputhje me rekomandimet e BE-së dhe praktikat më të mira.</w:t>
      </w:r>
    </w:p>
    <w:p w14:paraId="499B27C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Qëllimi i miratimit të Strategjisë Ndërsektoriale së Menaxhimit të Integruar të Kufirit 2021–2027, është vazhdimi i përpjekjeve për të përmirësuar më tej menaxhimin e integruar të kufijve, </w:t>
      </w:r>
      <w:r w:rsidRPr="00F511C4">
        <w:rPr>
          <w:rFonts w:ascii="Garamond" w:eastAsia="Times New Roman" w:hAnsi="Garamond" w:cs="Times New Roman"/>
          <w:sz w:val="24"/>
          <w:szCs w:val="24"/>
          <w:lang w:val="sq-AL"/>
        </w:rPr>
        <w:lastRenderedPageBreak/>
        <w:t>duke mbajtur një nivel të lartë të sigurisë kufitare, kushteve të brendshme të sigurisë si një pjesë integrale e sistemit të sigurisë së përgjithshme të Republikës së Shqipërisë, sigurimin e mbikëqyrjes së besueshme të kufirit shtetëror, lehtësimin e qarkullimit ndërkufitar në pikat e kalimit kufitar, parandalimin dhe menaxhimin e migracionit të parregullt, parandalimin dhe goditjen e krimit ndërkufitar, dhe përmirësimin e procesit të kthimit të personave që nuk janë të autorizuar të qëndrojnë në Shqipëri. Migracioni i parregullt, terrorizmi, krimi i organizuar dhe ai ndërkombëtar, kërcënimet në internet, si dhe rritja e ndjeshmërisë së shoqërisë moderne janë sfida që kërkojnë zhvillimin e aftësive për të menaxhuar kufirin në mënyrë që të parandalohen këto kërcënime.</w:t>
      </w:r>
    </w:p>
    <w:p w14:paraId="6052A06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Ministria e Brendshme, Drejtoria e Përgjithshme e Policisë së Shtetit dhe Administrata Doganore janë autoritetet kryesore përgjegjëse për zbatimin e sistemit të Menaxhimit të Integruar të Kufirit, në bashkëpunim me Autoritetin Kombëtar të Ushqimit, Autoritetet e Shëndetësisë, Forcën Detare/Rojën Bregdetare dhe Drejtorinë e Përgjithshme Detare, si dhe organeve të tjera me kompetencë kufitare.</w:t>
      </w:r>
    </w:p>
    <w:p w14:paraId="5CDFE9A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Koncepti MIK është një model i pranuar gjerësisht për menaxhimin e kufijve të jashtëm të BE-së, një element i rëndësishëm për ruajtjen e sigurisë së brendshme, veçanërisht në parandalimin dhe zbulimin e migracionit të parregullt dhe formave të tjera të krimit ndërkufitar, dhe është një tërësi masash operative me të cilin shtetet parashikojnë një sistem efektiv të menaxhimit të kufijve të jashtëm të BE-së, i cili nënkupton një nivel të lartë besimi të ndërsjellë, zbatim të vazhdueshëm të aktiviteteve të përbashkëta, ndarje të përgjegjësive dhe solidaritetit.</w:t>
      </w:r>
    </w:p>
    <w:p w14:paraId="151396E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Koncepti i menaxhimit të integruar të kufijve të Republikës së Shqipërisë dhe vendeve të tjera të Ballkanit Perëndimor kontribuon ndjeshëm në zonën e Evropës Juglindore si zonë e partneritetit, stabilitetit dhe zhvillimit ekonomik, pasi ulja e rreziqeve të mundshme të sigurisë krijon parakushte për zhvillim më të shpejtë dhe më të mirë të shoqërisë shqiptare dhe fqinjët. Autoritetet kompetente të Republikës së Shqipërisë kanë qenë dhe mbeten shumë të përkushtuar për integrimin e objektivave kryesore të Strategjisë, në veçanti, për të adresuar çështjet bilaterale me vendet fqinje. Gjatë kësaj periudhe, nëpërmjet strukturave buxhetore, qeveria shqiptare, ka dhënë në vijimësi mbështetje për përmirësimin dhe implementimin me sukses të Sistemit të Integruar të Menaxhimit të Kufijve. Sa më sipër, më tepër përpjekje duhen bërë për të marrë këste të ndryshueshme të programit të BE-së për mbështetjen e buxhetit sektorial për menaxhimin e kufirit.</w:t>
      </w:r>
    </w:p>
    <w:p w14:paraId="2B907FE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Indikatori i impaktit që lidhet me vizionin e këtij dokumenti strategjik është: “Indeksi i rritjes së sigurisë kufitare”.</w:t>
      </w:r>
    </w:p>
    <w:p w14:paraId="6187509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PJESA II:</w:t>
      </w:r>
      <w:r w:rsidRPr="00F511C4">
        <w:rPr>
          <w:rFonts w:ascii="Garamond" w:eastAsia="Times New Roman" w:hAnsi="Garamond" w:cs="Times New Roman"/>
          <w:b/>
          <w:sz w:val="24"/>
          <w:szCs w:val="24"/>
          <w:lang w:val="sq-AL"/>
        </w:rPr>
        <w:tab/>
        <w:t>QËLLIMI I POLITIKAVE DHE OBJEKTIVAT SPECIFIKE TË STRATEGJISË</w:t>
      </w:r>
    </w:p>
    <w:p w14:paraId="1F2B162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Qëllimi Politikave Strategjike të Strategjisë Ndërsektoriale të Menaxhimit të Integruar të Kufirit 2021–2027 janë zhvillimi i një sistemi të integruar të administrimit të kufijve në përputhje me sistemin evropian të mbikëqyrjes kufitare dhe rritja e sigurisë kufitare duke përmirësuar bashkëpunimin në të gjitha nivelet dhe forcimin e kapaciteteve administrative, infrastrukturore dhe teknike.</w:t>
      </w:r>
    </w:p>
    <w:p w14:paraId="52FEC97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Zhvillimi i mëtejshëm i sistemit të menaxhimit të integruar të kufijve, përmirësimi i kontrollit dhe mbrojtjes së kufijve do të vazhdojë të jetë një sfidë kryesore në procesin e pranimit të Shqipërisë në Bashkimin Evropian, kryesisht përmes përafrimit të legjislacionit tonë me atë të BE-së në këtë fushë, si dhe bashkëpunimin efektiv të autoriteteve kompetente për të mbrojtur kufijtë dhe në të njëjtën kohë të garantojë sigurinë për qytetarët.</w:t>
      </w:r>
    </w:p>
    <w:p w14:paraId="1382A8A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Zbatimi i kësaj Strategjie siguron përsosjen e mëtejshme të Sistemit të Sigurisë Kufitare, duke arritur përafrimin me atë të vendeve anëtare të BE-së.</w:t>
      </w:r>
    </w:p>
    <w:p w14:paraId="168CD5C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1. Qëllimi i politikës 1: Mbrojtja e sigurisë së brendshme dhe menaxhimi i flukseve migratore, me qëllim parandalimin e migracionit të parregullt, si dhe parandalimin dhe goditjen e krimit ndërkufitar</w:t>
      </w:r>
    </w:p>
    <w:p w14:paraId="33F1F53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1.1 Objektivi specifik 1, i qëllimit të politikës 1</w:t>
      </w:r>
      <w:r w:rsidRPr="00F511C4">
        <w:rPr>
          <w:rFonts w:ascii="Garamond" w:eastAsia="Times New Roman" w:hAnsi="Garamond" w:cs="Times New Roman"/>
          <w:sz w:val="24"/>
          <w:szCs w:val="24"/>
          <w:lang w:val="sq-AL"/>
        </w:rPr>
        <w:t xml:space="preserve">: Rritja e nivelit të përputhshmërisë me standardet evropiane dhe të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rPr>
        <w:t xml:space="preserve">-it, në aspektin legjislativ, administrativ dhe institucional në </w:t>
      </w:r>
      <w:r w:rsidRPr="00F511C4">
        <w:rPr>
          <w:rFonts w:ascii="Garamond" w:eastAsia="Times New Roman" w:hAnsi="Garamond" w:cs="Times New Roman"/>
          <w:sz w:val="24"/>
          <w:szCs w:val="24"/>
          <w:lang w:val="sq-AL"/>
        </w:rPr>
        <w:lastRenderedPageBreak/>
        <w:t>fushën e menaxhimit të integruar të kufijve, veçanërisht në fushën e kontrollit dhe të mbikëqyrjes së kufirit dhe forcimi i bashkëpunimit ndëragjenci dhe bashkëpunimit ndërkombëtar.</w:t>
      </w:r>
    </w:p>
    <w:p w14:paraId="6459AC4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Kontrolli kufitar, një nga elementet e konceptit MIK të Shqipërisë, përfshin të gjitha çështjet përkatëse që lidhen me këtë koncept si: parandalimi dhe zbulimi i krimit ndërkufitar; masat ndaj personave që kanë nevojë për mbrojtje ndërkombëtare; ndërtimi i infrastrukturës kufitare; plani i emergjencave dhe zhvillimi i mëtejshëm i sistemeve të IT-së për përmirësimin e kontrollit kufitar.</w:t>
      </w:r>
    </w:p>
    <w:p w14:paraId="5F33037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Parimet themelore të administrimit efektiv të kufijve janë garantimi i kufijve të hapur për lëvizjen e personave e të mallrave dhe kufijve të sigurt ndaj aktiviteteve kriminale që kërcënojnë stabilitetin, që nënkupton se kontrollet kufitare duhet të mbajnë një ekuilibër midis rrjedhës së qetë të trafikut dhe nevojës për të garantuar sigurinë e brendshme.</w:t>
      </w:r>
    </w:p>
    <w:p w14:paraId="43181C9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Për të realizuar në mënyrën më të mundshme efektive kontrollin kufitar, aktivitetet do të përqendrohen në përmirësimin e kapaciteteve administrative të gjitha shërbimeve të përfshira në menaxhimin e integruar të kufijve, forcimin e kapaciteteve operacionale dhe teknike, duke vazhduar ndërtimin, modernizimin dhe mirëmbajtjen e infrastrukturën kufitare dhe përmirësimin e sistemeve të informacionit.</w:t>
      </w:r>
    </w:p>
    <w:p w14:paraId="0F0D56C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Mbikëqyrja kufitare do të mbështetet në analizën e rrezikut, me angazhimin e patrullave të lëvizshme, të mbështetura nga sistemet teknike, të palëvizshme dhe të lëvizshme, të mbikëqyrjes. Planet e masave të Policisë së Shtetit do të zhvillohen, vazhdimisht, për të përmirësuar gatishmërinë operacionale.</w:t>
      </w:r>
    </w:p>
    <w:p w14:paraId="0DC5B65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Kompetencat dhe detyrimet ligjore për kontrollet efektive kufitare në pikat e kalimit kufitar janë të ndara sipas detyrave funksionale të punës ndërmjet agjencive të zbatimit të ligjit që operojnë në kufi, me kompetencat e tyre ligjore dhe autoritetet, përdorim efikas të burimeve njerëzore dhe teknike. Kontrollet e përbashkëta të policisë, doganave duhet të kryhen në të gjitha pikat e kalimit kufitar, me parimin e një ndalesë.</w:t>
      </w:r>
    </w:p>
    <w:p w14:paraId="74F07F4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xml:space="preserve">Zhvillimi i sistemeve të ndryshme të informacionit të BE-së, të tilla si sistemi evropian i hyrjes/daljes, Sistemi i Informacionit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eastAsia="sq-AL"/>
        </w:rPr>
        <w:t xml:space="preserve"> dhe risitë e tjera të lidhura me IT-n, do të jenë baza për planifikimin e përmirësimit të kontrolleve kufitare. Zhvillimi i mëtejshëm i infrastrukturës në pikat e kalimit kufitar do të sigurojë kontroll më efikas të kufirit dhe funksionim të qetë të transportit të udhëtarëve dhe trafikut të mallrave.</w:t>
      </w:r>
    </w:p>
    <w:p w14:paraId="495044B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 xml:space="preserve">Aktualisht, menaxhimi i kufijve të Republikës së Shqipërisë synon arritjen plotësisht të kërkesave të BE-së dhe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eastAsia="sq-AL"/>
        </w:rPr>
        <w:t xml:space="preserve">it. Për përmirësimin e situatës në këtë fushë, koncepti i Menaxhimit të Integruar të Kufirit, duhet të monitorohet vazhdimisht, veçanërisht në aplikimin e procedurave, pajisjeve teknike dhe infrastrukturës kufitare, të cilat duhet të jenë në përputhje me standardet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eastAsia="sq-AL"/>
        </w:rPr>
        <w:t>.</w:t>
      </w:r>
    </w:p>
    <w:p w14:paraId="27695D60"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1030027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1: Vënia në zbatim e sistemit ATS-G të të dhënave të pasagjerit</w:t>
      </w:r>
    </w:p>
    <w:p w14:paraId="1CDC74B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eastAsia="sq-AL"/>
        </w:rPr>
        <w:t xml:space="preserve">Kjo masë synon sigurimin e një sistemi funksional të shkëmbimit të të dhënave të pasagjerit. Kjo masë do të realizohet nëpërmjet </w:t>
      </w:r>
      <w:r w:rsidRPr="00F511C4">
        <w:rPr>
          <w:rFonts w:ascii="Garamond" w:eastAsia="Times New Roman" w:hAnsi="Garamond" w:cs="Times New Roman"/>
          <w:sz w:val="24"/>
          <w:szCs w:val="24"/>
          <w:lang w:val="sq-AL"/>
        </w:rPr>
        <w:t>përgatitjes dhe miratimit të Procedurave Standarde të Punës për grumbullimin dhe përpunimin e informacionin paraprak të pasagjerëve dhe trajnimi të personelit të Komisariatit të Policisë Kufitare Rinas për grumbullimin dhe përpunimin e informacionin paraprak të pasagjerëve.</w:t>
      </w:r>
    </w:p>
    <w:p w14:paraId="50765B4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2: Miratimi i rregullores “Për rregullat e mbikëqyrjes së kufijve detare në kuadër të bashkëpunimit operacional të koordinuar midis institucioneve kombëtare dhe Agjencisë Evropiane të Rojës Kufitare dhe Bregdetare (FRONTEX)”.</w:t>
      </w:r>
    </w:p>
    <w:p w14:paraId="6797D77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synon të realizojë një përafrim të pjesshëm të legjislacionit kombëtar me rregulloren e Parlamentit dhe Këshillit të Evropës nr. 656/2014.</w:t>
      </w:r>
      <w:r w:rsidRPr="00F511C4">
        <w:rPr>
          <w:rFonts w:ascii="Garamond" w:eastAsia="Times New Roman" w:hAnsi="Garamond" w:cs="Times New Roman"/>
          <w:sz w:val="24"/>
          <w:szCs w:val="24"/>
          <w:lang w:val="sq-AL" w:eastAsia="sq-AL"/>
        </w:rPr>
        <w:t xml:space="preserve"> Kjo masë do të realizohet nëpërmjet</w:t>
      </w:r>
      <w:r w:rsidRPr="00F511C4">
        <w:rPr>
          <w:rFonts w:ascii="Garamond" w:eastAsia="Times New Roman" w:hAnsi="Garamond" w:cs="Times New Roman"/>
          <w:sz w:val="24"/>
          <w:szCs w:val="24"/>
          <w:lang w:val="sq-AL"/>
        </w:rPr>
        <w:t xml:space="preserve"> ngritjes së grupit të përbashkët të punës, hartimit dhe miratimit të rregullores “Për rregullat e mbikëqyrjes së kufijve të jashtëm detarë në kuadër të bashkëpunimit operacional kombëtar e ndërkombëtar”, si dhe nëpërmjet trajnimit të personelit të agjencive të zbatimit të ligjit, për zhvillimin e operacioneve të përbashkëta, për kontrollin e kufijve të jashtëm.</w:t>
      </w:r>
    </w:p>
    <w:p w14:paraId="47316D3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lastRenderedPageBreak/>
        <w:t>Masa 3: Miratimi i legjislacionit për ngritjen dhe funksionimin e Qendrës Kombëtare të Menaxhimit të Integruar të Kufirit</w:t>
      </w:r>
    </w:p>
    <w:p w14:paraId="4E38667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synon të bëjë përafrim të pjesshëm të legjislacionit kombëtar me rregulloren nr. 1052/2013, e Parlamentit Evropian dhe të Këshillit për ngritjen e Sistemit Evropian të Mbikëqyrjes së Kufirit (</w:t>
      </w:r>
      <w:r w:rsidRPr="00F511C4">
        <w:rPr>
          <w:rFonts w:ascii="Garamond" w:eastAsia="Times New Roman" w:hAnsi="Garamond" w:cs="Times New Roman"/>
          <w:i/>
          <w:sz w:val="24"/>
          <w:szCs w:val="24"/>
          <w:lang w:val="sq-AL"/>
        </w:rPr>
        <w:t>Eurosur</w:t>
      </w:r>
      <w:r w:rsidRPr="00F511C4">
        <w:rPr>
          <w:rFonts w:ascii="Garamond" w:eastAsia="Times New Roman" w:hAnsi="Garamond" w:cs="Times New Roman"/>
          <w:sz w:val="24"/>
          <w:szCs w:val="24"/>
          <w:lang w:val="sq-AL"/>
        </w:rPr>
        <w:t>). Kjo masë do të realizohet nëpërmjet aktiviteteve të mëposhtme:</w:t>
      </w:r>
    </w:p>
    <w:p w14:paraId="64BF007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përgatitja dhe miratimi i vendimit të Këshillit të Ministrave për ngritjen e Qendrës Kombëtare të Menaxhimit të Integruar të Kufirit,</w:t>
      </w:r>
    </w:p>
    <w:p w14:paraId="0E8212B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realizimi i projektit dhe ndërtimi i zyrave të nevojshme për funksionimin normal të QKK-së;</w:t>
      </w:r>
    </w:p>
    <w:p w14:paraId="2F152B3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plotësimi i strukturës organike të QKK-së dhe QKR-së me personelin e nevojshëm;</w:t>
      </w:r>
    </w:p>
    <w:p w14:paraId="5A276E9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ngritja e infrastrukturës për përcjelljen e informacionit të nevojshëm në QKK dhe QKR nga të gjitha sistemet e ngritura dhe ato që do të ngrihen për kontrollin dhe mbikëqyrjen e kufirit;</w:t>
      </w:r>
    </w:p>
    <w:p w14:paraId="35CA64A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vendosja e bashkëpunimit operacional me qendrën e FRONTEX-it, qendrat e KK-së të shteteve anëtare të BE-së dhe vendeve të treta;</w:t>
      </w:r>
    </w:p>
    <w:p w14:paraId="3083632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eastAsia="sq-AL"/>
        </w:rPr>
        <w:t>- vendosja e bashkëpunimit operacional me qendrat e Interpol, Europol, SIS/Sirene, oficerët ndërlidhës dhe agjencitë e tjera ndërkombëtare ligjzbatuese në kufi;</w:t>
      </w:r>
    </w:p>
    <w:p w14:paraId="3B7FDA3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miratimi i procedurave standarde të punës së Qendrës Kombëtare të Menaxhimit të Integruar të Kufirit.</w:t>
      </w:r>
    </w:p>
    <w:p w14:paraId="32E40E6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4: Forcimi i autonomisë së Policisë Kufitare dhe Migracionit në fushën operacionale dhe menaxheriale</w:t>
      </w:r>
    </w:p>
    <w:p w14:paraId="720A7B9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do të realizohet nëpërmjet:</w:t>
      </w:r>
    </w:p>
    <w:p w14:paraId="1734EDD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ngritjes së strukturës së shërbimeve mbështetëse pranë Departamentit për Kufirin dhe Migracionin;</w:t>
      </w:r>
    </w:p>
    <w:p w14:paraId="6495D0D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krijimit të një banke të të dhënave për menaxhimin e burimeve logjistike të shërbimeve për kufirin dhe migracionin.</w:t>
      </w:r>
    </w:p>
    <w:p w14:paraId="6279794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eastAsia="sq-AL"/>
        </w:rPr>
      </w:pPr>
      <w:r w:rsidRPr="00F511C4">
        <w:rPr>
          <w:rFonts w:ascii="Garamond" w:eastAsia="Times New Roman" w:hAnsi="Garamond" w:cs="Times New Roman"/>
          <w:b/>
          <w:sz w:val="24"/>
          <w:szCs w:val="24"/>
          <w:lang w:val="sq-AL"/>
        </w:rPr>
        <w:t>Masa 5:</w:t>
      </w:r>
      <w:r w:rsidRPr="00F511C4">
        <w:rPr>
          <w:rFonts w:ascii="Garamond" w:eastAsia="Times New Roman" w:hAnsi="Garamond" w:cs="Times New Roman"/>
          <w:b/>
          <w:sz w:val="24"/>
          <w:szCs w:val="24"/>
          <w:lang w:val="sq-AL" w:eastAsia="sq-AL"/>
        </w:rPr>
        <w:t xml:space="preserve"> Zhvillimi dhe përmirësimi i Procedurave Standarde të Punës (PSP), përafrimi i tyre me standardet e kufijve </w:t>
      </w:r>
      <w:r w:rsidRPr="00F511C4">
        <w:rPr>
          <w:rFonts w:ascii="Garamond" w:eastAsia="Times New Roman" w:hAnsi="Garamond" w:cs="Times New Roman"/>
          <w:b/>
          <w:i/>
          <w:sz w:val="24"/>
          <w:szCs w:val="24"/>
          <w:lang w:val="sq-AL" w:eastAsia="sq-AL"/>
        </w:rPr>
        <w:t>Schengen</w:t>
      </w:r>
    </w:p>
    <w:p w14:paraId="692DB8CF"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sz w:val="24"/>
          <w:szCs w:val="24"/>
          <w:lang w:val="sq-AL"/>
        </w:rPr>
        <w:t xml:space="preserve">Kjo masë synon rishikimin dhe miratimin e procedurave standarde të punës në përputhje me Kodin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rPr>
        <w:t>.</w:t>
      </w:r>
    </w:p>
    <w:p w14:paraId="1A17C34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1.2 Objektivi specifik 2, i qëllimit të politikës 1</w:t>
      </w:r>
      <w:r w:rsidRPr="00F511C4">
        <w:rPr>
          <w:rFonts w:ascii="Garamond" w:eastAsia="Times New Roman" w:hAnsi="Garamond" w:cs="Times New Roman"/>
          <w:sz w:val="24"/>
          <w:szCs w:val="24"/>
          <w:lang w:val="sq-AL"/>
        </w:rPr>
        <w:t>: Përmirësimi i sistemit për mbikëqyrjen e hapësirës detare, kontrollit kufitar dhe kërkim–shpëtimit në det.</w:t>
      </w:r>
    </w:p>
    <w:p w14:paraId="1CAA573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Aktualisht mbikëqyrja e hapësirës detare kryhet nëpërmjet Sistemit të Integruar të Vëzhgimit të Hapësirës Detare, sistem ky në varësi të Forcës Detare/Rojës Bregdetare, por që në kuadër të QNOD-it, në të kanë akses dhe marrin informacion të gjitha institucionet shtetërore në këtë Qendër.</w:t>
      </w:r>
    </w:p>
    <w:p w14:paraId="4DE111E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Nga analizat e deritanishme, rezulton se ky sistem ka nevojë për përmirësimin e kapaciteteve për kontrollin e plotë të hapësirës ujore, veçanërisht në afërsi të bregut të detit për arsye të thyeshmërisë së terrenit dhe të cilat mund të shfrytëzohen lehtësisht për veprimtari të kundërligjshme. Forca Detare/Roja Bregdetare do të nënshkruajnë një marrëveshje afatgjatë me kompaninë prodhuese të sistemit </w:t>
      </w:r>
      <w:r w:rsidRPr="00F511C4">
        <w:rPr>
          <w:rFonts w:ascii="Garamond" w:eastAsia="Times New Roman" w:hAnsi="Garamond" w:cs="Times New Roman"/>
          <w:i/>
          <w:sz w:val="24"/>
          <w:szCs w:val="24"/>
          <w:lang w:val="sq-AL"/>
        </w:rPr>
        <w:t>Lockheed Martin</w:t>
      </w:r>
      <w:r w:rsidRPr="00F511C4">
        <w:rPr>
          <w:rFonts w:ascii="Garamond" w:eastAsia="Times New Roman" w:hAnsi="Garamond" w:cs="Times New Roman"/>
          <w:sz w:val="24"/>
          <w:szCs w:val="24"/>
          <w:lang w:val="sq-AL"/>
        </w:rPr>
        <w:t xml:space="preserve"> për mirëmbajtjen dhe përmirësimin e këtij sistemi. Këto përmirësime midis të tjerash do të përfshijnë edhe vendosjen e radarëve shtesë për mbulimin e zonave të vdekura të bregdetit, si dhe të kamerave për shikimin natën.</w:t>
      </w:r>
    </w:p>
    <w:p w14:paraId="4E78AFD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 funksion të përmbushjes së misionit dhe për zbatimin e detyrimeve ligjore për mbikëqyrjen dhe kontrollin e këtij kufiri, aktualisht shërbimet Policisë Kufitare kanë në dispozicion një numër të mjeteve lundruese. Një pjesë e konsiderueshme e tyre i përkasin një gjeneratë të vjetër teknologjike, kanë plotësuar ciklin jetësor të përdorimit dhe planizohen për heqjen e shpejtë nga përdorimi dhe zëvendësimin e tyre.</w:t>
      </w:r>
    </w:p>
    <w:p w14:paraId="06FEE50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Me qëllim zgjidhjen e problematikës dhe rregullimin e gjendjes për përmirësimin e shërbimeve në Sektorin e Kufirit Blu, do të konsiderohet implementimi i projektit të vitit 2017, i cili në mënyrë të përmbledhur konsiston në:</w:t>
      </w:r>
    </w:p>
    <w:p w14:paraId="7BA45B0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 Heqjen nga përdorimi të mjeteve të vjetra lundruese (të ngelen në përdorim vetëm 7 mjetet lundruese të tipit “</w:t>
      </w:r>
      <w:r w:rsidRPr="00F511C4">
        <w:rPr>
          <w:rFonts w:ascii="Garamond" w:eastAsia="Times New Roman" w:hAnsi="Garamond" w:cs="Times New Roman"/>
          <w:i/>
          <w:sz w:val="24"/>
          <w:szCs w:val="24"/>
          <w:lang w:val="sq-AL"/>
        </w:rPr>
        <w:t>FB Designe</w:t>
      </w:r>
      <w:r w:rsidRPr="00F511C4">
        <w:rPr>
          <w:rFonts w:ascii="Garamond" w:eastAsia="Times New Roman" w:hAnsi="Garamond" w:cs="Times New Roman"/>
          <w:sz w:val="24"/>
          <w:szCs w:val="24"/>
          <w:lang w:val="sq-AL"/>
        </w:rPr>
        <w:t>”) dhe zëvendësimi i tyre me të reja, gjithsej 25 të tilla sipas fish projekteve të përgatitura për këtë qëllim;</w:t>
      </w:r>
    </w:p>
    <w:p w14:paraId="6B44616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Blerjen e motorëve të rinj për mjetet “</w:t>
      </w:r>
      <w:r w:rsidRPr="00F511C4">
        <w:rPr>
          <w:rFonts w:ascii="Garamond" w:eastAsia="Times New Roman" w:hAnsi="Garamond" w:cs="Times New Roman"/>
          <w:i/>
          <w:sz w:val="24"/>
          <w:szCs w:val="24"/>
          <w:lang w:val="sq-AL"/>
        </w:rPr>
        <w:t>FB Designe</w:t>
      </w:r>
      <w:r w:rsidRPr="00F511C4">
        <w:rPr>
          <w:rFonts w:ascii="Garamond" w:eastAsia="Times New Roman" w:hAnsi="Garamond" w:cs="Times New Roman"/>
          <w:sz w:val="24"/>
          <w:szCs w:val="24"/>
          <w:lang w:val="sq-AL"/>
        </w:rPr>
        <w:t>” (janë blerë 6 të tillë në vitin 2018, duhen të blihen edhe 4 të tjerë për të cilët të shikohet mundësia për t’u blerë po këtë vit);</w:t>
      </w:r>
    </w:p>
    <w:p w14:paraId="395961B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Ndërtimin e 13 vendbazimeve, pasi aktualisht kemi vetëm 2 të tilla për mjetet lundruese të PKM (1 në Durrës dhe 1 në Pogradec).</w:t>
      </w:r>
    </w:p>
    <w:p w14:paraId="3505A2D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3444B5E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1:</w:t>
      </w:r>
      <w:r w:rsidRPr="00F511C4">
        <w:rPr>
          <w:rFonts w:ascii="Garamond" w:eastAsia="Times New Roman" w:hAnsi="Garamond" w:cs="Times New Roman"/>
          <w:b/>
          <w:sz w:val="24"/>
          <w:szCs w:val="24"/>
          <w:vertAlign w:val="superscript"/>
          <w:lang w:val="sq-AL"/>
        </w:rPr>
        <w:t xml:space="preserve"> </w:t>
      </w:r>
      <w:r w:rsidRPr="00F511C4">
        <w:rPr>
          <w:rFonts w:ascii="Garamond" w:eastAsia="Times New Roman" w:hAnsi="Garamond" w:cs="Times New Roman"/>
          <w:b/>
          <w:sz w:val="24"/>
          <w:szCs w:val="24"/>
          <w:lang w:val="sq-AL"/>
        </w:rPr>
        <w:t>Përgatitja e projektit për Sistemin elektronik të Unifikuar të Mbikëqyrjes së Kufirit Shtetëror</w:t>
      </w:r>
    </w:p>
    <w:p w14:paraId="4B03F1D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synon të realizojë ngritjen e Sistemit Elektronik të Unifikuar të Mbikëqyrjes së Kufirit Shtetëror dhe do të realizohet nëpërmjet sigurimit të mbulimit me vëzhgim të kufirit tokësor në përputhje me analizën e rrezikut dhe vlerësimin e kërcënimit me mbikëqyrje të vazhdueshme, me rritje të aftësive njerëzore dhe teknike me azhurnim të përhershëm të panoramës së situatës nga QKK-ja, ngritjes së një grupi pune ekspertësh, konceptimi i projektit paraprak, si dhe përcaktimit të përparësive për realizimin e projektit.</w:t>
      </w:r>
    </w:p>
    <w:p w14:paraId="71613CB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2: Forcimi i kapaciteteve të mbikëqyrjes elektronike të kufirit blu</w:t>
      </w:r>
    </w:p>
    <w:p w14:paraId="3A63052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Kjo masë do të realizohet nëpërmjet aktiviteteve të mëposhtme: </w:t>
      </w:r>
    </w:p>
    <w:p w14:paraId="03C8BC4D"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sz w:val="24"/>
          <w:szCs w:val="24"/>
          <w:lang w:val="sq-AL"/>
        </w:rPr>
        <w:t xml:space="preserve">- përmirësimit të kapaciteteve të Sistemit aktual </w:t>
      </w:r>
      <w:r w:rsidRPr="00F511C4">
        <w:rPr>
          <w:rFonts w:ascii="Garamond" w:eastAsia="Calibri" w:hAnsi="Garamond" w:cs="Times New Roman"/>
          <w:sz w:val="24"/>
          <w:szCs w:val="24"/>
          <w:lang w:val="sq-AL"/>
        </w:rPr>
        <w:t xml:space="preserve">të Mbikëqyrjes Elektronike të Kufirit Blu me qëllim eliminimin e mangësive të konstatuara; </w:t>
      </w:r>
    </w:p>
    <w:p w14:paraId="46EC8C5F"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sz w:val="24"/>
          <w:szCs w:val="24"/>
          <w:lang w:val="sq-AL"/>
        </w:rPr>
        <w:t>- ngritjes së Sistemit të Vëzhgimit të Policisë për Mbikëqyrjen e Kufijve Detarë, sistem (prej 5 radarësh dhe kamera), i cili të jetë i integruar me SIVHD dhe përcjellja nëpërmjet tij e panoramës së hapësirës detare në QKK;</w:t>
      </w:r>
    </w:p>
    <w:p w14:paraId="7BD1ED6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instalimit të radarëve për mbikëqyrjen elektronike të kufirit blu në liqenet e Shkodrës, Ohrit dhe Prespës;</w:t>
      </w:r>
    </w:p>
    <w:p w14:paraId="3F8D80E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lidhjes dhe vendosjes së bashkëpunimit operacional midis QKK Tirana dhe QKK të vendeve të Detit Adriatik dhe Jon (Itali, Mali i Zi, Greqi dhe Maqedoni e Veriut, për liqenet);</w:t>
      </w:r>
    </w:p>
    <w:p w14:paraId="3296FAC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marrjen dhe azhurnimin e përhershëm të panoramës së situatës në kufirin shtetëror (tokësor dhe detar) nga QKK dhe sigurimi i reagimit efektiv të strukturave në këtë fushë.</w:t>
      </w:r>
    </w:p>
    <w:p w14:paraId="651E99F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3: Forcimi i kapaciteteve logjistike të Policisë Kufitare dhe Migracionit për mbikëqyrjen e kufirit blu</w:t>
      </w:r>
    </w:p>
    <w:p w14:paraId="6205D9D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ka për qëllim të sigurojë një flotë të patrullimit të kufirit detar krejtësisht funksionale.</w:t>
      </w:r>
    </w:p>
    <w:p w14:paraId="15822A8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do të realizohet nëpërmjet aktiviteteve të mëposhtme:</w:t>
      </w:r>
    </w:p>
    <w:p w14:paraId="3DA548D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pajisja e Policisë Kufitare dhe Migracionit me mjete lundruese për mbikëqyrjen e kufirit blu. Përmirësimi i aftësive të reagimit detar, do të përfshijë rinovimin e mjeteve lundruese ekzistuese (7 të tilla) dhe blerjen e mjeteve të reja të patrullimit (15–18 mjete lundruese) me performancë të lartë, duke shfrytëzuar edhe fondet e BE-së të akorduara për këtë qëllim;</w:t>
      </w:r>
    </w:p>
    <w:p w14:paraId="08E83FD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trajnimi i personelit të Policisë Kufitare për operimin me mjetet lundruese;</w:t>
      </w:r>
    </w:p>
    <w:p w14:paraId="50E6E05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forcimi i kapaciteteve njerëzore dhe teknike të Repartit Special për Kufirin dhe Migracionin “DELTA” për mirëmbajtjen e mjeteve lundruese përmes trajnimi të personelit mirëmbajtës të mjeteve lundruese;</w:t>
      </w:r>
    </w:p>
    <w:p w14:paraId="443A633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ngritja e njësisë së lëvizshme të mirëmbajtjes së mjeteve lundruese dhe pajisja me mjetet e nevojshme;</w:t>
      </w:r>
    </w:p>
    <w:p w14:paraId="0EFE2D5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zhvillimi i trajnimeve dhe mirëmbajtja e mjeteve dhe pajisjeve të mbikëqyrjes së kufirit blu.</w:t>
      </w:r>
    </w:p>
    <w:p w14:paraId="481E716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4: Rishikimi i Planit Kombëtar të Kërkimit dhe Shpëtimit në hapësirën detare duke u përafruar në përputhje me standardet dhe detyrimet e BE-së, me detyra të qarta dhe konkrete për të gjitha institucionet pjesëmarrëse</w:t>
      </w:r>
    </w:p>
    <w:p w14:paraId="52F1F7A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Kjo masë synon zbatimin e detyrimeve të Kërkimit dhe Shpëtimit në hapësirën detare në përputhje me standardet dhe detyrimet e BE, me detyra të qarta dhe konkrete për të gjitha institucionet pjesëmarrëse. kjo masë do të realizohet nëpërmjet aktiviteteve të mëposhtme: </w:t>
      </w:r>
    </w:p>
    <w:p w14:paraId="27B69D1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 përgatitja e urdhrit dhe ngritja e grupit të punës për përgatitjen e draftit të Planit Kombëtar të kërkim–shpëtimit në det;</w:t>
      </w:r>
    </w:p>
    <w:p w14:paraId="23B4F92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miratimi i Planit Kombëtar të Kërkimit dhe Shpëtimit në hapësirën detare;</w:t>
      </w:r>
    </w:p>
    <w:p w14:paraId="70C84FA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përgatitja e draftit të procedurave të përbashkëta standarde të punës për zhvillimin e operacioneve të kërkim–shpëtimit në det;</w:t>
      </w:r>
    </w:p>
    <w:p w14:paraId="4FA4696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miratimi i procedurave standarde të punës për zhvillimin e operacioneve të kërkim–shpëtimit në det;</w:t>
      </w:r>
    </w:p>
    <w:p w14:paraId="716C3CA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trajnimi i përbashkët i personelit të agjencive të zbatimit të ligjit për zhvillimin e operacioneve të kërkim–shpëtimit në det.</w:t>
      </w:r>
    </w:p>
    <w:p w14:paraId="605FC14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5: Zhvillimi i fushatave ndërgjegjësuese për detyrimet e subjekteve shtetërore dhe private për shpëtimin e jetëve në det</w:t>
      </w:r>
    </w:p>
    <w:p w14:paraId="5486051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synon ndërgjegjësim të subjekteve shtetërore dhe private që ushtrojnë aktivitetet në hapësirën blu, për zbatimin e detyrimeve për shpëtimin e jetëve në det, sipas legjislacionit kombëtar dhe ndërkombëtar. Masa do të realizohet nëpërmjet këtyre aktiviteteve:</w:t>
      </w:r>
    </w:p>
    <w:p w14:paraId="347D8CA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Zhvillimi takimeve informuese me subjektet shtetërore dhe private që ushtrojnë aktivitetet në hapësirën blu, për detyrimin për shpëtimin e jetëve në det, sipas legjislacionit kombëtar dhe ndërkombëtar;</w:t>
      </w:r>
    </w:p>
    <w:p w14:paraId="4F89F24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Prodhimi dhe shpërndarja e materialeve informuese rreth detyrimeve që rrjedhin nga legjislacioni ndërkombëtar për shpëtimin e jetëve në det.</w:t>
      </w:r>
    </w:p>
    <w:p w14:paraId="7A217C0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1.3 Objektivi specifik 3, i qëllimit të politikës 1</w:t>
      </w:r>
      <w:r w:rsidRPr="00F511C4">
        <w:rPr>
          <w:rFonts w:ascii="Garamond" w:eastAsia="Times New Roman" w:hAnsi="Garamond" w:cs="Times New Roman"/>
          <w:sz w:val="24"/>
          <w:szCs w:val="24"/>
          <w:lang w:val="sq-AL"/>
        </w:rPr>
        <w:t>: Reduktimi i vulnerabilitetit (ndjeshmërisë) në kufi duke reaguar në mënyrë më efektive me vendosjen e burimeve të disponueshme, bazuar në analizën e rrezikut të kryer dhe kërcënimit që mund të ndikojë në sigurinë kufitare, në përputhje me modelin e CIRAM-it të BE-së.</w:t>
      </w:r>
    </w:p>
    <w:p w14:paraId="71A0867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Departamenti i Policisë Kufitare dhe Migracionit ka krijuar një model të analizës së rrezikut në përputhje me metodologjinë e FRONTEX (CIRAM 2.0). Analiza e rrezikut bëhet në të tre nivelet (qendror, rajonal dhe lokal), e cila është e detyrueshme dy herë në vit, si dhe analiza të synuara siç kërkohet.</w:t>
      </w:r>
    </w:p>
    <w:p w14:paraId="36526BC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Miratimi i një udhëzuesi për zhvillimin e analizës së rrezikut në të tre nivelet, në përputhje me metodologjinë e FRONTEX-it (CIRAM 2.0), është i nevojshëm, i cili të jetë në përputhje me Modelin e Përbashkët të Analizës së Riskut, që po ndiqet në Departament. Në të tria nivelet, për oficerët e përfshirë në analizën e rrezikut, janë kryer trajnime, si dhe janë planifikuar masa të reja në periudhën e ardhshme. Ngritja e një sistemi për përpilimin, vlerësimin, shpërndarjen dhe përcjelljen e informacionit operacional INFOSTREAM, bazuar në modelin 4x4, konsiderohet një domosdoshmëri.</w:t>
      </w:r>
    </w:p>
    <w:p w14:paraId="12FE6DB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Bashkëpunimi me FRONTEX është konstant dhe zbatohet përmes WB-RAN (Rrjeti i Analizës së Riskut në Ballkanin Perëndimor), brenda së cilës hartohet një AR vjetor për vendet e Ballkanit Perëndimor nga FRONTEX dhe vendet anëtare të WB RAN. Në bashkëpunim me FRONTEX, u zhvillua një broshurë në lidhje me treguesit e rrezikut të zakonshëm për luftëtarët e huaj terroristë, e cila iu dha për përdorim të gjitha vendkalimeve kufitare.</w:t>
      </w:r>
    </w:p>
    <w:p w14:paraId="45C3E1F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Shkëmbimi i informacionit dhe të të dhënave është konsoliduar gjithnjë e më shumë me vendet fqinje, por nevojitet përmirësim më i qartë i bashkëpunimit. Ndërkohë, me përfaqësuesit e shërbimeve kufitare të vendeve fqinje zhvillohen takime të rregullta në nivelin qendror, rajonal dhe lokal.</w:t>
      </w:r>
    </w:p>
    <w:p w14:paraId="06BFB9F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Përmirësimi në mënyrë të përhershme, vendosja e kapaciteteve të përbashkëta të sistemit të analizës së rrezikut dhe zbatimi i masave antikorrupsion, është i nevojshëm, pasi kontrollet kufitare bazohen në analizën e rreziqeve dhe inteligjencën kriminale. Planet operacionale të Policisë Kufitare hartohen mbi bazën e një analize rreziku dhe azhurnohen vazhdimisht.</w:t>
      </w:r>
    </w:p>
    <w:p w14:paraId="044CE86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Analiza e rrezikut kufitar përfshin sigurinë e brendshme dhe analizën e kërcënimeve që mund të ndikojnë në funksionimin e sigurisë kufitare.</w:t>
      </w:r>
    </w:p>
    <w:p w14:paraId="157D9F4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Analiza e rrezikut të menaxhimit të kufijve bazohet në modelin CIRAM të BE-së, sipas të cilit rreziku analizohet përmes katër niveleve të kontrollit të qasjes. Qëllimi i përmirësimit të filtrit të </w:t>
      </w:r>
      <w:r w:rsidRPr="00F511C4">
        <w:rPr>
          <w:rFonts w:ascii="Garamond" w:eastAsia="Times New Roman" w:hAnsi="Garamond" w:cs="Times New Roman"/>
          <w:sz w:val="24"/>
          <w:szCs w:val="24"/>
          <w:lang w:val="sq-AL"/>
        </w:rPr>
        <w:lastRenderedPageBreak/>
        <w:t>sistemit të administrimit të rreziqeve për menaxhimin e kufijve është të mbështesë vendimmarrjen, si dhe të sigurojë përdorim fleksibël dhe ekonomik të burimeve në zonat ku rreziqet janë më të larta.</w:t>
      </w:r>
    </w:p>
    <w:p w14:paraId="0F55109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sz w:val="24"/>
          <w:szCs w:val="24"/>
          <w:lang w:val="sq-AL"/>
        </w:rPr>
        <w:t>Sistemi i analizës së rrezikut të Policisë Kufitare prodhon informacion analitik dhe një tablo situacionale për planifikimin dhe vendimmarrjen, në nivel strategjik, operacional dhe taktik. Sektori i Analizës së Riskut të Policisë Kufitare bashkëpunon ngushtë me Policinë Kriminale, Doganat, vendet fqinje dhe FRONTEX-i për të parandaluar, zbuluar dhe luftuar krimin ndërkufitar. Për më tepër, Policia Kufitare dhe Doganat do të krijojnë një grup të përbashkët për analizën e rrezikut.</w:t>
      </w:r>
    </w:p>
    <w:p w14:paraId="4D6911A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Gjithashtu, shërbimet veterinare dhe fitosanitare kufitare duhet të përfshihen në sistemin e analizës së rrezikut.</w:t>
      </w:r>
    </w:p>
    <w:p w14:paraId="52D6BCA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1310717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1: Zhvillimi dhe aplikimi i Modelit CIRAM për analizën e riskut në të gjitha strukturat qendrore dhe vendore për kufirin dhe Migracionin</w:t>
      </w:r>
    </w:p>
    <w:p w14:paraId="78DCD1E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synon të realizojë aplikimin e Modelit CIRAM të analizës së riskut në të gjitha strukturat qendrore të DKM, i cili do të ndikojë në rritjen e identifikimit të aktiviteteve të paligjshme në kufi.</w:t>
      </w:r>
    </w:p>
    <w:p w14:paraId="4A6E045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2: Forcimi i kontrolleve në kufi me qëllim uljen e krimit ndërkufitar</w:t>
      </w:r>
    </w:p>
    <w:p w14:paraId="79A9E4C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Kjo masë synon të rrisë dhe forcojë shërbimet për kontrollin kufitar me qëllim parandalimin dhe reduktimin e kalimeve të paligjshme në kufi. </w:t>
      </w:r>
    </w:p>
    <w:p w14:paraId="05B9CE2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do të realizohet nëpërmjet aktiviteteve të mëposhtme:</w:t>
      </w:r>
    </w:p>
    <w:p w14:paraId="44277D2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reduktimi në masën 10 % i numrit të kalimeve të paligjshme në pikat e kalimit kufitar dhe aktiviteteve kriminale ndërkufitare (parandalimi i kalimit të paligjshëm të kufirit në pikat kufitare me dokumentin e udhëtimit të dikujt tjetër ose dokumentin e falsifikuar të udhëtimit dhe hyrjen e paautorizuar në Republikën e Shqipërisë për shkak të mos përmbushjes së kushteve);</w:t>
      </w:r>
    </w:p>
    <w:p w14:paraId="39F9DF3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rritja në masën 10 % e numrit të personave, mjeteve motorike dhe dokumenteve të udhëtimit të kapur e të ndaluar në kufi;</w:t>
      </w:r>
    </w:p>
    <w:p w14:paraId="41F63AB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reduktimi i numrit të rrugëve të paligjshme të kalimit kufitar (jashtë PKK-ve) dhe aktiviteteve kriminale ndërkufitare (parandalimi i kalimit të paligjshëm të kufirit nga jashtë brenda dhe nga brenda jashtë pikave të kalimit kufitar).</w:t>
      </w:r>
    </w:p>
    <w:p w14:paraId="1E368B1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3: Hartimi dhe miratimi i një plani masash për reagimin e menjëhershëm sipas analizës së riskut dhe zhvillimeve të mundshme të papritura në kufirin shtetëror</w:t>
      </w:r>
    </w:p>
    <w:p w14:paraId="2D82D5B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synon hartimin e një plani masash të parashikuara për zbatim të menjëhershëm në rast situate të paparashikuar.</w:t>
      </w:r>
    </w:p>
    <w:p w14:paraId="0F4C7CB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4: Forcimi i burimeve njerëzore të Policisë Kufitare dhe Migracionit</w:t>
      </w:r>
    </w:p>
    <w:p w14:paraId="0459E9D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synon të plotësojë me burime njerëzore të shërbimeve të PKM sipas nevojave dhe rekomandimeve të BE-së. Masa 4, do të realizohet nëpërmjet aktiviteteve të mëposhtme:</w:t>
      </w:r>
    </w:p>
    <w:p w14:paraId="086C1FF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alokimi i 300 funksioneve shtesë për Policinë Kufitare dhe Migracionit dhe shpërndarja e tyre sipas analizës së riskut dhe nevojave operacionale;</w:t>
      </w:r>
    </w:p>
    <w:p w14:paraId="3713182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trajnimi bazë për rojet kufitare të rekrutuara pas alokimit të funksioneve shtesë.</w:t>
      </w:r>
    </w:p>
    <w:p w14:paraId="7293613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xml:space="preserve">Masa 5: Zhvillimi i sistemit të analizës së përbashkët të riskut dhe vlerësimit të kërcënimeve në kuadër të Qendrës Kombëtare të Menaxhimit të Integruara të Kufirit, </w:t>
      </w:r>
      <w:r w:rsidRPr="00F511C4">
        <w:rPr>
          <w:rFonts w:ascii="Garamond" w:eastAsia="Times New Roman" w:hAnsi="Garamond" w:cs="Times New Roman"/>
          <w:sz w:val="24"/>
          <w:szCs w:val="24"/>
          <w:lang w:val="sq-AL"/>
        </w:rPr>
        <w:t xml:space="preserve">nëpërmjet së cilës synohet zhvillimi i analizave të përbashkëta 6-mujore dhe vjetore. </w:t>
      </w:r>
    </w:p>
    <w:p w14:paraId="1B0495C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6: Pajisja e shërbimeve të mbikëqyrjes së kufirit me mjete dhe pajisje speciale</w:t>
      </w:r>
    </w:p>
    <w:p w14:paraId="19F1D7D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ka për qëllim të realizohet nëpërmjet masave të mëposhtme:</w:t>
      </w:r>
    </w:p>
    <w:p w14:paraId="6DF14A6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pajisja e shërbimeve të mbikëqyrjes së kufirit me kamera termike, dylbi dite dhe dylbi nate;</w:t>
      </w:r>
    </w:p>
    <w:p w14:paraId="5CC1788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pajisja e shërbime të mbikëqyrjes së kufirit me sisteme të mbikëqyrjes së kufirit (TVV Van);</w:t>
      </w:r>
    </w:p>
    <w:p w14:paraId="053A157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instalimi i kullave të mbikëqyrjes së kufirit të pajisura me pajisje speciale (radarë, kamera termike, multisensor, mjete të vëzhgimit gjatë ditës).</w:t>
      </w:r>
    </w:p>
    <w:p w14:paraId="2056F73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pajisja e shërbimeve të mbikëqyrjes së kufirit me kamera SMARTDEC.</w:t>
      </w:r>
    </w:p>
    <w:p w14:paraId="435793A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7: Pajisja e shërbimeve të kontrollit të kufirit me pajisje speciale.</w:t>
      </w:r>
    </w:p>
    <w:p w14:paraId="11C9871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do të realizohet nëpërmjet aktiviteteve të mëposhtme:</w:t>
      </w:r>
    </w:p>
    <w:p w14:paraId="7B4FD05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 pajisja e pikave të kalimit kufitar me fibro/videoskope;</w:t>
      </w:r>
    </w:p>
    <w:p w14:paraId="3FF7D39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pajisja e pikave të kalimit kufitar me pajisje për kontrollin e dendësisë (</w:t>
      </w:r>
      <w:r w:rsidRPr="00F511C4">
        <w:rPr>
          <w:rFonts w:ascii="Garamond" w:eastAsia="Times New Roman" w:hAnsi="Garamond" w:cs="Times New Roman"/>
          <w:i/>
          <w:sz w:val="24"/>
          <w:szCs w:val="24"/>
          <w:lang w:val="sq-AL"/>
        </w:rPr>
        <w:t>buster</w:t>
      </w:r>
      <w:r w:rsidRPr="00F511C4">
        <w:rPr>
          <w:rFonts w:ascii="Garamond" w:eastAsia="Times New Roman" w:hAnsi="Garamond" w:cs="Times New Roman"/>
          <w:sz w:val="24"/>
          <w:szCs w:val="24"/>
          <w:lang w:val="sq-AL"/>
        </w:rPr>
        <w:t>);</w:t>
      </w:r>
    </w:p>
    <w:p w14:paraId="217E621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pajisja e pikave të kalimit kufitar me pajisje për detektimin e radioaktivitetit (</w:t>
      </w:r>
      <w:r w:rsidRPr="00F511C4">
        <w:rPr>
          <w:rFonts w:ascii="Garamond" w:eastAsia="Times New Roman" w:hAnsi="Garamond" w:cs="Times New Roman"/>
          <w:i/>
          <w:sz w:val="24"/>
          <w:szCs w:val="24"/>
          <w:lang w:val="sq-AL"/>
        </w:rPr>
        <w:t>pager</w:t>
      </w:r>
      <w:r w:rsidRPr="00F511C4">
        <w:rPr>
          <w:rFonts w:ascii="Garamond" w:eastAsia="Times New Roman" w:hAnsi="Garamond" w:cs="Times New Roman"/>
          <w:sz w:val="24"/>
          <w:szCs w:val="24"/>
          <w:lang w:val="sq-AL"/>
        </w:rPr>
        <w:t>);</w:t>
      </w:r>
    </w:p>
    <w:p w14:paraId="0885D25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rritja e numri të qenve të policisë për lëndët narkotike.</w:t>
      </w:r>
    </w:p>
    <w:p w14:paraId="10E3201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 8: Sigurimi i radiokomunikimit për të gjitha strukturat vendore të Policisë Kufitare dhe Migracionit.</w:t>
      </w:r>
    </w:p>
    <w:p w14:paraId="7453971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Kjo masë synon rritjen e eficiencës së shërbimeve të kufirit nëpërmjet vënies në funksion të sistemit të radiokomunikimit për Policinë Kufitare dhe Migracionit. Kjo masë do të realizohet nëpërmjet aktiviteteve të mëposhtme:</w:t>
      </w:r>
    </w:p>
    <w:p w14:paraId="45D8C4D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Kryerja e një studimi të plotë për mundësinë e rivendosjes në funksion të sistemit aktual të radiokomunikimit për strukturat vendore të Policisë Kufitare dhe identifikimi i buxhetit të nevojshëm për këtë qëllim.</w:t>
      </w:r>
    </w:p>
    <w:p w14:paraId="28046AD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Vënia në funksion e sistemit të radiokomunikimit për Policinë Kufitare dhe Migracionit dhe përmirësimi i sistemit të komunikimit në hapësirën detare TETRA.</w:t>
      </w:r>
    </w:p>
    <w:p w14:paraId="4C8266F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Pajisja me radio komunikimi (stacionare dhe portabël) i të gjitha shërbimeve të Policisë Kufitare dhe Migracionit.</w:t>
      </w:r>
    </w:p>
    <w:p w14:paraId="41B4A41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Vënia në funksionim e kanaleve VHF 60 dhe 60 (të miratuara nga Autoriteti i Komunikimeve Elektronike dhe Postare, AKEP) për komunikimin me radio në hapësirën detare me mjetet lundruese të PKM.</w:t>
      </w:r>
    </w:p>
    <w:p w14:paraId="4A07CD1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xml:space="preserve">Masa 9: Pajisja e shërbimeve të Policisë Kufitare dhe Migracionit me automjete patrullimi dhe mjete transporti për shërbimet dhe migrantët e parregullt, </w:t>
      </w:r>
      <w:r w:rsidRPr="00F511C4">
        <w:rPr>
          <w:rFonts w:ascii="Garamond" w:eastAsia="Times New Roman" w:hAnsi="Garamond" w:cs="Times New Roman"/>
          <w:sz w:val="24"/>
          <w:szCs w:val="24"/>
          <w:lang w:val="sq-AL"/>
        </w:rPr>
        <w:t>nëpërmjet së cilës synohet pajisja e DKM me 10 mjete patrullimi dhe 5 furgonë.</w:t>
      </w:r>
    </w:p>
    <w:p w14:paraId="2853B0D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1.4 Objektivi specifik 4, i qëllimit të politikës 1</w:t>
      </w:r>
      <w:r w:rsidRPr="00F511C4">
        <w:rPr>
          <w:rFonts w:ascii="Garamond" w:eastAsia="Times New Roman" w:hAnsi="Garamond" w:cs="Times New Roman"/>
          <w:sz w:val="24"/>
          <w:szCs w:val="24"/>
          <w:lang w:val="sq-AL"/>
        </w:rPr>
        <w:t>: Bashkëpunim i zgjeruar ndërinstitucional në menaxhimin e integruar të kufijve për të përmirësuar trafikun ndërkufitar, përmirësimin e sigurisë kufitare, luftën ndaj krimit ndërkufitar, mbrojtjen e jetës, shëndetit dhe pronën e njerëzve, shëndetin e kafshëve, bimësinë dhe ekosistemet përgjatë kufirit shtetëror.</w:t>
      </w:r>
    </w:p>
    <w:p w14:paraId="2DB3040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Bashkëpunimi ndërsektorial përbën themelin e Menaxhimit të Integruar të Kufirit, që kërkon ndarje të koordinuar të punës, vendosjen e standardeve për bashkëpunim, promovimin e përdorimit të përbashkët të të gjitha kapaciteteve, kanalet e komunikimit dhe sinkronizimin e procedurave të punës.</w:t>
      </w:r>
    </w:p>
    <w:p w14:paraId="47ADC8D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70FFEE6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drawing>
          <wp:inline distT="0" distB="0" distL="0" distR="0" wp14:anchorId="3A8F0E2B" wp14:editId="1D1F5D6B">
            <wp:extent cx="5547815" cy="32609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9028" t="27805" r="20967" b="19943"/>
                    <a:stretch/>
                  </pic:blipFill>
                  <pic:spPr bwMode="auto">
                    <a:xfrm>
                      <a:off x="0" y="0"/>
                      <a:ext cx="5566063" cy="3271720"/>
                    </a:xfrm>
                    <a:prstGeom prst="rect">
                      <a:avLst/>
                    </a:prstGeom>
                    <a:ln>
                      <a:noFill/>
                    </a:ln>
                    <a:extLst>
                      <a:ext uri="{53640926-AAD7-44D8-BBD7-CCE9431645EC}">
                        <a14:shadowObscured xmlns:a14="http://schemas.microsoft.com/office/drawing/2010/main"/>
                      </a:ext>
                    </a:extLst>
                  </pic:spPr>
                </pic:pic>
              </a:graphicData>
            </a:graphic>
          </wp:inline>
        </w:drawing>
      </w:r>
      <w:r w:rsidRPr="00F511C4">
        <w:rPr>
          <w:rFonts w:ascii="Garamond" w:eastAsia="Times New Roman" w:hAnsi="Garamond" w:cs="Times New Roman"/>
          <w:sz w:val="24"/>
          <w:szCs w:val="24"/>
          <w:lang w:val="sq-AL"/>
        </w:rPr>
        <w:t xml:space="preserve"> </w:t>
      </w:r>
    </w:p>
    <w:p w14:paraId="256A962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Bashkëpunimi ndërsektorial mundëson angazhimin dhe përdorimin optimal të burimeve njerëzore, teknike dhe buxhetore të agjencive të përfshira në zbatimin e Strategjisë, me qëllim lehtësimin e qarkullimit legjitim të shtetasve dhe mallrave, përmirësimit të sigurisë kufitare, mbrojtjes së jetës, shëndetit dhe pronës së njerëzve, shëndetit të kafshëve, bimësisë dhe ekosistemeve përgjatë kufirit shtetëror, si dhe parandalimin e goditjen e krimit ndërkufitar.</w:t>
      </w:r>
    </w:p>
    <w:p w14:paraId="050F25D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Ky bashkëpunim në veçanti ka të bëjë me koordinimin e punës dhe promovimin e bashkëpunimit ndërmjet autoriteteve kompetente për kontrollin dhe mbrojtjen e kufijve, analizën e përbashkët të rrezikut, krijimin e ekipeve të përbashkëta të punës, zbatimin e veprimeve të përbashkëta, ofrimin e mbështetjes profesionale dhe teknike, përdorimin e përbashkët të pajisjeve, arsimim dhe trajnime të përbashkëta, bashkëpunimin me autoritete të tjera, bashkëpunimin ndërkombëtar, shkëmbimin e të dhënave dhe informacionit. Ai gjithashtu nënkupton bashkëpunim me institucionet, autoritetet, zyrat dhe agjencitë përkatëse të Bashkimit Evropian, përfshirë shkëmbimin e përhershëm të informacionit përmes përdorimit të instrumenteve ekzistuese, siç është Sistemi Evropian i Mbikëqyrjes së Kufijve “EUROSUR”, i krijuar me Rregulloren (BE) nr. 1052/2013, të Parlamentit Evropian dhe të Këshillit, të 22 tetorit 2013.</w:t>
      </w:r>
    </w:p>
    <w:p w14:paraId="312A9FF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Rregullorja (BE) 2019/1896, u rekomandon shteteve anëtare të krijojnë qendra kombëtare koordinimi në mënyrë që të përmirësojnë shkëmbimin e informacionit dhe bashkëpunimit ndërinstitucional dhe ndërmjet shteteve anëtare, në lidhje me mbrojtjen e kufirit kombëtar dhe zbatimin e kontrollit kufitar. Për funksionimin efektiv të EUROSUR-it, është thelbësore që të gjitha autoritetet kombëtare përgjegjëse për mbrojtjen e kufijve të jashtëm të bashkëpunojnë përmes Qendrave Kombëtare të Menaxhimit të Integruar të Kufirit. Në këtë kontekst, Shqipëria do t’i kushtojë vëmendje të veçantë ngritjes së Qendrës Kombëtare të Menaxhimit të Integruar të Kufirit.</w:t>
      </w:r>
    </w:p>
    <w:p w14:paraId="4B48775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Për Menaxhimin e Integruar të Kufirit në nivel lokal, do të ngrihen bordet e Menaxhimit të Integruar të Kufirit. Bordet do të drejtohen nga drejtorët e drejtorive vendore për kufirin dhe migracionin me anëtar drejtorët e degëve të doganës, drejtorët rajonalë të Autoritetit Kombëtar të Ushqimit, drejtorët rajonalë të Institutit të Shëndetit Publik dhe drejtorët e drejtorive vendore të policisë. Bordet do të mblidhen çdo tre muaj për të analizuar zbatimin e Strategjisë në nivel lokal dhe do të shqyrtojnë hartimin dhe miratimin e mundshëm të planeve të përbashkëta të masave për adresimin e çështjeve në interes të menaxhimit dhe sigurisë kufitare. Pas çdo mbledhje, bordet do të informojnë Sekretariatin Teknik.</w:t>
      </w:r>
    </w:p>
    <w:p w14:paraId="3616201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09D8E42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1</w:t>
      </w:r>
      <w:r w:rsidRPr="00F511C4">
        <w:rPr>
          <w:rFonts w:ascii="Garamond" w:eastAsia="Times New Roman" w:hAnsi="Garamond" w:cs="Times New Roman"/>
          <w:sz w:val="24"/>
          <w:szCs w:val="24"/>
          <w:lang w:val="sq-AL"/>
        </w:rPr>
        <w:t>: Përgatitja e Rregullores së Bashkëpunimit ndërmjet Policisë së Shtetit dhe Drejtorisë së Përgjithshme të Doganave në kuadër të Menaxhimit të Integruar të Kufirit;</w:t>
      </w:r>
    </w:p>
    <w:p w14:paraId="60B5539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2</w:t>
      </w:r>
      <w:r w:rsidRPr="00F511C4">
        <w:rPr>
          <w:rFonts w:ascii="Garamond" w:eastAsia="Times New Roman" w:hAnsi="Garamond" w:cs="Times New Roman"/>
          <w:sz w:val="24"/>
          <w:szCs w:val="24"/>
          <w:lang w:val="sq-AL"/>
        </w:rPr>
        <w:t>: Rishikimi i Rregullores së Bashkëpunimit ndërmjet Policisë së Shtetit, Shërbimit Doganor, Shërbimit Veterinar dhe Shërbimit Fitosanitar, të vitit 2009, në përputhje dhe ndryshimet institucionale dhe ligjore;</w:t>
      </w:r>
    </w:p>
    <w:p w14:paraId="2754437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3</w:t>
      </w:r>
      <w:r w:rsidRPr="00F511C4">
        <w:rPr>
          <w:rFonts w:ascii="Garamond" w:eastAsia="Times New Roman" w:hAnsi="Garamond" w:cs="Times New Roman"/>
          <w:sz w:val="24"/>
          <w:szCs w:val="24"/>
          <w:lang w:val="sq-AL"/>
        </w:rPr>
        <w:t>: Ngritja e Grupit të Përhershëm të Punës për studimin e përbashkët të nevojave dhe aplikimin për investime dhe projekte në fushën e sigurisë kufitare;</w:t>
      </w:r>
    </w:p>
    <w:p w14:paraId="66ABDE0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4</w:t>
      </w:r>
      <w:r w:rsidRPr="00F511C4">
        <w:rPr>
          <w:rFonts w:ascii="Garamond" w:eastAsia="Times New Roman" w:hAnsi="Garamond" w:cs="Times New Roman"/>
          <w:sz w:val="24"/>
          <w:szCs w:val="24"/>
          <w:lang w:val="sq-AL"/>
        </w:rPr>
        <w:t>: Studimi i nevojave dhe përgatitja, miratimi dhe implementimit i planeve vjetore të trajnimeve të përbashkëta të personelit të agjencive të zbatimit të ligjit që operojnë në kufi;</w:t>
      </w:r>
    </w:p>
    <w:p w14:paraId="6A71912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5</w:t>
      </w:r>
      <w:r w:rsidRPr="00F511C4">
        <w:rPr>
          <w:rFonts w:ascii="Garamond" w:eastAsia="Times New Roman" w:hAnsi="Garamond" w:cs="Times New Roman"/>
          <w:sz w:val="24"/>
          <w:szCs w:val="24"/>
          <w:lang w:val="sq-AL"/>
        </w:rPr>
        <w:t>: Forcimi i kapaciteteve për shkëmbimin e informacionit të kohë reale, ndërmjet Agjencive të Zbatimit të Ligjit që operojnë në kufi;</w:t>
      </w:r>
    </w:p>
    <w:p w14:paraId="21DB550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b/>
          <w:sz w:val="24"/>
          <w:szCs w:val="24"/>
          <w:lang w:val="sq-AL"/>
        </w:rPr>
        <w:t>Masa 6</w:t>
      </w:r>
      <w:r w:rsidRPr="00F511C4">
        <w:rPr>
          <w:rFonts w:ascii="Garamond" w:eastAsia="Times New Roman" w:hAnsi="Garamond" w:cs="Times New Roman"/>
          <w:sz w:val="24"/>
          <w:szCs w:val="24"/>
          <w:lang w:val="sq-AL"/>
        </w:rPr>
        <w:t>:</w:t>
      </w:r>
      <w:r w:rsidRPr="00F511C4">
        <w:rPr>
          <w:rFonts w:ascii="Garamond" w:eastAsia="Times New Roman" w:hAnsi="Garamond" w:cs="Times New Roman"/>
          <w:sz w:val="24"/>
          <w:szCs w:val="24"/>
          <w:lang w:val="sq-AL" w:eastAsia="sq-AL"/>
        </w:rPr>
        <w:t xml:space="preserve"> Forcimi i bashkëpunimit me operatorët në transportin ajror, detar dhe hekurudhor;</w:t>
      </w:r>
    </w:p>
    <w:p w14:paraId="765898D2"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b/>
          <w:sz w:val="24"/>
          <w:szCs w:val="24"/>
          <w:lang w:val="sq-AL" w:eastAsia="sq-AL"/>
        </w:rPr>
        <w:t>Masa 7:</w:t>
      </w:r>
      <w:r w:rsidRPr="00F511C4">
        <w:rPr>
          <w:rFonts w:ascii="Garamond" w:eastAsia="Times New Roman" w:hAnsi="Garamond" w:cs="Times New Roman"/>
          <w:sz w:val="24"/>
          <w:szCs w:val="24"/>
          <w:lang w:val="sq-AL" w:eastAsia="sq-AL"/>
        </w:rPr>
        <w:t xml:space="preserve"> </w:t>
      </w:r>
      <w:r w:rsidRPr="00F511C4">
        <w:rPr>
          <w:rFonts w:ascii="Garamond" w:eastAsia="Times New Roman" w:hAnsi="Garamond" w:cs="Times New Roman"/>
          <w:sz w:val="24"/>
          <w:szCs w:val="24"/>
          <w:lang w:val="sq-AL"/>
        </w:rPr>
        <w:t>Hartimi i modulit me temë “Menaxhimi i integruar i kufirit një nga detyrimet për integrimin e Shqipërisë në BE;</w:t>
      </w:r>
    </w:p>
    <w:p w14:paraId="3FEB967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iCs/>
          <w:sz w:val="24"/>
          <w:szCs w:val="24"/>
          <w:lang w:val="sq-AL"/>
        </w:rPr>
      </w:pPr>
      <w:r w:rsidRPr="00F511C4">
        <w:rPr>
          <w:rFonts w:ascii="Garamond" w:eastAsia="Times New Roman" w:hAnsi="Garamond" w:cs="Times New Roman"/>
          <w:b/>
          <w:sz w:val="24"/>
          <w:szCs w:val="24"/>
          <w:lang w:val="sq-AL"/>
        </w:rPr>
        <w:t>Masa 8:</w:t>
      </w:r>
      <w:r w:rsidRPr="00F511C4">
        <w:rPr>
          <w:rFonts w:ascii="Garamond" w:eastAsia="Times New Roman" w:hAnsi="Garamond" w:cs="Times New Roman"/>
          <w:sz w:val="24"/>
          <w:szCs w:val="24"/>
          <w:lang w:val="sq-AL"/>
        </w:rPr>
        <w:t xml:space="preserve"> </w:t>
      </w:r>
      <w:r w:rsidRPr="00F511C4">
        <w:rPr>
          <w:rFonts w:ascii="Garamond" w:eastAsia="Times New Roman" w:hAnsi="Garamond" w:cs="Times New Roman"/>
          <w:color w:val="222222"/>
          <w:sz w:val="24"/>
          <w:szCs w:val="24"/>
          <w:lang w:val="sq-AL"/>
        </w:rPr>
        <w:t>Mundësimi i aksesimit në bazën e të dhënave shtetërore “Regjistri Kombëtar i Pasurive Kulturore (RKPK)”, me qëllim përmirësimin e infrastrukturës për monitorimin e qarkullimit civil dhe fizik të pasurive kulturore.</w:t>
      </w:r>
    </w:p>
    <w:p w14:paraId="4BF9305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1.5 Objektivi specifik 5, i qëllimit të politikës 1</w:t>
      </w:r>
      <w:r w:rsidRPr="00F511C4">
        <w:rPr>
          <w:rFonts w:ascii="Garamond" w:eastAsia="Times New Roman" w:hAnsi="Garamond" w:cs="Times New Roman"/>
          <w:sz w:val="24"/>
          <w:szCs w:val="24"/>
          <w:lang w:val="sq-AL"/>
        </w:rPr>
        <w:t xml:space="preserve">: Forcimi i bashkëpunimit ndërkombëtar, veçanërisht me vendet fqinje, institucionet e BE-së dhe Agjencinë Evropiane të Rojës Kufitare dhe </w:t>
      </w:r>
      <w:r w:rsidRPr="00F511C4">
        <w:rPr>
          <w:rFonts w:ascii="Garamond" w:eastAsia="Times New Roman" w:hAnsi="Garamond" w:cs="Times New Roman"/>
          <w:sz w:val="24"/>
          <w:szCs w:val="24"/>
          <w:lang w:val="sq-AL"/>
        </w:rPr>
        <w:lastRenderedPageBreak/>
        <w:t>Bregdetare (FRONTEX) për çështjet e kufijve, parandalimin e migracionit të paligjshëm, krimin ndërkufitar dhe ripranimin e personave me qëndrim të parregullt.</w:t>
      </w:r>
    </w:p>
    <w:p w14:paraId="31BF9DB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Bashkëpunimi ndërkombëtar është intensifikuar dhe është regjistruar një trend i rritjes së aktiviteteve ndërkombëtare, përmes shkëmbimit të informacionit dhe veprimeve të përbashkëta.</w:t>
      </w:r>
    </w:p>
    <w:p w14:paraId="1F1367B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Bashkëpunimi me vendet fqinje</w:t>
      </w:r>
    </w:p>
    <w:p w14:paraId="467E2A8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Marrëveshja për ngritjen e Pikave të Përbashkëta të Kalimit Kufitar me Republikën e Kosovës, atë të Grabomit dhe të Zogajve me Malin e Zi, kanë qenë hapa të rëndësishëm në forcimin e bashkëpunimit ndërkufitar për lehtësimin e qarkullimit legjitim të shtetasve dhe mallrave. Ndërkohë, duhet të vijojnë përpjekjet për ndryshim e statusit të të gjitha pikave të kalimit kufitar me Malin e Zi, si dhe nënshkrimin e marrëveshjes për ndryshimin e statusit të të gjitha pikave të kalimit kufitar me Maqedoninë e Veriut. </w:t>
      </w:r>
    </w:p>
    <w:p w14:paraId="7132311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Ndërkohë, kërkohet të forcohet bashkëpunimi operacional për mbikëqyrjen e përbashkët të kufirit, duke rritur numrin e patrullimeve të përbashkëta me Malin e Zi, Kosovën dhe Maqedoninë e Veriut. </w:t>
      </w:r>
    </w:p>
    <w:p w14:paraId="2D932EF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Vëmendje e veçantë do t’i kushtohet nënshkrimit të marrëveshjes për ngritjen dhe funksionimin e Qendrës së Bashkëpunimit Policor dhe Doganor me Greqinë, në Kakavijë, ndërsa do të propozohet ngritja e një qendre të tillë edhe në Kapshticë. </w:t>
      </w:r>
    </w:p>
    <w:p w14:paraId="027D259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Autoritetet shqiptare do të jenë të përkushtuara për të adresuar çështjet bilaterale me vendet fqinje, duke arritur kështu një nga ato përparësi të rëndësishme të politikës së jashtme të Republikës së Shqipërisë, atë të fqinjësisë së mirë.</w:t>
      </w:r>
    </w:p>
    <w:p w14:paraId="1617579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Bashkëpunimi rajonal</w:t>
      </w:r>
    </w:p>
    <w:p w14:paraId="1886FD0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Marrëveshja që aktualisht negociohet, e njohur si “Shengeni Ballkanik”, do të jetë një tjetër hap i rëndësishëm për lehtësimin e qarkullimit të shtetasve, edhe me kartë identiteti, dhe të mallrave. Nga ana tjetër, kjo marrëveshje do të kontribuojë në përafrimin e kuadrit ligjor dhe atij praktik, me ato të Bashkimit Evropian. </w:t>
      </w:r>
    </w:p>
    <w:p w14:paraId="0DA55AC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Gjithashtu, kërkohet që të gjenden mekanizmat e bashkëpunimit rajonal, për reagimin e shpejtë në rast të përkeqësimit të situatës së migracionit të parregullt në kufijtë e secilit prej vendeve të rajonit, ku të parashikohet mbështetja me burime njerëzore dhe logjistike, për menaxhimin e një situate të mundshme. </w:t>
      </w:r>
    </w:p>
    <w:p w14:paraId="1B98FD8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Qendrat rajonale të bashkëpunimit konsiderohen si një mekanizëm efektiv në menaxhimin e kufijve të përbashkët. Prandaj kërkohet të shikohet mundësia e ngritjes së një qendre rajonale për koordinimin e mbikëqyrjes së kufirit detar, me pjesëmarrjen e vendeve që lagen nga deti Adriatik dhe Deti Jon.</w:t>
      </w:r>
    </w:p>
    <w:p w14:paraId="57421CF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Njëkohësisht, do të forcohet bashkëpunimi dhe pjesëmarrja në aktivitete që do të zhvillohen nga institucionet e bashkëpunimit rajonal si: Sekretariati i Konventës së Bashkëpunimit Policor në Evropën Juglindore; Këshilli i Bashkëpunimit Rajonal (RCC); Qendra</w:t>
      </w:r>
      <w:r w:rsidRPr="00F511C4">
        <w:rPr>
          <w:rFonts w:ascii="Garamond" w:eastAsia="Times New Roman" w:hAnsi="Garamond" w:cs="Times New Roman"/>
          <w:color w:val="000000"/>
          <w:sz w:val="24"/>
          <w:szCs w:val="24"/>
          <w:lang w:val="sq-AL"/>
        </w:rPr>
        <w:t xml:space="preserve"> për Zbatimin e Ligjit në Evropën Juglindore (SELEC); Iniciativa Rajonale për Migracionin, Azilin dhe Refugjatët.</w:t>
      </w:r>
    </w:p>
    <w:p w14:paraId="1E5D5D0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Bashkëpunimi me Agjencinë Evropiane të Rojës Kufitare dhe Bregdetare (FRONTEX)</w:t>
      </w:r>
    </w:p>
    <w:p w14:paraId="7EC6018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Marrëveshja Statutore ndërmjet Republikës së Shqipërisë dhe Bashkimit Evropian “Për veprimet e ndërmarra nga Agjencia Evropiane e Rojës Kufitare dhe Bregdetare (FRONTEX) në Shqipëri”, ratifikuar me ligjin nr. 6/2019, datë 7.2.2019, përfshin të gjitha aspektet e zbatimit të aktiviteteve të Agjencisë që mund të zhvillohen në territorin e Republikës së Shqipërisë. Kjo nënkupton zhvillim e operacioneve të përbashkëta në territorin e Republikës së Shqipëri, siç është Operacionin JO FOA </w:t>
      </w:r>
      <w:r w:rsidRPr="00F511C4">
        <w:rPr>
          <w:rFonts w:ascii="Garamond" w:eastAsia="Times New Roman" w:hAnsi="Garamond" w:cs="Times New Roman"/>
          <w:i/>
          <w:sz w:val="24"/>
          <w:szCs w:val="24"/>
          <w:lang w:val="sq-AL"/>
        </w:rPr>
        <w:t>Western Balkan</w:t>
      </w:r>
      <w:r w:rsidRPr="00F511C4">
        <w:rPr>
          <w:rFonts w:ascii="Garamond" w:eastAsia="Times New Roman" w:hAnsi="Garamond" w:cs="Times New Roman"/>
          <w:sz w:val="24"/>
          <w:szCs w:val="24"/>
          <w:lang w:val="sq-AL"/>
        </w:rPr>
        <w:t xml:space="preserve">, në Shqipëri, i cili filloi zbatimin me 22 maj 2019. Ky është operacioni i parë që Agjencia Evropiane e Rojës Kufitare dhe Bregdetare zhvillon në një vend të tretë, e cila konsiderohet histori suksesi. </w:t>
      </w:r>
    </w:p>
    <w:p w14:paraId="0D36405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Ky bashkëpunim, do të forcohet më tej dhe do të zgjerohet me zhvillimin e Operacioneve të ngjashme në kufirin detar. </w:t>
      </w:r>
    </w:p>
    <w:p w14:paraId="754DF8A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Vendosja e oficerit ndërlidhës të FRONTEX-it në Shqipëri, do të jetë një tjetër hallkë e rëndësishme e bashkëpunimit shumëpalësh ndërmjet Republikës së Shqipërisë dhe Agjencisë Evropiane të Rojës Kufitare dhe Bregdetare. Ky bashkëpunim do të kontribuojë edhe aplikimin e </w:t>
      </w:r>
      <w:r w:rsidRPr="00F511C4">
        <w:rPr>
          <w:rFonts w:ascii="Garamond" w:eastAsia="Times New Roman" w:hAnsi="Garamond" w:cs="Times New Roman"/>
          <w:sz w:val="24"/>
          <w:szCs w:val="24"/>
          <w:lang w:val="sq-AL"/>
        </w:rPr>
        <w:lastRenderedPageBreak/>
        <w:t>standardeve Evropiane në Menaxhimin e Integruar të Kufirit, nëpërmjet ekspertizës në mbështetjes në fushën e forcimit të kapaciteteve profesionale dhe logjistike.</w:t>
      </w:r>
    </w:p>
    <w:p w14:paraId="4B4821D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Masat në vendet e tjera</w:t>
      </w:r>
    </w:p>
    <w:p w14:paraId="2946F79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Bashkëpunimi ndërkombëtar operacional kërkon ngritjen e një grupi të ekspertëve të fushave të ndryshme të sigurisë kufitare të cilët duhet të jenë të gatshëm në çdo kohë për t’u angazhuar me detyra në vendet e tjera. Identifikimi i këtyre ekspertëve duhet të bëhet mbi baza të forta të eksperiencës dhe rezultateve në punë, si dhe të aftësisë për të trajnuar dhe operuar në ambiente pune multinacionale.</w:t>
      </w:r>
    </w:p>
    <w:p w14:paraId="229453F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Situatat e ndryshme që shkaktohen nga fenomene të diktuara nga situatat e sigurisë në vendet tjera, mund të diktojnë nevojën e vendosjes së oficerëve ndërlidhës. Shembulli i qartë është situata e imigracionit të parregullt të shtetasve të vendeve të treta drejt kufijve tanë, por edhe imigracioni i parregullt i shtetasve shqiptar në vendet tjera. Në këto kushte, duhet të merren masa për identifikimin e kandidatëve të mundshëm për oficerë ndërlidhës të migracionit, të cilët do të shërbejnë si ura lidhëse ndërmjet shërbimeve të policisë kufitare dhe migracionit të vendeve të tjera me ato shqiptare, të cilët do të kontribuojnë në shkëmbimin e informacionit në fushën e migracionit dhe do të lehtësojnë procedurat e kthimit. Po kështu, do të punohet për nënshkrimin e marrëveshjeve dypalëshe të ripranimit me këto shtete.</w:t>
      </w:r>
    </w:p>
    <w:p w14:paraId="2F64E4F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Ndryshimi situatës në kufijtë e vendeve të tjera, qoftë ato fqinje por edhe të vendeve të Bashkimit Evropian, mund të diktojë nevojën e pjesëmarrjes në operacione në nivel bilateral, por edhe të koordinuara nga Agjencia Evropiane e Rojës Kufitare dhe Bregdetare (FRONTEX). Shqipëria ka kontribuar dhe vijon të kontribuojë në operacione të tilla. Pjesëmarrja në këto operacione do të vijojë dhe njëkohësisht do të zgjerohet numri i pjesëmarrësve të mundshëm në këto operacione. </w:t>
      </w:r>
    </w:p>
    <w:p w14:paraId="4CB1D710" w14:textId="77777777" w:rsidR="00F511C4" w:rsidRPr="00F511C4" w:rsidRDefault="00F511C4" w:rsidP="00F511C4">
      <w:pPr>
        <w:autoSpaceDE w:val="0"/>
        <w:autoSpaceDN w:val="0"/>
        <w:adjustRightInd w:val="0"/>
        <w:spacing w:after="0" w:line="240" w:lineRule="auto"/>
        <w:ind w:firstLine="288"/>
        <w:jc w:val="both"/>
        <w:rPr>
          <w:rFonts w:ascii="Garamond" w:eastAsia="Yu Mincho" w:hAnsi="Garamond" w:cs="Times New Roman"/>
          <w:sz w:val="24"/>
          <w:szCs w:val="24"/>
          <w:lang w:val="sq-AL"/>
        </w:rPr>
      </w:pPr>
      <w:r w:rsidRPr="00F511C4">
        <w:rPr>
          <w:rFonts w:ascii="Garamond" w:eastAsia="Yu Mincho" w:hAnsi="Garamond" w:cs="Times New Roman"/>
          <w:sz w:val="24"/>
          <w:szCs w:val="24"/>
          <w:lang w:val="sq-AL"/>
        </w:rPr>
        <w:t xml:space="preserve">Për shkëmbimin e informacionit midis agjencive ligjzbatuese dhe ndërmjet të gjitha vendeve anëtare të CEFTA-s do të implementohet platforma SEED+, e cila do të mundësojë shkëmbimin e informacioneve paraprake, jo vetëm ndërmjet autoriteteve doganore, por edhe autoriteteve të tjera që veprojnë në kufi. </w:t>
      </w:r>
    </w:p>
    <w:p w14:paraId="5D946524"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20F8F83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1:</w:t>
      </w:r>
      <w:r w:rsidRPr="00F511C4">
        <w:rPr>
          <w:rFonts w:ascii="Garamond" w:eastAsia="Times New Roman" w:hAnsi="Garamond" w:cs="Times New Roman"/>
          <w:sz w:val="24"/>
          <w:szCs w:val="24"/>
          <w:lang w:val="sq-AL"/>
        </w:rPr>
        <w:t xml:space="preserve"> Nënshkrimi i Marrëveshjes për ngritjen e Qendrës së Bashkëpunimit Policor dhe Doganor me Greqinë, në Kakavijë dhe vënia në funksionim e kësaj Qendre;</w:t>
      </w:r>
    </w:p>
    <w:p w14:paraId="0A57EDB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2:</w:t>
      </w:r>
      <w:r w:rsidRPr="00F511C4">
        <w:rPr>
          <w:rFonts w:ascii="Garamond" w:eastAsia="Times New Roman" w:hAnsi="Garamond" w:cs="Times New Roman"/>
          <w:sz w:val="24"/>
          <w:szCs w:val="24"/>
          <w:lang w:val="sq-AL"/>
        </w:rPr>
        <w:t xml:space="preserve"> Ndërtimi dhe vënia në funksion e pikës së përbashkët të kalimit kufitar Zogaj;</w:t>
      </w:r>
    </w:p>
    <w:p w14:paraId="6A46553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3:</w:t>
      </w:r>
      <w:r w:rsidRPr="00F511C4">
        <w:rPr>
          <w:rFonts w:ascii="Garamond" w:eastAsia="Times New Roman" w:hAnsi="Garamond" w:cs="Times New Roman"/>
          <w:sz w:val="24"/>
          <w:szCs w:val="24"/>
          <w:lang w:val="sq-AL"/>
        </w:rPr>
        <w:t xml:space="preserve"> Vënia në funksion e Pikës së Përbashkët të Kalimit Kufitar me Malin e Zi, në Grabom;</w:t>
      </w:r>
    </w:p>
    <w:p w14:paraId="274149B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4</w:t>
      </w:r>
      <w:r w:rsidRPr="00F511C4">
        <w:rPr>
          <w:rFonts w:ascii="Garamond" w:eastAsia="Times New Roman" w:hAnsi="Garamond" w:cs="Times New Roman"/>
          <w:sz w:val="24"/>
          <w:szCs w:val="24"/>
          <w:lang w:val="sq-AL"/>
        </w:rPr>
        <w:t>: Forcimi i bashkëpunimit me Agjencinë Evropiane të Rojës Kufitare dhe Bregdetare, FRONTEX, nëpërmjet së cilës synohet rritja e nivelit të përgjegjësisë të shërbimeve në kufi për respektimin e të drejtave të njeriut në përputhje me konventat përkatëse, marrja e masave dhe zhvillimi i operacioneve të përbashkëta me FRONTEX për parandalimin dhe bllokimin e migracionit të paligjshëm nëpërmjet kufijve shtetërorë;</w:t>
      </w:r>
    </w:p>
    <w:p w14:paraId="0EB51C8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5:</w:t>
      </w:r>
      <w:r w:rsidRPr="00F511C4">
        <w:rPr>
          <w:rFonts w:ascii="Garamond" w:eastAsia="Times New Roman" w:hAnsi="Garamond" w:cs="Times New Roman"/>
          <w:sz w:val="24"/>
          <w:szCs w:val="24"/>
          <w:lang w:val="sq-AL"/>
        </w:rPr>
        <w:t xml:space="preserve"> Vendosja e bashkëpunimit operacional midis QKK Tiranë dhe Qendrave të Përbashkëta për Bashkëpunimin në Plavë, Vërmicë (Morinë) dhe Qafë Thanë, nëpërmjet së cilës synohet forcimi i bashkëpunimit ndërkufitar me vendet fqinje në zbatim të Marrëveshjeve e Protokolleve për shkëmbimin e informacionit me policinë kufitare të vendeve fqinje;</w:t>
      </w:r>
    </w:p>
    <w:p w14:paraId="5513A82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6</w:t>
      </w:r>
      <w:r w:rsidRPr="00F511C4">
        <w:rPr>
          <w:rFonts w:ascii="Garamond" w:eastAsia="Times New Roman" w:hAnsi="Garamond" w:cs="Times New Roman"/>
          <w:sz w:val="24"/>
          <w:szCs w:val="24"/>
          <w:lang w:val="sq-AL"/>
        </w:rPr>
        <w:t>: Forcimi i bashkëpunimit ndërkufitar me vendet fqinje në zbatim të Marrëveshjeve e Protokolleve për patrullimet e përbashkëta kufitare me policinë kufitare të vendeve fqinje, nëpërmjet së cilës synohet rritja e numrit të patrullimeve dhe operacioneve të përbashkëta;</w:t>
      </w:r>
    </w:p>
    <w:p w14:paraId="6E27B75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7:</w:t>
      </w:r>
      <w:r w:rsidRPr="00F511C4">
        <w:rPr>
          <w:rFonts w:ascii="Garamond" w:eastAsia="Times New Roman" w:hAnsi="Garamond" w:cs="Times New Roman"/>
          <w:sz w:val="24"/>
          <w:szCs w:val="24"/>
          <w:lang w:val="sq-AL"/>
        </w:rPr>
        <w:t xml:space="preserve"> Përmirësimi i sistemit, që mundëson shkëmbimin e informacioneve paraprake me administratat doganore të vendeve anëtare të CEFTA-s dhe ndërmjet agjencive që operojnë në kufi nëpërmjet implementimit të platformës SEED+.</w:t>
      </w:r>
    </w:p>
    <w:p w14:paraId="04B15B2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1.6 Objektivi specifik 6, i qëllimit të politikës 1</w:t>
      </w:r>
      <w:r w:rsidRPr="00F511C4">
        <w:rPr>
          <w:rFonts w:ascii="Garamond" w:eastAsia="Times New Roman" w:hAnsi="Garamond" w:cs="Times New Roman"/>
          <w:sz w:val="24"/>
          <w:szCs w:val="24"/>
          <w:lang w:val="sq-AL"/>
        </w:rPr>
        <w:t>: Përmirësimi i sistemit të ripranimit (kthimit dhe pranimit) të shtetasve të huaj dhe vendas në përputhje me marrëveshjet e lidhura dhe në bashkëpunim me misionet diplomatike dhe konsullore.</w:t>
      </w:r>
    </w:p>
    <w:p w14:paraId="230292D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MS Mincho" w:hAnsi="Garamond" w:cs="Times New Roman"/>
          <w:sz w:val="24"/>
          <w:szCs w:val="24"/>
          <w:lang w:val="sq-AL"/>
        </w:rPr>
        <w:lastRenderedPageBreak/>
        <w:t>Kthimi efektiv i shtetasve të huaj nënkupton kthimin e personave të cilëve u është refuzuar hyrja në kufi ose që kanë një vendim përfundimtar për t’u kthyer, duke u dhënë përparësi atyre që paraqesin një rrezik sigurie. Mi</w:t>
      </w:r>
      <w:r w:rsidRPr="00F511C4">
        <w:rPr>
          <w:rFonts w:ascii="Garamond" w:eastAsia="Times New Roman" w:hAnsi="Garamond" w:cs="Times New Roman"/>
          <w:sz w:val="24"/>
          <w:szCs w:val="24"/>
          <w:lang w:val="sq-AL"/>
        </w:rPr>
        <w:t xml:space="preserve">nistria e Brendshme, nëpërmjet strukturës së Departamentit për Kufirin dhe Migracionin në Policinë e Shtetit; Ministrisë së Shëndetësisë dhe Mbrojtjes Sociale, nëpërmjet Agjencisë Shtetërore për Mbrojtjen dhe Drejtat e Fëmijës; Ministria për Evropën dhe Punët e Jashtme nëpërmjet strukturës për çështjet konsullore, kanë përgjegjësinë kryesore për hartimin e politikave për kthimin/ripranimin e të huajve me qëndrim të paligjshëm në Shqipëri, si dhe për implementimin e instrumenteve juridike dypalëshe dhe shumëpalëshe (marrëveshje ripranimi), me qëllim ndjekjen dhe kryerjen e procedurave të kthim/ripranimit të shtetasve të saj, kthimet vullnetare, kthim vullnetar i asistuar, zbatimi i së cilës asistohet nga Organizata Ndërkombëtare për Migracionin në Shqipëri (IOM). Inicimi dhe nënshkrimi i marrëveshjeve të ripranimit është një politikë konstante institucionale. </w:t>
      </w:r>
    </w:p>
    <w:p w14:paraId="34C88B1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Zbatimi i procesit të kthim/ripranimeve mbështetet nga oficerët e kontaktit shqiptarë dhe/ose të huaj, si dhe stafet konsullore shqiptare dhe/ose të huaja që marrin pjesë në praktikat e bashkëpunimit për realizmin e kthim/ripranimit të personave. Si rezultat i refuzimit të azilkërkimit për shtetas shqiptarë në disa shtete të BE-së, kthimet, pas përfundimit të procesit të azilkërkimit, nga një natyrë detyruese janë konvertuar në një natyre vullnetare. Bisedimet dypalëshe i kanë paraprirë potencimit të fenomenit të kthimit vullnetar, kryesisht nëpërmjet fluturimeve speciale, me eskortat e tyre, nga shtete të BE-së si Gjermania, Franca, Britania e Madhe, Suedia, Spanja, Holanda, Belgjika, Italia etj. Shumë fluturime të kësaj natyre koordinohen nga FRONTEX (Agjencia Evropiane e Menaxhimit të Kufijve dhe Rojës Bregdetare). Që nga viti 2014 e në vazhdim, në koordinim me FRONTEX dhe në bashkëpunim me disa vende të BE-së (kryesisht Franca), kryhen periodikisht fluturime të përbashkëta riatdhesimi (CRO-</w:t>
      </w:r>
      <w:r w:rsidRPr="00F511C4">
        <w:rPr>
          <w:rFonts w:ascii="Garamond" w:eastAsia="Times New Roman" w:hAnsi="Garamond" w:cs="Times New Roman"/>
          <w:i/>
          <w:sz w:val="24"/>
          <w:szCs w:val="24"/>
          <w:lang w:val="sq-AL"/>
        </w:rPr>
        <w:t>Collecting Return Operation</w:t>
      </w:r>
      <w:r w:rsidRPr="00F511C4">
        <w:rPr>
          <w:rFonts w:ascii="Garamond" w:eastAsia="Times New Roman" w:hAnsi="Garamond" w:cs="Times New Roman"/>
          <w:sz w:val="24"/>
          <w:szCs w:val="24"/>
          <w:lang w:val="sq-AL"/>
        </w:rPr>
        <w:t>) me eskortë shqiptare, e trajnuar dhe certifikuar nga FRONTEX. Avokati i Popullit (</w:t>
      </w:r>
      <w:r w:rsidRPr="00F511C4">
        <w:rPr>
          <w:rFonts w:ascii="Garamond" w:eastAsia="Times New Roman" w:hAnsi="Garamond" w:cs="Times New Roman"/>
          <w:i/>
          <w:sz w:val="24"/>
          <w:szCs w:val="24"/>
          <w:lang w:val="sq-AL"/>
        </w:rPr>
        <w:t>Ombudsman</w:t>
      </w:r>
      <w:r w:rsidRPr="00F511C4">
        <w:rPr>
          <w:rFonts w:ascii="Garamond" w:eastAsia="Times New Roman" w:hAnsi="Garamond" w:cs="Times New Roman"/>
          <w:sz w:val="24"/>
          <w:szCs w:val="24"/>
          <w:lang w:val="sq-AL"/>
        </w:rPr>
        <w:t>), si monitorues kombëtar, është i pranishëm në çdo fluturim të tillë, me qëllim monitorimin dhe respektimin e të drejtave të shtetasve, subjekte të kthim/ripranimit.</w:t>
      </w:r>
    </w:p>
    <w:p w14:paraId="0C8BC4C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Sistemi elektronik (FER) i hedhjes dhe menaxhimit të dhënave identitare dhe biometrike për shtetasit e huajt me qëndrim të parregullt, implementimi i së cilës ka filluar në gusht 2014, përbën një bazë të fuqishme informacioni që mundëson në kohë reale përftimin dhe shkëmbimin e informacionit operacional në kuadër të trajtimit të çështjeve të migracionit të parregullt dhe kthimeve.</w:t>
      </w:r>
    </w:p>
    <w:p w14:paraId="690993B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Për të siguruar kushtet për një kthim efektiv në vendin e origjinës apo të tranzitit policia kufitare dhe migracionit mund të marrë masën e ndalimit administrativ në një qendër. Ndalimi në një Qendër të Mbyllur është masa e fundit administrative që merret dhe ekzekutohet nga autoriteti shtetëror përgjegjës për trajtimin e të huajve kur janë ezauruar të gjitha masat e mundshme alternative. I huaji mbahet i ndaluar në qendër të mbyllur, të ngritur posaçërisht për këtë qëllim, në afate sa më të shkurtra kohore, derisa të kryhen procedurat ligjore për të mundësuar largimin/dëbimin e tij nga Republika e Shqipërisë.</w:t>
      </w:r>
    </w:p>
    <w:p w14:paraId="2F75740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Inicimi dhe nënshkrimi i marrëveshjeve të ripranimit të shtetasve të vendeve të treta/personave pa shtetësi me vendet e origjinës dhe transitit, është dhe mbetet një politikë konstante institucionale.</w:t>
      </w:r>
    </w:p>
    <w:p w14:paraId="47F11D7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 fushën e trajtimit të migracionit të parregullt duke siguruar kthimin efikas dhe të qëndrueshëm, për Shqipërinë vazhdon të jetë prioritet në veçanërisht kthimi vullnetar. Në përputhje me direktivën e kthimit, politika e kthimit në Shqipëri mbështet kthimin vullnetar të personave të cilët janë subjekt i një mase ligjore për t’u larguar nga territori i Shqipërisë. Politikat e kthimit, ripranimeve, politika e largim/dëbimeve, politika e mbrojtjes së të drejtave dhe lirive themelore të imigrantëve dhe mbrojtjes së të dhënave personale, masat represive dhe ankimimi ndaj tyre etj., janë të shprehura në normativën ligjore për të huajt (ligji nr. 108/2013, “Për të huajt”, i ndryshuar, me ligjin nr. 74/2016, dhe aktet normative në zbatim të tij; udhëzimi i ministrit të Brendshëm nr. 293, datë 4.6.2015, “Mbi trajtimin e shtetasve të huaj me qëndrim të parregullt në territorin e Republikës së Shqipërisë”; procedura standarde për procesin e përzgjedhjes nr. 172, datë 8.2.2018; procedura standarde e largim/dëbimit nga territori i RSH-së nr. 176, datë 8.2.2018).</w:t>
      </w:r>
    </w:p>
    <w:p w14:paraId="0805224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Departamenti për Kufirin dhe Migracionin ndjek dhe përditëson panoramën situacionale dhe prognozën e situatës së kthimeve. Kthim/ripranimet e shtetasve të huaj përbëjnë një sfidë për autoritetin e policisë kufitare dhe migracionit. Strukturat e interesuara në Ministrinë e Brendshme dhe Departamenti për Kufirin dhe Migracionin në Policinë e Shtetit, në bashkëpunim të vazhdueshëm me Ministritë e përfshira në çështjet e kthim/ripranimeve, do të ndjekin në dinamike evolucionin ligjor dhe praktikat më të mira evropiane në fushën e kthimeve me qëllim transpozimin e tyre në legjislacionin kombëtar.</w:t>
      </w:r>
    </w:p>
    <w:p w14:paraId="480187F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Ky objektiv synohet të arrihet nëpërmjet përmbushjes së masave të mëposhtme:</w:t>
      </w:r>
    </w:p>
    <w:p w14:paraId="7DC8E33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 xml:space="preserve">Masa 1: </w:t>
      </w:r>
      <w:r w:rsidRPr="00F511C4">
        <w:rPr>
          <w:rFonts w:ascii="Garamond" w:eastAsia="Times New Roman" w:hAnsi="Garamond" w:cs="Times New Roman"/>
          <w:bCs/>
          <w:sz w:val="24"/>
          <w:szCs w:val="24"/>
          <w:lang w:val="sq-AL"/>
        </w:rPr>
        <w:t>Hartimi dhe nënshkrimi i Marrëveshjeve të Ripranimit me: Indinë, Algjerinë, Egjiptin, Pakistanin, Marokun,</w:t>
      </w:r>
      <w:r w:rsidRPr="00F511C4">
        <w:rPr>
          <w:rFonts w:ascii="Garamond" w:eastAsia="Times New Roman" w:hAnsi="Garamond" w:cs="Times New Roman"/>
          <w:sz w:val="24"/>
          <w:szCs w:val="24"/>
          <w:lang w:val="sq-AL"/>
        </w:rPr>
        <w:t xml:space="preserve"> nëpërmjet së cilës synohet forcimi i bashkëpunimit për përmirësimi i sistemit të ripranimit të shtetasve të huaj dhe vendas në përputhje me marrëveshjet dhe detyrimet reciproke.</w:t>
      </w:r>
    </w:p>
    <w:p w14:paraId="1EC1BDC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2:</w:t>
      </w:r>
      <w:r w:rsidRPr="00F511C4">
        <w:rPr>
          <w:rFonts w:ascii="Garamond" w:eastAsia="Times New Roman" w:hAnsi="Garamond" w:cs="Times New Roman"/>
          <w:sz w:val="24"/>
          <w:szCs w:val="24"/>
          <w:lang w:val="sq-AL"/>
        </w:rPr>
        <w:t xml:space="preserve"> </w:t>
      </w:r>
      <w:r w:rsidRPr="00F511C4">
        <w:rPr>
          <w:rFonts w:ascii="Garamond" w:eastAsia="Times New Roman" w:hAnsi="Garamond" w:cs="Times New Roman"/>
          <w:bCs/>
          <w:sz w:val="24"/>
          <w:szCs w:val="24"/>
          <w:lang w:val="sq-AL"/>
        </w:rPr>
        <w:t>Hartimi dhe miratimi i udhëzimit për asistencën në rastet e transitit për qëllim largimi në rrugë ajrore,</w:t>
      </w:r>
      <w:r w:rsidRPr="00F511C4">
        <w:rPr>
          <w:rFonts w:ascii="Garamond" w:eastAsia="Times New Roman" w:hAnsi="Garamond" w:cs="Times New Roman"/>
          <w:b/>
          <w:bCs/>
          <w:sz w:val="24"/>
          <w:szCs w:val="24"/>
          <w:lang w:val="sq-AL"/>
        </w:rPr>
        <w:t xml:space="preserve"> </w:t>
      </w:r>
      <w:r w:rsidRPr="00F511C4">
        <w:rPr>
          <w:rFonts w:ascii="Garamond" w:eastAsia="Times New Roman" w:hAnsi="Garamond" w:cs="Times New Roman"/>
          <w:sz w:val="24"/>
          <w:szCs w:val="24"/>
          <w:lang w:val="sq-AL"/>
        </w:rPr>
        <w:t xml:space="preserve">nëpërmjet së cilës synohet forcimi i bashkëpunimit dypalësh dhe shumëpalësh nëpërmjet krijimit të kuadrit normativ/procedural për ofrimin e asistencës në tranzit </w:t>
      </w:r>
      <w:r w:rsidRPr="00F511C4">
        <w:rPr>
          <w:rFonts w:ascii="Garamond" w:eastAsia="MS Mincho" w:hAnsi="Garamond" w:cs="Times New Roman"/>
          <w:sz w:val="24"/>
          <w:szCs w:val="24"/>
          <w:lang w:val="sq-AL"/>
        </w:rPr>
        <w:t>për qëllim largimi në rrugë ajrore.</w:t>
      </w:r>
    </w:p>
    <w:p w14:paraId="099B2F07" w14:textId="77777777" w:rsidR="00F511C4" w:rsidRPr="00F511C4" w:rsidRDefault="00F511C4" w:rsidP="00F511C4">
      <w:pPr>
        <w:autoSpaceDE w:val="0"/>
        <w:autoSpaceDN w:val="0"/>
        <w:adjustRightInd w:val="0"/>
        <w:spacing w:after="0" w:line="240" w:lineRule="auto"/>
        <w:ind w:firstLine="288"/>
        <w:jc w:val="both"/>
        <w:rPr>
          <w:rFonts w:ascii="Garamond" w:eastAsia="MS Mincho" w:hAnsi="Garamond" w:cs="Times New Roman"/>
          <w:sz w:val="24"/>
          <w:szCs w:val="24"/>
          <w:lang w:val="sq-AL"/>
        </w:rPr>
      </w:pPr>
      <w:r w:rsidRPr="00F511C4">
        <w:rPr>
          <w:rFonts w:ascii="Garamond" w:eastAsia="MS Mincho" w:hAnsi="Garamond" w:cs="Times New Roman"/>
          <w:b/>
          <w:bCs/>
          <w:sz w:val="24"/>
          <w:szCs w:val="24"/>
          <w:lang w:val="sq-AL"/>
        </w:rPr>
        <w:t>Masa 3:</w:t>
      </w:r>
      <w:r w:rsidRPr="00F511C4">
        <w:rPr>
          <w:rFonts w:ascii="Garamond" w:eastAsia="MS Mincho" w:hAnsi="Garamond" w:cs="Times New Roman"/>
          <w:sz w:val="24"/>
          <w:szCs w:val="24"/>
          <w:lang w:val="sq-AL"/>
        </w:rPr>
        <w:t xml:space="preserve"> </w:t>
      </w:r>
      <w:r w:rsidRPr="00F511C4">
        <w:rPr>
          <w:rFonts w:ascii="Garamond" w:eastAsia="Times New Roman" w:hAnsi="Garamond" w:cs="Times New Roman"/>
          <w:bCs/>
          <w:sz w:val="24"/>
          <w:szCs w:val="24"/>
          <w:lang w:val="sq-AL"/>
        </w:rPr>
        <w:t>Hartimi dhe miratimi i udhëzimit për organizimin dhe pjesëmarrjen në fluturimet e përbashkëta të dy ose më shumë shteteve, me qëllim dëbimin nga territori të të huajve të cilët janë subjekt i urdhrit individual të dëbimit,</w:t>
      </w:r>
      <w:r w:rsidRPr="00F511C4">
        <w:rPr>
          <w:rFonts w:ascii="Garamond" w:eastAsia="Times New Roman" w:hAnsi="Garamond" w:cs="Times New Roman"/>
          <w:sz w:val="24"/>
          <w:szCs w:val="24"/>
          <w:lang w:val="sq-AL"/>
        </w:rPr>
        <w:t xml:space="preserve"> nëpërmjet së cilës synohet standardizimi komunitar i kuadrit procedural të bashkëpunimit dypalësh dhe shumëpalësh me qëllim rritjen e numrit të kthimeve efektive në vendet e origjinës.</w:t>
      </w:r>
    </w:p>
    <w:p w14:paraId="2167D2F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4:</w:t>
      </w:r>
      <w:r w:rsidRPr="00F511C4">
        <w:rPr>
          <w:rFonts w:ascii="Garamond" w:eastAsia="Times New Roman" w:hAnsi="Garamond" w:cs="Times New Roman"/>
          <w:sz w:val="24"/>
          <w:szCs w:val="24"/>
          <w:lang w:val="sq-AL"/>
        </w:rPr>
        <w:t xml:space="preserve"> </w:t>
      </w:r>
      <w:r w:rsidRPr="00F511C4">
        <w:rPr>
          <w:rFonts w:ascii="Garamond" w:eastAsia="MS Mincho" w:hAnsi="Garamond" w:cs="Times New Roman"/>
          <w:bCs/>
          <w:sz w:val="24"/>
          <w:szCs w:val="24"/>
          <w:lang w:val="sq-AL"/>
        </w:rPr>
        <w:t>Hartimi dhe miratimi i udhëzimit ndërinstitucional për procedurat e kthimit vullnetar dhe kthimit vullnetar të asistuar (KVA),</w:t>
      </w:r>
      <w:r w:rsidRPr="00F511C4">
        <w:rPr>
          <w:rFonts w:ascii="Garamond" w:eastAsia="MS Mincho" w:hAnsi="Garamond" w:cs="Times New Roman"/>
          <w:sz w:val="24"/>
          <w:szCs w:val="24"/>
          <w:lang w:val="sq-AL"/>
        </w:rPr>
        <w:t xml:space="preserve"> nëpërmjet së cilës synohet </w:t>
      </w:r>
      <w:r w:rsidRPr="00F511C4">
        <w:rPr>
          <w:rFonts w:ascii="Garamond" w:eastAsia="Times New Roman" w:hAnsi="Garamond" w:cs="Times New Roman"/>
          <w:sz w:val="24"/>
          <w:szCs w:val="24"/>
          <w:lang w:val="sq-AL"/>
        </w:rPr>
        <w:t xml:space="preserve">krijimi i kuadrit procedural të bashkëpunimit ndërinstitucional për kthimin vullnetar të asistuar dhe rritja e numrit të shtetasve të kthyer nëpërmjet kësaj procedure. </w:t>
      </w:r>
    </w:p>
    <w:p w14:paraId="2714589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5:</w:t>
      </w:r>
      <w:r w:rsidRPr="00F511C4">
        <w:rPr>
          <w:rFonts w:ascii="Garamond" w:eastAsia="Times New Roman" w:hAnsi="Garamond" w:cs="Times New Roman"/>
          <w:sz w:val="24"/>
          <w:szCs w:val="24"/>
          <w:lang w:val="sq-AL"/>
        </w:rPr>
        <w:t xml:space="preserve"> </w:t>
      </w:r>
      <w:r w:rsidRPr="00F511C4">
        <w:rPr>
          <w:rFonts w:ascii="Garamond" w:eastAsia="MS Mincho" w:hAnsi="Garamond" w:cs="Times New Roman"/>
          <w:bCs/>
          <w:sz w:val="24"/>
          <w:szCs w:val="24"/>
          <w:lang w:val="sq-AL"/>
        </w:rPr>
        <w:t>Forcimi i kapaciteteve institucionale për realizimin e kthimeve dhe mundësimin e burimeve njerëzore/logjistike dhe trajnimin e specializuar për drejtues eskorte dhe eskorta,</w:t>
      </w:r>
      <w:r w:rsidRPr="00F511C4">
        <w:rPr>
          <w:rFonts w:ascii="Garamond" w:eastAsia="MS Mincho" w:hAnsi="Garamond" w:cs="Times New Roman"/>
          <w:b/>
          <w:bCs/>
          <w:sz w:val="24"/>
          <w:szCs w:val="24"/>
          <w:lang w:val="sq-AL"/>
        </w:rPr>
        <w:t xml:space="preserve"> </w:t>
      </w:r>
      <w:r w:rsidRPr="00F511C4">
        <w:rPr>
          <w:rFonts w:ascii="Garamond" w:eastAsia="MS Mincho" w:hAnsi="Garamond" w:cs="Times New Roman"/>
          <w:sz w:val="24"/>
          <w:szCs w:val="24"/>
          <w:lang w:val="sq-AL"/>
        </w:rPr>
        <w:t xml:space="preserve">nëpërmjet së cilës synohet </w:t>
      </w:r>
      <w:r w:rsidRPr="00F511C4">
        <w:rPr>
          <w:rFonts w:ascii="Garamond" w:eastAsia="Times New Roman" w:hAnsi="Garamond" w:cs="Times New Roman"/>
          <w:sz w:val="24"/>
          <w:szCs w:val="24"/>
          <w:lang w:val="sq-AL"/>
        </w:rPr>
        <w:t>sigurimi i bazës materiale/logjistike adekuate dhe fillimi i fluturimeve nacionale dhe të përbashkëta të kthimeve në kuadrin e implementimit të marrëveshjeve të ripranimit.</w:t>
      </w:r>
    </w:p>
    <w:p w14:paraId="529882E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 xml:space="preserve">Masa 6: </w:t>
      </w:r>
      <w:r w:rsidRPr="00F511C4">
        <w:rPr>
          <w:rFonts w:ascii="Garamond" w:eastAsia="MS Mincho" w:hAnsi="Garamond" w:cs="Times New Roman"/>
          <w:b/>
          <w:bCs/>
          <w:sz w:val="24"/>
          <w:szCs w:val="24"/>
          <w:lang w:val="sq-AL"/>
        </w:rPr>
        <w:t>Përmirësimi i kushteve të trajtimit dhe akomodimit të migrantëve në Qendrën e Mbyllur për të Huajt Karreç</w:t>
      </w:r>
      <w:r w:rsidRPr="00F511C4">
        <w:rPr>
          <w:rFonts w:ascii="Garamond" w:eastAsia="MS Mincho" w:hAnsi="Garamond" w:cs="Times New Roman"/>
          <w:sz w:val="24"/>
          <w:szCs w:val="24"/>
          <w:lang w:val="sq-AL"/>
        </w:rPr>
        <w:t>/</w:t>
      </w:r>
      <w:r w:rsidRPr="00F511C4">
        <w:rPr>
          <w:rFonts w:ascii="Garamond" w:eastAsia="Times New Roman" w:hAnsi="Garamond" w:cs="Times New Roman"/>
          <w:sz w:val="24"/>
          <w:szCs w:val="24"/>
          <w:lang w:val="sq-AL"/>
        </w:rPr>
        <w:t>Rinovimi i Qendrës së Karrecit, nëpërmjet së cilës synohet plotësimi i standardeve të trajtimit të migrantëve në QMH, në përputhje me konventa ndërkombëtare.</w:t>
      </w:r>
    </w:p>
    <w:p w14:paraId="3FE2F27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QËLLIMI I POLITIKËS 2: LEHTËSIMI I QARKULLIMIT LEGAL TË SHTETASVE DHE MALLRAVE</w:t>
      </w:r>
    </w:p>
    <w:p w14:paraId="007DC16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2.1 Objektivi specifik 1, i qëllimit të politikës 2</w:t>
      </w:r>
      <w:r w:rsidRPr="00F511C4">
        <w:rPr>
          <w:rFonts w:ascii="Garamond" w:eastAsia="Times New Roman" w:hAnsi="Garamond" w:cs="Times New Roman"/>
          <w:sz w:val="24"/>
          <w:szCs w:val="24"/>
          <w:lang w:val="sq-AL"/>
        </w:rPr>
        <w:t>: Përmirësimi i infrastrukturës në Pikat e Kalimit Kufitar me qëllim krijimin e kushteve që sigurojnë kalim të lehtësuar dhe të sigurt të shtetasve dhe mallrave.</w:t>
      </w:r>
    </w:p>
    <w:p w14:paraId="7371B9B9"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sz w:val="24"/>
          <w:szCs w:val="24"/>
          <w:lang w:val="sq-AL"/>
        </w:rPr>
        <w:t>Ministria e Brendshme vazhdon të ndërmarrë aktivitete për ndërtimin, rindërtimin, adaptimin dhe pajisjen e vendkalimeve kufitare, duke marrë parasysh që tendenca e vazhdueshme e rritjes së trafikut në pikat e kalimit kufitar kërkon përmirësimin e duhur të infrastrukturës kufitare. Aktivitetet për ndërtimin dhe pajisjen e pikave të kalimit kufitar janë ndërmarrë për të bërë të mundur që kontrolli kufitar të kryhet në mënyrë të sigurt, në përputhje me standardet dhe kushtet e përcaktuara. Përparim të konsiderueshëm ka pasur në drejtim të rregullimit dhe pajisjeve, por jo të gjitha pikat e kalimit kufitar kanë përmbushur kriteret e përcaktuara në përputhje me dekretin për standardet dhe kushtet, të cilat duhet të përmbushen në drejtim të rregullimit dhe pajisjeve, sipas rekomandimeve të BE-së dhe katalogut të praktikave më të mira në këtë fushë.</w:t>
      </w:r>
      <w:r w:rsidRPr="00F511C4">
        <w:rPr>
          <w:rFonts w:ascii="Garamond" w:eastAsia="Times New Roman" w:hAnsi="Garamond" w:cs="Times New Roman"/>
          <w:sz w:val="24"/>
          <w:szCs w:val="24"/>
          <w:lang w:val="sq-AL"/>
        </w:rPr>
        <w:br/>
        <w:t xml:space="preserve">Gjithashtu, analiza e funksionimit të vendkalimeve kufitare është një fokus i vazhdueshëm i Policisë së Shtetit dhe Ministrisë së Brendshme, në kuptim të përmirësimit të infrastrukturës në pikat e kalimit kufitar, me qëllim të lehtësimin e procedurave të kalimit të kufirit shtetëror, veçanërisht gjatë sezonit turistik të verës. Në këtë drejtim, janë instaluar pajisje, kryesisht lexues të dokumenteve </w:t>
      </w:r>
      <w:r w:rsidRPr="00F511C4">
        <w:rPr>
          <w:rFonts w:ascii="Garamond" w:eastAsia="Times New Roman" w:hAnsi="Garamond" w:cs="Times New Roman"/>
          <w:sz w:val="24"/>
          <w:szCs w:val="24"/>
          <w:lang w:val="sq-AL"/>
        </w:rPr>
        <w:lastRenderedPageBreak/>
        <w:t>të udhëtimit, pajisje kompjuterike dhe kabina shtesë kontrolli në korsitë e trafikut, të cilat shpejtojnë procedurat kufitare dhe shkurtojnë kohën e pritjes në pikat e kalimit kufitar.</w:t>
      </w:r>
    </w:p>
    <w:p w14:paraId="6CEEF39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Instalimi i kamerave të vëzhgimit dhe lexuesve të targave në pikat e kalimit kufitar do të përmirësojë sistemin e kontrollit kufitar, i cili do të shkurtojë kohën e qëndrimit në pikat e kalimit kufitar, dhe pajisjet e instaluara do të shpejtojnë shumë kontrollin kufitar në pikat e kalimit kufitar.</w:t>
      </w:r>
    </w:p>
    <w:p w14:paraId="2603666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Plani i Veprimit për zbatimin e Strategjisë parashikon veprimtari të rëndësishme për ndërtimin dhe rindërtimin e infrastrukturës kufitare me qëllim të kontrollit më efikas të kufirit.</w:t>
      </w:r>
    </w:p>
    <w:p w14:paraId="6B7D78E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47951CA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1:</w:t>
      </w:r>
      <w:r w:rsidRPr="00F511C4">
        <w:rPr>
          <w:rFonts w:ascii="Garamond" w:eastAsia="Times New Roman" w:hAnsi="Garamond" w:cs="Times New Roman"/>
          <w:sz w:val="24"/>
          <w:szCs w:val="24"/>
          <w:lang w:val="sq-AL"/>
        </w:rPr>
        <w:t xml:space="preserve"> Përfundimi i punës për studimin e nevojave për përmirësimin e infrastrukturës në Pikat e Kalimit Kufitar, nëpërmjet së cilës synohet standardizimi i pajisjeve të përdorura nga Policia Kufitare dhe Dogana për kontrollet kufitare në përputhje me rekomandimet e Katalogut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rPr>
        <w:t>.</w:t>
      </w:r>
    </w:p>
    <w:p w14:paraId="3E79E70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xml:space="preserve">Masa 2: </w:t>
      </w:r>
      <w:r w:rsidRPr="00F511C4">
        <w:rPr>
          <w:rFonts w:ascii="Garamond" w:eastAsia="Times New Roman" w:hAnsi="Garamond" w:cs="Times New Roman"/>
          <w:sz w:val="24"/>
          <w:szCs w:val="24"/>
          <w:lang w:val="sq-AL"/>
        </w:rPr>
        <w:t>Rindërtimi i Pikave të Kalimit Kufitar, e cila synon rindërtimin dhe riparimi i PKK-së sipas standardeve të kërkuara. Kjo masë synon të realizohet nëpërmjet aktiviteteve të mëposhtme:</w:t>
      </w:r>
    </w:p>
    <w:p w14:paraId="659FAFC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rindërtimi i Pikës së Kalimit Kufitar Qafë-Botë.</w:t>
      </w:r>
    </w:p>
    <w:p w14:paraId="3A27821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rikonstruksioni i godinës së Degës Doganore Vlorë;</w:t>
      </w:r>
    </w:p>
    <w:p w14:paraId="18B7996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rikonstruksioni dhe ndërtimi i ambienteve shtesë në Degën Doganore Morinë;</w:t>
      </w:r>
    </w:p>
    <w:p w14:paraId="568502D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rikonstruksioni dhe zgjerimi i Terminalit për krijimin e kushteve optimale për udhëtaret e Pikës së Kalimit Kufitar Kakavijë etj.</w:t>
      </w:r>
    </w:p>
    <w:p w14:paraId="47CA1C8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 xml:space="preserve">Masa 3: </w:t>
      </w:r>
      <w:r w:rsidRPr="00F511C4">
        <w:rPr>
          <w:rFonts w:ascii="Garamond" w:eastAsia="Times New Roman" w:hAnsi="Garamond" w:cs="Times New Roman"/>
          <w:b/>
          <w:sz w:val="24"/>
          <w:szCs w:val="24"/>
          <w:lang w:val="sq-AL"/>
        </w:rPr>
        <w:t>Përmirësimi i mëtejshëm i infrastrukturës së IT-së për menaxhimin e kufijve</w:t>
      </w:r>
      <w:r w:rsidRPr="00F511C4">
        <w:rPr>
          <w:rFonts w:ascii="Garamond" w:eastAsia="Times New Roman" w:hAnsi="Garamond" w:cs="Times New Roman"/>
          <w:sz w:val="24"/>
          <w:szCs w:val="24"/>
          <w:lang w:val="sq-AL"/>
        </w:rPr>
        <w:t>, nëpërmjet së cilës synohet lidhja me sistemin TIMS i 13 stacioneve të policisë kufitare në të cilat mungon ky sistem.</w:t>
      </w:r>
    </w:p>
    <w:p w14:paraId="2FB5A35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4:</w:t>
      </w:r>
      <w:r w:rsidRPr="00F511C4">
        <w:rPr>
          <w:rFonts w:ascii="Garamond" w:eastAsia="Times New Roman" w:hAnsi="Garamond" w:cs="Times New Roman"/>
          <w:sz w:val="24"/>
          <w:szCs w:val="24"/>
          <w:lang w:val="sq-AL"/>
        </w:rPr>
        <w:t xml:space="preserve"> Pajisjen e pikave të kalimit kufitar me lexues optik portabël të dokumenteve të udhëtimit, nëpërmjet së cilës synohet, pajisja me 10 lexues portabël.</w:t>
      </w:r>
    </w:p>
    <w:p w14:paraId="664805D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2.2 Objektivi specifik 2, i qëllimit të politikës 2</w:t>
      </w:r>
      <w:r w:rsidRPr="00F511C4">
        <w:rPr>
          <w:rFonts w:ascii="Garamond" w:eastAsia="Times New Roman" w:hAnsi="Garamond" w:cs="Times New Roman"/>
          <w:sz w:val="24"/>
          <w:szCs w:val="24"/>
          <w:lang w:val="sq-AL"/>
        </w:rPr>
        <w:t>: Negocimi dhe nënshkrimi i marrëveshjeve për ngritjen e pikave të përbashkëta të kalimit kufitar dhe doganor.</w:t>
      </w:r>
    </w:p>
    <w:p w14:paraId="7414DCA6" w14:textId="77777777" w:rsidR="00F511C4" w:rsidRPr="00F511C4" w:rsidRDefault="00F511C4" w:rsidP="00F511C4">
      <w:pPr>
        <w:autoSpaceDE w:val="0"/>
        <w:autoSpaceDN w:val="0"/>
        <w:adjustRightInd w:val="0"/>
        <w:spacing w:after="0" w:line="240" w:lineRule="auto"/>
        <w:ind w:firstLine="288"/>
        <w:jc w:val="both"/>
        <w:rPr>
          <w:rFonts w:ascii="Garamond" w:eastAsia="Yu Mincho" w:hAnsi="Garamond" w:cs="Times New Roman"/>
          <w:sz w:val="24"/>
          <w:szCs w:val="24"/>
          <w:lang w:val="sq-AL"/>
        </w:rPr>
      </w:pPr>
      <w:r w:rsidRPr="00F511C4">
        <w:rPr>
          <w:rFonts w:ascii="Garamond" w:eastAsia="Times New Roman" w:hAnsi="Garamond" w:cs="Times New Roman"/>
          <w:sz w:val="24"/>
          <w:szCs w:val="24"/>
          <w:lang w:val="sq-AL"/>
        </w:rPr>
        <w:t xml:space="preserve">Marrëveshja për ngritjen e Pikave të Përbashkëta të Kalimit Kufitar me Republikën e Kosovës, atë të Grabomit dhe të Zogajve me Malin e Zi, kanë qenë hapa të rëndësishëm në forcimin e bashkëpunimit ndërkufitar për lehtësimin e qarkullimit legjitim të shtetasve dhe mallrave. Ndërkohë, duhet të vijojnë përpjekjet për ndryshim e statusit të të gjitha pikave të kalimit kufitar me Malin e Zi, si dhe nënshkrimin e marrëveshjes për ndryshimin e statusit të të gjitha pikave të kalimit kufitar me Maqedoninë e Veriut. </w:t>
      </w:r>
    </w:p>
    <w:p w14:paraId="5F61BA7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Ndërkohë, kërkohet të forcohet bashkëpunimi operacional për mbikëqyrjen e përbashkët të kufirit, duke rritur numrin e patrullimeve të përbashkëta me Malin e Zi, Kosovën dhe Maqedoninë e Veriut. </w:t>
      </w:r>
    </w:p>
    <w:p w14:paraId="433AA83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Vëmendje e veçantë do t’i kushtohet nënshkrimit të marrëveshjes për ngritjen dhe funksionimin e Qendrës së Bashkëpunimit Policor dhe Doganor me Greqinë, në Kakavijë, ndërsa do të propozohet ngritja e një qendre të tillë edhe në Kapshticë. </w:t>
      </w:r>
    </w:p>
    <w:p w14:paraId="3C54290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Autoritetet shqiptare do të jenë të përkushtuara për të adresuar çështjet bilaterale me vendet fqinje, duke arritur kështu një nga ato përparësi të rëndësishme të politikës së jashtme të Republikës së Shqipërisë, atë të fqinjësisë së mirë.</w:t>
      </w:r>
    </w:p>
    <w:p w14:paraId="03B71D0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22E2734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1:</w:t>
      </w:r>
      <w:r w:rsidRPr="00F511C4">
        <w:rPr>
          <w:rFonts w:ascii="Garamond" w:eastAsia="Times New Roman" w:hAnsi="Garamond" w:cs="Times New Roman"/>
          <w:sz w:val="24"/>
          <w:szCs w:val="24"/>
          <w:lang w:val="sq-AL"/>
        </w:rPr>
        <w:t xml:space="preserve"> Përfundimi i negociatave dhe nënshkrimi i marrëveshjes për ngritjen e Pikave të Përbashkëta të Kalimit Kufitar dhe kryerjen e kontrolleve të përbashkëta kufitare dhe doganore me Maqedoninë e Veriut, i cili do të realizohet nëpërmjet aktiviteteve të mëposhtme:</w:t>
      </w:r>
    </w:p>
    <w:p w14:paraId="646E73A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negocimi dhe nënshkrimi i protokolleve të zbatimit të marrëveshjes për ngritjen e pikave të përbashkëta të kalimit kufitar dhe kryerjen e kontrolleve të përbashkëta kufitare dhe doganore me Maqedoninë e Veriut, për çdo pikë të kalimit kufitar;</w:t>
      </w:r>
    </w:p>
    <w:p w14:paraId="7C57418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trajnimi i personelit të pikave të përbashkëta të kalimit kufitar për kryerjen e kontrolleve të përbashkëta kufitare dhe doganore;</w:t>
      </w:r>
    </w:p>
    <w:p w14:paraId="3A79C7E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vënia në funksion e pikave të përbashkëta të kalimit kufitar dhe zbatimin e kontrolleve të përbashkëta kufitare dhe doganore.</w:t>
      </w:r>
    </w:p>
    <w:p w14:paraId="6CF716D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lastRenderedPageBreak/>
        <w:t>Masa 2:</w:t>
      </w:r>
      <w:r w:rsidRPr="00F511C4">
        <w:rPr>
          <w:rFonts w:ascii="Garamond" w:eastAsia="Times New Roman" w:hAnsi="Garamond" w:cs="Times New Roman"/>
          <w:sz w:val="24"/>
          <w:szCs w:val="24"/>
          <w:lang w:val="sq-AL"/>
        </w:rPr>
        <w:t xml:space="preserve"> Nënshkrimi i marrëveshjes për ngritjen e pikave të përbashkëta të kalimit kufitar dhe kryerjen e kontrolleve të përbashkëta kufitare dhe doganore me Malin e Zi, i cili do të realizohet nëpërmjet aktiviteteve të mëposhtme:</w:t>
      </w:r>
    </w:p>
    <w:p w14:paraId="5E338D0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fillimi i negociatave, nënshkrimi i marrëveshjes për ngritjen e pikave të përbashkëta të kalimit kufitar dhe kryerjen e kontrolleve të përbashkëta kufitare dhe doganore;</w:t>
      </w:r>
    </w:p>
    <w:p w14:paraId="7AB6CA8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negocimi dhe nënshkrimi i protokolleve të zbatimit të marrëveshjes për ngritjen e pikave të përbashkëta të kalimit kufitar dhe kryerjen e kontrolleve të përbashkëta kufitare dhe doganore me Malin e Zi, për çdo Pikë të Kalimit Kufitar;</w:t>
      </w:r>
    </w:p>
    <w:p w14:paraId="51841CE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trajnimi i personelit të Pikave të pikë të kalimit kufitar përbashkëta të kalimit kufitar për kryerjen e kontrolleve të përbashkëta kufitare dhe doganore;</w:t>
      </w:r>
    </w:p>
    <w:p w14:paraId="5455493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vënia në funksion e pikave të përbashkëta të kalimit kufitar dhe zbatimin e kontrolleve të përbashkëta kufitare dhe doganore;</w:t>
      </w:r>
    </w:p>
    <w:p w14:paraId="66E7B75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3:</w:t>
      </w:r>
      <w:r w:rsidRPr="00F511C4">
        <w:rPr>
          <w:rFonts w:ascii="Garamond" w:eastAsia="Times New Roman" w:hAnsi="Garamond" w:cs="Times New Roman"/>
          <w:sz w:val="24"/>
          <w:szCs w:val="24"/>
          <w:lang w:val="sq-AL"/>
        </w:rPr>
        <w:t xml:space="preserve"> Negocimi dhe nënshkrimi i protokolleve të zbatimit të marrëveshjes për ngritjen e pikave të përbashkëta të kalimit kufitar dhe kryerjen e kontrolleve të përbashkëta kufitare dhe doganore me Republikën e Kosovës, për çdo Pikë të Kalimit Kufitar, nëpërmjet së cilës synohet ngritja e PKK të përbashkëta si detyrim dhe zbatim i katalogut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rPr>
        <w:t>, në përputhje praktikat më të mira për lehtësimin e kalimit të shtetasve dhe mjeteve.</w:t>
      </w:r>
    </w:p>
    <w:p w14:paraId="6272AE4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4:</w:t>
      </w:r>
      <w:r w:rsidRPr="00F511C4">
        <w:rPr>
          <w:rFonts w:ascii="Garamond" w:eastAsia="Times New Roman" w:hAnsi="Garamond" w:cs="Times New Roman"/>
          <w:sz w:val="24"/>
          <w:szCs w:val="24"/>
          <w:lang w:val="sq-AL"/>
        </w:rPr>
        <w:t xml:space="preserve"> Fillimi i negociatave për nënshkrimin e marrëveshjes për ngritjen e Pikave të Përbashkëta të Kalimit Kufitar dhe kryerjen e kontrolleve të përbashkëta kufitare dhe doganore me Greqinë, nëpërmjet së cilës synohet nënshkrimi i marrëveshjes për ngritjen e Pikave të Përbashkëta të Kalimit Kufitar dhe kryerjen e kontrolleve të përbashkëta kufitare dhe doganore me Greqinë.</w:t>
      </w:r>
    </w:p>
    <w:p w14:paraId="6494897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2.3 Objektivi specifik 3, i qëllimit të politikës 2</w:t>
      </w:r>
      <w:r w:rsidRPr="00F511C4">
        <w:rPr>
          <w:rFonts w:ascii="Garamond" w:eastAsia="Times New Roman" w:hAnsi="Garamond" w:cs="Times New Roman"/>
          <w:sz w:val="24"/>
          <w:szCs w:val="24"/>
          <w:lang w:val="sq-AL"/>
        </w:rPr>
        <w:t>: Alokimi i burimeve të nevojshme njerëzore në Pikat e Kalimit të Kufitar në përputhje me fluksin e qarkullimit ndërkufitar.</w:t>
      </w:r>
    </w:p>
    <w:p w14:paraId="3169C85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Në periudha të veçanta, siç është sezoni turistik veror dhe periudha e festave të fundvitit, krijojnë ngarkesa të mëdha në pikat e kalimit kufitar që kalojnë kufijtë e ngarkesës normale për personelin e këtyre pikave. Me qëllim krijimin e lehtësirave të duhura për kalimin pa vonesë të shtetasve dhe mallrave, tashmë është krijuar një praktikë shumë e mirë e rialokimit të burimeve njerëzore dhe vendosjen e tyre në dispozicion të pikave të kalimit kufitar të cilat përballën me fluks të shtuar. Kjo praktikë është e nevojshme të vijojë të zbatohet dhe në të ardhmen. </w:t>
      </w:r>
    </w:p>
    <w:p w14:paraId="423750A0"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5F1CEB9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1:</w:t>
      </w:r>
      <w:r w:rsidRPr="00F511C4">
        <w:rPr>
          <w:rFonts w:ascii="Garamond" w:eastAsia="Times New Roman" w:hAnsi="Garamond" w:cs="Times New Roman"/>
          <w:sz w:val="24"/>
          <w:szCs w:val="24"/>
          <w:lang w:val="sq-AL"/>
        </w:rPr>
        <w:t xml:space="preserve"> Shtimi i numrit të rojeve kufitare në pikat e kalimit kufitar në përputhje me nevojat operacionale, nëpërmjet së cilës synohet plotësimi i të gjitha funksioneve të lira. Kjo masë do të realizohet nëpërmjet aktiviteteve të mëposhtme:</w:t>
      </w:r>
    </w:p>
    <w:p w14:paraId="73877F3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Shtimi i numrit të rojeve kufitare në pikat e kalimit kufitar Morinë, Komisariati i Policisë Rinas, Port Durrës, Qafë Thanë, Kakavijë, Kapshticë etj.;</w:t>
      </w:r>
    </w:p>
    <w:p w14:paraId="302815A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Plotësimi me personel i funksioneve të lira në Pikat e Kalimit Kufitar.</w:t>
      </w:r>
    </w:p>
    <w:p w14:paraId="0CD39C2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Masa 2:</w:t>
      </w:r>
      <w:r w:rsidRPr="00F511C4">
        <w:rPr>
          <w:rFonts w:ascii="Garamond" w:eastAsia="Times New Roman" w:hAnsi="Garamond" w:cs="Times New Roman"/>
          <w:sz w:val="24"/>
          <w:szCs w:val="24"/>
          <w:lang w:val="sq-AL"/>
        </w:rPr>
        <w:t xml:space="preserve"> Rialokimi i përkohshëm i burimeve njerëzore në Pikat e Kalimit Kufitar me fluks të përkohshëm të rritur, nëpërmjet së cilës synohet përballimi me sukses i flukseve të përkohshme të qarkullimit ndërkufitar.</w:t>
      </w:r>
    </w:p>
    <w:p w14:paraId="2D1B7BD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2.4 Objektivi specifik 4, i qëllimit të politikës 2</w:t>
      </w:r>
      <w:r w:rsidRPr="00F511C4">
        <w:rPr>
          <w:rFonts w:ascii="Garamond" w:eastAsia="Times New Roman" w:hAnsi="Garamond" w:cs="Times New Roman"/>
          <w:sz w:val="24"/>
          <w:szCs w:val="24"/>
          <w:lang w:val="sq-AL"/>
        </w:rPr>
        <w:t>: Forcimi i kapaciteteve logjistike për zbulimin e dokumenteve të falsifikuara të udhëtimit.</w:t>
      </w:r>
    </w:p>
    <w:p w14:paraId="126B770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Një pjesë e mirë e personelit të Pikave të kalimit Kufitar tashmë është pajisur me mjetet e nevojshme për kontrollin e dokumenteve të udhëtimit, në vijën e parë të kontrollit. Aktualisht është e nevojshme pajisja e këtyre shërbimeve me mjete të specializuara për ekzaminimin e dokumenteve të udhëtimit, në vijën e dytë të kontrollit.</w:t>
      </w:r>
    </w:p>
    <w:p w14:paraId="3FC1DB53"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0B07D73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1:</w:t>
      </w:r>
      <w:r w:rsidRPr="00F511C4">
        <w:rPr>
          <w:rFonts w:ascii="Garamond" w:eastAsia="Times New Roman" w:hAnsi="Garamond" w:cs="Times New Roman"/>
          <w:sz w:val="24"/>
          <w:szCs w:val="24"/>
          <w:lang w:val="sq-AL"/>
        </w:rPr>
        <w:t xml:space="preserve"> Pajisja e pikave të kalimit kufitar me pajisje speciale për ekzaminimin e dokumenteve të udhëtimit, sipas nevojës dhe analizës së riskut.</w:t>
      </w:r>
    </w:p>
    <w:p w14:paraId="46D75D0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2:</w:t>
      </w:r>
      <w:r w:rsidRPr="00F511C4">
        <w:rPr>
          <w:rFonts w:ascii="Garamond" w:eastAsia="Times New Roman" w:hAnsi="Garamond" w:cs="Times New Roman"/>
          <w:sz w:val="24"/>
          <w:szCs w:val="24"/>
          <w:lang w:val="sq-AL"/>
        </w:rPr>
        <w:t xml:space="preserve"> Sigurimi i aksesit në bankën e të dhënave të dokumenteve të udhëtimit PRADO. </w:t>
      </w:r>
    </w:p>
    <w:p w14:paraId="4F1984E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2.5 Objektivi specifik 5, i qëllimit të politikës 2</w:t>
      </w:r>
      <w:r w:rsidRPr="00F511C4">
        <w:rPr>
          <w:rFonts w:ascii="Garamond" w:eastAsia="Times New Roman" w:hAnsi="Garamond" w:cs="Times New Roman"/>
          <w:sz w:val="24"/>
          <w:szCs w:val="24"/>
          <w:lang w:val="sq-AL"/>
        </w:rPr>
        <w:t>: Forcimi i kapaciteteve profesionale të rojeve kufitare që shërbejnë në Pikat e Kalimit Kufitar.</w:t>
      </w:r>
    </w:p>
    <w:p w14:paraId="210D63B2"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sz w:val="24"/>
          <w:szCs w:val="24"/>
          <w:lang w:val="sq-AL"/>
        </w:rPr>
        <w:lastRenderedPageBreak/>
        <w:t xml:space="preserve">Forcimi i kapaciteteve profesionale të punonjësve të agjencive të zbatimit të ligjit do të vijojë të jetë prioritet për të gjitha agjencitë. Profesionalizmi dhe forcimi i aftësive për zbatimin me korrektësi e cilësi i detyrave, përbën një garanci të fortë për menaxhimin e kufirit dhe rrjedhimisht për forcimin e sigurisë kufitare. </w:t>
      </w:r>
    </w:p>
    <w:p w14:paraId="19B6773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Agjencitë e zbatimit të ligjit do t’i kushtojnë një vëmendje të veçantë trajnimit të trajnerëve për fushat e përgjegjësisë, duke synuar forcimin e pavarësisë në fushën e shkollimit dhe trajnimit. Trajnimet do të vijojnë të zhvillohen sipas planeve të miratuara të trajnimeve dhe do të adresojnë prioritetet e përcaktuara nga strukturat qendrore dhe vendore.</w:t>
      </w:r>
    </w:p>
    <w:p w14:paraId="08081A6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Trajnimi me burimet e brendshme do të kombinohet në mënyrë efikase me trajnimet e ofruar nga partnerët ndërkombëtarë, në nivel bilateral, multilateral dhe në kuadër të projekteve apo iniciativave të ndryshme. </w:t>
      </w:r>
    </w:p>
    <w:p w14:paraId="39E9955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Policia Kufitare do të vijojë respektimin e standardeve të trajnimit dhe shkollimit të vendeve anëtare të Bashkimit Evropian, si dhe të praktikave më të mira të identifikuara. Trajnimi bazë i Policisë Kufitare do të vijojë në bazë të kurrikulës të përafruar plotësisht me Kurrikulën e Përbashkët Bazë të Agjencisë Evropiane të Rojës Kufitare dhe Bregdetare (FRONTEX).</w:t>
      </w:r>
    </w:p>
    <w:p w14:paraId="5113261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Aplikimi sistemeve të reja të shkëmbimit të informacionit dhe futja në përdorim i teknologjive dhe pajisje bashkëkohore të kontrollit dhe mbikëqyrjes së kufirit, do të shoqërohen me trajnime të specializuara, me qëllim përdorimin sa më efektiv të këtyre sistemeve dhe pajisjeve.</w:t>
      </w:r>
    </w:p>
    <w:p w14:paraId="66A9010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7C98ED4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1:</w:t>
      </w:r>
      <w:r w:rsidRPr="00F511C4">
        <w:rPr>
          <w:rFonts w:ascii="Garamond" w:eastAsia="Times New Roman" w:hAnsi="Garamond" w:cs="Times New Roman"/>
          <w:sz w:val="24"/>
          <w:szCs w:val="24"/>
          <w:lang w:val="sq-AL"/>
        </w:rPr>
        <w:t xml:space="preserve"> Krijimi i posteve të punës për trajnimin </w:t>
      </w:r>
      <w:r w:rsidRPr="00F511C4">
        <w:rPr>
          <w:rFonts w:ascii="Garamond" w:eastAsia="Times New Roman" w:hAnsi="Garamond" w:cs="Times New Roman"/>
          <w:i/>
          <w:sz w:val="24"/>
          <w:szCs w:val="24"/>
          <w:lang w:val="sq-AL"/>
        </w:rPr>
        <w:t>online</w:t>
      </w:r>
      <w:r w:rsidRPr="00F511C4">
        <w:rPr>
          <w:rFonts w:ascii="Garamond" w:eastAsia="Times New Roman" w:hAnsi="Garamond" w:cs="Times New Roman"/>
          <w:sz w:val="24"/>
          <w:szCs w:val="24"/>
          <w:lang w:val="sq-AL"/>
        </w:rPr>
        <w:t xml:space="preserve"> të rojeve kufitare, i cili do të realizohet nëpërmjet aktiviteteve të mëposhtme:</w:t>
      </w:r>
    </w:p>
    <w:p w14:paraId="11D40CD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Instalimi i 3 (tre) kompjuterëve personal në çdo strukturë vendore (DVKM, Reparti DELTA, Qendra e Mbyllur Karreç, IQP) dhe në Departamentin për Kufirin dhe Migracionin, për të mundësuar trajnimin </w:t>
      </w:r>
      <w:r w:rsidRPr="00F511C4">
        <w:rPr>
          <w:rFonts w:ascii="Garamond" w:eastAsia="Times New Roman" w:hAnsi="Garamond" w:cs="Times New Roman"/>
          <w:i/>
          <w:sz w:val="24"/>
          <w:szCs w:val="24"/>
          <w:lang w:val="sq-AL"/>
        </w:rPr>
        <w:t>online</w:t>
      </w:r>
      <w:r w:rsidRPr="00F511C4">
        <w:rPr>
          <w:rFonts w:ascii="Garamond" w:eastAsia="Times New Roman" w:hAnsi="Garamond" w:cs="Times New Roman"/>
          <w:sz w:val="24"/>
          <w:szCs w:val="24"/>
          <w:lang w:val="sq-AL"/>
        </w:rPr>
        <w:t xml:space="preserve"> të rojeve kufitare.</w:t>
      </w:r>
    </w:p>
    <w:p w14:paraId="0EFE8A8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Instalimin e </w:t>
      </w:r>
      <w:r w:rsidRPr="00F511C4">
        <w:rPr>
          <w:rFonts w:ascii="Garamond" w:eastAsia="Times New Roman" w:hAnsi="Garamond" w:cs="Times New Roman"/>
          <w:i/>
          <w:sz w:val="24"/>
          <w:szCs w:val="24"/>
          <w:lang w:val="sq-AL"/>
        </w:rPr>
        <w:t>software</w:t>
      </w:r>
      <w:r w:rsidRPr="00F511C4">
        <w:rPr>
          <w:rFonts w:ascii="Garamond" w:eastAsia="Times New Roman" w:hAnsi="Garamond" w:cs="Times New Roman"/>
          <w:sz w:val="24"/>
          <w:szCs w:val="24"/>
          <w:lang w:val="sq-AL"/>
        </w:rPr>
        <w:t xml:space="preserve">-ve të nevojshme për mundësimin e trajnimeve </w:t>
      </w:r>
      <w:r w:rsidRPr="00F511C4">
        <w:rPr>
          <w:rFonts w:ascii="Garamond" w:eastAsia="Times New Roman" w:hAnsi="Garamond" w:cs="Times New Roman"/>
          <w:i/>
          <w:sz w:val="24"/>
          <w:szCs w:val="24"/>
          <w:lang w:val="sq-AL"/>
        </w:rPr>
        <w:t>online</w:t>
      </w:r>
      <w:r w:rsidRPr="00F511C4">
        <w:rPr>
          <w:rFonts w:ascii="Garamond" w:eastAsia="Times New Roman" w:hAnsi="Garamond" w:cs="Times New Roman"/>
          <w:sz w:val="24"/>
          <w:szCs w:val="24"/>
          <w:lang w:val="sq-AL"/>
        </w:rPr>
        <w:t>.</w:t>
      </w:r>
    </w:p>
    <w:p w14:paraId="5615036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Krijimin në TIMS të portalit të moduleve të trajnimit për Policinë Kufitare dhe Migracionit. </w:t>
      </w:r>
    </w:p>
    <w:p w14:paraId="7F30869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xml:space="preserve">Masa 2: </w:t>
      </w:r>
      <w:r w:rsidRPr="00F511C4">
        <w:rPr>
          <w:rFonts w:ascii="Garamond" w:eastAsia="Times New Roman" w:hAnsi="Garamond" w:cs="Times New Roman"/>
          <w:sz w:val="24"/>
          <w:szCs w:val="24"/>
          <w:lang w:val="sq-AL"/>
        </w:rPr>
        <w:t>Zhvillimi i trajnimeve për sigurinë e dokumenteve të trajnimit me rojet kufitare të Pikave të Kalimit Kufitar, i cili do të realizohet nëpërmjet aktiviteteve të mëposhtme:</w:t>
      </w:r>
    </w:p>
    <w:p w14:paraId="03A9537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zhvillimi trajnimeve rifreskuese për sigurinë e dokumenteve të udhëtimit;</w:t>
      </w:r>
    </w:p>
    <w:p w14:paraId="11F2A2D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zhvillimin e trajnimeve të avancuara për sigurinë e dokumenteve të udhëtimit, për punonjësit e policisë së vijës së dytë të kontrollit kufitar.</w:t>
      </w:r>
    </w:p>
    <w:p w14:paraId="245ED47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3</w:t>
      </w:r>
      <w:r w:rsidRPr="00F511C4">
        <w:rPr>
          <w:rFonts w:ascii="Garamond" w:eastAsia="Times New Roman" w:hAnsi="Garamond" w:cs="Times New Roman"/>
          <w:sz w:val="24"/>
          <w:szCs w:val="24"/>
          <w:lang w:val="sq-AL"/>
        </w:rPr>
        <w:t>: Shkëmbimi i eksperiencës në fushën e sigurisë së dokumenteve të udhëtimit në nivel bilateral dhe në kuadër të operacioneve të koordinuara nga Agjencia Evropiane e Rojës Kufitare dhe Bregdetare, FRONTEX, nëpërmjet së cilës synohet pjesëmarrja në çdo operacion të koordinuar nga FRONTEX.</w:t>
      </w:r>
    </w:p>
    <w:p w14:paraId="6509034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3. Qëllimi i politikës 3: respektimi i plotë i të drejtave themelore, përfshirë trajtimin e çdo individi me respekt të plotë për dinjitetin dhe mundësimin e qasjes në mbrojtjen ndërkombëtare të atyre që kanë nevojë</w:t>
      </w:r>
    </w:p>
    <w:p w14:paraId="25CFFA9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 xml:space="preserve">3.1 Objektivi specifik 1, i qëllimit të politikës </w:t>
      </w:r>
      <w:r w:rsidRPr="00F511C4">
        <w:rPr>
          <w:rFonts w:ascii="Garamond" w:eastAsia="Times New Roman" w:hAnsi="Garamond" w:cs="Times New Roman"/>
          <w:b/>
          <w:sz w:val="24"/>
          <w:szCs w:val="24"/>
          <w:lang w:val="sq-AL"/>
        </w:rPr>
        <w:t>3</w:t>
      </w:r>
      <w:r w:rsidRPr="00F511C4">
        <w:rPr>
          <w:rFonts w:ascii="Garamond" w:eastAsia="Times New Roman" w:hAnsi="Garamond" w:cs="Times New Roman"/>
          <w:sz w:val="24"/>
          <w:szCs w:val="24"/>
          <w:lang w:val="sq-AL"/>
        </w:rPr>
        <w:t>: Përmirësimi i nivelit të respektimit, mbrojtjes dhe promovimit të të drejtave themelore, sjelljes profesionale të oficerëve të kontrollit kufitar, si dhe aftësive të tyre profesionale për përdorim më efikas të pajisjeve teknike, trajnimit dhe zhvillimit profesional.</w:t>
      </w:r>
    </w:p>
    <w:p w14:paraId="36CE0C8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Punonjësit e Policisë së Shtetit, rojet kufitare dhe ato të menaxhimit të migracionit, punonjësit e Doganës dhe të agjencive të tjera të zbatimit të ligjit që operojnë në kufi, ushtrojnë aktivitetin e tyre në përputhje me Kushtetutën, aktet ndërkombëtare, ligjet dhe rregulloret e tjera, duke iu përmbajtur normave të sjelljes dhe etikës, veçanërisht atyre që kanë të bëjnë me detyrimin për t’u shërbyer shtetasve shqiptarë dhe të huaj, respektimin e ligjshmërisë, ushtrimi i të drejtave të njeriut, mosdiskriminimi gjatë ushtrimit të funksioneve e detyrave, ndalimin e torturës dhe trajtimit degradues, dhënien e ndihmës së menjëhershme për viktimat, detyrimi për të mbrojtur informacionin e klasifikuar dhe të dhënat personale, detyrimit për të refuzuar urdhrat e paligjshëm dhe të kundërshtojë çdo formë të korrupsionit.</w:t>
      </w:r>
    </w:p>
    <w:p w14:paraId="19C2CF4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Punonjësit e të gjitha agjencive do të vijojnë të ushtrojnë kompetencat, duke synuar minimizimin e efekteve të dëmshëm, duke parandaluar dhe shmangur, në çdo rast, diskriminim e qytetarëve në bazë të racës, ngjyrës, kombësisë, origjinës sociale ose etnike, përkatësisë së pakicave kombëtare, gjuhës, besimit fetar, mendimit ndryshe, gjinisë, identiteti gjinor, orientimi seksual, gjendjes shëndetësore, aftësisë së kufizuar, moshës, statusit martesor, përkatësia në grup ose supozimi i përkatësisë në një grup të caktuar, bindjes politike, anëtarësisë në sindikatë ose organizatë, si dhe në bazë të karakteristikave personale.</w:t>
      </w:r>
    </w:p>
    <w:p w14:paraId="619616B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55F2D22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1</w:t>
      </w:r>
      <w:r w:rsidRPr="00F511C4">
        <w:rPr>
          <w:rFonts w:ascii="Garamond" w:eastAsia="Times New Roman" w:hAnsi="Garamond" w:cs="Times New Roman"/>
          <w:sz w:val="24"/>
          <w:szCs w:val="24"/>
          <w:lang w:val="sq-AL"/>
        </w:rPr>
        <w:t>: Vijimi i trajnimit të rojeve kufitare për procedurat standarde të përzgjedhjes dhe referimit të të huajve të parregullt;</w:t>
      </w:r>
    </w:p>
    <w:p w14:paraId="5F753AA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2</w:t>
      </w:r>
      <w:r w:rsidRPr="00F511C4">
        <w:rPr>
          <w:rFonts w:ascii="Garamond" w:eastAsia="Times New Roman" w:hAnsi="Garamond" w:cs="Times New Roman"/>
          <w:sz w:val="24"/>
          <w:szCs w:val="24"/>
          <w:lang w:val="sq-AL"/>
        </w:rPr>
        <w:t>: Rishikimi i procedurave për përzgjedhjen e shtetasve të huaj që kërkojnë mbrojtje ndërkombëtare në vendin tonë;</w:t>
      </w:r>
    </w:p>
    <w:p w14:paraId="2F57BE4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3:</w:t>
      </w:r>
      <w:r w:rsidRPr="00F511C4">
        <w:rPr>
          <w:rFonts w:ascii="Garamond" w:eastAsia="Times New Roman" w:hAnsi="Garamond" w:cs="Times New Roman"/>
          <w:sz w:val="24"/>
          <w:szCs w:val="24"/>
          <w:lang w:val="sq-AL"/>
        </w:rPr>
        <w:t xml:space="preserve"> Trajnim i vazhdueshëm i rojeve kufitare për grumbullimin dhe përdorimin e të dhënave personale;</w:t>
      </w:r>
    </w:p>
    <w:p w14:paraId="542BB10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4</w:t>
      </w:r>
      <w:r w:rsidRPr="00F511C4">
        <w:rPr>
          <w:rFonts w:ascii="Garamond" w:eastAsia="Times New Roman" w:hAnsi="Garamond" w:cs="Times New Roman"/>
          <w:sz w:val="24"/>
          <w:szCs w:val="24"/>
          <w:lang w:val="sq-AL"/>
        </w:rPr>
        <w:t>: Zhvillimi i trajnimeve të vazhdueshme për trajtimin e shtetasve të huaj në territorin e Republikës së Shqipërisë, në përputhje me legjislacionin për të huajt.</w:t>
      </w:r>
    </w:p>
    <w:p w14:paraId="2B33A12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3.2 Objektivi specifik 2, i qëllimit të politikës 3</w:t>
      </w:r>
      <w:r w:rsidRPr="00F511C4">
        <w:rPr>
          <w:rFonts w:ascii="Garamond" w:eastAsia="Times New Roman" w:hAnsi="Garamond" w:cs="Times New Roman"/>
          <w:sz w:val="24"/>
          <w:szCs w:val="24"/>
          <w:lang w:val="sq-AL"/>
        </w:rPr>
        <w:t>: Kontrolli i cilësisë në zbatimin e ligjit për menaxhimin e kufijve dhe sjellja e policëve dhe doganierëve të përfshirë në kontrollin kufitar dhe doganor të kryhet në përputhje aktet ligjore dhe nënligjore dhe me standardet e BE-së.</w:t>
      </w:r>
    </w:p>
    <w:p w14:paraId="76BA2AC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Drejtoria e Përgjithshme e Policisë së Shtetit ka miratuar një kod etik që është në përputhje me standardet e Kodit Evropian të Etikës së Policisë, i cili përcakton standardet dhe rregullat e sjelljes për oficerët e policisë në kryerjen e detyrave të tyre.</w:t>
      </w:r>
    </w:p>
    <w:p w14:paraId="5F0938A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Krahas aktivitetit kontrollues të Shërbimit të Kontrollit të Brendshëm dhe Ankesave në Ministrinë e Brendshme, Avokatit të Popullit apo vlerësimeve të organizatave të ndryshme vendore dhe ndërkombëtare, Policia e Shtetit dhe shërbimet e tjera kufitare kanë krijuar një sistem të kontrollit të cilësisë në procesin e punës, zbatimin e autoritetit dhe zbatimin e ligjit. Në përputhje me rregullat e përcaktuara, Policia Kufitare do të hartojë plane kontrolli tematik dhe </w:t>
      </w:r>
      <w:r w:rsidRPr="00F511C4">
        <w:rPr>
          <w:rFonts w:ascii="Garamond" w:eastAsia="Times New Roman" w:hAnsi="Garamond" w:cs="Times New Roman"/>
          <w:i/>
          <w:sz w:val="24"/>
          <w:szCs w:val="24"/>
          <w:lang w:val="sq-AL"/>
        </w:rPr>
        <w:t>ad-hoc</w:t>
      </w:r>
      <w:r w:rsidRPr="00F511C4">
        <w:rPr>
          <w:rFonts w:ascii="Garamond" w:eastAsia="Times New Roman" w:hAnsi="Garamond" w:cs="Times New Roman"/>
          <w:sz w:val="24"/>
          <w:szCs w:val="24"/>
          <w:lang w:val="sq-AL"/>
        </w:rPr>
        <w:t>, për çështje të veçanta dhe/apo ankesave, sipas procedurave standarde të punës për raste të tilla. Në përputhje me programet vjetore të punës, nga zyrtarët e autorizuar të Policisë Kufitare (në Departamentet dhe Drejtoritë Vendore të Kufirit dhe Migracionit) do të planifikohen dhe kryhen kontrolle, inspektime të rregullta dhe të jashtëzakonshme.</w:t>
      </w:r>
    </w:p>
    <w:p w14:paraId="7FCEC5B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Vëmendje të veçantë do t’i kushtohet ngritjes së mekanizmave të vlerësimit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rPr>
        <w:t>, të vlerësimit të cenueshmërisë (vulnerabilitetit) të sigurisë kufitare dhe mekanizmave të mundshëm kombëtarë për të siguruar zbatimin e ligjit në fushën e menaxhimit të kufijve.</w:t>
      </w:r>
    </w:p>
    <w:p w14:paraId="3A83EB0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71DC349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1:</w:t>
      </w:r>
      <w:r w:rsidRPr="00F511C4">
        <w:rPr>
          <w:rFonts w:ascii="Garamond" w:eastAsia="Times New Roman" w:hAnsi="Garamond" w:cs="Times New Roman"/>
          <w:sz w:val="24"/>
          <w:szCs w:val="24"/>
          <w:lang w:val="sq-AL"/>
        </w:rPr>
        <w:t xml:space="preserve"> Përgatitja dhe miratimi i procedurave standarde të punës për zhvillimin e inspektimeve tematike të aktivitetit të strukturave për kufirin dhe migracionin, nga Departamenti për Kufirin dhe Migracionin.</w:t>
      </w:r>
    </w:p>
    <w:p w14:paraId="27DAAF3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2:</w:t>
      </w:r>
      <w:r w:rsidRPr="00F511C4">
        <w:rPr>
          <w:rFonts w:ascii="Garamond" w:eastAsia="Times New Roman" w:hAnsi="Garamond" w:cs="Times New Roman"/>
          <w:sz w:val="24"/>
          <w:szCs w:val="24"/>
          <w:lang w:val="sq-AL"/>
        </w:rPr>
        <w:t xml:space="preserve"> Hartimi i planit vjetor të inspektimit të strukturave vendore për kufirin dhe migracionin.</w:t>
      </w:r>
    </w:p>
    <w:p w14:paraId="0B81B97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3:</w:t>
      </w:r>
      <w:r w:rsidRPr="00F511C4">
        <w:rPr>
          <w:rFonts w:ascii="Garamond" w:eastAsia="Times New Roman" w:hAnsi="Garamond" w:cs="Times New Roman"/>
          <w:sz w:val="24"/>
          <w:szCs w:val="24"/>
          <w:lang w:val="sq-AL"/>
        </w:rPr>
        <w:t xml:space="preserve"> Zhvillimi i inspektimeve </w:t>
      </w:r>
      <w:r w:rsidRPr="00F511C4">
        <w:rPr>
          <w:rFonts w:ascii="Garamond" w:eastAsia="Times New Roman" w:hAnsi="Garamond" w:cs="Times New Roman"/>
          <w:i/>
          <w:sz w:val="24"/>
          <w:szCs w:val="24"/>
          <w:lang w:val="sq-AL"/>
        </w:rPr>
        <w:t>ad-hoc</w:t>
      </w:r>
      <w:r w:rsidRPr="00F511C4">
        <w:rPr>
          <w:rFonts w:ascii="Garamond" w:eastAsia="Times New Roman" w:hAnsi="Garamond" w:cs="Times New Roman"/>
          <w:sz w:val="24"/>
          <w:szCs w:val="24"/>
          <w:lang w:val="sq-AL"/>
        </w:rPr>
        <w:t xml:space="preserve"> për probleme që mund të ndeshen apo në ndjekje të ankesave të shtetasve të ndryshëm, për aktivitetin e rojeve kufitare dhe/ose strukturave vendore për kufirin dhe migracionin.</w:t>
      </w:r>
    </w:p>
    <w:p w14:paraId="0AB4B8D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bCs/>
          <w:sz w:val="24"/>
          <w:szCs w:val="24"/>
          <w:lang w:val="sq-AL"/>
        </w:rPr>
        <w:t>3.3 Objektivi specifik 3, i qëllimit të politikës</w:t>
      </w:r>
      <w:r w:rsidRPr="00F511C4">
        <w:rPr>
          <w:rFonts w:ascii="Garamond" w:eastAsia="Times New Roman" w:hAnsi="Garamond" w:cs="Times New Roman"/>
          <w:sz w:val="24"/>
          <w:szCs w:val="24"/>
          <w:lang w:val="sq-AL"/>
        </w:rPr>
        <w:t xml:space="preserve"> </w:t>
      </w:r>
      <w:r w:rsidRPr="00F511C4">
        <w:rPr>
          <w:rFonts w:ascii="Garamond" w:eastAsia="Times New Roman" w:hAnsi="Garamond" w:cs="Times New Roman"/>
          <w:b/>
          <w:sz w:val="24"/>
          <w:szCs w:val="24"/>
          <w:lang w:val="sq-AL"/>
        </w:rPr>
        <w:t>3</w:t>
      </w:r>
      <w:r w:rsidRPr="00F511C4">
        <w:rPr>
          <w:rFonts w:ascii="Garamond" w:eastAsia="Times New Roman" w:hAnsi="Garamond" w:cs="Times New Roman"/>
          <w:sz w:val="24"/>
          <w:szCs w:val="24"/>
          <w:lang w:val="sq-AL"/>
        </w:rPr>
        <w:t>: Sigurimi i qasjes në mbrojtjen ndërkombëtare atyre që kanë nevojë.</w:t>
      </w:r>
    </w:p>
    <w:p w14:paraId="5223C2D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rPr>
        <w:t>Ligjshmëria, mosdiskriminimi dhe respektimi i të drejtave dhe lirive themelore të njeriut janë parime që qëndrojnë në themel të veprimtarisë së Policisë së Shtetit.</w:t>
      </w:r>
      <w:r w:rsidRPr="00F511C4">
        <w:rPr>
          <w:rFonts w:ascii="Garamond" w:eastAsia="Times New Roman" w:hAnsi="Garamond" w:cs="Times New Roman"/>
          <w:sz w:val="24"/>
          <w:szCs w:val="24"/>
          <w:vertAlign w:val="superscript"/>
          <w:lang w:val="sq-AL"/>
        </w:rPr>
        <w:footnoteReference w:id="10"/>
      </w:r>
      <w:r w:rsidRPr="00F511C4">
        <w:rPr>
          <w:rFonts w:ascii="Garamond" w:eastAsia="Times New Roman" w:hAnsi="Garamond" w:cs="Times New Roman"/>
          <w:sz w:val="24"/>
          <w:szCs w:val="24"/>
          <w:lang w:val="sq-AL"/>
        </w:rPr>
        <w:t xml:space="preserve"> </w:t>
      </w:r>
      <w:r w:rsidRPr="00F511C4">
        <w:rPr>
          <w:rFonts w:ascii="Garamond" w:eastAsia="Times New Roman" w:hAnsi="Garamond" w:cs="Times New Roman"/>
          <w:sz w:val="24"/>
          <w:szCs w:val="24"/>
          <w:lang w:val="sq-AL" w:eastAsia="sq-AL"/>
        </w:rPr>
        <w:t xml:space="preserve">Mbrojtja dhe respektimi i të drejtave të njeriut të personave që kalojnë kufirin shtetëror ose kalojnë kufirin shtetëror në mënyrë të paligjshme është vlerë e patjetërsueshme dhe një përparësi e Policisë Kufitare. Vëmendje e </w:t>
      </w:r>
      <w:r w:rsidRPr="00F511C4">
        <w:rPr>
          <w:rFonts w:ascii="Garamond" w:eastAsia="Times New Roman" w:hAnsi="Garamond" w:cs="Times New Roman"/>
          <w:sz w:val="24"/>
          <w:szCs w:val="24"/>
          <w:lang w:val="sq-AL" w:eastAsia="sq-AL"/>
        </w:rPr>
        <w:lastRenderedPageBreak/>
        <w:t xml:space="preserve">veçantë do t’i kushtohet grupeve vulnerabël, veçanërisht të miturve të pashoqëruar dhe viktimave të dyshuara të dhunës ose trafikimit. </w:t>
      </w:r>
    </w:p>
    <w:p w14:paraId="40F63E1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eastAsia="sq-AL"/>
        </w:rPr>
        <w:t>Në këtë drejtim, nevojitet të forcohen kapacitetet për identifikimin e personave që kanë nevojë për mbrojtje ndërkombëtare, për ndihmë juridike, si dhe për kthimin efektiv të personave që nuk kualifikohen për mbrojtje ndërkombëtare.</w:t>
      </w:r>
    </w:p>
    <w:p w14:paraId="41B8FAF5"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sz w:val="24"/>
          <w:szCs w:val="24"/>
          <w:lang w:val="sq-AL"/>
        </w:rPr>
        <w:t>Në çdo rast nga ana e shërbimeve të policisë kufitare dhe migracionit, është vepruar dhe do të veprohet në përputhje të plotë me të drejtat universale të njeriut ku parashikohet se “gjithkush ka të drejtë të kërkojë dhe gëzojë në vende të tjera azil nga ndjekjet...”</w:t>
      </w:r>
      <w:r w:rsidRPr="00F511C4">
        <w:rPr>
          <w:rFonts w:ascii="Garamond" w:eastAsia="Times New Roman" w:hAnsi="Garamond" w:cs="Times New Roman"/>
          <w:sz w:val="24"/>
          <w:szCs w:val="24"/>
          <w:vertAlign w:val="superscript"/>
          <w:lang w:val="sq-AL"/>
        </w:rPr>
        <w:footnoteReference w:id="11"/>
      </w:r>
      <w:r w:rsidRPr="00F511C4">
        <w:rPr>
          <w:rFonts w:ascii="Garamond" w:eastAsia="Times New Roman" w:hAnsi="Garamond" w:cs="Times New Roman"/>
          <w:sz w:val="24"/>
          <w:szCs w:val="24"/>
          <w:lang w:val="sq-AL"/>
        </w:rPr>
        <w:t>, dhe nga legjislacioni shqiptar i cili parashikon se, “Në Republikën e Shqipërisë garantohet e drejta për azil e të huajit apo personit pa shtetësi, i cili, për shkak të frikës së bazuar të persekutimit, për arsye të racës, besimit fetar, kombësisë, anëtarësisë në një grup të caktuar shoqëror ose bindjes politike, ndodhet jashtë vendit të shtetësisë së vet ose jashtë vendbanimit të zakonshëm të mëparshëm dhe nuk ka mundësi ose dëshirë të kërkojë mbrojtjen e atij vendi, si pasojë e këtyre ngjarjeve, për arsye të kësaj frike”.</w:t>
      </w:r>
      <w:r w:rsidRPr="00F511C4">
        <w:rPr>
          <w:rFonts w:ascii="Garamond" w:eastAsia="Times New Roman" w:hAnsi="Garamond" w:cs="Times New Roman"/>
          <w:sz w:val="24"/>
          <w:szCs w:val="24"/>
          <w:vertAlign w:val="superscript"/>
          <w:lang w:val="sq-AL"/>
        </w:rPr>
        <w:footnoteReference w:id="12"/>
      </w:r>
    </w:p>
    <w:p w14:paraId="7080537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Policia e Shtetit do të respektojë me korrektësi parimin e mos-kthimit, të sanksionuar në legjislacionin shqiptar, ku parashikohet se, “Republika e Shqipërisë njeh dhe respekton detyrimin e autoriteteve për të mos kthyer a prapësuar, ekstraduar apo larguar jashtë territorit të saj personat që kanë përfituar apo kërkuar të drejtën e azilit apo të formave të tjera të mbrojtjes....”.</w:t>
      </w:r>
      <w:r w:rsidRPr="00F511C4">
        <w:rPr>
          <w:rFonts w:ascii="Garamond" w:eastAsia="Times New Roman" w:hAnsi="Garamond" w:cs="Times New Roman"/>
          <w:sz w:val="24"/>
          <w:szCs w:val="24"/>
          <w:vertAlign w:val="superscript"/>
          <w:lang w:val="sq-AL"/>
        </w:rPr>
        <w:footnoteReference w:id="13"/>
      </w:r>
    </w:p>
    <w:p w14:paraId="060F84A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eastAsia="sq-AL"/>
        </w:rPr>
      </w:pPr>
      <w:r w:rsidRPr="00F511C4">
        <w:rPr>
          <w:rFonts w:ascii="Garamond" w:eastAsia="Times New Roman" w:hAnsi="Garamond" w:cs="Times New Roman"/>
          <w:sz w:val="24"/>
          <w:szCs w:val="24"/>
          <w:lang w:val="sq-AL" w:eastAsia="sq-AL"/>
        </w:rPr>
        <w:t xml:space="preserve">Procesi i azilit kërkon bashkëpunim të ngushtë midis Policisë Kufitare dhe Drejtorisë për Shtetësinë dhe Azilin dhe me çdo organizatë vendase dhe ndërkombëtare për pritjen dhe trajtimin e shtetasve të huaj që kërkojnë mbrojtje ndërkombëtare. </w:t>
      </w:r>
    </w:p>
    <w:p w14:paraId="1C60D4F6"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iCs/>
          <w:sz w:val="24"/>
          <w:szCs w:val="24"/>
          <w:lang w:val="sq-AL"/>
        </w:rPr>
      </w:pPr>
      <w:r w:rsidRPr="00F511C4">
        <w:rPr>
          <w:rFonts w:ascii="Garamond" w:eastAsia="Times New Roman" w:hAnsi="Garamond" w:cs="Times New Roman"/>
          <w:iCs/>
          <w:sz w:val="24"/>
          <w:szCs w:val="24"/>
          <w:lang w:val="sq-AL"/>
        </w:rPr>
        <w:t>Ky objektiv synohet të arrihet nëpërmjet përmbushjes së masave të mëposhtme:</w:t>
      </w:r>
    </w:p>
    <w:p w14:paraId="49D6901F"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b/>
          <w:sz w:val="24"/>
          <w:szCs w:val="24"/>
          <w:lang w:val="sq-AL" w:eastAsia="sq-AL"/>
        </w:rPr>
        <w:t>Masa 1:</w:t>
      </w:r>
      <w:r w:rsidRPr="00F511C4">
        <w:rPr>
          <w:rFonts w:ascii="Garamond" w:eastAsia="Times New Roman" w:hAnsi="Garamond" w:cs="Times New Roman"/>
          <w:sz w:val="24"/>
          <w:szCs w:val="24"/>
          <w:lang w:val="sq-AL" w:eastAsia="sq-AL"/>
        </w:rPr>
        <w:t xml:space="preserve"> </w:t>
      </w:r>
      <w:r w:rsidRPr="00F511C4">
        <w:rPr>
          <w:rFonts w:ascii="Garamond" w:eastAsia="Times New Roman" w:hAnsi="Garamond" w:cs="Times New Roman"/>
          <w:sz w:val="24"/>
          <w:szCs w:val="24"/>
          <w:lang w:val="sq-AL"/>
        </w:rPr>
        <w:t>Vijimi i trajnimit të rojeve kufitare për procedurat standarde të përzgjedhjes dhe referimit të të huajve të parregullt.</w:t>
      </w:r>
    </w:p>
    <w:p w14:paraId="4763DC4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2:</w:t>
      </w:r>
      <w:r w:rsidRPr="00F511C4">
        <w:rPr>
          <w:rFonts w:ascii="Garamond" w:eastAsia="Times New Roman" w:hAnsi="Garamond" w:cs="Times New Roman"/>
          <w:sz w:val="24"/>
          <w:szCs w:val="24"/>
          <w:lang w:val="sq-AL"/>
        </w:rPr>
        <w:t xml:space="preserve"> Rishikimi i procedurave për përzgjedhjen e shtetasve të huaj që kërkojnë mbrojtje ndërkombëtare në vendin tonë.</w:t>
      </w:r>
    </w:p>
    <w:p w14:paraId="5D06D35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Masa 3:</w:t>
      </w:r>
      <w:r w:rsidRPr="00F511C4">
        <w:rPr>
          <w:rFonts w:ascii="Garamond" w:eastAsia="Times New Roman" w:hAnsi="Garamond" w:cs="Times New Roman"/>
          <w:sz w:val="24"/>
          <w:szCs w:val="24"/>
          <w:lang w:val="sq-AL"/>
        </w:rPr>
        <w:t xml:space="preserve"> Trajnimi i rojeve kufitare për procedurat e reja për përzgjedhjen e shtetasve të huaj që kërkojnë mbrojtje ndërkombëtare në vendin tonë.</w:t>
      </w:r>
    </w:p>
    <w:p w14:paraId="69E7270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PJESA III. PROJEKTET KRYESORE PËR ZBATIMIN E STRATEGJISË </w:t>
      </w:r>
    </w:p>
    <w:p w14:paraId="63D1BAC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Projekti i ngritjes dhe funksionimit të Qendrës Kombëtare të Menaxhimit të Integruar të Kufirit.</w:t>
      </w:r>
    </w:p>
    <w:p w14:paraId="7FF7E9D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eastAsia="sq-AL"/>
        </w:rPr>
      </w:pPr>
      <w:r w:rsidRPr="00F511C4">
        <w:rPr>
          <w:rFonts w:ascii="Garamond" w:eastAsia="Times New Roman" w:hAnsi="Garamond" w:cs="Times New Roman"/>
          <w:sz w:val="24"/>
          <w:szCs w:val="24"/>
          <w:lang w:val="sq-AL"/>
        </w:rPr>
        <w:t xml:space="preserve">Kjo masë synon të bëjë përafrim të pjesshëm të legjislacionit kombëtar me rregulloren nr. 1052/2013, e Parlamentit Evropian dhe e Këshillit për ngritjen e Sistemit Evropian të Mbikëqyrjes së Kufirit (Eurosur). </w:t>
      </w:r>
      <w:r w:rsidRPr="00F511C4">
        <w:rPr>
          <w:rFonts w:ascii="Garamond" w:eastAsia="Times New Roman" w:hAnsi="Garamond" w:cs="Times New Roman"/>
          <w:sz w:val="24"/>
          <w:szCs w:val="24"/>
          <w:lang w:val="sq-AL" w:eastAsia="sq-AL"/>
        </w:rPr>
        <w:t>Rregullorja (BE) 2019/1896, u rekomandon Shteteve Anëtare të krijojnë qendra kombëtare koordinimi në mënyrë që të përmirësojnë shkëmbimin e informacionit dhe bashkëpunimit ndërinstitucional dhe ndërmjet Shteteve Anëtare, në lidhje me mbrojtjen e kufirit kombëtar dhe zbatimin e kontrollit kufitar. Për funksionimin efektiv të EUROSUR, është thelbësore që të gjitha autoritetet kombëtare përgjegjëse për mbrojtjen e kufijve të jashtëm të bashkëpunojnë përmes Qendrave Kombëtare të Menaxhimit të Integruar të Kufirit. Në këtë kontekst, Shqipëria do t’i kushtojë vëmendje të veçantë ngritjes së Qendrës Kombëtare të Menaxhimit të Integruar të Kufirit, në planin e veprimit 2024–2027.</w:t>
      </w:r>
    </w:p>
    <w:p w14:paraId="64D3C79B" w14:textId="77777777" w:rsidR="00F511C4" w:rsidRPr="00F511C4" w:rsidRDefault="00F511C4" w:rsidP="00F511C4">
      <w:pPr>
        <w:autoSpaceDE w:val="0"/>
        <w:autoSpaceDN w:val="0"/>
        <w:adjustRightInd w:val="0"/>
        <w:spacing w:after="0" w:line="240" w:lineRule="auto"/>
        <w:ind w:firstLine="288"/>
        <w:jc w:val="both"/>
        <w:rPr>
          <w:rFonts w:ascii="Garamond" w:eastAsia="Calibri" w:hAnsi="Garamond" w:cs="Times New Roman"/>
          <w:sz w:val="24"/>
          <w:szCs w:val="24"/>
          <w:lang w:val="sq-AL"/>
        </w:rPr>
      </w:pPr>
      <w:r w:rsidRPr="00F511C4">
        <w:rPr>
          <w:rFonts w:ascii="Garamond" w:eastAsia="Times New Roman" w:hAnsi="Garamond" w:cs="Times New Roman"/>
          <w:sz w:val="24"/>
          <w:szCs w:val="24"/>
          <w:lang w:val="sq-AL"/>
        </w:rPr>
        <w:t>Kosto totale potenciale për realizimin e projektit dhe ndërtimi i zyrave të nevojshme për funksionimin normal të QKK parashikohet të jetë 5,000,000 lekë e cila mund të jetë me financim të huaj ose me buxhet shteti. Ndërsa ngritja e infrastrukturës për përcjelljen e informacionit të nevojshëm në QKK dhe QKR nga të gjitha sistemet e ngritura dhe ato që do të ngrihen për kontrollin dhe mbikëqyrjen e kufirit parashikohet të jetë 20,000,000 lekë e cila pritet të financohet nga donatorë.</w:t>
      </w:r>
    </w:p>
    <w:p w14:paraId="2B9D7D1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Projekti i rindërtimit të pikave të kalimit kufitar</w:t>
      </w:r>
    </w:p>
    <w:p w14:paraId="53D5D2B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Drejtoria e Përgjithshme e Doganave dhe Policia e Shtetit vazhdojnë të ndërmarrin aktivitete për ndërtimin, rindërtimin, adaptimin dhe pajisjen e vendkalimeve kufitare, duke marrë parasysh </w:t>
      </w:r>
      <w:r w:rsidRPr="00F511C4">
        <w:rPr>
          <w:rFonts w:ascii="Garamond" w:eastAsia="Times New Roman" w:hAnsi="Garamond" w:cs="Times New Roman"/>
          <w:sz w:val="24"/>
          <w:szCs w:val="24"/>
          <w:lang w:val="sq-AL"/>
        </w:rPr>
        <w:lastRenderedPageBreak/>
        <w:t>që tendenca e vazhdueshme e rritjes së trafikut në pikat e kalimit kufitar kërkon përmirësimin e duhur të infrastrukturës kufitare. Aktivitetet për ndërtimin dhe pajisjen e pikave të kalimit kufitar janë ndërmarrë për të bërë të mundur që kontrolli kufitar të kryhet në mënyrë të sigurt, në përputhje me standardet dhe kushtet e përcaktuara. Përparim të konsiderueshëm ka pasur në drejtim të rregullimit dhe pajisjeve, por jo të gjitha pikat e kalimit kufitar kanë përmbushur kriteret e përcaktuara në përputhje me Dekretin për Standardet dhe Kushtet, të cilat duhet të përmbushen në drejtim të rregullimit dhe pajisjeve, sipas rekomandimeve të BE-së dhe katalogut të praktikave më të mira në këtë fushë.</w:t>
      </w:r>
    </w:p>
    <w:p w14:paraId="4D02C3F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Sa më sipër, në planin e veprimit 2021–2023 është parashikuar rindërtimi i disa PKK-ve, si më poshtë:</w:t>
      </w:r>
    </w:p>
    <w:p w14:paraId="7E25187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rindërtimi i pikës së kalimit kufitar Qafë-Botë, kostoja potenciale e të cilës është 2,000,000 euro, e cila do të financohet nga donatorët;</w:t>
      </w:r>
    </w:p>
    <w:p w14:paraId="7027CA5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rikonstruksioni i godinës së degës doganore Vlorë, kostoja potenciale e të cilës është 260,000 euro, cila do të financohet nga buxheti i shtetit;</w:t>
      </w:r>
    </w:p>
    <w:p w14:paraId="41897DD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rikonstruksioni dhe ndërtimi i ambienteve shtesë në degën doganore Morinë, kostoja potenciale e të cilës është 663,000 euro, cila do të financohet nga buxheti i shtetit;</w:t>
      </w:r>
    </w:p>
    <w:p w14:paraId="52AD50A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 rikonstruksioni dhe zgjerimi i terminalit për krijimin e kushteve optimale për udhëtarët e pikës së kalimit kufitar Kakavijë kostoja potenciale e të cilës është 583,000 euro, cila do të financohet nga buxheti i shtetit. </w:t>
      </w:r>
    </w:p>
    <w:p w14:paraId="5DFD308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PJESA IV: ZBATIMI, PËRGJEGJËSIA E INSTITUCIONEVE, RAPORTIMI DHE MONITORIMI </w:t>
      </w:r>
    </w:p>
    <w:p w14:paraId="553B748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1. Përgjegjësia e institucioneve</w:t>
      </w:r>
    </w:p>
    <w:p w14:paraId="64F2FFF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iCs/>
          <w:sz w:val="24"/>
          <w:szCs w:val="24"/>
          <w:lang w:val="sq-AL"/>
        </w:rPr>
      </w:pPr>
      <w:r w:rsidRPr="00F511C4">
        <w:rPr>
          <w:rFonts w:ascii="Garamond" w:eastAsia="Times New Roman" w:hAnsi="Garamond" w:cs="Times New Roman"/>
          <w:bCs/>
          <w:iCs/>
          <w:sz w:val="24"/>
          <w:szCs w:val="24"/>
          <w:lang w:val="sq-AL"/>
        </w:rPr>
        <w:t>Siç u theksua me lart, menaxhimi i integruar i kufirit është bashkërendimi dhe bashkëpunimi kombëtar dhe ndërkombëtar ndërmjet të gjitha autoriteteve dhe agjencive, të përfshira në sigurinë kufitare dhe lehtësimin e tregtisë, me qëllim përsosjen e sistemeve të efektshme dhe me rendiment të Menaxhimit të Integruar të Kufirit, me synimin e arritjes së qëllimit të përbashkët të kufijve të hapur, por të kontrolluar dhe të sigurt.</w:t>
      </w:r>
    </w:p>
    <w:p w14:paraId="5952902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sz w:val="24"/>
          <w:szCs w:val="24"/>
          <w:lang w:val="sq-AL"/>
        </w:rPr>
      </w:pPr>
      <w:r w:rsidRPr="00F511C4">
        <w:rPr>
          <w:rFonts w:ascii="Garamond" w:eastAsia="Times New Roman" w:hAnsi="Garamond" w:cs="Times New Roman"/>
          <w:bCs/>
          <w:iCs/>
          <w:sz w:val="24"/>
          <w:szCs w:val="24"/>
          <w:lang w:val="sq-AL"/>
        </w:rPr>
        <w:t xml:space="preserve">Për zbatimin e konceptit të Menaxhimit të Integruar të Kufirit në Republikën e Shqipërisë, si dhe të prioriteteve strategjike të përcaktuara nga kjo Strategji angazhohen disa institucione shtetërore, si: </w:t>
      </w:r>
      <w:r w:rsidRPr="00F511C4">
        <w:rPr>
          <w:rFonts w:ascii="Garamond" w:eastAsia="Times New Roman" w:hAnsi="Garamond" w:cs="Times New Roman"/>
          <w:bCs/>
          <w:sz w:val="24"/>
          <w:szCs w:val="24"/>
          <w:lang w:val="sq-AL"/>
        </w:rPr>
        <w:t xml:space="preserve">Ministria e Brendshme - Policia e Shtetit/Departamenti për Kufirin dhe Migracionin; Ministria e </w:t>
      </w:r>
      <w:r w:rsidRPr="00F511C4">
        <w:rPr>
          <w:rFonts w:ascii="Garamond" w:eastAsia="Times New Roman" w:hAnsi="Garamond" w:cs="Times New Roman"/>
          <w:color w:val="000000"/>
          <w:sz w:val="24"/>
          <w:szCs w:val="24"/>
          <w:lang w:val="sq-AL"/>
        </w:rPr>
        <w:t xml:space="preserve">Financave dhe Ekonomisë </w:t>
      </w:r>
      <w:r w:rsidRPr="00F511C4">
        <w:rPr>
          <w:rFonts w:ascii="Garamond" w:eastAsia="Times New Roman" w:hAnsi="Garamond" w:cs="Times New Roman"/>
          <w:bCs/>
          <w:sz w:val="24"/>
          <w:szCs w:val="24"/>
          <w:lang w:val="sq-AL"/>
        </w:rPr>
        <w:t xml:space="preserve">- Drejtoria e Përgjithshme e Doganave; Ministria e </w:t>
      </w:r>
      <w:r w:rsidRPr="00F511C4">
        <w:rPr>
          <w:rFonts w:ascii="Garamond" w:eastAsia="Times New Roman" w:hAnsi="Garamond" w:cs="Times New Roman"/>
          <w:color w:val="000000"/>
          <w:sz w:val="24"/>
          <w:szCs w:val="24"/>
          <w:lang w:val="sq-AL"/>
        </w:rPr>
        <w:t>Bujqësisë dhe Zhvillimit Rural</w:t>
      </w:r>
      <w:r w:rsidRPr="00F511C4">
        <w:rPr>
          <w:rFonts w:ascii="Garamond" w:eastAsia="Times New Roman" w:hAnsi="Garamond" w:cs="Times New Roman"/>
          <w:bCs/>
          <w:sz w:val="24"/>
          <w:szCs w:val="24"/>
          <w:lang w:val="sq-AL"/>
        </w:rPr>
        <w:t xml:space="preserve"> - Autoriteti Kombëtar i Ushqimit; Ministria e Shëndetësisë dhe Mbrojtjes Sociale - Operatori i Shërbimeve të Kujdesit Shëndetësor; Ministria e Mbrojtjes - Forca Detare/Roja Bregdetare - </w:t>
      </w:r>
      <w:r w:rsidRPr="00F511C4">
        <w:rPr>
          <w:rFonts w:ascii="Garamond" w:eastAsia="Times New Roman" w:hAnsi="Garamond" w:cs="Times New Roman"/>
          <w:sz w:val="24"/>
          <w:szCs w:val="24"/>
          <w:lang w:val="sq-AL"/>
        </w:rPr>
        <w:t>Agjencia Kombëtare e Mbrojtjes Civile</w:t>
      </w:r>
      <w:r w:rsidRPr="00F511C4">
        <w:rPr>
          <w:rFonts w:ascii="Garamond" w:eastAsia="Times New Roman" w:hAnsi="Garamond" w:cs="Times New Roman"/>
          <w:bCs/>
          <w:sz w:val="24"/>
          <w:szCs w:val="24"/>
          <w:lang w:val="sq-AL"/>
        </w:rPr>
        <w:t xml:space="preserve">; Ministria për Evropën dhe Punët e Jashtme - Drejtoria e Çështjeve Konsullore; Ministria e Drejtësisë; Ministria e Infrastrukturës dhe Energjisë - Drejtoria e Përgjithshme Detare; Ministria e </w:t>
      </w:r>
      <w:r w:rsidRPr="00F511C4">
        <w:rPr>
          <w:rFonts w:ascii="Garamond" w:eastAsia="Times New Roman" w:hAnsi="Garamond" w:cs="Times New Roman"/>
          <w:color w:val="000000"/>
          <w:sz w:val="24"/>
          <w:szCs w:val="24"/>
          <w:lang w:val="sq-AL"/>
        </w:rPr>
        <w:t>Turizmit dhe Mjedisit</w:t>
      </w:r>
      <w:r w:rsidRPr="00F511C4">
        <w:rPr>
          <w:rFonts w:ascii="Garamond" w:eastAsia="Times New Roman" w:hAnsi="Garamond" w:cs="Times New Roman"/>
          <w:bCs/>
          <w:sz w:val="24"/>
          <w:szCs w:val="24"/>
          <w:lang w:val="sq-AL"/>
        </w:rPr>
        <w:t>; Ministria e Arsimit, Sportit dhe Rinisë; Ministria e Kulturës; Qendra Ndërinstitucionale Operacionale Detare (QNOD); Komisioneri për të Drejtën e Informimit dhe Mbrojtjen e të Dhënave Personale.</w:t>
      </w:r>
    </w:p>
    <w:p w14:paraId="4F7117C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sz w:val="24"/>
          <w:szCs w:val="24"/>
          <w:lang w:val="sq-AL"/>
        </w:rPr>
      </w:pPr>
    </w:p>
    <w:p w14:paraId="40AB52C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sz w:val="24"/>
          <w:szCs w:val="24"/>
          <w:lang w:val="sq-AL"/>
        </w:rPr>
      </w:pPr>
    </w:p>
    <w:p w14:paraId="0792F8A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sz w:val="24"/>
          <w:szCs w:val="24"/>
          <w:lang w:val="sq-AL"/>
        </w:rPr>
      </w:pPr>
    </w:p>
    <w:p w14:paraId="2C5900A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sz w:val="24"/>
          <w:szCs w:val="24"/>
          <w:lang w:val="sq-AL"/>
        </w:rPr>
      </w:pPr>
    </w:p>
    <w:p w14:paraId="6D7A90B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sz w:val="24"/>
          <w:szCs w:val="24"/>
          <w:lang w:val="sq-AL"/>
        </w:rPr>
      </w:pPr>
    </w:p>
    <w:p w14:paraId="120E56A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sz w:val="24"/>
          <w:szCs w:val="24"/>
          <w:lang w:val="sq-AL"/>
        </w:rPr>
      </w:pPr>
    </w:p>
    <w:p w14:paraId="4B1E477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sz w:val="24"/>
          <w:szCs w:val="24"/>
          <w:lang w:val="sq-AL"/>
        </w:rPr>
      </w:pPr>
    </w:p>
    <w:p w14:paraId="63A8661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lastRenderedPageBreak/>
        <w:drawing>
          <wp:anchor distT="0" distB="0" distL="114300" distR="114300" simplePos="0" relativeHeight="251663360" behindDoc="0" locked="0" layoutInCell="1" allowOverlap="1" wp14:anchorId="574F8486" wp14:editId="209BDA6E">
            <wp:simplePos x="0" y="0"/>
            <wp:positionH relativeFrom="margin">
              <wp:posOffset>989463</wp:posOffset>
            </wp:positionH>
            <wp:positionV relativeFrom="paragraph">
              <wp:posOffset>123048</wp:posOffset>
            </wp:positionV>
            <wp:extent cx="4100830" cy="4053840"/>
            <wp:effectExtent l="0" t="0" r="0" b="38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40402" t="24645" r="29026" b="21627"/>
                    <a:stretch/>
                  </pic:blipFill>
                  <pic:spPr bwMode="auto">
                    <a:xfrm>
                      <a:off x="0" y="0"/>
                      <a:ext cx="4100830" cy="4053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6058B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61393E3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6C1407D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drawing>
          <wp:inline distT="0" distB="0" distL="0" distR="0" wp14:anchorId="161767F5" wp14:editId="1AFBEC1C">
            <wp:extent cx="4374127" cy="3289110"/>
            <wp:effectExtent l="0" t="0" r="762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32583" t="24225" r="18709" b="10662"/>
                    <a:stretch/>
                  </pic:blipFill>
                  <pic:spPr bwMode="auto">
                    <a:xfrm>
                      <a:off x="0" y="0"/>
                      <a:ext cx="4403112" cy="3310905"/>
                    </a:xfrm>
                    <a:prstGeom prst="rect">
                      <a:avLst/>
                    </a:prstGeom>
                    <a:ln>
                      <a:noFill/>
                    </a:ln>
                    <a:extLst>
                      <a:ext uri="{53640926-AAD7-44D8-BBD7-CCE9431645EC}">
                        <a14:shadowObscured xmlns:a14="http://schemas.microsoft.com/office/drawing/2010/main"/>
                      </a:ext>
                    </a:extLst>
                  </pic:spPr>
                </pic:pic>
              </a:graphicData>
            </a:graphic>
          </wp:inline>
        </w:drawing>
      </w:r>
      <w:r w:rsidRPr="00F511C4">
        <w:rPr>
          <w:rFonts w:ascii="Garamond" w:eastAsia="Times New Roman" w:hAnsi="Garamond" w:cs="Times New Roman"/>
          <w:sz w:val="24"/>
          <w:szCs w:val="24"/>
          <w:lang w:val="sq-AL"/>
        </w:rPr>
        <w:t xml:space="preserve"> </w:t>
      </w:r>
    </w:p>
    <w:p w14:paraId="577C95D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p>
    <w:p w14:paraId="618E67A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 xml:space="preserve">Ministria e Brendshme </w:t>
      </w:r>
    </w:p>
    <w:p w14:paraId="2F2B2AC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Përgjegjësi kryesore e strukturave të Ministrisë së Brendshme është sigurimi i një politike të brendshme e cila nga një anë kujdeset për zbatimin e ligjit dhe nga ana tjetër është në shërbim të qytetarëve të Republikës së Shqipërisë. Në kohën kur reforma në sektorin e sigurisë në Shqipëri është konsoliduar, politika e brendshme ka pësuar gjithashtu transformimet e saj duke u përfaruar me kuadrin ligjor të Bashkimit Evropian, ashtu edhe me politika të cilat garantojnë një mjedis më të sigurt.</w:t>
      </w:r>
    </w:p>
    <w:p w14:paraId="2614646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Ministria e Brendshme është institucioni përgjegjës për ruajtjen e rendit dhe sigurisë publike</w:t>
      </w:r>
      <w:r w:rsidRPr="00F511C4">
        <w:rPr>
          <w:rFonts w:ascii="Garamond" w:eastAsia="Times New Roman" w:hAnsi="Garamond" w:cs="Times New Roman"/>
          <w:b/>
          <w:sz w:val="24"/>
          <w:szCs w:val="24"/>
          <w:lang w:val="sq-AL"/>
        </w:rPr>
        <w:t xml:space="preserve">, </w:t>
      </w:r>
      <w:r w:rsidRPr="00F511C4">
        <w:rPr>
          <w:rFonts w:ascii="Garamond" w:eastAsia="Times New Roman" w:hAnsi="Garamond" w:cs="Times New Roman"/>
          <w:sz w:val="24"/>
          <w:szCs w:val="24"/>
          <w:lang w:val="sq-AL"/>
        </w:rPr>
        <w:t>financimin e investimeve të objekteve në DVKM, Stacione dhe pikat e kalimit kufitar, si dhe objekteve të tjera në interes të shërbimeve të kufirit, hartimin, krijimin, zhvillimin dhe mirëmbajtjen e teknologjive, sistemeve të informacionit dhe komunikimit, për kontrollin e kufijve dhe përgatitjen për përfundimin dhe zbatimin e marrëveshjeve ndërkombëtare për pikat e kalimit kufitar, si dhe krijimin e regjimeve të trafikut kufitar me vendet fqinje.</w:t>
      </w:r>
    </w:p>
    <w:p w14:paraId="775D0DB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Strukturat e Ministrisë së Brendshme </w:t>
      </w:r>
      <w:r w:rsidRPr="00F511C4">
        <w:rPr>
          <w:rFonts w:ascii="Garamond" w:eastAsia="Times New Roman" w:hAnsi="Garamond" w:cs="Times New Roman"/>
          <w:i/>
          <w:sz w:val="24"/>
          <w:szCs w:val="24"/>
          <w:lang w:val="sq-AL"/>
        </w:rPr>
        <w:t>do të vijojnë të kontrollojnë hapësirën e ujërave të brendshme detare dhe vijën bregdetare</w:t>
      </w:r>
      <w:r w:rsidRPr="00F511C4">
        <w:rPr>
          <w:rFonts w:ascii="Garamond" w:eastAsia="Times New Roman" w:hAnsi="Garamond" w:cs="Times New Roman"/>
          <w:sz w:val="24"/>
          <w:szCs w:val="24"/>
          <w:lang w:val="sq-AL"/>
        </w:rPr>
        <w:t xml:space="preserve">, me qëllim ushtrimin e plotë të sovranitetit dhe parandalimin e çdo lloj veprimtarie të paligjshme në hapësirën detare të RSH-së. </w:t>
      </w:r>
    </w:p>
    <w:p w14:paraId="47E45C8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Implementimi i plotë </w:t>
      </w:r>
      <w:r w:rsidRPr="00F511C4">
        <w:rPr>
          <w:rFonts w:ascii="Garamond" w:eastAsia="Times New Roman" w:hAnsi="Garamond" w:cs="Times New Roman"/>
          <w:i/>
          <w:sz w:val="24"/>
          <w:szCs w:val="24"/>
          <w:lang w:val="sq-AL"/>
        </w:rPr>
        <w:t xml:space="preserve">i </w:t>
      </w:r>
      <w:r w:rsidRPr="00F511C4">
        <w:rPr>
          <w:rFonts w:ascii="Garamond" w:eastAsia="Times New Roman" w:hAnsi="Garamond" w:cs="Times New Roman"/>
          <w:i/>
          <w:iCs/>
          <w:sz w:val="24"/>
          <w:szCs w:val="24"/>
          <w:lang w:val="sq-AL"/>
        </w:rPr>
        <w:t>planit të veprimit të Strategjisë së Menaxhimit të Integruar të Kufirit</w:t>
      </w:r>
      <w:r w:rsidRPr="00F511C4">
        <w:rPr>
          <w:rFonts w:ascii="Garamond" w:eastAsia="Times New Roman" w:hAnsi="Garamond" w:cs="Times New Roman"/>
          <w:sz w:val="24"/>
          <w:szCs w:val="24"/>
          <w:lang w:val="sq-AL"/>
        </w:rPr>
        <w:t>, i cili bazohet në bashkëpunimin ndërinstitucional do të jetë në fokus të punës së strukturave të kufirit dhe migracionit.</w:t>
      </w:r>
    </w:p>
    <w:p w14:paraId="1EBE9DA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Drejtoria e Përgjithshme e Policisë së Shtetit</w:t>
      </w:r>
    </w:p>
    <w:p w14:paraId="11B2FE1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Kontrolli i plotë i territorit në funksion të garantimit të zbatimit të ligjshmërisë, është një detyrë e rëndësishme e Policisë së Shtetit dhe strukturave të tjera me përgjegjësi në këtë drejtim. Rezultatet e arritura dhe përvoja e fituar në menaxhimin e vijës bregdetare dhe të hapësirave të plazhit, tregojnë për mundësitë dhe hapësirat e shumta që ekzistojnë për një administrim më të mirë të territorit. </w:t>
      </w:r>
    </w:p>
    <w:p w14:paraId="1ACB6E5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Ligji nr. 108/2014, “Për Policinë e Shtetit”, i ndryshuar dhe rregullorja e Policisë së Shtetit (miratuar me VKM-në nr. 750, datë 16.9.2015), përcaktojnë mënyrën e organizimit dhe të funksionimit të Policisë së Shtetit si në vijim:</w:t>
      </w:r>
    </w:p>
    <w:p w14:paraId="09549DE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Drejtoria e Përgjithshme e Policisë së Shtetit përfaqëson nivelin qendror, ndërsa drejtoritë vendore nivelin vendor të policisë. DPPSH-ja organizohet në stru</w:t>
      </w:r>
      <w:r w:rsidRPr="00F511C4">
        <w:rPr>
          <w:rFonts w:ascii="Garamond" w:eastAsia="Times New Roman" w:hAnsi="Garamond" w:cs="Times New Roman"/>
          <w:spacing w:val="-5"/>
          <w:sz w:val="24"/>
          <w:szCs w:val="24"/>
          <w:lang w:val="sq-AL"/>
        </w:rPr>
        <w:t>k</w:t>
      </w:r>
      <w:r w:rsidRPr="00F511C4">
        <w:rPr>
          <w:rFonts w:ascii="Garamond" w:eastAsia="Times New Roman" w:hAnsi="Garamond" w:cs="Times New Roman"/>
          <w:sz w:val="24"/>
          <w:szCs w:val="24"/>
          <w:lang w:val="sq-AL"/>
        </w:rPr>
        <w:t>tura organizative hierarkike në nivel Departamenti, Drejtorie dhe Sektori, si më poshtë:</w:t>
      </w:r>
    </w:p>
    <w:p w14:paraId="0E3982E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Departamenti për Policinë Kriminale;</w:t>
      </w:r>
    </w:p>
    <w:p w14:paraId="4F5F9A4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Departamenti për Rendin dhe Sigurinë Publike;</w:t>
      </w:r>
    </w:p>
    <w:p w14:paraId="21AF79A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Departamenti për Kufirin dhe Migracionin;</w:t>
      </w:r>
    </w:p>
    <w:p w14:paraId="63D9E06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Departamenti për Marrëdhëniet Ndërkombëtar;</w:t>
      </w:r>
    </w:p>
    <w:p w14:paraId="388334E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Departamenti për Shërbimet Mbështetëse;</w:t>
      </w:r>
    </w:p>
    <w:p w14:paraId="1C92299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Akademia e Sigurisë;</w:t>
      </w:r>
    </w:p>
    <w:p w14:paraId="2E522FE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Drejtoria e Antiterrorit.</w:t>
      </w:r>
    </w:p>
    <w:p w14:paraId="220413D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117A336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drawing>
          <wp:inline distT="0" distB="0" distL="0" distR="0" wp14:anchorId="4D9DBA4C" wp14:editId="3700E46E">
            <wp:extent cx="4206240" cy="2895600"/>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06240" cy="2895600"/>
                    </a:xfrm>
                    <a:prstGeom prst="rect">
                      <a:avLst/>
                    </a:prstGeom>
                    <a:noFill/>
                  </pic:spPr>
                </pic:pic>
              </a:graphicData>
            </a:graphic>
          </wp:inline>
        </w:drawing>
      </w:r>
    </w:p>
    <w:p w14:paraId="181248B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107C4F9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0C06867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 xml:space="preserve">Sipas ligjit “Për Policinë e Shtetit”, në përbërje të Policisë së Shtetit vepron struktura e Policisë Kufitare dhe Migracionit me përgjegjësi kontrollin dhe mbikëqyrjen e kufirit </w:t>
      </w:r>
      <w:r w:rsidRPr="00F511C4">
        <w:rPr>
          <w:rFonts w:ascii="Garamond" w:eastAsia="Times New Roman" w:hAnsi="Garamond" w:cs="Times New Roman"/>
          <w:i/>
          <w:sz w:val="24"/>
          <w:szCs w:val="24"/>
          <w:lang w:val="sq-AL"/>
        </w:rPr>
        <w:t xml:space="preserve">shtetëror, si dhe trajtimin e shtetasve të huaj </w:t>
      </w:r>
      <w:r w:rsidRPr="00F511C4">
        <w:rPr>
          <w:rFonts w:ascii="Garamond" w:eastAsia="Times New Roman" w:hAnsi="Garamond" w:cs="Times New Roman"/>
          <w:sz w:val="24"/>
          <w:szCs w:val="24"/>
          <w:lang w:val="sq-AL"/>
        </w:rPr>
        <w:t>në territorin e Republikës së Shqipërisë, në përputhje me legjislacionin në fuqi.</w:t>
      </w:r>
    </w:p>
    <w:p w14:paraId="71621E1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Bashkëpunimi mes strukturave dhe institucioneve të ndryshme por edhe ndarja e qartë e përgjegjësive mes të tyre do të luajë rol të rëndësishëm në përmbushjen e kësaj përgjegjësie.</w:t>
      </w:r>
    </w:p>
    <w:p w14:paraId="5C29001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Ministria e Ekonomisë dhe Financave</w:t>
      </w:r>
    </w:p>
    <w:p w14:paraId="2BF4708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Ministria e Ekonomisë dhe Financave ka si përgjegjësi hartimin e politikës makroekonomike dhe fiskale; administrimit të të ardhurave; administrimit të buxhetit të shtetit; menaxhimit të borxhit publik; administrimit financiar; menaxhimit financiar dhe kontrollit; menaxhimit të asistencës financiare të bashkimit evropian dhe menaxhimit të fondeve të bashkimit evropian; inspektimit financiar publik; bashkërendimit të përgjithshëm të auditimit të brendshëm.</w:t>
      </w:r>
    </w:p>
    <w:p w14:paraId="5B8CE70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color w:val="1F4E79"/>
          <w:sz w:val="24"/>
          <w:szCs w:val="24"/>
          <w:lang w:val="sq-AL"/>
        </w:rPr>
      </w:pPr>
      <w:r w:rsidRPr="00F511C4">
        <w:rPr>
          <w:rFonts w:ascii="Garamond" w:eastAsia="Times New Roman" w:hAnsi="Garamond" w:cs="Times New Roman"/>
          <w:b/>
          <w:sz w:val="24"/>
          <w:szCs w:val="24"/>
          <w:lang w:val="sq-AL"/>
        </w:rPr>
        <w:t>Shërbimi Doganor Shqiptar (SHDSH</w:t>
      </w:r>
      <w:r w:rsidRPr="00F511C4">
        <w:rPr>
          <w:rFonts w:ascii="Garamond" w:eastAsia="Times New Roman" w:hAnsi="Garamond" w:cs="Times New Roman"/>
          <w:b/>
          <w:color w:val="1F4E79"/>
          <w:sz w:val="24"/>
          <w:szCs w:val="24"/>
          <w:lang w:val="sq-AL"/>
        </w:rPr>
        <w:t xml:space="preserve">) </w:t>
      </w:r>
    </w:p>
    <w:p w14:paraId="478782B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Autoritetet doganore kanë si përgjegjësi kryesore mbikëqyrjen e tregtisë ndërkombëtare të Republikës së Shqipërisë, duke kontribuar për tregtinë e hapur e të drejtë në zbatim të politikave tregtare dhe atyre të sektorëve të tjerë të ekonomisë shqiptare, që ndikojnë në sigurinë e të gjithë zinxhirit tregtar. Autoritetet doganore synojnë mbrojtjen e interesave financiarë dhe mjedisorë të Republikës së Shqipërisë nga tregtia e padrejtë dhe e paligjshme, duke mbështetur ndërkohë aktivitetin e ligjshëm të biznesit; garantimin e sigurisë e të mbrojtjes së Republikës së Shqipërisë dhe të banorëve të saj, si dhe mbrojtjes së mjedisit, kur është e nevojshme, në bashkëpunim të ngushtë me autoritetet e tjera; mbajtjen e balancës së duhur ndërmjet kontrolleve doganore dhe lehtësimit të tregtisë së ligjshme.</w:t>
      </w:r>
    </w:p>
    <w:p w14:paraId="34AE361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Struktura e SHDSH organizohet në dy nivele, si më poshtë:</w:t>
      </w:r>
    </w:p>
    <w:p w14:paraId="1A5CFBA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Nivel Qendror, Drejtoria e Përgjithshme e Doganave:</w:t>
      </w:r>
    </w:p>
    <w:p w14:paraId="7C2DED9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Zyra e Drejtorit të Përgjithshëm;</w:t>
      </w:r>
    </w:p>
    <w:p w14:paraId="0901544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Departamentin Teknik; </w:t>
      </w:r>
    </w:p>
    <w:p w14:paraId="130A590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Departamenti Administrativ; </w:t>
      </w:r>
    </w:p>
    <w:p w14:paraId="0F06D88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Departamenti i Akcizës dhe Departamenti i TI;</w:t>
      </w:r>
    </w:p>
    <w:p w14:paraId="14ACC11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Departamenti Operativ Hetimor:</w:t>
      </w:r>
    </w:p>
    <w:p w14:paraId="4277EB8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Drejtoria Antitrafik;</w:t>
      </w:r>
    </w:p>
    <w:p w14:paraId="0D93EDB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Drejtoria Antikontrabandës;</w:t>
      </w:r>
    </w:p>
    <w:p w14:paraId="7F13647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Drejtoria Hetimit;</w:t>
      </w:r>
    </w:p>
    <w:p w14:paraId="2602F58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Drejtoria e Informacionit, Analizës së Riskut dhe Monitorimit;</w:t>
      </w:r>
    </w:p>
    <w:p w14:paraId="5A9278C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Drejtoria për Mbrojtjen e Pronësisë Intelektuale.</w:t>
      </w:r>
    </w:p>
    <w:p w14:paraId="4030A61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Nivel Lokal: 17 Degë Doganore </w:t>
      </w:r>
    </w:p>
    <w:p w14:paraId="255F94F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Ministria e Mbrojtjes</w:t>
      </w:r>
    </w:p>
    <w:p w14:paraId="5EE3C4A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Ministria e Mbrojtjes propozon dhe zbaton politikën e mbrojtjes si një element të sistemit të mbrojtjes, vlerëson sfidat, rreziqet dhe kërcënimet ushtarake dhe në fushën e mbrojtjes. Forcat e Armatosura të Republikës së Shqipërisë, si pjesë integrale e Ministrisë së Mbrojtjes, janë një forcë profesionale mbrojtëse e cila, si pjesë e sistemit të mbrojtjes, përveç mbrojtjes së pavarësisë, sovranitetit dhe territorit shtetëror të Republikës së Shqipërisë, ofron mbështetje për institucionet e tjera në raste të kërcënimit të sigurisë kombëtare nga terrorizmi, në rastin e krizave të migrantëve, sfidave dhe kërcënimeve të tjera. </w:t>
      </w:r>
    </w:p>
    <w:p w14:paraId="62FC994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Forca Detare/Roja Bregdetare</w:t>
      </w:r>
      <w:r w:rsidRPr="00F511C4">
        <w:rPr>
          <w:rFonts w:ascii="Garamond" w:eastAsia="Times New Roman" w:hAnsi="Garamond" w:cs="Times New Roman"/>
          <w:sz w:val="24"/>
          <w:szCs w:val="24"/>
          <w:lang w:val="sq-AL"/>
        </w:rPr>
        <w:t>, sipas misionit të saj kushtetues dhe detyrave ushtarake mbron sovranitetin e plotë të hapësirës detare të RSH-së, si dhe interesat e saj kombëtare në ujërat territoriale, zonën fqinje dhe ZEE. Përveç kryerjes së aktiviteteve të mbikëqyrjes dhe mbrojtjes, Forca Detare/Roja Bregdetare ofron mbështetje për institucionet civile në situata krize dhe emergjente, kryesisht në aktivitetet e kërkimit dhe shpëtimit në det dhe të kontrollit të zbatimit të ligjshmërisë kombëtare e ndërkombëtare në det.</w:t>
      </w:r>
    </w:p>
    <w:p w14:paraId="0F912BB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i/>
          <w:sz w:val="24"/>
          <w:szCs w:val="24"/>
          <w:lang w:val="sq-AL"/>
        </w:rPr>
      </w:pPr>
      <w:r w:rsidRPr="00F511C4">
        <w:rPr>
          <w:rFonts w:ascii="Garamond" w:eastAsia="Times New Roman" w:hAnsi="Garamond" w:cs="Times New Roman"/>
          <w:b/>
          <w:sz w:val="24"/>
          <w:szCs w:val="24"/>
          <w:lang w:val="sq-AL"/>
        </w:rPr>
        <w:t>Forca Detare/Roja Bregdetare,</w:t>
      </w:r>
      <w:r w:rsidRPr="00F511C4">
        <w:rPr>
          <w:rFonts w:ascii="Garamond" w:eastAsia="Times New Roman" w:hAnsi="Garamond" w:cs="Times New Roman"/>
          <w:sz w:val="24"/>
          <w:szCs w:val="24"/>
          <w:lang w:val="sq-AL"/>
        </w:rPr>
        <w:t xml:space="preserve"> sipas ligjit nr. 8875, datë 4.4.2002, (</w:t>
      </w:r>
      <w:r w:rsidRPr="00F511C4">
        <w:rPr>
          <w:rFonts w:ascii="Garamond" w:eastAsia="Times New Roman" w:hAnsi="Garamond" w:cs="Times New Roman"/>
          <w:i/>
          <w:sz w:val="24"/>
          <w:szCs w:val="24"/>
          <w:lang w:val="sq-AL"/>
        </w:rPr>
        <w:t xml:space="preserve">ndryshuar me ligjin nr. 9788, datë 19.7.2007) </w:t>
      </w:r>
      <w:r w:rsidRPr="00F511C4">
        <w:rPr>
          <w:rFonts w:ascii="Garamond" w:eastAsia="Times New Roman" w:hAnsi="Garamond" w:cs="Times New Roman"/>
          <w:sz w:val="24"/>
          <w:szCs w:val="24"/>
          <w:lang w:val="sq-AL"/>
        </w:rPr>
        <w:t>ka detyrat si më poshtë</w:t>
      </w:r>
      <w:r w:rsidRPr="00F511C4">
        <w:rPr>
          <w:rFonts w:ascii="Garamond" w:eastAsia="Times New Roman" w:hAnsi="Garamond" w:cs="Times New Roman"/>
          <w:i/>
          <w:sz w:val="24"/>
          <w:szCs w:val="24"/>
          <w:lang w:val="sq-AL"/>
        </w:rPr>
        <w:t>:</w:t>
      </w:r>
    </w:p>
    <w:p w14:paraId="4F47973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 të japë asistencë për sigurimin e lundrimit detar dhe sigurimin e jetës në det (SAR), në përputhje me legjislacionin kombëtar dhe konventat ndërkombëtare, në të cilat Republika e Shqipërisë bën pjesë, i ka ratifikuar ose ka aderuar në to;</w:t>
      </w:r>
    </w:p>
    <w:p w14:paraId="0880597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të parandalojë dhe të ushtrojë kontroll për kalimin e paligjshëm të mjeteve lundruese, të mallrave dhe njerëzve në hapësirën detare shqiptare;</w:t>
      </w:r>
    </w:p>
    <w:p w14:paraId="3EF41CB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të kryejë afrim, bordim, inspektim, ndalim, kapje dhe bllokim të mjeteve dhe personave që shkelin legjislacionin detar, si dhe shoqërimin e tyre në portin më të afërt, sipas rastit;</w:t>
      </w:r>
    </w:p>
    <w:p w14:paraId="35FD879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të kryejë ndjekjen e nxehtë të mjeteve detare, sipas konventave ndërkombëtare;</w:t>
      </w:r>
    </w:p>
    <w:p w14:paraId="5A46BAA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të kryejë përdorimin e forcës në rastet e mbrojtjes së nevojshme dhe nevojës ekstreme;</w:t>
      </w:r>
    </w:p>
    <w:p w14:paraId="6672EDC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të kryejë përpilimin e dokumentacionit bazë për fillimin e procedurave të mëtejshme për shkelësit e ligjit detar;</w:t>
      </w:r>
    </w:p>
    <w:p w14:paraId="6219FBE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të parandalojë dhe të ushtrojë kontroll për zbatimin e legjislacionit për ndotjen e mjedisit detar dhe bregdetar (MARPOL).</w:t>
      </w:r>
    </w:p>
    <w:p w14:paraId="19E2E29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Procedurat për kryerjen e detyrave nga Roja Bregdetare përcaktohen në Manualin e Rojës Bregdetare. Këto detyra janë parashikuar edhe në Kodin Detar të RSH-së.</w:t>
      </w:r>
    </w:p>
    <w:p w14:paraId="301B310B"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Struktura të Ministrisë së Mbrojtjes të përfshira në MIK janë:</w:t>
      </w:r>
    </w:p>
    <w:p w14:paraId="1E352E5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Shtabi i Përgjithshëm i Forcave të Armatosura;</w:t>
      </w:r>
    </w:p>
    <w:p w14:paraId="793F940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Agjencia Kombëtare e Mbrojtjes Civile;</w:t>
      </w:r>
    </w:p>
    <w:p w14:paraId="171F856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Forca Detare/Roja Bregdetare;</w:t>
      </w:r>
    </w:p>
    <w:p w14:paraId="2F4D696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Qendra Ndërinstitucionale Operacionale Detare;</w:t>
      </w:r>
    </w:p>
    <w:p w14:paraId="47D17BF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Instituti i Gjeografisë dhe Infrastrukturës Ushtarake;</w:t>
      </w:r>
    </w:p>
    <w:p w14:paraId="4A8DB3F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Qendra Kombëtare e Kërkimit dhe Shpëtimit.</w:t>
      </w:r>
    </w:p>
    <w:p w14:paraId="393E8AB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Ministria e Bujqësisë dhe Zhvillimit Rural</w:t>
      </w:r>
    </w:p>
    <w:p w14:paraId="2F5B47F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sz w:val="24"/>
          <w:szCs w:val="24"/>
          <w:lang w:val="sq-AL"/>
        </w:rPr>
        <w:t xml:space="preserve">Ministria e Bujqësisë dhe Zhvillimit Rural garanton në shkallën më të lartë të shëndetit të qytetarëve shqiptar dhe perfeksionimi i sistemit të mbikëqyrjes dhe garantimit të sigurisë ushqimore. Ky sistem do të shërbejë për mbrojtjen sa më të mirë të shëndetit të konsumatorëve nga sëmundjet/dëmtimet si pasojë e konsumimit të produkteve ushqimore me origjinë bimore ose shtazore. </w:t>
      </w:r>
    </w:p>
    <w:p w14:paraId="5BE5D51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Autoriteti Kombëtar i Ushqimit, institucion në varësi të Ministrisë së Bujqësisë dhe Zhvillimit Rural, i cili ka për qëllim të vendosë bazat për sigurimin e një niveli të lartë të mbrojtjes së shëndetit të njerëzve dhe interesat e konsumatorit, mbrojtja e shëndetit të kafshëve, si dhe të mbrojë bimët dhe produktet bimore nga parazitët; </w:t>
      </w:r>
    </w:p>
    <w:p w14:paraId="1B2D53F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Drejtoria e Shërbimeve të Peshkimit dhe Akuakulturës (DSHPA),</w:t>
      </w:r>
      <w:r w:rsidRPr="00F511C4">
        <w:rPr>
          <w:rFonts w:ascii="Garamond" w:eastAsia="Times New Roman" w:hAnsi="Garamond" w:cs="Times New Roman"/>
          <w:sz w:val="24"/>
          <w:szCs w:val="24"/>
          <w:lang w:val="sq-AL"/>
        </w:rPr>
        <w:t xml:space="preserve"> është një institucion qendror publik, në varësi të Ministrisë së Bujqësisë dhe Zhvillimit Rural me seli në Tiranë. Sektori i Inspektimit dhe Kontrollit të Peshkimit ka për mision kontrollin në ujë apo në tokë, përfshirë portet, pikat e zbarkimit, mjetet e transportit, qendrat e grumbullimit të peshkut, merkatot, pikat e shitjes dhe restorantet, nëpërmjet aktiviteteve inspektuese sipas legjislacionit përkatës në fuqi. Sektori i Inspektimit dhe Kontrollit të Peshkimit është gjithashtu, përgjegjëse për të monitoruar respektimin rregullsisë së zënieve që ndodhen në bordin e mjetit lundrues të peshkimit, të magazinuara, të transportuara, në përpunim apo të tregtuara, si dhe vërtetësinë dhe saktësinë e dokumenteve apo transmetimeve elektronike që lidhen me to.</w:t>
      </w:r>
    </w:p>
    <w:p w14:paraId="34FBC8F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Nëpërmjet këtij plan veprimi kërkohet bashkëpunim në zbatim të ligjshmërisë në fushën e peshkimit, si në hapësirën ujore detare dhe ato të brendshme (liqenore) nëpërmjet koordinimit në kuadër të QNOD-it, ku të organizohen patrullime të përbashkëta të Inspektoratit të Peshkimit me Rojën Bregdetare në hapësirën detare dhe me strukturat e tjera shtetërore në ujërat e brendshme, lumenjtë e liqenet, për parandalimin dhe evidentimin e gjuetisë së paligjshme. Gjithashtu bashkëpunim në kontrollin e përbashkët të pikave doganorë tokësore mbi kontrollin kalimit të paligjshëm të produkteve peshkore, si dhe kalimin e specieve të ndaluara. Edhe pse Drejtoria e Shërbimeve të Peshkimit dhe Akuakulturës nuk disponon inspektorë pranë pikave doganore, në zbatim të plan veprimit do të bëhet e mundur kontrolli i përbashkët periodik.</w:t>
      </w:r>
    </w:p>
    <w:p w14:paraId="3A5933C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DSHPA-ja organizohet si Drejtori e Përgjithshme me juridiksion në të gjithë territorin e vendit dhe përbëhet nga 5 sektorë:</w:t>
      </w:r>
    </w:p>
    <w:p w14:paraId="0B2310F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1. Sektori i Inspektimit dhe Kontrollit të Peshkimit;</w:t>
      </w:r>
    </w:p>
    <w:p w14:paraId="5B4D85E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2. Sektori i Akuakulturës;</w:t>
      </w:r>
    </w:p>
    <w:p w14:paraId="4816CA0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3. Sektori i Analizës Ekonomike dhe Buxhetit;</w:t>
      </w:r>
    </w:p>
    <w:p w14:paraId="2D5169F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4. Sektori i Monitorimit dhe Infrastrukturës së Peshkimit;</w:t>
      </w:r>
    </w:p>
    <w:p w14:paraId="275A6F5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5. Sektori i QNOD-it (Qendra Ndërinstitucionale Operacionale Detare).</w:t>
      </w:r>
    </w:p>
    <w:p w14:paraId="536E0AD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Ministria për Evropën dhe Punët e Jashtme</w:t>
      </w:r>
    </w:p>
    <w:p w14:paraId="3FA2905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Ministria për Evropën dhe Punët e Jashtme është përgjegjëse, ndër të tjera, për propozimin e një regjimi të vizave të përafruar gjithnjë e më shumë me kodin </w:t>
      </w:r>
      <w:r w:rsidRPr="00F511C4">
        <w:rPr>
          <w:rFonts w:ascii="Garamond" w:eastAsia="Calibri" w:hAnsi="Garamond" w:cs="Times New Roman"/>
          <w:i/>
          <w:sz w:val="24"/>
          <w:szCs w:val="24"/>
          <w:lang w:val="sq-AL" w:eastAsia="ja-JP"/>
        </w:rPr>
        <w:t>Schengen</w:t>
      </w:r>
      <w:r w:rsidRPr="00F511C4">
        <w:rPr>
          <w:rFonts w:ascii="Garamond" w:eastAsia="Times New Roman" w:hAnsi="Garamond" w:cs="Times New Roman"/>
          <w:sz w:val="24"/>
          <w:szCs w:val="24"/>
          <w:lang w:val="sq-AL"/>
        </w:rPr>
        <w:t>. Vijimi i përpjekjeve për uljen e numrit të shteteve në listën negative të BE-së.</w:t>
      </w:r>
    </w:p>
    <w:p w14:paraId="5A88BA0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Drejtoria e Çështjeve Konsullore</w:t>
      </w:r>
      <w:r w:rsidRPr="00F511C4">
        <w:rPr>
          <w:rFonts w:ascii="Garamond" w:eastAsia="Times New Roman" w:hAnsi="Garamond" w:cs="Times New Roman"/>
          <w:sz w:val="24"/>
          <w:szCs w:val="24"/>
          <w:lang w:val="sq-AL"/>
        </w:rPr>
        <w:t xml:space="preserve">, ndjek regjimin e vizave me vendet e ndryshme, bashkërendimin e punës ndërmjet aktorëve të përfshirë në procesin e procedimit dhe vlerësimit të aplikimeve për pajisje me vizë të shtetasve të huajt, në përputhje me legjislacionin dhe regjimin në fuqi. </w:t>
      </w:r>
    </w:p>
    <w:p w14:paraId="4A5505D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w w:val="105"/>
          <w:sz w:val="24"/>
          <w:szCs w:val="24"/>
          <w:lang w:val="sq-AL"/>
        </w:rPr>
        <w:t xml:space="preserve">Personeli që trajton çështjet e vizave është i përzgjedhur me kritere të përcaktuara qartë, të aftë profesionalisht dhe të mirëtrajnuar. </w:t>
      </w:r>
      <w:r w:rsidRPr="00F511C4">
        <w:rPr>
          <w:rFonts w:ascii="Garamond" w:eastAsia="Times New Roman" w:hAnsi="Garamond" w:cs="Times New Roman"/>
          <w:sz w:val="24"/>
          <w:szCs w:val="24"/>
          <w:lang w:val="sq-AL"/>
        </w:rPr>
        <w:t>Konsujt që emërohen kryejnë paraprakisht trajnimet pranë strukturave dhe specialistëve përkatës. Gjithashtu informohen paraprakisht për bazën ligjore të cilës do t’i referohen në vijimësinë e punës së tyre me procedimin e aplikimeve për pajisje me vizë të shtetasve të huaj.</w:t>
      </w:r>
    </w:p>
    <w:p w14:paraId="3ACCFF0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w w:val="105"/>
          <w:sz w:val="24"/>
          <w:szCs w:val="24"/>
          <w:lang w:val="sq-AL"/>
        </w:rPr>
      </w:pPr>
      <w:r w:rsidRPr="00F511C4">
        <w:rPr>
          <w:rFonts w:ascii="Garamond" w:eastAsiaTheme="majorEastAsia" w:hAnsi="Garamond" w:cs="Times New Roman"/>
          <w:sz w:val="24"/>
          <w:szCs w:val="24"/>
          <w:lang w:val="sq-AL"/>
        </w:rPr>
        <w:t xml:space="preserve">Gjithashtu, është synuar </w:t>
      </w:r>
      <w:r w:rsidRPr="00F511C4">
        <w:rPr>
          <w:rFonts w:ascii="Garamond" w:eastAsia="Times New Roman" w:hAnsi="Garamond" w:cs="Times New Roman"/>
          <w:w w:val="105"/>
          <w:sz w:val="24"/>
          <w:szCs w:val="24"/>
          <w:lang w:val="sq-AL"/>
        </w:rPr>
        <w:t>zhvillimi i teknologjisë së informacionit në përputhje të plotë me standardet e BE-së, me qëllim që të lehtësojë shkëmbimin dhe menaxhimin e informacionit. Sistemet e IT janë në përputhje të plotë me standardet, sigurojnë ruajtjen dhe fshehtësinë e të dhënave, bazuar në legjislacionin kombëtar dhe marrëveshjet e nënshkruara.</w:t>
      </w:r>
    </w:p>
    <w:p w14:paraId="655FF8F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Zhvillime të mëtejshme janë bërë lidhur me aplikimet dhe shkëmbimin e informacionit, në bashkëpunim me AKSHI-n. Të gjitha aplikimet për marrjen e shërbimeve (përfshirë edhe vizat), kryhen </w:t>
      </w:r>
      <w:r w:rsidRPr="00F511C4">
        <w:rPr>
          <w:rFonts w:ascii="Garamond" w:eastAsia="Times New Roman" w:hAnsi="Garamond" w:cs="Times New Roman"/>
          <w:i/>
          <w:sz w:val="24"/>
          <w:szCs w:val="24"/>
          <w:lang w:val="sq-AL"/>
        </w:rPr>
        <w:t>online</w:t>
      </w:r>
      <w:r w:rsidRPr="00F511C4">
        <w:rPr>
          <w:rFonts w:ascii="Garamond" w:eastAsia="Times New Roman" w:hAnsi="Garamond" w:cs="Times New Roman"/>
          <w:sz w:val="24"/>
          <w:szCs w:val="24"/>
          <w:lang w:val="sq-AL"/>
        </w:rPr>
        <w:t>. Shkëmbimi dhe menaxhimi i informacionit në përputhje me standardet, ka lehtësuar kohën e marrjes së shërbimeve për qytetarët, duke siguruar mbrojtjen e të dhënave.</w:t>
      </w:r>
    </w:p>
    <w:p w14:paraId="2DE01F7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Ministria e Shëndetësisë dhe Mbrojtjes Sociale</w:t>
      </w:r>
    </w:p>
    <w:p w14:paraId="0A24B18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Ministria e Shëndetësisë dhe Mbrojtjes Sociale është institucioni përgjegjës për hartimin dhe zbatimin e politikave e të strategjive të zhvillimit në sektorin e kujdesit shëndetësor, është përgjegjëse për rregullimin e shërbimeve të kujdesit shëndetësor dhe për bashkërendimin e punës ndërmjet të gjithë aktorëve, brenda dhe jashtë sistemit të kujdesit shëndetësor, të cilët kontribuojnë dhe synojnë të garantojnë të drejtën kushtetuese, të përcaktuar në nenin 55 të Kushtetutës së Republikës së Shqipërisë. Ajo ka si mision, gjithashtu, garantimin e të drejtave kushtetuese për mbrojtje e përfshirje sociale dhe përkujdesje sociale e shanse të barabarta.</w:t>
      </w:r>
    </w:p>
    <w:p w14:paraId="3CBAC3C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Institucionet e varësisë të cilat luajnë rol kyç në përmbushjen e përgjegjësive të sektorit shëndetësor dhe atij social sa u përket çështjeve ndërkufitare, janë:</w:t>
      </w:r>
    </w:p>
    <w:p w14:paraId="63F5BDA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Instituti i Shëndetit Publik</w:t>
      </w:r>
      <w:r w:rsidRPr="00F511C4">
        <w:rPr>
          <w:rFonts w:ascii="Garamond" w:eastAsia="Times New Roman" w:hAnsi="Garamond" w:cs="Times New Roman"/>
          <w:sz w:val="24"/>
          <w:szCs w:val="24"/>
          <w:lang w:val="sq-AL"/>
        </w:rPr>
        <w:t xml:space="preserve"> është struktura kombëtare përgjegjëse për hulumtimin, studimin dhe analizimin e situatës epidemiologjike të vendit.</w:t>
      </w:r>
    </w:p>
    <w:p w14:paraId="65797C0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sz w:val="24"/>
          <w:szCs w:val="24"/>
          <w:lang w:val="sq-AL"/>
        </w:rPr>
        <w:t>1. Përcaktimin e strategjive dhe ndërhyrjeve për parandalimin e sëmundjeve infektive, në bashkë-punim me strukturat vendore të shëndetit publik.</w:t>
      </w:r>
    </w:p>
    <w:p w14:paraId="0097A92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sz w:val="24"/>
          <w:szCs w:val="24"/>
          <w:lang w:val="sq-AL"/>
        </w:rPr>
        <w:t>2. Koordinimin, udhëzimin dhe monitorimin e zbatimit të masave të luftës kundër sëmundjeve infektive, në përputhje me Rregulloren ndërkombëtare të Shëndetit.</w:t>
      </w:r>
    </w:p>
    <w:p w14:paraId="554209A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sz w:val="24"/>
          <w:szCs w:val="24"/>
          <w:lang w:val="sq-AL"/>
        </w:rPr>
        <w:t>3. Bashkëpunimin, në përputhje me Rregulloren Ndërkombëtare të Shëndetit, me strukturat përkatëse për parandalimin dhe luftimin e sëmundjeve infektive në ministrinë përgjegjëse për mbrojtjen, ministrinë përgjegjëse për drejtësinë, ministrinë përgjegjëse për rendin publik, ministrinë përgjegjëse për transportin dhe Drejtorinë e Përgjithshme të Doganave.</w:t>
      </w:r>
    </w:p>
    <w:p w14:paraId="617816A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sz w:val="24"/>
          <w:szCs w:val="24"/>
          <w:lang w:val="sq-AL"/>
        </w:rPr>
        <w:t>4. Përcaktimin e rregullave në lidhje me transportin, izolimin, mjekimin dhe masat antiepidemike.</w:t>
      </w:r>
    </w:p>
    <w:p w14:paraId="57097CE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Parandalimi dhe kontrolli i përhapjes së sëmundjeve të rënda të njerëzve përtej kufijve të vendit, në rajon, Bashkimin Evropian e më tej, dhe lufta ndaj kërcënimeve të tjera serioze ndërkufitare për shëndetin realizohet përmes rregullave për survejancën epidemiologjike, monitorimi, njoftimi i hershëm e i shpejtë, planifikimin e përgatitjeve dhe përgjigjes, në lidhje me këto aktivitete, bashkëpunimin dhe koordinimin ndërmjet vendeve ndërkufitare dhe të Bashkimit Evropian. Masat ndërkufitare ndërmerren në kuadër të parashikimeve ligjore dhe rregullatore mbi “Survejancën epidemiologjike ndërkufitare” dhe “Kontrollin e infeksioneve në pikat e kalimit kufitar”.</w:t>
      </w:r>
    </w:p>
    <w:p w14:paraId="22087B6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Inspektorati Shtetëror Shëndetësor</w:t>
      </w:r>
      <w:r w:rsidRPr="00F511C4">
        <w:rPr>
          <w:rFonts w:ascii="Garamond" w:eastAsia="Times New Roman" w:hAnsi="Garamond" w:cs="Times New Roman"/>
          <w:sz w:val="24"/>
          <w:szCs w:val="24"/>
          <w:lang w:val="sq-AL"/>
        </w:rPr>
        <w:t xml:space="preserve"> ka për mision garantimin e respektimit të kërkesave ligjore në fushën e shëndetit publik. ISHSH-ja organizohet në dy nivele; në nivel qendror dhe atë rajonal, për çdo qark të vendit. Në degët rajonale të ISHSH-së, që kanë në territorin e tyre pika të kalimit kufitar, funksionojnë njësitë kufitare të inspektimit shëndetësor në zbatim të legjislacionit në fuqi në këtë fushë.</w:t>
      </w:r>
    </w:p>
    <w:p w14:paraId="3A73436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Operatori i Shërbimeve të Kujdesit Shëndetësor</w:t>
      </w:r>
      <w:r w:rsidRPr="00F511C4">
        <w:rPr>
          <w:rFonts w:ascii="Garamond" w:eastAsia="Times New Roman" w:hAnsi="Garamond" w:cs="Times New Roman"/>
          <w:sz w:val="24"/>
          <w:szCs w:val="24"/>
          <w:lang w:val="sq-AL"/>
        </w:rPr>
        <w:t xml:space="preserve"> zbaton dhe zbërthen në plane konkrete pune me indikatorë të matshëm politikat, strategjitë e zhvillimit, programet, kuadrin rregullator në fushën e shëndetësisë, duke u përqendruar në komponentët që lidhen me ofrimin e shërbimit shëndetësor. OSHKSH ka 4 (katër) Drejtori Rajonale të cilat kanë në strukturën e tyre sektorin e Shërbimit të Inteligjencës Epidemike dhe Shëndetit Mjedisor. Ky shërbim ka për qëllim të monitorojë, zbatojë kuadrin ligjor dhe rregullator për zhvillimin e shërbimeve epidemiologjike dhe mbrojtjen e shëndetit mjedisor në shkallë qarku dhe bashkie. Kjo strukturë kontrollon zbatimin e detyrave në të gjitha strukturat e shërbimit shëndetësor publik ose privat si spitalet infektive dhe jo infektive, poliklinika, dispanseri, qendra shëndetësore, mjekët e institucioneve shkollore dhe parashkollore, klinikat private, pikat kufitare, etj., për evidentimin e gjendjes së sëmundjeve ngjitëse dhe informimin e rregullt të tyre në shërbimet e epidemiologjisë, për rastet me sëmundje ngjitëse dhe mbulesën e vaksinave, si edhe për marrjen e masave për zbulimin në kohë, shtrimin në spital, ose trajtimin në shtëpi, izolimin e vaksinimin në përputhje me rregullat, legjislacionin përkatës të sëmundjeve infektive dhe udhëzimeve të ISHP-së.</w:t>
      </w:r>
    </w:p>
    <w:p w14:paraId="72EDEBE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xml:space="preserve">Agjencia Shtetërore për të Drejtat dhe Mbrojtjen e Fëmijëve. </w:t>
      </w:r>
      <w:r w:rsidRPr="00F511C4">
        <w:rPr>
          <w:rFonts w:ascii="Garamond" w:eastAsia="Times New Roman" w:hAnsi="Garamond" w:cs="Times New Roman"/>
          <w:sz w:val="24"/>
          <w:szCs w:val="24"/>
          <w:lang w:val="sq-AL"/>
        </w:rPr>
        <w:t xml:space="preserve">Bazuar në detyrimet që burojnë nga Konventa e OKB “Për të drejtat e fëmijës”, në legjislacionin vendas njihet dhe përcaktohet e drejta e fëmijës për t`u zhvendosur nga vendbanimi ose kthimi i tij në vendin e origjinës duke pasur parasysh mendimin, pëlqimin dhe interesin më të lartë të fëmijës. Zhvendosja e fëmijës brenda ose jashtë vendit bëhet me marrëveshjen e të dy prindërve dhe në rastet e fëmijëve të pashoqëruar ata kanë të drejtën e kthimit, në një kohë sa më të shpejtë pranë prindërve apo kujdestarëve të tyre. </w:t>
      </w:r>
    </w:p>
    <w:p w14:paraId="2C81130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Interesi më i lartë i fëmijës është konsiderata parësore në çdo veprim që ka të bëjë me fëmijën. Në zbatimin e këtij parimi mbahen parasysh nevojat e fëmijës për zhvillim fizik e psikologjik, edukim e shëndet, siguri, qëndrueshmëri, rritjen në një mjedis familjar, si dhe mendimi i fëmijës, në varësi të moshës dhe aftësisë së tij për të kuptuar. </w:t>
      </w:r>
    </w:p>
    <w:p w14:paraId="6EC3E04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
          <w:sz w:val="24"/>
          <w:szCs w:val="24"/>
          <w:lang w:val="sq-AL"/>
        </w:rPr>
        <w:t xml:space="preserve">Shërbimi Social Shtetëror. </w:t>
      </w:r>
      <w:r w:rsidRPr="00F511C4">
        <w:rPr>
          <w:rFonts w:ascii="Garamond" w:eastAsia="Times New Roman" w:hAnsi="Garamond" w:cs="Times New Roman"/>
          <w:color w:val="000000"/>
          <w:sz w:val="24"/>
          <w:szCs w:val="24"/>
          <w:lang w:val="sq-AL"/>
        </w:rPr>
        <w:t xml:space="preserve">Bazuar në ligjin nr. 121/2016, “Për shërbimet e kujdesit shoqëror”, SHSSH-i monitorin zbatimin e legjislacionit të shërbimeve shoqërore në të gjithë vendin ndërmjet strukturave të njësisë qendrore dhe drejtorive rajonale. </w:t>
      </w:r>
    </w:p>
    <w:p w14:paraId="6B7F59A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Roli dhe përgjegjësitë e tij janë të përcaktuara në VKM-në nr. 542, datë 27.7.2005, “Për miratimin e statusit të Shërbimit Social Shtetëror”, i ndryshuar.</w:t>
      </w:r>
    </w:p>
    <w:p w14:paraId="0FA0656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Si institucioni ekzekutues ka përgjegjësi për dhënien e shërbimeve vetëm në institucionet që janë në administrim të tij, të cilat ofrojnë shërbime në nivel kombëtar.</w:t>
      </w:r>
    </w:p>
    <w:p w14:paraId="175F816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Në zbatim të VKM nr. 499/2018, “Procedurat standarde të veprimit për identifikimin dhe referimin e viktimave dhe viktimave të mundshme të trafikimit, SHSSH-ja bashkë me ASHMDF-në janë të përfshirë drejtpërdrejt në procesin e identifikimit dhe referimit të VT.</w:t>
      </w:r>
    </w:p>
    <w:p w14:paraId="45F51E5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color w:val="000000"/>
          <w:sz w:val="24"/>
          <w:szCs w:val="24"/>
          <w:lang w:val="sq-AL"/>
        </w:rPr>
        <w:t>SHSSH ka në administrim të saj Qendrën Kombëtare Pritëse e Viktimave të Trafikimit (QKPVT) i cili është institucion kombëtar i sigurisë së lartë, që ofron shërbimin për strehim, rehabilitim dhe riintegrim të viktimave të trafikimit, vendase dhe të huaja.</w:t>
      </w:r>
    </w:p>
    <w:p w14:paraId="6799F77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 xml:space="preserve">Ministria e Drejtësisë </w:t>
      </w:r>
    </w:p>
    <w:p w14:paraId="18B6DCA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Ministria e Drejtësisë është autoritet qendror në bashkëpunimin gjyqësor ndërkombëtar, me qëllim forcimin e bashkëpunimit me shërbimet kufitare në zbatimin e konceptit të MIK, veçanërisht përmes zbatimit të marrëveshjeve bilaterale dhe multilaterale që rregullojnë bashkëpunimin ndërkombëtar.</w:t>
      </w:r>
    </w:p>
    <w:p w14:paraId="3A3CDA4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color w:val="2E74B5"/>
          <w:sz w:val="24"/>
          <w:szCs w:val="24"/>
          <w:lang w:val="sq-AL"/>
        </w:rPr>
      </w:pPr>
      <w:r w:rsidRPr="00F511C4">
        <w:rPr>
          <w:rFonts w:ascii="Garamond" w:eastAsia="Times New Roman" w:hAnsi="Garamond" w:cs="Times New Roman"/>
          <w:b/>
          <w:sz w:val="24"/>
          <w:szCs w:val="24"/>
          <w:lang w:val="sq-AL"/>
        </w:rPr>
        <w:t xml:space="preserve">Ministria e Infrastrukturës dhe Energjetikes </w:t>
      </w:r>
    </w:p>
    <w:p w14:paraId="4B8D975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Ministria e Infrastrukturës dhe Energjetikes, ka përgjegjësi veçanërisht në fushën e transportit të mallrave dhe udhëtarëve në territorin e Republikës së Shqipërisë si atë rrugor, hekurudhor, ajror dhe detar të transportit dhe kryerjen e aktiviteteve në lidhje me krijimin e kushteve për ndërtimin e rrugëve dhe hekurudhave, përfshirë ato në pikat e kalimit kufitar.</w:t>
      </w:r>
    </w:p>
    <w:p w14:paraId="11F32F5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 xml:space="preserve">Ministria e Turizmit dhe Mjedisit </w:t>
      </w:r>
    </w:p>
    <w:p w14:paraId="396BA41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sz w:val="24"/>
          <w:szCs w:val="24"/>
          <w:lang w:val="sq-AL"/>
        </w:rPr>
        <w:t xml:space="preserve">Ministria e Turizmit dhe Mjedisit në bashkëpunim me Operatorët Turistik dhe Agjencitë e Udhëtimeve, jep mbështetje në shkëmbimin e informacionit në lidhje me pritshmëritë e flukseve (hyrje/daljet) në kufirin shtetëror të vizitorëve/turistëve dhe periudhave të këtyre flukseve (sezonit veror, festave fetare, festave të nëntorit dhe festat e fundvitit/sezonit dimëror) dhe vendeve nga vijnë dhe dëshirojnë të udhëtojnë. </w:t>
      </w:r>
    </w:p>
    <w:p w14:paraId="7183333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Hartimi dhe miratimi i akteve administrative të brendshme dhe të përbashkëta për procedura që lehtësojnë shkëmbimin e informacionit. </w:t>
      </w:r>
    </w:p>
    <w:p w14:paraId="5150A08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Krijimi një “hapësire” në sistemin TIMS, ku policia kufitare evidenton hyrje/daljet në kufirin shtetëror, e cila të shërbejë për shkëmbimin e informacionit me Ministrinë e Turizmit dhe Mjedisit, për të gjeneruar të dhëna në lidhje me qëllimin e udhëtimit, ditë qëndrimet, vendet që dëshirojnë të udhëtojnë, si dhe të informohet me pritshmëritë e flukseve (hyrje/daljet) në kufirin shtetëror të vizitorëve/turistëve dhe periudhave të këtyre flukseve. Ministria e Turizmit dhe Mjedisit me strukturat e saj të varësisë, të shkëmbejë informacione me policinë e shtetit për turistët që lëvizin nëpër shtigje malore ndërkufitare dhe që nuk kalojnë nëpërmjet sistemit TIMS.</w:t>
      </w:r>
    </w:p>
    <w:p w14:paraId="1D2BCD2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Ministria e Arsimit, Sportit dhe Rinisë</w:t>
      </w:r>
    </w:p>
    <w:p w14:paraId="34698CF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sz w:val="24"/>
          <w:szCs w:val="24"/>
          <w:lang w:val="sq-AL"/>
        </w:rPr>
        <w:t xml:space="preserve">Ministria </w:t>
      </w:r>
      <w:r w:rsidRPr="00F511C4">
        <w:rPr>
          <w:rFonts w:ascii="Garamond" w:eastAsia="Times New Roman" w:hAnsi="Garamond" w:cs="Times New Roman"/>
          <w:bCs/>
          <w:sz w:val="24"/>
          <w:szCs w:val="24"/>
          <w:lang w:val="sq-AL"/>
        </w:rPr>
        <w:t xml:space="preserve">e Arsimit, Sportit dhe Rinisë </w:t>
      </w:r>
      <w:r w:rsidRPr="00F511C4">
        <w:rPr>
          <w:rFonts w:ascii="Garamond" w:eastAsia="Times New Roman" w:hAnsi="Garamond" w:cs="Times New Roman"/>
          <w:sz w:val="24"/>
          <w:szCs w:val="24"/>
          <w:lang w:val="sq-AL"/>
        </w:rPr>
        <w:t xml:space="preserve">është institucioni përgjegjës për të garantuar të drejtën kushtetuese për arsimimin e shtetasve shqiptarë, të huaj dhe personave pa shtetësi, pa u diskriminuar nga gjinia, raca, ngjyra, etnia, gjuha, orientimi seksual, bindjet politike ose fetare, gjendja, ekonomike apo sociale, mosha, vendbanimi, aftësia e kufizuar ose për arsye të tjera që përcaktohen në legjislacionin shqiptar. </w:t>
      </w:r>
    </w:p>
    <w:p w14:paraId="50526E2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Cs/>
          <w:color w:val="222222"/>
          <w:sz w:val="24"/>
          <w:szCs w:val="24"/>
          <w:lang w:val="sq-AL"/>
        </w:rPr>
      </w:pPr>
      <w:r w:rsidRPr="00F511C4">
        <w:rPr>
          <w:rFonts w:ascii="Garamond" w:eastAsia="Times New Roman" w:hAnsi="Garamond" w:cs="Times New Roman"/>
          <w:sz w:val="24"/>
          <w:szCs w:val="24"/>
          <w:lang w:val="sq-AL"/>
        </w:rPr>
        <w:t>MASR, nëpërmjet ASCAP do të angazhohet në trajnimin e punonjësve të cilët ushtrojnë detyra që lidhen MIK. MASR përmes ASCAP dhe në bashkëpunim me Akademinë e Sigurisë do të realizojnë periodikisht module trajnimi mbi fushën përkatëse të secilit institucion të përfshirë në Strategji.</w:t>
      </w:r>
    </w:p>
    <w:p w14:paraId="0558700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Ministria e Kulturës</w:t>
      </w:r>
    </w:p>
    <w:p w14:paraId="2CCEE70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Ministria e Kulturës harton politikat mbrojtëse dhe promovuese për trashëgiminë kulturore, materiale ose shpirtërore, si dhe krijon hapësirat e nevojshme, ligjore e mbështetëse, për ruajtjen e kultivimin e kulturës së shkruar, për krijimtarinë artistike në përgjithësi, si dhe për të promovuar arritjet e kulturës shqiptare e për të rritur konkurrencën e produktit shqiptar kulturor përtej kufijve. Kjo ministri ka për detyrë regjistrimin, katalogimin informatik, dokumentimin, vlerësimin, promovimin, mbikëqyrjen dhe monitorimin e respektimit të të drejtave të pronësisë dhe të lëvizjes së pasurive kulturore kombëtare, monitoron dhe koordinon punën me njësitë territoriale në fushën e pasurive kulturore nëpërmjet Institutit Kombëtar të Regjistrimit të Trashëgimisë Kulturore.</w:t>
      </w:r>
    </w:p>
    <w:p w14:paraId="1880F41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bCs/>
          <w:sz w:val="24"/>
          <w:szCs w:val="24"/>
          <w:lang w:val="sq-AL"/>
        </w:rPr>
      </w:pPr>
      <w:r w:rsidRPr="00F511C4">
        <w:rPr>
          <w:rFonts w:ascii="Garamond" w:eastAsia="Times New Roman" w:hAnsi="Garamond" w:cs="Times New Roman"/>
          <w:b/>
          <w:bCs/>
          <w:sz w:val="24"/>
          <w:szCs w:val="24"/>
          <w:lang w:val="sq-AL"/>
        </w:rPr>
        <w:t>Komisioneri për të Drejtën e Informimit dhe Mbrojtjen e të Dhënave Personale</w:t>
      </w:r>
    </w:p>
    <w:p w14:paraId="26220C2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FF0000"/>
          <w:sz w:val="24"/>
          <w:szCs w:val="24"/>
          <w:lang w:val="sq-AL" w:eastAsia="sq-AL"/>
        </w:rPr>
      </w:pPr>
      <w:r w:rsidRPr="00F511C4">
        <w:rPr>
          <w:rFonts w:ascii="Garamond" w:eastAsia="Times New Roman" w:hAnsi="Garamond" w:cs="Times New Roman"/>
          <w:sz w:val="24"/>
          <w:szCs w:val="24"/>
          <w:lang w:val="sq-AL"/>
        </w:rPr>
        <w:t>Komisioneri për të Drejtën e Informimit dhe Mbrojtjen e të dhënave personale garanton zbatimin e rregullave të legjislacionit për të drejtën e informimi dhe legjislacionit për mbrojtjen e të dhënave personale, në përputhje me ligjin “Për mbrojtjen e të dhënave personale”, me rregulloret dhe standardet në traktatet e konfirmuara ndërkombëtare për të drejtat e njeriut, liritë themelore dhe rregullat e pranuara përgjithësisht të së drejtës ndërkombëtare.</w:t>
      </w:r>
    </w:p>
    <w:p w14:paraId="0339D5B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2. Llogaridhënia, raportimi dhe monitorimi</w:t>
      </w:r>
    </w:p>
    <w:p w14:paraId="5CC7BBB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 xml:space="preserve">Llogaridhënia </w:t>
      </w:r>
    </w:p>
    <w:p w14:paraId="757A5D1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Open Sans Light"/>
          <w:color w:val="000000"/>
          <w:sz w:val="24"/>
          <w:szCs w:val="24"/>
          <w:lang w:val="sq-AL"/>
        </w:rPr>
      </w:pPr>
      <w:r w:rsidRPr="00F511C4">
        <w:rPr>
          <w:rFonts w:ascii="Garamond" w:eastAsia="Times New Roman" w:hAnsi="Garamond" w:cs="Times New Roman"/>
          <w:sz w:val="24"/>
          <w:szCs w:val="24"/>
          <w:lang w:val="sq-AL"/>
        </w:rPr>
        <w:lastRenderedPageBreak/>
        <w:t>Përqasja dhe rishikimi i dokumentit</w:t>
      </w:r>
      <w:r w:rsidRPr="00F511C4">
        <w:rPr>
          <w:rFonts w:ascii="Garamond" w:eastAsia="Times New Roman" w:hAnsi="Garamond" w:cs="Open Sans Light"/>
          <w:color w:val="000000"/>
          <w:sz w:val="24"/>
          <w:szCs w:val="24"/>
          <w:lang w:val="sq-AL"/>
        </w:rPr>
        <w:t xml:space="preserve"> strategjik do të jetë sipas kërkesave të VKM-së nr. 290, datë 11.4.2020, “Për krijimin e bazës së të dhënave shtetërore të sistemit informatik të planifikimit të integruar (SIPI/IPSIS), për të siguruar përputhshmërinë me Sistemin IPSIS”.</w:t>
      </w:r>
    </w:p>
    <w:p w14:paraId="7251150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bookmarkStart w:id="0" w:name="_Toc503790189"/>
      <w:bookmarkStart w:id="1" w:name="_Toc503790113"/>
      <w:bookmarkStart w:id="2" w:name="_Toc514071368"/>
      <w:r w:rsidRPr="00F511C4">
        <w:rPr>
          <w:rFonts w:ascii="Garamond" w:eastAsia="Times New Roman" w:hAnsi="Garamond" w:cs="Times New Roman"/>
          <w:sz w:val="24"/>
          <w:szCs w:val="24"/>
          <w:lang w:val="sq-AL"/>
        </w:rPr>
        <w:t>Procesi i llogaridhënies, monitorimit dhe analizës vlerësuese do të bëhet nga strukturat koordinuese si më poshtë:</w:t>
      </w:r>
    </w:p>
    <w:p w14:paraId="2BA00B0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Grupi i menaxhimit të integruar të politikave (GMIP); </w:t>
      </w:r>
    </w:p>
    <w:p w14:paraId="35D2E30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Komiteti Drejtues Sektorial (KDS) për çështjet e rendit dhe sigurisë publike, i cili do të shqyrtojë dhe miratojë raportet në zbatim të politikave dhe objektivave të përcaktuar në këtë dokument strategjik. </w:t>
      </w:r>
    </w:p>
    <w:p w14:paraId="765C703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Ministria e Brendshme është institucioni përgjegjës që udhëheq hartimin, koordinimin dhe bashkërendimin e institucioneve të përfshira në këtë Strategji. </w:t>
      </w:r>
    </w:p>
    <w:p w14:paraId="5348C9D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Monitorimi</w:t>
      </w:r>
      <w:bookmarkEnd w:id="0"/>
      <w:bookmarkEnd w:id="1"/>
      <w:r w:rsidRPr="00F511C4">
        <w:rPr>
          <w:rFonts w:ascii="Garamond" w:eastAsia="Times New Roman" w:hAnsi="Garamond" w:cs="Times New Roman"/>
          <w:b/>
          <w:sz w:val="24"/>
          <w:szCs w:val="24"/>
          <w:lang w:val="sq-AL"/>
        </w:rPr>
        <w:t xml:space="preserve"> </w:t>
      </w:r>
      <w:bookmarkEnd w:id="2"/>
    </w:p>
    <w:p w14:paraId="2A730B7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Krahas zbatimit të masave të përcaktuara në Strategji dhe planin e veprimit, monitorimi i vazhdueshëm i strukturave të angazhuara për përmbushjen e detyrimeve që rrjedhin nga këto dokumente konsiderohet i nevojshëm për të analizuar gjendjen reale gjatë zbatimit të tyre dhe për të mbikëqyrur implementimin periodik, me qëllim përmbushjen e tyre në mënyrë sa më efektive. </w:t>
      </w:r>
    </w:p>
    <w:p w14:paraId="1A8B214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Monitorimi dhe vlerësimi i punës së autoriteteve që kanë detyrime për zbatimin e Strategjisë së Menaxhimit të Integruar të Kufirit do të shërbejë për të ndjekur ecurinë e Strategjisë, për të vlerësuar shkallën e realizimit të politikave, objektivave të saj, si dhe përmbushjes së masave dhe aktiviteteve. </w:t>
      </w:r>
    </w:p>
    <w:p w14:paraId="66888D3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Monitorimi i planit të veprimit të Menaxhimit të Integruar të Kufirit 2021–2023, do të kryhet nga Grupi për Menaxhimin e Integruar të Politikave (GMIP), të miratuar me urdhrin e Kryeministrit nr. 157, datë 22.10.2018, “</w:t>
      </w:r>
      <w:r w:rsidRPr="00F511C4">
        <w:rPr>
          <w:rFonts w:ascii="Garamond" w:eastAsia="Times New Roman" w:hAnsi="Garamond" w:cs="Times New Roman"/>
          <w:i/>
          <w:sz w:val="24"/>
          <w:szCs w:val="24"/>
          <w:lang w:val="sq-AL"/>
        </w:rPr>
        <w:t>Për marrjen e masave për zbatimin e qasjes së gjerë sektoriale/ndërsektoriale, si dhe ngritjen dhe funksionimin e mekanizmit sektorial/ndërsektorial të integruar</w:t>
      </w:r>
      <w:r w:rsidRPr="00F511C4">
        <w:rPr>
          <w:rFonts w:ascii="Garamond" w:eastAsia="Times New Roman" w:hAnsi="Garamond" w:cs="Times New Roman"/>
          <w:sz w:val="24"/>
          <w:szCs w:val="24"/>
          <w:lang w:val="sq-AL"/>
        </w:rPr>
        <w:t xml:space="preserve">”. </w:t>
      </w:r>
    </w:p>
    <w:p w14:paraId="1F9E4A7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Procesi do të kryhet me pjesëmarrjen e përfaqësuesve nga institucionet kryesore përgjegjëse për çështjet e sigurisë kufitare (përfshirë MB/DPPSH, MFE/DPD, MBZHR/AKU, MSHMS, MM/FD-RB, MEPJ, MIE/Drejtoria Përgjithshme Detare, MASR, MK, QNOD), donatorë dhe shoqëria civile, (përfaqësues të organizatave joqeveritare). </w:t>
      </w:r>
    </w:p>
    <w:p w14:paraId="169B04F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Me synim garantimin e përmbushjes së objektivave strategjike të Menaxhimit të Integruar të Kufirit, bazuar në këtë dokument strategjik, do të merren masat e mëposhtme:</w:t>
      </w:r>
    </w:p>
    <w:p w14:paraId="5419E30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do të monitorohen treguesit e përcaktuar në dokumentin strategjik; </w:t>
      </w:r>
    </w:p>
    <w:p w14:paraId="00283E7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do të rekomandohen ndryshime në programet sektoriale, duke pasur parasysh arritjet, rrethanat, risqet dhe eksperiencat e mëparshme, si dhe në përputhje me rekomandimet e progres raporteve të Bashkimit Evropian; </w:t>
      </w:r>
    </w:p>
    <w:p w14:paraId="22F145C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 do të sigurohen konsultime me palët e interesit, përfshirë shpërndarjen sistematike të informacionit për publikun; </w:t>
      </w:r>
    </w:p>
    <w:p w14:paraId="1D0EC86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sz w:val="24"/>
          <w:szCs w:val="24"/>
          <w:lang w:val="sq-AL"/>
        </w:rPr>
        <w:t xml:space="preserve">- do të jepet kontribut në rritjen e konsistencës dhe integrimit të politikave dhe masave të sigurisë në të gjitha nivelet e administrimit, si dhe në përdorimin më të mirë të burimeve. </w:t>
      </w:r>
    </w:p>
    <w:p w14:paraId="5B29CE0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bCs/>
          <w:color w:val="000000"/>
          <w:sz w:val="24"/>
          <w:szCs w:val="24"/>
          <w:lang w:val="sq-AL"/>
        </w:rPr>
        <w:t xml:space="preserve">Monitorimi do të kryhet bazuar në raporte 6-mujore dhe vjetore, për </w:t>
      </w:r>
      <w:r w:rsidRPr="00F511C4">
        <w:rPr>
          <w:rFonts w:ascii="Garamond" w:eastAsia="Times New Roman" w:hAnsi="Garamond" w:cs="Times New Roman"/>
          <w:color w:val="000000"/>
          <w:sz w:val="24"/>
          <w:szCs w:val="24"/>
          <w:lang w:val="sq-AL"/>
        </w:rPr>
        <w:t xml:space="preserve">monitorimin dhe koordinimin e zbatimit të objektivave dhe masave të planit të veprimit. </w:t>
      </w:r>
    </w:p>
    <w:p w14:paraId="6DD1195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Përmirësimet në sistemin e monitorimit dhe vlerësimit synojnë të lehtësojnë/ndihmojnë në përafrimin e kuadrit strategjik dhe prioriteteve në fusha të ndryshme dhe të informojnë për politikat e vendit të lidhura me menaxhimin e integruar të kufirit. Fuqizimi dhe zgjerimi i kuadrit statistikor si në MB, DPPSH dhe institucionet e tjera përgjegjëse do të lehtësojë hartimin e politikave bazuar në evidenca/të dhëna, si dhe do të mundësojë vlerësimin objektiv për përmbushjen e objektivave specifikë. </w:t>
      </w:r>
    </w:p>
    <w:p w14:paraId="09C5E6B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 xml:space="preserve">Raportimi </w:t>
      </w:r>
    </w:p>
    <w:p w14:paraId="082FBDE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Të gjithë institucionet të ngarkuara me zbatimin e Strategjisë Ndërsektoriale të Menaxhimit të Integruar të Kufirit 2021–2027 dhe planin e veprimit 2021–2023, do të hartojnë raporte mbi bazë 6-mujore dhe njëvjeçare në zbatim të detyrimeve të përcaktuara në planin e veprimit në zbatim të Strategjisë, si dhe do të hedhin të dhëna në sistemin IPSIS. </w:t>
      </w:r>
    </w:p>
    <w:p w14:paraId="2A94800A"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lastRenderedPageBreak/>
        <w:t xml:space="preserve">Ministria e Brendshme do të jetë institucioni lider, i cili do të mbledhë, përpunojë dhe analizojë raportet periodike 6-mujore dhe 1-vjeçare, që do të përcillen nga të gjitha institucionet e ngarkuara në përmbushje të objektivave dhe masave përkatëse. </w:t>
      </w:r>
    </w:p>
    <w:p w14:paraId="1E00B98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Institucionet duhet të raportojnë periodikisht për realizimin e masave, me periodicitet 6-mujor përmes të dhënave të raportuara në Sistemin Informativ për Planifikimin Strategjik të Integruar (IPSIS) në Këshillin e Ministrave dhe në Sekretariatin Teknik Ndërinstitucional. </w:t>
      </w:r>
    </w:p>
    <w:p w14:paraId="1CDB3FB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Komiteti Drejtues Sektorial “punët e brendshme”, drejtuar nga ministri i Brendshëm, në zbatim të pikës 6 dhe 7, të urdhrit të Kryeministrit nr. 157, datë 22.10.2018, “Për marrjen e masave për zbatimin e qasjes së gjerë sektoriale/ndërsektoriale, si dhe ngritjen dhe funksionimin e mekanizmit sektorial/ndërsektorial të integruar”, do të shqyrtojë, diskutojë dhe miratojë raportet e progresit, të monitorimit të arritjes së synimeve dhe prioriteteve në zbatim të këtij dokumenti strategjik dhe planit të veprimit.</w:t>
      </w:r>
    </w:p>
    <w:p w14:paraId="22286C7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Përveç monitorimit të vazhdueshëm, progresi në përmbushjen e qëllimeve të Strategjisë Ndërsektoriale të Menaxhimit të Integruar të Kufirit do të matet nëpërmjet dy mënyrave të vlerësimit, atë të vlerësimit afatmesëm, që do të kryhet në përfundim të trevjeçarit, në fund të vitit 2023, që do të analizojë rezultatet e arritura, menaxhimin e burimeve dhe cilësinë e zbatimit. Kjo analizë do të tregojë për ndryshimet në kontekstin e përgjithshëm ekonomik dhe social, do të vlerësojë nëse qëllimet janë të qenësishme, duke krahasuar kontekstin fillestar dhe do të identifikojë veprimet e nevojshme. Bazuar në këtë vlerësim, do të hartohet plani i veprimit për vitet 2024–2027 për të arritur objektivat e vendosur në Strategji. </w:t>
      </w:r>
    </w:p>
    <w:p w14:paraId="03D58C9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Një vlerësim përfundimtar, pas përfundimit të periudhës së zbatimit, do të analizojë të gjithë Strategjinë dhe ndikimin e saj të përgjithshëm, ku do të vlerësohen rezultatet e masave të ndërmarra, burimeve të investuara dhe masën në të cilën janë arritur efektet e pritura. Vlerësimi përfundimtar do të kryhet duke analizuar të dhënat nga burime të ndryshme, duke përfshirë gjetjet e monitorimit të performancës dhe vlerësimit të ndikimit të programeve aktive të sigurisë në komunitet. Po në këtë kuadër, do të shërbejnë edhe raportet e vlerësimit të impaktit, si dhe raporte e studime të kryera nga shoqëria civile dhe donatorët.</w:t>
      </w:r>
    </w:p>
    <w:p w14:paraId="327F264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PJESA V</w:t>
      </w:r>
      <w:r w:rsidRPr="00F511C4">
        <w:rPr>
          <w:rFonts w:ascii="Garamond" w:eastAsia="Times New Roman" w:hAnsi="Garamond" w:cs="Times New Roman"/>
          <w:b/>
          <w:spacing w:val="6"/>
          <w:sz w:val="24"/>
          <w:szCs w:val="24"/>
          <w:lang w:val="sq-AL"/>
        </w:rPr>
        <w:t xml:space="preserve">: </w:t>
      </w:r>
      <w:r w:rsidRPr="00F511C4">
        <w:rPr>
          <w:rFonts w:ascii="Garamond" w:eastAsia="Times New Roman" w:hAnsi="Garamond" w:cs="Times New Roman"/>
          <w:b/>
          <w:sz w:val="24"/>
          <w:szCs w:val="24"/>
          <w:lang w:val="sq-AL"/>
        </w:rPr>
        <w:t xml:space="preserve">KOSTIMI DHE BURIMET FINANCIARE </w:t>
      </w:r>
    </w:p>
    <w:p w14:paraId="52ECCFE1"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 xml:space="preserve">Ky kapitull përshkruan shpërndarjen në vija të përgjithshme të burimeve financiare që financojnë produktet e Strategjisë së MIK 2021–2027. </w:t>
      </w:r>
      <w:r w:rsidRPr="00F511C4">
        <w:rPr>
          <w:rFonts w:ascii="Garamond" w:eastAsia="Times New Roman" w:hAnsi="Garamond" w:cs="Times New Roman"/>
          <w:sz w:val="24"/>
          <w:szCs w:val="24"/>
          <w:lang w:val="sq-AL"/>
        </w:rPr>
        <w:t xml:space="preserve">Efektet financiare janë përllogaritur nga çdo institucion bazuar në </w:t>
      </w:r>
      <w:r w:rsidRPr="00F511C4">
        <w:rPr>
          <w:rFonts w:ascii="Garamond" w:eastAsia="Times New Roman" w:hAnsi="Garamond" w:cs="Times New Roman"/>
          <w:iCs/>
          <w:sz w:val="24"/>
          <w:szCs w:val="24"/>
          <w:lang w:val="sq-AL"/>
        </w:rPr>
        <w:t>implementimin</w:t>
      </w:r>
      <w:r w:rsidRPr="00F511C4">
        <w:rPr>
          <w:rFonts w:ascii="Garamond" w:eastAsia="Times New Roman" w:hAnsi="Garamond" w:cs="Times New Roman"/>
          <w:i/>
          <w:sz w:val="24"/>
          <w:szCs w:val="24"/>
          <w:lang w:val="sq-AL"/>
        </w:rPr>
        <w:t xml:space="preserve"> </w:t>
      </w:r>
      <w:r w:rsidRPr="00F511C4">
        <w:rPr>
          <w:rFonts w:ascii="Garamond" w:eastAsia="Times New Roman" w:hAnsi="Garamond" w:cs="Times New Roman"/>
          <w:sz w:val="24"/>
          <w:szCs w:val="24"/>
          <w:lang w:val="sq-AL"/>
        </w:rPr>
        <w:t>e aktiviteteve të masave përkatëse që janë të parashikuara në planin e veprimit të kësaj Strategjie. Efektet financiare përballohen nga buxhetet respektive vjetore të institucioneve të ngarkuara, si dhe nga buxheti i donatorëve për zbatimin e Strategjisë Ndërsektoriale të Menaxhimit të Integruar të Kufirit 2021–2027 dhe planit të veprimit 2021–2023, në mënyrë të detajuar.</w:t>
      </w:r>
    </w:p>
    <w:p w14:paraId="61EFD34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Procesi i kostimit është bazuar në konsultimin e dokumenteve kombëtare, përfshirë këtu Programi Buxhetor Afatmesëm 2021–2023, si dhe konsultimet me institucionet e përfshira. Plani i veprimit është shoqëruar me një kostim analitik të secilës masë. </w:t>
      </w:r>
    </w:p>
    <w:p w14:paraId="48889A17"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Kostoja e përgjithshme e përllogaritur për zbatimin e kësaj Strategjie është </w:t>
      </w:r>
      <w:r w:rsidRPr="00F511C4">
        <w:rPr>
          <w:rFonts w:ascii="Garamond" w:eastAsia="Times New Roman" w:hAnsi="Garamond" w:cs="Times New Roman"/>
          <w:bCs/>
          <w:color w:val="000000"/>
          <w:sz w:val="24"/>
          <w:szCs w:val="24"/>
          <w:lang w:val="sq-AL"/>
        </w:rPr>
        <w:t xml:space="preserve">20,136,430,002 </w:t>
      </w:r>
      <w:r w:rsidRPr="00F511C4">
        <w:rPr>
          <w:rFonts w:ascii="Garamond" w:eastAsia="Times New Roman" w:hAnsi="Garamond" w:cs="Times New Roman"/>
          <w:sz w:val="24"/>
          <w:szCs w:val="24"/>
          <w:lang w:val="sq-AL"/>
        </w:rPr>
        <w:t xml:space="preserve">lekë ose </w:t>
      </w:r>
      <w:r w:rsidRPr="00F511C4">
        <w:rPr>
          <w:rFonts w:ascii="Garamond" w:eastAsia="Times New Roman" w:hAnsi="Garamond" w:cs="Times New Roman"/>
          <w:bCs/>
          <w:color w:val="000000"/>
          <w:sz w:val="24"/>
          <w:szCs w:val="24"/>
          <w:lang w:val="sq-AL"/>
        </w:rPr>
        <w:t xml:space="preserve">161,091,440 </w:t>
      </w:r>
      <w:r w:rsidRPr="00F511C4">
        <w:rPr>
          <w:rFonts w:ascii="Garamond" w:eastAsia="Times New Roman" w:hAnsi="Garamond" w:cs="Times New Roman"/>
          <w:sz w:val="24"/>
          <w:szCs w:val="24"/>
          <w:lang w:val="sq-AL"/>
        </w:rPr>
        <w:t xml:space="preserve">euro. Kursi mesatar për referencë është përllogaritur me 125 lekë për 1 euro. </w:t>
      </w:r>
    </w:p>
    <w:p w14:paraId="3B8C3BA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r w:rsidRPr="00F511C4">
        <w:rPr>
          <w:rFonts w:ascii="Garamond" w:eastAsia="Times New Roman" w:hAnsi="Garamond" w:cs="Times New Roman"/>
          <w:color w:val="000000"/>
          <w:sz w:val="24"/>
          <w:szCs w:val="24"/>
          <w:lang w:val="sq-AL"/>
        </w:rPr>
        <w:t>Qëllimi i Politikës 1, pritet të ketë në terma financiarë peshën më të madhe në zbatimin e planit, përkatësisht në masën 84%. Ndërsa qëllimi i politikës 2 dhe qëllimi i politikës 3 zënë përkatësisht 15% dhe 1% në totalin e buxhetit të planit të veprimit.</w:t>
      </w:r>
    </w:p>
    <w:p w14:paraId="0DD91A3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color w:val="000000"/>
          <w:sz w:val="24"/>
          <w:szCs w:val="24"/>
          <w:lang w:val="sq-AL"/>
        </w:rPr>
      </w:pPr>
    </w:p>
    <w:tbl>
      <w:tblPr>
        <w:tblW w:w="10620" w:type="dxa"/>
        <w:tblInd w:w="-792" w:type="dxa"/>
        <w:tblLook w:val="04A0" w:firstRow="1" w:lastRow="0" w:firstColumn="1" w:lastColumn="0" w:noHBand="0" w:noVBand="1"/>
      </w:tblPr>
      <w:tblGrid>
        <w:gridCol w:w="2610"/>
        <w:gridCol w:w="1350"/>
        <w:gridCol w:w="1624"/>
        <w:gridCol w:w="1772"/>
        <w:gridCol w:w="1620"/>
        <w:gridCol w:w="1644"/>
      </w:tblGrid>
      <w:tr w:rsidR="00F511C4" w:rsidRPr="00F511C4" w14:paraId="3B94DBAF" w14:textId="77777777" w:rsidTr="00222BA8">
        <w:trPr>
          <w:trHeight w:val="315"/>
        </w:trPr>
        <w:tc>
          <w:tcPr>
            <w:tcW w:w="10620" w:type="dxa"/>
            <w:gridSpan w:val="6"/>
            <w:noWrap/>
            <w:vAlign w:val="center"/>
            <w:hideMark/>
          </w:tcPr>
          <w:p w14:paraId="5CD03BD9"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Kostoja financiare e SMIK (në lek)</w:t>
            </w:r>
          </w:p>
        </w:tc>
      </w:tr>
      <w:tr w:rsidR="00F511C4" w:rsidRPr="00F511C4" w14:paraId="5F107122" w14:textId="77777777" w:rsidTr="00222BA8">
        <w:trPr>
          <w:trHeight w:val="480"/>
        </w:trPr>
        <w:tc>
          <w:tcPr>
            <w:tcW w:w="2610" w:type="dxa"/>
            <w:vMerge w:val="restart"/>
            <w:tcBorders>
              <w:top w:val="single" w:sz="8" w:space="0" w:color="auto"/>
              <w:left w:val="single" w:sz="8" w:space="0" w:color="auto"/>
              <w:bottom w:val="single" w:sz="8" w:space="0" w:color="4472C4"/>
              <w:right w:val="nil"/>
            </w:tcBorders>
            <w:shd w:val="clear" w:color="auto" w:fill="4472C4"/>
            <w:vAlign w:val="center"/>
            <w:hideMark/>
          </w:tcPr>
          <w:p w14:paraId="58BC98F9"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Qëllimi i politikës</w:t>
            </w:r>
          </w:p>
        </w:tc>
        <w:tc>
          <w:tcPr>
            <w:tcW w:w="1350" w:type="dxa"/>
            <w:vMerge w:val="restart"/>
            <w:tcBorders>
              <w:top w:val="single" w:sz="8" w:space="0" w:color="auto"/>
              <w:left w:val="nil"/>
              <w:bottom w:val="single" w:sz="8" w:space="0" w:color="4472C4"/>
              <w:right w:val="nil"/>
            </w:tcBorders>
            <w:shd w:val="clear" w:color="auto" w:fill="4472C4"/>
            <w:vAlign w:val="center"/>
            <w:hideMark/>
          </w:tcPr>
          <w:p w14:paraId="56455E79"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Tipologjia e kostove</w:t>
            </w:r>
          </w:p>
        </w:tc>
        <w:tc>
          <w:tcPr>
            <w:tcW w:w="1468" w:type="dxa"/>
            <w:tcBorders>
              <w:top w:val="single" w:sz="8" w:space="0" w:color="auto"/>
              <w:left w:val="nil"/>
              <w:bottom w:val="nil"/>
              <w:right w:val="nil"/>
            </w:tcBorders>
            <w:shd w:val="clear" w:color="auto" w:fill="4472C4"/>
            <w:vAlign w:val="center"/>
            <w:hideMark/>
          </w:tcPr>
          <w:p w14:paraId="3E4635E1"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Kostoja totale</w:t>
            </w:r>
          </w:p>
        </w:tc>
        <w:tc>
          <w:tcPr>
            <w:tcW w:w="1772" w:type="dxa"/>
            <w:tcBorders>
              <w:top w:val="single" w:sz="8" w:space="0" w:color="auto"/>
              <w:left w:val="nil"/>
              <w:bottom w:val="nil"/>
              <w:right w:val="nil"/>
            </w:tcBorders>
            <w:shd w:val="clear" w:color="auto" w:fill="4472C4"/>
            <w:vAlign w:val="center"/>
            <w:hideMark/>
          </w:tcPr>
          <w:p w14:paraId="268DBE20"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Kostoja e planifikuar në</w:t>
            </w:r>
          </w:p>
        </w:tc>
        <w:tc>
          <w:tcPr>
            <w:tcW w:w="1620" w:type="dxa"/>
            <w:tcBorders>
              <w:top w:val="single" w:sz="8" w:space="0" w:color="auto"/>
              <w:left w:val="nil"/>
              <w:bottom w:val="nil"/>
              <w:right w:val="nil"/>
            </w:tcBorders>
            <w:shd w:val="clear" w:color="auto" w:fill="4472C4"/>
            <w:vAlign w:val="center"/>
            <w:hideMark/>
          </w:tcPr>
          <w:p w14:paraId="26C38CBF"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Kostoja për t’u planifikuar në</w:t>
            </w:r>
          </w:p>
        </w:tc>
        <w:tc>
          <w:tcPr>
            <w:tcW w:w="1800" w:type="dxa"/>
            <w:tcBorders>
              <w:top w:val="single" w:sz="8" w:space="0" w:color="auto"/>
              <w:left w:val="nil"/>
              <w:bottom w:val="nil"/>
              <w:right w:val="single" w:sz="8" w:space="0" w:color="auto"/>
            </w:tcBorders>
            <w:shd w:val="clear" w:color="auto" w:fill="4472C4"/>
            <w:vAlign w:val="center"/>
            <w:hideMark/>
          </w:tcPr>
          <w:p w14:paraId="36FB3AED"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Hendeku financiar</w:t>
            </w:r>
          </w:p>
        </w:tc>
      </w:tr>
      <w:tr w:rsidR="00F511C4" w:rsidRPr="00F511C4" w14:paraId="51CF3AF0" w14:textId="77777777" w:rsidTr="00222BA8">
        <w:trPr>
          <w:trHeight w:val="300"/>
        </w:trPr>
        <w:tc>
          <w:tcPr>
            <w:tcW w:w="0" w:type="auto"/>
            <w:vMerge/>
            <w:tcBorders>
              <w:top w:val="single" w:sz="8" w:space="0" w:color="auto"/>
              <w:left w:val="single" w:sz="8" w:space="0" w:color="auto"/>
              <w:bottom w:val="single" w:sz="8" w:space="0" w:color="4472C4"/>
              <w:right w:val="nil"/>
            </w:tcBorders>
            <w:vAlign w:val="center"/>
            <w:hideMark/>
          </w:tcPr>
          <w:p w14:paraId="14D119CB" w14:textId="77777777" w:rsidR="00F511C4" w:rsidRPr="00F511C4" w:rsidRDefault="00F511C4" w:rsidP="00F511C4">
            <w:pPr>
              <w:spacing w:after="0" w:line="240" w:lineRule="auto"/>
              <w:rPr>
                <w:rFonts w:ascii="Garamond" w:eastAsia="Times New Roman" w:hAnsi="Garamond" w:cs="Arial"/>
                <w:b/>
                <w:bCs/>
                <w:color w:val="FFFFFF"/>
                <w:sz w:val="24"/>
                <w:szCs w:val="24"/>
                <w:lang w:val="sq-AL"/>
              </w:rPr>
            </w:pPr>
          </w:p>
        </w:tc>
        <w:tc>
          <w:tcPr>
            <w:tcW w:w="0" w:type="auto"/>
            <w:vMerge/>
            <w:tcBorders>
              <w:top w:val="single" w:sz="8" w:space="0" w:color="auto"/>
              <w:left w:val="nil"/>
              <w:bottom w:val="single" w:sz="8" w:space="0" w:color="4472C4"/>
              <w:right w:val="nil"/>
            </w:tcBorders>
            <w:vAlign w:val="center"/>
            <w:hideMark/>
          </w:tcPr>
          <w:p w14:paraId="34D73E90" w14:textId="77777777" w:rsidR="00F511C4" w:rsidRPr="00F511C4" w:rsidRDefault="00F511C4" w:rsidP="00F511C4">
            <w:pPr>
              <w:spacing w:after="0" w:line="240" w:lineRule="auto"/>
              <w:rPr>
                <w:rFonts w:ascii="Garamond" w:eastAsia="Times New Roman" w:hAnsi="Garamond" w:cs="Arial"/>
                <w:b/>
                <w:bCs/>
                <w:color w:val="FFFFFF"/>
                <w:sz w:val="24"/>
                <w:szCs w:val="24"/>
                <w:lang w:val="sq-AL"/>
              </w:rPr>
            </w:pPr>
          </w:p>
        </w:tc>
        <w:tc>
          <w:tcPr>
            <w:tcW w:w="1468" w:type="dxa"/>
            <w:shd w:val="clear" w:color="auto" w:fill="4472C4"/>
            <w:vAlign w:val="center"/>
            <w:hideMark/>
          </w:tcPr>
          <w:p w14:paraId="4087EE88"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2021–2027</w:t>
            </w:r>
          </w:p>
        </w:tc>
        <w:tc>
          <w:tcPr>
            <w:tcW w:w="1772" w:type="dxa"/>
            <w:shd w:val="clear" w:color="auto" w:fill="4472C4"/>
            <w:vAlign w:val="center"/>
            <w:hideMark/>
          </w:tcPr>
          <w:p w14:paraId="39D6B78A"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PBA 2021–2023</w:t>
            </w:r>
          </w:p>
        </w:tc>
        <w:tc>
          <w:tcPr>
            <w:tcW w:w="1620" w:type="dxa"/>
            <w:shd w:val="clear" w:color="auto" w:fill="4472C4"/>
            <w:vAlign w:val="center"/>
            <w:hideMark/>
          </w:tcPr>
          <w:p w14:paraId="7D4C04B1"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PBA 2022–2024</w:t>
            </w:r>
          </w:p>
        </w:tc>
        <w:tc>
          <w:tcPr>
            <w:tcW w:w="1800" w:type="dxa"/>
            <w:tcBorders>
              <w:top w:val="nil"/>
              <w:left w:val="nil"/>
              <w:bottom w:val="nil"/>
              <w:right w:val="single" w:sz="8" w:space="0" w:color="auto"/>
            </w:tcBorders>
            <w:shd w:val="clear" w:color="auto" w:fill="4472C4"/>
            <w:vAlign w:val="center"/>
            <w:hideMark/>
          </w:tcPr>
          <w:p w14:paraId="685CF927"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2021–2027</w:t>
            </w:r>
          </w:p>
        </w:tc>
      </w:tr>
      <w:tr w:rsidR="00F511C4" w:rsidRPr="00F511C4" w14:paraId="3C881602" w14:textId="77777777" w:rsidTr="00222BA8">
        <w:trPr>
          <w:trHeight w:val="495"/>
        </w:trPr>
        <w:tc>
          <w:tcPr>
            <w:tcW w:w="0" w:type="auto"/>
            <w:vMerge/>
            <w:tcBorders>
              <w:top w:val="single" w:sz="8" w:space="0" w:color="auto"/>
              <w:left w:val="single" w:sz="8" w:space="0" w:color="auto"/>
              <w:bottom w:val="single" w:sz="8" w:space="0" w:color="4472C4"/>
              <w:right w:val="nil"/>
            </w:tcBorders>
            <w:vAlign w:val="center"/>
            <w:hideMark/>
          </w:tcPr>
          <w:p w14:paraId="1614E700" w14:textId="77777777" w:rsidR="00F511C4" w:rsidRPr="00F511C4" w:rsidRDefault="00F511C4" w:rsidP="00F511C4">
            <w:pPr>
              <w:spacing w:after="0" w:line="240" w:lineRule="auto"/>
              <w:rPr>
                <w:rFonts w:ascii="Garamond" w:eastAsia="Times New Roman" w:hAnsi="Garamond" w:cs="Arial"/>
                <w:b/>
                <w:bCs/>
                <w:color w:val="FFFFFF"/>
                <w:sz w:val="24"/>
                <w:szCs w:val="24"/>
                <w:lang w:val="sq-AL"/>
              </w:rPr>
            </w:pPr>
          </w:p>
        </w:tc>
        <w:tc>
          <w:tcPr>
            <w:tcW w:w="0" w:type="auto"/>
            <w:vMerge/>
            <w:tcBorders>
              <w:top w:val="single" w:sz="8" w:space="0" w:color="auto"/>
              <w:left w:val="nil"/>
              <w:bottom w:val="single" w:sz="8" w:space="0" w:color="4472C4"/>
              <w:right w:val="nil"/>
            </w:tcBorders>
            <w:vAlign w:val="center"/>
            <w:hideMark/>
          </w:tcPr>
          <w:p w14:paraId="3AEEAE5C" w14:textId="77777777" w:rsidR="00F511C4" w:rsidRPr="00F511C4" w:rsidRDefault="00F511C4" w:rsidP="00F511C4">
            <w:pPr>
              <w:spacing w:after="0" w:line="240" w:lineRule="auto"/>
              <w:rPr>
                <w:rFonts w:ascii="Garamond" w:eastAsia="Times New Roman" w:hAnsi="Garamond" w:cs="Arial"/>
                <w:b/>
                <w:bCs/>
                <w:color w:val="FFFFFF"/>
                <w:sz w:val="24"/>
                <w:szCs w:val="24"/>
                <w:lang w:val="sq-AL"/>
              </w:rPr>
            </w:pPr>
          </w:p>
        </w:tc>
        <w:tc>
          <w:tcPr>
            <w:tcW w:w="1468" w:type="dxa"/>
            <w:tcBorders>
              <w:top w:val="nil"/>
              <w:left w:val="nil"/>
              <w:bottom w:val="single" w:sz="8" w:space="0" w:color="4472C4"/>
              <w:right w:val="nil"/>
            </w:tcBorders>
            <w:shd w:val="clear" w:color="auto" w:fill="4472C4"/>
            <w:vAlign w:val="center"/>
            <w:hideMark/>
          </w:tcPr>
          <w:p w14:paraId="71A3E493" w14:textId="77777777" w:rsidR="00F511C4" w:rsidRPr="00F511C4" w:rsidRDefault="00F511C4" w:rsidP="00F511C4">
            <w:pPr>
              <w:spacing w:after="0" w:line="240" w:lineRule="auto"/>
              <w:rPr>
                <w:rFonts w:ascii="Garamond" w:eastAsia="Times New Roman" w:hAnsi="Garamond" w:cs="Calibri"/>
                <w:color w:val="000000"/>
                <w:sz w:val="24"/>
                <w:szCs w:val="24"/>
                <w:lang w:val="sq-AL"/>
              </w:rPr>
            </w:pPr>
            <w:r w:rsidRPr="00F511C4">
              <w:rPr>
                <w:rFonts w:ascii="Garamond" w:eastAsia="Times New Roman" w:hAnsi="Garamond" w:cs="Calibri"/>
                <w:color w:val="000000"/>
                <w:sz w:val="24"/>
                <w:szCs w:val="24"/>
                <w:lang w:val="sq-AL"/>
              </w:rPr>
              <w:t> </w:t>
            </w:r>
          </w:p>
        </w:tc>
        <w:tc>
          <w:tcPr>
            <w:tcW w:w="1772" w:type="dxa"/>
            <w:tcBorders>
              <w:top w:val="nil"/>
              <w:left w:val="nil"/>
              <w:bottom w:val="single" w:sz="8" w:space="0" w:color="4472C4"/>
              <w:right w:val="nil"/>
            </w:tcBorders>
            <w:shd w:val="clear" w:color="auto" w:fill="4472C4"/>
            <w:vAlign w:val="center"/>
            <w:hideMark/>
          </w:tcPr>
          <w:p w14:paraId="3784BD7C"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Buxheti dhe donatorët</w:t>
            </w:r>
          </w:p>
        </w:tc>
        <w:tc>
          <w:tcPr>
            <w:tcW w:w="1620" w:type="dxa"/>
            <w:tcBorders>
              <w:top w:val="nil"/>
              <w:left w:val="nil"/>
              <w:bottom w:val="single" w:sz="8" w:space="0" w:color="4472C4"/>
              <w:right w:val="nil"/>
            </w:tcBorders>
            <w:shd w:val="clear" w:color="auto" w:fill="4472C4"/>
            <w:vAlign w:val="center"/>
            <w:hideMark/>
          </w:tcPr>
          <w:p w14:paraId="7A660F0B" w14:textId="77777777" w:rsidR="00F511C4" w:rsidRPr="00F511C4" w:rsidRDefault="00F511C4" w:rsidP="00F511C4">
            <w:pPr>
              <w:spacing w:after="0" w:line="240" w:lineRule="auto"/>
              <w:jc w:val="center"/>
              <w:rPr>
                <w:rFonts w:ascii="Garamond" w:eastAsia="Times New Roman" w:hAnsi="Garamond" w:cs="Arial"/>
                <w:b/>
                <w:bCs/>
                <w:color w:val="FFFFFF"/>
                <w:sz w:val="24"/>
                <w:szCs w:val="24"/>
                <w:lang w:val="sq-AL"/>
              </w:rPr>
            </w:pPr>
            <w:r w:rsidRPr="00F511C4">
              <w:rPr>
                <w:rFonts w:ascii="Garamond" w:eastAsia="Times New Roman" w:hAnsi="Garamond" w:cs="Arial"/>
                <w:b/>
                <w:bCs/>
                <w:color w:val="FFFFFF"/>
                <w:sz w:val="24"/>
                <w:szCs w:val="24"/>
                <w:lang w:val="sq-AL"/>
              </w:rPr>
              <w:t>Buxheti dhe donatorët</w:t>
            </w:r>
          </w:p>
        </w:tc>
        <w:tc>
          <w:tcPr>
            <w:tcW w:w="1800" w:type="dxa"/>
            <w:tcBorders>
              <w:top w:val="nil"/>
              <w:left w:val="nil"/>
              <w:bottom w:val="single" w:sz="8" w:space="0" w:color="4472C4"/>
              <w:right w:val="single" w:sz="8" w:space="0" w:color="auto"/>
            </w:tcBorders>
            <w:shd w:val="clear" w:color="auto" w:fill="4472C4"/>
            <w:vAlign w:val="center"/>
            <w:hideMark/>
          </w:tcPr>
          <w:p w14:paraId="385C0066" w14:textId="77777777" w:rsidR="00F511C4" w:rsidRPr="00F511C4" w:rsidRDefault="00F511C4" w:rsidP="00F511C4">
            <w:pPr>
              <w:spacing w:after="0" w:line="240" w:lineRule="auto"/>
              <w:rPr>
                <w:rFonts w:ascii="Garamond" w:eastAsia="Times New Roman" w:hAnsi="Garamond" w:cs="Calibri"/>
                <w:color w:val="000000"/>
                <w:sz w:val="24"/>
                <w:szCs w:val="24"/>
                <w:lang w:val="sq-AL"/>
              </w:rPr>
            </w:pPr>
            <w:r w:rsidRPr="00F511C4">
              <w:rPr>
                <w:rFonts w:ascii="Garamond" w:eastAsia="Times New Roman" w:hAnsi="Garamond" w:cs="Calibri"/>
                <w:color w:val="000000"/>
                <w:sz w:val="24"/>
                <w:szCs w:val="24"/>
                <w:lang w:val="sq-AL"/>
              </w:rPr>
              <w:t> </w:t>
            </w:r>
          </w:p>
        </w:tc>
      </w:tr>
      <w:tr w:rsidR="00F511C4" w:rsidRPr="00F511C4" w14:paraId="04D7866C" w14:textId="77777777" w:rsidTr="00222BA8">
        <w:trPr>
          <w:trHeight w:val="885"/>
        </w:trPr>
        <w:tc>
          <w:tcPr>
            <w:tcW w:w="2610" w:type="dxa"/>
            <w:vMerge w:val="restart"/>
            <w:tcBorders>
              <w:top w:val="nil"/>
              <w:left w:val="single" w:sz="8" w:space="0" w:color="auto"/>
              <w:bottom w:val="single" w:sz="8" w:space="0" w:color="8EAADB"/>
              <w:right w:val="single" w:sz="8" w:space="0" w:color="8EAADB"/>
            </w:tcBorders>
            <w:shd w:val="clear" w:color="auto" w:fill="D9E2F3"/>
            <w:vAlign w:val="center"/>
            <w:hideMark/>
          </w:tcPr>
          <w:p w14:paraId="4BC1131B" w14:textId="77777777" w:rsidR="00F511C4" w:rsidRPr="00F511C4" w:rsidRDefault="00F511C4" w:rsidP="00F511C4">
            <w:pPr>
              <w:spacing w:after="0" w:line="240" w:lineRule="auto"/>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QP1:</w:t>
            </w:r>
            <w:r w:rsidRPr="00F511C4">
              <w:rPr>
                <w:rFonts w:ascii="Garamond" w:eastAsia="Times New Roman" w:hAnsi="Garamond" w:cs="Arial"/>
                <w:color w:val="000000"/>
                <w:sz w:val="24"/>
                <w:szCs w:val="24"/>
                <w:lang w:val="sq-AL"/>
              </w:rPr>
              <w:t xml:space="preserve"> MBROJTJA E SIGURISË SË BRENDSHME DHE MENAXHIMI I FLUKSEVE MIGRATORE, ME QËLLIM PARANDALIMIN E MIGRACIONIT TË PARREGULLT, SI DHE PARANDALIMIN DHE GODITJEN E KRIMIT NDËRKUFITAR</w:t>
            </w:r>
          </w:p>
        </w:tc>
        <w:tc>
          <w:tcPr>
            <w:tcW w:w="1350" w:type="dxa"/>
            <w:tcBorders>
              <w:top w:val="nil"/>
              <w:left w:val="nil"/>
              <w:bottom w:val="single" w:sz="8" w:space="0" w:color="8EAADB"/>
              <w:right w:val="single" w:sz="8" w:space="0" w:color="8EAADB"/>
            </w:tcBorders>
            <w:shd w:val="clear" w:color="auto" w:fill="D9E2F3"/>
            <w:vAlign w:val="center"/>
            <w:hideMark/>
          </w:tcPr>
          <w:p w14:paraId="4906DE7B"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Korente</w:t>
            </w:r>
          </w:p>
        </w:tc>
        <w:tc>
          <w:tcPr>
            <w:tcW w:w="1468" w:type="dxa"/>
            <w:tcBorders>
              <w:top w:val="nil"/>
              <w:left w:val="nil"/>
              <w:bottom w:val="single" w:sz="8" w:space="0" w:color="8EAADB"/>
              <w:right w:val="single" w:sz="8" w:space="0" w:color="8EAADB"/>
            </w:tcBorders>
            <w:shd w:val="clear" w:color="auto" w:fill="D9E2F3"/>
            <w:vAlign w:val="center"/>
            <w:hideMark/>
          </w:tcPr>
          <w:p w14:paraId="2791EF33"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15,894,166,002</w:t>
            </w:r>
          </w:p>
        </w:tc>
        <w:tc>
          <w:tcPr>
            <w:tcW w:w="1772" w:type="dxa"/>
            <w:tcBorders>
              <w:top w:val="nil"/>
              <w:left w:val="nil"/>
              <w:bottom w:val="single" w:sz="8" w:space="0" w:color="8EAADB"/>
              <w:right w:val="single" w:sz="8" w:space="0" w:color="8EAADB"/>
            </w:tcBorders>
            <w:shd w:val="clear" w:color="auto" w:fill="D9E2F3"/>
            <w:vAlign w:val="center"/>
            <w:hideMark/>
          </w:tcPr>
          <w:p w14:paraId="24923B31"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7,332,254,001</w:t>
            </w:r>
          </w:p>
        </w:tc>
        <w:tc>
          <w:tcPr>
            <w:tcW w:w="1620" w:type="dxa"/>
            <w:tcBorders>
              <w:top w:val="nil"/>
              <w:left w:val="nil"/>
              <w:bottom w:val="single" w:sz="8" w:space="0" w:color="8EAADB"/>
              <w:right w:val="single" w:sz="8" w:space="0" w:color="8EAADB"/>
            </w:tcBorders>
            <w:shd w:val="clear" w:color="auto" w:fill="D9E2F3"/>
            <w:vAlign w:val="center"/>
            <w:hideMark/>
          </w:tcPr>
          <w:p w14:paraId="18F57B1A"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8,550,712,002</w:t>
            </w:r>
          </w:p>
        </w:tc>
        <w:tc>
          <w:tcPr>
            <w:tcW w:w="1800" w:type="dxa"/>
            <w:vMerge w:val="restart"/>
            <w:tcBorders>
              <w:top w:val="nil"/>
              <w:left w:val="single" w:sz="8" w:space="0" w:color="8EAADB"/>
              <w:bottom w:val="single" w:sz="8" w:space="0" w:color="8EAADB"/>
              <w:right w:val="single" w:sz="8" w:space="0" w:color="auto"/>
            </w:tcBorders>
            <w:shd w:val="clear" w:color="auto" w:fill="D9E2F3"/>
            <w:vAlign w:val="center"/>
            <w:hideMark/>
          </w:tcPr>
          <w:p w14:paraId="1C80660B" w14:textId="77777777" w:rsidR="00F511C4" w:rsidRPr="00F511C4" w:rsidRDefault="00F511C4" w:rsidP="00F511C4">
            <w:pPr>
              <w:spacing w:after="0" w:line="240" w:lineRule="auto"/>
              <w:jc w:val="center"/>
              <w:rPr>
                <w:rFonts w:ascii="Garamond" w:eastAsia="Times New Roman" w:hAnsi="Garamond" w:cs="Arial"/>
                <w:b/>
                <w:bCs/>
                <w:i/>
                <w:iCs/>
                <w:color w:val="000000"/>
                <w:sz w:val="24"/>
                <w:szCs w:val="24"/>
                <w:lang w:val="sq-AL"/>
              </w:rPr>
            </w:pPr>
            <w:r w:rsidRPr="00F511C4">
              <w:rPr>
                <w:rFonts w:ascii="Garamond" w:eastAsia="Times New Roman" w:hAnsi="Garamond" w:cs="Arial"/>
                <w:b/>
                <w:bCs/>
                <w:i/>
                <w:iCs/>
                <w:color w:val="000000"/>
                <w:sz w:val="24"/>
                <w:szCs w:val="24"/>
                <w:lang w:val="sq-AL"/>
              </w:rPr>
              <w:t>20,200,000</w:t>
            </w:r>
          </w:p>
        </w:tc>
      </w:tr>
      <w:tr w:rsidR="00F511C4" w:rsidRPr="00F511C4" w14:paraId="6E56DA71" w14:textId="77777777" w:rsidTr="00222BA8">
        <w:trPr>
          <w:trHeight w:val="990"/>
        </w:trPr>
        <w:tc>
          <w:tcPr>
            <w:tcW w:w="0" w:type="auto"/>
            <w:vMerge/>
            <w:tcBorders>
              <w:top w:val="nil"/>
              <w:left w:val="single" w:sz="8" w:space="0" w:color="auto"/>
              <w:bottom w:val="single" w:sz="8" w:space="0" w:color="8EAADB"/>
              <w:right w:val="single" w:sz="8" w:space="0" w:color="8EAADB"/>
            </w:tcBorders>
            <w:vAlign w:val="center"/>
            <w:hideMark/>
          </w:tcPr>
          <w:p w14:paraId="5B4C8937" w14:textId="77777777" w:rsidR="00F511C4" w:rsidRPr="00F511C4" w:rsidRDefault="00F511C4" w:rsidP="00F511C4">
            <w:pPr>
              <w:spacing w:after="0" w:line="240" w:lineRule="auto"/>
              <w:rPr>
                <w:rFonts w:ascii="Garamond" w:eastAsia="Times New Roman" w:hAnsi="Garamond" w:cs="Arial"/>
                <w:b/>
                <w:bCs/>
                <w:color w:val="000000"/>
                <w:sz w:val="24"/>
                <w:szCs w:val="24"/>
                <w:lang w:val="sq-AL"/>
              </w:rPr>
            </w:pPr>
          </w:p>
        </w:tc>
        <w:tc>
          <w:tcPr>
            <w:tcW w:w="1350" w:type="dxa"/>
            <w:tcBorders>
              <w:top w:val="nil"/>
              <w:left w:val="nil"/>
              <w:bottom w:val="single" w:sz="8" w:space="0" w:color="8EAADB"/>
              <w:right w:val="single" w:sz="8" w:space="0" w:color="8EAADB"/>
            </w:tcBorders>
            <w:vAlign w:val="center"/>
            <w:hideMark/>
          </w:tcPr>
          <w:p w14:paraId="2238F4B9"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Kapitale</w:t>
            </w:r>
          </w:p>
        </w:tc>
        <w:tc>
          <w:tcPr>
            <w:tcW w:w="1468" w:type="dxa"/>
            <w:tcBorders>
              <w:top w:val="nil"/>
              <w:left w:val="nil"/>
              <w:bottom w:val="single" w:sz="8" w:space="0" w:color="8EAADB"/>
              <w:right w:val="single" w:sz="8" w:space="0" w:color="8EAADB"/>
            </w:tcBorders>
            <w:vAlign w:val="center"/>
            <w:hideMark/>
          </w:tcPr>
          <w:p w14:paraId="7E112CB4"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1,292,406,000</w:t>
            </w:r>
          </w:p>
        </w:tc>
        <w:tc>
          <w:tcPr>
            <w:tcW w:w="1772" w:type="dxa"/>
            <w:tcBorders>
              <w:top w:val="nil"/>
              <w:left w:val="nil"/>
              <w:bottom w:val="single" w:sz="8" w:space="0" w:color="8EAADB"/>
              <w:right w:val="single" w:sz="8" w:space="0" w:color="8EAADB"/>
            </w:tcBorders>
            <w:vAlign w:val="center"/>
            <w:hideMark/>
          </w:tcPr>
          <w:p w14:paraId="73ECEAE0"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1,140,312,500</w:t>
            </w:r>
          </w:p>
        </w:tc>
        <w:tc>
          <w:tcPr>
            <w:tcW w:w="1620" w:type="dxa"/>
            <w:tcBorders>
              <w:top w:val="nil"/>
              <w:left w:val="nil"/>
              <w:bottom w:val="single" w:sz="8" w:space="0" w:color="8EAADB"/>
              <w:right w:val="single" w:sz="8" w:space="0" w:color="8EAADB"/>
            </w:tcBorders>
            <w:vAlign w:val="center"/>
            <w:hideMark/>
          </w:tcPr>
          <w:p w14:paraId="62FB8C62"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143,093,500</w:t>
            </w:r>
          </w:p>
        </w:tc>
        <w:tc>
          <w:tcPr>
            <w:tcW w:w="0" w:type="auto"/>
            <w:vMerge/>
            <w:tcBorders>
              <w:top w:val="nil"/>
              <w:left w:val="single" w:sz="8" w:space="0" w:color="8EAADB"/>
              <w:bottom w:val="single" w:sz="8" w:space="0" w:color="8EAADB"/>
              <w:right w:val="single" w:sz="8" w:space="0" w:color="auto"/>
            </w:tcBorders>
            <w:vAlign w:val="center"/>
            <w:hideMark/>
          </w:tcPr>
          <w:p w14:paraId="674572ED" w14:textId="77777777" w:rsidR="00F511C4" w:rsidRPr="00F511C4" w:rsidRDefault="00F511C4" w:rsidP="00F511C4">
            <w:pPr>
              <w:spacing w:after="0" w:line="240" w:lineRule="auto"/>
              <w:rPr>
                <w:rFonts w:ascii="Garamond" w:eastAsia="Times New Roman" w:hAnsi="Garamond" w:cs="Arial"/>
                <w:b/>
                <w:bCs/>
                <w:i/>
                <w:iCs/>
                <w:color w:val="000000"/>
                <w:sz w:val="24"/>
                <w:szCs w:val="24"/>
                <w:lang w:val="sq-AL"/>
              </w:rPr>
            </w:pPr>
          </w:p>
        </w:tc>
      </w:tr>
      <w:tr w:rsidR="00F511C4" w:rsidRPr="00F511C4" w14:paraId="4B47BF15" w14:textId="77777777" w:rsidTr="00222BA8">
        <w:trPr>
          <w:trHeight w:val="630"/>
        </w:trPr>
        <w:tc>
          <w:tcPr>
            <w:tcW w:w="2610" w:type="dxa"/>
            <w:vMerge w:val="restart"/>
            <w:tcBorders>
              <w:top w:val="nil"/>
              <w:left w:val="single" w:sz="8" w:space="0" w:color="auto"/>
              <w:bottom w:val="single" w:sz="8" w:space="0" w:color="8EAADB"/>
              <w:right w:val="single" w:sz="8" w:space="0" w:color="8EAADB"/>
            </w:tcBorders>
            <w:shd w:val="clear" w:color="auto" w:fill="D9E2F3"/>
            <w:vAlign w:val="center"/>
            <w:hideMark/>
          </w:tcPr>
          <w:p w14:paraId="150713EB" w14:textId="77777777" w:rsidR="00F511C4" w:rsidRPr="00F511C4" w:rsidRDefault="00F511C4" w:rsidP="00F511C4">
            <w:pPr>
              <w:spacing w:after="0" w:line="240" w:lineRule="auto"/>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QP2:</w:t>
            </w:r>
            <w:r w:rsidRPr="00F511C4">
              <w:rPr>
                <w:rFonts w:ascii="Garamond" w:eastAsia="Times New Roman" w:hAnsi="Garamond" w:cs="Arial"/>
                <w:color w:val="000000"/>
                <w:sz w:val="24"/>
                <w:szCs w:val="24"/>
                <w:lang w:val="sq-AL"/>
              </w:rPr>
              <w:t xml:space="preserve"> LEHTËSIMI I QARKULLIMIT LEGAL TË SHTETASVE DHE MALLRAVE</w:t>
            </w:r>
          </w:p>
        </w:tc>
        <w:tc>
          <w:tcPr>
            <w:tcW w:w="1350" w:type="dxa"/>
            <w:tcBorders>
              <w:top w:val="nil"/>
              <w:left w:val="nil"/>
              <w:bottom w:val="single" w:sz="8" w:space="0" w:color="8EAADB"/>
              <w:right w:val="single" w:sz="8" w:space="0" w:color="8EAADB"/>
            </w:tcBorders>
            <w:shd w:val="clear" w:color="auto" w:fill="D9E2F3"/>
            <w:vAlign w:val="center"/>
            <w:hideMark/>
          </w:tcPr>
          <w:p w14:paraId="4B93E361"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Korente</w:t>
            </w:r>
          </w:p>
        </w:tc>
        <w:tc>
          <w:tcPr>
            <w:tcW w:w="1468" w:type="dxa"/>
            <w:tcBorders>
              <w:top w:val="nil"/>
              <w:left w:val="nil"/>
              <w:bottom w:val="single" w:sz="8" w:space="0" w:color="8EAADB"/>
              <w:right w:val="single" w:sz="8" w:space="0" w:color="8EAADB"/>
            </w:tcBorders>
            <w:shd w:val="clear" w:color="auto" w:fill="D9E2F3"/>
            <w:vAlign w:val="center"/>
            <w:hideMark/>
          </w:tcPr>
          <w:p w14:paraId="0386E53F"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1,793,500,000</w:t>
            </w:r>
          </w:p>
        </w:tc>
        <w:tc>
          <w:tcPr>
            <w:tcW w:w="1772" w:type="dxa"/>
            <w:tcBorders>
              <w:top w:val="nil"/>
              <w:left w:val="nil"/>
              <w:bottom w:val="single" w:sz="8" w:space="0" w:color="8EAADB"/>
              <w:right w:val="single" w:sz="8" w:space="0" w:color="8EAADB"/>
            </w:tcBorders>
            <w:shd w:val="clear" w:color="auto" w:fill="D9E2F3"/>
            <w:vAlign w:val="center"/>
            <w:hideMark/>
          </w:tcPr>
          <w:p w14:paraId="69154FAA"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8,500,000</w:t>
            </w:r>
          </w:p>
        </w:tc>
        <w:tc>
          <w:tcPr>
            <w:tcW w:w="1620" w:type="dxa"/>
            <w:tcBorders>
              <w:top w:val="nil"/>
              <w:left w:val="nil"/>
              <w:bottom w:val="single" w:sz="8" w:space="0" w:color="8EAADB"/>
              <w:right w:val="single" w:sz="8" w:space="0" w:color="8EAADB"/>
            </w:tcBorders>
            <w:shd w:val="clear" w:color="auto" w:fill="D9E2F3"/>
            <w:vAlign w:val="center"/>
            <w:hideMark/>
          </w:tcPr>
          <w:p w14:paraId="719E2C48"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1,428,000,000</w:t>
            </w:r>
          </w:p>
        </w:tc>
        <w:tc>
          <w:tcPr>
            <w:tcW w:w="1800" w:type="dxa"/>
            <w:vMerge w:val="restart"/>
            <w:tcBorders>
              <w:top w:val="single" w:sz="8" w:space="0" w:color="4472C4"/>
              <w:left w:val="single" w:sz="8" w:space="0" w:color="8EAADB"/>
              <w:bottom w:val="single" w:sz="8" w:space="0" w:color="8EAADB"/>
              <w:right w:val="single" w:sz="8" w:space="0" w:color="auto"/>
            </w:tcBorders>
            <w:shd w:val="clear" w:color="auto" w:fill="D9E2F3"/>
            <w:vAlign w:val="center"/>
            <w:hideMark/>
          </w:tcPr>
          <w:p w14:paraId="5C15CC34" w14:textId="77777777" w:rsidR="00F511C4" w:rsidRPr="00F511C4" w:rsidRDefault="00F511C4" w:rsidP="00F511C4">
            <w:pPr>
              <w:spacing w:after="0" w:line="240" w:lineRule="auto"/>
              <w:jc w:val="center"/>
              <w:rPr>
                <w:rFonts w:ascii="Garamond" w:eastAsia="Times New Roman" w:hAnsi="Garamond" w:cs="Arial"/>
                <w:b/>
                <w:bCs/>
                <w:i/>
                <w:iCs/>
                <w:color w:val="000000"/>
                <w:sz w:val="24"/>
                <w:szCs w:val="24"/>
                <w:lang w:val="sq-AL"/>
              </w:rPr>
            </w:pPr>
            <w:r w:rsidRPr="00F511C4">
              <w:rPr>
                <w:rFonts w:ascii="Garamond" w:eastAsia="Times New Roman" w:hAnsi="Garamond" w:cs="Arial"/>
                <w:b/>
                <w:bCs/>
                <w:i/>
                <w:iCs/>
                <w:color w:val="000000"/>
                <w:sz w:val="24"/>
                <w:szCs w:val="24"/>
                <w:lang w:val="sq-AL"/>
              </w:rPr>
              <w:t>357,000,000</w:t>
            </w:r>
          </w:p>
        </w:tc>
      </w:tr>
      <w:tr w:rsidR="00F511C4" w:rsidRPr="00F511C4" w14:paraId="0873D571" w14:textId="77777777" w:rsidTr="00222BA8">
        <w:trPr>
          <w:trHeight w:val="585"/>
        </w:trPr>
        <w:tc>
          <w:tcPr>
            <w:tcW w:w="0" w:type="auto"/>
            <w:vMerge/>
            <w:tcBorders>
              <w:top w:val="nil"/>
              <w:left w:val="single" w:sz="8" w:space="0" w:color="auto"/>
              <w:bottom w:val="single" w:sz="8" w:space="0" w:color="8EAADB"/>
              <w:right w:val="single" w:sz="8" w:space="0" w:color="8EAADB"/>
            </w:tcBorders>
            <w:vAlign w:val="center"/>
            <w:hideMark/>
          </w:tcPr>
          <w:p w14:paraId="1A7A5A74" w14:textId="77777777" w:rsidR="00F511C4" w:rsidRPr="00F511C4" w:rsidRDefault="00F511C4" w:rsidP="00F511C4">
            <w:pPr>
              <w:spacing w:after="0" w:line="240" w:lineRule="auto"/>
              <w:rPr>
                <w:rFonts w:ascii="Garamond" w:eastAsia="Times New Roman" w:hAnsi="Garamond" w:cs="Arial"/>
                <w:b/>
                <w:bCs/>
                <w:color w:val="000000"/>
                <w:sz w:val="24"/>
                <w:szCs w:val="24"/>
                <w:lang w:val="sq-AL"/>
              </w:rPr>
            </w:pPr>
          </w:p>
        </w:tc>
        <w:tc>
          <w:tcPr>
            <w:tcW w:w="1350" w:type="dxa"/>
            <w:tcBorders>
              <w:top w:val="nil"/>
              <w:left w:val="nil"/>
              <w:bottom w:val="single" w:sz="8" w:space="0" w:color="8EAADB"/>
              <w:right w:val="single" w:sz="8" w:space="0" w:color="8EAADB"/>
            </w:tcBorders>
            <w:vAlign w:val="center"/>
            <w:hideMark/>
          </w:tcPr>
          <w:p w14:paraId="62ECD51A"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Kapitale</w:t>
            </w:r>
          </w:p>
        </w:tc>
        <w:tc>
          <w:tcPr>
            <w:tcW w:w="1468" w:type="dxa"/>
            <w:tcBorders>
              <w:top w:val="nil"/>
              <w:left w:val="nil"/>
              <w:bottom w:val="single" w:sz="8" w:space="0" w:color="8EAADB"/>
              <w:right w:val="single" w:sz="8" w:space="0" w:color="8EAADB"/>
            </w:tcBorders>
            <w:vAlign w:val="center"/>
            <w:hideMark/>
          </w:tcPr>
          <w:p w14:paraId="32B832CB"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1,149,158,000</w:t>
            </w:r>
          </w:p>
        </w:tc>
        <w:tc>
          <w:tcPr>
            <w:tcW w:w="1772" w:type="dxa"/>
            <w:tcBorders>
              <w:top w:val="nil"/>
              <w:left w:val="nil"/>
              <w:bottom w:val="single" w:sz="8" w:space="0" w:color="8EAADB"/>
              <w:right w:val="single" w:sz="8" w:space="0" w:color="8EAADB"/>
            </w:tcBorders>
            <w:shd w:val="clear" w:color="auto" w:fill="D9E2F3"/>
            <w:vAlign w:val="center"/>
            <w:hideMark/>
          </w:tcPr>
          <w:p w14:paraId="5F81623F"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1,149,158,000</w:t>
            </w:r>
          </w:p>
        </w:tc>
        <w:tc>
          <w:tcPr>
            <w:tcW w:w="1620" w:type="dxa"/>
            <w:tcBorders>
              <w:top w:val="nil"/>
              <w:left w:val="nil"/>
              <w:bottom w:val="single" w:sz="8" w:space="0" w:color="8EAADB"/>
              <w:right w:val="single" w:sz="8" w:space="0" w:color="8EAADB"/>
            </w:tcBorders>
            <w:vAlign w:val="center"/>
            <w:hideMark/>
          </w:tcPr>
          <w:p w14:paraId="01A2F630"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0</w:t>
            </w:r>
          </w:p>
        </w:tc>
        <w:tc>
          <w:tcPr>
            <w:tcW w:w="0" w:type="auto"/>
            <w:vMerge/>
            <w:tcBorders>
              <w:top w:val="single" w:sz="8" w:space="0" w:color="4472C4"/>
              <w:left w:val="single" w:sz="8" w:space="0" w:color="8EAADB"/>
              <w:bottom w:val="single" w:sz="8" w:space="0" w:color="8EAADB"/>
              <w:right w:val="single" w:sz="8" w:space="0" w:color="auto"/>
            </w:tcBorders>
            <w:vAlign w:val="center"/>
            <w:hideMark/>
          </w:tcPr>
          <w:p w14:paraId="63CB471B" w14:textId="77777777" w:rsidR="00F511C4" w:rsidRPr="00F511C4" w:rsidRDefault="00F511C4" w:rsidP="00F511C4">
            <w:pPr>
              <w:spacing w:after="0" w:line="240" w:lineRule="auto"/>
              <w:rPr>
                <w:rFonts w:ascii="Garamond" w:eastAsia="Times New Roman" w:hAnsi="Garamond" w:cs="Arial"/>
                <w:b/>
                <w:bCs/>
                <w:i/>
                <w:iCs/>
                <w:color w:val="000000"/>
                <w:sz w:val="24"/>
                <w:szCs w:val="24"/>
                <w:lang w:val="sq-AL"/>
              </w:rPr>
            </w:pPr>
          </w:p>
        </w:tc>
      </w:tr>
      <w:tr w:rsidR="00F511C4" w:rsidRPr="00F511C4" w14:paraId="1CAECFCB" w14:textId="77777777" w:rsidTr="00222BA8">
        <w:trPr>
          <w:trHeight w:val="900"/>
        </w:trPr>
        <w:tc>
          <w:tcPr>
            <w:tcW w:w="2610" w:type="dxa"/>
            <w:vMerge w:val="restart"/>
            <w:tcBorders>
              <w:top w:val="nil"/>
              <w:left w:val="single" w:sz="8" w:space="0" w:color="auto"/>
              <w:bottom w:val="single" w:sz="8" w:space="0" w:color="8EAADB"/>
              <w:right w:val="single" w:sz="8" w:space="0" w:color="8EAADB"/>
            </w:tcBorders>
            <w:shd w:val="clear" w:color="auto" w:fill="D9E2F3"/>
            <w:vAlign w:val="center"/>
            <w:hideMark/>
          </w:tcPr>
          <w:p w14:paraId="5ED00DF1" w14:textId="77777777" w:rsidR="00F511C4" w:rsidRPr="00F511C4" w:rsidRDefault="00F511C4" w:rsidP="00F511C4">
            <w:pPr>
              <w:spacing w:after="0" w:line="240" w:lineRule="auto"/>
              <w:rPr>
                <w:rFonts w:ascii="Garamond" w:eastAsia="Times New Roman" w:hAnsi="Garamond" w:cs="Arial"/>
                <w:color w:val="000000"/>
                <w:sz w:val="24"/>
                <w:szCs w:val="24"/>
                <w:lang w:val="sq-AL"/>
              </w:rPr>
            </w:pPr>
            <w:r w:rsidRPr="00F511C4">
              <w:rPr>
                <w:rFonts w:ascii="Garamond" w:eastAsia="Times New Roman" w:hAnsi="Garamond" w:cs="Arial"/>
                <w:b/>
                <w:bCs/>
                <w:color w:val="000000"/>
                <w:sz w:val="24"/>
                <w:szCs w:val="24"/>
                <w:lang w:val="sq-AL"/>
              </w:rPr>
              <w:t>QP3:</w:t>
            </w:r>
            <w:r w:rsidRPr="00F511C4">
              <w:rPr>
                <w:rFonts w:ascii="Garamond" w:eastAsia="Times New Roman" w:hAnsi="Garamond" w:cs="Arial"/>
                <w:color w:val="000000"/>
                <w:sz w:val="24"/>
                <w:szCs w:val="24"/>
                <w:lang w:val="sq-AL"/>
              </w:rPr>
              <w:t xml:space="preserve"> RESPEKTIMI I PLOTË I TË DREJTAVE THEMELORE, PËRFSHIRË TRAJTIMIN E ÇDO INDIVIDI ME RESPEKT TË PLOTË PËR DINJITETIN DHE MUNDËSIMIN E QASJES NË MBROJTJEN NDËRKOMBËTARE TË ATYRE QË KANË NEVOJË</w:t>
            </w:r>
          </w:p>
        </w:tc>
        <w:tc>
          <w:tcPr>
            <w:tcW w:w="1350" w:type="dxa"/>
            <w:tcBorders>
              <w:top w:val="nil"/>
              <w:left w:val="nil"/>
              <w:bottom w:val="single" w:sz="8" w:space="0" w:color="8EAADB"/>
              <w:right w:val="single" w:sz="8" w:space="0" w:color="8EAADB"/>
            </w:tcBorders>
            <w:shd w:val="clear" w:color="auto" w:fill="D9E2F3"/>
            <w:vAlign w:val="center"/>
            <w:hideMark/>
          </w:tcPr>
          <w:p w14:paraId="6EB3B1BC"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Korente</w:t>
            </w:r>
          </w:p>
        </w:tc>
        <w:tc>
          <w:tcPr>
            <w:tcW w:w="1468" w:type="dxa"/>
            <w:tcBorders>
              <w:top w:val="nil"/>
              <w:left w:val="nil"/>
              <w:bottom w:val="single" w:sz="8" w:space="0" w:color="8EAADB"/>
              <w:right w:val="single" w:sz="8" w:space="0" w:color="8EAADB"/>
            </w:tcBorders>
            <w:shd w:val="clear" w:color="auto" w:fill="D9E2F3"/>
            <w:vAlign w:val="center"/>
            <w:hideMark/>
          </w:tcPr>
          <w:p w14:paraId="7EB67BAB"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7,200,000</w:t>
            </w:r>
          </w:p>
        </w:tc>
        <w:tc>
          <w:tcPr>
            <w:tcW w:w="1772" w:type="dxa"/>
            <w:tcBorders>
              <w:top w:val="nil"/>
              <w:left w:val="nil"/>
              <w:bottom w:val="single" w:sz="8" w:space="0" w:color="8EAADB"/>
              <w:right w:val="single" w:sz="8" w:space="0" w:color="8EAADB"/>
            </w:tcBorders>
            <w:shd w:val="clear" w:color="auto" w:fill="D9E2F3"/>
            <w:vAlign w:val="center"/>
            <w:hideMark/>
          </w:tcPr>
          <w:p w14:paraId="39B3516C"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7,200,000</w:t>
            </w:r>
          </w:p>
        </w:tc>
        <w:tc>
          <w:tcPr>
            <w:tcW w:w="1620" w:type="dxa"/>
            <w:tcBorders>
              <w:top w:val="nil"/>
              <w:left w:val="nil"/>
              <w:bottom w:val="single" w:sz="8" w:space="0" w:color="8EAADB"/>
              <w:right w:val="single" w:sz="8" w:space="0" w:color="8EAADB"/>
            </w:tcBorders>
            <w:shd w:val="clear" w:color="auto" w:fill="D9E2F3"/>
            <w:vAlign w:val="center"/>
            <w:hideMark/>
          </w:tcPr>
          <w:p w14:paraId="2F477148"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600,000</w:t>
            </w:r>
          </w:p>
        </w:tc>
        <w:tc>
          <w:tcPr>
            <w:tcW w:w="1800" w:type="dxa"/>
            <w:vMerge w:val="restart"/>
            <w:tcBorders>
              <w:top w:val="single" w:sz="8" w:space="0" w:color="4472C4"/>
              <w:left w:val="single" w:sz="8" w:space="0" w:color="8EAADB"/>
              <w:bottom w:val="single" w:sz="8" w:space="0" w:color="8EAADB"/>
              <w:right w:val="single" w:sz="8" w:space="0" w:color="auto"/>
            </w:tcBorders>
            <w:shd w:val="clear" w:color="auto" w:fill="D9E2F3"/>
            <w:vAlign w:val="center"/>
            <w:hideMark/>
          </w:tcPr>
          <w:p w14:paraId="62D190D9" w14:textId="77777777" w:rsidR="00F511C4" w:rsidRPr="00F511C4" w:rsidRDefault="00F511C4" w:rsidP="00F511C4">
            <w:pPr>
              <w:spacing w:after="0" w:line="240" w:lineRule="auto"/>
              <w:jc w:val="center"/>
              <w:rPr>
                <w:rFonts w:ascii="Garamond" w:eastAsia="Times New Roman" w:hAnsi="Garamond" w:cs="Arial"/>
                <w:b/>
                <w:bCs/>
                <w:i/>
                <w:iCs/>
                <w:color w:val="000000"/>
                <w:sz w:val="24"/>
                <w:szCs w:val="24"/>
                <w:lang w:val="sq-AL"/>
              </w:rPr>
            </w:pPr>
            <w:r w:rsidRPr="00F511C4">
              <w:rPr>
                <w:rFonts w:ascii="Garamond" w:eastAsia="Times New Roman" w:hAnsi="Garamond" w:cs="Arial"/>
                <w:b/>
                <w:bCs/>
                <w:i/>
                <w:iCs/>
                <w:color w:val="000000"/>
                <w:sz w:val="24"/>
                <w:szCs w:val="24"/>
                <w:lang w:val="sq-AL"/>
              </w:rPr>
              <w:t>-600,000</w:t>
            </w:r>
          </w:p>
        </w:tc>
      </w:tr>
      <w:tr w:rsidR="00F511C4" w:rsidRPr="00F511C4" w14:paraId="1DDCFCE6" w14:textId="77777777" w:rsidTr="00222BA8">
        <w:trPr>
          <w:trHeight w:val="915"/>
        </w:trPr>
        <w:tc>
          <w:tcPr>
            <w:tcW w:w="0" w:type="auto"/>
            <w:vMerge/>
            <w:tcBorders>
              <w:top w:val="nil"/>
              <w:left w:val="single" w:sz="8" w:space="0" w:color="auto"/>
              <w:bottom w:val="single" w:sz="8" w:space="0" w:color="8EAADB"/>
              <w:right w:val="single" w:sz="8" w:space="0" w:color="8EAADB"/>
            </w:tcBorders>
            <w:vAlign w:val="center"/>
            <w:hideMark/>
          </w:tcPr>
          <w:p w14:paraId="796654FE" w14:textId="77777777" w:rsidR="00F511C4" w:rsidRPr="00F511C4" w:rsidRDefault="00F511C4" w:rsidP="00F511C4">
            <w:pPr>
              <w:spacing w:after="0" w:line="240" w:lineRule="auto"/>
              <w:rPr>
                <w:rFonts w:ascii="Garamond" w:eastAsia="Times New Roman" w:hAnsi="Garamond" w:cs="Arial"/>
                <w:color w:val="000000"/>
                <w:sz w:val="24"/>
                <w:szCs w:val="24"/>
                <w:lang w:val="sq-AL"/>
              </w:rPr>
            </w:pPr>
          </w:p>
        </w:tc>
        <w:tc>
          <w:tcPr>
            <w:tcW w:w="1350" w:type="dxa"/>
            <w:tcBorders>
              <w:top w:val="nil"/>
              <w:left w:val="nil"/>
              <w:bottom w:val="single" w:sz="8" w:space="0" w:color="8EAADB"/>
              <w:right w:val="single" w:sz="8" w:space="0" w:color="8EAADB"/>
            </w:tcBorders>
            <w:vAlign w:val="center"/>
            <w:hideMark/>
          </w:tcPr>
          <w:p w14:paraId="65D78198"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Kapitale</w:t>
            </w:r>
          </w:p>
        </w:tc>
        <w:tc>
          <w:tcPr>
            <w:tcW w:w="1468" w:type="dxa"/>
            <w:tcBorders>
              <w:top w:val="nil"/>
              <w:left w:val="nil"/>
              <w:bottom w:val="single" w:sz="8" w:space="0" w:color="8EAADB"/>
              <w:right w:val="single" w:sz="8" w:space="0" w:color="8EAADB"/>
            </w:tcBorders>
            <w:vAlign w:val="center"/>
            <w:hideMark/>
          </w:tcPr>
          <w:p w14:paraId="17937EA9"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0</w:t>
            </w:r>
          </w:p>
        </w:tc>
        <w:tc>
          <w:tcPr>
            <w:tcW w:w="1772" w:type="dxa"/>
            <w:tcBorders>
              <w:top w:val="nil"/>
              <w:left w:val="nil"/>
              <w:bottom w:val="single" w:sz="8" w:space="0" w:color="8EAADB"/>
              <w:right w:val="single" w:sz="8" w:space="0" w:color="8EAADB"/>
            </w:tcBorders>
            <w:shd w:val="clear" w:color="auto" w:fill="D9E2F3"/>
            <w:vAlign w:val="center"/>
            <w:hideMark/>
          </w:tcPr>
          <w:p w14:paraId="106ED617"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0</w:t>
            </w:r>
          </w:p>
        </w:tc>
        <w:tc>
          <w:tcPr>
            <w:tcW w:w="1620" w:type="dxa"/>
            <w:tcBorders>
              <w:top w:val="nil"/>
              <w:left w:val="nil"/>
              <w:bottom w:val="single" w:sz="8" w:space="0" w:color="8EAADB"/>
              <w:right w:val="single" w:sz="8" w:space="0" w:color="8EAADB"/>
            </w:tcBorders>
            <w:vAlign w:val="center"/>
            <w:hideMark/>
          </w:tcPr>
          <w:p w14:paraId="0717E8C8" w14:textId="77777777" w:rsidR="00F511C4" w:rsidRPr="00F511C4" w:rsidRDefault="00F511C4" w:rsidP="00F511C4">
            <w:pPr>
              <w:spacing w:after="0" w:line="240" w:lineRule="auto"/>
              <w:jc w:val="center"/>
              <w:rPr>
                <w:rFonts w:ascii="Garamond" w:eastAsia="Times New Roman" w:hAnsi="Garamond" w:cs="Arial"/>
                <w:color w:val="000000"/>
                <w:sz w:val="24"/>
                <w:szCs w:val="24"/>
                <w:lang w:val="sq-AL"/>
              </w:rPr>
            </w:pPr>
            <w:r w:rsidRPr="00F511C4">
              <w:rPr>
                <w:rFonts w:ascii="Garamond" w:eastAsia="Times New Roman" w:hAnsi="Garamond" w:cs="Arial"/>
                <w:color w:val="000000"/>
                <w:sz w:val="24"/>
                <w:szCs w:val="24"/>
                <w:lang w:val="sq-AL"/>
              </w:rPr>
              <w:t>0</w:t>
            </w:r>
          </w:p>
        </w:tc>
        <w:tc>
          <w:tcPr>
            <w:tcW w:w="0" w:type="auto"/>
            <w:vMerge/>
            <w:tcBorders>
              <w:top w:val="single" w:sz="8" w:space="0" w:color="4472C4"/>
              <w:left w:val="single" w:sz="8" w:space="0" w:color="8EAADB"/>
              <w:bottom w:val="single" w:sz="8" w:space="0" w:color="8EAADB"/>
              <w:right w:val="single" w:sz="8" w:space="0" w:color="auto"/>
            </w:tcBorders>
            <w:vAlign w:val="center"/>
            <w:hideMark/>
          </w:tcPr>
          <w:p w14:paraId="3B49EB84" w14:textId="77777777" w:rsidR="00F511C4" w:rsidRPr="00F511C4" w:rsidRDefault="00F511C4" w:rsidP="00F511C4">
            <w:pPr>
              <w:spacing w:after="0" w:line="240" w:lineRule="auto"/>
              <w:rPr>
                <w:rFonts w:ascii="Garamond" w:eastAsia="Times New Roman" w:hAnsi="Garamond" w:cs="Arial"/>
                <w:b/>
                <w:bCs/>
                <w:i/>
                <w:iCs/>
                <w:color w:val="000000"/>
                <w:sz w:val="24"/>
                <w:szCs w:val="24"/>
                <w:lang w:val="sq-AL"/>
              </w:rPr>
            </w:pPr>
          </w:p>
        </w:tc>
      </w:tr>
      <w:tr w:rsidR="00F511C4" w:rsidRPr="00F511C4" w14:paraId="29A0C30F" w14:textId="77777777" w:rsidTr="00222BA8">
        <w:trPr>
          <w:trHeight w:val="525"/>
        </w:trPr>
        <w:tc>
          <w:tcPr>
            <w:tcW w:w="2610" w:type="dxa"/>
            <w:tcBorders>
              <w:top w:val="nil"/>
              <w:left w:val="single" w:sz="8" w:space="0" w:color="auto"/>
              <w:bottom w:val="single" w:sz="8" w:space="0" w:color="8EAADB"/>
              <w:right w:val="single" w:sz="8" w:space="0" w:color="8EAADB"/>
            </w:tcBorders>
            <w:shd w:val="clear" w:color="auto" w:fill="D9E2F3"/>
            <w:vAlign w:val="center"/>
            <w:hideMark/>
          </w:tcPr>
          <w:p w14:paraId="41DEC425"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TOTALI [lekë]</w:t>
            </w:r>
          </w:p>
        </w:tc>
        <w:tc>
          <w:tcPr>
            <w:tcW w:w="1350" w:type="dxa"/>
            <w:tcBorders>
              <w:top w:val="nil"/>
              <w:left w:val="nil"/>
              <w:bottom w:val="single" w:sz="8" w:space="0" w:color="8EAADB"/>
              <w:right w:val="single" w:sz="8" w:space="0" w:color="8EAADB"/>
            </w:tcBorders>
            <w:shd w:val="clear" w:color="auto" w:fill="D9E2F3"/>
            <w:vAlign w:val="center"/>
            <w:hideMark/>
          </w:tcPr>
          <w:p w14:paraId="1A1788F3"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 </w:t>
            </w:r>
          </w:p>
        </w:tc>
        <w:tc>
          <w:tcPr>
            <w:tcW w:w="1468" w:type="dxa"/>
            <w:tcBorders>
              <w:top w:val="nil"/>
              <w:left w:val="nil"/>
              <w:bottom w:val="single" w:sz="8" w:space="0" w:color="8EAADB"/>
              <w:right w:val="single" w:sz="8" w:space="0" w:color="8EAADB"/>
            </w:tcBorders>
            <w:shd w:val="clear" w:color="auto" w:fill="D9E2F3"/>
            <w:vAlign w:val="center"/>
            <w:hideMark/>
          </w:tcPr>
          <w:p w14:paraId="13ED8D06"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20,136,430,002</w:t>
            </w:r>
          </w:p>
        </w:tc>
        <w:tc>
          <w:tcPr>
            <w:tcW w:w="1772" w:type="dxa"/>
            <w:tcBorders>
              <w:top w:val="nil"/>
              <w:left w:val="nil"/>
              <w:bottom w:val="single" w:sz="8" w:space="0" w:color="8EAADB"/>
              <w:right w:val="single" w:sz="8" w:space="0" w:color="8EAADB"/>
            </w:tcBorders>
            <w:shd w:val="clear" w:color="auto" w:fill="D9E2F3"/>
            <w:vAlign w:val="center"/>
            <w:hideMark/>
          </w:tcPr>
          <w:p w14:paraId="1B47E23E"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9,637,424,501</w:t>
            </w:r>
          </w:p>
        </w:tc>
        <w:tc>
          <w:tcPr>
            <w:tcW w:w="1620" w:type="dxa"/>
            <w:tcBorders>
              <w:top w:val="nil"/>
              <w:left w:val="nil"/>
              <w:bottom w:val="single" w:sz="8" w:space="0" w:color="8EAADB"/>
              <w:right w:val="single" w:sz="8" w:space="0" w:color="8EAADB"/>
            </w:tcBorders>
            <w:shd w:val="clear" w:color="auto" w:fill="D9E2F3"/>
            <w:vAlign w:val="center"/>
            <w:hideMark/>
          </w:tcPr>
          <w:p w14:paraId="2FBF2DCE"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10,122,405,502</w:t>
            </w:r>
          </w:p>
        </w:tc>
        <w:tc>
          <w:tcPr>
            <w:tcW w:w="1800" w:type="dxa"/>
            <w:tcBorders>
              <w:top w:val="nil"/>
              <w:left w:val="nil"/>
              <w:bottom w:val="single" w:sz="8" w:space="0" w:color="8EAADB"/>
              <w:right w:val="single" w:sz="8" w:space="0" w:color="8EAADB"/>
            </w:tcBorders>
            <w:shd w:val="clear" w:color="auto" w:fill="D9E2F3"/>
            <w:vAlign w:val="center"/>
            <w:hideMark/>
          </w:tcPr>
          <w:p w14:paraId="544D0409"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376,600,000</w:t>
            </w:r>
          </w:p>
        </w:tc>
      </w:tr>
      <w:tr w:rsidR="00F511C4" w:rsidRPr="00F511C4" w14:paraId="42F8F351" w14:textId="77777777" w:rsidTr="00222BA8">
        <w:trPr>
          <w:trHeight w:val="300"/>
        </w:trPr>
        <w:tc>
          <w:tcPr>
            <w:tcW w:w="2610" w:type="dxa"/>
            <w:tcBorders>
              <w:top w:val="nil"/>
              <w:left w:val="single" w:sz="8" w:space="0" w:color="auto"/>
              <w:bottom w:val="nil"/>
              <w:right w:val="single" w:sz="8" w:space="0" w:color="8EAADB"/>
            </w:tcBorders>
            <w:vAlign w:val="center"/>
            <w:hideMark/>
          </w:tcPr>
          <w:p w14:paraId="1767DE9C"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TOTALI [euro]</w:t>
            </w:r>
          </w:p>
        </w:tc>
        <w:tc>
          <w:tcPr>
            <w:tcW w:w="1350" w:type="dxa"/>
            <w:vMerge w:val="restart"/>
            <w:tcBorders>
              <w:top w:val="nil"/>
              <w:left w:val="single" w:sz="8" w:space="0" w:color="8EAADB"/>
              <w:bottom w:val="single" w:sz="8" w:space="0" w:color="000000"/>
              <w:right w:val="single" w:sz="8" w:space="0" w:color="8EAADB"/>
            </w:tcBorders>
            <w:vAlign w:val="center"/>
            <w:hideMark/>
          </w:tcPr>
          <w:p w14:paraId="06D3B714"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 </w:t>
            </w:r>
          </w:p>
        </w:tc>
        <w:tc>
          <w:tcPr>
            <w:tcW w:w="1468" w:type="dxa"/>
            <w:vMerge w:val="restart"/>
            <w:tcBorders>
              <w:top w:val="nil"/>
              <w:left w:val="single" w:sz="8" w:space="0" w:color="8EAADB"/>
              <w:bottom w:val="single" w:sz="8" w:space="0" w:color="000000"/>
              <w:right w:val="single" w:sz="8" w:space="0" w:color="8EAADB"/>
            </w:tcBorders>
            <w:vAlign w:val="center"/>
            <w:hideMark/>
          </w:tcPr>
          <w:p w14:paraId="03233AC8"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161,091,440</w:t>
            </w:r>
          </w:p>
        </w:tc>
        <w:tc>
          <w:tcPr>
            <w:tcW w:w="1772" w:type="dxa"/>
            <w:vMerge w:val="restart"/>
            <w:tcBorders>
              <w:top w:val="nil"/>
              <w:left w:val="single" w:sz="8" w:space="0" w:color="8EAADB"/>
              <w:bottom w:val="single" w:sz="8" w:space="0" w:color="000000"/>
              <w:right w:val="single" w:sz="8" w:space="0" w:color="8EAADB"/>
            </w:tcBorders>
            <w:vAlign w:val="center"/>
            <w:hideMark/>
          </w:tcPr>
          <w:p w14:paraId="7992CD30"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77,099,396</w:t>
            </w:r>
          </w:p>
        </w:tc>
        <w:tc>
          <w:tcPr>
            <w:tcW w:w="1620" w:type="dxa"/>
            <w:vMerge w:val="restart"/>
            <w:tcBorders>
              <w:top w:val="nil"/>
              <w:left w:val="single" w:sz="8" w:space="0" w:color="8EAADB"/>
              <w:bottom w:val="single" w:sz="8" w:space="0" w:color="000000"/>
              <w:right w:val="single" w:sz="8" w:space="0" w:color="8EAADB"/>
            </w:tcBorders>
            <w:vAlign w:val="center"/>
            <w:hideMark/>
          </w:tcPr>
          <w:p w14:paraId="0FD6B609"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80,979,244</w:t>
            </w:r>
          </w:p>
        </w:tc>
        <w:tc>
          <w:tcPr>
            <w:tcW w:w="1800" w:type="dxa"/>
            <w:vMerge w:val="restart"/>
            <w:tcBorders>
              <w:top w:val="nil"/>
              <w:left w:val="single" w:sz="8" w:space="0" w:color="8EAADB"/>
              <w:bottom w:val="single" w:sz="8" w:space="0" w:color="000000"/>
              <w:right w:val="single" w:sz="8" w:space="0" w:color="8EAADB"/>
            </w:tcBorders>
            <w:vAlign w:val="center"/>
            <w:hideMark/>
          </w:tcPr>
          <w:p w14:paraId="3B122A99" w14:textId="77777777" w:rsidR="00F511C4" w:rsidRPr="00F511C4" w:rsidRDefault="00F511C4" w:rsidP="00F511C4">
            <w:pPr>
              <w:spacing w:after="0" w:line="240" w:lineRule="auto"/>
              <w:jc w:val="center"/>
              <w:rPr>
                <w:rFonts w:ascii="Garamond" w:eastAsia="Times New Roman" w:hAnsi="Garamond" w:cs="Arial"/>
                <w:b/>
                <w:bCs/>
                <w:color w:val="000000"/>
                <w:sz w:val="24"/>
                <w:szCs w:val="24"/>
                <w:lang w:val="sq-AL"/>
              </w:rPr>
            </w:pPr>
            <w:r w:rsidRPr="00F511C4">
              <w:rPr>
                <w:rFonts w:ascii="Garamond" w:eastAsia="Times New Roman" w:hAnsi="Garamond" w:cs="Arial"/>
                <w:b/>
                <w:bCs/>
                <w:color w:val="000000"/>
                <w:sz w:val="24"/>
                <w:szCs w:val="24"/>
                <w:lang w:val="sq-AL"/>
              </w:rPr>
              <w:t>3,012,800</w:t>
            </w:r>
          </w:p>
        </w:tc>
      </w:tr>
      <w:tr w:rsidR="00F511C4" w:rsidRPr="00F511C4" w14:paraId="353602F3" w14:textId="77777777" w:rsidTr="00222BA8">
        <w:trPr>
          <w:trHeight w:val="375"/>
        </w:trPr>
        <w:tc>
          <w:tcPr>
            <w:tcW w:w="2610" w:type="dxa"/>
            <w:tcBorders>
              <w:top w:val="nil"/>
              <w:left w:val="single" w:sz="8" w:space="0" w:color="auto"/>
              <w:bottom w:val="single" w:sz="8" w:space="0" w:color="auto"/>
              <w:right w:val="single" w:sz="8" w:space="0" w:color="8EAADB"/>
            </w:tcBorders>
            <w:vAlign w:val="center"/>
            <w:hideMark/>
          </w:tcPr>
          <w:p w14:paraId="639B4C0E" w14:textId="77777777" w:rsidR="00F511C4" w:rsidRPr="00F511C4" w:rsidRDefault="00F511C4" w:rsidP="00F511C4">
            <w:pPr>
              <w:spacing w:after="0" w:line="240" w:lineRule="auto"/>
              <w:jc w:val="center"/>
              <w:rPr>
                <w:rFonts w:ascii="Garamond" w:eastAsia="Times New Roman" w:hAnsi="Garamond" w:cs="Arial"/>
                <w:b/>
                <w:bCs/>
                <w:i/>
                <w:iCs/>
                <w:color w:val="FF0000"/>
                <w:sz w:val="24"/>
                <w:szCs w:val="24"/>
                <w:lang w:val="sq-AL"/>
              </w:rPr>
            </w:pPr>
            <w:r w:rsidRPr="00F511C4">
              <w:rPr>
                <w:rFonts w:ascii="Garamond" w:eastAsia="Times New Roman" w:hAnsi="Garamond" w:cs="Arial"/>
                <w:b/>
                <w:bCs/>
                <w:i/>
                <w:iCs/>
                <w:color w:val="FF0000"/>
                <w:sz w:val="24"/>
                <w:szCs w:val="24"/>
                <w:lang w:val="sq-AL"/>
              </w:rPr>
              <w:t>1 euro = 125 lekë</w:t>
            </w:r>
          </w:p>
        </w:tc>
        <w:tc>
          <w:tcPr>
            <w:tcW w:w="0" w:type="auto"/>
            <w:vMerge/>
            <w:tcBorders>
              <w:top w:val="nil"/>
              <w:left w:val="single" w:sz="8" w:space="0" w:color="8EAADB"/>
              <w:bottom w:val="single" w:sz="8" w:space="0" w:color="000000"/>
              <w:right w:val="single" w:sz="8" w:space="0" w:color="8EAADB"/>
            </w:tcBorders>
            <w:vAlign w:val="center"/>
            <w:hideMark/>
          </w:tcPr>
          <w:p w14:paraId="57C1A8ED" w14:textId="77777777" w:rsidR="00F511C4" w:rsidRPr="00F511C4" w:rsidRDefault="00F511C4" w:rsidP="00F511C4">
            <w:pPr>
              <w:spacing w:after="0" w:line="240" w:lineRule="auto"/>
              <w:rPr>
                <w:rFonts w:ascii="Garamond" w:eastAsia="Times New Roman" w:hAnsi="Garamond" w:cs="Arial"/>
                <w:b/>
                <w:bCs/>
                <w:color w:val="000000"/>
                <w:sz w:val="24"/>
                <w:szCs w:val="24"/>
                <w:lang w:val="sq-AL"/>
              </w:rPr>
            </w:pPr>
          </w:p>
        </w:tc>
        <w:tc>
          <w:tcPr>
            <w:tcW w:w="0" w:type="auto"/>
            <w:vMerge/>
            <w:tcBorders>
              <w:top w:val="nil"/>
              <w:left w:val="single" w:sz="8" w:space="0" w:color="8EAADB"/>
              <w:bottom w:val="single" w:sz="8" w:space="0" w:color="000000"/>
              <w:right w:val="single" w:sz="8" w:space="0" w:color="8EAADB"/>
            </w:tcBorders>
            <w:vAlign w:val="center"/>
            <w:hideMark/>
          </w:tcPr>
          <w:p w14:paraId="3B7A5EE5" w14:textId="77777777" w:rsidR="00F511C4" w:rsidRPr="00F511C4" w:rsidRDefault="00F511C4" w:rsidP="00F511C4">
            <w:pPr>
              <w:spacing w:after="0" w:line="240" w:lineRule="auto"/>
              <w:rPr>
                <w:rFonts w:ascii="Garamond" w:eastAsia="Times New Roman" w:hAnsi="Garamond" w:cs="Arial"/>
                <w:b/>
                <w:bCs/>
                <w:color w:val="000000"/>
                <w:sz w:val="24"/>
                <w:szCs w:val="24"/>
                <w:lang w:val="sq-AL"/>
              </w:rPr>
            </w:pPr>
          </w:p>
        </w:tc>
        <w:tc>
          <w:tcPr>
            <w:tcW w:w="0" w:type="auto"/>
            <w:vMerge/>
            <w:tcBorders>
              <w:top w:val="nil"/>
              <w:left w:val="single" w:sz="8" w:space="0" w:color="8EAADB"/>
              <w:bottom w:val="single" w:sz="8" w:space="0" w:color="000000"/>
              <w:right w:val="single" w:sz="8" w:space="0" w:color="8EAADB"/>
            </w:tcBorders>
            <w:vAlign w:val="center"/>
            <w:hideMark/>
          </w:tcPr>
          <w:p w14:paraId="60974604" w14:textId="77777777" w:rsidR="00F511C4" w:rsidRPr="00F511C4" w:rsidRDefault="00F511C4" w:rsidP="00F511C4">
            <w:pPr>
              <w:spacing w:after="0" w:line="240" w:lineRule="auto"/>
              <w:rPr>
                <w:rFonts w:ascii="Garamond" w:eastAsia="Times New Roman" w:hAnsi="Garamond" w:cs="Arial"/>
                <w:b/>
                <w:bCs/>
                <w:color w:val="000000"/>
                <w:sz w:val="24"/>
                <w:szCs w:val="24"/>
                <w:lang w:val="sq-AL"/>
              </w:rPr>
            </w:pPr>
          </w:p>
        </w:tc>
        <w:tc>
          <w:tcPr>
            <w:tcW w:w="0" w:type="auto"/>
            <w:vMerge/>
            <w:tcBorders>
              <w:top w:val="nil"/>
              <w:left w:val="single" w:sz="8" w:space="0" w:color="8EAADB"/>
              <w:bottom w:val="single" w:sz="8" w:space="0" w:color="000000"/>
              <w:right w:val="single" w:sz="8" w:space="0" w:color="8EAADB"/>
            </w:tcBorders>
            <w:vAlign w:val="center"/>
            <w:hideMark/>
          </w:tcPr>
          <w:p w14:paraId="2665E497" w14:textId="77777777" w:rsidR="00F511C4" w:rsidRPr="00F511C4" w:rsidRDefault="00F511C4" w:rsidP="00F511C4">
            <w:pPr>
              <w:spacing w:after="0" w:line="240" w:lineRule="auto"/>
              <w:rPr>
                <w:rFonts w:ascii="Garamond" w:eastAsia="Times New Roman" w:hAnsi="Garamond" w:cs="Arial"/>
                <w:b/>
                <w:bCs/>
                <w:color w:val="000000"/>
                <w:sz w:val="24"/>
                <w:szCs w:val="24"/>
                <w:lang w:val="sq-AL"/>
              </w:rPr>
            </w:pPr>
          </w:p>
        </w:tc>
        <w:tc>
          <w:tcPr>
            <w:tcW w:w="0" w:type="auto"/>
            <w:vMerge/>
            <w:tcBorders>
              <w:top w:val="nil"/>
              <w:left w:val="single" w:sz="8" w:space="0" w:color="8EAADB"/>
              <w:bottom w:val="single" w:sz="8" w:space="0" w:color="000000"/>
              <w:right w:val="single" w:sz="8" w:space="0" w:color="8EAADB"/>
            </w:tcBorders>
            <w:vAlign w:val="center"/>
            <w:hideMark/>
          </w:tcPr>
          <w:p w14:paraId="2DFF463B" w14:textId="77777777" w:rsidR="00F511C4" w:rsidRPr="00F511C4" w:rsidRDefault="00F511C4" w:rsidP="00F511C4">
            <w:pPr>
              <w:spacing w:after="0" w:line="240" w:lineRule="auto"/>
              <w:rPr>
                <w:rFonts w:ascii="Garamond" w:eastAsia="Times New Roman" w:hAnsi="Garamond" w:cs="Arial"/>
                <w:b/>
                <w:bCs/>
                <w:color w:val="000000"/>
                <w:sz w:val="24"/>
                <w:szCs w:val="24"/>
                <w:lang w:val="sq-AL"/>
              </w:rPr>
            </w:pPr>
          </w:p>
        </w:tc>
      </w:tr>
    </w:tbl>
    <w:p w14:paraId="741C02FC"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 xml:space="preserve">Financimi i planit të veprimit të Strategjisë do të realizohet nga dy burime kryesore, nga buxheti i shtetit dhe nga mbështetja financiare e donatorëve. Për periudhën 2021–2023, buxheti i shtetit pritet të financojë zbatimin e planit në masën 36% të financimit të nevojshëm, ndërsa 12% pritet të financohet nga Bashkimi Evropian dhe donatorët e tjerë. Në momentin e hartimit të planit të veprimit, hendeku financiar vlerësohet të jetë në masën 2% të totalit të kostos financiare të të gjithë viteve të Strategjisë. </w:t>
      </w:r>
    </w:p>
    <w:p w14:paraId="71AB6E2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58AE1B65"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lastRenderedPageBreak/>
        <w:drawing>
          <wp:inline distT="0" distB="0" distL="0" distR="0" wp14:anchorId="38481C3D" wp14:editId="4170268D">
            <wp:extent cx="5445457" cy="3555242"/>
            <wp:effectExtent l="0" t="0" r="22225" b="2667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A5DDF50"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6E4CCFEF" w14:textId="77777777" w:rsidR="00F511C4" w:rsidRPr="00F511C4" w:rsidRDefault="00F511C4" w:rsidP="00F511C4">
      <w:pPr>
        <w:autoSpaceDE w:val="0"/>
        <w:autoSpaceDN w:val="0"/>
        <w:adjustRightInd w:val="0"/>
        <w:spacing w:after="0" w:line="240" w:lineRule="auto"/>
        <w:jc w:val="center"/>
        <w:rPr>
          <w:rFonts w:ascii="Garamond" w:eastAsia="Times New Roman" w:hAnsi="Garamond" w:cs="Times New Roman"/>
          <w:b/>
          <w:sz w:val="24"/>
          <w:szCs w:val="24"/>
          <w:lang w:val="sq-AL"/>
        </w:rPr>
      </w:pPr>
      <w:r w:rsidRPr="00F511C4">
        <w:rPr>
          <w:rFonts w:ascii="Garamond" w:eastAsia="Times New Roman" w:hAnsi="Garamond" w:cs="Times New Roman"/>
          <w:b/>
          <w:sz w:val="24"/>
          <w:szCs w:val="24"/>
          <w:lang w:val="sq-AL"/>
        </w:rPr>
        <w:t>Natyra ekonomike e kostove të planit të veprimit</w:t>
      </w:r>
    </w:p>
    <w:p w14:paraId="13D1F5CB"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b/>
          <w:sz w:val="24"/>
          <w:szCs w:val="24"/>
          <w:lang w:val="sq-AL"/>
        </w:rPr>
      </w:pPr>
    </w:p>
    <w:p w14:paraId="78CF2ADC"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drawing>
          <wp:inline distT="0" distB="0" distL="0" distR="0" wp14:anchorId="0683D9A0" wp14:editId="0B407FE8">
            <wp:extent cx="5070144" cy="3418765"/>
            <wp:effectExtent l="0" t="0" r="16510" b="1079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EAC2A0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Peshën më të madhe për zbatimin e masave të planit të veprimit e zënë kostot korente, përkatësisht në masën 88%. Ndërsa kostot kapitale përllogariten në masën 12% të kostos totale të Strategjisë së MIK 2021–2027.</w:t>
      </w:r>
    </w:p>
    <w:p w14:paraId="6DD4AB1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Kostot korente dhe kapitale të lidhur sipas qëllimit të politikave janë sipas tabelës së mëposhtme:</w:t>
      </w:r>
    </w:p>
    <w:p w14:paraId="12B4E182" w14:textId="77777777" w:rsidR="00F511C4" w:rsidRPr="00F511C4" w:rsidRDefault="00F511C4" w:rsidP="00F511C4">
      <w:pPr>
        <w:spacing w:after="0" w:line="264" w:lineRule="auto"/>
        <w:jc w:val="both"/>
        <w:rPr>
          <w:rFonts w:ascii="Garamond" w:eastAsia="Batang" w:hAnsi="Garamond" w:cs="Times New Roman"/>
          <w:sz w:val="24"/>
          <w:szCs w:val="24"/>
          <w:lang w:val="sq-AL"/>
        </w:rPr>
      </w:pPr>
    </w:p>
    <w:p w14:paraId="403C02C8"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r w:rsidRPr="00F511C4">
        <w:rPr>
          <w:rFonts w:ascii="Garamond" w:eastAsia="Times New Roman" w:hAnsi="Garamond" w:cs="Times New Roman"/>
          <w:noProof/>
          <w:sz w:val="24"/>
          <w:szCs w:val="24"/>
          <w:lang w:val="sq-AL"/>
        </w:rPr>
        <w:lastRenderedPageBreak/>
        <w:drawing>
          <wp:inline distT="0" distB="0" distL="0" distR="0" wp14:anchorId="4477A446" wp14:editId="3CE5E5B9">
            <wp:extent cx="5793475" cy="3855492"/>
            <wp:effectExtent l="0" t="0" r="17145" b="1206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943823B"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0DE7E788"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t>Plani i veprimit të Strategjisë së MIK, do të rishikohet në periudhë 3-vjeçare për ta përshtatur me progresin në zbatimin e masave, por edhe për ta azhurnuar atë konform programeve buxhetore afatmesme, si dhe prioriteteve të çdo institucioni. Për masa të planit të veprimit ende të pambuluara financiarisht, institucionet përgjegjëse do të planifikojnë nevojat për financime buxhetore nëpërmjet programeve buxhetore përkatëse, si pjesë e procesit të planifikimit të programit afatmesëm buxhetor, dhe buxhetit vjetor.</w:t>
      </w:r>
    </w:p>
    <w:p w14:paraId="14A9F492"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5718464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594DD9D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1AAA7C6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19731B7D"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6FF25A5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3F814DFE"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5E99E9B4"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51A795D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252BAE06"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17BFE503"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37C16CD9"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1279829F"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5A94D3AB"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4A349145" w14:textId="77777777" w:rsidR="00F511C4" w:rsidRPr="00F511C4" w:rsidRDefault="00F511C4" w:rsidP="00F511C4">
      <w:pPr>
        <w:autoSpaceDE w:val="0"/>
        <w:autoSpaceDN w:val="0"/>
        <w:adjustRightInd w:val="0"/>
        <w:spacing w:after="0" w:line="240" w:lineRule="auto"/>
        <w:ind w:firstLine="288"/>
        <w:jc w:val="both"/>
        <w:rPr>
          <w:rFonts w:ascii="Garamond" w:eastAsia="Times New Roman" w:hAnsi="Garamond" w:cs="Times New Roman"/>
          <w:sz w:val="24"/>
          <w:szCs w:val="24"/>
          <w:lang w:val="sq-AL"/>
        </w:rPr>
      </w:pPr>
    </w:p>
    <w:p w14:paraId="3456057F"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r w:rsidRPr="00F511C4">
        <w:rPr>
          <w:rFonts w:ascii="Garamond" w:eastAsia="Times New Roman" w:hAnsi="Garamond" w:cs="Times New Roman"/>
          <w:sz w:val="24"/>
          <w:szCs w:val="24"/>
          <w:lang w:val="sq-AL"/>
        </w:rPr>
        <w:br w:type="textWrapping" w:clear="all"/>
      </w:r>
    </w:p>
    <w:p w14:paraId="631D960D"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0112646B"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39A2FB5E"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3C921C38"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7FD4ECFF"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2694FCCE"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sectPr w:rsidR="00F511C4" w:rsidRPr="00F511C4" w:rsidSect="00791815">
          <w:pgSz w:w="11906" w:h="16838" w:code="9"/>
          <w:pgMar w:top="1411" w:right="1411" w:bottom="1411" w:left="1411" w:header="1310" w:footer="1138" w:gutter="0"/>
          <w:cols w:space="720"/>
          <w:docGrid w:linePitch="360"/>
        </w:sectPr>
      </w:pPr>
    </w:p>
    <w:p w14:paraId="3CB34294"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440DF624"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66A89CC4"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6D92F54D"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39D96C9B"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652843DC"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1E672D1C"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773A465D"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11AA4AA9"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4CFEE606"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69CB4999"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36D34F1F"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638F1840"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03A22DBD"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7FC16101"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sectPr w:rsidR="00F511C4" w:rsidRPr="00F511C4" w:rsidSect="00791815">
          <w:pgSz w:w="16838" w:h="11906" w:orient="landscape" w:code="9"/>
          <w:pgMar w:top="1411" w:right="1411" w:bottom="1411" w:left="1411" w:header="1310" w:footer="1138" w:gutter="0"/>
          <w:cols w:space="720"/>
          <w:docGrid w:linePitch="360"/>
        </w:sectPr>
      </w:pPr>
    </w:p>
    <w:p w14:paraId="38B37028"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56E26DB2"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47972439"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0C558164"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47519545"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1FD85DE5"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4A96EE43"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1B3F528A"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674E3592"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3E6A2025" w14:textId="77777777" w:rsidR="00F511C4" w:rsidRPr="00F511C4" w:rsidRDefault="00F511C4" w:rsidP="00F511C4">
      <w:pPr>
        <w:autoSpaceDE w:val="0"/>
        <w:autoSpaceDN w:val="0"/>
        <w:adjustRightInd w:val="0"/>
        <w:spacing w:after="0" w:line="240" w:lineRule="auto"/>
        <w:jc w:val="both"/>
        <w:rPr>
          <w:rFonts w:ascii="Garamond" w:eastAsia="Times New Roman" w:hAnsi="Garamond" w:cs="Times New Roman"/>
          <w:sz w:val="24"/>
          <w:szCs w:val="24"/>
          <w:lang w:val="sq-AL"/>
        </w:rPr>
      </w:pPr>
    </w:p>
    <w:p w14:paraId="085FF9D2" w14:textId="77777777" w:rsidR="00F511C4" w:rsidRPr="00F511C4" w:rsidRDefault="00F511C4" w:rsidP="00F511C4">
      <w:pPr>
        <w:rPr>
          <w:rFonts w:ascii="Garamond" w:eastAsia="Times New Roman" w:hAnsi="Garamond" w:cs="Times New Roman"/>
          <w:sz w:val="24"/>
          <w:szCs w:val="24"/>
          <w:lang w:val="sq-AL"/>
        </w:rPr>
      </w:pPr>
    </w:p>
    <w:p w14:paraId="64FFA09D" w14:textId="77777777" w:rsidR="00F511C4" w:rsidRPr="00F511C4" w:rsidRDefault="00F511C4" w:rsidP="00F511C4">
      <w:pPr>
        <w:rPr>
          <w:rFonts w:ascii="Garamond" w:eastAsia="Times New Roman" w:hAnsi="Garamond" w:cs="Times New Roman"/>
          <w:sz w:val="24"/>
          <w:szCs w:val="24"/>
          <w:lang w:val="sq-AL"/>
        </w:rPr>
      </w:pPr>
    </w:p>
    <w:p w14:paraId="088BC5DF" w14:textId="7532B780" w:rsidR="00D86FA8" w:rsidRPr="001F0C5A" w:rsidRDefault="00D86FA8" w:rsidP="00DE4297">
      <w:pPr>
        <w:spacing w:after="0" w:line="240" w:lineRule="auto"/>
        <w:ind w:firstLine="284"/>
        <w:jc w:val="right"/>
        <w:rPr>
          <w:rFonts w:ascii="Garamond" w:hAnsi="Garamond" w:cs="Times New Roman"/>
          <w:b/>
          <w:sz w:val="24"/>
          <w:szCs w:val="24"/>
          <w:lang w:val="sq-AL"/>
        </w:rPr>
      </w:pPr>
      <w:bookmarkStart w:id="3" w:name="_GoBack"/>
      <w:bookmarkEnd w:id="3"/>
    </w:p>
    <w:p w14:paraId="25529876" w14:textId="77777777" w:rsidR="00D86FA8" w:rsidRPr="001F0C5A" w:rsidRDefault="00D86FA8" w:rsidP="00DE4297">
      <w:pPr>
        <w:spacing w:after="0" w:line="240" w:lineRule="auto"/>
        <w:ind w:firstLine="284"/>
        <w:jc w:val="right"/>
        <w:rPr>
          <w:rFonts w:ascii="Garamond" w:hAnsi="Garamond" w:cs="Times New Roman"/>
          <w:b/>
          <w:sz w:val="24"/>
          <w:szCs w:val="24"/>
          <w:lang w:val="sq-AL"/>
        </w:rPr>
        <w:sectPr w:rsidR="00D86FA8" w:rsidRPr="001F0C5A" w:rsidSect="00FC3AEC">
          <w:pgSz w:w="11907" w:h="16839" w:code="9"/>
          <w:pgMar w:top="1440" w:right="1440" w:bottom="1620" w:left="1440" w:header="720" w:footer="1008" w:gutter="0"/>
          <w:cols w:space="720"/>
          <w:titlePg/>
          <w:docGrid w:linePitch="360"/>
        </w:sectPr>
      </w:pPr>
    </w:p>
    <w:tbl>
      <w:tblPr>
        <w:tblW w:w="5000" w:type="pct"/>
        <w:tblLook w:val="04A0" w:firstRow="1" w:lastRow="0" w:firstColumn="1" w:lastColumn="0" w:noHBand="0" w:noVBand="1"/>
      </w:tblPr>
      <w:tblGrid>
        <w:gridCol w:w="338"/>
        <w:gridCol w:w="1457"/>
        <w:gridCol w:w="558"/>
        <w:gridCol w:w="573"/>
        <w:gridCol w:w="1854"/>
        <w:gridCol w:w="368"/>
        <w:gridCol w:w="428"/>
        <w:gridCol w:w="471"/>
        <w:gridCol w:w="466"/>
        <w:gridCol w:w="502"/>
        <w:gridCol w:w="506"/>
        <w:gridCol w:w="502"/>
        <w:gridCol w:w="510"/>
        <w:gridCol w:w="510"/>
        <w:gridCol w:w="506"/>
        <w:gridCol w:w="510"/>
        <w:gridCol w:w="506"/>
        <w:gridCol w:w="466"/>
        <w:gridCol w:w="510"/>
        <w:gridCol w:w="446"/>
        <w:gridCol w:w="471"/>
        <w:gridCol w:w="624"/>
        <w:gridCol w:w="471"/>
        <w:gridCol w:w="430"/>
      </w:tblGrid>
      <w:tr w:rsidR="00D86FA8" w:rsidRPr="001F0C5A" w14:paraId="03C3719D" w14:textId="77777777" w:rsidTr="00D86FA8">
        <w:trPr>
          <w:trHeight w:val="20"/>
        </w:trPr>
        <w:tc>
          <w:tcPr>
            <w:tcW w:w="5000" w:type="pct"/>
            <w:gridSpan w:val="24"/>
            <w:tcBorders>
              <w:top w:val="single" w:sz="8" w:space="0" w:color="auto"/>
              <w:left w:val="single" w:sz="8" w:space="0" w:color="auto"/>
              <w:bottom w:val="single" w:sz="8" w:space="0" w:color="auto"/>
              <w:right w:val="single" w:sz="8" w:space="0" w:color="000000"/>
            </w:tcBorders>
            <w:shd w:val="clear" w:color="000000" w:fill="F2F2F2"/>
            <w:vAlign w:val="center"/>
            <w:hideMark/>
          </w:tcPr>
          <w:p w14:paraId="76645FFD" w14:textId="23562B63"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lastRenderedPageBreak/>
              <w:t>PLANI I VEPRIMIT 2024 - 2025, NË ZBATIM TË STRATEGJISË NDËRSEKTORIALE TË MENAXHIMIT TË INTEGRUAR TË KUFIRIT 2021</w:t>
            </w:r>
            <w:r w:rsidR="001F0C5A">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2027</w:t>
            </w:r>
          </w:p>
        </w:tc>
      </w:tr>
      <w:tr w:rsidR="00D86FA8" w:rsidRPr="001F0C5A" w14:paraId="63FA52F4" w14:textId="77777777" w:rsidTr="00D86FA8">
        <w:trPr>
          <w:trHeight w:val="20"/>
        </w:trPr>
        <w:tc>
          <w:tcPr>
            <w:tcW w:w="5000" w:type="pct"/>
            <w:gridSpan w:val="24"/>
            <w:tcBorders>
              <w:top w:val="single" w:sz="8" w:space="0" w:color="auto"/>
              <w:left w:val="single" w:sz="8" w:space="0" w:color="auto"/>
              <w:bottom w:val="single" w:sz="8" w:space="0" w:color="auto"/>
              <w:right w:val="single" w:sz="8" w:space="0" w:color="000000"/>
            </w:tcBorders>
            <w:shd w:val="clear" w:color="000000" w:fill="F2F2F2"/>
            <w:vAlign w:val="center"/>
            <w:hideMark/>
          </w:tcPr>
          <w:p w14:paraId="7BEA3B85" w14:textId="77777777" w:rsidR="00D86FA8" w:rsidRPr="001F0C5A" w:rsidRDefault="00D86FA8" w:rsidP="00D86FA8">
            <w:pPr>
              <w:spacing w:after="0" w:line="240" w:lineRule="auto"/>
              <w:jc w:val="center"/>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I. QËLLIMI STRATEGJIK: MENAXHIMI I INTEGRUAR I KUFIJVE</w:t>
            </w:r>
          </w:p>
        </w:tc>
      </w:tr>
      <w:tr w:rsidR="00D86FA8" w:rsidRPr="001F0C5A" w14:paraId="4EEB9875" w14:textId="77777777" w:rsidTr="00D86FA8">
        <w:trPr>
          <w:trHeight w:val="20"/>
        </w:trPr>
        <w:tc>
          <w:tcPr>
            <w:tcW w:w="5000" w:type="pct"/>
            <w:gridSpan w:val="24"/>
            <w:tcBorders>
              <w:top w:val="single" w:sz="8" w:space="0" w:color="auto"/>
              <w:left w:val="single" w:sz="8" w:space="0" w:color="auto"/>
              <w:bottom w:val="single" w:sz="8" w:space="0" w:color="auto"/>
              <w:right w:val="single" w:sz="8" w:space="0" w:color="000000"/>
            </w:tcBorders>
            <w:shd w:val="clear" w:color="000000" w:fill="F8CBAD"/>
            <w:vAlign w:val="center"/>
            <w:hideMark/>
          </w:tcPr>
          <w:p w14:paraId="154D3B60" w14:textId="3BCB479D" w:rsidR="00D86FA8" w:rsidRPr="001F0C5A" w:rsidRDefault="00D86FA8" w:rsidP="00D86FA8">
            <w:pPr>
              <w:spacing w:after="0" w:line="240" w:lineRule="auto"/>
              <w:jc w:val="center"/>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II. Qëllimi i Politikës: Mbrojtja e sigurisë së brendshme dhe menaxhimi i flukseve migratore, me qëllim parandalimin e migracionit të par</w:t>
            </w:r>
            <w:r w:rsidR="001F0C5A">
              <w:rPr>
                <w:rFonts w:ascii="Garamond" w:eastAsia="Times New Roman" w:hAnsi="Garamond" w:cs="Times New Roman"/>
                <w:b/>
                <w:bCs/>
                <w:sz w:val="6"/>
                <w:szCs w:val="6"/>
                <w:lang w:val="sq-AL"/>
              </w:rPr>
              <w:t>r</w:t>
            </w:r>
            <w:r w:rsidRPr="001F0C5A">
              <w:rPr>
                <w:rFonts w:ascii="Garamond" w:eastAsia="Times New Roman" w:hAnsi="Garamond" w:cs="Times New Roman"/>
                <w:b/>
                <w:bCs/>
                <w:sz w:val="6"/>
                <w:szCs w:val="6"/>
                <w:lang w:val="sq-AL"/>
              </w:rPr>
              <w:t>egullt, si dhe parandalimin dhe goditjen e krimit ndërkufitar</w:t>
            </w:r>
          </w:p>
        </w:tc>
      </w:tr>
      <w:tr w:rsidR="00D86FA8" w:rsidRPr="001F0C5A" w14:paraId="467D2CA8" w14:textId="77777777" w:rsidTr="00D86FA8">
        <w:trPr>
          <w:trHeight w:val="20"/>
        </w:trPr>
        <w:tc>
          <w:tcPr>
            <w:tcW w:w="5000" w:type="pct"/>
            <w:gridSpan w:val="24"/>
            <w:tcBorders>
              <w:top w:val="single" w:sz="8" w:space="0" w:color="auto"/>
              <w:left w:val="single" w:sz="8" w:space="0" w:color="auto"/>
              <w:bottom w:val="single" w:sz="8" w:space="0" w:color="auto"/>
              <w:right w:val="single" w:sz="8" w:space="0" w:color="000000"/>
            </w:tcBorders>
            <w:shd w:val="clear" w:color="000000" w:fill="FCE4D6"/>
            <w:vAlign w:val="center"/>
            <w:hideMark/>
          </w:tcPr>
          <w:p w14:paraId="3F449E64" w14:textId="658944B5" w:rsidR="00D86FA8" w:rsidRPr="001F0C5A" w:rsidRDefault="00D86FA8" w:rsidP="00D86FA8">
            <w:pPr>
              <w:spacing w:after="0" w:line="240" w:lineRule="auto"/>
              <w:jc w:val="center"/>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 xml:space="preserve">III. Programi buxhetor që kontribuon për qëllimin e politikës: Programi 03140, Policia e Shtetit; Programi 02120 </w:t>
            </w:r>
            <w:r w:rsidR="003110EB">
              <w:rPr>
                <w:rFonts w:ascii="Garamond" w:eastAsia="Times New Roman" w:hAnsi="Garamond" w:cs="Times New Roman"/>
                <w:b/>
                <w:bCs/>
                <w:sz w:val="6"/>
                <w:szCs w:val="6"/>
                <w:lang w:val="sq-AL"/>
              </w:rPr>
              <w:t>“</w:t>
            </w:r>
            <w:r w:rsidRPr="001F0C5A">
              <w:rPr>
                <w:rFonts w:ascii="Garamond" w:eastAsia="Times New Roman" w:hAnsi="Garamond" w:cs="Times New Roman"/>
                <w:b/>
                <w:bCs/>
                <w:sz w:val="6"/>
                <w:szCs w:val="6"/>
                <w:lang w:val="sq-AL"/>
              </w:rPr>
              <w:t>Forca e luftimit</w:t>
            </w:r>
            <w:r w:rsidR="003110EB">
              <w:rPr>
                <w:rFonts w:ascii="Garamond" w:eastAsia="Times New Roman" w:hAnsi="Garamond" w:cs="Times New Roman"/>
                <w:b/>
                <w:bCs/>
                <w:sz w:val="6"/>
                <w:szCs w:val="6"/>
                <w:lang w:val="sq-AL"/>
              </w:rPr>
              <w:t>”</w:t>
            </w:r>
            <w:r w:rsidRPr="001F0C5A">
              <w:rPr>
                <w:rFonts w:ascii="Garamond" w:eastAsia="Times New Roman" w:hAnsi="Garamond" w:cs="Times New Roman"/>
                <w:b/>
                <w:bCs/>
                <w:sz w:val="6"/>
                <w:szCs w:val="6"/>
                <w:lang w:val="sq-AL"/>
              </w:rPr>
              <w:t xml:space="preserve">, Forca Detare-Roja Bregdetare; Programi 01150 , Drejtoria e </w:t>
            </w:r>
            <w:r w:rsidR="001F0C5A" w:rsidRPr="001F0C5A">
              <w:rPr>
                <w:rFonts w:ascii="Garamond" w:eastAsia="Times New Roman" w:hAnsi="Garamond" w:cs="Times New Roman"/>
                <w:b/>
                <w:bCs/>
                <w:sz w:val="6"/>
                <w:szCs w:val="6"/>
                <w:lang w:val="sq-AL"/>
              </w:rPr>
              <w:t>Përgjithshme</w:t>
            </w:r>
            <w:r w:rsidRPr="001F0C5A">
              <w:rPr>
                <w:rFonts w:ascii="Garamond" w:eastAsia="Times New Roman" w:hAnsi="Garamond" w:cs="Times New Roman"/>
                <w:b/>
                <w:bCs/>
                <w:sz w:val="6"/>
                <w:szCs w:val="6"/>
                <w:lang w:val="sq-AL"/>
              </w:rPr>
              <w:t xml:space="preserve"> e Doganave</w:t>
            </w:r>
          </w:p>
        </w:tc>
      </w:tr>
      <w:tr w:rsidR="006B6F84" w:rsidRPr="001F0C5A" w14:paraId="080685E5" w14:textId="77777777" w:rsidTr="00D86FA8">
        <w:trPr>
          <w:trHeight w:val="20"/>
        </w:trPr>
        <w:tc>
          <w:tcPr>
            <w:tcW w:w="125" w:type="pct"/>
            <w:vMerge w:val="restart"/>
            <w:tcBorders>
              <w:top w:val="nil"/>
              <w:left w:val="single" w:sz="8" w:space="0" w:color="auto"/>
              <w:bottom w:val="single" w:sz="4" w:space="0" w:color="auto"/>
              <w:right w:val="single" w:sz="4" w:space="0" w:color="auto"/>
            </w:tcBorders>
            <w:shd w:val="clear" w:color="auto" w:fill="auto"/>
            <w:vAlign w:val="center"/>
            <w:hideMark/>
          </w:tcPr>
          <w:p w14:paraId="4B270A1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Nr.</w:t>
            </w:r>
          </w:p>
        </w:tc>
        <w:tc>
          <w:tcPr>
            <w:tcW w:w="247" w:type="pct"/>
            <w:vMerge w:val="restart"/>
            <w:tcBorders>
              <w:top w:val="nil"/>
              <w:left w:val="single" w:sz="4" w:space="0" w:color="auto"/>
              <w:bottom w:val="single" w:sz="4" w:space="0" w:color="auto"/>
              <w:right w:val="nil"/>
            </w:tcBorders>
            <w:shd w:val="clear" w:color="auto" w:fill="auto"/>
            <w:vAlign w:val="center"/>
            <w:hideMark/>
          </w:tcPr>
          <w:p w14:paraId="33B9EA4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Titulli </w:t>
            </w:r>
          </w:p>
        </w:tc>
        <w:tc>
          <w:tcPr>
            <w:tcW w:w="211" w:type="pct"/>
            <w:tcBorders>
              <w:top w:val="nil"/>
              <w:left w:val="single" w:sz="4" w:space="0" w:color="auto"/>
              <w:bottom w:val="single" w:sz="4" w:space="0" w:color="auto"/>
              <w:right w:val="single" w:sz="4" w:space="0" w:color="auto"/>
            </w:tcBorders>
            <w:shd w:val="clear" w:color="auto" w:fill="auto"/>
            <w:vAlign w:val="center"/>
            <w:hideMark/>
          </w:tcPr>
          <w:p w14:paraId="7E5D267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Programi buxhetor </w:t>
            </w:r>
          </w:p>
        </w:tc>
        <w:tc>
          <w:tcPr>
            <w:tcW w:w="882" w:type="pct"/>
            <w:gridSpan w:val="2"/>
            <w:tcBorders>
              <w:top w:val="single" w:sz="8" w:space="0" w:color="auto"/>
              <w:left w:val="nil"/>
              <w:bottom w:val="single" w:sz="4" w:space="0" w:color="auto"/>
              <w:right w:val="single" w:sz="4" w:space="0" w:color="auto"/>
            </w:tcBorders>
            <w:shd w:val="clear" w:color="auto" w:fill="auto"/>
            <w:vAlign w:val="center"/>
            <w:hideMark/>
          </w:tcPr>
          <w:p w14:paraId="5699956C" w14:textId="2C58B94F"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Institucionet përgjegjëse</w:t>
            </w:r>
          </w:p>
        </w:tc>
        <w:tc>
          <w:tcPr>
            <w:tcW w:w="306" w:type="pct"/>
            <w:gridSpan w:val="2"/>
            <w:tcBorders>
              <w:top w:val="single" w:sz="8" w:space="0" w:color="auto"/>
              <w:left w:val="nil"/>
              <w:bottom w:val="single" w:sz="4" w:space="0" w:color="auto"/>
              <w:right w:val="single" w:sz="4" w:space="0" w:color="auto"/>
            </w:tcBorders>
            <w:shd w:val="clear" w:color="auto" w:fill="auto"/>
            <w:vAlign w:val="center"/>
            <w:hideMark/>
          </w:tcPr>
          <w:p w14:paraId="5D06232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i Zbatimit </w:t>
            </w:r>
          </w:p>
        </w:tc>
        <w:tc>
          <w:tcPr>
            <w:tcW w:w="557"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F807879" w14:textId="2C96962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indikative/2024</w:t>
            </w:r>
          </w:p>
        </w:tc>
        <w:tc>
          <w:tcPr>
            <w:tcW w:w="588"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E9A8EDB" w14:textId="5D0A7AF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indikative/2025</w:t>
            </w:r>
          </w:p>
        </w:tc>
        <w:tc>
          <w:tcPr>
            <w:tcW w:w="588"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A671351" w14:textId="3561E2CB"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 </w:t>
            </w:r>
            <w:r w:rsidR="001F0C5A" w:rsidRPr="001F0C5A">
              <w:rPr>
                <w:rFonts w:ascii="Garamond" w:eastAsia="Times New Roman" w:hAnsi="Garamond" w:cs="Times New Roman"/>
                <w:b/>
                <w:bCs/>
                <w:color w:val="000000"/>
                <w:sz w:val="6"/>
                <w:szCs w:val="6"/>
                <w:lang w:val="sq-AL"/>
              </w:rPr>
              <w:t>totale</w:t>
            </w:r>
          </w:p>
        </w:tc>
        <w:tc>
          <w:tcPr>
            <w:tcW w:w="1336" w:type="pct"/>
            <w:gridSpan w:val="7"/>
            <w:tcBorders>
              <w:top w:val="single" w:sz="8" w:space="0" w:color="auto"/>
              <w:left w:val="nil"/>
              <w:bottom w:val="single" w:sz="8" w:space="0" w:color="auto"/>
              <w:right w:val="single" w:sz="8" w:space="0" w:color="000000"/>
            </w:tcBorders>
            <w:shd w:val="clear" w:color="auto" w:fill="auto"/>
            <w:vAlign w:val="center"/>
            <w:hideMark/>
          </w:tcPr>
          <w:p w14:paraId="3F5CE743" w14:textId="04AEF9D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Burimi i </w:t>
            </w:r>
            <w:r w:rsidR="001F0C5A" w:rsidRPr="001F0C5A">
              <w:rPr>
                <w:rFonts w:ascii="Garamond" w:eastAsia="Times New Roman" w:hAnsi="Garamond" w:cs="Times New Roman"/>
                <w:b/>
                <w:bCs/>
                <w:color w:val="000000"/>
                <w:sz w:val="6"/>
                <w:szCs w:val="6"/>
                <w:lang w:val="sq-AL"/>
              </w:rPr>
              <w:t>financimit</w:t>
            </w:r>
          </w:p>
        </w:tc>
        <w:tc>
          <w:tcPr>
            <w:tcW w:w="160" w:type="pct"/>
            <w:vMerge w:val="restart"/>
            <w:tcBorders>
              <w:top w:val="nil"/>
              <w:left w:val="single" w:sz="8" w:space="0" w:color="auto"/>
              <w:bottom w:val="single" w:sz="8" w:space="0" w:color="000000"/>
              <w:right w:val="single" w:sz="8" w:space="0" w:color="auto"/>
            </w:tcBorders>
            <w:shd w:val="clear" w:color="auto" w:fill="auto"/>
            <w:vAlign w:val="center"/>
            <w:hideMark/>
          </w:tcPr>
          <w:p w14:paraId="6A20D133" w14:textId="3C52D628"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Hende</w:t>
            </w:r>
            <w:r w:rsidR="001F0C5A">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ku finan</w:t>
            </w:r>
            <w:r w:rsidR="001F0C5A">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 xml:space="preserve">ciar </w:t>
            </w:r>
          </w:p>
        </w:tc>
      </w:tr>
      <w:tr w:rsidR="006B6F84" w:rsidRPr="001F0C5A" w14:paraId="231DC2AB" w14:textId="77777777" w:rsidTr="00D86FA8">
        <w:trPr>
          <w:trHeight w:val="20"/>
        </w:trPr>
        <w:tc>
          <w:tcPr>
            <w:tcW w:w="125" w:type="pct"/>
            <w:vMerge/>
            <w:tcBorders>
              <w:top w:val="nil"/>
              <w:left w:val="single" w:sz="8" w:space="0" w:color="auto"/>
              <w:bottom w:val="single" w:sz="4" w:space="0" w:color="auto"/>
              <w:right w:val="single" w:sz="4" w:space="0" w:color="auto"/>
            </w:tcBorders>
            <w:vAlign w:val="center"/>
            <w:hideMark/>
          </w:tcPr>
          <w:p w14:paraId="7D4B5909"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nil"/>
              <w:left w:val="single" w:sz="4" w:space="0" w:color="auto"/>
              <w:bottom w:val="single" w:sz="4" w:space="0" w:color="auto"/>
              <w:right w:val="nil"/>
            </w:tcBorders>
            <w:vAlign w:val="center"/>
            <w:hideMark/>
          </w:tcPr>
          <w:p w14:paraId="4EA3ACF9"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val="restart"/>
            <w:tcBorders>
              <w:top w:val="nil"/>
              <w:left w:val="single" w:sz="4" w:space="0" w:color="auto"/>
              <w:bottom w:val="nil"/>
              <w:right w:val="single" w:sz="4" w:space="0" w:color="auto"/>
            </w:tcBorders>
            <w:shd w:val="clear" w:color="auto" w:fill="auto"/>
            <w:vAlign w:val="center"/>
            <w:hideMark/>
          </w:tcPr>
          <w:p w14:paraId="782FAC4A" w14:textId="0D574DD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Referenca e Rezultatit me produktet e programit buxhetor</w:t>
            </w:r>
            <w:r w:rsidR="001F0C5A" w:rsidRPr="001F0C5A">
              <w:rPr>
                <w:rFonts w:ascii="Garamond" w:eastAsia="Times New Roman" w:hAnsi="Garamond" w:cs="Times New Roman"/>
                <w:b/>
                <w:bCs/>
                <w:color w:val="000000"/>
                <w:sz w:val="6"/>
                <w:szCs w:val="6"/>
                <w:lang w:val="sq-AL"/>
              </w:rPr>
              <w:t xml:space="preserve"> </w:t>
            </w:r>
          </w:p>
        </w:tc>
        <w:tc>
          <w:tcPr>
            <w:tcW w:w="202" w:type="pct"/>
            <w:vMerge w:val="restart"/>
            <w:tcBorders>
              <w:top w:val="nil"/>
              <w:left w:val="single" w:sz="4" w:space="0" w:color="auto"/>
              <w:bottom w:val="single" w:sz="4" w:space="0" w:color="auto"/>
              <w:right w:val="single" w:sz="4" w:space="0" w:color="auto"/>
            </w:tcBorders>
            <w:shd w:val="clear" w:color="auto" w:fill="auto"/>
            <w:vAlign w:val="center"/>
            <w:hideMark/>
          </w:tcPr>
          <w:p w14:paraId="57F178E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përgjegjës</w:t>
            </w:r>
          </w:p>
        </w:tc>
        <w:tc>
          <w:tcPr>
            <w:tcW w:w="680" w:type="pct"/>
            <w:vMerge w:val="restart"/>
            <w:tcBorders>
              <w:top w:val="nil"/>
              <w:left w:val="single" w:sz="4" w:space="0" w:color="auto"/>
              <w:bottom w:val="single" w:sz="4" w:space="0" w:color="auto"/>
              <w:right w:val="single" w:sz="4" w:space="0" w:color="auto"/>
            </w:tcBorders>
            <w:shd w:val="clear" w:color="auto" w:fill="auto"/>
            <w:vAlign w:val="center"/>
            <w:hideMark/>
          </w:tcPr>
          <w:p w14:paraId="65B951F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kontribues</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1189AB0D" w14:textId="244D1941"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1F0C5A">
              <w:rPr>
                <w:rFonts w:ascii="Garamond" w:eastAsia="Times New Roman" w:hAnsi="Garamond" w:cs="Times New Roman"/>
                <w:b/>
                <w:bCs/>
                <w:color w:val="000000"/>
                <w:sz w:val="6"/>
                <w:szCs w:val="6"/>
                <w:lang w:val="sq-AL"/>
              </w:rPr>
              <w:t xml:space="preserve">i </w:t>
            </w:r>
            <w:r w:rsidR="001F0C5A" w:rsidRPr="001F0C5A">
              <w:rPr>
                <w:rFonts w:ascii="Garamond" w:eastAsia="Times New Roman" w:hAnsi="Garamond" w:cs="Times New Roman"/>
                <w:b/>
                <w:bCs/>
                <w:color w:val="000000"/>
                <w:sz w:val="6"/>
                <w:szCs w:val="6"/>
                <w:lang w:val="sq-AL"/>
              </w:rPr>
              <w:t>fillimit</w:t>
            </w:r>
          </w:p>
        </w:tc>
        <w:tc>
          <w:tcPr>
            <w:tcW w:w="163" w:type="pct"/>
            <w:vMerge w:val="restart"/>
            <w:tcBorders>
              <w:top w:val="nil"/>
              <w:left w:val="single" w:sz="4" w:space="0" w:color="auto"/>
              <w:bottom w:val="single" w:sz="4" w:space="0" w:color="auto"/>
              <w:right w:val="nil"/>
            </w:tcBorders>
            <w:shd w:val="clear" w:color="auto" w:fill="auto"/>
            <w:vAlign w:val="center"/>
            <w:hideMark/>
          </w:tcPr>
          <w:p w14:paraId="6973C80B" w14:textId="7E857274"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1F0C5A" w:rsidRPr="001F0C5A">
              <w:rPr>
                <w:rFonts w:ascii="Garamond" w:eastAsia="Times New Roman" w:hAnsi="Garamond" w:cs="Times New Roman"/>
                <w:b/>
                <w:bCs/>
                <w:color w:val="000000"/>
                <w:sz w:val="6"/>
                <w:szCs w:val="6"/>
                <w:lang w:val="sq-AL"/>
              </w:rPr>
              <w:t>mbarimit</w:t>
            </w:r>
          </w:p>
        </w:tc>
        <w:tc>
          <w:tcPr>
            <w:tcW w:w="557" w:type="pct"/>
            <w:gridSpan w:val="3"/>
            <w:vMerge/>
            <w:tcBorders>
              <w:top w:val="nil"/>
              <w:left w:val="single" w:sz="4" w:space="0" w:color="auto"/>
              <w:bottom w:val="single" w:sz="4" w:space="0" w:color="auto"/>
              <w:right w:val="nil"/>
            </w:tcBorders>
            <w:vAlign w:val="center"/>
            <w:hideMark/>
          </w:tcPr>
          <w:p w14:paraId="19CE424A"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nil"/>
            </w:tcBorders>
            <w:vAlign w:val="center"/>
            <w:hideMark/>
          </w:tcPr>
          <w:p w14:paraId="18D1C0C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nil"/>
            </w:tcBorders>
            <w:vAlign w:val="center"/>
            <w:hideMark/>
          </w:tcPr>
          <w:p w14:paraId="41DCD54D"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72" w:type="pct"/>
            <w:gridSpan w:val="3"/>
            <w:tcBorders>
              <w:top w:val="single" w:sz="8" w:space="0" w:color="auto"/>
              <w:left w:val="nil"/>
              <w:bottom w:val="single" w:sz="8" w:space="0" w:color="auto"/>
              <w:right w:val="single" w:sz="8" w:space="0" w:color="000000"/>
            </w:tcBorders>
            <w:shd w:val="clear" w:color="auto" w:fill="auto"/>
            <w:vAlign w:val="center"/>
            <w:hideMark/>
          </w:tcPr>
          <w:p w14:paraId="4FEFCA5B" w14:textId="2C7B3D19"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PBA 2024</w:t>
            </w:r>
            <w:r w:rsidR="001F0C5A">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2026 (në lek)</w:t>
            </w:r>
          </w:p>
        </w:tc>
        <w:tc>
          <w:tcPr>
            <w:tcW w:w="763" w:type="pct"/>
            <w:gridSpan w:val="4"/>
            <w:tcBorders>
              <w:top w:val="single" w:sz="8" w:space="0" w:color="auto"/>
              <w:left w:val="nil"/>
              <w:bottom w:val="single" w:sz="8" w:space="0" w:color="auto"/>
              <w:right w:val="single" w:sz="8" w:space="0" w:color="000000"/>
            </w:tcBorders>
            <w:shd w:val="clear" w:color="auto" w:fill="auto"/>
            <w:vAlign w:val="center"/>
            <w:hideMark/>
          </w:tcPr>
          <w:p w14:paraId="3D32E7AA" w14:textId="05F1A7D3"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Financim i </w:t>
            </w:r>
            <w:r w:rsidR="001F0C5A" w:rsidRPr="001F0C5A">
              <w:rPr>
                <w:rFonts w:ascii="Garamond" w:eastAsia="Times New Roman" w:hAnsi="Garamond" w:cs="Times New Roman"/>
                <w:b/>
                <w:bCs/>
                <w:color w:val="000000"/>
                <w:sz w:val="6"/>
                <w:szCs w:val="6"/>
                <w:lang w:val="sq-AL"/>
              </w:rPr>
              <w:t xml:space="preserve">huaj </w:t>
            </w:r>
            <w:r w:rsidRPr="001F0C5A">
              <w:rPr>
                <w:rFonts w:ascii="Garamond" w:eastAsia="Times New Roman" w:hAnsi="Garamond" w:cs="Times New Roman"/>
                <w:b/>
                <w:bCs/>
                <w:color w:val="000000"/>
                <w:sz w:val="6"/>
                <w:szCs w:val="6"/>
                <w:lang w:val="sq-AL"/>
              </w:rPr>
              <w:t>(në lek)</w:t>
            </w:r>
          </w:p>
        </w:tc>
        <w:tc>
          <w:tcPr>
            <w:tcW w:w="160" w:type="pct"/>
            <w:vMerge/>
            <w:tcBorders>
              <w:top w:val="nil"/>
              <w:left w:val="single" w:sz="8" w:space="0" w:color="auto"/>
              <w:bottom w:val="single" w:sz="8" w:space="0" w:color="000000"/>
              <w:right w:val="single" w:sz="8" w:space="0" w:color="auto"/>
            </w:tcBorders>
            <w:vAlign w:val="center"/>
            <w:hideMark/>
          </w:tcPr>
          <w:p w14:paraId="64EE4018"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r>
      <w:tr w:rsidR="006B6F84" w:rsidRPr="001F0C5A" w14:paraId="2BA1EBF7" w14:textId="77777777" w:rsidTr="00D86FA8">
        <w:trPr>
          <w:trHeight w:val="20"/>
        </w:trPr>
        <w:tc>
          <w:tcPr>
            <w:tcW w:w="125" w:type="pct"/>
            <w:vMerge/>
            <w:tcBorders>
              <w:top w:val="nil"/>
              <w:left w:val="single" w:sz="8" w:space="0" w:color="auto"/>
              <w:bottom w:val="single" w:sz="4" w:space="0" w:color="auto"/>
              <w:right w:val="single" w:sz="4" w:space="0" w:color="auto"/>
            </w:tcBorders>
            <w:vAlign w:val="center"/>
            <w:hideMark/>
          </w:tcPr>
          <w:p w14:paraId="47C1EDD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nil"/>
              <w:left w:val="single" w:sz="4" w:space="0" w:color="auto"/>
              <w:bottom w:val="single" w:sz="4" w:space="0" w:color="auto"/>
              <w:right w:val="nil"/>
            </w:tcBorders>
            <w:vAlign w:val="center"/>
            <w:hideMark/>
          </w:tcPr>
          <w:p w14:paraId="75CD40A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tcBorders>
              <w:top w:val="nil"/>
              <w:left w:val="single" w:sz="4" w:space="0" w:color="auto"/>
              <w:bottom w:val="nil"/>
              <w:right w:val="single" w:sz="4" w:space="0" w:color="auto"/>
            </w:tcBorders>
            <w:vAlign w:val="center"/>
            <w:hideMark/>
          </w:tcPr>
          <w:p w14:paraId="5E35CBFD"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02" w:type="pct"/>
            <w:vMerge/>
            <w:tcBorders>
              <w:top w:val="nil"/>
              <w:left w:val="single" w:sz="4" w:space="0" w:color="auto"/>
              <w:bottom w:val="single" w:sz="4" w:space="0" w:color="auto"/>
              <w:right w:val="single" w:sz="4" w:space="0" w:color="auto"/>
            </w:tcBorders>
            <w:vAlign w:val="center"/>
            <w:hideMark/>
          </w:tcPr>
          <w:p w14:paraId="50DF7EDA"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680" w:type="pct"/>
            <w:vMerge/>
            <w:tcBorders>
              <w:top w:val="nil"/>
              <w:left w:val="single" w:sz="4" w:space="0" w:color="auto"/>
              <w:bottom w:val="single" w:sz="4" w:space="0" w:color="auto"/>
              <w:right w:val="single" w:sz="4" w:space="0" w:color="auto"/>
            </w:tcBorders>
            <w:vAlign w:val="center"/>
            <w:hideMark/>
          </w:tcPr>
          <w:p w14:paraId="29125826"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43" w:type="pct"/>
            <w:vMerge/>
            <w:tcBorders>
              <w:top w:val="nil"/>
              <w:left w:val="single" w:sz="4" w:space="0" w:color="auto"/>
              <w:bottom w:val="single" w:sz="4" w:space="0" w:color="auto"/>
              <w:right w:val="single" w:sz="4" w:space="0" w:color="auto"/>
            </w:tcBorders>
            <w:vAlign w:val="center"/>
            <w:hideMark/>
          </w:tcPr>
          <w:p w14:paraId="3FCC734F"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63" w:type="pct"/>
            <w:vMerge/>
            <w:tcBorders>
              <w:top w:val="nil"/>
              <w:left w:val="single" w:sz="4" w:space="0" w:color="auto"/>
              <w:bottom w:val="single" w:sz="4" w:space="0" w:color="auto"/>
              <w:right w:val="nil"/>
            </w:tcBorders>
            <w:vAlign w:val="center"/>
            <w:hideMark/>
          </w:tcPr>
          <w:p w14:paraId="21707ECF"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81" w:type="pct"/>
            <w:tcBorders>
              <w:top w:val="nil"/>
              <w:left w:val="single" w:sz="8" w:space="0" w:color="auto"/>
              <w:bottom w:val="nil"/>
              <w:right w:val="nil"/>
            </w:tcBorders>
            <w:shd w:val="clear" w:color="auto" w:fill="auto"/>
            <w:vAlign w:val="center"/>
            <w:hideMark/>
          </w:tcPr>
          <w:p w14:paraId="73BD8E42" w14:textId="62C9E22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w:t>
            </w:r>
            <w:r w:rsidR="001F0C5A">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rente</w:t>
            </w:r>
          </w:p>
        </w:tc>
        <w:tc>
          <w:tcPr>
            <w:tcW w:w="181" w:type="pct"/>
            <w:tcBorders>
              <w:top w:val="nil"/>
              <w:left w:val="nil"/>
              <w:bottom w:val="nil"/>
              <w:right w:val="nil"/>
            </w:tcBorders>
            <w:shd w:val="clear" w:color="auto" w:fill="auto"/>
            <w:vAlign w:val="center"/>
            <w:hideMark/>
          </w:tcPr>
          <w:p w14:paraId="4A07699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nil"/>
              <w:right w:val="single" w:sz="8" w:space="0" w:color="auto"/>
            </w:tcBorders>
            <w:shd w:val="clear" w:color="auto" w:fill="auto"/>
            <w:vAlign w:val="center"/>
            <w:hideMark/>
          </w:tcPr>
          <w:p w14:paraId="196BC51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Kosto</w:t>
            </w:r>
          </w:p>
        </w:tc>
        <w:tc>
          <w:tcPr>
            <w:tcW w:w="196" w:type="pct"/>
            <w:tcBorders>
              <w:top w:val="nil"/>
              <w:left w:val="nil"/>
              <w:bottom w:val="nil"/>
              <w:right w:val="nil"/>
            </w:tcBorders>
            <w:shd w:val="clear" w:color="auto" w:fill="auto"/>
            <w:vAlign w:val="center"/>
            <w:hideMark/>
          </w:tcPr>
          <w:p w14:paraId="5675C6E5" w14:textId="6084B736"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1F0C5A">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96" w:type="pct"/>
            <w:tcBorders>
              <w:top w:val="nil"/>
              <w:left w:val="nil"/>
              <w:bottom w:val="nil"/>
              <w:right w:val="nil"/>
            </w:tcBorders>
            <w:shd w:val="clear" w:color="auto" w:fill="auto"/>
            <w:vAlign w:val="center"/>
            <w:hideMark/>
          </w:tcPr>
          <w:p w14:paraId="7F5C257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nil"/>
              <w:right w:val="single" w:sz="8" w:space="0" w:color="auto"/>
            </w:tcBorders>
            <w:shd w:val="clear" w:color="auto" w:fill="auto"/>
            <w:vAlign w:val="center"/>
            <w:hideMark/>
          </w:tcPr>
          <w:p w14:paraId="0D16441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Kosto</w:t>
            </w:r>
          </w:p>
        </w:tc>
        <w:tc>
          <w:tcPr>
            <w:tcW w:w="196" w:type="pct"/>
            <w:tcBorders>
              <w:top w:val="nil"/>
              <w:left w:val="nil"/>
              <w:bottom w:val="nil"/>
              <w:right w:val="nil"/>
            </w:tcBorders>
            <w:shd w:val="clear" w:color="auto" w:fill="auto"/>
            <w:vAlign w:val="center"/>
            <w:hideMark/>
          </w:tcPr>
          <w:p w14:paraId="2A3FC602" w14:textId="5E75822F"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1F0C5A">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96" w:type="pct"/>
            <w:tcBorders>
              <w:top w:val="nil"/>
              <w:left w:val="nil"/>
              <w:bottom w:val="nil"/>
              <w:right w:val="nil"/>
            </w:tcBorders>
            <w:shd w:val="clear" w:color="auto" w:fill="auto"/>
            <w:vAlign w:val="center"/>
            <w:hideMark/>
          </w:tcPr>
          <w:p w14:paraId="6B9BFA6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nil"/>
              <w:right w:val="single" w:sz="8" w:space="0" w:color="auto"/>
            </w:tcBorders>
            <w:shd w:val="clear" w:color="auto" w:fill="auto"/>
            <w:vAlign w:val="center"/>
            <w:hideMark/>
          </w:tcPr>
          <w:p w14:paraId="59E29D7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Kosto</w:t>
            </w:r>
          </w:p>
        </w:tc>
        <w:tc>
          <w:tcPr>
            <w:tcW w:w="196" w:type="pct"/>
            <w:tcBorders>
              <w:top w:val="nil"/>
              <w:left w:val="nil"/>
              <w:bottom w:val="nil"/>
              <w:right w:val="nil"/>
            </w:tcBorders>
            <w:shd w:val="clear" w:color="auto" w:fill="auto"/>
            <w:vAlign w:val="center"/>
            <w:hideMark/>
          </w:tcPr>
          <w:p w14:paraId="65C063F4" w14:textId="7C15142F"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w:t>
            </w:r>
            <w:r w:rsidR="001F0C5A">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rente</w:t>
            </w:r>
          </w:p>
        </w:tc>
        <w:tc>
          <w:tcPr>
            <w:tcW w:w="181" w:type="pct"/>
            <w:tcBorders>
              <w:top w:val="nil"/>
              <w:left w:val="single" w:sz="8" w:space="0" w:color="auto"/>
              <w:bottom w:val="nil"/>
              <w:right w:val="single" w:sz="8" w:space="0" w:color="auto"/>
            </w:tcBorders>
            <w:shd w:val="clear" w:color="auto" w:fill="auto"/>
            <w:vAlign w:val="center"/>
            <w:hideMark/>
          </w:tcPr>
          <w:p w14:paraId="20C7738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nil"/>
              <w:right w:val="single" w:sz="8" w:space="0" w:color="auto"/>
            </w:tcBorders>
            <w:shd w:val="clear" w:color="auto" w:fill="auto"/>
            <w:vAlign w:val="center"/>
            <w:hideMark/>
          </w:tcPr>
          <w:p w14:paraId="1EA83E3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BSH</w:t>
            </w:r>
          </w:p>
        </w:tc>
        <w:tc>
          <w:tcPr>
            <w:tcW w:w="170" w:type="pct"/>
            <w:tcBorders>
              <w:top w:val="nil"/>
              <w:left w:val="nil"/>
              <w:bottom w:val="nil"/>
              <w:right w:val="nil"/>
            </w:tcBorders>
            <w:shd w:val="clear" w:color="auto" w:fill="auto"/>
            <w:vAlign w:val="center"/>
            <w:hideMark/>
          </w:tcPr>
          <w:p w14:paraId="37669519" w14:textId="4FB45C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1F0C5A">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81" w:type="pct"/>
            <w:tcBorders>
              <w:top w:val="nil"/>
              <w:left w:val="single" w:sz="8" w:space="0" w:color="auto"/>
              <w:bottom w:val="nil"/>
              <w:right w:val="single" w:sz="8" w:space="0" w:color="auto"/>
            </w:tcBorders>
            <w:shd w:val="clear" w:color="auto" w:fill="auto"/>
            <w:vAlign w:val="center"/>
            <w:hideMark/>
          </w:tcPr>
          <w:p w14:paraId="7572BB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232" w:type="pct"/>
            <w:tcBorders>
              <w:top w:val="nil"/>
              <w:left w:val="nil"/>
              <w:bottom w:val="nil"/>
              <w:right w:val="single" w:sz="8" w:space="0" w:color="auto"/>
            </w:tcBorders>
            <w:shd w:val="clear" w:color="auto" w:fill="auto"/>
            <w:vAlign w:val="center"/>
            <w:hideMark/>
          </w:tcPr>
          <w:p w14:paraId="21B2DA1B" w14:textId="77777777" w:rsid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Emri donatorit/</w:t>
            </w:r>
          </w:p>
          <w:p w14:paraId="4D9E210B" w14:textId="4A2FAAA8"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Titullin e projektit </w:t>
            </w:r>
          </w:p>
        </w:tc>
        <w:tc>
          <w:tcPr>
            <w:tcW w:w="181" w:type="pct"/>
            <w:tcBorders>
              <w:top w:val="nil"/>
              <w:left w:val="nil"/>
              <w:bottom w:val="nil"/>
              <w:right w:val="single" w:sz="8" w:space="0" w:color="auto"/>
            </w:tcBorders>
            <w:shd w:val="clear" w:color="auto" w:fill="auto"/>
            <w:vAlign w:val="center"/>
            <w:hideMark/>
          </w:tcPr>
          <w:p w14:paraId="46668454" w14:textId="05D1517C"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1F0C5A" w:rsidRPr="001F0C5A">
              <w:rPr>
                <w:rFonts w:ascii="Garamond" w:eastAsia="Times New Roman" w:hAnsi="Garamond" w:cs="Times New Roman"/>
                <w:b/>
                <w:bCs/>
                <w:color w:val="000000"/>
                <w:sz w:val="6"/>
                <w:szCs w:val="6"/>
                <w:lang w:val="sq-AL"/>
              </w:rPr>
              <w:t xml:space="preserve">Financim </w:t>
            </w:r>
            <w:r w:rsidRPr="001F0C5A">
              <w:rPr>
                <w:rFonts w:ascii="Garamond" w:eastAsia="Times New Roman" w:hAnsi="Garamond" w:cs="Times New Roman"/>
                <w:b/>
                <w:bCs/>
                <w:color w:val="000000"/>
                <w:sz w:val="6"/>
                <w:szCs w:val="6"/>
                <w:lang w:val="sq-AL"/>
              </w:rPr>
              <w:t xml:space="preserve">i </w:t>
            </w:r>
            <w:r w:rsidR="001F0C5A" w:rsidRPr="001F0C5A">
              <w:rPr>
                <w:rFonts w:ascii="Garamond" w:eastAsia="Times New Roman" w:hAnsi="Garamond" w:cs="Times New Roman"/>
                <w:b/>
                <w:bCs/>
                <w:color w:val="000000"/>
                <w:sz w:val="6"/>
                <w:szCs w:val="6"/>
                <w:lang w:val="sq-AL"/>
              </w:rPr>
              <w:t>huaj</w:t>
            </w:r>
          </w:p>
        </w:tc>
        <w:tc>
          <w:tcPr>
            <w:tcW w:w="160" w:type="pct"/>
            <w:tcBorders>
              <w:top w:val="nil"/>
              <w:left w:val="nil"/>
              <w:bottom w:val="nil"/>
              <w:right w:val="single" w:sz="8" w:space="0" w:color="auto"/>
            </w:tcBorders>
            <w:shd w:val="clear" w:color="auto" w:fill="auto"/>
            <w:vAlign w:val="center"/>
            <w:hideMark/>
          </w:tcPr>
          <w:p w14:paraId="65EF627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r>
      <w:tr w:rsidR="006B6F84" w:rsidRPr="001F0C5A" w14:paraId="12E2099E" w14:textId="77777777" w:rsidTr="00D86FA8">
        <w:trPr>
          <w:trHeight w:val="20"/>
        </w:trPr>
        <w:tc>
          <w:tcPr>
            <w:tcW w:w="125" w:type="pct"/>
            <w:tcBorders>
              <w:top w:val="single" w:sz="4" w:space="0" w:color="auto"/>
              <w:left w:val="single" w:sz="4" w:space="0" w:color="auto"/>
              <w:bottom w:val="single" w:sz="4" w:space="0" w:color="auto"/>
              <w:right w:val="single" w:sz="4" w:space="0" w:color="auto"/>
            </w:tcBorders>
            <w:shd w:val="clear" w:color="000000" w:fill="DDEBF7"/>
            <w:vAlign w:val="center"/>
            <w:hideMark/>
          </w:tcPr>
          <w:p w14:paraId="7DE6300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w:t>
            </w:r>
          </w:p>
        </w:tc>
        <w:tc>
          <w:tcPr>
            <w:tcW w:w="247" w:type="pct"/>
            <w:tcBorders>
              <w:top w:val="single" w:sz="4" w:space="0" w:color="auto"/>
              <w:left w:val="nil"/>
              <w:bottom w:val="single" w:sz="4" w:space="0" w:color="auto"/>
              <w:right w:val="nil"/>
            </w:tcBorders>
            <w:shd w:val="clear" w:color="000000" w:fill="DDEBF7"/>
            <w:vAlign w:val="center"/>
            <w:hideMark/>
          </w:tcPr>
          <w:p w14:paraId="02CE7450" w14:textId="1C0B9C69"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1: Rritja e nivelit të përputhshmërisë me standardet evropiane dhe të Shengenit, në aspektin legjislativ, administrativ dhe institucional në fushën e menaxhimit të integruar të kufijve, veçanërisht në fushën e kontrollit dhe </w:t>
            </w:r>
            <w:r w:rsidR="001F0C5A" w:rsidRPr="001F0C5A">
              <w:rPr>
                <w:rFonts w:ascii="Garamond" w:eastAsia="Times New Roman" w:hAnsi="Garamond" w:cs="Times New Roman"/>
                <w:b/>
                <w:bCs/>
                <w:color w:val="000000"/>
                <w:sz w:val="6"/>
                <w:szCs w:val="6"/>
                <w:lang w:val="sq-AL"/>
              </w:rPr>
              <w:t>mbikëqyrjes</w:t>
            </w:r>
            <w:r w:rsidRPr="001F0C5A">
              <w:rPr>
                <w:rFonts w:ascii="Garamond" w:eastAsia="Times New Roman" w:hAnsi="Garamond" w:cs="Times New Roman"/>
                <w:b/>
                <w:bCs/>
                <w:color w:val="000000"/>
                <w:sz w:val="6"/>
                <w:szCs w:val="6"/>
                <w:lang w:val="sq-AL"/>
              </w:rPr>
              <w:t xml:space="preserve"> së kufirit dhe forcimi i bashkëpunimit ndëragje</w:t>
            </w:r>
            <w:r w:rsidR="001F0C5A" w:rsidRPr="001F0C5A">
              <w:rPr>
                <w:rFonts w:ascii="Garamond" w:eastAsia="Times New Roman" w:hAnsi="Garamond" w:cs="Times New Roman"/>
                <w:b/>
                <w:bCs/>
                <w:color w:val="000000"/>
                <w:sz w:val="6"/>
                <w:szCs w:val="6"/>
                <w:lang w:val="sq-AL"/>
              </w:rPr>
              <w:t>n</w:t>
            </w:r>
            <w:r w:rsidRPr="001F0C5A">
              <w:rPr>
                <w:rFonts w:ascii="Garamond" w:eastAsia="Times New Roman" w:hAnsi="Garamond" w:cs="Times New Roman"/>
                <w:b/>
                <w:bCs/>
                <w:color w:val="000000"/>
                <w:sz w:val="6"/>
                <w:szCs w:val="6"/>
                <w:lang w:val="sq-AL"/>
              </w:rPr>
              <w:t>ci dhe bashkëpunimit ndërkombëtar</w:t>
            </w:r>
          </w:p>
        </w:tc>
        <w:tc>
          <w:tcPr>
            <w:tcW w:w="211" w:type="pct"/>
            <w:tcBorders>
              <w:top w:val="single" w:sz="4" w:space="0" w:color="auto"/>
              <w:left w:val="single" w:sz="4" w:space="0" w:color="auto"/>
              <w:bottom w:val="single" w:sz="4" w:space="0" w:color="auto"/>
              <w:right w:val="single" w:sz="4" w:space="0" w:color="auto"/>
            </w:tcBorders>
            <w:shd w:val="clear" w:color="000000" w:fill="DDEBF7"/>
            <w:vAlign w:val="center"/>
            <w:hideMark/>
          </w:tcPr>
          <w:p w14:paraId="4550D1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single" w:sz="4" w:space="0" w:color="auto"/>
              <w:left w:val="nil"/>
              <w:bottom w:val="single" w:sz="4" w:space="0" w:color="auto"/>
              <w:right w:val="single" w:sz="4" w:space="0" w:color="auto"/>
            </w:tcBorders>
            <w:shd w:val="clear" w:color="000000" w:fill="DDEBF7"/>
            <w:vAlign w:val="center"/>
            <w:hideMark/>
          </w:tcPr>
          <w:p w14:paraId="488F08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single" w:sz="4" w:space="0" w:color="auto"/>
              <w:left w:val="nil"/>
              <w:bottom w:val="single" w:sz="4" w:space="0" w:color="auto"/>
              <w:right w:val="single" w:sz="4" w:space="0" w:color="auto"/>
            </w:tcBorders>
            <w:shd w:val="clear" w:color="000000" w:fill="DDEBF7"/>
            <w:vAlign w:val="center"/>
            <w:hideMark/>
          </w:tcPr>
          <w:p w14:paraId="324482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single" w:sz="4" w:space="0" w:color="auto"/>
              <w:left w:val="nil"/>
              <w:bottom w:val="single" w:sz="4" w:space="0" w:color="auto"/>
              <w:right w:val="single" w:sz="4" w:space="0" w:color="auto"/>
            </w:tcBorders>
            <w:shd w:val="clear" w:color="000000" w:fill="DDEBF7"/>
            <w:vAlign w:val="center"/>
            <w:hideMark/>
          </w:tcPr>
          <w:p w14:paraId="094263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single" w:sz="4" w:space="0" w:color="auto"/>
              <w:left w:val="nil"/>
              <w:bottom w:val="single" w:sz="4" w:space="0" w:color="auto"/>
              <w:right w:val="single" w:sz="4" w:space="0" w:color="auto"/>
            </w:tcBorders>
            <w:shd w:val="clear" w:color="000000" w:fill="DDEBF7"/>
            <w:vAlign w:val="center"/>
            <w:hideMark/>
          </w:tcPr>
          <w:p w14:paraId="52E80C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single" w:sz="4" w:space="0" w:color="auto"/>
              <w:left w:val="nil"/>
              <w:bottom w:val="single" w:sz="4" w:space="0" w:color="auto"/>
              <w:right w:val="single" w:sz="4" w:space="0" w:color="auto"/>
            </w:tcBorders>
            <w:shd w:val="clear" w:color="000000" w:fill="DDEBF7"/>
            <w:vAlign w:val="center"/>
            <w:hideMark/>
          </w:tcPr>
          <w:p w14:paraId="2B34D6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single" w:sz="4" w:space="0" w:color="auto"/>
              <w:left w:val="nil"/>
              <w:bottom w:val="single" w:sz="4" w:space="0" w:color="auto"/>
              <w:right w:val="single" w:sz="4" w:space="0" w:color="auto"/>
            </w:tcBorders>
            <w:shd w:val="clear" w:color="000000" w:fill="DDEBF7"/>
            <w:vAlign w:val="center"/>
            <w:hideMark/>
          </w:tcPr>
          <w:p w14:paraId="25112A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1E961D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0000FD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4119AA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10A885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2C08FD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6FF91E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431705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652F9C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single" w:sz="4" w:space="0" w:color="auto"/>
              <w:left w:val="nil"/>
              <w:bottom w:val="single" w:sz="4" w:space="0" w:color="auto"/>
              <w:right w:val="single" w:sz="4" w:space="0" w:color="auto"/>
            </w:tcBorders>
            <w:shd w:val="clear" w:color="000000" w:fill="DDEBF7"/>
            <w:vAlign w:val="center"/>
            <w:hideMark/>
          </w:tcPr>
          <w:p w14:paraId="6E8F95D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15757B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single" w:sz="4" w:space="0" w:color="auto"/>
              <w:left w:val="nil"/>
              <w:bottom w:val="single" w:sz="4" w:space="0" w:color="auto"/>
              <w:right w:val="single" w:sz="4" w:space="0" w:color="auto"/>
            </w:tcBorders>
            <w:shd w:val="clear" w:color="000000" w:fill="DDEBF7"/>
            <w:vAlign w:val="center"/>
            <w:hideMark/>
          </w:tcPr>
          <w:p w14:paraId="570748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single" w:sz="4" w:space="0" w:color="auto"/>
              <w:left w:val="nil"/>
              <w:bottom w:val="single" w:sz="4" w:space="0" w:color="auto"/>
              <w:right w:val="single" w:sz="4" w:space="0" w:color="auto"/>
            </w:tcBorders>
            <w:shd w:val="clear" w:color="000000" w:fill="DDEBF7"/>
            <w:vAlign w:val="center"/>
            <w:hideMark/>
          </w:tcPr>
          <w:p w14:paraId="4D86A3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single" w:sz="4" w:space="0" w:color="auto"/>
              <w:left w:val="nil"/>
              <w:bottom w:val="single" w:sz="4" w:space="0" w:color="auto"/>
              <w:right w:val="single" w:sz="4" w:space="0" w:color="auto"/>
            </w:tcBorders>
            <w:shd w:val="clear" w:color="000000" w:fill="DDEBF7"/>
            <w:vAlign w:val="center"/>
            <w:hideMark/>
          </w:tcPr>
          <w:p w14:paraId="41408C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single" w:sz="4" w:space="0" w:color="auto"/>
              <w:left w:val="nil"/>
              <w:bottom w:val="single" w:sz="4" w:space="0" w:color="auto"/>
              <w:right w:val="single" w:sz="4" w:space="0" w:color="auto"/>
            </w:tcBorders>
            <w:shd w:val="clear" w:color="000000" w:fill="DDEBF7"/>
            <w:vAlign w:val="center"/>
            <w:hideMark/>
          </w:tcPr>
          <w:p w14:paraId="646417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single" w:sz="4" w:space="0" w:color="auto"/>
              <w:left w:val="nil"/>
              <w:bottom w:val="single" w:sz="4" w:space="0" w:color="auto"/>
              <w:right w:val="single" w:sz="4" w:space="0" w:color="auto"/>
            </w:tcBorders>
            <w:shd w:val="clear" w:color="000000" w:fill="DDEBF7"/>
            <w:vAlign w:val="center"/>
            <w:hideMark/>
          </w:tcPr>
          <w:p w14:paraId="6EE2EE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52E3939A"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0497BE7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1.1</w:t>
            </w:r>
          </w:p>
        </w:tc>
        <w:tc>
          <w:tcPr>
            <w:tcW w:w="247" w:type="pct"/>
            <w:tcBorders>
              <w:top w:val="nil"/>
              <w:left w:val="nil"/>
              <w:bottom w:val="single" w:sz="4" w:space="0" w:color="auto"/>
              <w:right w:val="single" w:sz="4" w:space="0" w:color="auto"/>
            </w:tcBorders>
            <w:shd w:val="clear" w:color="auto" w:fill="auto"/>
            <w:vAlign w:val="center"/>
            <w:hideMark/>
          </w:tcPr>
          <w:p w14:paraId="4C7229A1" w14:textId="2E573165" w:rsidR="00D86FA8" w:rsidRPr="001F0C5A" w:rsidRDefault="00D86FA8" w:rsidP="00D86FA8">
            <w:pPr>
              <w:spacing w:after="0" w:line="240" w:lineRule="auto"/>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 xml:space="preserve">Miratimi i </w:t>
            </w:r>
            <w:r w:rsidR="00F679FC" w:rsidRPr="001F0C5A">
              <w:rPr>
                <w:rFonts w:ascii="Garamond" w:eastAsia="Times New Roman" w:hAnsi="Garamond" w:cs="Times New Roman"/>
                <w:b/>
                <w:bCs/>
                <w:sz w:val="6"/>
                <w:szCs w:val="6"/>
                <w:lang w:val="sq-AL"/>
              </w:rPr>
              <w:t xml:space="preserve">ligjit </w:t>
            </w:r>
            <w:r w:rsidRPr="001F0C5A">
              <w:rPr>
                <w:rFonts w:ascii="Garamond" w:eastAsia="Times New Roman" w:hAnsi="Garamond" w:cs="Times New Roman"/>
                <w:b/>
                <w:bCs/>
                <w:sz w:val="6"/>
                <w:szCs w:val="6"/>
                <w:lang w:val="sq-AL"/>
              </w:rPr>
              <w:t xml:space="preserve">të ri </w:t>
            </w:r>
            <w:r w:rsidR="003110EB">
              <w:rPr>
                <w:rFonts w:ascii="Garamond" w:eastAsia="Times New Roman" w:hAnsi="Garamond" w:cs="Times New Roman"/>
                <w:b/>
                <w:bCs/>
                <w:sz w:val="6"/>
                <w:szCs w:val="6"/>
                <w:lang w:val="sq-AL"/>
              </w:rPr>
              <w:t>“</w:t>
            </w:r>
            <w:r w:rsidRPr="001F0C5A">
              <w:rPr>
                <w:rFonts w:ascii="Garamond" w:eastAsia="Times New Roman" w:hAnsi="Garamond" w:cs="Times New Roman"/>
                <w:b/>
                <w:bCs/>
                <w:sz w:val="6"/>
                <w:szCs w:val="6"/>
                <w:lang w:val="sq-AL"/>
              </w:rPr>
              <w:t>Për mbikëqyrjen dhe kontrollin e kufirit shtetëror</w:t>
            </w:r>
            <w:r w:rsidR="003110EB">
              <w:rPr>
                <w:rFonts w:ascii="Garamond" w:eastAsia="Times New Roman" w:hAnsi="Garamond" w:cs="Times New Roman"/>
                <w:b/>
                <w:bCs/>
                <w:sz w:val="6"/>
                <w:szCs w:val="6"/>
                <w:lang w:val="sq-AL"/>
              </w:rPr>
              <w:t>”</w:t>
            </w:r>
            <w:r w:rsidRPr="001F0C5A">
              <w:rPr>
                <w:rFonts w:ascii="Garamond" w:eastAsia="Times New Roman" w:hAnsi="Garamond" w:cs="Times New Roman"/>
                <w:b/>
                <w:bCs/>
                <w:sz w:val="6"/>
                <w:szCs w:val="6"/>
                <w:lang w:val="sq-AL"/>
              </w:rPr>
              <w:t xml:space="preserve"> </w:t>
            </w:r>
          </w:p>
        </w:tc>
        <w:tc>
          <w:tcPr>
            <w:tcW w:w="211" w:type="pct"/>
            <w:tcBorders>
              <w:top w:val="nil"/>
              <w:left w:val="nil"/>
              <w:bottom w:val="single" w:sz="4" w:space="0" w:color="auto"/>
              <w:right w:val="single" w:sz="4" w:space="0" w:color="auto"/>
            </w:tcBorders>
            <w:shd w:val="clear" w:color="000000" w:fill="FFFFFF"/>
            <w:vAlign w:val="center"/>
            <w:hideMark/>
          </w:tcPr>
          <w:p w14:paraId="52B3D5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58213B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0DF3CB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5CD6BEB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55E6DC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2A677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74583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0E54E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81414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56C15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E71CD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EF6BE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B0136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89D49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50741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26E48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BD8D1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57F543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72939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037F14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D30E64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17FFFE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0F5FD73"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7FA25C0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1.1.1</w:t>
            </w:r>
          </w:p>
        </w:tc>
        <w:tc>
          <w:tcPr>
            <w:tcW w:w="247" w:type="pct"/>
            <w:tcBorders>
              <w:top w:val="nil"/>
              <w:left w:val="nil"/>
              <w:bottom w:val="single" w:sz="4" w:space="0" w:color="auto"/>
              <w:right w:val="single" w:sz="4" w:space="0" w:color="auto"/>
            </w:tcBorders>
            <w:shd w:val="clear" w:color="auto" w:fill="auto"/>
            <w:vAlign w:val="center"/>
            <w:hideMark/>
          </w:tcPr>
          <w:p w14:paraId="12B24826" w14:textId="21B8557D"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Hartimi i projektligjit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mbikëqyrjen dhe kontrollin e kufirit shtetëror</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xml:space="preserve"> </w:t>
            </w:r>
          </w:p>
        </w:tc>
        <w:tc>
          <w:tcPr>
            <w:tcW w:w="211" w:type="pct"/>
            <w:tcBorders>
              <w:top w:val="nil"/>
              <w:left w:val="nil"/>
              <w:bottom w:val="single" w:sz="4" w:space="0" w:color="auto"/>
              <w:right w:val="single" w:sz="4" w:space="0" w:color="auto"/>
            </w:tcBorders>
            <w:shd w:val="clear" w:color="000000" w:fill="FFFFFF"/>
            <w:vAlign w:val="center"/>
            <w:hideMark/>
          </w:tcPr>
          <w:p w14:paraId="5C86A3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342E2F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6AD06A7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5891B93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97B463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941F1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31D481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07439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45DC7B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6814B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401B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4B5ED7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750,000</w:t>
            </w:r>
          </w:p>
        </w:tc>
        <w:tc>
          <w:tcPr>
            <w:tcW w:w="196" w:type="pct"/>
            <w:tcBorders>
              <w:top w:val="nil"/>
              <w:left w:val="nil"/>
              <w:bottom w:val="single" w:sz="4" w:space="0" w:color="auto"/>
              <w:right w:val="single" w:sz="4" w:space="0" w:color="auto"/>
            </w:tcBorders>
            <w:shd w:val="clear" w:color="000000" w:fill="FFFFFF"/>
            <w:vAlign w:val="center"/>
            <w:hideMark/>
          </w:tcPr>
          <w:p w14:paraId="107A46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DE73D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750,000</w:t>
            </w:r>
          </w:p>
        </w:tc>
        <w:tc>
          <w:tcPr>
            <w:tcW w:w="196" w:type="pct"/>
            <w:tcBorders>
              <w:top w:val="nil"/>
              <w:left w:val="nil"/>
              <w:bottom w:val="single" w:sz="4" w:space="0" w:color="auto"/>
              <w:right w:val="single" w:sz="4" w:space="0" w:color="auto"/>
            </w:tcBorders>
            <w:shd w:val="clear" w:color="000000" w:fill="FFFFFF"/>
            <w:vAlign w:val="center"/>
            <w:hideMark/>
          </w:tcPr>
          <w:p w14:paraId="6B2A8A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750,000</w:t>
            </w:r>
          </w:p>
        </w:tc>
        <w:tc>
          <w:tcPr>
            <w:tcW w:w="181" w:type="pct"/>
            <w:tcBorders>
              <w:top w:val="nil"/>
              <w:left w:val="nil"/>
              <w:bottom w:val="single" w:sz="4" w:space="0" w:color="auto"/>
              <w:right w:val="single" w:sz="4" w:space="0" w:color="auto"/>
            </w:tcBorders>
            <w:shd w:val="clear" w:color="000000" w:fill="FFFFFF"/>
            <w:vAlign w:val="center"/>
            <w:hideMark/>
          </w:tcPr>
          <w:p w14:paraId="5A0D6F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8632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750,000</w:t>
            </w:r>
          </w:p>
        </w:tc>
        <w:tc>
          <w:tcPr>
            <w:tcW w:w="170" w:type="pct"/>
            <w:tcBorders>
              <w:top w:val="nil"/>
              <w:left w:val="nil"/>
              <w:bottom w:val="single" w:sz="4" w:space="0" w:color="auto"/>
              <w:right w:val="single" w:sz="4" w:space="0" w:color="auto"/>
            </w:tcBorders>
            <w:shd w:val="clear" w:color="000000" w:fill="FFFFFF"/>
            <w:vAlign w:val="center"/>
            <w:hideMark/>
          </w:tcPr>
          <w:p w14:paraId="475EB3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71A34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36C93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76672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04EFAB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43E3A1F"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380907F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1.2</w:t>
            </w:r>
          </w:p>
        </w:tc>
        <w:tc>
          <w:tcPr>
            <w:tcW w:w="247" w:type="pct"/>
            <w:tcBorders>
              <w:top w:val="nil"/>
              <w:left w:val="nil"/>
              <w:bottom w:val="single" w:sz="4" w:space="0" w:color="auto"/>
              <w:right w:val="single" w:sz="4" w:space="0" w:color="auto"/>
            </w:tcBorders>
            <w:shd w:val="clear" w:color="auto" w:fill="auto"/>
            <w:vAlign w:val="center"/>
            <w:hideMark/>
          </w:tcPr>
          <w:p w14:paraId="4D8414E7" w14:textId="78ADD61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Miratimi i akteve nënligjore në zbatim të</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 xml:space="preserve">ligjit të ri </w:t>
            </w:r>
            <w:r w:rsidR="003110EB">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Për mbikëqyrjen dhe kontrollin e kufirit shtetëror</w:t>
            </w:r>
            <w:r w:rsidR="003110EB">
              <w:rPr>
                <w:rFonts w:ascii="Garamond" w:eastAsia="Times New Roman" w:hAnsi="Garamond" w:cs="Times New Roman"/>
                <w:b/>
                <w:bCs/>
                <w:color w:val="000000"/>
                <w:sz w:val="6"/>
                <w:szCs w:val="6"/>
                <w:lang w:val="sq-AL"/>
              </w:rPr>
              <w:t>”</w:t>
            </w:r>
            <w:r w:rsidR="001F0C5A" w:rsidRPr="001F0C5A">
              <w:rPr>
                <w:rFonts w:ascii="Garamond" w:eastAsia="Times New Roman" w:hAnsi="Garamond" w:cs="Times New Roman"/>
                <w:b/>
                <w:bCs/>
                <w:color w:val="000000"/>
                <w:sz w:val="6"/>
                <w:szCs w:val="6"/>
                <w:lang w:val="sq-AL"/>
              </w:rPr>
              <w:t xml:space="preserve"> </w:t>
            </w:r>
          </w:p>
        </w:tc>
        <w:tc>
          <w:tcPr>
            <w:tcW w:w="211" w:type="pct"/>
            <w:tcBorders>
              <w:top w:val="nil"/>
              <w:left w:val="nil"/>
              <w:bottom w:val="single" w:sz="4" w:space="0" w:color="auto"/>
              <w:right w:val="single" w:sz="4" w:space="0" w:color="auto"/>
            </w:tcBorders>
            <w:shd w:val="clear" w:color="auto" w:fill="auto"/>
            <w:vAlign w:val="bottom"/>
            <w:hideMark/>
          </w:tcPr>
          <w:p w14:paraId="5F22D1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55C2CE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2D66E8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5FFE609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CCC18F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CE741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ED26A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94D4F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5E629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9CF6F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5E1FB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989FA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D5162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62F5F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26959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E896C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90A1B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03DF37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567F8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20B3901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3AAEE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6F7E88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726DE848"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24891B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1.2.1</w:t>
            </w:r>
          </w:p>
        </w:tc>
        <w:tc>
          <w:tcPr>
            <w:tcW w:w="247" w:type="pct"/>
            <w:tcBorders>
              <w:top w:val="nil"/>
              <w:left w:val="nil"/>
              <w:bottom w:val="single" w:sz="4" w:space="0" w:color="auto"/>
              <w:right w:val="single" w:sz="4" w:space="0" w:color="auto"/>
            </w:tcBorders>
            <w:shd w:val="clear" w:color="auto" w:fill="auto"/>
            <w:hideMark/>
          </w:tcPr>
          <w:p w14:paraId="750A6314" w14:textId="0251DAFE"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Rishikimi dhe hartimi i </w:t>
            </w:r>
            <w:r w:rsidR="00F679FC" w:rsidRPr="001F0C5A">
              <w:rPr>
                <w:rFonts w:ascii="Garamond" w:eastAsia="Times New Roman" w:hAnsi="Garamond" w:cs="Times New Roman"/>
                <w:color w:val="000000"/>
                <w:sz w:val="6"/>
                <w:szCs w:val="6"/>
                <w:lang w:val="sq-AL"/>
              </w:rPr>
              <w:t xml:space="preserve">vendimeve </w:t>
            </w:r>
            <w:r w:rsidRPr="001F0C5A">
              <w:rPr>
                <w:rFonts w:ascii="Garamond" w:eastAsia="Times New Roman" w:hAnsi="Garamond" w:cs="Times New Roman"/>
                <w:color w:val="000000"/>
                <w:sz w:val="6"/>
                <w:szCs w:val="6"/>
                <w:lang w:val="sq-AL"/>
              </w:rPr>
              <w:t>të Këshillit të Ministrave në zbatim të ligjit të</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 xml:space="preserve">ligjit të ri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mbikëqyrjen dhe kontrollin e kufirit shtetëror</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br/>
              <w:t>Vendim</w:t>
            </w:r>
            <w:r w:rsidR="001F0C5A" w:rsidRPr="001F0C5A">
              <w:rPr>
                <w:rFonts w:ascii="Garamond" w:eastAsia="Times New Roman" w:hAnsi="Garamond" w:cs="Times New Roman"/>
                <w:color w:val="000000"/>
                <w:sz w:val="6"/>
                <w:szCs w:val="6"/>
                <w:lang w:val="sq-AL"/>
              </w:rPr>
              <w:t xml:space="preserve"> </w:t>
            </w:r>
            <w:r w:rsidR="003110EB">
              <w:rPr>
                <w:rFonts w:ascii="Garamond" w:eastAsia="Times New Roman" w:hAnsi="Garamond" w:cs="Times New Roman"/>
                <w:color w:val="000000"/>
                <w:sz w:val="6"/>
                <w:szCs w:val="6"/>
                <w:lang w:val="sq-AL"/>
              </w:rPr>
              <w:t>“</w:t>
            </w:r>
            <w:r w:rsidR="00F679FC" w:rsidRPr="001F0C5A">
              <w:rPr>
                <w:rFonts w:ascii="Garamond" w:eastAsia="Times New Roman" w:hAnsi="Garamond" w:cs="Times New Roman"/>
                <w:color w:val="000000"/>
                <w:sz w:val="6"/>
                <w:szCs w:val="6"/>
                <w:lang w:val="sq-AL"/>
              </w:rPr>
              <w:t>Për</w:t>
            </w:r>
            <w:r w:rsidRPr="001F0C5A">
              <w:rPr>
                <w:rFonts w:ascii="Garamond" w:eastAsia="Times New Roman" w:hAnsi="Garamond" w:cs="Times New Roman"/>
                <w:color w:val="000000"/>
                <w:sz w:val="6"/>
                <w:szCs w:val="6"/>
                <w:lang w:val="sq-AL"/>
              </w:rPr>
              <w:t xml:space="preserve"> përcaktimin e rregullave t</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verifikimit kufitar q</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zbatohen p</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r kategori t</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caktuara t</w:t>
            </w:r>
            <w:r w:rsidR="00F679FC">
              <w:rPr>
                <w:rFonts w:ascii="Garamond" w:eastAsia="Times New Roman" w:hAnsi="Garamond" w:cs="Times New Roman"/>
                <w:color w:val="000000"/>
                <w:sz w:val="6"/>
                <w:szCs w:val="6"/>
                <w:lang w:val="sq-AL"/>
              </w:rPr>
              <w:t xml:space="preserve">ë </w:t>
            </w:r>
            <w:r w:rsidRPr="001F0C5A">
              <w:rPr>
                <w:rFonts w:ascii="Garamond" w:eastAsia="Times New Roman" w:hAnsi="Garamond" w:cs="Times New Roman"/>
                <w:color w:val="000000"/>
                <w:sz w:val="6"/>
                <w:szCs w:val="6"/>
                <w:lang w:val="sq-AL"/>
              </w:rPr>
              <w:t>personave dhe mjeteve</w:t>
            </w:r>
            <w:r w:rsidR="003110EB">
              <w:rPr>
                <w:rFonts w:ascii="Garamond" w:eastAsia="Times New Roman" w:hAnsi="Garamond" w:cs="Times New Roman"/>
                <w:color w:val="000000"/>
                <w:sz w:val="6"/>
                <w:szCs w:val="6"/>
                <w:lang w:val="sq-AL"/>
              </w:rPr>
              <w:t>”</w:t>
            </w:r>
            <w:r w:rsidR="00F679FC">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br/>
              <w:t xml:space="preserve">Vendim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përcaktimin e tabelave dhe simboleve në pikat e kalimit kufitar dhe zonat e verifikimit kufitar</w:t>
            </w:r>
            <w:r w:rsidR="003110EB">
              <w:rPr>
                <w:rFonts w:ascii="Garamond" w:eastAsia="Times New Roman" w:hAnsi="Garamond" w:cs="Times New Roman"/>
                <w:color w:val="000000"/>
                <w:sz w:val="6"/>
                <w:szCs w:val="6"/>
                <w:lang w:val="sq-AL"/>
              </w:rPr>
              <w:t>”</w:t>
            </w:r>
            <w:r w:rsidR="00F679FC">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br/>
              <w:t xml:space="preserve">Vendim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kryerjen e verifikimeve të përbashkëta kufitare</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br/>
              <w:t xml:space="preserve">Vendim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përcaktimin e formatit e të specifikimeve teknike të vulave të verifikimit kufitar dhe të rregullave të vendosjes së tyre në dokumentet e udhëtimit gjatë hyrje-daljeve në kufirin shtetëror</w:t>
            </w:r>
            <w:r w:rsidR="003110EB">
              <w:rPr>
                <w:rFonts w:ascii="Garamond" w:eastAsia="Times New Roman" w:hAnsi="Garamond" w:cs="Times New Roman"/>
                <w:color w:val="000000"/>
                <w:sz w:val="6"/>
                <w:szCs w:val="6"/>
                <w:lang w:val="sq-AL"/>
              </w:rPr>
              <w:t>”</w:t>
            </w:r>
          </w:p>
        </w:tc>
        <w:tc>
          <w:tcPr>
            <w:tcW w:w="211" w:type="pct"/>
            <w:tcBorders>
              <w:top w:val="nil"/>
              <w:left w:val="nil"/>
              <w:bottom w:val="single" w:sz="4" w:space="0" w:color="auto"/>
              <w:right w:val="single" w:sz="4" w:space="0" w:color="auto"/>
            </w:tcBorders>
            <w:shd w:val="clear" w:color="auto" w:fill="auto"/>
            <w:vAlign w:val="center"/>
            <w:hideMark/>
          </w:tcPr>
          <w:p w14:paraId="2A87FB6A" w14:textId="2B31D13C"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91604AJ</w:t>
            </w:r>
          </w:p>
        </w:tc>
        <w:tc>
          <w:tcPr>
            <w:tcW w:w="202" w:type="pct"/>
            <w:tcBorders>
              <w:top w:val="nil"/>
              <w:left w:val="nil"/>
              <w:bottom w:val="single" w:sz="4" w:space="0" w:color="auto"/>
              <w:right w:val="single" w:sz="4" w:space="0" w:color="auto"/>
            </w:tcBorders>
            <w:shd w:val="clear" w:color="000000" w:fill="FFFFFF"/>
            <w:vAlign w:val="center"/>
            <w:hideMark/>
          </w:tcPr>
          <w:p w14:paraId="3DC4E2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453DD5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703DE33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142A53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4C959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81" w:type="pct"/>
            <w:tcBorders>
              <w:top w:val="nil"/>
              <w:left w:val="nil"/>
              <w:bottom w:val="single" w:sz="4" w:space="0" w:color="auto"/>
              <w:right w:val="single" w:sz="4" w:space="0" w:color="auto"/>
            </w:tcBorders>
            <w:shd w:val="clear" w:color="000000" w:fill="FFFFFF"/>
            <w:vAlign w:val="center"/>
            <w:hideMark/>
          </w:tcPr>
          <w:p w14:paraId="7B7926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1D296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36D591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3A4D19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AC9D8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6C83E5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96" w:type="pct"/>
            <w:tcBorders>
              <w:top w:val="nil"/>
              <w:left w:val="nil"/>
              <w:bottom w:val="single" w:sz="4" w:space="0" w:color="auto"/>
              <w:right w:val="single" w:sz="4" w:space="0" w:color="auto"/>
            </w:tcBorders>
            <w:shd w:val="clear" w:color="000000" w:fill="FFFFFF"/>
            <w:vAlign w:val="center"/>
            <w:hideMark/>
          </w:tcPr>
          <w:p w14:paraId="1AF6AD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46979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96" w:type="pct"/>
            <w:tcBorders>
              <w:top w:val="nil"/>
              <w:left w:val="nil"/>
              <w:bottom w:val="single" w:sz="4" w:space="0" w:color="auto"/>
              <w:right w:val="single" w:sz="4" w:space="0" w:color="auto"/>
            </w:tcBorders>
            <w:shd w:val="clear" w:color="000000" w:fill="FFFFFF"/>
            <w:vAlign w:val="center"/>
            <w:hideMark/>
          </w:tcPr>
          <w:p w14:paraId="5D6285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81" w:type="pct"/>
            <w:tcBorders>
              <w:top w:val="nil"/>
              <w:left w:val="nil"/>
              <w:bottom w:val="single" w:sz="4" w:space="0" w:color="auto"/>
              <w:right w:val="single" w:sz="4" w:space="0" w:color="auto"/>
            </w:tcBorders>
            <w:shd w:val="clear" w:color="000000" w:fill="FFFFFF"/>
            <w:vAlign w:val="center"/>
            <w:hideMark/>
          </w:tcPr>
          <w:p w14:paraId="27AA9A7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6F38C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70" w:type="pct"/>
            <w:tcBorders>
              <w:top w:val="nil"/>
              <w:left w:val="nil"/>
              <w:bottom w:val="single" w:sz="4" w:space="0" w:color="auto"/>
              <w:right w:val="single" w:sz="4" w:space="0" w:color="auto"/>
            </w:tcBorders>
            <w:shd w:val="clear" w:color="000000" w:fill="FFFFFF"/>
            <w:vAlign w:val="center"/>
            <w:hideMark/>
          </w:tcPr>
          <w:p w14:paraId="5856BF1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2ECEC0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626D3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A957F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45A97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6B69D40"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7D750B0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1.2.2</w:t>
            </w:r>
          </w:p>
        </w:tc>
        <w:tc>
          <w:tcPr>
            <w:tcW w:w="247" w:type="pct"/>
            <w:tcBorders>
              <w:top w:val="nil"/>
              <w:left w:val="nil"/>
              <w:bottom w:val="single" w:sz="4" w:space="0" w:color="auto"/>
              <w:right w:val="single" w:sz="4" w:space="0" w:color="auto"/>
            </w:tcBorders>
            <w:shd w:val="clear" w:color="auto" w:fill="auto"/>
            <w:hideMark/>
          </w:tcPr>
          <w:p w14:paraId="0E3471D9" w14:textId="5E1DD1A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Rishikimi dhe hartimi i </w:t>
            </w:r>
            <w:r w:rsidR="00F679FC" w:rsidRPr="001F0C5A">
              <w:rPr>
                <w:rFonts w:ascii="Garamond" w:eastAsia="Times New Roman" w:hAnsi="Garamond" w:cs="Times New Roman"/>
                <w:color w:val="000000"/>
                <w:sz w:val="6"/>
                <w:szCs w:val="6"/>
                <w:lang w:val="sq-AL"/>
              </w:rPr>
              <w:t xml:space="preserve">udhëzimeve </w:t>
            </w:r>
            <w:r w:rsidRPr="001F0C5A">
              <w:rPr>
                <w:rFonts w:ascii="Garamond" w:eastAsia="Times New Roman" w:hAnsi="Garamond" w:cs="Times New Roman"/>
                <w:color w:val="000000"/>
                <w:sz w:val="6"/>
                <w:szCs w:val="6"/>
                <w:lang w:val="sq-AL"/>
              </w:rPr>
              <w:t>të MB</w:t>
            </w:r>
            <w:r w:rsidR="00F679FC">
              <w:rPr>
                <w:rFonts w:ascii="Garamond" w:eastAsia="Times New Roman" w:hAnsi="Garamond" w:cs="Times New Roman"/>
                <w:color w:val="000000"/>
                <w:sz w:val="6"/>
                <w:szCs w:val="6"/>
                <w:lang w:val="sq-AL"/>
              </w:rPr>
              <w:t>-së</w:t>
            </w:r>
            <w:r w:rsidRPr="001F0C5A">
              <w:rPr>
                <w:rFonts w:ascii="Garamond" w:eastAsia="Times New Roman" w:hAnsi="Garamond" w:cs="Times New Roman"/>
                <w:color w:val="000000"/>
                <w:sz w:val="6"/>
                <w:szCs w:val="6"/>
                <w:lang w:val="sq-AL"/>
              </w:rPr>
              <w:br/>
              <w:t>Udhëzim i përbashkët ndërmjet MB</w:t>
            </w:r>
            <w:r w:rsidR="00F679FC">
              <w:rPr>
                <w:rFonts w:ascii="Garamond" w:eastAsia="Times New Roman" w:hAnsi="Garamond" w:cs="Times New Roman"/>
                <w:color w:val="000000"/>
                <w:sz w:val="6"/>
                <w:szCs w:val="6"/>
                <w:lang w:val="sq-AL"/>
              </w:rPr>
              <w:t>-së</w:t>
            </w:r>
            <w:r w:rsidRPr="001F0C5A">
              <w:rPr>
                <w:rFonts w:ascii="Garamond" w:eastAsia="Times New Roman" w:hAnsi="Garamond" w:cs="Times New Roman"/>
                <w:color w:val="000000"/>
                <w:sz w:val="6"/>
                <w:szCs w:val="6"/>
                <w:lang w:val="sq-AL"/>
              </w:rPr>
              <w:t xml:space="preserve"> dhe Komisionerit për të </w:t>
            </w:r>
            <w:r w:rsidR="00F679FC" w:rsidRPr="001F0C5A">
              <w:rPr>
                <w:rFonts w:ascii="Garamond" w:eastAsia="Times New Roman" w:hAnsi="Garamond" w:cs="Times New Roman"/>
                <w:color w:val="000000"/>
                <w:sz w:val="6"/>
                <w:szCs w:val="6"/>
                <w:lang w:val="sq-AL"/>
              </w:rPr>
              <w:t xml:space="preserve">Drejtën </w:t>
            </w:r>
            <w:r w:rsidRPr="001F0C5A">
              <w:rPr>
                <w:rFonts w:ascii="Garamond" w:eastAsia="Times New Roman" w:hAnsi="Garamond" w:cs="Times New Roman"/>
                <w:color w:val="000000"/>
                <w:sz w:val="6"/>
                <w:szCs w:val="6"/>
                <w:lang w:val="sq-AL"/>
              </w:rPr>
              <w:t xml:space="preserve">e </w:t>
            </w:r>
            <w:r w:rsidR="00F679FC" w:rsidRPr="001F0C5A">
              <w:rPr>
                <w:rFonts w:ascii="Garamond" w:eastAsia="Times New Roman" w:hAnsi="Garamond" w:cs="Times New Roman"/>
                <w:color w:val="000000"/>
                <w:sz w:val="6"/>
                <w:szCs w:val="6"/>
                <w:lang w:val="sq-AL"/>
              </w:rPr>
              <w:t xml:space="preserve">Informacionit </w:t>
            </w:r>
            <w:r w:rsidRPr="001F0C5A">
              <w:rPr>
                <w:rFonts w:ascii="Garamond" w:eastAsia="Times New Roman" w:hAnsi="Garamond" w:cs="Times New Roman"/>
                <w:color w:val="000000"/>
                <w:sz w:val="6"/>
                <w:szCs w:val="6"/>
                <w:lang w:val="sq-AL"/>
              </w:rPr>
              <w:t xml:space="preserve">dhe </w:t>
            </w:r>
            <w:r w:rsidR="00F679FC" w:rsidRPr="001F0C5A">
              <w:rPr>
                <w:rFonts w:ascii="Garamond" w:eastAsia="Times New Roman" w:hAnsi="Garamond" w:cs="Times New Roman"/>
                <w:color w:val="000000"/>
                <w:sz w:val="6"/>
                <w:szCs w:val="6"/>
                <w:lang w:val="sq-AL"/>
              </w:rPr>
              <w:t xml:space="preserve">Mbrojtjen </w:t>
            </w:r>
            <w:r w:rsidRPr="001F0C5A">
              <w:rPr>
                <w:rFonts w:ascii="Garamond" w:eastAsia="Times New Roman" w:hAnsi="Garamond" w:cs="Times New Roman"/>
                <w:color w:val="000000"/>
                <w:sz w:val="6"/>
                <w:szCs w:val="6"/>
                <w:lang w:val="sq-AL"/>
              </w:rPr>
              <w:t xml:space="preserve">e të </w:t>
            </w:r>
            <w:r w:rsidR="00F679FC" w:rsidRPr="001F0C5A">
              <w:rPr>
                <w:rFonts w:ascii="Garamond" w:eastAsia="Times New Roman" w:hAnsi="Garamond" w:cs="Times New Roman"/>
                <w:color w:val="000000"/>
                <w:sz w:val="6"/>
                <w:szCs w:val="6"/>
                <w:lang w:val="sq-AL"/>
              </w:rPr>
              <w:t xml:space="preserve">Dhënave Personale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përpunimin e të dhënave personale nga roja kufitare</w:t>
            </w:r>
            <w:r w:rsidR="003110EB">
              <w:rPr>
                <w:rFonts w:ascii="Garamond" w:eastAsia="Times New Roman" w:hAnsi="Garamond" w:cs="Times New Roman"/>
                <w:color w:val="000000"/>
                <w:sz w:val="6"/>
                <w:szCs w:val="6"/>
                <w:lang w:val="sq-AL"/>
              </w:rPr>
              <w:t>”</w:t>
            </w:r>
            <w:r w:rsidR="00F679FC">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br/>
              <w:t xml:space="preserve">Udhëzim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listën e pikave të kalimit kufitar dhe zonave transit në Republikën e Shqipërisë’.</w:t>
            </w:r>
            <w:r w:rsidRPr="001F0C5A">
              <w:rPr>
                <w:rFonts w:ascii="Garamond" w:eastAsia="Times New Roman" w:hAnsi="Garamond" w:cs="Times New Roman"/>
                <w:color w:val="000000"/>
                <w:sz w:val="6"/>
                <w:szCs w:val="6"/>
                <w:lang w:val="sq-AL"/>
              </w:rPr>
              <w:br/>
              <w:t xml:space="preserve">Udhëzim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informacionin që u jepet personave të cilët janë subjekt i verifikimeve të vijës së dytë në pikat e kalimit kufitar</w:t>
            </w:r>
            <w:r w:rsidR="003110EB">
              <w:rPr>
                <w:rFonts w:ascii="Garamond" w:eastAsia="Times New Roman" w:hAnsi="Garamond" w:cs="Times New Roman"/>
                <w:color w:val="000000"/>
                <w:sz w:val="6"/>
                <w:szCs w:val="6"/>
                <w:lang w:val="sq-AL"/>
              </w:rPr>
              <w:t>”</w:t>
            </w:r>
          </w:p>
        </w:tc>
        <w:tc>
          <w:tcPr>
            <w:tcW w:w="211" w:type="pct"/>
            <w:tcBorders>
              <w:top w:val="nil"/>
              <w:left w:val="nil"/>
              <w:bottom w:val="single" w:sz="4" w:space="0" w:color="auto"/>
              <w:right w:val="single" w:sz="4" w:space="0" w:color="auto"/>
            </w:tcBorders>
            <w:shd w:val="clear" w:color="auto" w:fill="auto"/>
            <w:vAlign w:val="center"/>
            <w:hideMark/>
          </w:tcPr>
          <w:p w14:paraId="0D0039C6" w14:textId="7A8D980D"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91604AJ</w:t>
            </w:r>
          </w:p>
        </w:tc>
        <w:tc>
          <w:tcPr>
            <w:tcW w:w="202" w:type="pct"/>
            <w:tcBorders>
              <w:top w:val="nil"/>
              <w:left w:val="nil"/>
              <w:bottom w:val="single" w:sz="4" w:space="0" w:color="auto"/>
              <w:right w:val="single" w:sz="4" w:space="0" w:color="auto"/>
            </w:tcBorders>
            <w:shd w:val="clear" w:color="000000" w:fill="FFFFFF"/>
            <w:vAlign w:val="center"/>
            <w:hideMark/>
          </w:tcPr>
          <w:p w14:paraId="5CB50D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28CB97B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25890EE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60E1E5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6AFE3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14B965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76B37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5745C6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2AD313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E8E2A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2EF959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2EFB11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D709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049B6F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81" w:type="pct"/>
            <w:tcBorders>
              <w:top w:val="nil"/>
              <w:left w:val="nil"/>
              <w:bottom w:val="single" w:sz="4" w:space="0" w:color="auto"/>
              <w:right w:val="single" w:sz="4" w:space="0" w:color="auto"/>
            </w:tcBorders>
            <w:shd w:val="clear" w:color="000000" w:fill="FFFFFF"/>
            <w:vAlign w:val="center"/>
            <w:hideMark/>
          </w:tcPr>
          <w:p w14:paraId="59FFC5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43D04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70" w:type="pct"/>
            <w:tcBorders>
              <w:top w:val="nil"/>
              <w:left w:val="nil"/>
              <w:bottom w:val="single" w:sz="4" w:space="0" w:color="auto"/>
              <w:right w:val="single" w:sz="4" w:space="0" w:color="auto"/>
            </w:tcBorders>
            <w:shd w:val="clear" w:color="000000" w:fill="FFFFFF"/>
            <w:vAlign w:val="center"/>
            <w:hideMark/>
          </w:tcPr>
          <w:p w14:paraId="73F3CC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B0484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76A6C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8CD7B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E1996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B38B43D"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56BB8CB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1.2.3</w:t>
            </w:r>
          </w:p>
        </w:tc>
        <w:tc>
          <w:tcPr>
            <w:tcW w:w="247" w:type="pct"/>
            <w:tcBorders>
              <w:top w:val="nil"/>
              <w:left w:val="nil"/>
              <w:bottom w:val="single" w:sz="4" w:space="0" w:color="auto"/>
              <w:right w:val="single" w:sz="4" w:space="0" w:color="auto"/>
            </w:tcBorders>
            <w:shd w:val="clear" w:color="auto" w:fill="auto"/>
            <w:vAlign w:val="center"/>
            <w:hideMark/>
          </w:tcPr>
          <w:p w14:paraId="741355D3" w14:textId="3D266935"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Rishikimi dhe hartimi i Procedurave Standarde të Punës</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në zbatim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të</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 xml:space="preserve">ligjit të ri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mbikëqyrjen dhe kontrollin e kufirit shtetëror</w:t>
            </w:r>
            <w:r w:rsidR="003110EB">
              <w:rPr>
                <w:rFonts w:ascii="Garamond" w:eastAsia="Times New Roman" w:hAnsi="Garamond" w:cs="Times New Roman"/>
                <w:color w:val="000000"/>
                <w:sz w:val="6"/>
                <w:szCs w:val="6"/>
                <w:lang w:val="sq-AL"/>
              </w:rPr>
              <w:t>”</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(rreth 15 PS)</w:t>
            </w:r>
          </w:p>
        </w:tc>
        <w:tc>
          <w:tcPr>
            <w:tcW w:w="211" w:type="pct"/>
            <w:tcBorders>
              <w:top w:val="nil"/>
              <w:left w:val="nil"/>
              <w:bottom w:val="single" w:sz="4" w:space="0" w:color="auto"/>
              <w:right w:val="single" w:sz="4" w:space="0" w:color="auto"/>
            </w:tcBorders>
            <w:shd w:val="clear" w:color="auto" w:fill="auto"/>
            <w:vAlign w:val="center"/>
            <w:hideMark/>
          </w:tcPr>
          <w:p w14:paraId="24D062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96798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465977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713AC7C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70F2B5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1BFF2A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271CFE7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59DC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786B89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508831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3DECD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658203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47CD4A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99E94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43B628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81" w:type="pct"/>
            <w:tcBorders>
              <w:top w:val="nil"/>
              <w:left w:val="nil"/>
              <w:bottom w:val="single" w:sz="4" w:space="0" w:color="auto"/>
              <w:right w:val="single" w:sz="4" w:space="0" w:color="auto"/>
            </w:tcBorders>
            <w:shd w:val="clear" w:color="000000" w:fill="FFFFFF"/>
            <w:vAlign w:val="center"/>
            <w:hideMark/>
          </w:tcPr>
          <w:p w14:paraId="3E4A63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6E66E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70" w:type="pct"/>
            <w:tcBorders>
              <w:top w:val="nil"/>
              <w:left w:val="nil"/>
              <w:bottom w:val="single" w:sz="4" w:space="0" w:color="auto"/>
              <w:right w:val="single" w:sz="4" w:space="0" w:color="auto"/>
            </w:tcBorders>
            <w:shd w:val="clear" w:color="000000" w:fill="FFFFFF"/>
            <w:vAlign w:val="center"/>
            <w:hideMark/>
          </w:tcPr>
          <w:p w14:paraId="1118D5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0B89F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5D69E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5938A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8449C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C5CD981"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967380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1.3</w:t>
            </w:r>
          </w:p>
        </w:tc>
        <w:tc>
          <w:tcPr>
            <w:tcW w:w="247" w:type="pct"/>
            <w:tcBorders>
              <w:top w:val="nil"/>
              <w:left w:val="nil"/>
              <w:bottom w:val="single" w:sz="4" w:space="0" w:color="auto"/>
              <w:right w:val="single" w:sz="4" w:space="0" w:color="auto"/>
            </w:tcBorders>
            <w:shd w:val="clear" w:color="auto" w:fill="auto"/>
            <w:vAlign w:val="center"/>
            <w:hideMark/>
          </w:tcPr>
          <w:p w14:paraId="37DDB418" w14:textId="3B902E7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Miratimi i rregullores </w:t>
            </w:r>
            <w:r w:rsidR="003110EB">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Për qarkullimin lokal të kufirit</w:t>
            </w:r>
            <w:r w:rsidR="003110EB">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 xml:space="preserve"> </w:t>
            </w:r>
          </w:p>
        </w:tc>
        <w:tc>
          <w:tcPr>
            <w:tcW w:w="211" w:type="pct"/>
            <w:tcBorders>
              <w:top w:val="nil"/>
              <w:left w:val="nil"/>
              <w:bottom w:val="single" w:sz="4" w:space="0" w:color="auto"/>
              <w:right w:val="single" w:sz="4" w:space="0" w:color="auto"/>
            </w:tcBorders>
            <w:shd w:val="clear" w:color="auto" w:fill="auto"/>
            <w:vAlign w:val="bottom"/>
            <w:hideMark/>
          </w:tcPr>
          <w:p w14:paraId="4F52DC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38D2B4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065232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1A57536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32743C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45EF2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988B7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CF9E4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9BDC9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0E41B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A06C2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07184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DF7B9F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3A62C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90010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27B35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BCF6E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4FC39C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E6445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07DDAD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E5B1E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68BE6C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A3079F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11118D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1.3.1</w:t>
            </w:r>
          </w:p>
        </w:tc>
        <w:tc>
          <w:tcPr>
            <w:tcW w:w="247" w:type="pct"/>
            <w:tcBorders>
              <w:top w:val="nil"/>
              <w:left w:val="nil"/>
              <w:bottom w:val="single" w:sz="4" w:space="0" w:color="auto"/>
              <w:right w:val="single" w:sz="4" w:space="0" w:color="auto"/>
            </w:tcBorders>
            <w:shd w:val="clear" w:color="auto" w:fill="auto"/>
            <w:vAlign w:val="center"/>
            <w:hideMark/>
          </w:tcPr>
          <w:p w14:paraId="47F27DAB" w14:textId="474A4BAD"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Ngritja e grupit të punës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xml:space="preserve">Për hartimin e </w:t>
            </w:r>
            <w:r w:rsidR="00F679FC" w:rsidRPr="001F0C5A">
              <w:rPr>
                <w:rFonts w:ascii="Garamond" w:eastAsia="Times New Roman" w:hAnsi="Garamond" w:cs="Times New Roman"/>
                <w:color w:val="000000"/>
                <w:sz w:val="6"/>
                <w:szCs w:val="6"/>
                <w:lang w:val="sq-AL"/>
              </w:rPr>
              <w:t>rregullores për qarkullimin lokal të kufirit</w:t>
            </w:r>
            <w:r w:rsidR="003110EB">
              <w:rPr>
                <w:rFonts w:ascii="Garamond" w:eastAsia="Times New Roman" w:hAnsi="Garamond" w:cs="Times New Roman"/>
                <w:color w:val="000000"/>
                <w:sz w:val="6"/>
                <w:szCs w:val="6"/>
                <w:lang w:val="sq-AL"/>
              </w:rPr>
              <w:t>”</w:t>
            </w:r>
          </w:p>
        </w:tc>
        <w:tc>
          <w:tcPr>
            <w:tcW w:w="211" w:type="pct"/>
            <w:tcBorders>
              <w:top w:val="nil"/>
              <w:left w:val="nil"/>
              <w:bottom w:val="single" w:sz="4" w:space="0" w:color="auto"/>
              <w:right w:val="single" w:sz="4" w:space="0" w:color="auto"/>
            </w:tcBorders>
            <w:shd w:val="clear" w:color="000000" w:fill="FFFFFF"/>
            <w:vAlign w:val="center"/>
            <w:hideMark/>
          </w:tcPr>
          <w:p w14:paraId="3CCBDE3D" w14:textId="59160D1D"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7419B1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18AF4E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18731DC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34A530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56017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726F68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719D6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753A09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4E9545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F85C0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592C9B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1F54B3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F6F0B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3210842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3EA997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B295F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70" w:type="pct"/>
            <w:tcBorders>
              <w:top w:val="nil"/>
              <w:left w:val="nil"/>
              <w:bottom w:val="single" w:sz="4" w:space="0" w:color="auto"/>
              <w:right w:val="single" w:sz="4" w:space="0" w:color="auto"/>
            </w:tcBorders>
            <w:shd w:val="clear" w:color="000000" w:fill="FFFFFF"/>
            <w:vAlign w:val="center"/>
            <w:hideMark/>
          </w:tcPr>
          <w:p w14:paraId="4D338F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E035D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23471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0F7E3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0DFF1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A17C31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0C3A93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1.3.2</w:t>
            </w:r>
          </w:p>
        </w:tc>
        <w:tc>
          <w:tcPr>
            <w:tcW w:w="247" w:type="pct"/>
            <w:tcBorders>
              <w:top w:val="nil"/>
              <w:left w:val="nil"/>
              <w:bottom w:val="single" w:sz="4" w:space="0" w:color="auto"/>
              <w:right w:val="single" w:sz="4" w:space="0" w:color="auto"/>
            </w:tcBorders>
            <w:shd w:val="clear" w:color="auto" w:fill="auto"/>
            <w:vAlign w:val="center"/>
            <w:hideMark/>
          </w:tcPr>
          <w:p w14:paraId="2D3F441A" w14:textId="3B9BB10A"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Hartimi i draftit të Rregullores për Qarkullimin Lokal të Kufirit</w:t>
            </w:r>
          </w:p>
        </w:tc>
        <w:tc>
          <w:tcPr>
            <w:tcW w:w="211" w:type="pct"/>
            <w:tcBorders>
              <w:top w:val="nil"/>
              <w:left w:val="nil"/>
              <w:bottom w:val="single" w:sz="4" w:space="0" w:color="auto"/>
              <w:right w:val="single" w:sz="4" w:space="0" w:color="auto"/>
            </w:tcBorders>
            <w:shd w:val="clear" w:color="000000" w:fill="FFFFFF"/>
            <w:vAlign w:val="center"/>
            <w:hideMark/>
          </w:tcPr>
          <w:p w14:paraId="6F2457DC" w14:textId="6C3F2191"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04B78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4A5B92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3604D9D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324E33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92EA3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3D4FE1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C97EF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2BCD53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7F02A1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2F39E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771595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1222D3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D0DCB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7535BA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81" w:type="pct"/>
            <w:tcBorders>
              <w:top w:val="nil"/>
              <w:left w:val="nil"/>
              <w:bottom w:val="single" w:sz="4" w:space="0" w:color="auto"/>
              <w:right w:val="single" w:sz="4" w:space="0" w:color="auto"/>
            </w:tcBorders>
            <w:shd w:val="clear" w:color="000000" w:fill="FFFFFF"/>
            <w:vAlign w:val="center"/>
            <w:hideMark/>
          </w:tcPr>
          <w:p w14:paraId="294A3F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07F67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70" w:type="pct"/>
            <w:tcBorders>
              <w:top w:val="nil"/>
              <w:left w:val="nil"/>
              <w:bottom w:val="single" w:sz="4" w:space="0" w:color="auto"/>
              <w:right w:val="single" w:sz="4" w:space="0" w:color="auto"/>
            </w:tcBorders>
            <w:shd w:val="clear" w:color="000000" w:fill="FFFFFF"/>
            <w:vAlign w:val="center"/>
            <w:hideMark/>
          </w:tcPr>
          <w:p w14:paraId="52A06E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FBD1B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4E6B4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19F41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5A22F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7C1889B"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6CA5374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19478A46" w14:textId="7A879470"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F679FC">
              <w:rPr>
                <w:rFonts w:ascii="Garamond" w:eastAsia="Times New Roman" w:hAnsi="Garamond" w:cs="Times New Roman"/>
                <w:b/>
                <w:bCs/>
                <w:color w:val="FF0000"/>
                <w:sz w:val="6"/>
                <w:szCs w:val="6"/>
                <w:lang w:val="sq-AL"/>
              </w:rPr>
              <w:t xml:space="preserve">ja – </w:t>
            </w:r>
            <w:r w:rsidRPr="001F0C5A">
              <w:rPr>
                <w:rFonts w:ascii="Garamond" w:eastAsia="Times New Roman" w:hAnsi="Garamond" w:cs="Times New Roman"/>
                <w:b/>
                <w:bCs/>
                <w:color w:val="FF0000"/>
                <w:sz w:val="6"/>
                <w:szCs w:val="6"/>
                <w:lang w:val="sq-AL"/>
              </w:rPr>
              <w:t xml:space="preserve">Objektivi </w:t>
            </w:r>
            <w:r w:rsidR="00F679FC" w:rsidRPr="001F0C5A">
              <w:rPr>
                <w:rFonts w:ascii="Garamond" w:eastAsia="Times New Roman" w:hAnsi="Garamond" w:cs="Times New Roman"/>
                <w:b/>
                <w:bCs/>
                <w:color w:val="FF0000"/>
                <w:sz w:val="6"/>
                <w:szCs w:val="6"/>
                <w:lang w:val="sq-AL"/>
              </w:rPr>
              <w:t xml:space="preserve">specifik </w:t>
            </w:r>
            <w:r w:rsidRPr="001F0C5A">
              <w:rPr>
                <w:rFonts w:ascii="Garamond" w:eastAsia="Times New Roman" w:hAnsi="Garamond" w:cs="Times New Roman"/>
                <w:b/>
                <w:bCs/>
                <w:color w:val="FF0000"/>
                <w:sz w:val="6"/>
                <w:szCs w:val="6"/>
                <w:lang w:val="sq-AL"/>
              </w:rPr>
              <w:t>1</w:t>
            </w:r>
          </w:p>
        </w:tc>
        <w:tc>
          <w:tcPr>
            <w:tcW w:w="211" w:type="pct"/>
            <w:tcBorders>
              <w:top w:val="nil"/>
              <w:left w:val="nil"/>
              <w:bottom w:val="single" w:sz="4" w:space="0" w:color="auto"/>
              <w:right w:val="single" w:sz="4" w:space="0" w:color="auto"/>
            </w:tcBorders>
            <w:shd w:val="clear" w:color="000000" w:fill="D9D9D9"/>
            <w:vAlign w:val="center"/>
            <w:hideMark/>
          </w:tcPr>
          <w:p w14:paraId="6890584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049856A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6340B52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4472A8B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7DBFE8A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BFBFBF"/>
            <w:vAlign w:val="center"/>
            <w:hideMark/>
          </w:tcPr>
          <w:p w14:paraId="464DE70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2,950,000</w:t>
            </w:r>
          </w:p>
        </w:tc>
        <w:tc>
          <w:tcPr>
            <w:tcW w:w="181" w:type="pct"/>
            <w:tcBorders>
              <w:top w:val="nil"/>
              <w:left w:val="nil"/>
              <w:bottom w:val="single" w:sz="4" w:space="0" w:color="auto"/>
              <w:right w:val="single" w:sz="4" w:space="0" w:color="auto"/>
            </w:tcBorders>
            <w:shd w:val="clear" w:color="000000" w:fill="BFBFBF"/>
            <w:vAlign w:val="center"/>
            <w:hideMark/>
          </w:tcPr>
          <w:p w14:paraId="35A5AC2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2FCAF4A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2,950,000</w:t>
            </w:r>
          </w:p>
        </w:tc>
        <w:tc>
          <w:tcPr>
            <w:tcW w:w="196" w:type="pct"/>
            <w:tcBorders>
              <w:top w:val="nil"/>
              <w:left w:val="nil"/>
              <w:bottom w:val="single" w:sz="4" w:space="0" w:color="auto"/>
              <w:right w:val="single" w:sz="4" w:space="0" w:color="auto"/>
            </w:tcBorders>
            <w:shd w:val="clear" w:color="000000" w:fill="BFBFBF"/>
            <w:vAlign w:val="center"/>
            <w:hideMark/>
          </w:tcPr>
          <w:p w14:paraId="18181D8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2,700,000</w:t>
            </w:r>
          </w:p>
        </w:tc>
        <w:tc>
          <w:tcPr>
            <w:tcW w:w="196" w:type="pct"/>
            <w:tcBorders>
              <w:top w:val="nil"/>
              <w:left w:val="nil"/>
              <w:bottom w:val="single" w:sz="4" w:space="0" w:color="auto"/>
              <w:right w:val="single" w:sz="4" w:space="0" w:color="auto"/>
            </w:tcBorders>
            <w:shd w:val="clear" w:color="000000" w:fill="BFBFBF"/>
            <w:vAlign w:val="center"/>
            <w:hideMark/>
          </w:tcPr>
          <w:p w14:paraId="7032B29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63FA3B2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2,700,000</w:t>
            </w:r>
          </w:p>
        </w:tc>
        <w:tc>
          <w:tcPr>
            <w:tcW w:w="196" w:type="pct"/>
            <w:tcBorders>
              <w:top w:val="nil"/>
              <w:left w:val="nil"/>
              <w:bottom w:val="single" w:sz="4" w:space="0" w:color="auto"/>
              <w:right w:val="single" w:sz="4" w:space="0" w:color="auto"/>
            </w:tcBorders>
            <w:shd w:val="clear" w:color="000000" w:fill="BFBFBF"/>
            <w:vAlign w:val="center"/>
            <w:hideMark/>
          </w:tcPr>
          <w:p w14:paraId="11BCEB9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5,650,000</w:t>
            </w:r>
          </w:p>
        </w:tc>
        <w:tc>
          <w:tcPr>
            <w:tcW w:w="196" w:type="pct"/>
            <w:tcBorders>
              <w:top w:val="nil"/>
              <w:left w:val="nil"/>
              <w:bottom w:val="single" w:sz="4" w:space="0" w:color="auto"/>
              <w:right w:val="single" w:sz="4" w:space="0" w:color="auto"/>
            </w:tcBorders>
            <w:shd w:val="clear" w:color="000000" w:fill="BFBFBF"/>
            <w:vAlign w:val="center"/>
            <w:hideMark/>
          </w:tcPr>
          <w:p w14:paraId="17A7BDB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192569C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5,650,000</w:t>
            </w:r>
          </w:p>
        </w:tc>
        <w:tc>
          <w:tcPr>
            <w:tcW w:w="196" w:type="pct"/>
            <w:tcBorders>
              <w:top w:val="nil"/>
              <w:left w:val="nil"/>
              <w:bottom w:val="single" w:sz="4" w:space="0" w:color="auto"/>
              <w:right w:val="single" w:sz="4" w:space="0" w:color="auto"/>
            </w:tcBorders>
            <w:shd w:val="clear" w:color="000000" w:fill="BFBFBF"/>
            <w:vAlign w:val="center"/>
            <w:hideMark/>
          </w:tcPr>
          <w:p w14:paraId="4B5894E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5,650,000</w:t>
            </w:r>
          </w:p>
        </w:tc>
        <w:tc>
          <w:tcPr>
            <w:tcW w:w="181" w:type="pct"/>
            <w:tcBorders>
              <w:top w:val="nil"/>
              <w:left w:val="nil"/>
              <w:bottom w:val="single" w:sz="4" w:space="0" w:color="auto"/>
              <w:right w:val="single" w:sz="4" w:space="0" w:color="auto"/>
            </w:tcBorders>
            <w:shd w:val="clear" w:color="000000" w:fill="BFBFBF"/>
            <w:vAlign w:val="center"/>
            <w:hideMark/>
          </w:tcPr>
          <w:p w14:paraId="2055E51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1A42AEE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5,650,000</w:t>
            </w:r>
          </w:p>
        </w:tc>
        <w:tc>
          <w:tcPr>
            <w:tcW w:w="170" w:type="pct"/>
            <w:tcBorders>
              <w:top w:val="nil"/>
              <w:left w:val="nil"/>
              <w:bottom w:val="single" w:sz="4" w:space="0" w:color="auto"/>
              <w:right w:val="single" w:sz="4" w:space="0" w:color="auto"/>
            </w:tcBorders>
            <w:shd w:val="clear" w:color="000000" w:fill="BFBFBF"/>
            <w:vAlign w:val="center"/>
            <w:hideMark/>
          </w:tcPr>
          <w:p w14:paraId="0B3B831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052100A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BFBFBF"/>
            <w:vAlign w:val="center"/>
            <w:hideMark/>
          </w:tcPr>
          <w:p w14:paraId="5E22740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6AC9682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BFBFBF"/>
            <w:vAlign w:val="center"/>
            <w:hideMark/>
          </w:tcPr>
          <w:p w14:paraId="4BADDB4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453D5B6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06A2986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w:t>
            </w:r>
          </w:p>
        </w:tc>
        <w:tc>
          <w:tcPr>
            <w:tcW w:w="247" w:type="pct"/>
            <w:tcBorders>
              <w:top w:val="nil"/>
              <w:left w:val="nil"/>
              <w:bottom w:val="single" w:sz="4" w:space="0" w:color="auto"/>
              <w:right w:val="single" w:sz="4" w:space="0" w:color="auto"/>
            </w:tcBorders>
            <w:shd w:val="clear" w:color="000000" w:fill="DDEBF7"/>
            <w:vAlign w:val="center"/>
            <w:hideMark/>
          </w:tcPr>
          <w:p w14:paraId="26BD3EB9" w14:textId="0BA5EFD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2</w:t>
            </w:r>
            <w:r w:rsidR="00F679FC">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 xml:space="preserve"> Përmirësimi i Sistemit për </w:t>
            </w:r>
            <w:r w:rsidR="00F679FC" w:rsidRPr="001F0C5A">
              <w:rPr>
                <w:rFonts w:ascii="Garamond" w:eastAsia="Times New Roman" w:hAnsi="Garamond" w:cs="Times New Roman"/>
                <w:b/>
                <w:bCs/>
                <w:color w:val="000000"/>
                <w:sz w:val="6"/>
                <w:szCs w:val="6"/>
                <w:lang w:val="sq-AL"/>
              </w:rPr>
              <w:t>mbikëqyrjen</w:t>
            </w:r>
            <w:r w:rsidRPr="001F0C5A">
              <w:rPr>
                <w:rFonts w:ascii="Garamond" w:eastAsia="Times New Roman" w:hAnsi="Garamond" w:cs="Times New Roman"/>
                <w:b/>
                <w:bCs/>
                <w:color w:val="000000"/>
                <w:sz w:val="6"/>
                <w:szCs w:val="6"/>
                <w:lang w:val="sq-AL"/>
              </w:rPr>
              <w:t xml:space="preserve"> e hapësirës detare, kontrollit kufitar dhe kërkimit dhe shpëtimit në det</w:t>
            </w:r>
          </w:p>
        </w:tc>
        <w:tc>
          <w:tcPr>
            <w:tcW w:w="211" w:type="pct"/>
            <w:tcBorders>
              <w:top w:val="nil"/>
              <w:left w:val="nil"/>
              <w:bottom w:val="single" w:sz="4" w:space="0" w:color="auto"/>
              <w:right w:val="single" w:sz="4" w:space="0" w:color="auto"/>
            </w:tcBorders>
            <w:shd w:val="clear" w:color="000000" w:fill="DDEBF7"/>
            <w:vAlign w:val="center"/>
            <w:hideMark/>
          </w:tcPr>
          <w:p w14:paraId="451C05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5F0B74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558C1D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7B6153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5FDD02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CA9BE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70511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88A76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2E6FC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263E6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D82BC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B74CE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B213E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555CF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81231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D07E4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2DEA6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42A99B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FBA14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20B44A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FA5AC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51D3CB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6DD7F3D"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5DE8242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2.1</w:t>
            </w:r>
          </w:p>
        </w:tc>
        <w:tc>
          <w:tcPr>
            <w:tcW w:w="247" w:type="pct"/>
            <w:tcBorders>
              <w:top w:val="nil"/>
              <w:left w:val="nil"/>
              <w:bottom w:val="single" w:sz="4" w:space="0" w:color="auto"/>
              <w:right w:val="single" w:sz="4" w:space="0" w:color="auto"/>
            </w:tcBorders>
            <w:shd w:val="clear" w:color="auto" w:fill="auto"/>
            <w:vAlign w:val="center"/>
            <w:hideMark/>
          </w:tcPr>
          <w:p w14:paraId="2DC0E788"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Rishikimi i Planit Kombëtar të Kërkim Shpëtimit në RSH dhe Plani i Veprimit të tij</w:t>
            </w:r>
          </w:p>
        </w:tc>
        <w:tc>
          <w:tcPr>
            <w:tcW w:w="211" w:type="pct"/>
            <w:tcBorders>
              <w:top w:val="nil"/>
              <w:left w:val="nil"/>
              <w:bottom w:val="single" w:sz="4" w:space="0" w:color="auto"/>
              <w:right w:val="single" w:sz="4" w:space="0" w:color="auto"/>
            </w:tcBorders>
            <w:shd w:val="clear" w:color="000000" w:fill="FFFFFF"/>
            <w:vAlign w:val="center"/>
            <w:hideMark/>
          </w:tcPr>
          <w:p w14:paraId="5C7F18AF" w14:textId="0E371671"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Programi 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12E2C7F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p>
        </w:tc>
        <w:tc>
          <w:tcPr>
            <w:tcW w:w="680" w:type="pct"/>
            <w:tcBorders>
              <w:top w:val="nil"/>
              <w:left w:val="nil"/>
              <w:bottom w:val="single" w:sz="4" w:space="0" w:color="auto"/>
              <w:right w:val="single" w:sz="4" w:space="0" w:color="auto"/>
            </w:tcBorders>
            <w:shd w:val="clear" w:color="000000" w:fill="FFFFFF"/>
            <w:vAlign w:val="center"/>
            <w:hideMark/>
          </w:tcPr>
          <w:p w14:paraId="211E39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QNOD, MB / PSH,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1F827E2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C2D9B5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CAD534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06018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1995E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3C5EA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96" w:type="pct"/>
            <w:tcBorders>
              <w:top w:val="nil"/>
              <w:left w:val="nil"/>
              <w:bottom w:val="single" w:sz="4" w:space="0" w:color="auto"/>
              <w:right w:val="single" w:sz="4" w:space="0" w:color="auto"/>
            </w:tcBorders>
            <w:shd w:val="clear" w:color="000000" w:fill="FFFFFF"/>
            <w:vAlign w:val="center"/>
            <w:hideMark/>
          </w:tcPr>
          <w:p w14:paraId="5AC327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BD2B0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96" w:type="pct"/>
            <w:tcBorders>
              <w:top w:val="nil"/>
              <w:left w:val="nil"/>
              <w:bottom w:val="single" w:sz="4" w:space="0" w:color="auto"/>
              <w:right w:val="single" w:sz="4" w:space="0" w:color="auto"/>
            </w:tcBorders>
            <w:shd w:val="clear" w:color="000000" w:fill="FFFFFF"/>
            <w:vAlign w:val="center"/>
            <w:hideMark/>
          </w:tcPr>
          <w:p w14:paraId="2CDA9B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96" w:type="pct"/>
            <w:tcBorders>
              <w:top w:val="nil"/>
              <w:left w:val="nil"/>
              <w:bottom w:val="single" w:sz="4" w:space="0" w:color="auto"/>
              <w:right w:val="single" w:sz="4" w:space="0" w:color="auto"/>
            </w:tcBorders>
            <w:shd w:val="clear" w:color="000000" w:fill="FFFFFF"/>
            <w:vAlign w:val="center"/>
            <w:hideMark/>
          </w:tcPr>
          <w:p w14:paraId="599D1B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B2A86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96" w:type="pct"/>
            <w:tcBorders>
              <w:top w:val="nil"/>
              <w:left w:val="nil"/>
              <w:bottom w:val="single" w:sz="4" w:space="0" w:color="auto"/>
              <w:right w:val="single" w:sz="4" w:space="0" w:color="auto"/>
            </w:tcBorders>
            <w:shd w:val="clear" w:color="000000" w:fill="FFFFFF"/>
            <w:vAlign w:val="center"/>
            <w:hideMark/>
          </w:tcPr>
          <w:p w14:paraId="297664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81" w:type="pct"/>
            <w:tcBorders>
              <w:top w:val="nil"/>
              <w:left w:val="nil"/>
              <w:bottom w:val="single" w:sz="4" w:space="0" w:color="auto"/>
              <w:right w:val="single" w:sz="4" w:space="0" w:color="auto"/>
            </w:tcBorders>
            <w:shd w:val="clear" w:color="000000" w:fill="FFFFFF"/>
            <w:vAlign w:val="center"/>
            <w:hideMark/>
          </w:tcPr>
          <w:p w14:paraId="3DF546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5AB4D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70" w:type="pct"/>
            <w:tcBorders>
              <w:top w:val="nil"/>
              <w:left w:val="nil"/>
              <w:bottom w:val="single" w:sz="4" w:space="0" w:color="auto"/>
              <w:right w:val="single" w:sz="4" w:space="0" w:color="auto"/>
            </w:tcBorders>
            <w:shd w:val="clear" w:color="000000" w:fill="FFFFFF"/>
            <w:vAlign w:val="center"/>
            <w:hideMark/>
          </w:tcPr>
          <w:p w14:paraId="17CF6F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BF01F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5EB93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97DA0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389C1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8AAEE60"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A671AD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2.1.1</w:t>
            </w:r>
          </w:p>
        </w:tc>
        <w:tc>
          <w:tcPr>
            <w:tcW w:w="247" w:type="pct"/>
            <w:tcBorders>
              <w:top w:val="nil"/>
              <w:left w:val="nil"/>
              <w:bottom w:val="single" w:sz="4" w:space="0" w:color="auto"/>
              <w:right w:val="single" w:sz="4" w:space="0" w:color="auto"/>
            </w:tcBorders>
            <w:shd w:val="clear" w:color="auto" w:fill="auto"/>
            <w:vAlign w:val="center"/>
            <w:hideMark/>
          </w:tcPr>
          <w:p w14:paraId="207E1947"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Miratimin e Planit Operacional të Kërkim Shpëtimit</w:t>
            </w:r>
          </w:p>
        </w:tc>
        <w:tc>
          <w:tcPr>
            <w:tcW w:w="211" w:type="pct"/>
            <w:tcBorders>
              <w:top w:val="nil"/>
              <w:left w:val="nil"/>
              <w:bottom w:val="single" w:sz="4" w:space="0" w:color="auto"/>
              <w:right w:val="single" w:sz="4" w:space="0" w:color="auto"/>
            </w:tcBorders>
            <w:shd w:val="clear" w:color="000000" w:fill="FFFFFF"/>
            <w:vAlign w:val="center"/>
            <w:hideMark/>
          </w:tcPr>
          <w:p w14:paraId="209C8AD7" w14:textId="714D18A1"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Programi 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30872F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p>
        </w:tc>
        <w:tc>
          <w:tcPr>
            <w:tcW w:w="680" w:type="pct"/>
            <w:tcBorders>
              <w:top w:val="nil"/>
              <w:left w:val="nil"/>
              <w:bottom w:val="single" w:sz="4" w:space="0" w:color="auto"/>
              <w:right w:val="single" w:sz="4" w:space="0" w:color="auto"/>
            </w:tcBorders>
            <w:shd w:val="clear" w:color="000000" w:fill="FFFFFF"/>
            <w:vAlign w:val="center"/>
            <w:hideMark/>
          </w:tcPr>
          <w:p w14:paraId="4D4843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QNOD, MB / DPPSH,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685013A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30FB49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81" w:type="pct"/>
            <w:tcBorders>
              <w:top w:val="nil"/>
              <w:left w:val="nil"/>
              <w:bottom w:val="single" w:sz="4" w:space="0" w:color="auto"/>
              <w:right w:val="single" w:sz="4" w:space="0" w:color="auto"/>
            </w:tcBorders>
            <w:shd w:val="clear" w:color="000000" w:fill="FFFFFF"/>
            <w:vAlign w:val="center"/>
            <w:hideMark/>
          </w:tcPr>
          <w:p w14:paraId="6C8F7E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65,000</w:t>
            </w:r>
          </w:p>
        </w:tc>
        <w:tc>
          <w:tcPr>
            <w:tcW w:w="181" w:type="pct"/>
            <w:tcBorders>
              <w:top w:val="nil"/>
              <w:left w:val="nil"/>
              <w:bottom w:val="single" w:sz="4" w:space="0" w:color="auto"/>
              <w:right w:val="single" w:sz="4" w:space="0" w:color="auto"/>
            </w:tcBorders>
            <w:shd w:val="clear" w:color="000000" w:fill="FFFFFF"/>
            <w:vAlign w:val="center"/>
            <w:hideMark/>
          </w:tcPr>
          <w:p w14:paraId="57FCEA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1CA9F2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w:t>
            </w:r>
          </w:p>
        </w:tc>
        <w:tc>
          <w:tcPr>
            <w:tcW w:w="196" w:type="pct"/>
            <w:tcBorders>
              <w:top w:val="nil"/>
              <w:left w:val="nil"/>
              <w:bottom w:val="single" w:sz="4" w:space="0" w:color="auto"/>
              <w:right w:val="single" w:sz="4" w:space="0" w:color="auto"/>
            </w:tcBorders>
            <w:shd w:val="clear" w:color="000000" w:fill="FFFFFF"/>
            <w:vAlign w:val="center"/>
            <w:hideMark/>
          </w:tcPr>
          <w:p w14:paraId="3ED331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71376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AB5C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915B9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65,000</w:t>
            </w:r>
          </w:p>
        </w:tc>
        <w:tc>
          <w:tcPr>
            <w:tcW w:w="196" w:type="pct"/>
            <w:tcBorders>
              <w:top w:val="nil"/>
              <w:left w:val="nil"/>
              <w:bottom w:val="single" w:sz="4" w:space="0" w:color="auto"/>
              <w:right w:val="single" w:sz="4" w:space="0" w:color="auto"/>
            </w:tcBorders>
            <w:shd w:val="clear" w:color="000000" w:fill="FFFFFF"/>
            <w:vAlign w:val="center"/>
            <w:hideMark/>
          </w:tcPr>
          <w:p w14:paraId="316C58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2488DF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w:t>
            </w:r>
          </w:p>
        </w:tc>
        <w:tc>
          <w:tcPr>
            <w:tcW w:w="196" w:type="pct"/>
            <w:tcBorders>
              <w:top w:val="nil"/>
              <w:left w:val="nil"/>
              <w:bottom w:val="single" w:sz="4" w:space="0" w:color="auto"/>
              <w:right w:val="single" w:sz="4" w:space="0" w:color="auto"/>
            </w:tcBorders>
            <w:shd w:val="clear" w:color="000000" w:fill="FFFFFF"/>
            <w:vAlign w:val="center"/>
            <w:hideMark/>
          </w:tcPr>
          <w:p w14:paraId="31F341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65,000</w:t>
            </w:r>
          </w:p>
        </w:tc>
        <w:tc>
          <w:tcPr>
            <w:tcW w:w="181" w:type="pct"/>
            <w:tcBorders>
              <w:top w:val="nil"/>
              <w:left w:val="nil"/>
              <w:bottom w:val="single" w:sz="4" w:space="0" w:color="auto"/>
              <w:right w:val="single" w:sz="4" w:space="0" w:color="auto"/>
            </w:tcBorders>
            <w:shd w:val="clear" w:color="000000" w:fill="FFFFFF"/>
            <w:vAlign w:val="center"/>
            <w:hideMark/>
          </w:tcPr>
          <w:p w14:paraId="5C251C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16CDBE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w:t>
            </w:r>
          </w:p>
        </w:tc>
        <w:tc>
          <w:tcPr>
            <w:tcW w:w="170" w:type="pct"/>
            <w:tcBorders>
              <w:top w:val="nil"/>
              <w:left w:val="nil"/>
              <w:bottom w:val="single" w:sz="4" w:space="0" w:color="auto"/>
              <w:right w:val="single" w:sz="4" w:space="0" w:color="auto"/>
            </w:tcBorders>
            <w:shd w:val="clear" w:color="000000" w:fill="FFFFFF"/>
            <w:vAlign w:val="center"/>
            <w:hideMark/>
          </w:tcPr>
          <w:p w14:paraId="6E03EE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7F0D1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CA24E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99943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7B227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6948B3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087B09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2.1.2</w:t>
            </w:r>
          </w:p>
        </w:tc>
        <w:tc>
          <w:tcPr>
            <w:tcW w:w="247" w:type="pct"/>
            <w:tcBorders>
              <w:top w:val="nil"/>
              <w:left w:val="nil"/>
              <w:bottom w:val="nil"/>
              <w:right w:val="nil"/>
            </w:tcBorders>
            <w:shd w:val="clear" w:color="auto" w:fill="auto"/>
            <w:vAlign w:val="center"/>
            <w:hideMark/>
          </w:tcPr>
          <w:p w14:paraId="408F6BC6" w14:textId="5EE3B275"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takimeve informuese me subjektet shtetërore dhe private që ushtrojnë aktivitetet në hapësirën blu, për detyrimin për shpëtimin e jetëve në det, sipas legjislacionit kombëtar dhe ndërkombëtar</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14:paraId="5926649E" w14:textId="56A960A9"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30EEEB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58CD48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QNOD, MB / DPPSH,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566D7B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11627C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0A0165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72A26F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C8FE2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16F990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F37A7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527C0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310D30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6210F6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FD21E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7ADCC4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026CEF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3377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598E40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1591C4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29E39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B00FF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0610F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7841E02"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7BAD5DB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2.2</w:t>
            </w:r>
          </w:p>
        </w:tc>
        <w:tc>
          <w:tcPr>
            <w:tcW w:w="247" w:type="pct"/>
            <w:tcBorders>
              <w:top w:val="single" w:sz="4" w:space="0" w:color="auto"/>
              <w:left w:val="nil"/>
              <w:bottom w:val="single" w:sz="4" w:space="0" w:color="auto"/>
              <w:right w:val="single" w:sz="4" w:space="0" w:color="auto"/>
            </w:tcBorders>
            <w:shd w:val="clear" w:color="auto" w:fill="auto"/>
            <w:vAlign w:val="center"/>
            <w:hideMark/>
          </w:tcPr>
          <w:p w14:paraId="44F16A82"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Përmirësimi i kapaciteteve logjistike të Policisë Kufitare dhe Migracionit për mbikëqyrjen e kufirit blu</w:t>
            </w:r>
          </w:p>
        </w:tc>
        <w:tc>
          <w:tcPr>
            <w:tcW w:w="211" w:type="pct"/>
            <w:tcBorders>
              <w:top w:val="nil"/>
              <w:left w:val="nil"/>
              <w:bottom w:val="single" w:sz="4" w:space="0" w:color="auto"/>
              <w:right w:val="single" w:sz="4" w:space="0" w:color="auto"/>
            </w:tcBorders>
            <w:shd w:val="clear" w:color="000000" w:fill="FFFFFF"/>
            <w:vAlign w:val="center"/>
            <w:hideMark/>
          </w:tcPr>
          <w:p w14:paraId="7C8FD1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34548332"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2939DF1F" w14:textId="5748C2EB"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FD-RB</w:t>
            </w:r>
            <w:r w:rsidRPr="001F0C5A">
              <w:rPr>
                <w:rFonts w:ascii="Garamond" w:eastAsia="Times New Roman" w:hAnsi="Garamond" w:cs="Times New Roman"/>
                <w:color w:val="000000"/>
                <w:sz w:val="6"/>
                <w:szCs w:val="6"/>
                <w:lang w:val="sq-AL"/>
              </w:rPr>
              <w:br/>
              <w:t>QNOD</w:t>
            </w:r>
            <w:r w:rsidRPr="001F0C5A">
              <w:rPr>
                <w:rFonts w:ascii="Garamond" w:eastAsia="Times New Roman" w:hAnsi="Garamond" w:cs="Times New Roman"/>
                <w:color w:val="000000"/>
                <w:sz w:val="6"/>
                <w:szCs w:val="6"/>
                <w:lang w:val="sq-AL"/>
              </w:rPr>
              <w:br/>
              <w:t>DONATORË</w:t>
            </w:r>
          </w:p>
        </w:tc>
        <w:tc>
          <w:tcPr>
            <w:tcW w:w="143" w:type="pct"/>
            <w:tcBorders>
              <w:top w:val="nil"/>
              <w:left w:val="nil"/>
              <w:bottom w:val="single" w:sz="4" w:space="0" w:color="auto"/>
              <w:right w:val="single" w:sz="4" w:space="0" w:color="auto"/>
            </w:tcBorders>
            <w:shd w:val="clear" w:color="000000" w:fill="FFFFFF"/>
            <w:vAlign w:val="center"/>
            <w:hideMark/>
          </w:tcPr>
          <w:p w14:paraId="2C31667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E3440D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5A843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3377B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2818C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F020E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CF6E3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68D9E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2164B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C568F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FDD0A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DDE79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AD634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6B915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158931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B4C4A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48D6CE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3AC06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298893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32E803D4"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2280370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2.2.1 </w:t>
            </w:r>
          </w:p>
        </w:tc>
        <w:tc>
          <w:tcPr>
            <w:tcW w:w="247" w:type="pct"/>
            <w:tcBorders>
              <w:top w:val="nil"/>
              <w:left w:val="nil"/>
              <w:bottom w:val="single" w:sz="4" w:space="0" w:color="auto"/>
              <w:right w:val="single" w:sz="4" w:space="0" w:color="auto"/>
            </w:tcBorders>
            <w:shd w:val="clear" w:color="auto" w:fill="auto"/>
            <w:vAlign w:val="center"/>
            <w:hideMark/>
          </w:tcPr>
          <w:p w14:paraId="2BCCBF2C"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Instalimi i një radari për përmirësimin e mbikëqyrjes dhe vëzhgimin e hapësirës detare në SPKM Hoxharë ose Zvërnec</w:t>
            </w:r>
          </w:p>
        </w:tc>
        <w:tc>
          <w:tcPr>
            <w:tcW w:w="211" w:type="pct"/>
            <w:tcBorders>
              <w:top w:val="nil"/>
              <w:left w:val="nil"/>
              <w:bottom w:val="single" w:sz="4" w:space="0" w:color="auto"/>
              <w:right w:val="single" w:sz="4" w:space="0" w:color="auto"/>
            </w:tcBorders>
            <w:shd w:val="clear" w:color="000000" w:fill="FFFFFF"/>
            <w:vAlign w:val="center"/>
            <w:hideMark/>
          </w:tcPr>
          <w:p w14:paraId="68CEBF77"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5E9439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77628AB3" w14:textId="1EB88245"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FD-RB</w:t>
            </w:r>
            <w:r w:rsidRPr="001F0C5A">
              <w:rPr>
                <w:rFonts w:ascii="Garamond" w:eastAsia="Times New Roman" w:hAnsi="Garamond" w:cs="Times New Roman"/>
                <w:color w:val="000000"/>
                <w:sz w:val="6"/>
                <w:szCs w:val="6"/>
                <w:lang w:val="sq-AL"/>
              </w:rPr>
              <w:br/>
              <w:t>QNOD</w:t>
            </w:r>
            <w:r w:rsidRPr="001F0C5A">
              <w:rPr>
                <w:rFonts w:ascii="Garamond" w:eastAsia="Times New Roman" w:hAnsi="Garamond" w:cs="Times New Roman"/>
                <w:color w:val="000000"/>
                <w:sz w:val="6"/>
                <w:szCs w:val="6"/>
                <w:lang w:val="sq-AL"/>
              </w:rPr>
              <w:br/>
              <w:t>DONATORË</w:t>
            </w:r>
          </w:p>
        </w:tc>
        <w:tc>
          <w:tcPr>
            <w:tcW w:w="143" w:type="pct"/>
            <w:tcBorders>
              <w:top w:val="nil"/>
              <w:left w:val="nil"/>
              <w:bottom w:val="single" w:sz="4" w:space="0" w:color="auto"/>
              <w:right w:val="single" w:sz="4" w:space="0" w:color="auto"/>
            </w:tcBorders>
            <w:shd w:val="clear" w:color="000000" w:fill="FFFFFF"/>
            <w:vAlign w:val="center"/>
            <w:hideMark/>
          </w:tcPr>
          <w:p w14:paraId="1A6FF1E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3A12FD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69B653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12BCBE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DED8C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D40A8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47E27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auto" w:fill="auto"/>
            <w:vAlign w:val="center"/>
            <w:hideMark/>
          </w:tcPr>
          <w:p w14:paraId="36B267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753F5E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0F2B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300738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201397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AB494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A1AA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1128AE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0BD5B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232" w:type="pct"/>
            <w:tcBorders>
              <w:top w:val="nil"/>
              <w:left w:val="nil"/>
              <w:bottom w:val="single" w:sz="4" w:space="0" w:color="auto"/>
              <w:right w:val="single" w:sz="4" w:space="0" w:color="auto"/>
            </w:tcBorders>
            <w:shd w:val="clear" w:color="auto" w:fill="auto"/>
            <w:vAlign w:val="center"/>
            <w:hideMark/>
          </w:tcPr>
          <w:p w14:paraId="5B7C3A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Projekti i financuar nga BE EU4SAFEALB </w:t>
            </w:r>
          </w:p>
        </w:tc>
        <w:tc>
          <w:tcPr>
            <w:tcW w:w="181" w:type="pct"/>
            <w:tcBorders>
              <w:top w:val="nil"/>
              <w:left w:val="nil"/>
              <w:bottom w:val="single" w:sz="4" w:space="0" w:color="auto"/>
              <w:right w:val="single" w:sz="4" w:space="0" w:color="auto"/>
            </w:tcBorders>
            <w:shd w:val="clear" w:color="000000" w:fill="FFFFFF"/>
            <w:vAlign w:val="center"/>
            <w:hideMark/>
          </w:tcPr>
          <w:p w14:paraId="47DD7B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60" w:type="pct"/>
            <w:tcBorders>
              <w:top w:val="nil"/>
              <w:left w:val="nil"/>
              <w:bottom w:val="single" w:sz="4" w:space="0" w:color="auto"/>
              <w:right w:val="single" w:sz="4" w:space="0" w:color="auto"/>
            </w:tcBorders>
            <w:shd w:val="clear" w:color="000000" w:fill="FFFFFF"/>
            <w:vAlign w:val="center"/>
            <w:hideMark/>
          </w:tcPr>
          <w:p w14:paraId="16E6E4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A1B043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09E79F4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2.2.2</w:t>
            </w:r>
          </w:p>
        </w:tc>
        <w:tc>
          <w:tcPr>
            <w:tcW w:w="247" w:type="pct"/>
            <w:tcBorders>
              <w:top w:val="nil"/>
              <w:left w:val="nil"/>
              <w:bottom w:val="single" w:sz="4" w:space="0" w:color="auto"/>
              <w:right w:val="single" w:sz="4" w:space="0" w:color="auto"/>
            </w:tcBorders>
            <w:shd w:val="clear" w:color="auto" w:fill="auto"/>
            <w:vAlign w:val="center"/>
            <w:hideMark/>
          </w:tcPr>
          <w:p w14:paraId="15D72B29" w14:textId="6594AF9A"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Pajisje me 4 mjete lundruese me dimensione 5</w:t>
            </w:r>
            <w:r w:rsidR="00F679FC">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7 metra p</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r </w:t>
            </w:r>
            <w:r w:rsidR="00F679FC" w:rsidRPr="001F0C5A">
              <w:rPr>
                <w:rFonts w:ascii="Garamond" w:eastAsia="Times New Roman" w:hAnsi="Garamond" w:cs="Times New Roman"/>
                <w:color w:val="000000"/>
                <w:sz w:val="6"/>
                <w:szCs w:val="6"/>
                <w:lang w:val="sq-AL"/>
              </w:rPr>
              <w:t>mbikëqyrje</w:t>
            </w:r>
            <w:r w:rsidRPr="001F0C5A">
              <w:rPr>
                <w:rFonts w:ascii="Garamond" w:eastAsia="Times New Roman" w:hAnsi="Garamond" w:cs="Times New Roman"/>
                <w:color w:val="000000"/>
                <w:sz w:val="6"/>
                <w:szCs w:val="6"/>
                <w:lang w:val="sq-AL"/>
              </w:rPr>
              <w:t xml:space="preserve"> e lundrimin </w:t>
            </w:r>
            <w:r w:rsidR="00F679FC" w:rsidRPr="001F0C5A">
              <w:rPr>
                <w:rFonts w:ascii="Garamond" w:eastAsia="Times New Roman" w:hAnsi="Garamond" w:cs="Times New Roman"/>
                <w:color w:val="000000"/>
                <w:sz w:val="6"/>
                <w:szCs w:val="6"/>
                <w:lang w:val="sq-AL"/>
              </w:rPr>
              <w:t>lumor</w:t>
            </w:r>
          </w:p>
        </w:tc>
        <w:tc>
          <w:tcPr>
            <w:tcW w:w="211" w:type="pct"/>
            <w:tcBorders>
              <w:top w:val="nil"/>
              <w:left w:val="nil"/>
              <w:bottom w:val="single" w:sz="4" w:space="0" w:color="auto"/>
              <w:right w:val="single" w:sz="4" w:space="0" w:color="auto"/>
            </w:tcBorders>
            <w:shd w:val="clear" w:color="000000" w:fill="FFFFFF"/>
            <w:vAlign w:val="center"/>
            <w:hideMark/>
          </w:tcPr>
          <w:p w14:paraId="7A9F83BB"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548D93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566DA97F" w14:textId="352A3F45"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FD-RB</w:t>
            </w:r>
            <w:r w:rsidRPr="001F0C5A">
              <w:rPr>
                <w:rFonts w:ascii="Garamond" w:eastAsia="Times New Roman" w:hAnsi="Garamond" w:cs="Times New Roman"/>
                <w:color w:val="000000"/>
                <w:sz w:val="6"/>
                <w:szCs w:val="6"/>
                <w:lang w:val="sq-AL"/>
              </w:rPr>
              <w:br/>
              <w:t>QNOD</w:t>
            </w:r>
            <w:r w:rsidRPr="001F0C5A">
              <w:rPr>
                <w:rFonts w:ascii="Garamond" w:eastAsia="Times New Roman" w:hAnsi="Garamond" w:cs="Times New Roman"/>
                <w:color w:val="000000"/>
                <w:sz w:val="6"/>
                <w:szCs w:val="6"/>
                <w:lang w:val="sq-AL"/>
              </w:rPr>
              <w:br/>
              <w:t>DONATORË</w:t>
            </w:r>
          </w:p>
        </w:tc>
        <w:tc>
          <w:tcPr>
            <w:tcW w:w="143" w:type="pct"/>
            <w:tcBorders>
              <w:top w:val="nil"/>
              <w:left w:val="nil"/>
              <w:bottom w:val="single" w:sz="4" w:space="0" w:color="auto"/>
              <w:right w:val="single" w:sz="4" w:space="0" w:color="auto"/>
            </w:tcBorders>
            <w:shd w:val="clear" w:color="000000" w:fill="FFFFFF"/>
            <w:vAlign w:val="center"/>
            <w:hideMark/>
          </w:tcPr>
          <w:p w14:paraId="480C59C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CDD360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6D6EAB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49BE91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2EDC00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90BBB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231E7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auto" w:fill="auto"/>
            <w:vAlign w:val="center"/>
            <w:hideMark/>
          </w:tcPr>
          <w:p w14:paraId="2F8401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76467E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9672AF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55E8BA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5C3CEA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807DE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FC8B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03923C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C27D6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232" w:type="pct"/>
            <w:tcBorders>
              <w:top w:val="nil"/>
              <w:left w:val="nil"/>
              <w:bottom w:val="single" w:sz="4" w:space="0" w:color="auto"/>
              <w:right w:val="single" w:sz="4" w:space="0" w:color="auto"/>
            </w:tcBorders>
            <w:shd w:val="clear" w:color="auto" w:fill="auto"/>
            <w:vAlign w:val="center"/>
            <w:hideMark/>
          </w:tcPr>
          <w:p w14:paraId="3F4BFC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Projekti i financuar nga BE EU4SAFEALB </w:t>
            </w:r>
          </w:p>
        </w:tc>
        <w:tc>
          <w:tcPr>
            <w:tcW w:w="181" w:type="pct"/>
            <w:tcBorders>
              <w:top w:val="nil"/>
              <w:left w:val="nil"/>
              <w:bottom w:val="single" w:sz="4" w:space="0" w:color="auto"/>
              <w:right w:val="single" w:sz="4" w:space="0" w:color="auto"/>
            </w:tcBorders>
            <w:shd w:val="clear" w:color="000000" w:fill="FFFFFF"/>
            <w:vAlign w:val="center"/>
            <w:hideMark/>
          </w:tcPr>
          <w:p w14:paraId="611B03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60" w:type="pct"/>
            <w:tcBorders>
              <w:top w:val="nil"/>
              <w:left w:val="nil"/>
              <w:bottom w:val="single" w:sz="4" w:space="0" w:color="auto"/>
              <w:right w:val="single" w:sz="4" w:space="0" w:color="auto"/>
            </w:tcBorders>
            <w:shd w:val="clear" w:color="000000" w:fill="FFFFFF"/>
            <w:vAlign w:val="center"/>
            <w:hideMark/>
          </w:tcPr>
          <w:p w14:paraId="64688D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DBB69F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97D706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2.2.3</w:t>
            </w:r>
          </w:p>
        </w:tc>
        <w:tc>
          <w:tcPr>
            <w:tcW w:w="247" w:type="pct"/>
            <w:tcBorders>
              <w:top w:val="nil"/>
              <w:left w:val="nil"/>
              <w:bottom w:val="single" w:sz="4" w:space="0" w:color="auto"/>
              <w:right w:val="single" w:sz="4" w:space="0" w:color="auto"/>
            </w:tcBorders>
            <w:shd w:val="clear" w:color="auto" w:fill="auto"/>
            <w:vAlign w:val="center"/>
            <w:hideMark/>
          </w:tcPr>
          <w:p w14:paraId="7C4DB84A"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Menaxhimi i Aseteve të Kufirit</w:t>
            </w:r>
          </w:p>
        </w:tc>
        <w:tc>
          <w:tcPr>
            <w:tcW w:w="211" w:type="pct"/>
            <w:tcBorders>
              <w:top w:val="nil"/>
              <w:left w:val="nil"/>
              <w:bottom w:val="single" w:sz="4" w:space="0" w:color="auto"/>
              <w:right w:val="single" w:sz="4" w:space="0" w:color="auto"/>
            </w:tcBorders>
            <w:shd w:val="clear" w:color="000000" w:fill="FFFFFF"/>
            <w:vAlign w:val="center"/>
            <w:hideMark/>
          </w:tcPr>
          <w:p w14:paraId="4CA3FAC6"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49D85C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0C63E9F7" w14:textId="515F547D"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FD-RB</w:t>
            </w:r>
            <w:r w:rsidRPr="001F0C5A">
              <w:rPr>
                <w:rFonts w:ascii="Garamond" w:eastAsia="Times New Roman" w:hAnsi="Garamond" w:cs="Times New Roman"/>
                <w:color w:val="000000"/>
                <w:sz w:val="6"/>
                <w:szCs w:val="6"/>
                <w:lang w:val="sq-AL"/>
              </w:rPr>
              <w:br/>
              <w:t>QNOD</w:t>
            </w:r>
            <w:r w:rsidRPr="001F0C5A">
              <w:rPr>
                <w:rFonts w:ascii="Garamond" w:eastAsia="Times New Roman" w:hAnsi="Garamond" w:cs="Times New Roman"/>
                <w:color w:val="000000"/>
                <w:sz w:val="6"/>
                <w:szCs w:val="6"/>
                <w:lang w:val="sq-AL"/>
              </w:rPr>
              <w:br/>
              <w:t>DONATORË</w:t>
            </w:r>
          </w:p>
        </w:tc>
        <w:tc>
          <w:tcPr>
            <w:tcW w:w="143" w:type="pct"/>
            <w:tcBorders>
              <w:top w:val="nil"/>
              <w:left w:val="nil"/>
              <w:bottom w:val="single" w:sz="4" w:space="0" w:color="auto"/>
              <w:right w:val="single" w:sz="4" w:space="0" w:color="auto"/>
            </w:tcBorders>
            <w:shd w:val="clear" w:color="000000" w:fill="FFFFFF"/>
            <w:vAlign w:val="center"/>
            <w:hideMark/>
          </w:tcPr>
          <w:p w14:paraId="7013608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26BE76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709A11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61909C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3CCB4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5F3626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B6B762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196" w:type="pct"/>
            <w:tcBorders>
              <w:top w:val="nil"/>
              <w:left w:val="nil"/>
              <w:bottom w:val="single" w:sz="4" w:space="0" w:color="auto"/>
              <w:right w:val="single" w:sz="4" w:space="0" w:color="auto"/>
            </w:tcBorders>
            <w:shd w:val="clear" w:color="auto" w:fill="auto"/>
            <w:vAlign w:val="center"/>
            <w:hideMark/>
          </w:tcPr>
          <w:p w14:paraId="24A0E6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196" w:type="pct"/>
            <w:tcBorders>
              <w:top w:val="nil"/>
              <w:left w:val="nil"/>
              <w:bottom w:val="single" w:sz="4" w:space="0" w:color="auto"/>
              <w:right w:val="single" w:sz="4" w:space="0" w:color="auto"/>
            </w:tcBorders>
            <w:shd w:val="clear" w:color="000000" w:fill="FFFFFF"/>
            <w:vAlign w:val="center"/>
            <w:hideMark/>
          </w:tcPr>
          <w:p w14:paraId="4BBF38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1F1AB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196" w:type="pct"/>
            <w:tcBorders>
              <w:top w:val="nil"/>
              <w:left w:val="nil"/>
              <w:bottom w:val="single" w:sz="4" w:space="0" w:color="auto"/>
              <w:right w:val="single" w:sz="4" w:space="0" w:color="auto"/>
            </w:tcBorders>
            <w:shd w:val="clear" w:color="000000" w:fill="FFFFFF"/>
            <w:vAlign w:val="center"/>
            <w:hideMark/>
          </w:tcPr>
          <w:p w14:paraId="2F5E16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196" w:type="pct"/>
            <w:tcBorders>
              <w:top w:val="nil"/>
              <w:left w:val="nil"/>
              <w:bottom w:val="single" w:sz="4" w:space="0" w:color="auto"/>
              <w:right w:val="single" w:sz="4" w:space="0" w:color="auto"/>
            </w:tcBorders>
            <w:shd w:val="clear" w:color="000000" w:fill="FFFFFF"/>
            <w:vAlign w:val="center"/>
            <w:hideMark/>
          </w:tcPr>
          <w:p w14:paraId="47880C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94B38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5C7A3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36D620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F97C8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232" w:type="pct"/>
            <w:tcBorders>
              <w:top w:val="nil"/>
              <w:left w:val="nil"/>
              <w:bottom w:val="single" w:sz="4" w:space="0" w:color="auto"/>
              <w:right w:val="single" w:sz="4" w:space="0" w:color="auto"/>
            </w:tcBorders>
            <w:shd w:val="clear" w:color="auto" w:fill="auto"/>
            <w:vAlign w:val="center"/>
            <w:hideMark/>
          </w:tcPr>
          <w:p w14:paraId="0CE13D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Projekti i financuar nga BE EU4SAFEALB </w:t>
            </w:r>
          </w:p>
        </w:tc>
        <w:tc>
          <w:tcPr>
            <w:tcW w:w="181" w:type="pct"/>
            <w:tcBorders>
              <w:top w:val="nil"/>
              <w:left w:val="nil"/>
              <w:bottom w:val="single" w:sz="4" w:space="0" w:color="auto"/>
              <w:right w:val="single" w:sz="4" w:space="0" w:color="auto"/>
            </w:tcBorders>
            <w:shd w:val="clear" w:color="000000" w:fill="FFFFFF"/>
            <w:vAlign w:val="center"/>
            <w:hideMark/>
          </w:tcPr>
          <w:p w14:paraId="3813C2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160" w:type="pct"/>
            <w:tcBorders>
              <w:top w:val="nil"/>
              <w:left w:val="nil"/>
              <w:bottom w:val="single" w:sz="4" w:space="0" w:color="auto"/>
              <w:right w:val="single" w:sz="4" w:space="0" w:color="auto"/>
            </w:tcBorders>
            <w:shd w:val="clear" w:color="000000" w:fill="FFFFFF"/>
            <w:vAlign w:val="center"/>
            <w:hideMark/>
          </w:tcPr>
          <w:p w14:paraId="6907DD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C74F089"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9DC47C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2.2.4</w:t>
            </w:r>
          </w:p>
        </w:tc>
        <w:tc>
          <w:tcPr>
            <w:tcW w:w="247" w:type="pct"/>
            <w:tcBorders>
              <w:top w:val="nil"/>
              <w:left w:val="nil"/>
              <w:bottom w:val="single" w:sz="4" w:space="0" w:color="auto"/>
              <w:right w:val="single" w:sz="4" w:space="0" w:color="auto"/>
            </w:tcBorders>
            <w:shd w:val="clear" w:color="auto" w:fill="auto"/>
            <w:vAlign w:val="center"/>
            <w:hideMark/>
          </w:tcPr>
          <w:p w14:paraId="22BA4F46" w14:textId="648D3B1A"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Salla e menaxhimit t</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Integruar t</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Kufirit n</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Departamentin p</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r Kufirin dhe Migracionin</w:t>
            </w:r>
          </w:p>
        </w:tc>
        <w:tc>
          <w:tcPr>
            <w:tcW w:w="211" w:type="pct"/>
            <w:tcBorders>
              <w:top w:val="nil"/>
              <w:left w:val="nil"/>
              <w:bottom w:val="single" w:sz="4" w:space="0" w:color="auto"/>
              <w:right w:val="single" w:sz="4" w:space="0" w:color="auto"/>
            </w:tcBorders>
            <w:shd w:val="clear" w:color="000000" w:fill="FFFFFF"/>
            <w:vAlign w:val="center"/>
            <w:hideMark/>
          </w:tcPr>
          <w:p w14:paraId="607FE9D3"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263A22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1F537365" w14:textId="19A3DA3B"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FD-RB</w:t>
            </w:r>
            <w:r w:rsidRPr="001F0C5A">
              <w:rPr>
                <w:rFonts w:ascii="Garamond" w:eastAsia="Times New Roman" w:hAnsi="Garamond" w:cs="Times New Roman"/>
                <w:color w:val="000000"/>
                <w:sz w:val="6"/>
                <w:szCs w:val="6"/>
                <w:lang w:val="sq-AL"/>
              </w:rPr>
              <w:br/>
              <w:t>QNOD</w:t>
            </w:r>
            <w:r w:rsidRPr="001F0C5A">
              <w:rPr>
                <w:rFonts w:ascii="Garamond" w:eastAsia="Times New Roman" w:hAnsi="Garamond" w:cs="Times New Roman"/>
                <w:color w:val="000000"/>
                <w:sz w:val="6"/>
                <w:szCs w:val="6"/>
                <w:lang w:val="sq-AL"/>
              </w:rPr>
              <w:br/>
              <w:t>DONATORË</w:t>
            </w:r>
          </w:p>
        </w:tc>
        <w:tc>
          <w:tcPr>
            <w:tcW w:w="143" w:type="pct"/>
            <w:tcBorders>
              <w:top w:val="nil"/>
              <w:left w:val="nil"/>
              <w:bottom w:val="single" w:sz="4" w:space="0" w:color="auto"/>
              <w:right w:val="single" w:sz="4" w:space="0" w:color="auto"/>
            </w:tcBorders>
            <w:shd w:val="clear" w:color="000000" w:fill="FFFFFF"/>
            <w:vAlign w:val="center"/>
            <w:hideMark/>
          </w:tcPr>
          <w:p w14:paraId="5F7EAF2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A122D4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465EF8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446C16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198D4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5F17C3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2DAE76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auto" w:fill="auto"/>
            <w:vAlign w:val="center"/>
            <w:hideMark/>
          </w:tcPr>
          <w:p w14:paraId="19057F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030A20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68096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7E08F2F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385E16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C8556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242EF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0CF6D6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4827D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232" w:type="pct"/>
            <w:tcBorders>
              <w:top w:val="nil"/>
              <w:left w:val="nil"/>
              <w:bottom w:val="single" w:sz="4" w:space="0" w:color="auto"/>
              <w:right w:val="single" w:sz="4" w:space="0" w:color="auto"/>
            </w:tcBorders>
            <w:shd w:val="clear" w:color="auto" w:fill="auto"/>
            <w:vAlign w:val="center"/>
            <w:hideMark/>
          </w:tcPr>
          <w:p w14:paraId="4D03F7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Donacion nga Emiratet e Bashkuara (për tu konfirmuar)</w:t>
            </w:r>
          </w:p>
        </w:tc>
        <w:tc>
          <w:tcPr>
            <w:tcW w:w="181" w:type="pct"/>
            <w:tcBorders>
              <w:top w:val="nil"/>
              <w:left w:val="nil"/>
              <w:bottom w:val="single" w:sz="4" w:space="0" w:color="auto"/>
              <w:right w:val="single" w:sz="4" w:space="0" w:color="auto"/>
            </w:tcBorders>
            <w:shd w:val="clear" w:color="000000" w:fill="FFFFFF"/>
            <w:vAlign w:val="center"/>
            <w:hideMark/>
          </w:tcPr>
          <w:p w14:paraId="2C49F16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60" w:type="pct"/>
            <w:tcBorders>
              <w:top w:val="nil"/>
              <w:left w:val="nil"/>
              <w:bottom w:val="single" w:sz="4" w:space="0" w:color="auto"/>
              <w:right w:val="single" w:sz="4" w:space="0" w:color="auto"/>
            </w:tcBorders>
            <w:shd w:val="clear" w:color="000000" w:fill="FFFFFF"/>
            <w:vAlign w:val="center"/>
            <w:hideMark/>
          </w:tcPr>
          <w:p w14:paraId="2BBF7E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D674D29"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5D3C989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2.2.5</w:t>
            </w:r>
          </w:p>
        </w:tc>
        <w:tc>
          <w:tcPr>
            <w:tcW w:w="247" w:type="pct"/>
            <w:tcBorders>
              <w:top w:val="nil"/>
              <w:left w:val="nil"/>
              <w:bottom w:val="single" w:sz="4" w:space="0" w:color="auto"/>
              <w:right w:val="single" w:sz="4" w:space="0" w:color="auto"/>
            </w:tcBorders>
            <w:shd w:val="clear" w:color="auto" w:fill="auto"/>
            <w:vAlign w:val="center"/>
            <w:hideMark/>
          </w:tcPr>
          <w:p w14:paraId="78B63350" w14:textId="2C16F5C1"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Instalimi i 2 radar</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ve p</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r përmirësimin e </w:t>
            </w:r>
            <w:r w:rsidR="00F679FC" w:rsidRPr="001F0C5A">
              <w:rPr>
                <w:rFonts w:ascii="Garamond" w:eastAsia="Times New Roman" w:hAnsi="Garamond" w:cs="Times New Roman"/>
                <w:color w:val="000000"/>
                <w:sz w:val="6"/>
                <w:szCs w:val="6"/>
                <w:lang w:val="sq-AL"/>
              </w:rPr>
              <w:t>mbikëqyrjes</w:t>
            </w:r>
            <w:r w:rsidRPr="001F0C5A">
              <w:rPr>
                <w:rFonts w:ascii="Garamond" w:eastAsia="Times New Roman" w:hAnsi="Garamond" w:cs="Times New Roman"/>
                <w:color w:val="000000"/>
                <w:sz w:val="6"/>
                <w:szCs w:val="6"/>
                <w:lang w:val="sq-AL"/>
              </w:rPr>
              <w:t xml:space="preserve"> së </w:t>
            </w:r>
            <w:r w:rsidR="00F679FC" w:rsidRPr="001F0C5A">
              <w:rPr>
                <w:rFonts w:ascii="Garamond" w:eastAsia="Times New Roman" w:hAnsi="Garamond" w:cs="Times New Roman"/>
                <w:color w:val="000000"/>
                <w:sz w:val="6"/>
                <w:szCs w:val="6"/>
                <w:lang w:val="sq-AL"/>
              </w:rPr>
              <w:t>hapësirës</w:t>
            </w:r>
            <w:r w:rsidRPr="001F0C5A">
              <w:rPr>
                <w:rFonts w:ascii="Garamond" w:eastAsia="Times New Roman" w:hAnsi="Garamond" w:cs="Times New Roman"/>
                <w:color w:val="000000"/>
                <w:sz w:val="6"/>
                <w:szCs w:val="6"/>
                <w:lang w:val="sq-AL"/>
              </w:rPr>
              <w:t xml:space="preserve"> liqenore </w:t>
            </w:r>
          </w:p>
        </w:tc>
        <w:tc>
          <w:tcPr>
            <w:tcW w:w="211" w:type="pct"/>
            <w:tcBorders>
              <w:top w:val="nil"/>
              <w:left w:val="nil"/>
              <w:bottom w:val="single" w:sz="4" w:space="0" w:color="auto"/>
              <w:right w:val="single" w:sz="4" w:space="0" w:color="auto"/>
            </w:tcBorders>
            <w:shd w:val="clear" w:color="000000" w:fill="FFFFFF"/>
            <w:vAlign w:val="center"/>
            <w:hideMark/>
          </w:tcPr>
          <w:p w14:paraId="00DB8432"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006B16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2750F0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Donacion nga Emiratet e Bashkuara </w:t>
            </w:r>
          </w:p>
        </w:tc>
        <w:tc>
          <w:tcPr>
            <w:tcW w:w="143" w:type="pct"/>
            <w:tcBorders>
              <w:top w:val="nil"/>
              <w:left w:val="nil"/>
              <w:bottom w:val="single" w:sz="4" w:space="0" w:color="auto"/>
              <w:right w:val="single" w:sz="4" w:space="0" w:color="auto"/>
            </w:tcBorders>
            <w:shd w:val="clear" w:color="000000" w:fill="FFFFFF"/>
            <w:vAlign w:val="center"/>
            <w:hideMark/>
          </w:tcPr>
          <w:p w14:paraId="6718800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1F3946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6890C9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159883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16ED00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1D2DC7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03FB0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196" w:type="pct"/>
            <w:tcBorders>
              <w:top w:val="nil"/>
              <w:left w:val="nil"/>
              <w:bottom w:val="single" w:sz="4" w:space="0" w:color="auto"/>
              <w:right w:val="single" w:sz="4" w:space="0" w:color="auto"/>
            </w:tcBorders>
            <w:shd w:val="clear" w:color="auto" w:fill="auto"/>
            <w:vAlign w:val="center"/>
            <w:hideMark/>
          </w:tcPr>
          <w:p w14:paraId="265438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196" w:type="pct"/>
            <w:tcBorders>
              <w:top w:val="nil"/>
              <w:left w:val="nil"/>
              <w:bottom w:val="single" w:sz="4" w:space="0" w:color="auto"/>
              <w:right w:val="single" w:sz="4" w:space="0" w:color="auto"/>
            </w:tcBorders>
            <w:shd w:val="clear" w:color="000000" w:fill="FFFFFF"/>
            <w:vAlign w:val="center"/>
            <w:hideMark/>
          </w:tcPr>
          <w:p w14:paraId="0804A8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5C214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196" w:type="pct"/>
            <w:tcBorders>
              <w:top w:val="nil"/>
              <w:left w:val="nil"/>
              <w:bottom w:val="single" w:sz="4" w:space="0" w:color="auto"/>
              <w:right w:val="single" w:sz="4" w:space="0" w:color="auto"/>
            </w:tcBorders>
            <w:shd w:val="clear" w:color="000000" w:fill="FFFFFF"/>
            <w:vAlign w:val="center"/>
            <w:hideMark/>
          </w:tcPr>
          <w:p w14:paraId="7198EA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196" w:type="pct"/>
            <w:tcBorders>
              <w:top w:val="nil"/>
              <w:left w:val="nil"/>
              <w:bottom w:val="single" w:sz="4" w:space="0" w:color="auto"/>
              <w:right w:val="single" w:sz="4" w:space="0" w:color="auto"/>
            </w:tcBorders>
            <w:shd w:val="clear" w:color="000000" w:fill="FFFFFF"/>
            <w:vAlign w:val="center"/>
            <w:hideMark/>
          </w:tcPr>
          <w:p w14:paraId="125FC0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E6B45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45177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746BCE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6E1B9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232" w:type="pct"/>
            <w:tcBorders>
              <w:top w:val="nil"/>
              <w:left w:val="nil"/>
              <w:bottom w:val="single" w:sz="4" w:space="0" w:color="auto"/>
              <w:right w:val="single" w:sz="4" w:space="0" w:color="auto"/>
            </w:tcBorders>
            <w:shd w:val="clear" w:color="auto" w:fill="auto"/>
            <w:vAlign w:val="center"/>
            <w:hideMark/>
          </w:tcPr>
          <w:p w14:paraId="7C8E59D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Donacion Ambasada Gjermane, zbatues Firma CORATEL shpk</w:t>
            </w:r>
          </w:p>
        </w:tc>
        <w:tc>
          <w:tcPr>
            <w:tcW w:w="181" w:type="pct"/>
            <w:tcBorders>
              <w:top w:val="nil"/>
              <w:left w:val="nil"/>
              <w:bottom w:val="single" w:sz="4" w:space="0" w:color="auto"/>
              <w:right w:val="single" w:sz="4" w:space="0" w:color="auto"/>
            </w:tcBorders>
            <w:shd w:val="clear" w:color="000000" w:fill="FFFFFF"/>
            <w:vAlign w:val="center"/>
            <w:hideMark/>
          </w:tcPr>
          <w:p w14:paraId="7C1AA1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160" w:type="pct"/>
            <w:tcBorders>
              <w:top w:val="nil"/>
              <w:left w:val="nil"/>
              <w:bottom w:val="single" w:sz="4" w:space="0" w:color="auto"/>
              <w:right w:val="single" w:sz="4" w:space="0" w:color="auto"/>
            </w:tcBorders>
            <w:shd w:val="clear" w:color="000000" w:fill="FFFFFF"/>
            <w:vAlign w:val="center"/>
            <w:hideMark/>
          </w:tcPr>
          <w:p w14:paraId="24C0A4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B6D90D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F07C63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2.2.6</w:t>
            </w:r>
          </w:p>
        </w:tc>
        <w:tc>
          <w:tcPr>
            <w:tcW w:w="247" w:type="pct"/>
            <w:tcBorders>
              <w:top w:val="nil"/>
              <w:left w:val="nil"/>
              <w:bottom w:val="single" w:sz="4" w:space="0" w:color="auto"/>
              <w:right w:val="single" w:sz="4" w:space="0" w:color="auto"/>
            </w:tcBorders>
            <w:shd w:val="clear" w:color="auto" w:fill="auto"/>
            <w:vAlign w:val="center"/>
            <w:hideMark/>
          </w:tcPr>
          <w:p w14:paraId="784BAE73"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Zbatimi i projektit për radiondërlidhjen e Kufirit Detar</w:t>
            </w:r>
          </w:p>
        </w:tc>
        <w:tc>
          <w:tcPr>
            <w:tcW w:w="211" w:type="pct"/>
            <w:tcBorders>
              <w:top w:val="nil"/>
              <w:left w:val="nil"/>
              <w:bottom w:val="single" w:sz="4" w:space="0" w:color="auto"/>
              <w:right w:val="single" w:sz="4" w:space="0" w:color="auto"/>
            </w:tcBorders>
            <w:shd w:val="clear" w:color="000000" w:fill="FFFFFF"/>
            <w:vAlign w:val="center"/>
            <w:hideMark/>
          </w:tcPr>
          <w:p w14:paraId="0A7071C2"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16C8DC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32B61C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0F679CE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4FAD38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759105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5792D9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auto" w:fill="auto"/>
            <w:vAlign w:val="center"/>
            <w:hideMark/>
          </w:tcPr>
          <w:p w14:paraId="37A6F5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auto" w:fill="auto"/>
            <w:vAlign w:val="center"/>
            <w:hideMark/>
          </w:tcPr>
          <w:p w14:paraId="1B2049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0B572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auto" w:fill="auto"/>
            <w:vAlign w:val="center"/>
            <w:hideMark/>
          </w:tcPr>
          <w:p w14:paraId="0BF9E1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0C4038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6C115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086D09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5A1417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FDD1D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B5B6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06221E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5FD97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232" w:type="pct"/>
            <w:tcBorders>
              <w:top w:val="nil"/>
              <w:left w:val="nil"/>
              <w:bottom w:val="single" w:sz="4" w:space="0" w:color="auto"/>
              <w:right w:val="single" w:sz="4" w:space="0" w:color="auto"/>
            </w:tcBorders>
            <w:shd w:val="clear" w:color="auto" w:fill="auto"/>
            <w:vAlign w:val="center"/>
            <w:hideMark/>
          </w:tcPr>
          <w:p w14:paraId="4CBB05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Donacion Ambasada Gjermane, zbatues Firma CORATEL shpk</w:t>
            </w:r>
          </w:p>
        </w:tc>
        <w:tc>
          <w:tcPr>
            <w:tcW w:w="181" w:type="pct"/>
            <w:tcBorders>
              <w:top w:val="nil"/>
              <w:left w:val="nil"/>
              <w:bottom w:val="single" w:sz="4" w:space="0" w:color="auto"/>
              <w:right w:val="single" w:sz="4" w:space="0" w:color="auto"/>
            </w:tcBorders>
            <w:shd w:val="clear" w:color="000000" w:fill="FFFFFF"/>
            <w:vAlign w:val="center"/>
            <w:hideMark/>
          </w:tcPr>
          <w:p w14:paraId="3DC020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60" w:type="pct"/>
            <w:tcBorders>
              <w:top w:val="nil"/>
              <w:left w:val="nil"/>
              <w:bottom w:val="single" w:sz="4" w:space="0" w:color="auto"/>
              <w:right w:val="single" w:sz="4" w:space="0" w:color="auto"/>
            </w:tcBorders>
            <w:shd w:val="clear" w:color="000000" w:fill="FFFFFF"/>
            <w:vAlign w:val="center"/>
            <w:hideMark/>
          </w:tcPr>
          <w:p w14:paraId="0EA999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B267EDE"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5559DB2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2.2.7</w:t>
            </w:r>
          </w:p>
        </w:tc>
        <w:tc>
          <w:tcPr>
            <w:tcW w:w="247" w:type="pct"/>
            <w:tcBorders>
              <w:top w:val="nil"/>
              <w:left w:val="nil"/>
              <w:bottom w:val="single" w:sz="4" w:space="0" w:color="auto"/>
              <w:right w:val="single" w:sz="4" w:space="0" w:color="auto"/>
            </w:tcBorders>
            <w:shd w:val="clear" w:color="auto" w:fill="auto"/>
            <w:vAlign w:val="center"/>
            <w:hideMark/>
          </w:tcPr>
          <w:p w14:paraId="73391B3E"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Pajisja me dy mjete lundruese e Kufirit liqenor (Shkodër, Ohër)</w:t>
            </w:r>
          </w:p>
        </w:tc>
        <w:tc>
          <w:tcPr>
            <w:tcW w:w="211" w:type="pct"/>
            <w:tcBorders>
              <w:top w:val="nil"/>
              <w:left w:val="nil"/>
              <w:bottom w:val="single" w:sz="4" w:space="0" w:color="auto"/>
              <w:right w:val="single" w:sz="4" w:space="0" w:color="auto"/>
            </w:tcBorders>
            <w:shd w:val="clear" w:color="000000" w:fill="FFFFFF"/>
            <w:vAlign w:val="center"/>
            <w:hideMark/>
          </w:tcPr>
          <w:p w14:paraId="70D6FC93"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02A498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7F82EA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Donacion nga Emiratet e Bashkuara </w:t>
            </w:r>
          </w:p>
        </w:tc>
        <w:tc>
          <w:tcPr>
            <w:tcW w:w="143" w:type="pct"/>
            <w:tcBorders>
              <w:top w:val="nil"/>
              <w:left w:val="nil"/>
              <w:bottom w:val="single" w:sz="4" w:space="0" w:color="auto"/>
              <w:right w:val="single" w:sz="4" w:space="0" w:color="auto"/>
            </w:tcBorders>
            <w:shd w:val="clear" w:color="000000" w:fill="FFFFFF"/>
            <w:vAlign w:val="center"/>
            <w:hideMark/>
          </w:tcPr>
          <w:p w14:paraId="5C61E10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202046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126F0A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48FA72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B142E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03EEA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8BE97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auto" w:fill="auto"/>
            <w:vAlign w:val="center"/>
            <w:hideMark/>
          </w:tcPr>
          <w:p w14:paraId="72BDD50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77A373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497663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4F3922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5DEE40A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83315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ACF3F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7BCEA8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232B0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232" w:type="pct"/>
            <w:tcBorders>
              <w:top w:val="nil"/>
              <w:left w:val="nil"/>
              <w:bottom w:val="single" w:sz="4" w:space="0" w:color="auto"/>
              <w:right w:val="single" w:sz="4" w:space="0" w:color="auto"/>
            </w:tcBorders>
            <w:shd w:val="clear" w:color="auto" w:fill="auto"/>
            <w:vAlign w:val="center"/>
            <w:hideMark/>
          </w:tcPr>
          <w:p w14:paraId="2DAE32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Donacion nga Emiratet e Bashkuara (për tu konfirmuar)</w:t>
            </w:r>
          </w:p>
        </w:tc>
        <w:tc>
          <w:tcPr>
            <w:tcW w:w="181" w:type="pct"/>
            <w:tcBorders>
              <w:top w:val="nil"/>
              <w:left w:val="nil"/>
              <w:bottom w:val="single" w:sz="4" w:space="0" w:color="auto"/>
              <w:right w:val="single" w:sz="4" w:space="0" w:color="auto"/>
            </w:tcBorders>
            <w:shd w:val="clear" w:color="000000" w:fill="FFFFFF"/>
            <w:vAlign w:val="center"/>
            <w:hideMark/>
          </w:tcPr>
          <w:p w14:paraId="0EE3A6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60" w:type="pct"/>
            <w:tcBorders>
              <w:top w:val="nil"/>
              <w:left w:val="nil"/>
              <w:bottom w:val="single" w:sz="4" w:space="0" w:color="auto"/>
              <w:right w:val="single" w:sz="4" w:space="0" w:color="auto"/>
            </w:tcBorders>
            <w:shd w:val="clear" w:color="000000" w:fill="FFFFFF"/>
            <w:vAlign w:val="center"/>
            <w:hideMark/>
          </w:tcPr>
          <w:p w14:paraId="4E81F8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4B2519A"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3EDDF1F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2.2.8</w:t>
            </w:r>
          </w:p>
        </w:tc>
        <w:tc>
          <w:tcPr>
            <w:tcW w:w="247" w:type="pct"/>
            <w:tcBorders>
              <w:top w:val="nil"/>
              <w:left w:val="nil"/>
              <w:bottom w:val="single" w:sz="4" w:space="0" w:color="auto"/>
              <w:right w:val="single" w:sz="4" w:space="0" w:color="auto"/>
            </w:tcBorders>
            <w:shd w:val="clear" w:color="auto" w:fill="auto"/>
            <w:vAlign w:val="center"/>
            <w:hideMark/>
          </w:tcPr>
          <w:p w14:paraId="6398C9E0" w14:textId="65FB9893"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Kompletimi i Njësisë Policore Detare me 10 mjete lundruese tip Jet-Ski dhe 20 </w:t>
            </w:r>
            <w:r w:rsidR="00F679FC" w:rsidRPr="001F0C5A">
              <w:rPr>
                <w:rFonts w:ascii="Garamond" w:eastAsia="Times New Roman" w:hAnsi="Garamond" w:cs="Times New Roman"/>
                <w:color w:val="000000"/>
                <w:sz w:val="6"/>
                <w:szCs w:val="6"/>
                <w:lang w:val="sq-AL"/>
              </w:rPr>
              <w:t xml:space="preserve">karela </w:t>
            </w:r>
            <w:r w:rsidRPr="001F0C5A">
              <w:rPr>
                <w:rFonts w:ascii="Garamond" w:eastAsia="Times New Roman" w:hAnsi="Garamond" w:cs="Times New Roman"/>
                <w:color w:val="000000"/>
                <w:sz w:val="6"/>
                <w:szCs w:val="6"/>
                <w:lang w:val="sq-AL"/>
              </w:rPr>
              <w:t xml:space="preserve">tërheqëse, me qëllim forcimin e kapaciteteve të kësaj strukture </w:t>
            </w:r>
          </w:p>
        </w:tc>
        <w:tc>
          <w:tcPr>
            <w:tcW w:w="211" w:type="pct"/>
            <w:tcBorders>
              <w:top w:val="nil"/>
              <w:left w:val="nil"/>
              <w:bottom w:val="single" w:sz="4" w:space="0" w:color="auto"/>
              <w:right w:val="single" w:sz="4" w:space="0" w:color="auto"/>
            </w:tcBorders>
            <w:shd w:val="clear" w:color="auto" w:fill="auto"/>
            <w:vAlign w:val="center"/>
            <w:hideMark/>
          </w:tcPr>
          <w:p w14:paraId="77859035" w14:textId="77777777" w:rsidR="00D86FA8" w:rsidRPr="001F0C5A" w:rsidRDefault="00D86FA8" w:rsidP="00D86FA8">
            <w:pPr>
              <w:spacing w:after="0" w:line="240" w:lineRule="auto"/>
              <w:jc w:val="center"/>
              <w:rPr>
                <w:rFonts w:ascii="Garamond" w:eastAsia="Times New Roman" w:hAnsi="Garamond" w:cs="Times New Roman"/>
                <w:color w:val="FF0000"/>
                <w:sz w:val="6"/>
                <w:szCs w:val="6"/>
                <w:lang w:val="sq-AL"/>
              </w:rPr>
            </w:pPr>
            <w:r w:rsidRPr="001F0C5A">
              <w:rPr>
                <w:rFonts w:ascii="Garamond" w:eastAsia="Times New Roman" w:hAnsi="Garamond" w:cs="Times New Roman"/>
                <w:color w:val="FF0000"/>
                <w:sz w:val="6"/>
                <w:szCs w:val="6"/>
                <w:lang w:val="sq-AL"/>
              </w:rPr>
              <w:t> </w:t>
            </w:r>
          </w:p>
        </w:tc>
        <w:tc>
          <w:tcPr>
            <w:tcW w:w="202" w:type="pct"/>
            <w:tcBorders>
              <w:top w:val="nil"/>
              <w:left w:val="nil"/>
              <w:bottom w:val="single" w:sz="4" w:space="0" w:color="auto"/>
              <w:right w:val="single" w:sz="4" w:space="0" w:color="auto"/>
            </w:tcBorders>
            <w:shd w:val="clear" w:color="auto" w:fill="auto"/>
            <w:vAlign w:val="center"/>
            <w:hideMark/>
          </w:tcPr>
          <w:p w14:paraId="59FA286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auto" w:fill="auto"/>
            <w:vAlign w:val="center"/>
            <w:hideMark/>
          </w:tcPr>
          <w:p w14:paraId="6CEDE2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auto" w:fill="auto"/>
            <w:vAlign w:val="center"/>
            <w:hideMark/>
          </w:tcPr>
          <w:p w14:paraId="7D150B1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2B58B10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048D25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35DAE6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29D575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7D181B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20D25A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0F324C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AD77F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83A80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751B0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3F2C1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72F6F6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76582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auto" w:fill="auto"/>
            <w:vAlign w:val="center"/>
            <w:hideMark/>
          </w:tcPr>
          <w:p w14:paraId="5C5835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3F0F74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auto" w:fill="auto"/>
            <w:vAlign w:val="center"/>
            <w:hideMark/>
          </w:tcPr>
          <w:p w14:paraId="4F0499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7E9336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auto" w:fill="auto"/>
            <w:vAlign w:val="center"/>
            <w:hideMark/>
          </w:tcPr>
          <w:p w14:paraId="709524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23117AF"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7F1352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3.3</w:t>
            </w:r>
          </w:p>
        </w:tc>
        <w:tc>
          <w:tcPr>
            <w:tcW w:w="247" w:type="pct"/>
            <w:tcBorders>
              <w:top w:val="nil"/>
              <w:left w:val="nil"/>
              <w:bottom w:val="single" w:sz="4" w:space="0" w:color="auto"/>
              <w:right w:val="single" w:sz="4" w:space="0" w:color="auto"/>
            </w:tcBorders>
            <w:shd w:val="clear" w:color="auto" w:fill="auto"/>
            <w:vAlign w:val="center"/>
            <w:hideMark/>
          </w:tcPr>
          <w:p w14:paraId="2B91A39D" w14:textId="17127E74"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Bashkëpunim ndërinstitucional për realizimin e një studimi të plotë për ngritjen e </w:t>
            </w:r>
            <w:r w:rsidR="00F679FC" w:rsidRPr="001F0C5A">
              <w:rPr>
                <w:rFonts w:ascii="Garamond" w:eastAsia="Times New Roman" w:hAnsi="Garamond" w:cs="Times New Roman"/>
                <w:b/>
                <w:bCs/>
                <w:color w:val="000000"/>
                <w:sz w:val="6"/>
                <w:szCs w:val="6"/>
                <w:lang w:val="sq-AL"/>
              </w:rPr>
              <w:t xml:space="preserve">sinjalistikës detare </w:t>
            </w:r>
            <w:r w:rsidRPr="001F0C5A">
              <w:rPr>
                <w:rFonts w:ascii="Garamond" w:eastAsia="Times New Roman" w:hAnsi="Garamond" w:cs="Times New Roman"/>
                <w:b/>
                <w:bCs/>
                <w:color w:val="000000"/>
                <w:sz w:val="6"/>
                <w:szCs w:val="6"/>
                <w:lang w:val="sq-AL"/>
              </w:rPr>
              <w:t>përgjatë gjithë bregdetit shqiptar (</w:t>
            </w:r>
            <w:r w:rsidR="00F679FC" w:rsidRPr="001F0C5A">
              <w:rPr>
                <w:rFonts w:ascii="Garamond" w:eastAsia="Times New Roman" w:hAnsi="Garamond" w:cs="Times New Roman"/>
                <w:b/>
                <w:bCs/>
                <w:color w:val="000000"/>
                <w:sz w:val="6"/>
                <w:szCs w:val="6"/>
                <w:lang w:val="sq-AL"/>
              </w:rPr>
              <w:t xml:space="preserve">vendosa </w:t>
            </w:r>
            <w:r w:rsidRPr="001F0C5A">
              <w:rPr>
                <w:rFonts w:ascii="Garamond" w:eastAsia="Times New Roman" w:hAnsi="Garamond" w:cs="Times New Roman"/>
                <w:b/>
                <w:bCs/>
                <w:color w:val="000000"/>
                <w:sz w:val="6"/>
                <w:szCs w:val="6"/>
                <w:lang w:val="sq-AL"/>
              </w:rPr>
              <w:t>e bovave sinjalizuese), në përputhjet me direktivat dhe standardet e BE</w:t>
            </w:r>
          </w:p>
        </w:tc>
        <w:tc>
          <w:tcPr>
            <w:tcW w:w="211" w:type="pct"/>
            <w:tcBorders>
              <w:top w:val="nil"/>
              <w:left w:val="nil"/>
              <w:bottom w:val="single" w:sz="4" w:space="0" w:color="auto"/>
              <w:right w:val="single" w:sz="4" w:space="0" w:color="auto"/>
            </w:tcBorders>
            <w:shd w:val="clear" w:color="000000" w:fill="FFFFFF"/>
            <w:vAlign w:val="center"/>
            <w:hideMark/>
          </w:tcPr>
          <w:p w14:paraId="0D3E94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p>
        </w:tc>
        <w:tc>
          <w:tcPr>
            <w:tcW w:w="202" w:type="pct"/>
            <w:tcBorders>
              <w:top w:val="nil"/>
              <w:left w:val="nil"/>
              <w:bottom w:val="single" w:sz="4" w:space="0" w:color="auto"/>
              <w:right w:val="single" w:sz="4" w:space="0" w:color="auto"/>
            </w:tcBorders>
            <w:shd w:val="clear" w:color="000000" w:fill="FFFFFF"/>
            <w:vAlign w:val="center"/>
            <w:hideMark/>
          </w:tcPr>
          <w:p w14:paraId="34D6C3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MM/MB/MIE</w:t>
            </w:r>
          </w:p>
        </w:tc>
        <w:tc>
          <w:tcPr>
            <w:tcW w:w="680" w:type="pct"/>
            <w:tcBorders>
              <w:top w:val="nil"/>
              <w:left w:val="nil"/>
              <w:bottom w:val="single" w:sz="4" w:space="0" w:color="auto"/>
              <w:right w:val="single" w:sz="4" w:space="0" w:color="auto"/>
            </w:tcBorders>
            <w:shd w:val="clear" w:color="000000" w:fill="FFFFFF"/>
            <w:vAlign w:val="center"/>
            <w:hideMark/>
          </w:tcPr>
          <w:p w14:paraId="2E1FF8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 MF/ MIE / Drejtoria e Përgjithshme Detare /QNOD/FD/MTM/institucione të tjera përgjegjëse</w:t>
            </w:r>
          </w:p>
        </w:tc>
        <w:tc>
          <w:tcPr>
            <w:tcW w:w="143" w:type="pct"/>
            <w:tcBorders>
              <w:top w:val="nil"/>
              <w:left w:val="nil"/>
              <w:bottom w:val="single" w:sz="4" w:space="0" w:color="auto"/>
              <w:right w:val="single" w:sz="4" w:space="0" w:color="auto"/>
            </w:tcBorders>
            <w:shd w:val="clear" w:color="000000" w:fill="FFFFFF"/>
            <w:vAlign w:val="center"/>
            <w:hideMark/>
          </w:tcPr>
          <w:p w14:paraId="1B8F6A0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63" w:type="pct"/>
            <w:tcBorders>
              <w:top w:val="nil"/>
              <w:left w:val="nil"/>
              <w:bottom w:val="single" w:sz="4" w:space="0" w:color="auto"/>
              <w:right w:val="single" w:sz="4" w:space="0" w:color="auto"/>
            </w:tcBorders>
            <w:shd w:val="clear" w:color="000000" w:fill="FFFFFF"/>
            <w:vAlign w:val="center"/>
            <w:hideMark/>
          </w:tcPr>
          <w:p w14:paraId="67E4685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0838F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1224D6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2A3F0A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4F75C9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auto" w:fill="auto"/>
            <w:vAlign w:val="center"/>
            <w:hideMark/>
          </w:tcPr>
          <w:p w14:paraId="74B458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5A5E9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08F96C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63D157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10F5E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75A61E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00E1FA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86038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70" w:type="pct"/>
            <w:tcBorders>
              <w:top w:val="nil"/>
              <w:left w:val="nil"/>
              <w:bottom w:val="single" w:sz="4" w:space="0" w:color="auto"/>
              <w:right w:val="single" w:sz="4" w:space="0" w:color="auto"/>
            </w:tcBorders>
            <w:shd w:val="clear" w:color="000000" w:fill="FFFFFF"/>
            <w:vAlign w:val="center"/>
            <w:hideMark/>
          </w:tcPr>
          <w:p w14:paraId="1E5935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F532E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5195A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8B83E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F49ED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612F64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60669A1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5B327EEE" w14:textId="6366EE01"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F679FC">
              <w:rPr>
                <w:rFonts w:ascii="Garamond" w:eastAsia="Times New Roman" w:hAnsi="Garamond" w:cs="Times New Roman"/>
                <w:b/>
                <w:bCs/>
                <w:color w:val="FF0000"/>
                <w:sz w:val="6"/>
                <w:szCs w:val="6"/>
                <w:lang w:val="sq-AL"/>
              </w:rPr>
              <w:t xml:space="preserve">ja – </w:t>
            </w:r>
            <w:r w:rsidRPr="001F0C5A">
              <w:rPr>
                <w:rFonts w:ascii="Garamond" w:eastAsia="Times New Roman" w:hAnsi="Garamond" w:cs="Times New Roman"/>
                <w:b/>
                <w:bCs/>
                <w:color w:val="FF0000"/>
                <w:sz w:val="6"/>
                <w:szCs w:val="6"/>
                <w:lang w:val="sq-AL"/>
              </w:rPr>
              <w:t>Objektivi specifik 2</w:t>
            </w:r>
          </w:p>
        </w:tc>
        <w:tc>
          <w:tcPr>
            <w:tcW w:w="211" w:type="pct"/>
            <w:tcBorders>
              <w:top w:val="nil"/>
              <w:left w:val="nil"/>
              <w:bottom w:val="single" w:sz="4" w:space="0" w:color="auto"/>
              <w:right w:val="single" w:sz="4" w:space="0" w:color="auto"/>
            </w:tcBorders>
            <w:shd w:val="clear" w:color="000000" w:fill="D9D9D9"/>
            <w:vAlign w:val="center"/>
            <w:hideMark/>
          </w:tcPr>
          <w:p w14:paraId="3B3C661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1725ADA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1B8431C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3976125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01AA107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7446409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465,000</w:t>
            </w:r>
          </w:p>
        </w:tc>
        <w:tc>
          <w:tcPr>
            <w:tcW w:w="181" w:type="pct"/>
            <w:tcBorders>
              <w:top w:val="nil"/>
              <w:left w:val="nil"/>
              <w:bottom w:val="single" w:sz="4" w:space="0" w:color="auto"/>
              <w:right w:val="single" w:sz="4" w:space="0" w:color="auto"/>
            </w:tcBorders>
            <w:shd w:val="clear" w:color="000000" w:fill="D9D9D9"/>
            <w:vAlign w:val="center"/>
            <w:hideMark/>
          </w:tcPr>
          <w:p w14:paraId="4628531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20,050,000</w:t>
            </w:r>
          </w:p>
        </w:tc>
        <w:tc>
          <w:tcPr>
            <w:tcW w:w="196" w:type="pct"/>
            <w:tcBorders>
              <w:top w:val="nil"/>
              <w:left w:val="nil"/>
              <w:bottom w:val="single" w:sz="4" w:space="0" w:color="auto"/>
              <w:right w:val="single" w:sz="4" w:space="0" w:color="auto"/>
            </w:tcBorders>
            <w:shd w:val="clear" w:color="000000" w:fill="D9D9D9"/>
            <w:vAlign w:val="center"/>
            <w:hideMark/>
          </w:tcPr>
          <w:p w14:paraId="1407AEB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20,515,000</w:t>
            </w:r>
          </w:p>
        </w:tc>
        <w:tc>
          <w:tcPr>
            <w:tcW w:w="196" w:type="pct"/>
            <w:tcBorders>
              <w:top w:val="nil"/>
              <w:left w:val="nil"/>
              <w:bottom w:val="single" w:sz="4" w:space="0" w:color="auto"/>
              <w:right w:val="single" w:sz="4" w:space="0" w:color="auto"/>
            </w:tcBorders>
            <w:shd w:val="clear" w:color="000000" w:fill="D9D9D9"/>
            <w:vAlign w:val="center"/>
            <w:hideMark/>
          </w:tcPr>
          <w:p w14:paraId="05C729E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511,000</w:t>
            </w:r>
          </w:p>
        </w:tc>
        <w:tc>
          <w:tcPr>
            <w:tcW w:w="196" w:type="pct"/>
            <w:tcBorders>
              <w:top w:val="nil"/>
              <w:left w:val="nil"/>
              <w:bottom w:val="single" w:sz="4" w:space="0" w:color="auto"/>
              <w:right w:val="single" w:sz="4" w:space="0" w:color="auto"/>
            </w:tcBorders>
            <w:shd w:val="clear" w:color="000000" w:fill="D9D9D9"/>
            <w:vAlign w:val="center"/>
            <w:hideMark/>
          </w:tcPr>
          <w:p w14:paraId="44A05BD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323,000,000</w:t>
            </w:r>
          </w:p>
        </w:tc>
        <w:tc>
          <w:tcPr>
            <w:tcW w:w="196" w:type="pct"/>
            <w:tcBorders>
              <w:top w:val="nil"/>
              <w:left w:val="nil"/>
              <w:bottom w:val="single" w:sz="4" w:space="0" w:color="auto"/>
              <w:right w:val="single" w:sz="4" w:space="0" w:color="auto"/>
            </w:tcBorders>
            <w:shd w:val="clear" w:color="000000" w:fill="D9D9D9"/>
            <w:vAlign w:val="center"/>
            <w:hideMark/>
          </w:tcPr>
          <w:p w14:paraId="56EF17E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323,511,000</w:t>
            </w:r>
          </w:p>
        </w:tc>
        <w:tc>
          <w:tcPr>
            <w:tcW w:w="196" w:type="pct"/>
            <w:tcBorders>
              <w:top w:val="nil"/>
              <w:left w:val="nil"/>
              <w:bottom w:val="single" w:sz="4" w:space="0" w:color="auto"/>
              <w:right w:val="single" w:sz="4" w:space="0" w:color="auto"/>
            </w:tcBorders>
            <w:shd w:val="clear" w:color="000000" w:fill="D9D9D9"/>
            <w:vAlign w:val="center"/>
            <w:hideMark/>
          </w:tcPr>
          <w:p w14:paraId="2D759F0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976,000</w:t>
            </w:r>
          </w:p>
        </w:tc>
        <w:tc>
          <w:tcPr>
            <w:tcW w:w="196" w:type="pct"/>
            <w:tcBorders>
              <w:top w:val="nil"/>
              <w:left w:val="nil"/>
              <w:bottom w:val="single" w:sz="4" w:space="0" w:color="auto"/>
              <w:right w:val="single" w:sz="4" w:space="0" w:color="auto"/>
            </w:tcBorders>
            <w:shd w:val="clear" w:color="000000" w:fill="D9D9D9"/>
            <w:vAlign w:val="center"/>
            <w:hideMark/>
          </w:tcPr>
          <w:p w14:paraId="14620D9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343,050,000</w:t>
            </w:r>
          </w:p>
        </w:tc>
        <w:tc>
          <w:tcPr>
            <w:tcW w:w="196" w:type="pct"/>
            <w:tcBorders>
              <w:top w:val="nil"/>
              <w:left w:val="nil"/>
              <w:bottom w:val="single" w:sz="4" w:space="0" w:color="auto"/>
              <w:right w:val="single" w:sz="4" w:space="0" w:color="auto"/>
            </w:tcBorders>
            <w:shd w:val="clear" w:color="000000" w:fill="D9D9D9"/>
            <w:vAlign w:val="center"/>
            <w:hideMark/>
          </w:tcPr>
          <w:p w14:paraId="10B0D32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344,026,000</w:t>
            </w:r>
          </w:p>
        </w:tc>
        <w:tc>
          <w:tcPr>
            <w:tcW w:w="196" w:type="pct"/>
            <w:tcBorders>
              <w:top w:val="nil"/>
              <w:left w:val="nil"/>
              <w:bottom w:val="single" w:sz="4" w:space="0" w:color="auto"/>
              <w:right w:val="single" w:sz="4" w:space="0" w:color="auto"/>
            </w:tcBorders>
            <w:shd w:val="clear" w:color="000000" w:fill="D9D9D9"/>
            <w:vAlign w:val="center"/>
            <w:hideMark/>
          </w:tcPr>
          <w:p w14:paraId="6AA0F22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976,000</w:t>
            </w:r>
          </w:p>
        </w:tc>
        <w:tc>
          <w:tcPr>
            <w:tcW w:w="181" w:type="pct"/>
            <w:tcBorders>
              <w:top w:val="nil"/>
              <w:left w:val="nil"/>
              <w:bottom w:val="single" w:sz="4" w:space="0" w:color="auto"/>
              <w:right w:val="single" w:sz="4" w:space="0" w:color="auto"/>
            </w:tcBorders>
            <w:shd w:val="clear" w:color="000000" w:fill="D9D9D9"/>
            <w:vAlign w:val="center"/>
            <w:hideMark/>
          </w:tcPr>
          <w:p w14:paraId="3B75C4F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50,000</w:t>
            </w:r>
          </w:p>
        </w:tc>
        <w:tc>
          <w:tcPr>
            <w:tcW w:w="196" w:type="pct"/>
            <w:tcBorders>
              <w:top w:val="nil"/>
              <w:left w:val="nil"/>
              <w:bottom w:val="single" w:sz="4" w:space="0" w:color="auto"/>
              <w:right w:val="single" w:sz="4" w:space="0" w:color="auto"/>
            </w:tcBorders>
            <w:shd w:val="clear" w:color="000000" w:fill="D9D9D9"/>
            <w:vAlign w:val="center"/>
            <w:hideMark/>
          </w:tcPr>
          <w:p w14:paraId="3011FD9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1,026,000</w:t>
            </w:r>
          </w:p>
        </w:tc>
        <w:tc>
          <w:tcPr>
            <w:tcW w:w="170" w:type="pct"/>
            <w:tcBorders>
              <w:top w:val="nil"/>
              <w:left w:val="nil"/>
              <w:bottom w:val="single" w:sz="4" w:space="0" w:color="auto"/>
              <w:right w:val="single" w:sz="4" w:space="0" w:color="auto"/>
            </w:tcBorders>
            <w:shd w:val="clear" w:color="000000" w:fill="D9D9D9"/>
            <w:vAlign w:val="center"/>
            <w:hideMark/>
          </w:tcPr>
          <w:p w14:paraId="3D39623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D7AB1B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343,000,000</w:t>
            </w:r>
          </w:p>
        </w:tc>
        <w:tc>
          <w:tcPr>
            <w:tcW w:w="232" w:type="pct"/>
            <w:tcBorders>
              <w:top w:val="nil"/>
              <w:left w:val="nil"/>
              <w:bottom w:val="single" w:sz="4" w:space="0" w:color="auto"/>
              <w:right w:val="single" w:sz="4" w:space="0" w:color="auto"/>
            </w:tcBorders>
            <w:shd w:val="clear" w:color="000000" w:fill="D9D9D9"/>
            <w:vAlign w:val="center"/>
            <w:hideMark/>
          </w:tcPr>
          <w:p w14:paraId="46FFFD5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65A5C55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343,000,000</w:t>
            </w:r>
          </w:p>
        </w:tc>
        <w:tc>
          <w:tcPr>
            <w:tcW w:w="160" w:type="pct"/>
            <w:tcBorders>
              <w:top w:val="nil"/>
              <w:left w:val="nil"/>
              <w:bottom w:val="single" w:sz="4" w:space="0" w:color="auto"/>
              <w:right w:val="single" w:sz="4" w:space="0" w:color="auto"/>
            </w:tcBorders>
            <w:shd w:val="clear" w:color="000000" w:fill="D9D9D9"/>
            <w:vAlign w:val="center"/>
            <w:hideMark/>
          </w:tcPr>
          <w:p w14:paraId="2391A92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0C7F8BF0"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407E51E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w:t>
            </w:r>
          </w:p>
        </w:tc>
        <w:tc>
          <w:tcPr>
            <w:tcW w:w="247" w:type="pct"/>
            <w:tcBorders>
              <w:top w:val="nil"/>
              <w:left w:val="nil"/>
              <w:bottom w:val="single" w:sz="4" w:space="0" w:color="auto"/>
              <w:right w:val="single" w:sz="4" w:space="0" w:color="auto"/>
            </w:tcBorders>
            <w:shd w:val="clear" w:color="000000" w:fill="DDEBF7"/>
            <w:hideMark/>
          </w:tcPr>
          <w:p w14:paraId="49195539" w14:textId="14B17134"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3: Reduktimi i vulnerabilitetit (ndjeshmërisë) në kufi duke reaguar në mënyrë më efektive me vendosjen e </w:t>
            </w:r>
            <w:r w:rsidRPr="001F0C5A">
              <w:rPr>
                <w:rFonts w:ascii="Garamond" w:eastAsia="Times New Roman" w:hAnsi="Garamond" w:cs="Times New Roman"/>
                <w:b/>
                <w:bCs/>
                <w:color w:val="000000"/>
                <w:sz w:val="6"/>
                <w:szCs w:val="6"/>
                <w:lang w:val="sq-AL"/>
              </w:rPr>
              <w:br/>
              <w:t xml:space="preserve">burimeve të disponueshme, bazuar në analizën e rrezikut të kryer dhe kërcënimit që mund të </w:t>
            </w:r>
            <w:r w:rsidRPr="001F0C5A">
              <w:rPr>
                <w:rFonts w:ascii="Garamond" w:eastAsia="Times New Roman" w:hAnsi="Garamond" w:cs="Times New Roman"/>
                <w:b/>
                <w:bCs/>
                <w:color w:val="000000"/>
                <w:sz w:val="6"/>
                <w:szCs w:val="6"/>
                <w:lang w:val="sq-AL"/>
              </w:rPr>
              <w:lastRenderedPageBreak/>
              <w:t xml:space="preserve">ndikojë në </w:t>
            </w:r>
            <w:r w:rsidRPr="001F0C5A">
              <w:rPr>
                <w:rFonts w:ascii="Garamond" w:eastAsia="Times New Roman" w:hAnsi="Garamond" w:cs="Times New Roman"/>
                <w:b/>
                <w:bCs/>
                <w:color w:val="000000"/>
                <w:sz w:val="6"/>
                <w:szCs w:val="6"/>
                <w:lang w:val="sq-AL"/>
              </w:rPr>
              <w:br/>
              <w:t>sigurinë kufitare, në përputhje me modelin e CIRAM të BE-së</w:t>
            </w:r>
            <w:r w:rsidRPr="001F0C5A">
              <w:rPr>
                <w:rFonts w:ascii="Garamond" w:eastAsia="Times New Roman" w:hAnsi="Garamond" w:cs="Times New Roman"/>
                <w:b/>
                <w:bCs/>
                <w:color w:val="000000"/>
                <w:sz w:val="6"/>
                <w:szCs w:val="6"/>
                <w:lang w:val="sq-AL"/>
              </w:rPr>
              <w:br/>
              <w:t xml:space="preserve"> </w:t>
            </w:r>
          </w:p>
        </w:tc>
        <w:tc>
          <w:tcPr>
            <w:tcW w:w="211" w:type="pct"/>
            <w:tcBorders>
              <w:top w:val="nil"/>
              <w:left w:val="nil"/>
              <w:bottom w:val="single" w:sz="4" w:space="0" w:color="auto"/>
              <w:right w:val="single" w:sz="4" w:space="0" w:color="auto"/>
            </w:tcBorders>
            <w:shd w:val="clear" w:color="000000" w:fill="DDEBF7"/>
            <w:vAlign w:val="center"/>
            <w:hideMark/>
          </w:tcPr>
          <w:p w14:paraId="6BE756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lastRenderedPageBreak/>
              <w:t> </w:t>
            </w:r>
          </w:p>
        </w:tc>
        <w:tc>
          <w:tcPr>
            <w:tcW w:w="202" w:type="pct"/>
            <w:tcBorders>
              <w:top w:val="nil"/>
              <w:left w:val="nil"/>
              <w:bottom w:val="single" w:sz="4" w:space="0" w:color="auto"/>
              <w:right w:val="single" w:sz="4" w:space="0" w:color="auto"/>
            </w:tcBorders>
            <w:shd w:val="clear" w:color="000000" w:fill="DDEBF7"/>
            <w:vAlign w:val="center"/>
            <w:hideMark/>
          </w:tcPr>
          <w:p w14:paraId="24DC41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30B983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5805A3A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6B6552F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92C477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2BD63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6A436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4D69D4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85D7C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57CFE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730FF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DC056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6B1A8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89F11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95C88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DFA77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4CC90E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846B9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2C42A6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4074F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778035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379AA855"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4283EC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3.1</w:t>
            </w:r>
          </w:p>
        </w:tc>
        <w:tc>
          <w:tcPr>
            <w:tcW w:w="247" w:type="pct"/>
            <w:tcBorders>
              <w:top w:val="nil"/>
              <w:left w:val="nil"/>
              <w:bottom w:val="single" w:sz="4" w:space="0" w:color="auto"/>
              <w:right w:val="single" w:sz="4" w:space="0" w:color="auto"/>
            </w:tcBorders>
            <w:shd w:val="clear" w:color="auto" w:fill="auto"/>
            <w:vAlign w:val="center"/>
            <w:hideMark/>
          </w:tcPr>
          <w:p w14:paraId="66FDCBF5" w14:textId="272A169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Hartimi i Rregullores së Përbashkët për zhvillimin e analizave të përbashkëta të riskut sipas standardeve CIRAM, si bazë për menaxhimin dhe bashkëpunimin e integruar të kufijve ndërmjet Policisë së Shtetit, Administratës Doganore, Autoritetit si dhe planifikimin dhe zbatimin e trajnimeve dhe aktiviteteve të përbashkëta</w:t>
            </w:r>
          </w:p>
        </w:tc>
        <w:tc>
          <w:tcPr>
            <w:tcW w:w="211" w:type="pct"/>
            <w:tcBorders>
              <w:top w:val="nil"/>
              <w:left w:val="nil"/>
              <w:bottom w:val="single" w:sz="4" w:space="0" w:color="auto"/>
              <w:right w:val="single" w:sz="4" w:space="0" w:color="auto"/>
            </w:tcBorders>
            <w:shd w:val="clear" w:color="000000" w:fill="FFFFFF"/>
            <w:vAlign w:val="center"/>
            <w:hideMark/>
          </w:tcPr>
          <w:p w14:paraId="31866A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p>
        </w:tc>
        <w:tc>
          <w:tcPr>
            <w:tcW w:w="202" w:type="pct"/>
            <w:tcBorders>
              <w:top w:val="nil"/>
              <w:left w:val="nil"/>
              <w:bottom w:val="single" w:sz="4" w:space="0" w:color="auto"/>
              <w:right w:val="single" w:sz="4" w:space="0" w:color="auto"/>
            </w:tcBorders>
            <w:shd w:val="clear" w:color="000000" w:fill="FFFFFF"/>
            <w:vAlign w:val="center"/>
            <w:hideMark/>
          </w:tcPr>
          <w:p w14:paraId="0CB135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054EF6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MBZHR/AKU</w:t>
            </w:r>
          </w:p>
        </w:tc>
        <w:tc>
          <w:tcPr>
            <w:tcW w:w="143" w:type="pct"/>
            <w:tcBorders>
              <w:top w:val="nil"/>
              <w:left w:val="nil"/>
              <w:bottom w:val="single" w:sz="4" w:space="0" w:color="auto"/>
              <w:right w:val="single" w:sz="4" w:space="0" w:color="auto"/>
            </w:tcBorders>
            <w:shd w:val="clear" w:color="000000" w:fill="FFFFFF"/>
            <w:vAlign w:val="center"/>
            <w:hideMark/>
          </w:tcPr>
          <w:p w14:paraId="4155130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7C6E56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45B8A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1,500,000</w:t>
            </w:r>
          </w:p>
        </w:tc>
        <w:tc>
          <w:tcPr>
            <w:tcW w:w="181" w:type="pct"/>
            <w:tcBorders>
              <w:top w:val="nil"/>
              <w:left w:val="nil"/>
              <w:bottom w:val="single" w:sz="4" w:space="0" w:color="auto"/>
              <w:right w:val="single" w:sz="4" w:space="0" w:color="auto"/>
            </w:tcBorders>
            <w:shd w:val="clear" w:color="000000" w:fill="FFFFFF"/>
            <w:vAlign w:val="center"/>
            <w:hideMark/>
          </w:tcPr>
          <w:p w14:paraId="66E38B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26A9A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1,500,000</w:t>
            </w:r>
          </w:p>
        </w:tc>
        <w:tc>
          <w:tcPr>
            <w:tcW w:w="196" w:type="pct"/>
            <w:tcBorders>
              <w:top w:val="nil"/>
              <w:left w:val="nil"/>
              <w:bottom w:val="single" w:sz="4" w:space="0" w:color="auto"/>
              <w:right w:val="single" w:sz="4" w:space="0" w:color="auto"/>
            </w:tcBorders>
            <w:shd w:val="clear" w:color="000000" w:fill="FFFFFF"/>
            <w:vAlign w:val="center"/>
            <w:hideMark/>
          </w:tcPr>
          <w:p w14:paraId="0EB59F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1,500,000</w:t>
            </w:r>
          </w:p>
        </w:tc>
        <w:tc>
          <w:tcPr>
            <w:tcW w:w="196" w:type="pct"/>
            <w:tcBorders>
              <w:top w:val="nil"/>
              <w:left w:val="nil"/>
              <w:bottom w:val="single" w:sz="4" w:space="0" w:color="auto"/>
              <w:right w:val="single" w:sz="4" w:space="0" w:color="auto"/>
            </w:tcBorders>
            <w:shd w:val="clear" w:color="000000" w:fill="FFFFFF"/>
            <w:vAlign w:val="center"/>
            <w:hideMark/>
          </w:tcPr>
          <w:p w14:paraId="68A48A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B6D87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1,500,000</w:t>
            </w:r>
          </w:p>
        </w:tc>
        <w:tc>
          <w:tcPr>
            <w:tcW w:w="196" w:type="pct"/>
            <w:tcBorders>
              <w:top w:val="nil"/>
              <w:left w:val="nil"/>
              <w:bottom w:val="single" w:sz="4" w:space="0" w:color="auto"/>
              <w:right w:val="single" w:sz="4" w:space="0" w:color="auto"/>
            </w:tcBorders>
            <w:shd w:val="clear" w:color="000000" w:fill="FFFFFF"/>
            <w:vAlign w:val="center"/>
            <w:hideMark/>
          </w:tcPr>
          <w:p w14:paraId="03EE80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3,000,000</w:t>
            </w:r>
          </w:p>
        </w:tc>
        <w:tc>
          <w:tcPr>
            <w:tcW w:w="196" w:type="pct"/>
            <w:tcBorders>
              <w:top w:val="nil"/>
              <w:left w:val="nil"/>
              <w:bottom w:val="single" w:sz="4" w:space="0" w:color="auto"/>
              <w:right w:val="single" w:sz="4" w:space="0" w:color="auto"/>
            </w:tcBorders>
            <w:shd w:val="clear" w:color="000000" w:fill="FFFFFF"/>
            <w:vAlign w:val="center"/>
            <w:hideMark/>
          </w:tcPr>
          <w:p w14:paraId="6FBE01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74447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3,000,000</w:t>
            </w:r>
          </w:p>
        </w:tc>
        <w:tc>
          <w:tcPr>
            <w:tcW w:w="196" w:type="pct"/>
            <w:tcBorders>
              <w:top w:val="nil"/>
              <w:left w:val="nil"/>
              <w:bottom w:val="single" w:sz="4" w:space="0" w:color="auto"/>
              <w:right w:val="single" w:sz="4" w:space="0" w:color="auto"/>
            </w:tcBorders>
            <w:shd w:val="clear" w:color="000000" w:fill="FFFFFF"/>
            <w:vAlign w:val="center"/>
            <w:hideMark/>
          </w:tcPr>
          <w:p w14:paraId="4177EE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3,000,000</w:t>
            </w:r>
          </w:p>
        </w:tc>
        <w:tc>
          <w:tcPr>
            <w:tcW w:w="181" w:type="pct"/>
            <w:tcBorders>
              <w:top w:val="nil"/>
              <w:left w:val="nil"/>
              <w:bottom w:val="single" w:sz="4" w:space="0" w:color="auto"/>
              <w:right w:val="single" w:sz="4" w:space="0" w:color="auto"/>
            </w:tcBorders>
            <w:shd w:val="clear" w:color="000000" w:fill="FFFFFF"/>
            <w:vAlign w:val="center"/>
            <w:hideMark/>
          </w:tcPr>
          <w:p w14:paraId="3109D3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0F847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3,000,000</w:t>
            </w:r>
          </w:p>
        </w:tc>
        <w:tc>
          <w:tcPr>
            <w:tcW w:w="170" w:type="pct"/>
            <w:tcBorders>
              <w:top w:val="nil"/>
              <w:left w:val="nil"/>
              <w:bottom w:val="single" w:sz="4" w:space="0" w:color="auto"/>
              <w:right w:val="single" w:sz="4" w:space="0" w:color="auto"/>
            </w:tcBorders>
            <w:shd w:val="clear" w:color="000000" w:fill="FFFFFF"/>
            <w:vAlign w:val="center"/>
            <w:hideMark/>
          </w:tcPr>
          <w:p w14:paraId="2FD75E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44214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607A2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DF194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7CBFC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CA2AEFC"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3388B9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3.1.1</w:t>
            </w:r>
          </w:p>
        </w:tc>
        <w:tc>
          <w:tcPr>
            <w:tcW w:w="247" w:type="pct"/>
            <w:tcBorders>
              <w:top w:val="nil"/>
              <w:left w:val="nil"/>
              <w:bottom w:val="single" w:sz="4" w:space="0" w:color="auto"/>
              <w:right w:val="single" w:sz="4" w:space="0" w:color="auto"/>
            </w:tcBorders>
            <w:shd w:val="clear" w:color="auto" w:fill="auto"/>
            <w:vAlign w:val="center"/>
            <w:hideMark/>
          </w:tcPr>
          <w:p w14:paraId="6B50CB7E" w14:textId="1C3DDC4C"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dhe aplikimi i Modelit CIRAM</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xml:space="preserve"> sipas rregullores për analizën e riskut në të gjithë strukturat </w:t>
            </w:r>
            <w:r w:rsidR="003110EB" w:rsidRPr="001F0C5A">
              <w:rPr>
                <w:rFonts w:ascii="Garamond" w:eastAsia="Times New Roman" w:hAnsi="Garamond" w:cs="Times New Roman"/>
                <w:color w:val="000000"/>
                <w:sz w:val="6"/>
                <w:szCs w:val="6"/>
                <w:lang w:val="sq-AL"/>
              </w:rPr>
              <w:t>qendrore</w:t>
            </w:r>
            <w:r w:rsidRPr="001F0C5A">
              <w:rPr>
                <w:rFonts w:ascii="Garamond" w:eastAsia="Times New Roman" w:hAnsi="Garamond" w:cs="Times New Roman"/>
                <w:color w:val="000000"/>
                <w:sz w:val="6"/>
                <w:szCs w:val="6"/>
                <w:lang w:val="sq-AL"/>
              </w:rPr>
              <w:t xml:space="preserve"> dhe vendore për kufirin dhe </w:t>
            </w:r>
            <w:r w:rsidR="003110EB" w:rsidRPr="001F0C5A">
              <w:rPr>
                <w:rFonts w:ascii="Garamond" w:eastAsia="Times New Roman" w:hAnsi="Garamond" w:cs="Times New Roman"/>
                <w:color w:val="000000"/>
                <w:sz w:val="6"/>
                <w:szCs w:val="6"/>
                <w:lang w:val="sq-AL"/>
              </w:rPr>
              <w:t>migracionin</w:t>
            </w:r>
          </w:p>
        </w:tc>
        <w:tc>
          <w:tcPr>
            <w:tcW w:w="211" w:type="pct"/>
            <w:tcBorders>
              <w:top w:val="nil"/>
              <w:left w:val="nil"/>
              <w:bottom w:val="single" w:sz="4" w:space="0" w:color="auto"/>
              <w:right w:val="single" w:sz="4" w:space="0" w:color="auto"/>
            </w:tcBorders>
            <w:shd w:val="clear" w:color="000000" w:fill="FFFFFF"/>
            <w:vAlign w:val="center"/>
            <w:hideMark/>
          </w:tcPr>
          <w:p w14:paraId="159B89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0AEC31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23923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MBZHR/AKU</w:t>
            </w:r>
          </w:p>
        </w:tc>
        <w:tc>
          <w:tcPr>
            <w:tcW w:w="143" w:type="pct"/>
            <w:tcBorders>
              <w:top w:val="nil"/>
              <w:left w:val="nil"/>
              <w:bottom w:val="single" w:sz="4" w:space="0" w:color="auto"/>
              <w:right w:val="single" w:sz="4" w:space="0" w:color="auto"/>
            </w:tcBorders>
            <w:shd w:val="clear" w:color="000000" w:fill="FFFFFF"/>
            <w:vAlign w:val="center"/>
            <w:hideMark/>
          </w:tcPr>
          <w:p w14:paraId="051633F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FD5413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33469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81" w:type="pct"/>
            <w:tcBorders>
              <w:top w:val="nil"/>
              <w:left w:val="nil"/>
              <w:bottom w:val="single" w:sz="4" w:space="0" w:color="auto"/>
              <w:right w:val="single" w:sz="4" w:space="0" w:color="auto"/>
            </w:tcBorders>
            <w:shd w:val="clear" w:color="000000" w:fill="FFFFFF"/>
            <w:vAlign w:val="center"/>
            <w:hideMark/>
          </w:tcPr>
          <w:p w14:paraId="3CCD75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121E7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7CC47D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1908CB6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170A1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58FE54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96" w:type="pct"/>
            <w:tcBorders>
              <w:top w:val="nil"/>
              <w:left w:val="nil"/>
              <w:bottom w:val="single" w:sz="4" w:space="0" w:color="auto"/>
              <w:right w:val="single" w:sz="4" w:space="0" w:color="auto"/>
            </w:tcBorders>
            <w:shd w:val="clear" w:color="000000" w:fill="FFFFFF"/>
            <w:vAlign w:val="center"/>
            <w:hideMark/>
          </w:tcPr>
          <w:p w14:paraId="2FFDB6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5140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96" w:type="pct"/>
            <w:tcBorders>
              <w:top w:val="nil"/>
              <w:left w:val="nil"/>
              <w:bottom w:val="single" w:sz="4" w:space="0" w:color="auto"/>
              <w:right w:val="single" w:sz="4" w:space="0" w:color="auto"/>
            </w:tcBorders>
            <w:shd w:val="clear" w:color="000000" w:fill="FFFFFF"/>
            <w:vAlign w:val="center"/>
            <w:hideMark/>
          </w:tcPr>
          <w:p w14:paraId="4F1209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81" w:type="pct"/>
            <w:tcBorders>
              <w:top w:val="nil"/>
              <w:left w:val="nil"/>
              <w:bottom w:val="single" w:sz="4" w:space="0" w:color="auto"/>
              <w:right w:val="single" w:sz="4" w:space="0" w:color="auto"/>
            </w:tcBorders>
            <w:shd w:val="clear" w:color="000000" w:fill="FFFFFF"/>
            <w:vAlign w:val="center"/>
            <w:hideMark/>
          </w:tcPr>
          <w:p w14:paraId="01F921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D8A22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70" w:type="pct"/>
            <w:tcBorders>
              <w:top w:val="nil"/>
              <w:left w:val="nil"/>
              <w:bottom w:val="single" w:sz="4" w:space="0" w:color="auto"/>
              <w:right w:val="single" w:sz="4" w:space="0" w:color="auto"/>
            </w:tcBorders>
            <w:shd w:val="clear" w:color="000000" w:fill="FFFFFF"/>
            <w:vAlign w:val="center"/>
            <w:hideMark/>
          </w:tcPr>
          <w:p w14:paraId="4754AC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66FE7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E04436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49B68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8F7FC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813C9C1"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281FC9D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3.1.2</w:t>
            </w:r>
          </w:p>
        </w:tc>
        <w:tc>
          <w:tcPr>
            <w:tcW w:w="247" w:type="pct"/>
            <w:tcBorders>
              <w:top w:val="nil"/>
              <w:left w:val="nil"/>
              <w:bottom w:val="single" w:sz="4" w:space="0" w:color="auto"/>
              <w:right w:val="single" w:sz="4" w:space="0" w:color="auto"/>
            </w:tcBorders>
            <w:shd w:val="clear" w:color="auto" w:fill="auto"/>
            <w:vAlign w:val="center"/>
            <w:hideMark/>
          </w:tcPr>
          <w:p w14:paraId="66903F0F"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Hartimi i rekomandimeve të dala nga analizat e riskut dhe ndjekja e zbatimit të tyre nga institucionet përgjegjëse</w:t>
            </w:r>
          </w:p>
        </w:tc>
        <w:tc>
          <w:tcPr>
            <w:tcW w:w="211" w:type="pct"/>
            <w:tcBorders>
              <w:top w:val="nil"/>
              <w:left w:val="nil"/>
              <w:bottom w:val="single" w:sz="4" w:space="0" w:color="auto"/>
              <w:right w:val="single" w:sz="4" w:space="0" w:color="auto"/>
            </w:tcBorders>
            <w:shd w:val="clear" w:color="000000" w:fill="FFFFFF"/>
            <w:vAlign w:val="center"/>
            <w:hideMark/>
          </w:tcPr>
          <w:p w14:paraId="46D014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37AEEA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PSH/MB</w:t>
            </w:r>
          </w:p>
        </w:tc>
        <w:tc>
          <w:tcPr>
            <w:tcW w:w="680" w:type="pct"/>
            <w:tcBorders>
              <w:top w:val="nil"/>
              <w:left w:val="nil"/>
              <w:bottom w:val="single" w:sz="4" w:space="0" w:color="auto"/>
              <w:right w:val="single" w:sz="4" w:space="0" w:color="auto"/>
            </w:tcBorders>
            <w:shd w:val="clear" w:color="000000" w:fill="FFFFFF"/>
            <w:vAlign w:val="center"/>
            <w:hideMark/>
          </w:tcPr>
          <w:p w14:paraId="4C71DF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MBZHR/AKU</w:t>
            </w:r>
          </w:p>
        </w:tc>
        <w:tc>
          <w:tcPr>
            <w:tcW w:w="143" w:type="pct"/>
            <w:tcBorders>
              <w:top w:val="nil"/>
              <w:left w:val="nil"/>
              <w:bottom w:val="single" w:sz="4" w:space="0" w:color="auto"/>
              <w:right w:val="single" w:sz="4" w:space="0" w:color="auto"/>
            </w:tcBorders>
            <w:shd w:val="clear" w:color="000000" w:fill="FFFFFF"/>
            <w:vAlign w:val="center"/>
            <w:hideMark/>
          </w:tcPr>
          <w:p w14:paraId="479E2A8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9D2C94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468148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115,000,000</w:t>
            </w:r>
          </w:p>
        </w:tc>
        <w:tc>
          <w:tcPr>
            <w:tcW w:w="181" w:type="pct"/>
            <w:tcBorders>
              <w:top w:val="nil"/>
              <w:left w:val="nil"/>
              <w:bottom w:val="single" w:sz="4" w:space="0" w:color="auto"/>
              <w:right w:val="single" w:sz="4" w:space="0" w:color="auto"/>
            </w:tcBorders>
            <w:shd w:val="clear" w:color="000000" w:fill="FFFFFF"/>
            <w:vAlign w:val="center"/>
            <w:hideMark/>
          </w:tcPr>
          <w:p w14:paraId="68BF3D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BA1E3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115,000,000</w:t>
            </w:r>
          </w:p>
        </w:tc>
        <w:tc>
          <w:tcPr>
            <w:tcW w:w="196" w:type="pct"/>
            <w:tcBorders>
              <w:top w:val="nil"/>
              <w:left w:val="nil"/>
              <w:bottom w:val="single" w:sz="4" w:space="0" w:color="auto"/>
              <w:right w:val="single" w:sz="4" w:space="0" w:color="auto"/>
            </w:tcBorders>
            <w:shd w:val="clear" w:color="auto" w:fill="auto"/>
            <w:vAlign w:val="center"/>
            <w:hideMark/>
          </w:tcPr>
          <w:p w14:paraId="5CA6CF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115,000,000</w:t>
            </w:r>
          </w:p>
        </w:tc>
        <w:tc>
          <w:tcPr>
            <w:tcW w:w="196" w:type="pct"/>
            <w:tcBorders>
              <w:top w:val="nil"/>
              <w:left w:val="nil"/>
              <w:bottom w:val="single" w:sz="4" w:space="0" w:color="auto"/>
              <w:right w:val="single" w:sz="4" w:space="0" w:color="auto"/>
            </w:tcBorders>
            <w:shd w:val="clear" w:color="auto" w:fill="auto"/>
            <w:vAlign w:val="center"/>
            <w:hideMark/>
          </w:tcPr>
          <w:p w14:paraId="067972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7C2550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115,000,000</w:t>
            </w:r>
          </w:p>
        </w:tc>
        <w:tc>
          <w:tcPr>
            <w:tcW w:w="196" w:type="pct"/>
            <w:tcBorders>
              <w:top w:val="nil"/>
              <w:left w:val="nil"/>
              <w:bottom w:val="single" w:sz="4" w:space="0" w:color="auto"/>
              <w:right w:val="single" w:sz="4" w:space="0" w:color="auto"/>
            </w:tcBorders>
            <w:shd w:val="clear" w:color="000000" w:fill="FFFFFF"/>
            <w:vAlign w:val="center"/>
            <w:hideMark/>
          </w:tcPr>
          <w:p w14:paraId="3E8181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230,000,000</w:t>
            </w:r>
          </w:p>
        </w:tc>
        <w:tc>
          <w:tcPr>
            <w:tcW w:w="196" w:type="pct"/>
            <w:tcBorders>
              <w:top w:val="nil"/>
              <w:left w:val="nil"/>
              <w:bottom w:val="single" w:sz="4" w:space="0" w:color="auto"/>
              <w:right w:val="single" w:sz="4" w:space="0" w:color="auto"/>
            </w:tcBorders>
            <w:shd w:val="clear" w:color="000000" w:fill="FFFFFF"/>
            <w:vAlign w:val="center"/>
            <w:hideMark/>
          </w:tcPr>
          <w:p w14:paraId="0952CD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8B27A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230,000,000</w:t>
            </w:r>
          </w:p>
        </w:tc>
        <w:tc>
          <w:tcPr>
            <w:tcW w:w="196" w:type="pct"/>
            <w:tcBorders>
              <w:top w:val="nil"/>
              <w:left w:val="nil"/>
              <w:bottom w:val="single" w:sz="4" w:space="0" w:color="auto"/>
              <w:right w:val="single" w:sz="4" w:space="0" w:color="auto"/>
            </w:tcBorders>
            <w:shd w:val="clear" w:color="000000" w:fill="FFFFFF"/>
            <w:vAlign w:val="center"/>
            <w:hideMark/>
          </w:tcPr>
          <w:p w14:paraId="021FC5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230,000,000</w:t>
            </w:r>
          </w:p>
        </w:tc>
        <w:tc>
          <w:tcPr>
            <w:tcW w:w="181" w:type="pct"/>
            <w:tcBorders>
              <w:top w:val="nil"/>
              <w:left w:val="nil"/>
              <w:bottom w:val="single" w:sz="4" w:space="0" w:color="auto"/>
              <w:right w:val="single" w:sz="4" w:space="0" w:color="auto"/>
            </w:tcBorders>
            <w:shd w:val="clear" w:color="000000" w:fill="FFFFFF"/>
            <w:vAlign w:val="center"/>
            <w:hideMark/>
          </w:tcPr>
          <w:p w14:paraId="17F423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09E5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230,000,000</w:t>
            </w:r>
          </w:p>
        </w:tc>
        <w:tc>
          <w:tcPr>
            <w:tcW w:w="170" w:type="pct"/>
            <w:tcBorders>
              <w:top w:val="nil"/>
              <w:left w:val="nil"/>
              <w:bottom w:val="single" w:sz="4" w:space="0" w:color="auto"/>
              <w:right w:val="single" w:sz="4" w:space="0" w:color="auto"/>
            </w:tcBorders>
            <w:shd w:val="clear" w:color="000000" w:fill="FFFFFF"/>
            <w:vAlign w:val="center"/>
            <w:hideMark/>
          </w:tcPr>
          <w:p w14:paraId="72A67F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86875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A6F84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332E2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23861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EFB6FD0"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0A2FCD5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3.2</w:t>
            </w:r>
          </w:p>
        </w:tc>
        <w:tc>
          <w:tcPr>
            <w:tcW w:w="247" w:type="pct"/>
            <w:tcBorders>
              <w:top w:val="nil"/>
              <w:left w:val="nil"/>
              <w:bottom w:val="single" w:sz="4" w:space="0" w:color="auto"/>
              <w:right w:val="single" w:sz="4" w:space="0" w:color="auto"/>
            </w:tcBorders>
            <w:shd w:val="clear" w:color="auto" w:fill="auto"/>
            <w:vAlign w:val="center"/>
            <w:hideMark/>
          </w:tcPr>
          <w:p w14:paraId="66E5C02C" w14:textId="36A65C2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Pajisja e shërbimeve të Policisë Kufitare dhe Migracionit me automjete patrullimi dhe mjete transporti për shërbimet dhe migrantët e parregullt</w:t>
            </w:r>
          </w:p>
        </w:tc>
        <w:tc>
          <w:tcPr>
            <w:tcW w:w="211" w:type="pct"/>
            <w:tcBorders>
              <w:top w:val="nil"/>
              <w:left w:val="nil"/>
              <w:bottom w:val="single" w:sz="4" w:space="0" w:color="auto"/>
              <w:right w:val="single" w:sz="4" w:space="0" w:color="auto"/>
            </w:tcBorders>
            <w:shd w:val="clear" w:color="auto" w:fill="auto"/>
            <w:vAlign w:val="center"/>
            <w:hideMark/>
          </w:tcPr>
          <w:p w14:paraId="170A46F5"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 i ri që nuk ka marrë ende kod në PBA</w:t>
            </w:r>
          </w:p>
        </w:tc>
        <w:tc>
          <w:tcPr>
            <w:tcW w:w="202" w:type="pct"/>
            <w:tcBorders>
              <w:top w:val="nil"/>
              <w:left w:val="nil"/>
              <w:bottom w:val="single" w:sz="4" w:space="0" w:color="auto"/>
              <w:right w:val="single" w:sz="4" w:space="0" w:color="auto"/>
            </w:tcBorders>
            <w:shd w:val="clear" w:color="000000" w:fill="FFFFFF"/>
            <w:vAlign w:val="center"/>
            <w:hideMark/>
          </w:tcPr>
          <w:p w14:paraId="0050D8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389C17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574665E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2C02D6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619AA4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4976C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02703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3CFCB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auto" w:fill="auto"/>
            <w:vAlign w:val="center"/>
            <w:hideMark/>
          </w:tcPr>
          <w:p w14:paraId="45D05C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5852C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411344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1B39BD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136F0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03C3B6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6482F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A423D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7A4A86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81" w:type="pct"/>
            <w:tcBorders>
              <w:top w:val="nil"/>
              <w:left w:val="nil"/>
              <w:bottom w:val="single" w:sz="4" w:space="0" w:color="auto"/>
              <w:right w:val="single" w:sz="4" w:space="0" w:color="auto"/>
            </w:tcBorders>
            <w:shd w:val="clear" w:color="000000" w:fill="FFFFFF"/>
            <w:vAlign w:val="center"/>
            <w:hideMark/>
          </w:tcPr>
          <w:p w14:paraId="180EBF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auto" w:fill="auto"/>
            <w:vAlign w:val="center"/>
            <w:hideMark/>
          </w:tcPr>
          <w:p w14:paraId="08D138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Projekti i financuar nga BE-ja U4SAFEALB), </w:t>
            </w:r>
          </w:p>
        </w:tc>
        <w:tc>
          <w:tcPr>
            <w:tcW w:w="181" w:type="pct"/>
            <w:tcBorders>
              <w:top w:val="nil"/>
              <w:left w:val="nil"/>
              <w:bottom w:val="single" w:sz="4" w:space="0" w:color="auto"/>
              <w:right w:val="single" w:sz="4" w:space="0" w:color="auto"/>
            </w:tcBorders>
            <w:shd w:val="clear" w:color="000000" w:fill="FFFFFF"/>
            <w:vAlign w:val="center"/>
            <w:hideMark/>
          </w:tcPr>
          <w:p w14:paraId="5D73F9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60" w:type="pct"/>
            <w:tcBorders>
              <w:top w:val="nil"/>
              <w:left w:val="nil"/>
              <w:bottom w:val="single" w:sz="4" w:space="0" w:color="auto"/>
              <w:right w:val="single" w:sz="4" w:space="0" w:color="auto"/>
            </w:tcBorders>
            <w:shd w:val="clear" w:color="000000" w:fill="FFFFFF"/>
            <w:vAlign w:val="center"/>
            <w:hideMark/>
          </w:tcPr>
          <w:p w14:paraId="4530DF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0A07DCE"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0EFD8CD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3.3</w:t>
            </w:r>
          </w:p>
        </w:tc>
        <w:tc>
          <w:tcPr>
            <w:tcW w:w="247" w:type="pct"/>
            <w:tcBorders>
              <w:top w:val="nil"/>
              <w:left w:val="nil"/>
              <w:bottom w:val="single" w:sz="4" w:space="0" w:color="auto"/>
              <w:right w:val="single" w:sz="4" w:space="0" w:color="auto"/>
            </w:tcBorders>
            <w:shd w:val="clear" w:color="auto" w:fill="auto"/>
            <w:vAlign w:val="center"/>
            <w:hideMark/>
          </w:tcPr>
          <w:p w14:paraId="30115EA3" w14:textId="0C391BBD"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Pajisja e shërbimeve të kontrollit të kufirit me pajisje speciale (fibro/video skope, me pajisje për kontrollin e dendësisë (buster), me pajisje për dedektimin e radioaktivitetit (pager) si dhe rritja e numrit të qenve të policisë për lëndët narkotike. </w:t>
            </w:r>
          </w:p>
        </w:tc>
        <w:tc>
          <w:tcPr>
            <w:tcW w:w="211" w:type="pct"/>
            <w:tcBorders>
              <w:top w:val="nil"/>
              <w:left w:val="nil"/>
              <w:bottom w:val="single" w:sz="4" w:space="0" w:color="auto"/>
              <w:right w:val="single" w:sz="4" w:space="0" w:color="auto"/>
            </w:tcBorders>
            <w:shd w:val="clear" w:color="auto" w:fill="auto"/>
            <w:vAlign w:val="center"/>
            <w:hideMark/>
          </w:tcPr>
          <w:p w14:paraId="25686C15"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 i ri që nuk ka marrë ende kod në PBA</w:t>
            </w:r>
          </w:p>
        </w:tc>
        <w:tc>
          <w:tcPr>
            <w:tcW w:w="202" w:type="pct"/>
            <w:tcBorders>
              <w:top w:val="nil"/>
              <w:left w:val="nil"/>
              <w:bottom w:val="single" w:sz="4" w:space="0" w:color="auto"/>
              <w:right w:val="single" w:sz="4" w:space="0" w:color="auto"/>
            </w:tcBorders>
            <w:shd w:val="clear" w:color="000000" w:fill="FFFFFF"/>
            <w:vAlign w:val="center"/>
            <w:hideMark/>
          </w:tcPr>
          <w:p w14:paraId="320725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73422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06143A3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10B095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2F71CD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BD94C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1A5CA9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FE17E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auto" w:fill="auto"/>
            <w:vAlign w:val="center"/>
            <w:hideMark/>
          </w:tcPr>
          <w:p w14:paraId="38CC82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18B0CA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51583F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417A5A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DE75E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0023C0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6A2E1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19F5D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39D4BF4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81" w:type="pct"/>
            <w:tcBorders>
              <w:top w:val="nil"/>
              <w:left w:val="nil"/>
              <w:bottom w:val="single" w:sz="4" w:space="0" w:color="auto"/>
              <w:right w:val="single" w:sz="4" w:space="0" w:color="auto"/>
            </w:tcBorders>
            <w:shd w:val="clear" w:color="000000" w:fill="FFFFFF"/>
            <w:vAlign w:val="center"/>
            <w:hideMark/>
          </w:tcPr>
          <w:p w14:paraId="31BA73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auto" w:fill="auto"/>
            <w:vAlign w:val="center"/>
            <w:hideMark/>
          </w:tcPr>
          <w:p w14:paraId="58F7D4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Projekti i financuar nga BE-ja U4SAFEALB), </w:t>
            </w:r>
          </w:p>
        </w:tc>
        <w:tc>
          <w:tcPr>
            <w:tcW w:w="181" w:type="pct"/>
            <w:tcBorders>
              <w:top w:val="nil"/>
              <w:left w:val="nil"/>
              <w:bottom w:val="single" w:sz="4" w:space="0" w:color="auto"/>
              <w:right w:val="single" w:sz="4" w:space="0" w:color="auto"/>
            </w:tcBorders>
            <w:shd w:val="clear" w:color="000000" w:fill="FFFFFF"/>
            <w:vAlign w:val="center"/>
            <w:hideMark/>
          </w:tcPr>
          <w:p w14:paraId="369D82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60" w:type="pct"/>
            <w:tcBorders>
              <w:top w:val="nil"/>
              <w:left w:val="nil"/>
              <w:bottom w:val="single" w:sz="4" w:space="0" w:color="auto"/>
              <w:right w:val="single" w:sz="4" w:space="0" w:color="auto"/>
            </w:tcBorders>
            <w:shd w:val="clear" w:color="000000" w:fill="FFFFFF"/>
            <w:vAlign w:val="center"/>
            <w:hideMark/>
          </w:tcPr>
          <w:p w14:paraId="53B4F8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233BF10"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080723E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3.4</w:t>
            </w:r>
          </w:p>
        </w:tc>
        <w:tc>
          <w:tcPr>
            <w:tcW w:w="247" w:type="pct"/>
            <w:tcBorders>
              <w:top w:val="nil"/>
              <w:left w:val="nil"/>
              <w:bottom w:val="single" w:sz="4" w:space="0" w:color="auto"/>
              <w:right w:val="single" w:sz="4" w:space="0" w:color="auto"/>
            </w:tcBorders>
            <w:shd w:val="clear" w:color="auto" w:fill="auto"/>
            <w:vAlign w:val="center"/>
            <w:hideMark/>
          </w:tcPr>
          <w:p w14:paraId="14F9F7A5"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Zbatimi i projektit për krijimin e një baze të dhënash të humbjeve nga fatkeqësitë - DesInventar </w:t>
            </w:r>
          </w:p>
        </w:tc>
        <w:tc>
          <w:tcPr>
            <w:tcW w:w="211" w:type="pct"/>
            <w:tcBorders>
              <w:top w:val="nil"/>
              <w:left w:val="nil"/>
              <w:bottom w:val="single" w:sz="4" w:space="0" w:color="auto"/>
              <w:right w:val="single" w:sz="4" w:space="0" w:color="auto"/>
            </w:tcBorders>
            <w:shd w:val="clear" w:color="auto" w:fill="auto"/>
            <w:vAlign w:val="center"/>
            <w:hideMark/>
          </w:tcPr>
          <w:p w14:paraId="549E1F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ne proces verifikimi per lidhjen me MIK</w:t>
            </w:r>
          </w:p>
        </w:tc>
        <w:tc>
          <w:tcPr>
            <w:tcW w:w="202" w:type="pct"/>
            <w:tcBorders>
              <w:top w:val="nil"/>
              <w:left w:val="nil"/>
              <w:bottom w:val="single" w:sz="4" w:space="0" w:color="auto"/>
              <w:right w:val="single" w:sz="4" w:space="0" w:color="auto"/>
            </w:tcBorders>
            <w:shd w:val="clear" w:color="000000" w:fill="FFFFFF"/>
            <w:vAlign w:val="center"/>
            <w:hideMark/>
          </w:tcPr>
          <w:p w14:paraId="512872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w:t>
            </w:r>
          </w:p>
        </w:tc>
        <w:tc>
          <w:tcPr>
            <w:tcW w:w="680" w:type="pct"/>
            <w:tcBorders>
              <w:top w:val="nil"/>
              <w:left w:val="nil"/>
              <w:bottom w:val="single" w:sz="4" w:space="0" w:color="auto"/>
              <w:right w:val="single" w:sz="4" w:space="0" w:color="auto"/>
            </w:tcBorders>
            <w:shd w:val="clear" w:color="000000" w:fill="FFFFFF"/>
            <w:vAlign w:val="center"/>
            <w:hideMark/>
          </w:tcPr>
          <w:p w14:paraId="17ACA50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Ministritë dhe institucionet qendrore, Prefekti i Qarkut, Bashkitë</w:t>
            </w:r>
            <w:r w:rsidRPr="001F0C5A">
              <w:rPr>
                <w:rFonts w:ascii="Garamond" w:eastAsia="Times New Roman" w:hAnsi="Garamond" w:cs="Times New Roman"/>
                <w:color w:val="000000"/>
                <w:sz w:val="6"/>
                <w:szCs w:val="6"/>
                <w:lang w:val="sq-AL"/>
              </w:rPr>
              <w:br/>
              <w:t xml:space="preserve">UNDP </w:t>
            </w:r>
          </w:p>
        </w:tc>
        <w:tc>
          <w:tcPr>
            <w:tcW w:w="143" w:type="pct"/>
            <w:tcBorders>
              <w:top w:val="nil"/>
              <w:left w:val="nil"/>
              <w:bottom w:val="single" w:sz="4" w:space="0" w:color="auto"/>
              <w:right w:val="single" w:sz="4" w:space="0" w:color="auto"/>
            </w:tcBorders>
            <w:shd w:val="clear" w:color="000000" w:fill="FFFFFF"/>
            <w:vAlign w:val="center"/>
            <w:hideMark/>
          </w:tcPr>
          <w:p w14:paraId="5543055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73166C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0D4097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470,000</w:t>
            </w:r>
          </w:p>
        </w:tc>
        <w:tc>
          <w:tcPr>
            <w:tcW w:w="181" w:type="pct"/>
            <w:tcBorders>
              <w:top w:val="nil"/>
              <w:left w:val="nil"/>
              <w:bottom w:val="single" w:sz="4" w:space="0" w:color="auto"/>
              <w:right w:val="single" w:sz="4" w:space="0" w:color="auto"/>
            </w:tcBorders>
            <w:shd w:val="clear" w:color="000000" w:fill="FFFFFF"/>
            <w:vAlign w:val="center"/>
            <w:hideMark/>
          </w:tcPr>
          <w:p w14:paraId="01F8D8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28974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470,000</w:t>
            </w:r>
          </w:p>
        </w:tc>
        <w:tc>
          <w:tcPr>
            <w:tcW w:w="196" w:type="pct"/>
            <w:tcBorders>
              <w:top w:val="nil"/>
              <w:left w:val="nil"/>
              <w:bottom w:val="single" w:sz="4" w:space="0" w:color="auto"/>
              <w:right w:val="single" w:sz="4" w:space="0" w:color="auto"/>
            </w:tcBorders>
            <w:shd w:val="clear" w:color="000000" w:fill="FFFFFF"/>
            <w:vAlign w:val="center"/>
            <w:hideMark/>
          </w:tcPr>
          <w:p w14:paraId="2E43BF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470,000</w:t>
            </w:r>
          </w:p>
        </w:tc>
        <w:tc>
          <w:tcPr>
            <w:tcW w:w="196" w:type="pct"/>
            <w:tcBorders>
              <w:top w:val="nil"/>
              <w:left w:val="nil"/>
              <w:bottom w:val="single" w:sz="4" w:space="0" w:color="auto"/>
              <w:right w:val="single" w:sz="4" w:space="0" w:color="auto"/>
            </w:tcBorders>
            <w:shd w:val="clear" w:color="auto" w:fill="auto"/>
            <w:vAlign w:val="center"/>
            <w:hideMark/>
          </w:tcPr>
          <w:p w14:paraId="7828D6D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1C82F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470,000</w:t>
            </w:r>
          </w:p>
        </w:tc>
        <w:tc>
          <w:tcPr>
            <w:tcW w:w="196" w:type="pct"/>
            <w:tcBorders>
              <w:top w:val="nil"/>
              <w:left w:val="nil"/>
              <w:bottom w:val="single" w:sz="4" w:space="0" w:color="auto"/>
              <w:right w:val="single" w:sz="4" w:space="0" w:color="auto"/>
            </w:tcBorders>
            <w:shd w:val="clear" w:color="000000" w:fill="FFFFFF"/>
            <w:vAlign w:val="center"/>
            <w:hideMark/>
          </w:tcPr>
          <w:p w14:paraId="07CACA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940,000</w:t>
            </w:r>
          </w:p>
        </w:tc>
        <w:tc>
          <w:tcPr>
            <w:tcW w:w="196" w:type="pct"/>
            <w:tcBorders>
              <w:top w:val="nil"/>
              <w:left w:val="nil"/>
              <w:bottom w:val="single" w:sz="4" w:space="0" w:color="auto"/>
              <w:right w:val="single" w:sz="4" w:space="0" w:color="auto"/>
            </w:tcBorders>
            <w:shd w:val="clear" w:color="000000" w:fill="FFFFFF"/>
            <w:vAlign w:val="center"/>
            <w:hideMark/>
          </w:tcPr>
          <w:p w14:paraId="09BB05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6C362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940,000</w:t>
            </w:r>
          </w:p>
        </w:tc>
        <w:tc>
          <w:tcPr>
            <w:tcW w:w="196" w:type="pct"/>
            <w:tcBorders>
              <w:top w:val="nil"/>
              <w:left w:val="nil"/>
              <w:bottom w:val="single" w:sz="4" w:space="0" w:color="auto"/>
              <w:right w:val="single" w:sz="4" w:space="0" w:color="auto"/>
            </w:tcBorders>
            <w:shd w:val="clear" w:color="000000" w:fill="FFFFFF"/>
            <w:vAlign w:val="center"/>
            <w:hideMark/>
          </w:tcPr>
          <w:p w14:paraId="70973A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940,000</w:t>
            </w:r>
          </w:p>
        </w:tc>
        <w:tc>
          <w:tcPr>
            <w:tcW w:w="181" w:type="pct"/>
            <w:tcBorders>
              <w:top w:val="nil"/>
              <w:left w:val="nil"/>
              <w:bottom w:val="single" w:sz="4" w:space="0" w:color="auto"/>
              <w:right w:val="single" w:sz="4" w:space="0" w:color="auto"/>
            </w:tcBorders>
            <w:shd w:val="clear" w:color="000000" w:fill="FFFFFF"/>
            <w:vAlign w:val="center"/>
            <w:hideMark/>
          </w:tcPr>
          <w:p w14:paraId="74ABAC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8FF8B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940,000</w:t>
            </w:r>
          </w:p>
        </w:tc>
        <w:tc>
          <w:tcPr>
            <w:tcW w:w="170" w:type="pct"/>
            <w:tcBorders>
              <w:top w:val="nil"/>
              <w:left w:val="nil"/>
              <w:bottom w:val="single" w:sz="4" w:space="0" w:color="auto"/>
              <w:right w:val="single" w:sz="4" w:space="0" w:color="auto"/>
            </w:tcBorders>
            <w:shd w:val="clear" w:color="000000" w:fill="FFFFFF"/>
            <w:vAlign w:val="center"/>
            <w:hideMark/>
          </w:tcPr>
          <w:p w14:paraId="7E8C1E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08017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D1169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FF902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ED73C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12906EC"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635854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3.5</w:t>
            </w:r>
          </w:p>
        </w:tc>
        <w:tc>
          <w:tcPr>
            <w:tcW w:w="247" w:type="pct"/>
            <w:tcBorders>
              <w:top w:val="nil"/>
              <w:left w:val="nil"/>
              <w:bottom w:val="single" w:sz="4" w:space="0" w:color="auto"/>
              <w:right w:val="single" w:sz="4" w:space="0" w:color="auto"/>
            </w:tcBorders>
            <w:shd w:val="clear" w:color="auto" w:fill="auto"/>
            <w:vAlign w:val="center"/>
            <w:hideMark/>
          </w:tcPr>
          <w:p w14:paraId="1E46E50A"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Zbatimi i projektit BE/OKB për forcimin e kapaciteteve të gatishmërisë nëpërmjet programit të trajnimit të Mbrojtjes Civile</w:t>
            </w:r>
          </w:p>
        </w:tc>
        <w:tc>
          <w:tcPr>
            <w:tcW w:w="211" w:type="pct"/>
            <w:tcBorders>
              <w:top w:val="nil"/>
              <w:left w:val="nil"/>
              <w:bottom w:val="single" w:sz="4" w:space="0" w:color="auto"/>
              <w:right w:val="single" w:sz="4" w:space="0" w:color="auto"/>
            </w:tcBorders>
            <w:shd w:val="clear" w:color="000000" w:fill="FFFFFF"/>
            <w:vAlign w:val="center"/>
            <w:hideMark/>
          </w:tcPr>
          <w:p w14:paraId="20CD7E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068889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w:t>
            </w:r>
          </w:p>
        </w:tc>
        <w:tc>
          <w:tcPr>
            <w:tcW w:w="680" w:type="pct"/>
            <w:tcBorders>
              <w:top w:val="nil"/>
              <w:left w:val="nil"/>
              <w:bottom w:val="single" w:sz="4" w:space="0" w:color="auto"/>
              <w:right w:val="single" w:sz="4" w:space="0" w:color="auto"/>
            </w:tcBorders>
            <w:shd w:val="clear" w:color="000000" w:fill="FFFFFF"/>
            <w:vAlign w:val="center"/>
            <w:hideMark/>
          </w:tcPr>
          <w:p w14:paraId="3F167D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Institucionet përfituese BE/OKB</w:t>
            </w:r>
          </w:p>
        </w:tc>
        <w:tc>
          <w:tcPr>
            <w:tcW w:w="143" w:type="pct"/>
            <w:tcBorders>
              <w:top w:val="nil"/>
              <w:left w:val="nil"/>
              <w:bottom w:val="single" w:sz="4" w:space="0" w:color="auto"/>
              <w:right w:val="single" w:sz="4" w:space="0" w:color="auto"/>
            </w:tcBorders>
            <w:shd w:val="clear" w:color="000000" w:fill="FFFFFF"/>
            <w:vAlign w:val="center"/>
            <w:hideMark/>
          </w:tcPr>
          <w:p w14:paraId="5CE5E88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B16A44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2027</w:t>
            </w:r>
          </w:p>
        </w:tc>
        <w:tc>
          <w:tcPr>
            <w:tcW w:w="181" w:type="pct"/>
            <w:tcBorders>
              <w:top w:val="nil"/>
              <w:left w:val="nil"/>
              <w:bottom w:val="single" w:sz="4" w:space="0" w:color="auto"/>
              <w:right w:val="single" w:sz="4" w:space="0" w:color="auto"/>
            </w:tcBorders>
            <w:shd w:val="clear" w:color="000000" w:fill="FFFFFF"/>
            <w:vAlign w:val="center"/>
            <w:hideMark/>
          </w:tcPr>
          <w:p w14:paraId="2EA980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210,000</w:t>
            </w:r>
          </w:p>
        </w:tc>
        <w:tc>
          <w:tcPr>
            <w:tcW w:w="181" w:type="pct"/>
            <w:tcBorders>
              <w:top w:val="nil"/>
              <w:left w:val="nil"/>
              <w:bottom w:val="single" w:sz="4" w:space="0" w:color="auto"/>
              <w:right w:val="single" w:sz="4" w:space="0" w:color="auto"/>
            </w:tcBorders>
            <w:shd w:val="clear" w:color="000000" w:fill="FFFFFF"/>
            <w:vAlign w:val="center"/>
            <w:hideMark/>
          </w:tcPr>
          <w:p w14:paraId="37B486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38D0D2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210,000</w:t>
            </w:r>
          </w:p>
        </w:tc>
        <w:tc>
          <w:tcPr>
            <w:tcW w:w="196" w:type="pct"/>
            <w:tcBorders>
              <w:top w:val="nil"/>
              <w:left w:val="nil"/>
              <w:bottom w:val="single" w:sz="4" w:space="0" w:color="auto"/>
              <w:right w:val="single" w:sz="4" w:space="0" w:color="auto"/>
            </w:tcBorders>
            <w:shd w:val="clear" w:color="000000" w:fill="FFFFFF"/>
            <w:vAlign w:val="center"/>
            <w:hideMark/>
          </w:tcPr>
          <w:p w14:paraId="753D39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210,000</w:t>
            </w:r>
          </w:p>
        </w:tc>
        <w:tc>
          <w:tcPr>
            <w:tcW w:w="196" w:type="pct"/>
            <w:tcBorders>
              <w:top w:val="nil"/>
              <w:left w:val="nil"/>
              <w:bottom w:val="single" w:sz="4" w:space="0" w:color="auto"/>
              <w:right w:val="single" w:sz="4" w:space="0" w:color="auto"/>
            </w:tcBorders>
            <w:shd w:val="clear" w:color="auto" w:fill="auto"/>
            <w:vAlign w:val="center"/>
            <w:hideMark/>
          </w:tcPr>
          <w:p w14:paraId="48DD4C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C3E4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210,000</w:t>
            </w:r>
          </w:p>
        </w:tc>
        <w:tc>
          <w:tcPr>
            <w:tcW w:w="196" w:type="pct"/>
            <w:tcBorders>
              <w:top w:val="nil"/>
              <w:left w:val="nil"/>
              <w:bottom w:val="single" w:sz="4" w:space="0" w:color="auto"/>
              <w:right w:val="single" w:sz="4" w:space="0" w:color="auto"/>
            </w:tcBorders>
            <w:shd w:val="clear" w:color="000000" w:fill="FFFFFF"/>
            <w:vAlign w:val="center"/>
            <w:hideMark/>
          </w:tcPr>
          <w:p w14:paraId="323088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420,000</w:t>
            </w:r>
          </w:p>
        </w:tc>
        <w:tc>
          <w:tcPr>
            <w:tcW w:w="196" w:type="pct"/>
            <w:tcBorders>
              <w:top w:val="nil"/>
              <w:left w:val="nil"/>
              <w:bottom w:val="single" w:sz="4" w:space="0" w:color="auto"/>
              <w:right w:val="single" w:sz="4" w:space="0" w:color="auto"/>
            </w:tcBorders>
            <w:shd w:val="clear" w:color="000000" w:fill="FFFFFF"/>
            <w:vAlign w:val="center"/>
            <w:hideMark/>
          </w:tcPr>
          <w:p w14:paraId="0AF414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B77C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420,000</w:t>
            </w:r>
          </w:p>
        </w:tc>
        <w:tc>
          <w:tcPr>
            <w:tcW w:w="196" w:type="pct"/>
            <w:tcBorders>
              <w:top w:val="nil"/>
              <w:left w:val="nil"/>
              <w:bottom w:val="single" w:sz="4" w:space="0" w:color="auto"/>
              <w:right w:val="single" w:sz="4" w:space="0" w:color="auto"/>
            </w:tcBorders>
            <w:shd w:val="clear" w:color="000000" w:fill="FFFFFF"/>
            <w:vAlign w:val="center"/>
            <w:hideMark/>
          </w:tcPr>
          <w:p w14:paraId="2A39F9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420,000</w:t>
            </w:r>
          </w:p>
        </w:tc>
        <w:tc>
          <w:tcPr>
            <w:tcW w:w="181" w:type="pct"/>
            <w:tcBorders>
              <w:top w:val="nil"/>
              <w:left w:val="nil"/>
              <w:bottom w:val="single" w:sz="4" w:space="0" w:color="auto"/>
              <w:right w:val="single" w:sz="4" w:space="0" w:color="auto"/>
            </w:tcBorders>
            <w:shd w:val="clear" w:color="000000" w:fill="FFFFFF"/>
            <w:vAlign w:val="center"/>
            <w:hideMark/>
          </w:tcPr>
          <w:p w14:paraId="0D374A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D286B1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420,000</w:t>
            </w:r>
          </w:p>
        </w:tc>
        <w:tc>
          <w:tcPr>
            <w:tcW w:w="170" w:type="pct"/>
            <w:tcBorders>
              <w:top w:val="nil"/>
              <w:left w:val="nil"/>
              <w:bottom w:val="single" w:sz="4" w:space="0" w:color="auto"/>
              <w:right w:val="single" w:sz="4" w:space="0" w:color="auto"/>
            </w:tcBorders>
            <w:shd w:val="clear" w:color="000000" w:fill="FFFFFF"/>
            <w:vAlign w:val="center"/>
            <w:hideMark/>
          </w:tcPr>
          <w:p w14:paraId="32A041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90321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83A13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71B9B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92B67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4A2C699"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3DFB3EB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3.6</w:t>
            </w:r>
          </w:p>
        </w:tc>
        <w:tc>
          <w:tcPr>
            <w:tcW w:w="247" w:type="pct"/>
            <w:tcBorders>
              <w:top w:val="nil"/>
              <w:left w:val="nil"/>
              <w:bottom w:val="single" w:sz="4" w:space="0" w:color="auto"/>
              <w:right w:val="single" w:sz="4" w:space="0" w:color="auto"/>
            </w:tcBorders>
            <w:shd w:val="clear" w:color="auto" w:fill="auto"/>
            <w:vAlign w:val="center"/>
            <w:hideMark/>
          </w:tcPr>
          <w:p w14:paraId="6AA0AD3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Zbatimi i projektit të AICS për forcimin e kapaciteteve të gatishmërisë së forcave operacionale përmes trajnimeve, ushtrimeve dhe stërvitjeve</w:t>
            </w:r>
          </w:p>
        </w:tc>
        <w:tc>
          <w:tcPr>
            <w:tcW w:w="211" w:type="pct"/>
            <w:tcBorders>
              <w:top w:val="nil"/>
              <w:left w:val="nil"/>
              <w:bottom w:val="single" w:sz="4" w:space="0" w:color="auto"/>
              <w:right w:val="single" w:sz="4" w:space="0" w:color="auto"/>
            </w:tcBorders>
            <w:shd w:val="clear" w:color="000000" w:fill="FFFFFF"/>
            <w:vAlign w:val="center"/>
            <w:hideMark/>
          </w:tcPr>
          <w:p w14:paraId="312127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5FE376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w:t>
            </w:r>
          </w:p>
        </w:tc>
        <w:tc>
          <w:tcPr>
            <w:tcW w:w="680" w:type="pct"/>
            <w:tcBorders>
              <w:top w:val="nil"/>
              <w:left w:val="nil"/>
              <w:bottom w:val="single" w:sz="4" w:space="0" w:color="auto"/>
              <w:right w:val="single" w:sz="4" w:space="0" w:color="auto"/>
            </w:tcBorders>
            <w:shd w:val="clear" w:color="000000" w:fill="FFFFFF"/>
            <w:vAlign w:val="center"/>
            <w:hideMark/>
          </w:tcPr>
          <w:p w14:paraId="343BC0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Institucionet përfituese sipas projektit/Italian Agency for Development Cooperation (AICS)</w:t>
            </w:r>
          </w:p>
        </w:tc>
        <w:tc>
          <w:tcPr>
            <w:tcW w:w="143" w:type="pct"/>
            <w:tcBorders>
              <w:top w:val="nil"/>
              <w:left w:val="nil"/>
              <w:bottom w:val="single" w:sz="4" w:space="0" w:color="auto"/>
              <w:right w:val="single" w:sz="4" w:space="0" w:color="auto"/>
            </w:tcBorders>
            <w:shd w:val="clear" w:color="000000" w:fill="FFFFFF"/>
            <w:vAlign w:val="center"/>
            <w:hideMark/>
          </w:tcPr>
          <w:p w14:paraId="73494DA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E34D37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BA04C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35,500,000</w:t>
            </w:r>
          </w:p>
        </w:tc>
        <w:tc>
          <w:tcPr>
            <w:tcW w:w="181" w:type="pct"/>
            <w:tcBorders>
              <w:top w:val="nil"/>
              <w:left w:val="nil"/>
              <w:bottom w:val="single" w:sz="4" w:space="0" w:color="auto"/>
              <w:right w:val="single" w:sz="4" w:space="0" w:color="auto"/>
            </w:tcBorders>
            <w:shd w:val="clear" w:color="000000" w:fill="FFFFFF"/>
            <w:vAlign w:val="center"/>
            <w:hideMark/>
          </w:tcPr>
          <w:p w14:paraId="3FA48C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6B07E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35,500,000</w:t>
            </w:r>
          </w:p>
        </w:tc>
        <w:tc>
          <w:tcPr>
            <w:tcW w:w="196" w:type="pct"/>
            <w:tcBorders>
              <w:top w:val="nil"/>
              <w:left w:val="nil"/>
              <w:bottom w:val="single" w:sz="4" w:space="0" w:color="auto"/>
              <w:right w:val="single" w:sz="4" w:space="0" w:color="auto"/>
            </w:tcBorders>
            <w:shd w:val="clear" w:color="000000" w:fill="FFFFFF"/>
            <w:vAlign w:val="center"/>
            <w:hideMark/>
          </w:tcPr>
          <w:p w14:paraId="5BF1AB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35,500,000</w:t>
            </w:r>
          </w:p>
        </w:tc>
        <w:tc>
          <w:tcPr>
            <w:tcW w:w="196" w:type="pct"/>
            <w:tcBorders>
              <w:top w:val="nil"/>
              <w:left w:val="nil"/>
              <w:bottom w:val="single" w:sz="4" w:space="0" w:color="auto"/>
              <w:right w:val="single" w:sz="4" w:space="0" w:color="auto"/>
            </w:tcBorders>
            <w:shd w:val="clear" w:color="auto" w:fill="auto"/>
            <w:vAlign w:val="center"/>
            <w:hideMark/>
          </w:tcPr>
          <w:p w14:paraId="61474D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77B9F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35,500,000</w:t>
            </w:r>
          </w:p>
        </w:tc>
        <w:tc>
          <w:tcPr>
            <w:tcW w:w="196" w:type="pct"/>
            <w:tcBorders>
              <w:top w:val="nil"/>
              <w:left w:val="nil"/>
              <w:bottom w:val="single" w:sz="4" w:space="0" w:color="auto"/>
              <w:right w:val="single" w:sz="4" w:space="0" w:color="auto"/>
            </w:tcBorders>
            <w:shd w:val="clear" w:color="000000" w:fill="FFFFFF"/>
            <w:vAlign w:val="center"/>
            <w:hideMark/>
          </w:tcPr>
          <w:p w14:paraId="2C98EC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71,000,000</w:t>
            </w:r>
          </w:p>
        </w:tc>
        <w:tc>
          <w:tcPr>
            <w:tcW w:w="196" w:type="pct"/>
            <w:tcBorders>
              <w:top w:val="nil"/>
              <w:left w:val="nil"/>
              <w:bottom w:val="single" w:sz="4" w:space="0" w:color="auto"/>
              <w:right w:val="single" w:sz="4" w:space="0" w:color="auto"/>
            </w:tcBorders>
            <w:shd w:val="clear" w:color="000000" w:fill="FFFFFF"/>
            <w:vAlign w:val="center"/>
            <w:hideMark/>
          </w:tcPr>
          <w:p w14:paraId="01B9E3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355D2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71,000,000</w:t>
            </w:r>
          </w:p>
        </w:tc>
        <w:tc>
          <w:tcPr>
            <w:tcW w:w="196" w:type="pct"/>
            <w:tcBorders>
              <w:top w:val="nil"/>
              <w:left w:val="nil"/>
              <w:bottom w:val="single" w:sz="4" w:space="0" w:color="auto"/>
              <w:right w:val="single" w:sz="4" w:space="0" w:color="auto"/>
            </w:tcBorders>
            <w:shd w:val="clear" w:color="000000" w:fill="FFFFFF"/>
            <w:vAlign w:val="center"/>
            <w:hideMark/>
          </w:tcPr>
          <w:p w14:paraId="1E6F56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71,000,000</w:t>
            </w:r>
          </w:p>
        </w:tc>
        <w:tc>
          <w:tcPr>
            <w:tcW w:w="181" w:type="pct"/>
            <w:tcBorders>
              <w:top w:val="nil"/>
              <w:left w:val="nil"/>
              <w:bottom w:val="single" w:sz="4" w:space="0" w:color="auto"/>
              <w:right w:val="single" w:sz="4" w:space="0" w:color="auto"/>
            </w:tcBorders>
            <w:shd w:val="clear" w:color="000000" w:fill="FFFFFF"/>
            <w:vAlign w:val="center"/>
            <w:hideMark/>
          </w:tcPr>
          <w:p w14:paraId="305A97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7135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71,000,000</w:t>
            </w:r>
          </w:p>
        </w:tc>
        <w:tc>
          <w:tcPr>
            <w:tcW w:w="170" w:type="pct"/>
            <w:tcBorders>
              <w:top w:val="nil"/>
              <w:left w:val="nil"/>
              <w:bottom w:val="single" w:sz="4" w:space="0" w:color="auto"/>
              <w:right w:val="single" w:sz="4" w:space="0" w:color="auto"/>
            </w:tcBorders>
            <w:shd w:val="clear" w:color="000000" w:fill="FFFFFF"/>
            <w:vAlign w:val="center"/>
            <w:hideMark/>
          </w:tcPr>
          <w:p w14:paraId="782BB7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02E51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C08DA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AA48A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562A6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8EF2D9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43A9A8A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5EB917E4" w14:textId="4E76C064"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3110EB">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3</w:t>
            </w:r>
          </w:p>
        </w:tc>
        <w:tc>
          <w:tcPr>
            <w:tcW w:w="211" w:type="pct"/>
            <w:tcBorders>
              <w:top w:val="nil"/>
              <w:left w:val="nil"/>
              <w:bottom w:val="single" w:sz="4" w:space="0" w:color="auto"/>
              <w:right w:val="single" w:sz="4" w:space="0" w:color="auto"/>
            </w:tcBorders>
            <w:shd w:val="clear" w:color="000000" w:fill="D9D9D9"/>
            <w:vAlign w:val="center"/>
            <w:hideMark/>
          </w:tcPr>
          <w:p w14:paraId="7DD6694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2590E43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4290DB4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4A398BA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1CAEB95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76082EB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153,480,000</w:t>
            </w:r>
          </w:p>
        </w:tc>
        <w:tc>
          <w:tcPr>
            <w:tcW w:w="181" w:type="pct"/>
            <w:tcBorders>
              <w:top w:val="nil"/>
              <w:left w:val="nil"/>
              <w:bottom w:val="single" w:sz="4" w:space="0" w:color="auto"/>
              <w:right w:val="single" w:sz="4" w:space="0" w:color="auto"/>
            </w:tcBorders>
            <w:shd w:val="clear" w:color="000000" w:fill="D9D9D9"/>
            <w:vAlign w:val="center"/>
            <w:hideMark/>
          </w:tcPr>
          <w:p w14:paraId="32F6127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52EC77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153,480,000</w:t>
            </w:r>
          </w:p>
        </w:tc>
        <w:tc>
          <w:tcPr>
            <w:tcW w:w="196" w:type="pct"/>
            <w:tcBorders>
              <w:top w:val="nil"/>
              <w:left w:val="nil"/>
              <w:bottom w:val="single" w:sz="4" w:space="0" w:color="auto"/>
              <w:right w:val="single" w:sz="4" w:space="0" w:color="auto"/>
            </w:tcBorders>
            <w:shd w:val="clear" w:color="000000" w:fill="D9D9D9"/>
            <w:vAlign w:val="center"/>
            <w:hideMark/>
          </w:tcPr>
          <w:p w14:paraId="0EA77D4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238,480,000</w:t>
            </w:r>
          </w:p>
        </w:tc>
        <w:tc>
          <w:tcPr>
            <w:tcW w:w="196" w:type="pct"/>
            <w:tcBorders>
              <w:top w:val="nil"/>
              <w:left w:val="nil"/>
              <w:bottom w:val="single" w:sz="4" w:space="0" w:color="auto"/>
              <w:right w:val="single" w:sz="4" w:space="0" w:color="auto"/>
            </w:tcBorders>
            <w:shd w:val="clear" w:color="000000" w:fill="D9D9D9"/>
            <w:vAlign w:val="center"/>
            <w:hideMark/>
          </w:tcPr>
          <w:p w14:paraId="4A7D93C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4E9A758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238,480,000</w:t>
            </w:r>
          </w:p>
        </w:tc>
        <w:tc>
          <w:tcPr>
            <w:tcW w:w="196" w:type="pct"/>
            <w:tcBorders>
              <w:top w:val="nil"/>
              <w:left w:val="nil"/>
              <w:bottom w:val="single" w:sz="4" w:space="0" w:color="auto"/>
              <w:right w:val="single" w:sz="4" w:space="0" w:color="auto"/>
            </w:tcBorders>
            <w:shd w:val="clear" w:color="000000" w:fill="D9D9D9"/>
            <w:vAlign w:val="center"/>
            <w:hideMark/>
          </w:tcPr>
          <w:p w14:paraId="169CC10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391,960,000</w:t>
            </w:r>
          </w:p>
        </w:tc>
        <w:tc>
          <w:tcPr>
            <w:tcW w:w="196" w:type="pct"/>
            <w:tcBorders>
              <w:top w:val="nil"/>
              <w:left w:val="nil"/>
              <w:bottom w:val="single" w:sz="4" w:space="0" w:color="auto"/>
              <w:right w:val="single" w:sz="4" w:space="0" w:color="auto"/>
            </w:tcBorders>
            <w:shd w:val="clear" w:color="000000" w:fill="D9D9D9"/>
            <w:vAlign w:val="center"/>
            <w:hideMark/>
          </w:tcPr>
          <w:p w14:paraId="16A4CC8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4B4650D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391,960,000</w:t>
            </w:r>
          </w:p>
        </w:tc>
        <w:tc>
          <w:tcPr>
            <w:tcW w:w="196" w:type="pct"/>
            <w:tcBorders>
              <w:top w:val="nil"/>
              <w:left w:val="nil"/>
              <w:bottom w:val="single" w:sz="4" w:space="0" w:color="auto"/>
              <w:right w:val="single" w:sz="4" w:space="0" w:color="auto"/>
            </w:tcBorders>
            <w:shd w:val="clear" w:color="000000" w:fill="D9D9D9"/>
            <w:vAlign w:val="center"/>
            <w:hideMark/>
          </w:tcPr>
          <w:p w14:paraId="6398627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306,960,000</w:t>
            </w:r>
          </w:p>
        </w:tc>
        <w:tc>
          <w:tcPr>
            <w:tcW w:w="181" w:type="pct"/>
            <w:tcBorders>
              <w:top w:val="nil"/>
              <w:left w:val="nil"/>
              <w:bottom w:val="single" w:sz="4" w:space="0" w:color="auto"/>
              <w:right w:val="single" w:sz="4" w:space="0" w:color="auto"/>
            </w:tcBorders>
            <w:shd w:val="clear" w:color="000000" w:fill="D9D9D9"/>
            <w:vAlign w:val="center"/>
            <w:hideMark/>
          </w:tcPr>
          <w:p w14:paraId="6806033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49B701B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306,960,000</w:t>
            </w:r>
          </w:p>
        </w:tc>
        <w:tc>
          <w:tcPr>
            <w:tcW w:w="170" w:type="pct"/>
            <w:tcBorders>
              <w:top w:val="nil"/>
              <w:left w:val="nil"/>
              <w:bottom w:val="single" w:sz="4" w:space="0" w:color="auto"/>
              <w:right w:val="single" w:sz="4" w:space="0" w:color="auto"/>
            </w:tcBorders>
            <w:shd w:val="clear" w:color="000000" w:fill="D9D9D9"/>
            <w:vAlign w:val="center"/>
            <w:hideMark/>
          </w:tcPr>
          <w:p w14:paraId="0CCAB3E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85,000,000</w:t>
            </w:r>
          </w:p>
        </w:tc>
        <w:tc>
          <w:tcPr>
            <w:tcW w:w="181" w:type="pct"/>
            <w:tcBorders>
              <w:top w:val="nil"/>
              <w:left w:val="nil"/>
              <w:bottom w:val="single" w:sz="4" w:space="0" w:color="auto"/>
              <w:right w:val="single" w:sz="4" w:space="0" w:color="auto"/>
            </w:tcBorders>
            <w:shd w:val="clear" w:color="000000" w:fill="D9D9D9"/>
            <w:vAlign w:val="center"/>
            <w:hideMark/>
          </w:tcPr>
          <w:p w14:paraId="5764BBF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4E8C207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70C73DD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85,000,000</w:t>
            </w:r>
          </w:p>
        </w:tc>
        <w:tc>
          <w:tcPr>
            <w:tcW w:w="160" w:type="pct"/>
            <w:tcBorders>
              <w:top w:val="nil"/>
              <w:left w:val="nil"/>
              <w:bottom w:val="single" w:sz="4" w:space="0" w:color="auto"/>
              <w:right w:val="single" w:sz="4" w:space="0" w:color="auto"/>
            </w:tcBorders>
            <w:shd w:val="clear" w:color="000000" w:fill="D9D9D9"/>
            <w:vAlign w:val="center"/>
            <w:hideMark/>
          </w:tcPr>
          <w:p w14:paraId="269D3B0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76D41DD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0AB62D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4</w:t>
            </w:r>
          </w:p>
        </w:tc>
        <w:tc>
          <w:tcPr>
            <w:tcW w:w="247" w:type="pct"/>
            <w:tcBorders>
              <w:top w:val="nil"/>
              <w:left w:val="nil"/>
              <w:bottom w:val="single" w:sz="4" w:space="0" w:color="auto"/>
              <w:right w:val="single" w:sz="4" w:space="0" w:color="auto"/>
            </w:tcBorders>
            <w:shd w:val="clear" w:color="000000" w:fill="DDEBF7"/>
            <w:vAlign w:val="center"/>
            <w:hideMark/>
          </w:tcPr>
          <w:p w14:paraId="09EAB14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4: Bashkëpunim i zgjeruar ndërinstitucional në menaxhimin e integruar të kufijve për të përmirësuar trafikun ndërkufitar, përmirësimin e sigurisë kufitare, luftën ndaj krimit ndërkufitar, mbrojtjen e jetës, shëndetit dhe pronën e njerëzve, shëndetin e kafshëve, bimësinë dhe ekosistemet përgjatë kufirit shtetëror.</w:t>
            </w:r>
          </w:p>
        </w:tc>
        <w:tc>
          <w:tcPr>
            <w:tcW w:w="211" w:type="pct"/>
            <w:tcBorders>
              <w:top w:val="nil"/>
              <w:left w:val="nil"/>
              <w:bottom w:val="single" w:sz="4" w:space="0" w:color="auto"/>
              <w:right w:val="single" w:sz="4" w:space="0" w:color="auto"/>
            </w:tcBorders>
            <w:shd w:val="clear" w:color="000000" w:fill="DDEBF7"/>
            <w:vAlign w:val="center"/>
            <w:hideMark/>
          </w:tcPr>
          <w:p w14:paraId="0B9F9F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5BE64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74273C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20513C9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678DDC9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854A3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20FC37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1CA0D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F8661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1580C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9DBB4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CB86C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A3664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3ACC4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601BD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BC5ED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33B22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2EAFBA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69FCD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5BA264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FF854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74E1004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54C9045E"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28AE6E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4.1</w:t>
            </w:r>
          </w:p>
        </w:tc>
        <w:tc>
          <w:tcPr>
            <w:tcW w:w="247" w:type="pct"/>
            <w:tcBorders>
              <w:top w:val="nil"/>
              <w:left w:val="nil"/>
              <w:bottom w:val="single" w:sz="4" w:space="0" w:color="auto"/>
              <w:right w:val="single" w:sz="4" w:space="0" w:color="auto"/>
            </w:tcBorders>
            <w:shd w:val="clear" w:color="auto" w:fill="auto"/>
            <w:vAlign w:val="center"/>
            <w:hideMark/>
          </w:tcPr>
          <w:p w14:paraId="65C80ABF" w14:textId="52296D01"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Miratimi i aktit ligjor </w:t>
            </w:r>
            <w:r w:rsidR="003110EB">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Për ngritjen dhe funksionimin e Qendrës Kombëtare të Koordinimit të Menaxhimit të Integruar të Kufirit</w:t>
            </w:r>
            <w:r w:rsidR="003110EB">
              <w:rPr>
                <w:rFonts w:ascii="Garamond" w:eastAsia="Times New Roman" w:hAnsi="Garamond" w:cs="Times New Roman"/>
                <w:b/>
                <w:bCs/>
                <w:color w:val="000000"/>
                <w:sz w:val="6"/>
                <w:szCs w:val="6"/>
                <w:lang w:val="sq-AL"/>
              </w:rPr>
              <w:t>”</w:t>
            </w:r>
          </w:p>
        </w:tc>
        <w:tc>
          <w:tcPr>
            <w:tcW w:w="211" w:type="pct"/>
            <w:tcBorders>
              <w:top w:val="nil"/>
              <w:left w:val="nil"/>
              <w:bottom w:val="single" w:sz="4" w:space="0" w:color="auto"/>
              <w:right w:val="single" w:sz="4" w:space="0" w:color="auto"/>
            </w:tcBorders>
            <w:shd w:val="clear" w:color="auto" w:fill="auto"/>
            <w:vAlign w:val="bottom"/>
            <w:hideMark/>
          </w:tcPr>
          <w:p w14:paraId="465126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323A9E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0DDE6120"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MF/DPD</w:t>
            </w:r>
            <w:r w:rsidRPr="001F0C5A">
              <w:rPr>
                <w:rFonts w:ascii="Garamond" w:eastAsia="Times New Roman" w:hAnsi="Garamond" w:cs="Times New Roman"/>
                <w:sz w:val="6"/>
                <w:szCs w:val="6"/>
                <w:lang w:val="sq-AL"/>
              </w:rPr>
              <w:br/>
              <w:t>MBZHR/AKU</w:t>
            </w:r>
            <w:r w:rsidRPr="001F0C5A">
              <w:rPr>
                <w:rFonts w:ascii="Garamond" w:eastAsia="Times New Roman" w:hAnsi="Garamond" w:cs="Times New Roman"/>
                <w:sz w:val="6"/>
                <w:szCs w:val="6"/>
                <w:lang w:val="sq-AL"/>
              </w:rPr>
              <w:br/>
              <w:t>MM/QNOD</w:t>
            </w:r>
          </w:p>
        </w:tc>
        <w:tc>
          <w:tcPr>
            <w:tcW w:w="143" w:type="pct"/>
            <w:tcBorders>
              <w:top w:val="nil"/>
              <w:left w:val="nil"/>
              <w:bottom w:val="single" w:sz="4" w:space="0" w:color="auto"/>
              <w:right w:val="single" w:sz="4" w:space="0" w:color="auto"/>
            </w:tcBorders>
            <w:shd w:val="clear" w:color="000000" w:fill="FFFFFF"/>
            <w:vAlign w:val="center"/>
            <w:hideMark/>
          </w:tcPr>
          <w:p w14:paraId="2740C1F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A5D390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561B2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013A7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D20D4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87FDD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F2122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53FFC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CDE8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05659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BAE70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E2714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C5C24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5F3AA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0FE51E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3BFC5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F01D5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471DD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F380F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68D0D48"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3EB966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4.1.1</w:t>
            </w:r>
          </w:p>
        </w:tc>
        <w:tc>
          <w:tcPr>
            <w:tcW w:w="247" w:type="pct"/>
            <w:tcBorders>
              <w:top w:val="nil"/>
              <w:left w:val="nil"/>
              <w:bottom w:val="single" w:sz="4" w:space="0" w:color="auto"/>
              <w:right w:val="single" w:sz="4" w:space="0" w:color="auto"/>
            </w:tcBorders>
            <w:shd w:val="clear" w:color="auto" w:fill="auto"/>
            <w:vAlign w:val="center"/>
            <w:hideMark/>
          </w:tcPr>
          <w:p w14:paraId="6999AE71" w14:textId="423D5E6C"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Krijimi i grupit ndërinstitucional të punës për ngritjen dhe funksionimin e Qendrës Kombëtare të Koordinimit p</w:t>
            </w:r>
            <w:r w:rsidR="003110EB">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r Menaxhimit të Integruar të Kufirit</w:t>
            </w:r>
          </w:p>
        </w:tc>
        <w:tc>
          <w:tcPr>
            <w:tcW w:w="211" w:type="pct"/>
            <w:tcBorders>
              <w:top w:val="nil"/>
              <w:left w:val="nil"/>
              <w:bottom w:val="single" w:sz="4" w:space="0" w:color="auto"/>
              <w:right w:val="single" w:sz="4" w:space="0" w:color="auto"/>
            </w:tcBorders>
            <w:shd w:val="clear" w:color="000000" w:fill="FFFFFF"/>
            <w:vAlign w:val="center"/>
            <w:hideMark/>
          </w:tcPr>
          <w:p w14:paraId="47C614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14FADE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7724A70E"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MF/DPD</w:t>
            </w:r>
            <w:r w:rsidRPr="001F0C5A">
              <w:rPr>
                <w:rFonts w:ascii="Garamond" w:eastAsia="Times New Roman" w:hAnsi="Garamond" w:cs="Times New Roman"/>
                <w:sz w:val="6"/>
                <w:szCs w:val="6"/>
                <w:lang w:val="sq-AL"/>
              </w:rPr>
              <w:br/>
              <w:t>MBZHR/AKU</w:t>
            </w:r>
            <w:r w:rsidRPr="001F0C5A">
              <w:rPr>
                <w:rFonts w:ascii="Garamond" w:eastAsia="Times New Roman" w:hAnsi="Garamond" w:cs="Times New Roman"/>
                <w:sz w:val="6"/>
                <w:szCs w:val="6"/>
                <w:lang w:val="sq-AL"/>
              </w:rPr>
              <w:br/>
              <w:t>MM/QNOD</w:t>
            </w:r>
          </w:p>
        </w:tc>
        <w:tc>
          <w:tcPr>
            <w:tcW w:w="143" w:type="pct"/>
            <w:tcBorders>
              <w:top w:val="nil"/>
              <w:left w:val="nil"/>
              <w:bottom w:val="single" w:sz="4" w:space="0" w:color="auto"/>
              <w:right w:val="single" w:sz="4" w:space="0" w:color="auto"/>
            </w:tcBorders>
            <w:shd w:val="clear" w:color="000000" w:fill="FFFFFF"/>
            <w:vAlign w:val="center"/>
            <w:hideMark/>
          </w:tcPr>
          <w:p w14:paraId="5429AF3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E3461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1A7BD1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81" w:type="pct"/>
            <w:tcBorders>
              <w:top w:val="nil"/>
              <w:left w:val="nil"/>
              <w:bottom w:val="single" w:sz="4" w:space="0" w:color="auto"/>
              <w:right w:val="single" w:sz="4" w:space="0" w:color="auto"/>
            </w:tcBorders>
            <w:shd w:val="clear" w:color="000000" w:fill="FFFFFF"/>
            <w:vAlign w:val="center"/>
            <w:hideMark/>
          </w:tcPr>
          <w:p w14:paraId="1B1EAB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B38E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3D7B43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3CDAED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5E4E5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29413B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46A473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DE61F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05986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357DB9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452A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70" w:type="pct"/>
            <w:tcBorders>
              <w:top w:val="nil"/>
              <w:left w:val="nil"/>
              <w:bottom w:val="single" w:sz="4" w:space="0" w:color="auto"/>
              <w:right w:val="single" w:sz="4" w:space="0" w:color="auto"/>
            </w:tcBorders>
            <w:shd w:val="clear" w:color="000000" w:fill="FFFFFF"/>
            <w:vAlign w:val="center"/>
            <w:hideMark/>
          </w:tcPr>
          <w:p w14:paraId="7F69F8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F5DFC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3B3D0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44F62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4867D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9421A25"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5C434D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4.1.2</w:t>
            </w:r>
          </w:p>
        </w:tc>
        <w:tc>
          <w:tcPr>
            <w:tcW w:w="247" w:type="pct"/>
            <w:tcBorders>
              <w:top w:val="nil"/>
              <w:left w:val="nil"/>
              <w:bottom w:val="single" w:sz="4" w:space="0" w:color="auto"/>
              <w:right w:val="single" w:sz="4" w:space="0" w:color="auto"/>
            </w:tcBorders>
            <w:shd w:val="clear" w:color="auto" w:fill="auto"/>
            <w:vAlign w:val="center"/>
            <w:hideMark/>
          </w:tcPr>
          <w:p w14:paraId="1D034EF4" w14:textId="1BA86303"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Përgatitja e konceptit të fizibilitetit/</w:t>
            </w:r>
            <w:r w:rsidR="003110EB" w:rsidRPr="001F0C5A">
              <w:rPr>
                <w:rFonts w:ascii="Garamond" w:eastAsia="Times New Roman" w:hAnsi="Garamond" w:cs="Times New Roman"/>
                <w:color w:val="000000"/>
                <w:sz w:val="6"/>
                <w:szCs w:val="6"/>
                <w:lang w:val="sq-AL"/>
              </w:rPr>
              <w:t xml:space="preserve">kryerja </w:t>
            </w:r>
            <w:r w:rsidRPr="001F0C5A">
              <w:rPr>
                <w:rFonts w:ascii="Garamond" w:eastAsia="Times New Roman" w:hAnsi="Garamond" w:cs="Times New Roman"/>
                <w:color w:val="000000"/>
                <w:sz w:val="6"/>
                <w:szCs w:val="6"/>
                <w:lang w:val="sq-AL"/>
              </w:rPr>
              <w:t>e një analize të plotë ligjore, financiare, operacionale, të burimeve njerëzore dhe logjistike për ngritjen e Qendrës Kombëtare të Koordinimit për Menaxhimin e Integruar të Kufirit</w:t>
            </w:r>
          </w:p>
        </w:tc>
        <w:tc>
          <w:tcPr>
            <w:tcW w:w="211" w:type="pct"/>
            <w:tcBorders>
              <w:top w:val="nil"/>
              <w:left w:val="nil"/>
              <w:bottom w:val="single" w:sz="4" w:space="0" w:color="auto"/>
              <w:right w:val="single" w:sz="4" w:space="0" w:color="auto"/>
            </w:tcBorders>
            <w:shd w:val="clear" w:color="000000" w:fill="FFFFFF"/>
            <w:vAlign w:val="center"/>
            <w:hideMark/>
          </w:tcPr>
          <w:p w14:paraId="22F89E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36E9BA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3FB085DE"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MF/DPD</w:t>
            </w:r>
            <w:r w:rsidRPr="001F0C5A">
              <w:rPr>
                <w:rFonts w:ascii="Garamond" w:eastAsia="Times New Roman" w:hAnsi="Garamond" w:cs="Times New Roman"/>
                <w:sz w:val="6"/>
                <w:szCs w:val="6"/>
                <w:lang w:val="sq-AL"/>
              </w:rPr>
              <w:br/>
              <w:t>MBZHR/AKU</w:t>
            </w:r>
            <w:r w:rsidRPr="001F0C5A">
              <w:rPr>
                <w:rFonts w:ascii="Garamond" w:eastAsia="Times New Roman" w:hAnsi="Garamond" w:cs="Times New Roman"/>
                <w:sz w:val="6"/>
                <w:szCs w:val="6"/>
                <w:lang w:val="sq-AL"/>
              </w:rPr>
              <w:br/>
              <w:t>MM/QNOD</w:t>
            </w:r>
          </w:p>
        </w:tc>
        <w:tc>
          <w:tcPr>
            <w:tcW w:w="143" w:type="pct"/>
            <w:tcBorders>
              <w:top w:val="nil"/>
              <w:left w:val="nil"/>
              <w:bottom w:val="single" w:sz="4" w:space="0" w:color="auto"/>
              <w:right w:val="single" w:sz="4" w:space="0" w:color="auto"/>
            </w:tcBorders>
            <w:shd w:val="clear" w:color="000000" w:fill="FFFFFF"/>
            <w:vAlign w:val="center"/>
            <w:hideMark/>
          </w:tcPr>
          <w:p w14:paraId="720C7A5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3BEAD5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50C59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65C85E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2D705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1DED2D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2EF229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241A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531642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18107A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B3AFB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30DA82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49DC77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9DFD5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70" w:type="pct"/>
            <w:tcBorders>
              <w:top w:val="nil"/>
              <w:left w:val="nil"/>
              <w:bottom w:val="single" w:sz="4" w:space="0" w:color="auto"/>
              <w:right w:val="single" w:sz="4" w:space="0" w:color="auto"/>
            </w:tcBorders>
            <w:shd w:val="clear" w:color="000000" w:fill="FFFFFF"/>
            <w:vAlign w:val="center"/>
            <w:hideMark/>
          </w:tcPr>
          <w:p w14:paraId="0B1889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75686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D77F7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E4BA8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7880C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7392E9D"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57F1E0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4.1.3</w:t>
            </w:r>
          </w:p>
        </w:tc>
        <w:tc>
          <w:tcPr>
            <w:tcW w:w="247" w:type="pct"/>
            <w:tcBorders>
              <w:top w:val="nil"/>
              <w:left w:val="nil"/>
              <w:bottom w:val="nil"/>
              <w:right w:val="nil"/>
            </w:tcBorders>
            <w:shd w:val="clear" w:color="auto" w:fill="auto"/>
            <w:vAlign w:val="center"/>
            <w:hideMark/>
          </w:tcPr>
          <w:p w14:paraId="7546E688" w14:textId="3581739F"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Hartimi i projektaktit për ngritjen e Qendrës Kombëtare të Koordinimit për Menaxhimin e Integruar të Kufirit dhe ndjekjen e zbatimit të tij deri në fillimin e funksionimit</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14:paraId="3C06DA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DFE29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4A8FE8D8"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MF/DPD</w:t>
            </w:r>
            <w:r w:rsidRPr="001F0C5A">
              <w:rPr>
                <w:rFonts w:ascii="Garamond" w:eastAsia="Times New Roman" w:hAnsi="Garamond" w:cs="Times New Roman"/>
                <w:sz w:val="6"/>
                <w:szCs w:val="6"/>
                <w:lang w:val="sq-AL"/>
              </w:rPr>
              <w:br/>
              <w:t>MBZHR/AKU</w:t>
            </w:r>
            <w:r w:rsidRPr="001F0C5A">
              <w:rPr>
                <w:rFonts w:ascii="Garamond" w:eastAsia="Times New Roman" w:hAnsi="Garamond" w:cs="Times New Roman"/>
                <w:sz w:val="6"/>
                <w:szCs w:val="6"/>
                <w:lang w:val="sq-AL"/>
              </w:rPr>
              <w:br/>
              <w:t>MM/QNOD</w:t>
            </w:r>
          </w:p>
        </w:tc>
        <w:tc>
          <w:tcPr>
            <w:tcW w:w="143" w:type="pct"/>
            <w:tcBorders>
              <w:top w:val="nil"/>
              <w:left w:val="nil"/>
              <w:bottom w:val="single" w:sz="4" w:space="0" w:color="auto"/>
              <w:right w:val="single" w:sz="4" w:space="0" w:color="auto"/>
            </w:tcBorders>
            <w:shd w:val="clear" w:color="000000" w:fill="FFFFFF"/>
            <w:vAlign w:val="center"/>
            <w:hideMark/>
          </w:tcPr>
          <w:p w14:paraId="0DE47AE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14C31B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31AD5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2787E6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3A445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700FF0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2E98B4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5E72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495B5C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1,200,000</w:t>
            </w:r>
          </w:p>
        </w:tc>
        <w:tc>
          <w:tcPr>
            <w:tcW w:w="196" w:type="pct"/>
            <w:tcBorders>
              <w:top w:val="nil"/>
              <w:left w:val="nil"/>
              <w:bottom w:val="single" w:sz="4" w:space="0" w:color="auto"/>
              <w:right w:val="single" w:sz="4" w:space="0" w:color="auto"/>
            </w:tcBorders>
            <w:shd w:val="clear" w:color="000000" w:fill="FFFFFF"/>
            <w:vAlign w:val="center"/>
            <w:hideMark/>
          </w:tcPr>
          <w:p w14:paraId="50F9CA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EA30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1,200,000</w:t>
            </w:r>
          </w:p>
        </w:tc>
        <w:tc>
          <w:tcPr>
            <w:tcW w:w="196" w:type="pct"/>
            <w:tcBorders>
              <w:top w:val="nil"/>
              <w:left w:val="nil"/>
              <w:bottom w:val="single" w:sz="4" w:space="0" w:color="auto"/>
              <w:right w:val="single" w:sz="4" w:space="0" w:color="auto"/>
            </w:tcBorders>
            <w:shd w:val="clear" w:color="000000" w:fill="FFFFFF"/>
            <w:vAlign w:val="center"/>
            <w:hideMark/>
          </w:tcPr>
          <w:p w14:paraId="484044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1,200,000</w:t>
            </w:r>
          </w:p>
        </w:tc>
        <w:tc>
          <w:tcPr>
            <w:tcW w:w="181" w:type="pct"/>
            <w:tcBorders>
              <w:top w:val="nil"/>
              <w:left w:val="nil"/>
              <w:bottom w:val="single" w:sz="4" w:space="0" w:color="auto"/>
              <w:right w:val="single" w:sz="4" w:space="0" w:color="auto"/>
            </w:tcBorders>
            <w:shd w:val="clear" w:color="000000" w:fill="FFFFFF"/>
            <w:vAlign w:val="center"/>
            <w:hideMark/>
          </w:tcPr>
          <w:p w14:paraId="6488D8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E0A5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1,200,000</w:t>
            </w:r>
          </w:p>
        </w:tc>
        <w:tc>
          <w:tcPr>
            <w:tcW w:w="170" w:type="pct"/>
            <w:tcBorders>
              <w:top w:val="nil"/>
              <w:left w:val="nil"/>
              <w:bottom w:val="single" w:sz="4" w:space="0" w:color="auto"/>
              <w:right w:val="single" w:sz="4" w:space="0" w:color="auto"/>
            </w:tcBorders>
            <w:shd w:val="clear" w:color="000000" w:fill="FFFFFF"/>
            <w:vAlign w:val="center"/>
            <w:hideMark/>
          </w:tcPr>
          <w:p w14:paraId="754475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E67D7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0B29D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F5C16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AD6A3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CECCD23"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7BE2C8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4.2</w:t>
            </w:r>
          </w:p>
        </w:tc>
        <w:tc>
          <w:tcPr>
            <w:tcW w:w="247" w:type="pct"/>
            <w:tcBorders>
              <w:top w:val="single" w:sz="4" w:space="0" w:color="auto"/>
              <w:left w:val="nil"/>
              <w:bottom w:val="single" w:sz="4" w:space="0" w:color="auto"/>
              <w:right w:val="single" w:sz="4" w:space="0" w:color="auto"/>
            </w:tcBorders>
            <w:shd w:val="clear" w:color="auto" w:fill="auto"/>
            <w:vAlign w:val="center"/>
            <w:hideMark/>
          </w:tcPr>
          <w:p w14:paraId="65BF1BAB" w14:textId="4B7DD5D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Miratimi i Rregullores së Bashkëpunimit ndërmjet Policisë së Shtetit, Shërbimit Doganor, Shërbimit Veterinar dhe Shërbimit Fitosanitar, në përputhje dhe ndryshimet institucionale dhe ligjore</w:t>
            </w:r>
          </w:p>
        </w:tc>
        <w:tc>
          <w:tcPr>
            <w:tcW w:w="211" w:type="pct"/>
            <w:tcBorders>
              <w:top w:val="nil"/>
              <w:left w:val="nil"/>
              <w:bottom w:val="single" w:sz="4" w:space="0" w:color="auto"/>
              <w:right w:val="single" w:sz="4" w:space="0" w:color="auto"/>
            </w:tcBorders>
            <w:shd w:val="clear" w:color="000000" w:fill="FFFFFF"/>
            <w:vAlign w:val="center"/>
            <w:hideMark/>
          </w:tcPr>
          <w:p w14:paraId="6F956D26" w14:textId="468A884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auto" w:fill="auto"/>
            <w:vAlign w:val="center"/>
            <w:hideMark/>
          </w:tcPr>
          <w:p w14:paraId="528938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754C3D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MBZHR/AKU</w:t>
            </w:r>
            <w:r w:rsidRPr="001F0C5A">
              <w:rPr>
                <w:rFonts w:ascii="Garamond" w:eastAsia="Times New Roman" w:hAnsi="Garamond" w:cs="Times New Roman"/>
                <w:color w:val="000000"/>
                <w:sz w:val="6"/>
                <w:szCs w:val="6"/>
                <w:lang w:val="sq-AL"/>
              </w:rPr>
              <w:br/>
            </w:r>
          </w:p>
        </w:tc>
        <w:tc>
          <w:tcPr>
            <w:tcW w:w="143" w:type="pct"/>
            <w:tcBorders>
              <w:top w:val="nil"/>
              <w:left w:val="nil"/>
              <w:bottom w:val="single" w:sz="4" w:space="0" w:color="auto"/>
              <w:right w:val="single" w:sz="4" w:space="0" w:color="auto"/>
            </w:tcBorders>
            <w:shd w:val="clear" w:color="000000" w:fill="FFFFFF"/>
            <w:vAlign w:val="center"/>
            <w:hideMark/>
          </w:tcPr>
          <w:p w14:paraId="08D80A3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30C9AA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595B4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0B446A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AAC98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2A6067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F6FE5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2B9DD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F7B10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2F47A8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B183A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1B8CE2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06D3E6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A44F7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70" w:type="pct"/>
            <w:tcBorders>
              <w:top w:val="nil"/>
              <w:left w:val="nil"/>
              <w:bottom w:val="single" w:sz="4" w:space="0" w:color="auto"/>
              <w:right w:val="single" w:sz="4" w:space="0" w:color="auto"/>
            </w:tcBorders>
            <w:shd w:val="clear" w:color="000000" w:fill="FFFFFF"/>
            <w:vAlign w:val="center"/>
            <w:hideMark/>
          </w:tcPr>
          <w:p w14:paraId="12D3F6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8A901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69F56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9C9DB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009396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1015AA5"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386769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4.3</w:t>
            </w:r>
          </w:p>
        </w:tc>
        <w:tc>
          <w:tcPr>
            <w:tcW w:w="247" w:type="pct"/>
            <w:tcBorders>
              <w:top w:val="nil"/>
              <w:left w:val="nil"/>
              <w:bottom w:val="single" w:sz="4" w:space="0" w:color="auto"/>
              <w:right w:val="single" w:sz="4" w:space="0" w:color="auto"/>
            </w:tcBorders>
            <w:shd w:val="clear" w:color="auto" w:fill="auto"/>
            <w:vAlign w:val="center"/>
            <w:hideMark/>
          </w:tcPr>
          <w:p w14:paraId="287FF4D1" w14:textId="17023A28"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Studimi i nevojave, miratimi dhe implementimi i planeve vjetore të trajnimeve të përbashkëta të personelit të agjencive të zbatimit të ligjit që operojnë në kufi</w:t>
            </w:r>
          </w:p>
        </w:tc>
        <w:tc>
          <w:tcPr>
            <w:tcW w:w="211" w:type="pct"/>
            <w:tcBorders>
              <w:top w:val="nil"/>
              <w:left w:val="nil"/>
              <w:bottom w:val="single" w:sz="4" w:space="0" w:color="auto"/>
              <w:right w:val="single" w:sz="4" w:space="0" w:color="auto"/>
            </w:tcBorders>
            <w:shd w:val="clear" w:color="000000" w:fill="FFFFFF"/>
            <w:vAlign w:val="center"/>
            <w:hideMark/>
          </w:tcPr>
          <w:p w14:paraId="4FDFC2BA" w14:textId="12AFCF46"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63E3A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2C5268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MBZHR/AKU</w:t>
            </w:r>
          </w:p>
        </w:tc>
        <w:tc>
          <w:tcPr>
            <w:tcW w:w="143" w:type="pct"/>
            <w:tcBorders>
              <w:top w:val="nil"/>
              <w:left w:val="nil"/>
              <w:bottom w:val="single" w:sz="4" w:space="0" w:color="auto"/>
              <w:right w:val="single" w:sz="4" w:space="0" w:color="auto"/>
            </w:tcBorders>
            <w:shd w:val="clear" w:color="000000" w:fill="FFFFFF"/>
            <w:vAlign w:val="center"/>
            <w:hideMark/>
          </w:tcPr>
          <w:p w14:paraId="708AE72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BD2678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1D9C3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4A39D7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0895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6C65EE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D6B04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D8652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50A01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3BE85D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C6519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2D84FC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61C8DA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160EA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70" w:type="pct"/>
            <w:tcBorders>
              <w:top w:val="nil"/>
              <w:left w:val="nil"/>
              <w:bottom w:val="single" w:sz="4" w:space="0" w:color="auto"/>
              <w:right w:val="single" w:sz="4" w:space="0" w:color="auto"/>
            </w:tcBorders>
            <w:shd w:val="clear" w:color="000000" w:fill="FFFFFF"/>
            <w:vAlign w:val="center"/>
            <w:hideMark/>
          </w:tcPr>
          <w:p w14:paraId="2E1D87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DF38E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3AC89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D35F8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A7D39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B7A40A2"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BFF40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4.3.1</w:t>
            </w:r>
          </w:p>
        </w:tc>
        <w:tc>
          <w:tcPr>
            <w:tcW w:w="247" w:type="pct"/>
            <w:tcBorders>
              <w:top w:val="nil"/>
              <w:left w:val="nil"/>
              <w:bottom w:val="single" w:sz="4" w:space="0" w:color="auto"/>
              <w:right w:val="single" w:sz="4" w:space="0" w:color="auto"/>
            </w:tcBorders>
            <w:shd w:val="clear" w:color="auto" w:fill="auto"/>
            <w:vAlign w:val="center"/>
            <w:hideMark/>
          </w:tcPr>
          <w:p w14:paraId="1A47854A" w14:textId="3623D07E"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Studimi i nevojave për trajnime të personelit të agjencive të zbatimit të ligjit që operojnë në kufi</w:t>
            </w:r>
          </w:p>
        </w:tc>
        <w:tc>
          <w:tcPr>
            <w:tcW w:w="211" w:type="pct"/>
            <w:tcBorders>
              <w:top w:val="nil"/>
              <w:left w:val="nil"/>
              <w:bottom w:val="single" w:sz="4" w:space="0" w:color="auto"/>
              <w:right w:val="single" w:sz="4" w:space="0" w:color="auto"/>
            </w:tcBorders>
            <w:shd w:val="clear" w:color="000000" w:fill="FFFFFF"/>
            <w:vAlign w:val="center"/>
            <w:hideMark/>
          </w:tcPr>
          <w:p w14:paraId="44D12553" w14:textId="4DA3E0ED"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p>
        </w:tc>
        <w:tc>
          <w:tcPr>
            <w:tcW w:w="202" w:type="pct"/>
            <w:tcBorders>
              <w:top w:val="nil"/>
              <w:left w:val="nil"/>
              <w:bottom w:val="single" w:sz="4" w:space="0" w:color="auto"/>
              <w:right w:val="single" w:sz="4" w:space="0" w:color="auto"/>
            </w:tcBorders>
            <w:shd w:val="clear" w:color="000000" w:fill="FFFFFF"/>
            <w:vAlign w:val="center"/>
            <w:hideMark/>
          </w:tcPr>
          <w:p w14:paraId="2691B8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680" w:type="pct"/>
            <w:tcBorders>
              <w:top w:val="nil"/>
              <w:left w:val="nil"/>
              <w:bottom w:val="single" w:sz="4" w:space="0" w:color="auto"/>
              <w:right w:val="single" w:sz="4" w:space="0" w:color="auto"/>
            </w:tcBorders>
            <w:shd w:val="clear" w:color="000000" w:fill="FFFFFF"/>
            <w:vAlign w:val="center"/>
            <w:hideMark/>
          </w:tcPr>
          <w:p w14:paraId="3F6EF7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MM/AKMC/QNOD/DPD/MIE/MF</w:t>
            </w:r>
          </w:p>
        </w:tc>
        <w:tc>
          <w:tcPr>
            <w:tcW w:w="143" w:type="pct"/>
            <w:tcBorders>
              <w:top w:val="nil"/>
              <w:left w:val="nil"/>
              <w:bottom w:val="single" w:sz="4" w:space="0" w:color="auto"/>
              <w:right w:val="single" w:sz="4" w:space="0" w:color="auto"/>
            </w:tcBorders>
            <w:shd w:val="clear" w:color="000000" w:fill="FFFFFF"/>
            <w:vAlign w:val="center"/>
            <w:hideMark/>
          </w:tcPr>
          <w:p w14:paraId="1F1C4F5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C1D8CE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4B29B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81" w:type="pct"/>
            <w:tcBorders>
              <w:top w:val="nil"/>
              <w:left w:val="nil"/>
              <w:bottom w:val="single" w:sz="4" w:space="0" w:color="auto"/>
              <w:right w:val="single" w:sz="4" w:space="0" w:color="auto"/>
            </w:tcBorders>
            <w:shd w:val="clear" w:color="000000" w:fill="FFFFFF"/>
            <w:vAlign w:val="center"/>
            <w:hideMark/>
          </w:tcPr>
          <w:p w14:paraId="430D48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FADA6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96" w:type="pct"/>
            <w:tcBorders>
              <w:top w:val="nil"/>
              <w:left w:val="nil"/>
              <w:bottom w:val="single" w:sz="4" w:space="0" w:color="auto"/>
              <w:right w:val="single" w:sz="4" w:space="0" w:color="auto"/>
            </w:tcBorders>
            <w:shd w:val="clear" w:color="000000" w:fill="FFFFFF"/>
            <w:vAlign w:val="center"/>
            <w:hideMark/>
          </w:tcPr>
          <w:p w14:paraId="73E1FC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F9C8B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3AD15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21D3A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96" w:type="pct"/>
            <w:tcBorders>
              <w:top w:val="nil"/>
              <w:left w:val="nil"/>
              <w:bottom w:val="single" w:sz="4" w:space="0" w:color="auto"/>
              <w:right w:val="single" w:sz="4" w:space="0" w:color="auto"/>
            </w:tcBorders>
            <w:shd w:val="clear" w:color="000000" w:fill="FFFFFF"/>
            <w:vAlign w:val="center"/>
            <w:hideMark/>
          </w:tcPr>
          <w:p w14:paraId="466259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60591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96" w:type="pct"/>
            <w:tcBorders>
              <w:top w:val="nil"/>
              <w:left w:val="nil"/>
              <w:bottom w:val="single" w:sz="4" w:space="0" w:color="auto"/>
              <w:right w:val="single" w:sz="4" w:space="0" w:color="auto"/>
            </w:tcBorders>
            <w:shd w:val="clear" w:color="000000" w:fill="FFFFFF"/>
            <w:vAlign w:val="center"/>
            <w:hideMark/>
          </w:tcPr>
          <w:p w14:paraId="5EBB65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81" w:type="pct"/>
            <w:tcBorders>
              <w:top w:val="nil"/>
              <w:left w:val="nil"/>
              <w:bottom w:val="single" w:sz="4" w:space="0" w:color="auto"/>
              <w:right w:val="single" w:sz="4" w:space="0" w:color="auto"/>
            </w:tcBorders>
            <w:shd w:val="clear" w:color="000000" w:fill="FFFFFF"/>
            <w:vAlign w:val="center"/>
            <w:hideMark/>
          </w:tcPr>
          <w:p w14:paraId="5642C7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AF1801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70" w:type="pct"/>
            <w:tcBorders>
              <w:top w:val="nil"/>
              <w:left w:val="nil"/>
              <w:bottom w:val="single" w:sz="4" w:space="0" w:color="auto"/>
              <w:right w:val="single" w:sz="4" w:space="0" w:color="auto"/>
            </w:tcBorders>
            <w:shd w:val="clear" w:color="000000" w:fill="FFFFFF"/>
            <w:vAlign w:val="center"/>
            <w:hideMark/>
          </w:tcPr>
          <w:p w14:paraId="7DCB13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2C34A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8FED5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34925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83104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652BBC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C0E84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4.3.2</w:t>
            </w:r>
          </w:p>
        </w:tc>
        <w:tc>
          <w:tcPr>
            <w:tcW w:w="247" w:type="pct"/>
            <w:tcBorders>
              <w:top w:val="nil"/>
              <w:left w:val="nil"/>
              <w:bottom w:val="single" w:sz="4" w:space="0" w:color="auto"/>
              <w:right w:val="single" w:sz="4" w:space="0" w:color="auto"/>
            </w:tcBorders>
            <w:shd w:val="clear" w:color="auto" w:fill="auto"/>
            <w:vAlign w:val="center"/>
            <w:hideMark/>
          </w:tcPr>
          <w:p w14:paraId="64011A2C" w14:textId="255E8512"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Përgatitja dhe miratimi i planit të përbashkët të trajnimeve</w:t>
            </w:r>
          </w:p>
        </w:tc>
        <w:tc>
          <w:tcPr>
            <w:tcW w:w="211" w:type="pct"/>
            <w:tcBorders>
              <w:top w:val="nil"/>
              <w:left w:val="nil"/>
              <w:bottom w:val="single" w:sz="4" w:space="0" w:color="auto"/>
              <w:right w:val="single" w:sz="4" w:space="0" w:color="auto"/>
            </w:tcBorders>
            <w:shd w:val="clear" w:color="000000" w:fill="FFFFFF"/>
            <w:vAlign w:val="center"/>
            <w:hideMark/>
          </w:tcPr>
          <w:p w14:paraId="19560638" w14:textId="3B9B71DC"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p>
        </w:tc>
        <w:tc>
          <w:tcPr>
            <w:tcW w:w="202" w:type="pct"/>
            <w:tcBorders>
              <w:top w:val="nil"/>
              <w:left w:val="nil"/>
              <w:bottom w:val="single" w:sz="4" w:space="0" w:color="auto"/>
              <w:right w:val="single" w:sz="4" w:space="0" w:color="auto"/>
            </w:tcBorders>
            <w:shd w:val="clear" w:color="000000" w:fill="FFFFFF"/>
            <w:vAlign w:val="center"/>
            <w:hideMark/>
          </w:tcPr>
          <w:p w14:paraId="14394B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680" w:type="pct"/>
            <w:tcBorders>
              <w:top w:val="nil"/>
              <w:left w:val="nil"/>
              <w:bottom w:val="single" w:sz="4" w:space="0" w:color="auto"/>
              <w:right w:val="single" w:sz="4" w:space="0" w:color="auto"/>
            </w:tcBorders>
            <w:shd w:val="clear" w:color="000000" w:fill="FFFFFF"/>
            <w:vAlign w:val="center"/>
            <w:hideMark/>
          </w:tcPr>
          <w:p w14:paraId="752410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MM/AKMC/QNOD/DPD/MIE/MF</w:t>
            </w:r>
          </w:p>
        </w:tc>
        <w:tc>
          <w:tcPr>
            <w:tcW w:w="143" w:type="pct"/>
            <w:tcBorders>
              <w:top w:val="nil"/>
              <w:left w:val="nil"/>
              <w:bottom w:val="single" w:sz="4" w:space="0" w:color="auto"/>
              <w:right w:val="single" w:sz="4" w:space="0" w:color="auto"/>
            </w:tcBorders>
            <w:shd w:val="clear" w:color="000000" w:fill="FFFFFF"/>
            <w:vAlign w:val="center"/>
            <w:hideMark/>
          </w:tcPr>
          <w:p w14:paraId="039453C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C5F596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0F5A9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0B6BA8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C3716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2861C4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9BB5C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CE0A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65F93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1D1652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C744A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144A17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797007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9D158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4F4544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F4F17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84A74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B7552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EEF1D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02B795C"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EFBC9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4.3.3</w:t>
            </w:r>
          </w:p>
        </w:tc>
        <w:tc>
          <w:tcPr>
            <w:tcW w:w="247" w:type="pct"/>
            <w:tcBorders>
              <w:top w:val="nil"/>
              <w:left w:val="nil"/>
              <w:bottom w:val="single" w:sz="4" w:space="0" w:color="auto"/>
              <w:right w:val="single" w:sz="4" w:space="0" w:color="auto"/>
            </w:tcBorders>
            <w:shd w:val="clear" w:color="auto" w:fill="auto"/>
            <w:vAlign w:val="center"/>
            <w:hideMark/>
          </w:tcPr>
          <w:p w14:paraId="4C80EE4A"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i trajnimeve të përbashkëta të personelit të agjencive ligjzbatuese që operojnë në kufi, për bashkëpunimin në rritjen e sigurisë kufitare</w:t>
            </w:r>
          </w:p>
        </w:tc>
        <w:tc>
          <w:tcPr>
            <w:tcW w:w="211" w:type="pct"/>
            <w:tcBorders>
              <w:top w:val="nil"/>
              <w:left w:val="nil"/>
              <w:bottom w:val="single" w:sz="4" w:space="0" w:color="auto"/>
              <w:right w:val="single" w:sz="4" w:space="0" w:color="auto"/>
            </w:tcBorders>
            <w:shd w:val="clear" w:color="000000" w:fill="FFFFFF"/>
            <w:vAlign w:val="center"/>
            <w:hideMark/>
          </w:tcPr>
          <w:p w14:paraId="09425EA2" w14:textId="263C714A"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p>
        </w:tc>
        <w:tc>
          <w:tcPr>
            <w:tcW w:w="202" w:type="pct"/>
            <w:tcBorders>
              <w:top w:val="nil"/>
              <w:left w:val="nil"/>
              <w:bottom w:val="single" w:sz="4" w:space="0" w:color="auto"/>
              <w:right w:val="single" w:sz="4" w:space="0" w:color="auto"/>
            </w:tcBorders>
            <w:shd w:val="clear" w:color="000000" w:fill="FFFFFF"/>
            <w:vAlign w:val="center"/>
            <w:hideMark/>
          </w:tcPr>
          <w:p w14:paraId="523526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680" w:type="pct"/>
            <w:tcBorders>
              <w:top w:val="nil"/>
              <w:left w:val="nil"/>
              <w:bottom w:val="single" w:sz="4" w:space="0" w:color="auto"/>
              <w:right w:val="single" w:sz="4" w:space="0" w:color="auto"/>
            </w:tcBorders>
            <w:shd w:val="clear" w:color="000000" w:fill="FFFFFF"/>
            <w:vAlign w:val="center"/>
            <w:hideMark/>
          </w:tcPr>
          <w:p w14:paraId="5C201C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MM/AKMC/QNOD/DPD/MIE/MF</w:t>
            </w:r>
          </w:p>
        </w:tc>
        <w:tc>
          <w:tcPr>
            <w:tcW w:w="143" w:type="pct"/>
            <w:tcBorders>
              <w:top w:val="nil"/>
              <w:left w:val="nil"/>
              <w:bottom w:val="single" w:sz="4" w:space="0" w:color="auto"/>
              <w:right w:val="single" w:sz="4" w:space="0" w:color="auto"/>
            </w:tcBorders>
            <w:shd w:val="clear" w:color="000000" w:fill="FFFFFF"/>
            <w:vAlign w:val="center"/>
            <w:hideMark/>
          </w:tcPr>
          <w:p w14:paraId="5702EF5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6A3BEE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2DEB0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64214F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F8BD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1D9C64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13C77B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6DBCB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191160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4AA421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592D7B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3D6B46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5771ED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8AC28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70" w:type="pct"/>
            <w:tcBorders>
              <w:top w:val="nil"/>
              <w:left w:val="nil"/>
              <w:bottom w:val="single" w:sz="4" w:space="0" w:color="auto"/>
              <w:right w:val="single" w:sz="4" w:space="0" w:color="auto"/>
            </w:tcBorders>
            <w:shd w:val="clear" w:color="000000" w:fill="FFFFFF"/>
            <w:vAlign w:val="center"/>
            <w:hideMark/>
          </w:tcPr>
          <w:p w14:paraId="0F904D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DFFE0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C64B5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E8441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2C30F3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252D04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2EDBAA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4.3.4</w:t>
            </w:r>
          </w:p>
        </w:tc>
        <w:tc>
          <w:tcPr>
            <w:tcW w:w="247" w:type="pct"/>
            <w:tcBorders>
              <w:top w:val="nil"/>
              <w:left w:val="nil"/>
              <w:bottom w:val="single" w:sz="4" w:space="0" w:color="auto"/>
              <w:right w:val="single" w:sz="4" w:space="0" w:color="auto"/>
            </w:tcBorders>
            <w:shd w:val="clear" w:color="auto" w:fill="auto"/>
            <w:vAlign w:val="center"/>
            <w:hideMark/>
          </w:tcPr>
          <w:p w14:paraId="3C19353C" w14:textId="598383A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Zhvillimi i trajnimit të përbashkët të personelit të Agjencive të </w:t>
            </w:r>
            <w:r w:rsidR="003110EB" w:rsidRPr="001F0C5A">
              <w:rPr>
                <w:rFonts w:ascii="Garamond" w:eastAsia="Times New Roman" w:hAnsi="Garamond" w:cs="Times New Roman"/>
                <w:color w:val="000000"/>
                <w:sz w:val="6"/>
                <w:szCs w:val="6"/>
                <w:lang w:val="sq-AL"/>
              </w:rPr>
              <w:t xml:space="preserve">zbatimit të ligjit për zhvillimin </w:t>
            </w:r>
            <w:r w:rsidRPr="001F0C5A">
              <w:rPr>
                <w:rFonts w:ascii="Garamond" w:eastAsia="Times New Roman" w:hAnsi="Garamond" w:cs="Times New Roman"/>
                <w:color w:val="000000"/>
                <w:sz w:val="6"/>
                <w:szCs w:val="6"/>
                <w:lang w:val="sq-AL"/>
              </w:rPr>
              <w:t>e operacioneve të kërkim shpëtimit në det</w:t>
            </w:r>
          </w:p>
        </w:tc>
        <w:tc>
          <w:tcPr>
            <w:tcW w:w="211" w:type="pct"/>
            <w:tcBorders>
              <w:top w:val="nil"/>
              <w:left w:val="nil"/>
              <w:bottom w:val="single" w:sz="4" w:space="0" w:color="auto"/>
              <w:right w:val="single" w:sz="4" w:space="0" w:color="auto"/>
            </w:tcBorders>
            <w:shd w:val="clear" w:color="000000" w:fill="FFFFFF"/>
            <w:vAlign w:val="center"/>
            <w:hideMark/>
          </w:tcPr>
          <w:p w14:paraId="2E1C0275" w14:textId="389CD58B"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auto" w:fill="auto"/>
            <w:vAlign w:val="center"/>
            <w:hideMark/>
          </w:tcPr>
          <w:p w14:paraId="03971D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 FD-RB</w:t>
            </w:r>
          </w:p>
        </w:tc>
        <w:tc>
          <w:tcPr>
            <w:tcW w:w="680" w:type="pct"/>
            <w:tcBorders>
              <w:top w:val="nil"/>
              <w:left w:val="nil"/>
              <w:bottom w:val="single" w:sz="4" w:space="0" w:color="auto"/>
              <w:right w:val="single" w:sz="4" w:space="0" w:color="auto"/>
            </w:tcBorders>
            <w:shd w:val="clear" w:color="auto" w:fill="auto"/>
            <w:vAlign w:val="center"/>
            <w:hideMark/>
          </w:tcPr>
          <w:p w14:paraId="5746CC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QNOD, MB / PSH, MF/DPD, MIE / Drejtoria e Përgjithshme Detare</w:t>
            </w:r>
          </w:p>
        </w:tc>
        <w:tc>
          <w:tcPr>
            <w:tcW w:w="143" w:type="pct"/>
            <w:tcBorders>
              <w:top w:val="nil"/>
              <w:left w:val="nil"/>
              <w:bottom w:val="single" w:sz="4" w:space="0" w:color="auto"/>
              <w:right w:val="single" w:sz="4" w:space="0" w:color="auto"/>
            </w:tcBorders>
            <w:shd w:val="clear" w:color="auto" w:fill="auto"/>
            <w:vAlign w:val="center"/>
            <w:hideMark/>
          </w:tcPr>
          <w:p w14:paraId="521552C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1714FB8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1B031B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6146B2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388E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44C116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E93B7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3F814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F40AF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0FA882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EAD50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6A0479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48BB61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79336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70" w:type="pct"/>
            <w:tcBorders>
              <w:top w:val="nil"/>
              <w:left w:val="nil"/>
              <w:bottom w:val="single" w:sz="4" w:space="0" w:color="auto"/>
              <w:right w:val="single" w:sz="4" w:space="0" w:color="auto"/>
            </w:tcBorders>
            <w:shd w:val="clear" w:color="000000" w:fill="FFFFFF"/>
            <w:vAlign w:val="center"/>
            <w:hideMark/>
          </w:tcPr>
          <w:p w14:paraId="459907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ABE5C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3FCED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93EFD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08B12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47C4C3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E0C60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4.3.5</w:t>
            </w:r>
          </w:p>
        </w:tc>
        <w:tc>
          <w:tcPr>
            <w:tcW w:w="247" w:type="pct"/>
            <w:tcBorders>
              <w:top w:val="nil"/>
              <w:left w:val="nil"/>
              <w:bottom w:val="single" w:sz="4" w:space="0" w:color="auto"/>
              <w:right w:val="single" w:sz="4" w:space="0" w:color="auto"/>
            </w:tcBorders>
            <w:shd w:val="clear" w:color="auto" w:fill="auto"/>
            <w:vAlign w:val="center"/>
            <w:hideMark/>
          </w:tcPr>
          <w:p w14:paraId="5BE0BC44"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Stërvitje Kërkim Shpëtimi - Durrësi SAREX 24 </w:t>
            </w:r>
          </w:p>
        </w:tc>
        <w:tc>
          <w:tcPr>
            <w:tcW w:w="211" w:type="pct"/>
            <w:tcBorders>
              <w:top w:val="nil"/>
              <w:left w:val="nil"/>
              <w:bottom w:val="single" w:sz="4" w:space="0" w:color="auto"/>
              <w:right w:val="single" w:sz="4" w:space="0" w:color="auto"/>
            </w:tcBorders>
            <w:shd w:val="clear" w:color="000000" w:fill="FFFFFF"/>
            <w:vAlign w:val="center"/>
            <w:hideMark/>
          </w:tcPr>
          <w:p w14:paraId="57A35BA3" w14:textId="691C348E"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30FF5B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 FD-RB</w:t>
            </w:r>
          </w:p>
        </w:tc>
        <w:tc>
          <w:tcPr>
            <w:tcW w:w="680" w:type="pct"/>
            <w:tcBorders>
              <w:top w:val="nil"/>
              <w:left w:val="nil"/>
              <w:bottom w:val="single" w:sz="4" w:space="0" w:color="auto"/>
              <w:right w:val="single" w:sz="4" w:space="0" w:color="auto"/>
            </w:tcBorders>
            <w:shd w:val="clear" w:color="000000" w:fill="FFFFFF"/>
            <w:vAlign w:val="center"/>
            <w:hideMark/>
          </w:tcPr>
          <w:p w14:paraId="4F613F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QNOD, MB / PKM,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60D0D21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619184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BC4ED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5CD176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AB51A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40C984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DDD6E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F35F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D9A90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3D93BA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7760B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36A066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428189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E8FE0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70" w:type="pct"/>
            <w:tcBorders>
              <w:top w:val="nil"/>
              <w:left w:val="nil"/>
              <w:bottom w:val="single" w:sz="4" w:space="0" w:color="auto"/>
              <w:right w:val="single" w:sz="4" w:space="0" w:color="auto"/>
            </w:tcBorders>
            <w:shd w:val="clear" w:color="000000" w:fill="FFFFFF"/>
            <w:vAlign w:val="center"/>
            <w:hideMark/>
          </w:tcPr>
          <w:p w14:paraId="70B1D6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17335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BDCFF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843FE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385F1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F54598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F83EB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4.3.6</w:t>
            </w:r>
          </w:p>
        </w:tc>
        <w:tc>
          <w:tcPr>
            <w:tcW w:w="247" w:type="pct"/>
            <w:tcBorders>
              <w:top w:val="nil"/>
              <w:left w:val="nil"/>
              <w:bottom w:val="single" w:sz="4" w:space="0" w:color="auto"/>
              <w:right w:val="single" w:sz="4" w:space="0" w:color="auto"/>
            </w:tcBorders>
            <w:shd w:val="clear" w:color="auto" w:fill="auto"/>
            <w:vAlign w:val="center"/>
            <w:hideMark/>
          </w:tcPr>
          <w:p w14:paraId="32FE2A01"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Stërvitje Kërkim Shpëtimi - Vlora SAREX 24 </w:t>
            </w:r>
          </w:p>
        </w:tc>
        <w:tc>
          <w:tcPr>
            <w:tcW w:w="211" w:type="pct"/>
            <w:tcBorders>
              <w:top w:val="nil"/>
              <w:left w:val="nil"/>
              <w:bottom w:val="single" w:sz="4" w:space="0" w:color="auto"/>
              <w:right w:val="single" w:sz="4" w:space="0" w:color="auto"/>
            </w:tcBorders>
            <w:shd w:val="clear" w:color="000000" w:fill="FFFFFF"/>
            <w:vAlign w:val="center"/>
            <w:hideMark/>
          </w:tcPr>
          <w:p w14:paraId="5B9E329E" w14:textId="067F3918"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5F08B1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 FD-RB</w:t>
            </w:r>
          </w:p>
        </w:tc>
        <w:tc>
          <w:tcPr>
            <w:tcW w:w="680" w:type="pct"/>
            <w:tcBorders>
              <w:top w:val="nil"/>
              <w:left w:val="nil"/>
              <w:bottom w:val="single" w:sz="4" w:space="0" w:color="auto"/>
              <w:right w:val="single" w:sz="4" w:space="0" w:color="auto"/>
            </w:tcBorders>
            <w:shd w:val="clear" w:color="000000" w:fill="FFFFFF"/>
            <w:vAlign w:val="center"/>
            <w:hideMark/>
          </w:tcPr>
          <w:p w14:paraId="6B8CE2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QNOD, MB / PKM,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16D7FC7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6FC4A6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7BF12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08399F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5A2E7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59464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8F205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7CD2B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50F74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6CFC5C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72AF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52BE87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724F2E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2BB84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70" w:type="pct"/>
            <w:tcBorders>
              <w:top w:val="nil"/>
              <w:left w:val="nil"/>
              <w:bottom w:val="single" w:sz="4" w:space="0" w:color="auto"/>
              <w:right w:val="single" w:sz="4" w:space="0" w:color="auto"/>
            </w:tcBorders>
            <w:shd w:val="clear" w:color="000000" w:fill="FFFFFF"/>
            <w:vAlign w:val="center"/>
            <w:hideMark/>
          </w:tcPr>
          <w:p w14:paraId="4EDB5D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0A158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8BB8C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DF93B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D6C50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B1CE9C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71FB64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4.3.7</w:t>
            </w:r>
          </w:p>
        </w:tc>
        <w:tc>
          <w:tcPr>
            <w:tcW w:w="247" w:type="pct"/>
            <w:tcBorders>
              <w:top w:val="nil"/>
              <w:left w:val="nil"/>
              <w:bottom w:val="single" w:sz="4" w:space="0" w:color="auto"/>
              <w:right w:val="single" w:sz="4" w:space="0" w:color="auto"/>
            </w:tcBorders>
            <w:shd w:val="clear" w:color="auto" w:fill="auto"/>
            <w:vAlign w:val="center"/>
            <w:hideMark/>
          </w:tcPr>
          <w:p w14:paraId="54399EDC"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Stërvitje Imponimi 24 (Zbatim Ligjshmërie në det)</w:t>
            </w:r>
          </w:p>
        </w:tc>
        <w:tc>
          <w:tcPr>
            <w:tcW w:w="211" w:type="pct"/>
            <w:tcBorders>
              <w:top w:val="nil"/>
              <w:left w:val="nil"/>
              <w:bottom w:val="single" w:sz="4" w:space="0" w:color="auto"/>
              <w:right w:val="single" w:sz="4" w:space="0" w:color="auto"/>
            </w:tcBorders>
            <w:shd w:val="clear" w:color="000000" w:fill="FFFFFF"/>
            <w:vAlign w:val="center"/>
            <w:hideMark/>
          </w:tcPr>
          <w:p w14:paraId="419045D9" w14:textId="60201259"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56D46D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 FD-RB</w:t>
            </w:r>
          </w:p>
        </w:tc>
        <w:tc>
          <w:tcPr>
            <w:tcW w:w="680" w:type="pct"/>
            <w:tcBorders>
              <w:top w:val="nil"/>
              <w:left w:val="nil"/>
              <w:bottom w:val="single" w:sz="4" w:space="0" w:color="auto"/>
              <w:right w:val="single" w:sz="4" w:space="0" w:color="auto"/>
            </w:tcBorders>
            <w:shd w:val="clear" w:color="000000" w:fill="FFFFFF"/>
            <w:vAlign w:val="center"/>
            <w:hideMark/>
          </w:tcPr>
          <w:p w14:paraId="2E6E0F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QNOD, MB / PKM,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4F52908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D7F734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D75EA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7FC307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7FCEA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3CCE200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AB080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387F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28D4D1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41D290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5EBD9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04059F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66C51B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B4B0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70" w:type="pct"/>
            <w:tcBorders>
              <w:top w:val="nil"/>
              <w:left w:val="nil"/>
              <w:bottom w:val="single" w:sz="4" w:space="0" w:color="auto"/>
              <w:right w:val="single" w:sz="4" w:space="0" w:color="auto"/>
            </w:tcBorders>
            <w:shd w:val="clear" w:color="000000" w:fill="FFFFFF"/>
            <w:vAlign w:val="center"/>
            <w:hideMark/>
          </w:tcPr>
          <w:p w14:paraId="58DBC8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2A874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38FF8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53AF5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1F18F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6D5037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F41D4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4.3.8</w:t>
            </w:r>
          </w:p>
        </w:tc>
        <w:tc>
          <w:tcPr>
            <w:tcW w:w="247" w:type="pct"/>
            <w:tcBorders>
              <w:top w:val="nil"/>
              <w:left w:val="nil"/>
              <w:bottom w:val="single" w:sz="4" w:space="0" w:color="auto"/>
              <w:right w:val="single" w:sz="4" w:space="0" w:color="auto"/>
            </w:tcBorders>
            <w:shd w:val="clear" w:color="auto" w:fill="auto"/>
            <w:vAlign w:val="center"/>
            <w:hideMark/>
          </w:tcPr>
          <w:p w14:paraId="3B8FB3BE" w14:textId="069BDC9D"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Stërvitje Reagimi Antindotje (</w:t>
            </w:r>
            <w:r w:rsidR="003110EB" w:rsidRPr="001F0C5A">
              <w:rPr>
                <w:rFonts w:ascii="Garamond" w:eastAsia="Times New Roman" w:hAnsi="Garamond" w:cs="Times New Roman"/>
                <w:color w:val="000000"/>
                <w:sz w:val="6"/>
                <w:szCs w:val="6"/>
                <w:lang w:val="sq-AL"/>
              </w:rPr>
              <w:t xml:space="preserve">reagim </w:t>
            </w:r>
            <w:r w:rsidRPr="001F0C5A">
              <w:rPr>
                <w:rFonts w:ascii="Garamond" w:eastAsia="Times New Roman" w:hAnsi="Garamond" w:cs="Times New Roman"/>
                <w:color w:val="000000"/>
                <w:sz w:val="6"/>
                <w:szCs w:val="6"/>
                <w:lang w:val="sq-AL"/>
              </w:rPr>
              <w:t>në rast ndotje detare)</w:t>
            </w:r>
          </w:p>
        </w:tc>
        <w:tc>
          <w:tcPr>
            <w:tcW w:w="211" w:type="pct"/>
            <w:tcBorders>
              <w:top w:val="nil"/>
              <w:left w:val="nil"/>
              <w:bottom w:val="single" w:sz="4" w:space="0" w:color="auto"/>
              <w:right w:val="single" w:sz="4" w:space="0" w:color="auto"/>
            </w:tcBorders>
            <w:shd w:val="clear" w:color="000000" w:fill="FFFFFF"/>
            <w:vAlign w:val="center"/>
            <w:hideMark/>
          </w:tcPr>
          <w:p w14:paraId="12EF663B" w14:textId="4C76AE6D"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05318F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 FD-RB</w:t>
            </w:r>
          </w:p>
        </w:tc>
        <w:tc>
          <w:tcPr>
            <w:tcW w:w="680" w:type="pct"/>
            <w:tcBorders>
              <w:top w:val="nil"/>
              <w:left w:val="nil"/>
              <w:bottom w:val="single" w:sz="4" w:space="0" w:color="auto"/>
              <w:right w:val="single" w:sz="4" w:space="0" w:color="auto"/>
            </w:tcBorders>
            <w:shd w:val="clear" w:color="000000" w:fill="FFFFFF"/>
            <w:vAlign w:val="center"/>
            <w:hideMark/>
          </w:tcPr>
          <w:p w14:paraId="595F84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QNOD</w:t>
            </w:r>
          </w:p>
        </w:tc>
        <w:tc>
          <w:tcPr>
            <w:tcW w:w="143" w:type="pct"/>
            <w:tcBorders>
              <w:top w:val="nil"/>
              <w:left w:val="nil"/>
              <w:bottom w:val="single" w:sz="4" w:space="0" w:color="auto"/>
              <w:right w:val="single" w:sz="4" w:space="0" w:color="auto"/>
            </w:tcBorders>
            <w:shd w:val="clear" w:color="000000" w:fill="FFFFFF"/>
            <w:vAlign w:val="center"/>
            <w:hideMark/>
          </w:tcPr>
          <w:p w14:paraId="4065566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AAF670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060F92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1E6738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8E833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7F19DD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4238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D6C4B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E9BF0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6F66AE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149E7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1B306F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2C2D97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1743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70" w:type="pct"/>
            <w:tcBorders>
              <w:top w:val="nil"/>
              <w:left w:val="nil"/>
              <w:bottom w:val="single" w:sz="4" w:space="0" w:color="auto"/>
              <w:right w:val="single" w:sz="4" w:space="0" w:color="auto"/>
            </w:tcBorders>
            <w:shd w:val="clear" w:color="000000" w:fill="FFFFFF"/>
            <w:vAlign w:val="center"/>
            <w:hideMark/>
          </w:tcPr>
          <w:p w14:paraId="539219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6E147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B6FEB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F9B50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47711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2341F9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4F403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4.3.9</w:t>
            </w:r>
          </w:p>
        </w:tc>
        <w:tc>
          <w:tcPr>
            <w:tcW w:w="247" w:type="pct"/>
            <w:tcBorders>
              <w:top w:val="nil"/>
              <w:left w:val="nil"/>
              <w:bottom w:val="single" w:sz="4" w:space="0" w:color="auto"/>
              <w:right w:val="single" w:sz="4" w:space="0" w:color="auto"/>
            </w:tcBorders>
            <w:shd w:val="clear" w:color="000000" w:fill="FFFFFF"/>
            <w:vAlign w:val="center"/>
            <w:hideMark/>
          </w:tcPr>
          <w:p w14:paraId="703E6DFF" w14:textId="671608C9"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Trajnime të personelit të </w:t>
            </w:r>
            <w:r w:rsidR="003110EB" w:rsidRPr="001F0C5A">
              <w:rPr>
                <w:rFonts w:ascii="Garamond" w:eastAsia="Times New Roman" w:hAnsi="Garamond" w:cs="Times New Roman"/>
                <w:color w:val="000000"/>
                <w:sz w:val="6"/>
                <w:szCs w:val="6"/>
                <w:lang w:val="sq-AL"/>
              </w:rPr>
              <w:t>agjencive të zbatimit të ligjit për zhvillimin e oper</w:t>
            </w:r>
            <w:r w:rsidRPr="001F0C5A">
              <w:rPr>
                <w:rFonts w:ascii="Garamond" w:eastAsia="Times New Roman" w:hAnsi="Garamond" w:cs="Times New Roman"/>
                <w:color w:val="000000"/>
                <w:sz w:val="6"/>
                <w:szCs w:val="6"/>
                <w:lang w:val="sq-AL"/>
              </w:rPr>
              <w:t xml:space="preserve">acioneve të përbashkëta për kontrollin e kufijve </w:t>
            </w:r>
          </w:p>
        </w:tc>
        <w:tc>
          <w:tcPr>
            <w:tcW w:w="211" w:type="pct"/>
            <w:tcBorders>
              <w:top w:val="nil"/>
              <w:left w:val="nil"/>
              <w:bottom w:val="single" w:sz="4" w:space="0" w:color="auto"/>
              <w:right w:val="single" w:sz="4" w:space="0" w:color="auto"/>
            </w:tcBorders>
            <w:shd w:val="clear" w:color="000000" w:fill="FFFFFF"/>
            <w:vAlign w:val="center"/>
            <w:hideMark/>
          </w:tcPr>
          <w:p w14:paraId="260EC188" w14:textId="72400C30"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1F2335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4C776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RB, QNOD, MB, MF, DPD</w:t>
            </w:r>
          </w:p>
        </w:tc>
        <w:tc>
          <w:tcPr>
            <w:tcW w:w="143" w:type="pct"/>
            <w:tcBorders>
              <w:top w:val="nil"/>
              <w:left w:val="nil"/>
              <w:bottom w:val="single" w:sz="4" w:space="0" w:color="auto"/>
              <w:right w:val="single" w:sz="4" w:space="0" w:color="auto"/>
            </w:tcBorders>
            <w:shd w:val="clear" w:color="000000" w:fill="FFFFFF"/>
            <w:vAlign w:val="center"/>
            <w:hideMark/>
          </w:tcPr>
          <w:p w14:paraId="131C6C1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46ACEB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08A57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81" w:type="pct"/>
            <w:tcBorders>
              <w:top w:val="nil"/>
              <w:left w:val="nil"/>
              <w:bottom w:val="single" w:sz="4" w:space="0" w:color="auto"/>
              <w:right w:val="single" w:sz="4" w:space="0" w:color="auto"/>
            </w:tcBorders>
            <w:shd w:val="clear" w:color="000000" w:fill="FFFFFF"/>
            <w:vAlign w:val="center"/>
            <w:hideMark/>
          </w:tcPr>
          <w:p w14:paraId="665BA6B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5188E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7A286F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C40E9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15836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103FD6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450,000</w:t>
            </w:r>
          </w:p>
        </w:tc>
        <w:tc>
          <w:tcPr>
            <w:tcW w:w="196" w:type="pct"/>
            <w:tcBorders>
              <w:top w:val="nil"/>
              <w:left w:val="nil"/>
              <w:bottom w:val="single" w:sz="4" w:space="0" w:color="auto"/>
              <w:right w:val="single" w:sz="4" w:space="0" w:color="auto"/>
            </w:tcBorders>
            <w:shd w:val="clear" w:color="000000" w:fill="FFFFFF"/>
            <w:vAlign w:val="center"/>
            <w:hideMark/>
          </w:tcPr>
          <w:p w14:paraId="7C1F38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4B462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450,000</w:t>
            </w:r>
          </w:p>
        </w:tc>
        <w:tc>
          <w:tcPr>
            <w:tcW w:w="196" w:type="pct"/>
            <w:tcBorders>
              <w:top w:val="nil"/>
              <w:left w:val="nil"/>
              <w:bottom w:val="single" w:sz="4" w:space="0" w:color="auto"/>
              <w:right w:val="single" w:sz="4" w:space="0" w:color="auto"/>
            </w:tcBorders>
            <w:shd w:val="clear" w:color="000000" w:fill="FFFFFF"/>
            <w:vAlign w:val="center"/>
            <w:hideMark/>
          </w:tcPr>
          <w:p w14:paraId="273542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450,000</w:t>
            </w:r>
          </w:p>
        </w:tc>
        <w:tc>
          <w:tcPr>
            <w:tcW w:w="181" w:type="pct"/>
            <w:tcBorders>
              <w:top w:val="nil"/>
              <w:left w:val="nil"/>
              <w:bottom w:val="single" w:sz="4" w:space="0" w:color="auto"/>
              <w:right w:val="single" w:sz="4" w:space="0" w:color="auto"/>
            </w:tcBorders>
            <w:shd w:val="clear" w:color="000000" w:fill="FFFFFF"/>
            <w:vAlign w:val="center"/>
            <w:hideMark/>
          </w:tcPr>
          <w:p w14:paraId="415026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AE13A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450,000</w:t>
            </w:r>
          </w:p>
        </w:tc>
        <w:tc>
          <w:tcPr>
            <w:tcW w:w="170" w:type="pct"/>
            <w:tcBorders>
              <w:top w:val="nil"/>
              <w:left w:val="nil"/>
              <w:bottom w:val="single" w:sz="4" w:space="0" w:color="auto"/>
              <w:right w:val="single" w:sz="4" w:space="0" w:color="auto"/>
            </w:tcBorders>
            <w:shd w:val="clear" w:color="000000" w:fill="FFFFFF"/>
            <w:vAlign w:val="center"/>
            <w:hideMark/>
          </w:tcPr>
          <w:p w14:paraId="6D8DA6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E30B5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DB3BD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37E4D2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F62F3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0CE44B8" w14:textId="77777777" w:rsidTr="00D86FA8">
        <w:trPr>
          <w:trHeight w:val="20"/>
        </w:trPr>
        <w:tc>
          <w:tcPr>
            <w:tcW w:w="125" w:type="pct"/>
            <w:tcBorders>
              <w:top w:val="nil"/>
              <w:left w:val="single" w:sz="4" w:space="0" w:color="auto"/>
              <w:bottom w:val="single" w:sz="4" w:space="0" w:color="auto"/>
              <w:right w:val="nil"/>
            </w:tcBorders>
            <w:shd w:val="clear" w:color="000000" w:fill="E2EFDA"/>
            <w:vAlign w:val="center"/>
            <w:hideMark/>
          </w:tcPr>
          <w:p w14:paraId="24ABC310" w14:textId="77777777" w:rsidR="00D86FA8" w:rsidRPr="001F0C5A" w:rsidRDefault="00D86FA8" w:rsidP="00D86FA8">
            <w:pPr>
              <w:spacing w:after="0" w:line="240" w:lineRule="auto"/>
              <w:jc w:val="right"/>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4.4</w:t>
            </w:r>
          </w:p>
        </w:tc>
        <w:tc>
          <w:tcPr>
            <w:tcW w:w="247" w:type="pct"/>
            <w:tcBorders>
              <w:top w:val="nil"/>
              <w:left w:val="single" w:sz="4" w:space="0" w:color="auto"/>
              <w:bottom w:val="single" w:sz="4" w:space="0" w:color="auto"/>
              <w:right w:val="single" w:sz="4" w:space="0" w:color="auto"/>
            </w:tcBorders>
            <w:shd w:val="clear" w:color="000000" w:fill="FFFFFF"/>
            <w:vAlign w:val="center"/>
            <w:hideMark/>
          </w:tcPr>
          <w:p w14:paraId="6C66F7EE" w14:textId="6DC07A2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Përmirësimi i </w:t>
            </w:r>
            <w:r w:rsidR="003110EB" w:rsidRPr="001F0C5A">
              <w:rPr>
                <w:rFonts w:ascii="Garamond" w:eastAsia="Times New Roman" w:hAnsi="Garamond" w:cs="Times New Roman"/>
                <w:b/>
                <w:bCs/>
                <w:color w:val="000000"/>
                <w:sz w:val="6"/>
                <w:szCs w:val="6"/>
                <w:lang w:val="sq-AL"/>
              </w:rPr>
              <w:t xml:space="preserve">mekanizmit koordinues dhe zbatues, midis strukturave të shëndetësisë </w:t>
            </w:r>
            <w:r w:rsidRPr="001F0C5A">
              <w:rPr>
                <w:rFonts w:ascii="Garamond" w:eastAsia="Times New Roman" w:hAnsi="Garamond" w:cs="Times New Roman"/>
                <w:b/>
                <w:bCs/>
                <w:color w:val="000000"/>
                <w:sz w:val="6"/>
                <w:szCs w:val="6"/>
                <w:lang w:val="sq-AL"/>
              </w:rPr>
              <w:t>dhe atyre të menaxhimit të kufijve, për ofrimin e sigurisë shëndetësore ndërkufitare</w:t>
            </w:r>
          </w:p>
        </w:tc>
        <w:tc>
          <w:tcPr>
            <w:tcW w:w="211" w:type="pct"/>
            <w:tcBorders>
              <w:top w:val="nil"/>
              <w:left w:val="nil"/>
              <w:bottom w:val="single" w:sz="4" w:space="0" w:color="auto"/>
              <w:right w:val="single" w:sz="4" w:space="0" w:color="auto"/>
            </w:tcBorders>
            <w:shd w:val="clear" w:color="000000" w:fill="FFFFFF"/>
            <w:vAlign w:val="center"/>
            <w:hideMark/>
          </w:tcPr>
          <w:p w14:paraId="4542625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1EC482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73C38E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ISHSH/OSHKSH/MB/PSH/ MM/AKMC/DPD/AKU</w:t>
            </w:r>
          </w:p>
        </w:tc>
        <w:tc>
          <w:tcPr>
            <w:tcW w:w="143" w:type="pct"/>
            <w:tcBorders>
              <w:top w:val="nil"/>
              <w:left w:val="nil"/>
              <w:bottom w:val="single" w:sz="4" w:space="0" w:color="auto"/>
              <w:right w:val="single" w:sz="4" w:space="0" w:color="auto"/>
            </w:tcBorders>
            <w:shd w:val="clear" w:color="000000" w:fill="FFFFFF"/>
            <w:vAlign w:val="center"/>
            <w:hideMark/>
          </w:tcPr>
          <w:p w14:paraId="302CA8E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C58008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171922B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A56BBD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C7152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267298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AB0EC7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06C9B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1A68EE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DC498B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A23A7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4D07A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D0AB3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E9B81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3ECBEDD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06F6E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3DFA7C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D804B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4DDA75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67C95ED1"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142F2C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4.4.1</w:t>
            </w:r>
          </w:p>
        </w:tc>
        <w:tc>
          <w:tcPr>
            <w:tcW w:w="247" w:type="pct"/>
            <w:tcBorders>
              <w:top w:val="nil"/>
              <w:left w:val="nil"/>
              <w:bottom w:val="single" w:sz="4" w:space="0" w:color="auto"/>
              <w:right w:val="nil"/>
            </w:tcBorders>
            <w:shd w:val="clear" w:color="000000" w:fill="FFFFFF"/>
            <w:vAlign w:val="center"/>
            <w:hideMark/>
          </w:tcPr>
          <w:p w14:paraId="70DD1609" w14:textId="7FE78DBF"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Hartimi i aktit rregullator për ngritjen e </w:t>
            </w:r>
            <w:r w:rsidR="003110EB" w:rsidRPr="001F0C5A">
              <w:rPr>
                <w:rFonts w:ascii="Garamond" w:eastAsia="Times New Roman" w:hAnsi="Garamond" w:cs="Times New Roman"/>
                <w:color w:val="000000"/>
                <w:sz w:val="6"/>
                <w:szCs w:val="6"/>
                <w:lang w:val="sq-AL"/>
              </w:rPr>
              <w:t xml:space="preserve">mekanizmit koordinues për të parandaluar dhe për tu </w:t>
            </w:r>
            <w:r w:rsidRPr="001F0C5A">
              <w:rPr>
                <w:rFonts w:ascii="Garamond" w:eastAsia="Times New Roman" w:hAnsi="Garamond" w:cs="Times New Roman"/>
                <w:color w:val="000000"/>
                <w:sz w:val="6"/>
                <w:szCs w:val="6"/>
                <w:lang w:val="sq-AL"/>
              </w:rPr>
              <w:t>përgjigjur kërcënimeve serioze ndërkufirtare, si dhe për të trajtuar sigurinë shëndetësore të vendit</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6CA33F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01110;07450 </w:t>
            </w:r>
          </w:p>
        </w:tc>
        <w:tc>
          <w:tcPr>
            <w:tcW w:w="202" w:type="pct"/>
            <w:tcBorders>
              <w:top w:val="nil"/>
              <w:left w:val="nil"/>
              <w:bottom w:val="single" w:sz="4" w:space="0" w:color="auto"/>
              <w:right w:val="single" w:sz="4" w:space="0" w:color="auto"/>
            </w:tcBorders>
            <w:shd w:val="clear" w:color="000000" w:fill="FFFFFF"/>
            <w:vAlign w:val="center"/>
            <w:hideMark/>
          </w:tcPr>
          <w:p w14:paraId="4DC1F8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25613F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1EBBE17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8C43CC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81" w:type="pct"/>
            <w:tcBorders>
              <w:top w:val="nil"/>
              <w:left w:val="nil"/>
              <w:bottom w:val="single" w:sz="4" w:space="0" w:color="auto"/>
              <w:right w:val="single" w:sz="4" w:space="0" w:color="auto"/>
            </w:tcBorders>
            <w:shd w:val="clear" w:color="000000" w:fill="FFFFFF"/>
            <w:vAlign w:val="center"/>
            <w:hideMark/>
          </w:tcPr>
          <w:p w14:paraId="0B5BCB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81" w:type="pct"/>
            <w:tcBorders>
              <w:top w:val="nil"/>
              <w:left w:val="nil"/>
              <w:bottom w:val="single" w:sz="4" w:space="0" w:color="auto"/>
              <w:right w:val="single" w:sz="4" w:space="0" w:color="auto"/>
            </w:tcBorders>
            <w:shd w:val="clear" w:color="000000" w:fill="FFFFFF"/>
            <w:vAlign w:val="center"/>
            <w:hideMark/>
          </w:tcPr>
          <w:p w14:paraId="5BA34B9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29833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96" w:type="pct"/>
            <w:tcBorders>
              <w:top w:val="nil"/>
              <w:left w:val="nil"/>
              <w:bottom w:val="single" w:sz="4" w:space="0" w:color="auto"/>
              <w:right w:val="single" w:sz="4" w:space="0" w:color="auto"/>
            </w:tcBorders>
            <w:shd w:val="clear" w:color="000000" w:fill="FFFFFF"/>
            <w:vAlign w:val="center"/>
            <w:hideMark/>
          </w:tcPr>
          <w:p w14:paraId="43EF41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CB844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424C4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19D40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96" w:type="pct"/>
            <w:tcBorders>
              <w:top w:val="nil"/>
              <w:left w:val="nil"/>
              <w:bottom w:val="single" w:sz="4" w:space="0" w:color="auto"/>
              <w:right w:val="single" w:sz="4" w:space="0" w:color="auto"/>
            </w:tcBorders>
            <w:shd w:val="clear" w:color="000000" w:fill="FFFFFF"/>
            <w:vAlign w:val="center"/>
            <w:hideMark/>
          </w:tcPr>
          <w:p w14:paraId="28B33E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F6385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96" w:type="pct"/>
            <w:tcBorders>
              <w:top w:val="nil"/>
              <w:left w:val="nil"/>
              <w:bottom w:val="single" w:sz="4" w:space="0" w:color="auto"/>
              <w:right w:val="single" w:sz="4" w:space="0" w:color="auto"/>
            </w:tcBorders>
            <w:shd w:val="clear" w:color="000000" w:fill="FFFFFF"/>
            <w:vAlign w:val="center"/>
            <w:hideMark/>
          </w:tcPr>
          <w:p w14:paraId="27F24B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81" w:type="pct"/>
            <w:tcBorders>
              <w:top w:val="nil"/>
              <w:left w:val="nil"/>
              <w:bottom w:val="single" w:sz="4" w:space="0" w:color="auto"/>
              <w:right w:val="single" w:sz="4" w:space="0" w:color="auto"/>
            </w:tcBorders>
            <w:shd w:val="clear" w:color="000000" w:fill="FFFFFF"/>
            <w:vAlign w:val="center"/>
            <w:hideMark/>
          </w:tcPr>
          <w:p w14:paraId="1541D3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644F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70" w:type="pct"/>
            <w:tcBorders>
              <w:top w:val="nil"/>
              <w:left w:val="nil"/>
              <w:bottom w:val="single" w:sz="4" w:space="0" w:color="auto"/>
              <w:right w:val="single" w:sz="4" w:space="0" w:color="auto"/>
            </w:tcBorders>
            <w:shd w:val="clear" w:color="000000" w:fill="FFFFFF"/>
            <w:vAlign w:val="center"/>
            <w:hideMark/>
          </w:tcPr>
          <w:p w14:paraId="383B6B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A9F37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923C6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C8EED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22DF2D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7ACE1A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334773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4.4.2</w:t>
            </w:r>
          </w:p>
        </w:tc>
        <w:tc>
          <w:tcPr>
            <w:tcW w:w="247" w:type="pct"/>
            <w:tcBorders>
              <w:top w:val="nil"/>
              <w:left w:val="nil"/>
              <w:bottom w:val="single" w:sz="4" w:space="0" w:color="auto"/>
              <w:right w:val="nil"/>
            </w:tcBorders>
            <w:shd w:val="clear" w:color="000000" w:fill="FFFFFF"/>
            <w:vAlign w:val="center"/>
            <w:hideMark/>
          </w:tcPr>
          <w:p w14:paraId="573762E7" w14:textId="3D7C02C8"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Mbajtja e takimeve periodike të anëtarëve të </w:t>
            </w:r>
            <w:r w:rsidR="003110EB" w:rsidRPr="001F0C5A">
              <w:rPr>
                <w:rFonts w:ascii="Garamond" w:eastAsia="Times New Roman" w:hAnsi="Garamond" w:cs="Times New Roman"/>
                <w:color w:val="000000"/>
                <w:sz w:val="6"/>
                <w:szCs w:val="6"/>
                <w:lang w:val="sq-AL"/>
              </w:rPr>
              <w:t xml:space="preserve">mekanizmit koordinues </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02DA11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01110;07450 </w:t>
            </w:r>
          </w:p>
        </w:tc>
        <w:tc>
          <w:tcPr>
            <w:tcW w:w="202" w:type="pct"/>
            <w:tcBorders>
              <w:top w:val="nil"/>
              <w:left w:val="nil"/>
              <w:bottom w:val="single" w:sz="4" w:space="0" w:color="auto"/>
              <w:right w:val="single" w:sz="4" w:space="0" w:color="auto"/>
            </w:tcBorders>
            <w:shd w:val="clear" w:color="000000" w:fill="FFFFFF"/>
            <w:vAlign w:val="center"/>
            <w:hideMark/>
          </w:tcPr>
          <w:p w14:paraId="02EDD0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78738B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03CDDBC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B75D53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2804F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21,333</w:t>
            </w:r>
          </w:p>
        </w:tc>
        <w:tc>
          <w:tcPr>
            <w:tcW w:w="181" w:type="pct"/>
            <w:tcBorders>
              <w:top w:val="nil"/>
              <w:left w:val="nil"/>
              <w:bottom w:val="single" w:sz="4" w:space="0" w:color="auto"/>
              <w:right w:val="single" w:sz="4" w:space="0" w:color="auto"/>
            </w:tcBorders>
            <w:shd w:val="clear" w:color="000000" w:fill="FFFFFF"/>
            <w:vAlign w:val="center"/>
            <w:hideMark/>
          </w:tcPr>
          <w:p w14:paraId="4F6883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79414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21,333</w:t>
            </w:r>
          </w:p>
        </w:tc>
        <w:tc>
          <w:tcPr>
            <w:tcW w:w="196" w:type="pct"/>
            <w:tcBorders>
              <w:top w:val="nil"/>
              <w:left w:val="nil"/>
              <w:bottom w:val="single" w:sz="4" w:space="0" w:color="auto"/>
              <w:right w:val="single" w:sz="4" w:space="0" w:color="auto"/>
            </w:tcBorders>
            <w:shd w:val="clear" w:color="000000" w:fill="FFFFFF"/>
            <w:vAlign w:val="center"/>
            <w:hideMark/>
          </w:tcPr>
          <w:p w14:paraId="06D5F2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128,000</w:t>
            </w:r>
          </w:p>
        </w:tc>
        <w:tc>
          <w:tcPr>
            <w:tcW w:w="196" w:type="pct"/>
            <w:tcBorders>
              <w:top w:val="nil"/>
              <w:left w:val="nil"/>
              <w:bottom w:val="single" w:sz="4" w:space="0" w:color="auto"/>
              <w:right w:val="single" w:sz="4" w:space="0" w:color="auto"/>
            </w:tcBorders>
            <w:shd w:val="clear" w:color="000000" w:fill="FFFFFF"/>
            <w:vAlign w:val="center"/>
            <w:hideMark/>
          </w:tcPr>
          <w:p w14:paraId="58B603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9A58C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128,000</w:t>
            </w:r>
          </w:p>
        </w:tc>
        <w:tc>
          <w:tcPr>
            <w:tcW w:w="196" w:type="pct"/>
            <w:tcBorders>
              <w:top w:val="nil"/>
              <w:left w:val="nil"/>
              <w:bottom w:val="single" w:sz="4" w:space="0" w:color="auto"/>
              <w:right w:val="single" w:sz="4" w:space="0" w:color="auto"/>
            </w:tcBorders>
            <w:shd w:val="clear" w:color="000000" w:fill="FFFFFF"/>
            <w:vAlign w:val="center"/>
            <w:hideMark/>
          </w:tcPr>
          <w:p w14:paraId="3EF8B8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149,333</w:t>
            </w:r>
          </w:p>
        </w:tc>
        <w:tc>
          <w:tcPr>
            <w:tcW w:w="196" w:type="pct"/>
            <w:tcBorders>
              <w:top w:val="nil"/>
              <w:left w:val="nil"/>
              <w:bottom w:val="single" w:sz="4" w:space="0" w:color="auto"/>
              <w:right w:val="single" w:sz="4" w:space="0" w:color="auto"/>
            </w:tcBorders>
            <w:shd w:val="clear" w:color="000000" w:fill="FFFFFF"/>
            <w:vAlign w:val="center"/>
            <w:hideMark/>
          </w:tcPr>
          <w:p w14:paraId="66DD85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B516D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149,333</w:t>
            </w:r>
          </w:p>
        </w:tc>
        <w:tc>
          <w:tcPr>
            <w:tcW w:w="196" w:type="pct"/>
            <w:tcBorders>
              <w:top w:val="nil"/>
              <w:left w:val="nil"/>
              <w:bottom w:val="single" w:sz="4" w:space="0" w:color="auto"/>
              <w:right w:val="single" w:sz="4" w:space="0" w:color="auto"/>
            </w:tcBorders>
            <w:shd w:val="clear" w:color="000000" w:fill="FFFFFF"/>
            <w:vAlign w:val="center"/>
            <w:hideMark/>
          </w:tcPr>
          <w:p w14:paraId="5DD2E9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149,333</w:t>
            </w:r>
          </w:p>
        </w:tc>
        <w:tc>
          <w:tcPr>
            <w:tcW w:w="181" w:type="pct"/>
            <w:tcBorders>
              <w:top w:val="nil"/>
              <w:left w:val="nil"/>
              <w:bottom w:val="single" w:sz="4" w:space="0" w:color="auto"/>
              <w:right w:val="single" w:sz="4" w:space="0" w:color="auto"/>
            </w:tcBorders>
            <w:shd w:val="clear" w:color="000000" w:fill="FFFFFF"/>
            <w:vAlign w:val="center"/>
            <w:hideMark/>
          </w:tcPr>
          <w:p w14:paraId="7F4D99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0F2B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149,333</w:t>
            </w:r>
          </w:p>
        </w:tc>
        <w:tc>
          <w:tcPr>
            <w:tcW w:w="170" w:type="pct"/>
            <w:tcBorders>
              <w:top w:val="nil"/>
              <w:left w:val="nil"/>
              <w:bottom w:val="single" w:sz="4" w:space="0" w:color="auto"/>
              <w:right w:val="single" w:sz="4" w:space="0" w:color="auto"/>
            </w:tcBorders>
            <w:shd w:val="clear" w:color="000000" w:fill="FFFFFF"/>
            <w:vAlign w:val="center"/>
            <w:hideMark/>
          </w:tcPr>
          <w:p w14:paraId="63F600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F86CF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1DF3C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C1352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C586F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464100D"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4E592C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4.4.3</w:t>
            </w:r>
          </w:p>
        </w:tc>
        <w:tc>
          <w:tcPr>
            <w:tcW w:w="247" w:type="pct"/>
            <w:tcBorders>
              <w:top w:val="nil"/>
              <w:left w:val="nil"/>
              <w:bottom w:val="single" w:sz="4" w:space="0" w:color="auto"/>
              <w:right w:val="nil"/>
            </w:tcBorders>
            <w:shd w:val="clear" w:color="000000" w:fill="FFFFFF"/>
            <w:vAlign w:val="center"/>
            <w:hideMark/>
          </w:tcPr>
          <w:p w14:paraId="4E0AB90D" w14:textId="2200CC7D"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i sesioneve informuese të strukturave përgjegjëse që operojnë në kufi</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 xml:space="preserve">në drejtim të parandalimit dhe përgjigjes ndaj kërcënimeve serioze ndërkufitare dhe ruajtjes së sigurisë shëndetësore dhe asaj ndërkufitare të vendit </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0C6A04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01110;07450</w:t>
            </w:r>
          </w:p>
        </w:tc>
        <w:tc>
          <w:tcPr>
            <w:tcW w:w="202" w:type="pct"/>
            <w:tcBorders>
              <w:top w:val="nil"/>
              <w:left w:val="nil"/>
              <w:bottom w:val="single" w:sz="4" w:space="0" w:color="auto"/>
              <w:right w:val="single" w:sz="4" w:space="0" w:color="auto"/>
            </w:tcBorders>
            <w:shd w:val="clear" w:color="000000" w:fill="FFFFFF"/>
            <w:vAlign w:val="center"/>
            <w:hideMark/>
          </w:tcPr>
          <w:p w14:paraId="5A4C1D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3507B4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0391DC8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DC660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0E7EEA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57,600</w:t>
            </w:r>
          </w:p>
        </w:tc>
        <w:tc>
          <w:tcPr>
            <w:tcW w:w="181" w:type="pct"/>
            <w:tcBorders>
              <w:top w:val="nil"/>
              <w:left w:val="nil"/>
              <w:bottom w:val="single" w:sz="4" w:space="0" w:color="auto"/>
              <w:right w:val="single" w:sz="4" w:space="0" w:color="auto"/>
            </w:tcBorders>
            <w:shd w:val="clear" w:color="000000" w:fill="FFFFFF"/>
            <w:vAlign w:val="center"/>
            <w:hideMark/>
          </w:tcPr>
          <w:p w14:paraId="35E7F6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DF23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57,600</w:t>
            </w:r>
          </w:p>
        </w:tc>
        <w:tc>
          <w:tcPr>
            <w:tcW w:w="196" w:type="pct"/>
            <w:tcBorders>
              <w:top w:val="nil"/>
              <w:left w:val="nil"/>
              <w:bottom w:val="single" w:sz="4" w:space="0" w:color="auto"/>
              <w:right w:val="single" w:sz="4" w:space="0" w:color="auto"/>
            </w:tcBorders>
            <w:shd w:val="clear" w:color="000000" w:fill="FFFFFF"/>
            <w:vAlign w:val="center"/>
            <w:hideMark/>
          </w:tcPr>
          <w:p w14:paraId="716BA4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326,400</w:t>
            </w:r>
          </w:p>
        </w:tc>
        <w:tc>
          <w:tcPr>
            <w:tcW w:w="196" w:type="pct"/>
            <w:tcBorders>
              <w:top w:val="nil"/>
              <w:left w:val="nil"/>
              <w:bottom w:val="single" w:sz="4" w:space="0" w:color="auto"/>
              <w:right w:val="single" w:sz="4" w:space="0" w:color="auto"/>
            </w:tcBorders>
            <w:shd w:val="clear" w:color="000000" w:fill="FFFFFF"/>
            <w:vAlign w:val="center"/>
            <w:hideMark/>
          </w:tcPr>
          <w:p w14:paraId="49A189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52044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326,400</w:t>
            </w:r>
          </w:p>
        </w:tc>
        <w:tc>
          <w:tcPr>
            <w:tcW w:w="196" w:type="pct"/>
            <w:tcBorders>
              <w:top w:val="nil"/>
              <w:left w:val="nil"/>
              <w:bottom w:val="single" w:sz="4" w:space="0" w:color="auto"/>
              <w:right w:val="single" w:sz="4" w:space="0" w:color="auto"/>
            </w:tcBorders>
            <w:shd w:val="clear" w:color="000000" w:fill="FFFFFF"/>
            <w:vAlign w:val="center"/>
            <w:hideMark/>
          </w:tcPr>
          <w:p w14:paraId="51E728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384,000</w:t>
            </w:r>
          </w:p>
        </w:tc>
        <w:tc>
          <w:tcPr>
            <w:tcW w:w="196" w:type="pct"/>
            <w:tcBorders>
              <w:top w:val="nil"/>
              <w:left w:val="nil"/>
              <w:bottom w:val="single" w:sz="4" w:space="0" w:color="auto"/>
              <w:right w:val="single" w:sz="4" w:space="0" w:color="auto"/>
            </w:tcBorders>
            <w:shd w:val="clear" w:color="000000" w:fill="FFFFFF"/>
            <w:vAlign w:val="center"/>
            <w:hideMark/>
          </w:tcPr>
          <w:p w14:paraId="2C024F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FAF70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384,000</w:t>
            </w:r>
          </w:p>
        </w:tc>
        <w:tc>
          <w:tcPr>
            <w:tcW w:w="196" w:type="pct"/>
            <w:tcBorders>
              <w:top w:val="nil"/>
              <w:left w:val="nil"/>
              <w:bottom w:val="single" w:sz="4" w:space="0" w:color="auto"/>
              <w:right w:val="single" w:sz="4" w:space="0" w:color="auto"/>
            </w:tcBorders>
            <w:shd w:val="clear" w:color="000000" w:fill="FFFFFF"/>
            <w:vAlign w:val="center"/>
            <w:hideMark/>
          </w:tcPr>
          <w:p w14:paraId="387165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384,000</w:t>
            </w:r>
          </w:p>
        </w:tc>
        <w:tc>
          <w:tcPr>
            <w:tcW w:w="181" w:type="pct"/>
            <w:tcBorders>
              <w:top w:val="nil"/>
              <w:left w:val="nil"/>
              <w:bottom w:val="single" w:sz="4" w:space="0" w:color="auto"/>
              <w:right w:val="single" w:sz="4" w:space="0" w:color="auto"/>
            </w:tcBorders>
            <w:shd w:val="clear" w:color="000000" w:fill="FFFFFF"/>
            <w:vAlign w:val="center"/>
            <w:hideMark/>
          </w:tcPr>
          <w:p w14:paraId="715A04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5684C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384,000</w:t>
            </w:r>
          </w:p>
        </w:tc>
        <w:tc>
          <w:tcPr>
            <w:tcW w:w="170" w:type="pct"/>
            <w:tcBorders>
              <w:top w:val="nil"/>
              <w:left w:val="nil"/>
              <w:bottom w:val="single" w:sz="4" w:space="0" w:color="auto"/>
              <w:right w:val="single" w:sz="4" w:space="0" w:color="auto"/>
            </w:tcBorders>
            <w:shd w:val="clear" w:color="000000" w:fill="FFFFFF"/>
            <w:vAlign w:val="center"/>
            <w:hideMark/>
          </w:tcPr>
          <w:p w14:paraId="2D3E08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FCC6C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07BC4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72854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144B8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DAC89F3"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3DC8B6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w:t>
            </w:r>
          </w:p>
        </w:tc>
        <w:tc>
          <w:tcPr>
            <w:tcW w:w="247" w:type="pct"/>
            <w:tcBorders>
              <w:top w:val="nil"/>
              <w:left w:val="nil"/>
              <w:bottom w:val="nil"/>
              <w:right w:val="nil"/>
            </w:tcBorders>
            <w:shd w:val="clear" w:color="000000" w:fill="FFFFFF"/>
            <w:vAlign w:val="center"/>
            <w:hideMark/>
          </w:tcPr>
          <w:p w14:paraId="5813650D"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Përmirësimi komunikimit ndërinstitucional për të siguruar parandalimin dhe përgjigjen në kohë ndaj kërcënimeve serioze shëndetësore ndërkufitare dhe për të ruajtur sigurinë shëndetësore të vendit </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7B189B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1110;07450</w:t>
            </w:r>
          </w:p>
        </w:tc>
        <w:tc>
          <w:tcPr>
            <w:tcW w:w="202" w:type="pct"/>
            <w:tcBorders>
              <w:top w:val="nil"/>
              <w:left w:val="nil"/>
              <w:bottom w:val="single" w:sz="4" w:space="0" w:color="auto"/>
              <w:right w:val="single" w:sz="4" w:space="0" w:color="auto"/>
            </w:tcBorders>
            <w:shd w:val="clear" w:color="000000" w:fill="FFFFFF"/>
            <w:vAlign w:val="center"/>
            <w:hideMark/>
          </w:tcPr>
          <w:p w14:paraId="7A1C3A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280B24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4E95511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15414B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1AC00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EA3F12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2663C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72BFF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DF874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FA02B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EA21E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C7116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97E3A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A998D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FE432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065A8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36FD89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78F94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A3010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10898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1C856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0F7C1F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5F353A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lastRenderedPageBreak/>
              <w:t>4.5.1</w:t>
            </w:r>
          </w:p>
        </w:tc>
        <w:tc>
          <w:tcPr>
            <w:tcW w:w="247" w:type="pct"/>
            <w:tcBorders>
              <w:top w:val="single" w:sz="4" w:space="0" w:color="auto"/>
              <w:left w:val="nil"/>
              <w:bottom w:val="single" w:sz="4" w:space="0" w:color="auto"/>
              <w:right w:val="nil"/>
            </w:tcBorders>
            <w:shd w:val="clear" w:color="000000" w:fill="FFFFFF"/>
            <w:vAlign w:val="center"/>
            <w:hideMark/>
          </w:tcPr>
          <w:p w14:paraId="181A96F6" w14:textId="7E5D516D"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Hartimi i </w:t>
            </w:r>
            <w:r w:rsidR="003110EB" w:rsidRPr="001F0C5A">
              <w:rPr>
                <w:rFonts w:ascii="Garamond" w:eastAsia="Times New Roman" w:hAnsi="Garamond" w:cs="Times New Roman"/>
                <w:color w:val="000000"/>
                <w:sz w:val="6"/>
                <w:szCs w:val="6"/>
                <w:lang w:val="sq-AL"/>
              </w:rPr>
              <w:t xml:space="preserve">protokollit të komunikimit ndërinstitucional </w:t>
            </w:r>
            <w:r w:rsidRPr="001F0C5A">
              <w:rPr>
                <w:rFonts w:ascii="Garamond" w:eastAsia="Times New Roman" w:hAnsi="Garamond" w:cs="Times New Roman"/>
                <w:color w:val="000000"/>
                <w:sz w:val="6"/>
                <w:szCs w:val="6"/>
                <w:lang w:val="sq-AL"/>
              </w:rPr>
              <w:t>nga grupi i punës i ngritur për këtë qëllim</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4F1E27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01110;07450</w:t>
            </w:r>
          </w:p>
        </w:tc>
        <w:tc>
          <w:tcPr>
            <w:tcW w:w="202" w:type="pct"/>
            <w:tcBorders>
              <w:top w:val="nil"/>
              <w:left w:val="nil"/>
              <w:bottom w:val="single" w:sz="4" w:space="0" w:color="auto"/>
              <w:right w:val="single" w:sz="4" w:space="0" w:color="auto"/>
            </w:tcBorders>
            <w:shd w:val="clear" w:color="000000" w:fill="FFFFFF"/>
            <w:vAlign w:val="center"/>
            <w:hideMark/>
          </w:tcPr>
          <w:p w14:paraId="52D83B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4C7CEE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6FDEB81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E4A6EB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885C9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81" w:type="pct"/>
            <w:tcBorders>
              <w:top w:val="nil"/>
              <w:left w:val="nil"/>
              <w:bottom w:val="single" w:sz="4" w:space="0" w:color="auto"/>
              <w:right w:val="single" w:sz="4" w:space="0" w:color="auto"/>
            </w:tcBorders>
            <w:shd w:val="clear" w:color="000000" w:fill="FFFFFF"/>
            <w:vAlign w:val="center"/>
            <w:hideMark/>
          </w:tcPr>
          <w:p w14:paraId="5F912D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8EC2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02D282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0E7B2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B1A0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05DB6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663410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65FAE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4FA8FE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81" w:type="pct"/>
            <w:tcBorders>
              <w:top w:val="nil"/>
              <w:left w:val="nil"/>
              <w:bottom w:val="single" w:sz="4" w:space="0" w:color="auto"/>
              <w:right w:val="single" w:sz="4" w:space="0" w:color="auto"/>
            </w:tcBorders>
            <w:shd w:val="clear" w:color="000000" w:fill="FFFFFF"/>
            <w:vAlign w:val="center"/>
            <w:hideMark/>
          </w:tcPr>
          <w:p w14:paraId="213D7F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F4DFB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70" w:type="pct"/>
            <w:tcBorders>
              <w:top w:val="nil"/>
              <w:left w:val="nil"/>
              <w:bottom w:val="single" w:sz="4" w:space="0" w:color="auto"/>
              <w:right w:val="single" w:sz="4" w:space="0" w:color="auto"/>
            </w:tcBorders>
            <w:shd w:val="clear" w:color="000000" w:fill="FFFFFF"/>
            <w:vAlign w:val="center"/>
            <w:hideMark/>
          </w:tcPr>
          <w:p w14:paraId="7DAE5A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4DCE7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9BBFC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BC401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98366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02B2BD0"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3BD899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4.5.2</w:t>
            </w:r>
          </w:p>
        </w:tc>
        <w:tc>
          <w:tcPr>
            <w:tcW w:w="247" w:type="pct"/>
            <w:tcBorders>
              <w:top w:val="nil"/>
              <w:left w:val="nil"/>
              <w:bottom w:val="single" w:sz="4" w:space="0" w:color="auto"/>
              <w:right w:val="nil"/>
            </w:tcBorders>
            <w:shd w:val="clear" w:color="000000" w:fill="FFFFFF"/>
            <w:vAlign w:val="center"/>
            <w:hideMark/>
          </w:tcPr>
          <w:p w14:paraId="7F8FABCC" w14:textId="5A2FA80B"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Përgatitja e mesazheve të komunikimit dhe mjeteve të komunikimit të përbashkët të strukturave </w:t>
            </w:r>
            <w:r w:rsidR="003110EB" w:rsidRPr="001F0C5A">
              <w:rPr>
                <w:rFonts w:ascii="Garamond" w:eastAsia="Times New Roman" w:hAnsi="Garamond" w:cs="Times New Roman"/>
                <w:color w:val="000000"/>
                <w:sz w:val="6"/>
                <w:szCs w:val="6"/>
                <w:lang w:val="sq-AL"/>
              </w:rPr>
              <w:t>përkatëse</w:t>
            </w:r>
            <w:r w:rsidRPr="001F0C5A">
              <w:rPr>
                <w:rFonts w:ascii="Garamond" w:eastAsia="Times New Roman" w:hAnsi="Garamond" w:cs="Times New Roman"/>
                <w:color w:val="000000"/>
                <w:sz w:val="6"/>
                <w:szCs w:val="6"/>
                <w:lang w:val="sq-AL"/>
              </w:rPr>
              <w:t xml:space="preserve"> shëndetësore dhe ndërkufitare </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45BEB4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401536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ISHP </w:t>
            </w:r>
          </w:p>
        </w:tc>
        <w:tc>
          <w:tcPr>
            <w:tcW w:w="680" w:type="pct"/>
            <w:tcBorders>
              <w:top w:val="nil"/>
              <w:left w:val="nil"/>
              <w:bottom w:val="single" w:sz="4" w:space="0" w:color="auto"/>
              <w:right w:val="single" w:sz="4" w:space="0" w:color="auto"/>
            </w:tcBorders>
            <w:shd w:val="clear" w:color="000000" w:fill="FFFFFF"/>
            <w:vAlign w:val="center"/>
            <w:hideMark/>
          </w:tcPr>
          <w:p w14:paraId="08E5B6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MSHMS/ISHSH/OSHKSH/FSDKSH/MB/PSH/MM/AKMC/DPD/AKU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6F8A3DD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573B0C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252BC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81" w:type="pct"/>
            <w:tcBorders>
              <w:top w:val="nil"/>
              <w:left w:val="nil"/>
              <w:bottom w:val="single" w:sz="4" w:space="0" w:color="auto"/>
              <w:right w:val="single" w:sz="4" w:space="0" w:color="auto"/>
            </w:tcBorders>
            <w:shd w:val="clear" w:color="000000" w:fill="FFFFFF"/>
            <w:vAlign w:val="center"/>
            <w:hideMark/>
          </w:tcPr>
          <w:p w14:paraId="1B0924E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8D941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51AA23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07285A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331C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6DE639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512,000</w:t>
            </w:r>
          </w:p>
        </w:tc>
        <w:tc>
          <w:tcPr>
            <w:tcW w:w="196" w:type="pct"/>
            <w:tcBorders>
              <w:top w:val="nil"/>
              <w:left w:val="nil"/>
              <w:bottom w:val="single" w:sz="4" w:space="0" w:color="auto"/>
              <w:right w:val="single" w:sz="4" w:space="0" w:color="auto"/>
            </w:tcBorders>
            <w:shd w:val="clear" w:color="000000" w:fill="FFFFFF"/>
            <w:vAlign w:val="center"/>
            <w:hideMark/>
          </w:tcPr>
          <w:p w14:paraId="343106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7D734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512,000</w:t>
            </w:r>
          </w:p>
        </w:tc>
        <w:tc>
          <w:tcPr>
            <w:tcW w:w="196" w:type="pct"/>
            <w:tcBorders>
              <w:top w:val="nil"/>
              <w:left w:val="nil"/>
              <w:bottom w:val="single" w:sz="4" w:space="0" w:color="auto"/>
              <w:right w:val="single" w:sz="4" w:space="0" w:color="auto"/>
            </w:tcBorders>
            <w:shd w:val="clear" w:color="000000" w:fill="FFFFFF"/>
            <w:vAlign w:val="center"/>
            <w:hideMark/>
          </w:tcPr>
          <w:p w14:paraId="760C14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512,000</w:t>
            </w:r>
          </w:p>
        </w:tc>
        <w:tc>
          <w:tcPr>
            <w:tcW w:w="181" w:type="pct"/>
            <w:tcBorders>
              <w:top w:val="nil"/>
              <w:left w:val="nil"/>
              <w:bottom w:val="single" w:sz="4" w:space="0" w:color="auto"/>
              <w:right w:val="single" w:sz="4" w:space="0" w:color="auto"/>
            </w:tcBorders>
            <w:shd w:val="clear" w:color="000000" w:fill="FFFFFF"/>
            <w:vAlign w:val="center"/>
            <w:hideMark/>
          </w:tcPr>
          <w:p w14:paraId="488516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4B8D1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512,000</w:t>
            </w:r>
          </w:p>
        </w:tc>
        <w:tc>
          <w:tcPr>
            <w:tcW w:w="170" w:type="pct"/>
            <w:tcBorders>
              <w:top w:val="nil"/>
              <w:left w:val="nil"/>
              <w:bottom w:val="single" w:sz="4" w:space="0" w:color="auto"/>
              <w:right w:val="single" w:sz="4" w:space="0" w:color="auto"/>
            </w:tcBorders>
            <w:shd w:val="clear" w:color="000000" w:fill="FFFFFF"/>
            <w:vAlign w:val="center"/>
            <w:hideMark/>
          </w:tcPr>
          <w:p w14:paraId="315A0B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66B78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40A92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49D95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C861D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EBD8AE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633C96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4.5.3</w:t>
            </w:r>
          </w:p>
        </w:tc>
        <w:tc>
          <w:tcPr>
            <w:tcW w:w="247" w:type="pct"/>
            <w:tcBorders>
              <w:top w:val="nil"/>
              <w:left w:val="nil"/>
              <w:bottom w:val="single" w:sz="4" w:space="0" w:color="auto"/>
              <w:right w:val="nil"/>
            </w:tcBorders>
            <w:shd w:val="clear" w:color="000000" w:fill="FFFFFF"/>
            <w:vAlign w:val="center"/>
            <w:hideMark/>
          </w:tcPr>
          <w:p w14:paraId="265C8D89" w14:textId="6F6CEF81"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i një programi të vazhduar trajnimesh për strukturat kufitare mbi teknikat dhe mënyrën e komunikimit të rrezikut për të informuar dhe menaxhuar shqetësimet e lidhura me kërcënimet serioze të s</w:t>
            </w:r>
            <w:r w:rsidR="003110EB">
              <w:rPr>
                <w:rFonts w:ascii="Garamond" w:eastAsia="Times New Roman" w:hAnsi="Garamond" w:cs="Times New Roman"/>
                <w:color w:val="000000"/>
                <w:sz w:val="6"/>
                <w:szCs w:val="6"/>
                <w:lang w:val="sq-AL"/>
              </w:rPr>
              <w:t>h</w:t>
            </w:r>
            <w:r w:rsidRPr="001F0C5A">
              <w:rPr>
                <w:rFonts w:ascii="Garamond" w:eastAsia="Times New Roman" w:hAnsi="Garamond" w:cs="Times New Roman"/>
                <w:color w:val="000000"/>
                <w:sz w:val="6"/>
                <w:szCs w:val="6"/>
                <w:lang w:val="sq-AL"/>
              </w:rPr>
              <w:t>ëndetit publik</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47AE7F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0C5AB3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ISHP</w:t>
            </w:r>
          </w:p>
        </w:tc>
        <w:tc>
          <w:tcPr>
            <w:tcW w:w="680" w:type="pct"/>
            <w:tcBorders>
              <w:top w:val="nil"/>
              <w:left w:val="nil"/>
              <w:bottom w:val="single" w:sz="4" w:space="0" w:color="auto"/>
              <w:right w:val="single" w:sz="4" w:space="0" w:color="auto"/>
            </w:tcBorders>
            <w:shd w:val="clear" w:color="000000" w:fill="FFFFFF"/>
            <w:vAlign w:val="center"/>
            <w:hideMark/>
          </w:tcPr>
          <w:p w14:paraId="0E9CF7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OSHKSH/PSH/DPD/AKU</w:t>
            </w:r>
          </w:p>
        </w:tc>
        <w:tc>
          <w:tcPr>
            <w:tcW w:w="143" w:type="pct"/>
            <w:tcBorders>
              <w:top w:val="nil"/>
              <w:left w:val="nil"/>
              <w:bottom w:val="single" w:sz="4" w:space="0" w:color="auto"/>
              <w:right w:val="single" w:sz="4" w:space="0" w:color="auto"/>
            </w:tcBorders>
            <w:shd w:val="clear" w:color="000000" w:fill="FFFFFF"/>
            <w:vAlign w:val="center"/>
            <w:hideMark/>
          </w:tcPr>
          <w:p w14:paraId="36BE67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FFFFFF"/>
            <w:vAlign w:val="center"/>
            <w:hideMark/>
          </w:tcPr>
          <w:p w14:paraId="4183E91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C92C8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61E69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7BECD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DD587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96" w:type="pct"/>
            <w:tcBorders>
              <w:top w:val="nil"/>
              <w:left w:val="nil"/>
              <w:bottom w:val="single" w:sz="4" w:space="0" w:color="auto"/>
              <w:right w:val="single" w:sz="4" w:space="0" w:color="auto"/>
            </w:tcBorders>
            <w:shd w:val="clear" w:color="000000" w:fill="FFFFFF"/>
            <w:vAlign w:val="center"/>
            <w:hideMark/>
          </w:tcPr>
          <w:p w14:paraId="33C256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171F3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96" w:type="pct"/>
            <w:tcBorders>
              <w:top w:val="nil"/>
              <w:left w:val="nil"/>
              <w:bottom w:val="single" w:sz="4" w:space="0" w:color="auto"/>
              <w:right w:val="single" w:sz="4" w:space="0" w:color="auto"/>
            </w:tcBorders>
            <w:shd w:val="clear" w:color="000000" w:fill="FFFFFF"/>
            <w:vAlign w:val="center"/>
            <w:hideMark/>
          </w:tcPr>
          <w:p w14:paraId="4BA354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96" w:type="pct"/>
            <w:tcBorders>
              <w:top w:val="nil"/>
              <w:left w:val="nil"/>
              <w:bottom w:val="single" w:sz="4" w:space="0" w:color="auto"/>
              <w:right w:val="single" w:sz="4" w:space="0" w:color="auto"/>
            </w:tcBorders>
            <w:shd w:val="clear" w:color="000000" w:fill="FFFFFF"/>
            <w:vAlign w:val="center"/>
            <w:hideMark/>
          </w:tcPr>
          <w:p w14:paraId="53DEEF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AA12F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96" w:type="pct"/>
            <w:tcBorders>
              <w:top w:val="nil"/>
              <w:left w:val="nil"/>
              <w:bottom w:val="single" w:sz="4" w:space="0" w:color="auto"/>
              <w:right w:val="single" w:sz="4" w:space="0" w:color="auto"/>
            </w:tcBorders>
            <w:shd w:val="clear" w:color="000000" w:fill="FFFFFF"/>
            <w:vAlign w:val="center"/>
            <w:hideMark/>
          </w:tcPr>
          <w:p w14:paraId="04A776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81" w:type="pct"/>
            <w:tcBorders>
              <w:top w:val="nil"/>
              <w:left w:val="nil"/>
              <w:bottom w:val="single" w:sz="4" w:space="0" w:color="auto"/>
              <w:right w:val="single" w:sz="4" w:space="0" w:color="auto"/>
            </w:tcBorders>
            <w:shd w:val="clear" w:color="000000" w:fill="FFFFFF"/>
            <w:vAlign w:val="center"/>
            <w:hideMark/>
          </w:tcPr>
          <w:p w14:paraId="2779C6C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5CC3F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70" w:type="pct"/>
            <w:tcBorders>
              <w:top w:val="nil"/>
              <w:left w:val="nil"/>
              <w:bottom w:val="single" w:sz="4" w:space="0" w:color="auto"/>
              <w:right w:val="single" w:sz="4" w:space="0" w:color="auto"/>
            </w:tcBorders>
            <w:shd w:val="clear" w:color="000000" w:fill="FFFFFF"/>
            <w:vAlign w:val="center"/>
            <w:hideMark/>
          </w:tcPr>
          <w:p w14:paraId="07B57E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8B7CD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E642E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4540F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7F435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38A1F6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288720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4.6</w:t>
            </w:r>
          </w:p>
        </w:tc>
        <w:tc>
          <w:tcPr>
            <w:tcW w:w="247" w:type="pct"/>
            <w:tcBorders>
              <w:top w:val="nil"/>
              <w:left w:val="nil"/>
              <w:bottom w:val="single" w:sz="4" w:space="0" w:color="auto"/>
              <w:right w:val="nil"/>
            </w:tcBorders>
            <w:shd w:val="clear" w:color="000000" w:fill="FFFFFF"/>
            <w:vAlign w:val="center"/>
            <w:hideMark/>
          </w:tcPr>
          <w:p w14:paraId="62ED3102" w14:textId="4E4AA95C"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Përforcimimi i kapaciteteve të </w:t>
            </w:r>
            <w:r w:rsidR="003110EB" w:rsidRPr="001F0C5A">
              <w:rPr>
                <w:rFonts w:ascii="Garamond" w:eastAsia="Times New Roman" w:hAnsi="Garamond" w:cs="Times New Roman"/>
                <w:b/>
                <w:bCs/>
                <w:color w:val="000000"/>
                <w:sz w:val="6"/>
                <w:szCs w:val="6"/>
                <w:lang w:val="sq-AL"/>
              </w:rPr>
              <w:t>shëndetit</w:t>
            </w:r>
            <w:r w:rsidRPr="001F0C5A">
              <w:rPr>
                <w:rFonts w:ascii="Garamond" w:eastAsia="Times New Roman" w:hAnsi="Garamond" w:cs="Times New Roman"/>
                <w:b/>
                <w:bCs/>
                <w:color w:val="000000"/>
                <w:sz w:val="6"/>
                <w:szCs w:val="6"/>
                <w:lang w:val="sq-AL"/>
              </w:rPr>
              <w:t xml:space="preserve"> publik dhe strukturave të tjera shëndetësore dhe kufitare</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për të parandaluar dhe përgjigjur kërcënimeve serioze shëndetësore ndërkufitare dhe për të ruajtur sigurinë shëndetësore të vendit në përputhje me kuadrin rregullator në fuqi si dhe aktet ndërkombëtare në këtë fushë</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14:paraId="407DF9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3BEA28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211AFF6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ISHSH/OSHKSH/MB/PSH</w:t>
            </w:r>
          </w:p>
        </w:tc>
        <w:tc>
          <w:tcPr>
            <w:tcW w:w="143" w:type="pct"/>
            <w:tcBorders>
              <w:top w:val="nil"/>
              <w:left w:val="nil"/>
              <w:bottom w:val="single" w:sz="4" w:space="0" w:color="auto"/>
              <w:right w:val="single" w:sz="4" w:space="0" w:color="auto"/>
            </w:tcBorders>
            <w:shd w:val="clear" w:color="000000" w:fill="FFFFFF"/>
            <w:vAlign w:val="center"/>
            <w:hideMark/>
          </w:tcPr>
          <w:p w14:paraId="23C5E6A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A2F017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85725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23E6E9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02631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44DE1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AC4F9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19649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D80E8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55DE1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D94E6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451E9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580AC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454AD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0F9DB9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0D0AD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50A533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CBD3B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329830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1492012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4E492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4.6.1</w:t>
            </w:r>
          </w:p>
        </w:tc>
        <w:tc>
          <w:tcPr>
            <w:tcW w:w="247" w:type="pct"/>
            <w:tcBorders>
              <w:top w:val="nil"/>
              <w:left w:val="nil"/>
              <w:bottom w:val="single" w:sz="4" w:space="0" w:color="auto"/>
              <w:right w:val="nil"/>
            </w:tcBorders>
            <w:shd w:val="clear" w:color="000000" w:fill="FFFFFF"/>
            <w:vAlign w:val="center"/>
            <w:hideMark/>
          </w:tcPr>
          <w:p w14:paraId="3FE3AC5D" w14:textId="3F280ADE"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Përgatitja e </w:t>
            </w:r>
            <w:r w:rsidR="003110EB" w:rsidRPr="001F0C5A">
              <w:rPr>
                <w:rFonts w:ascii="Garamond" w:eastAsia="Times New Roman" w:hAnsi="Garamond" w:cs="Times New Roman"/>
                <w:color w:val="000000"/>
                <w:sz w:val="6"/>
                <w:szCs w:val="6"/>
                <w:lang w:val="sq-AL"/>
              </w:rPr>
              <w:t xml:space="preserve">udhëzuesit të hetimit dhe menaxhimit </w:t>
            </w:r>
            <w:r w:rsidRPr="001F0C5A">
              <w:rPr>
                <w:rFonts w:ascii="Garamond" w:eastAsia="Times New Roman" w:hAnsi="Garamond" w:cs="Times New Roman"/>
                <w:color w:val="000000"/>
                <w:sz w:val="6"/>
                <w:szCs w:val="6"/>
                <w:lang w:val="sq-AL"/>
              </w:rPr>
              <w:t>të ngjarjeve jo të zakonshme shëndetësore dhe shpërthimeve epidemike ndërkufitare</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1C5831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7E6E9F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ISHP</w:t>
            </w:r>
          </w:p>
        </w:tc>
        <w:tc>
          <w:tcPr>
            <w:tcW w:w="680" w:type="pct"/>
            <w:tcBorders>
              <w:top w:val="nil"/>
              <w:left w:val="nil"/>
              <w:bottom w:val="single" w:sz="4" w:space="0" w:color="auto"/>
              <w:right w:val="single" w:sz="4" w:space="0" w:color="auto"/>
            </w:tcBorders>
            <w:shd w:val="clear" w:color="000000" w:fill="FFFFFF"/>
            <w:vAlign w:val="center"/>
            <w:hideMark/>
          </w:tcPr>
          <w:p w14:paraId="74ED12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MSHMS/ISHSH/OSHKSH/MBZHR/MB/PSH</w:t>
            </w:r>
          </w:p>
        </w:tc>
        <w:tc>
          <w:tcPr>
            <w:tcW w:w="143" w:type="pct"/>
            <w:tcBorders>
              <w:top w:val="nil"/>
              <w:left w:val="nil"/>
              <w:bottom w:val="single" w:sz="4" w:space="0" w:color="auto"/>
              <w:right w:val="single" w:sz="4" w:space="0" w:color="auto"/>
            </w:tcBorders>
            <w:shd w:val="clear" w:color="000000" w:fill="FFFFFF"/>
            <w:vAlign w:val="center"/>
            <w:hideMark/>
          </w:tcPr>
          <w:p w14:paraId="45FB512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566382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D847C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360,000</w:t>
            </w:r>
          </w:p>
        </w:tc>
        <w:tc>
          <w:tcPr>
            <w:tcW w:w="181" w:type="pct"/>
            <w:tcBorders>
              <w:top w:val="nil"/>
              <w:left w:val="nil"/>
              <w:bottom w:val="single" w:sz="4" w:space="0" w:color="auto"/>
              <w:right w:val="single" w:sz="4" w:space="0" w:color="auto"/>
            </w:tcBorders>
            <w:shd w:val="clear" w:color="000000" w:fill="FFFFFF"/>
            <w:vAlign w:val="center"/>
            <w:hideMark/>
          </w:tcPr>
          <w:p w14:paraId="6E9C55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E7DDF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360,000</w:t>
            </w:r>
          </w:p>
        </w:tc>
        <w:tc>
          <w:tcPr>
            <w:tcW w:w="196" w:type="pct"/>
            <w:tcBorders>
              <w:top w:val="nil"/>
              <w:left w:val="nil"/>
              <w:bottom w:val="single" w:sz="4" w:space="0" w:color="auto"/>
              <w:right w:val="single" w:sz="4" w:space="0" w:color="auto"/>
            </w:tcBorders>
            <w:shd w:val="clear" w:color="000000" w:fill="FFFFFF"/>
            <w:vAlign w:val="center"/>
            <w:hideMark/>
          </w:tcPr>
          <w:p w14:paraId="3DF0ED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720,000</w:t>
            </w:r>
          </w:p>
        </w:tc>
        <w:tc>
          <w:tcPr>
            <w:tcW w:w="196" w:type="pct"/>
            <w:tcBorders>
              <w:top w:val="nil"/>
              <w:left w:val="nil"/>
              <w:bottom w:val="single" w:sz="4" w:space="0" w:color="auto"/>
              <w:right w:val="single" w:sz="4" w:space="0" w:color="auto"/>
            </w:tcBorders>
            <w:shd w:val="clear" w:color="000000" w:fill="FFFFFF"/>
            <w:vAlign w:val="center"/>
            <w:hideMark/>
          </w:tcPr>
          <w:p w14:paraId="5EDFBA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811D2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720,000</w:t>
            </w:r>
          </w:p>
        </w:tc>
        <w:tc>
          <w:tcPr>
            <w:tcW w:w="196" w:type="pct"/>
            <w:tcBorders>
              <w:top w:val="nil"/>
              <w:left w:val="nil"/>
              <w:bottom w:val="single" w:sz="4" w:space="0" w:color="auto"/>
              <w:right w:val="single" w:sz="4" w:space="0" w:color="auto"/>
            </w:tcBorders>
            <w:shd w:val="clear" w:color="000000" w:fill="FFFFFF"/>
            <w:vAlign w:val="center"/>
            <w:hideMark/>
          </w:tcPr>
          <w:p w14:paraId="6ED227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1,080,000</w:t>
            </w:r>
          </w:p>
        </w:tc>
        <w:tc>
          <w:tcPr>
            <w:tcW w:w="196" w:type="pct"/>
            <w:tcBorders>
              <w:top w:val="nil"/>
              <w:left w:val="nil"/>
              <w:bottom w:val="single" w:sz="4" w:space="0" w:color="auto"/>
              <w:right w:val="single" w:sz="4" w:space="0" w:color="auto"/>
            </w:tcBorders>
            <w:shd w:val="clear" w:color="000000" w:fill="FFFFFF"/>
            <w:vAlign w:val="center"/>
            <w:hideMark/>
          </w:tcPr>
          <w:p w14:paraId="0F533E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78B57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1,080,000</w:t>
            </w:r>
          </w:p>
        </w:tc>
        <w:tc>
          <w:tcPr>
            <w:tcW w:w="196" w:type="pct"/>
            <w:tcBorders>
              <w:top w:val="nil"/>
              <w:left w:val="nil"/>
              <w:bottom w:val="single" w:sz="4" w:space="0" w:color="auto"/>
              <w:right w:val="single" w:sz="4" w:space="0" w:color="auto"/>
            </w:tcBorders>
            <w:shd w:val="clear" w:color="000000" w:fill="FFFFFF"/>
            <w:vAlign w:val="center"/>
            <w:hideMark/>
          </w:tcPr>
          <w:p w14:paraId="07B2AA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w:t>
            </w:r>
          </w:p>
        </w:tc>
        <w:tc>
          <w:tcPr>
            <w:tcW w:w="181" w:type="pct"/>
            <w:tcBorders>
              <w:top w:val="nil"/>
              <w:left w:val="nil"/>
              <w:bottom w:val="single" w:sz="4" w:space="0" w:color="auto"/>
              <w:right w:val="single" w:sz="4" w:space="0" w:color="auto"/>
            </w:tcBorders>
            <w:shd w:val="clear" w:color="000000" w:fill="FFFFFF"/>
            <w:vAlign w:val="center"/>
            <w:hideMark/>
          </w:tcPr>
          <w:p w14:paraId="6C47E3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CE36A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w:t>
            </w:r>
          </w:p>
        </w:tc>
        <w:tc>
          <w:tcPr>
            <w:tcW w:w="170" w:type="pct"/>
            <w:tcBorders>
              <w:top w:val="nil"/>
              <w:left w:val="nil"/>
              <w:bottom w:val="single" w:sz="4" w:space="0" w:color="auto"/>
              <w:right w:val="single" w:sz="4" w:space="0" w:color="auto"/>
            </w:tcBorders>
            <w:shd w:val="clear" w:color="000000" w:fill="FFFFFF"/>
            <w:vAlign w:val="center"/>
            <w:hideMark/>
          </w:tcPr>
          <w:p w14:paraId="5B8BB7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A129D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735CF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67697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EAE6C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r>
      <w:tr w:rsidR="006B6F84" w:rsidRPr="001F0C5A" w14:paraId="42AC5A1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042B3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4.6.2</w:t>
            </w:r>
          </w:p>
        </w:tc>
        <w:tc>
          <w:tcPr>
            <w:tcW w:w="247" w:type="pct"/>
            <w:tcBorders>
              <w:top w:val="nil"/>
              <w:left w:val="nil"/>
              <w:bottom w:val="single" w:sz="4" w:space="0" w:color="auto"/>
              <w:right w:val="nil"/>
            </w:tcBorders>
            <w:shd w:val="clear" w:color="000000" w:fill="FFFFFF"/>
            <w:vAlign w:val="center"/>
            <w:hideMark/>
          </w:tcPr>
          <w:p w14:paraId="59DF6FF3" w14:textId="0E6CF230"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Testimi i </w:t>
            </w:r>
            <w:r w:rsidR="003110EB" w:rsidRPr="001F0C5A">
              <w:rPr>
                <w:rFonts w:ascii="Garamond" w:eastAsia="Times New Roman" w:hAnsi="Garamond" w:cs="Times New Roman"/>
                <w:color w:val="000000"/>
                <w:sz w:val="6"/>
                <w:szCs w:val="6"/>
                <w:lang w:val="sq-AL"/>
              </w:rPr>
              <w:t>udhëzuesit të hetimit dhe menaxhimit të ngjarjeve</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6BD6B1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2663FE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ISHP</w:t>
            </w:r>
          </w:p>
        </w:tc>
        <w:tc>
          <w:tcPr>
            <w:tcW w:w="680" w:type="pct"/>
            <w:tcBorders>
              <w:top w:val="nil"/>
              <w:left w:val="nil"/>
              <w:bottom w:val="single" w:sz="4" w:space="0" w:color="auto"/>
              <w:right w:val="single" w:sz="4" w:space="0" w:color="auto"/>
            </w:tcBorders>
            <w:shd w:val="clear" w:color="000000" w:fill="FFFFFF"/>
            <w:vAlign w:val="center"/>
            <w:hideMark/>
          </w:tcPr>
          <w:p w14:paraId="6515F3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ISHSH/OSHKSH/PSH</w:t>
            </w:r>
          </w:p>
        </w:tc>
        <w:tc>
          <w:tcPr>
            <w:tcW w:w="143" w:type="pct"/>
            <w:tcBorders>
              <w:top w:val="nil"/>
              <w:left w:val="nil"/>
              <w:bottom w:val="single" w:sz="4" w:space="0" w:color="auto"/>
              <w:right w:val="single" w:sz="4" w:space="0" w:color="auto"/>
            </w:tcBorders>
            <w:shd w:val="clear" w:color="000000" w:fill="FFFFFF"/>
            <w:vAlign w:val="center"/>
            <w:hideMark/>
          </w:tcPr>
          <w:p w14:paraId="161BA64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FFFFFF"/>
            <w:vAlign w:val="center"/>
            <w:hideMark/>
          </w:tcPr>
          <w:p w14:paraId="3DC7B5D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19883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2F00F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E871F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D497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358,000</w:t>
            </w:r>
          </w:p>
        </w:tc>
        <w:tc>
          <w:tcPr>
            <w:tcW w:w="196" w:type="pct"/>
            <w:tcBorders>
              <w:top w:val="nil"/>
              <w:left w:val="nil"/>
              <w:bottom w:val="single" w:sz="4" w:space="0" w:color="auto"/>
              <w:right w:val="single" w:sz="4" w:space="0" w:color="auto"/>
            </w:tcBorders>
            <w:shd w:val="clear" w:color="000000" w:fill="FFFFFF"/>
            <w:vAlign w:val="center"/>
            <w:hideMark/>
          </w:tcPr>
          <w:p w14:paraId="26C26F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3CED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358,000</w:t>
            </w:r>
          </w:p>
        </w:tc>
        <w:tc>
          <w:tcPr>
            <w:tcW w:w="196" w:type="pct"/>
            <w:tcBorders>
              <w:top w:val="nil"/>
              <w:left w:val="nil"/>
              <w:bottom w:val="single" w:sz="4" w:space="0" w:color="auto"/>
              <w:right w:val="single" w:sz="4" w:space="0" w:color="auto"/>
            </w:tcBorders>
            <w:shd w:val="clear" w:color="000000" w:fill="FFFFFF"/>
            <w:vAlign w:val="center"/>
            <w:hideMark/>
          </w:tcPr>
          <w:p w14:paraId="187F6D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358,000</w:t>
            </w:r>
          </w:p>
        </w:tc>
        <w:tc>
          <w:tcPr>
            <w:tcW w:w="196" w:type="pct"/>
            <w:tcBorders>
              <w:top w:val="nil"/>
              <w:left w:val="nil"/>
              <w:bottom w:val="single" w:sz="4" w:space="0" w:color="auto"/>
              <w:right w:val="single" w:sz="4" w:space="0" w:color="auto"/>
            </w:tcBorders>
            <w:shd w:val="clear" w:color="000000" w:fill="FFFFFF"/>
            <w:vAlign w:val="center"/>
            <w:hideMark/>
          </w:tcPr>
          <w:p w14:paraId="6B9191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A80C8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358,000</w:t>
            </w:r>
          </w:p>
        </w:tc>
        <w:tc>
          <w:tcPr>
            <w:tcW w:w="196" w:type="pct"/>
            <w:tcBorders>
              <w:top w:val="nil"/>
              <w:left w:val="nil"/>
              <w:bottom w:val="single" w:sz="4" w:space="0" w:color="auto"/>
              <w:right w:val="single" w:sz="4" w:space="0" w:color="auto"/>
            </w:tcBorders>
            <w:shd w:val="clear" w:color="000000" w:fill="FFFFFF"/>
            <w:vAlign w:val="center"/>
            <w:hideMark/>
          </w:tcPr>
          <w:p w14:paraId="49A86F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288,000</w:t>
            </w:r>
          </w:p>
        </w:tc>
        <w:tc>
          <w:tcPr>
            <w:tcW w:w="181" w:type="pct"/>
            <w:tcBorders>
              <w:top w:val="nil"/>
              <w:left w:val="nil"/>
              <w:bottom w:val="single" w:sz="4" w:space="0" w:color="auto"/>
              <w:right w:val="single" w:sz="4" w:space="0" w:color="auto"/>
            </w:tcBorders>
            <w:shd w:val="clear" w:color="000000" w:fill="FFFFFF"/>
            <w:vAlign w:val="center"/>
            <w:hideMark/>
          </w:tcPr>
          <w:p w14:paraId="5DC99D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AADD1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288,000</w:t>
            </w:r>
          </w:p>
        </w:tc>
        <w:tc>
          <w:tcPr>
            <w:tcW w:w="170" w:type="pct"/>
            <w:tcBorders>
              <w:top w:val="nil"/>
              <w:left w:val="nil"/>
              <w:bottom w:val="single" w:sz="4" w:space="0" w:color="auto"/>
              <w:right w:val="single" w:sz="4" w:space="0" w:color="auto"/>
            </w:tcBorders>
            <w:shd w:val="clear" w:color="000000" w:fill="FFFFFF"/>
            <w:vAlign w:val="center"/>
            <w:hideMark/>
          </w:tcPr>
          <w:p w14:paraId="1958C2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D1C6A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635E8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D1466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2B41C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70,000</w:t>
            </w:r>
          </w:p>
        </w:tc>
      </w:tr>
      <w:tr w:rsidR="006B6F84" w:rsidRPr="001F0C5A" w14:paraId="2ADEF0BB"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90980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4.6.3</w:t>
            </w:r>
          </w:p>
        </w:tc>
        <w:tc>
          <w:tcPr>
            <w:tcW w:w="247" w:type="pct"/>
            <w:tcBorders>
              <w:top w:val="nil"/>
              <w:left w:val="nil"/>
              <w:bottom w:val="single" w:sz="4" w:space="0" w:color="auto"/>
              <w:right w:val="nil"/>
            </w:tcBorders>
            <w:shd w:val="clear" w:color="000000" w:fill="FFFFFF"/>
            <w:vAlign w:val="center"/>
            <w:hideMark/>
          </w:tcPr>
          <w:p w14:paraId="2C9914AE" w14:textId="176ACCB1"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Informimi i strukturave përkatëse ndërkufitare mbi përditësimin e listës së sëmundjeve sipas vendeve përkatëse, që kërkojnë vaksinim të detyrueshëm dhe nga mund të udhëtojnë udhëtarët, si dhe rregullat për identifikimin e </w:t>
            </w:r>
            <w:r w:rsidR="003110EB" w:rsidRPr="001F0C5A">
              <w:rPr>
                <w:rFonts w:ascii="Garamond" w:eastAsia="Times New Roman" w:hAnsi="Garamond" w:cs="Times New Roman"/>
                <w:color w:val="000000"/>
                <w:sz w:val="6"/>
                <w:szCs w:val="6"/>
                <w:lang w:val="sq-AL"/>
              </w:rPr>
              <w:t>certifikatës</w:t>
            </w:r>
            <w:r w:rsidRPr="001F0C5A">
              <w:rPr>
                <w:rFonts w:ascii="Garamond" w:eastAsia="Times New Roman" w:hAnsi="Garamond" w:cs="Times New Roman"/>
                <w:color w:val="000000"/>
                <w:sz w:val="6"/>
                <w:szCs w:val="6"/>
                <w:lang w:val="sq-AL"/>
              </w:rPr>
              <w:t xml:space="preserve"> ndërkombëtare të vaksinimit</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07BB2F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3324B3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ISHP</w:t>
            </w:r>
          </w:p>
        </w:tc>
        <w:tc>
          <w:tcPr>
            <w:tcW w:w="680" w:type="pct"/>
            <w:tcBorders>
              <w:top w:val="nil"/>
              <w:left w:val="nil"/>
              <w:bottom w:val="single" w:sz="4" w:space="0" w:color="auto"/>
              <w:right w:val="single" w:sz="4" w:space="0" w:color="auto"/>
            </w:tcBorders>
            <w:shd w:val="clear" w:color="000000" w:fill="FFFFFF"/>
            <w:vAlign w:val="center"/>
            <w:hideMark/>
          </w:tcPr>
          <w:p w14:paraId="220AA0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ISHSH/OSHKSH/PSH</w:t>
            </w:r>
          </w:p>
        </w:tc>
        <w:tc>
          <w:tcPr>
            <w:tcW w:w="143" w:type="pct"/>
            <w:tcBorders>
              <w:top w:val="nil"/>
              <w:left w:val="nil"/>
              <w:bottom w:val="single" w:sz="4" w:space="0" w:color="auto"/>
              <w:right w:val="single" w:sz="4" w:space="0" w:color="auto"/>
            </w:tcBorders>
            <w:shd w:val="clear" w:color="000000" w:fill="FFFFFF"/>
            <w:vAlign w:val="center"/>
            <w:hideMark/>
          </w:tcPr>
          <w:p w14:paraId="0CCD056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055480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2B978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166,400</w:t>
            </w:r>
          </w:p>
        </w:tc>
        <w:tc>
          <w:tcPr>
            <w:tcW w:w="181" w:type="pct"/>
            <w:tcBorders>
              <w:top w:val="nil"/>
              <w:left w:val="nil"/>
              <w:bottom w:val="single" w:sz="4" w:space="0" w:color="auto"/>
              <w:right w:val="single" w:sz="4" w:space="0" w:color="auto"/>
            </w:tcBorders>
            <w:shd w:val="clear" w:color="000000" w:fill="FFFFFF"/>
            <w:vAlign w:val="center"/>
            <w:hideMark/>
          </w:tcPr>
          <w:p w14:paraId="30559F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E3BA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166,400</w:t>
            </w:r>
          </w:p>
        </w:tc>
        <w:tc>
          <w:tcPr>
            <w:tcW w:w="196" w:type="pct"/>
            <w:tcBorders>
              <w:top w:val="nil"/>
              <w:left w:val="nil"/>
              <w:bottom w:val="single" w:sz="4" w:space="0" w:color="auto"/>
              <w:right w:val="single" w:sz="4" w:space="0" w:color="auto"/>
            </w:tcBorders>
            <w:shd w:val="clear" w:color="000000" w:fill="FFFFFF"/>
            <w:vAlign w:val="center"/>
            <w:hideMark/>
          </w:tcPr>
          <w:p w14:paraId="3E8153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166,400</w:t>
            </w:r>
          </w:p>
        </w:tc>
        <w:tc>
          <w:tcPr>
            <w:tcW w:w="196" w:type="pct"/>
            <w:tcBorders>
              <w:top w:val="nil"/>
              <w:left w:val="nil"/>
              <w:bottom w:val="single" w:sz="4" w:space="0" w:color="auto"/>
              <w:right w:val="single" w:sz="4" w:space="0" w:color="auto"/>
            </w:tcBorders>
            <w:shd w:val="clear" w:color="000000" w:fill="FFFFFF"/>
            <w:vAlign w:val="center"/>
            <w:hideMark/>
          </w:tcPr>
          <w:p w14:paraId="025B6B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848D7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166,400</w:t>
            </w:r>
          </w:p>
        </w:tc>
        <w:tc>
          <w:tcPr>
            <w:tcW w:w="196" w:type="pct"/>
            <w:tcBorders>
              <w:top w:val="nil"/>
              <w:left w:val="nil"/>
              <w:bottom w:val="single" w:sz="4" w:space="0" w:color="auto"/>
              <w:right w:val="single" w:sz="4" w:space="0" w:color="auto"/>
            </w:tcBorders>
            <w:shd w:val="clear" w:color="000000" w:fill="FFFFFF"/>
            <w:vAlign w:val="center"/>
            <w:hideMark/>
          </w:tcPr>
          <w:p w14:paraId="6D6F6A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332,800</w:t>
            </w:r>
          </w:p>
        </w:tc>
        <w:tc>
          <w:tcPr>
            <w:tcW w:w="196" w:type="pct"/>
            <w:tcBorders>
              <w:top w:val="nil"/>
              <w:left w:val="nil"/>
              <w:bottom w:val="single" w:sz="4" w:space="0" w:color="auto"/>
              <w:right w:val="single" w:sz="4" w:space="0" w:color="auto"/>
            </w:tcBorders>
            <w:shd w:val="clear" w:color="000000" w:fill="FFFFFF"/>
            <w:vAlign w:val="center"/>
            <w:hideMark/>
          </w:tcPr>
          <w:p w14:paraId="666285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A479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332,800</w:t>
            </w:r>
          </w:p>
        </w:tc>
        <w:tc>
          <w:tcPr>
            <w:tcW w:w="196" w:type="pct"/>
            <w:tcBorders>
              <w:top w:val="nil"/>
              <w:left w:val="nil"/>
              <w:bottom w:val="single" w:sz="4" w:space="0" w:color="auto"/>
              <w:right w:val="single" w:sz="4" w:space="0" w:color="auto"/>
            </w:tcBorders>
            <w:shd w:val="clear" w:color="000000" w:fill="FFFFFF"/>
            <w:vAlign w:val="center"/>
            <w:hideMark/>
          </w:tcPr>
          <w:p w14:paraId="7CDF1F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332,800</w:t>
            </w:r>
          </w:p>
        </w:tc>
        <w:tc>
          <w:tcPr>
            <w:tcW w:w="181" w:type="pct"/>
            <w:tcBorders>
              <w:top w:val="nil"/>
              <w:left w:val="nil"/>
              <w:bottom w:val="single" w:sz="4" w:space="0" w:color="auto"/>
              <w:right w:val="single" w:sz="4" w:space="0" w:color="auto"/>
            </w:tcBorders>
            <w:shd w:val="clear" w:color="000000" w:fill="FFFFFF"/>
            <w:vAlign w:val="center"/>
            <w:hideMark/>
          </w:tcPr>
          <w:p w14:paraId="16D2E0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EDD6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332,800</w:t>
            </w:r>
          </w:p>
        </w:tc>
        <w:tc>
          <w:tcPr>
            <w:tcW w:w="170" w:type="pct"/>
            <w:tcBorders>
              <w:top w:val="nil"/>
              <w:left w:val="nil"/>
              <w:bottom w:val="single" w:sz="4" w:space="0" w:color="auto"/>
              <w:right w:val="single" w:sz="4" w:space="0" w:color="auto"/>
            </w:tcBorders>
            <w:shd w:val="clear" w:color="000000" w:fill="FFFFFF"/>
            <w:vAlign w:val="center"/>
            <w:hideMark/>
          </w:tcPr>
          <w:p w14:paraId="695C8E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ECC38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BA445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818E1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D9226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1D1E22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5C5FE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4.6.4</w:t>
            </w:r>
          </w:p>
        </w:tc>
        <w:tc>
          <w:tcPr>
            <w:tcW w:w="247" w:type="pct"/>
            <w:tcBorders>
              <w:top w:val="nil"/>
              <w:left w:val="nil"/>
              <w:bottom w:val="single" w:sz="4" w:space="0" w:color="auto"/>
              <w:right w:val="nil"/>
            </w:tcBorders>
            <w:shd w:val="clear" w:color="000000" w:fill="FFFFFF"/>
            <w:vAlign w:val="center"/>
            <w:hideMark/>
          </w:tcPr>
          <w:p w14:paraId="57B46EFE" w14:textId="202841B5"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Hartimi i </w:t>
            </w:r>
            <w:r w:rsidR="003110EB" w:rsidRPr="001F0C5A">
              <w:rPr>
                <w:rFonts w:ascii="Garamond" w:eastAsia="Times New Roman" w:hAnsi="Garamond" w:cs="Times New Roman"/>
                <w:color w:val="000000"/>
                <w:sz w:val="6"/>
                <w:szCs w:val="6"/>
                <w:lang w:val="sq-AL"/>
              </w:rPr>
              <w:t xml:space="preserve">udhëzimit </w:t>
            </w:r>
            <w:r w:rsidRPr="001F0C5A">
              <w:rPr>
                <w:rFonts w:ascii="Garamond" w:eastAsia="Times New Roman" w:hAnsi="Garamond" w:cs="Times New Roman"/>
                <w:color w:val="000000"/>
                <w:sz w:val="6"/>
                <w:szCs w:val="6"/>
                <w:lang w:val="sq-AL"/>
              </w:rPr>
              <w:t xml:space="preserve">të zbatimit të Rregullores Ndërkombëtare të Shëndetit në strukturat ndërkufitare </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4012E9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30829AD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ISHP</w:t>
            </w:r>
          </w:p>
        </w:tc>
        <w:tc>
          <w:tcPr>
            <w:tcW w:w="680" w:type="pct"/>
            <w:tcBorders>
              <w:top w:val="nil"/>
              <w:left w:val="nil"/>
              <w:bottom w:val="single" w:sz="4" w:space="0" w:color="auto"/>
              <w:right w:val="single" w:sz="4" w:space="0" w:color="auto"/>
            </w:tcBorders>
            <w:shd w:val="clear" w:color="000000" w:fill="FFFFFF"/>
            <w:vAlign w:val="center"/>
            <w:hideMark/>
          </w:tcPr>
          <w:p w14:paraId="1D7A25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MSHMS/ISHSH/OSHKSH/PSH</w:t>
            </w:r>
          </w:p>
        </w:tc>
        <w:tc>
          <w:tcPr>
            <w:tcW w:w="143" w:type="pct"/>
            <w:tcBorders>
              <w:top w:val="nil"/>
              <w:left w:val="nil"/>
              <w:bottom w:val="single" w:sz="4" w:space="0" w:color="auto"/>
              <w:right w:val="single" w:sz="4" w:space="0" w:color="auto"/>
            </w:tcBorders>
            <w:shd w:val="clear" w:color="000000" w:fill="FFFFFF"/>
            <w:vAlign w:val="center"/>
            <w:hideMark/>
          </w:tcPr>
          <w:p w14:paraId="72028C4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6CD0E4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3A9D5D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360,000</w:t>
            </w:r>
          </w:p>
        </w:tc>
        <w:tc>
          <w:tcPr>
            <w:tcW w:w="181" w:type="pct"/>
            <w:tcBorders>
              <w:top w:val="nil"/>
              <w:left w:val="nil"/>
              <w:bottom w:val="single" w:sz="4" w:space="0" w:color="auto"/>
              <w:right w:val="single" w:sz="4" w:space="0" w:color="auto"/>
            </w:tcBorders>
            <w:shd w:val="clear" w:color="000000" w:fill="FFFFFF"/>
            <w:vAlign w:val="center"/>
            <w:hideMark/>
          </w:tcPr>
          <w:p w14:paraId="057E8D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2FBB8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360,000</w:t>
            </w:r>
          </w:p>
        </w:tc>
        <w:tc>
          <w:tcPr>
            <w:tcW w:w="196" w:type="pct"/>
            <w:tcBorders>
              <w:top w:val="nil"/>
              <w:left w:val="nil"/>
              <w:bottom w:val="single" w:sz="4" w:space="0" w:color="auto"/>
              <w:right w:val="single" w:sz="4" w:space="0" w:color="auto"/>
            </w:tcBorders>
            <w:shd w:val="clear" w:color="000000" w:fill="FFFFFF"/>
            <w:vAlign w:val="center"/>
            <w:hideMark/>
          </w:tcPr>
          <w:p w14:paraId="6DDEA10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10,800,000</w:t>
            </w:r>
          </w:p>
        </w:tc>
        <w:tc>
          <w:tcPr>
            <w:tcW w:w="196" w:type="pct"/>
            <w:tcBorders>
              <w:top w:val="nil"/>
              <w:left w:val="nil"/>
              <w:bottom w:val="single" w:sz="4" w:space="0" w:color="auto"/>
              <w:right w:val="single" w:sz="4" w:space="0" w:color="auto"/>
            </w:tcBorders>
            <w:shd w:val="clear" w:color="000000" w:fill="FFFFFF"/>
            <w:vAlign w:val="center"/>
            <w:hideMark/>
          </w:tcPr>
          <w:p w14:paraId="10D3B6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4FFA3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10,800,000</w:t>
            </w:r>
          </w:p>
        </w:tc>
        <w:tc>
          <w:tcPr>
            <w:tcW w:w="196" w:type="pct"/>
            <w:tcBorders>
              <w:top w:val="nil"/>
              <w:left w:val="nil"/>
              <w:bottom w:val="single" w:sz="4" w:space="0" w:color="auto"/>
              <w:right w:val="single" w:sz="4" w:space="0" w:color="auto"/>
            </w:tcBorders>
            <w:shd w:val="clear" w:color="000000" w:fill="FFFFFF"/>
            <w:vAlign w:val="center"/>
            <w:hideMark/>
          </w:tcPr>
          <w:p w14:paraId="7E2A7B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11,160,000</w:t>
            </w:r>
          </w:p>
        </w:tc>
        <w:tc>
          <w:tcPr>
            <w:tcW w:w="196" w:type="pct"/>
            <w:tcBorders>
              <w:top w:val="nil"/>
              <w:left w:val="nil"/>
              <w:bottom w:val="single" w:sz="4" w:space="0" w:color="auto"/>
              <w:right w:val="single" w:sz="4" w:space="0" w:color="auto"/>
            </w:tcBorders>
            <w:shd w:val="clear" w:color="000000" w:fill="FFFFFF"/>
            <w:vAlign w:val="center"/>
            <w:hideMark/>
          </w:tcPr>
          <w:p w14:paraId="3ECFD1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5A922D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11,160,000</w:t>
            </w:r>
          </w:p>
        </w:tc>
        <w:tc>
          <w:tcPr>
            <w:tcW w:w="196" w:type="pct"/>
            <w:tcBorders>
              <w:top w:val="nil"/>
              <w:left w:val="nil"/>
              <w:bottom w:val="single" w:sz="4" w:space="0" w:color="auto"/>
              <w:right w:val="single" w:sz="4" w:space="0" w:color="auto"/>
            </w:tcBorders>
            <w:shd w:val="clear" w:color="000000" w:fill="FFFFFF"/>
            <w:vAlign w:val="center"/>
            <w:hideMark/>
          </w:tcPr>
          <w:p w14:paraId="04AB66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10,360,000</w:t>
            </w:r>
          </w:p>
        </w:tc>
        <w:tc>
          <w:tcPr>
            <w:tcW w:w="181" w:type="pct"/>
            <w:tcBorders>
              <w:top w:val="nil"/>
              <w:left w:val="nil"/>
              <w:bottom w:val="single" w:sz="4" w:space="0" w:color="auto"/>
              <w:right w:val="single" w:sz="4" w:space="0" w:color="auto"/>
            </w:tcBorders>
            <w:shd w:val="clear" w:color="000000" w:fill="FFFFFF"/>
            <w:vAlign w:val="center"/>
            <w:hideMark/>
          </w:tcPr>
          <w:p w14:paraId="3E7FA4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1D6EC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10,360,000</w:t>
            </w:r>
          </w:p>
        </w:tc>
        <w:tc>
          <w:tcPr>
            <w:tcW w:w="170" w:type="pct"/>
            <w:tcBorders>
              <w:top w:val="nil"/>
              <w:left w:val="nil"/>
              <w:bottom w:val="single" w:sz="4" w:space="0" w:color="auto"/>
              <w:right w:val="single" w:sz="4" w:space="0" w:color="auto"/>
            </w:tcBorders>
            <w:shd w:val="clear" w:color="000000" w:fill="FFFFFF"/>
            <w:vAlign w:val="center"/>
            <w:hideMark/>
          </w:tcPr>
          <w:p w14:paraId="6D3F1C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93F891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57ACA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2B5F6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9CE7E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r>
      <w:tr w:rsidR="006B6F84" w:rsidRPr="001F0C5A" w14:paraId="136694F1"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BDE4A3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4.7</w:t>
            </w:r>
          </w:p>
        </w:tc>
        <w:tc>
          <w:tcPr>
            <w:tcW w:w="247" w:type="pct"/>
            <w:tcBorders>
              <w:top w:val="nil"/>
              <w:left w:val="nil"/>
              <w:bottom w:val="single" w:sz="4" w:space="0" w:color="auto"/>
              <w:right w:val="single" w:sz="4" w:space="0" w:color="auto"/>
            </w:tcBorders>
            <w:shd w:val="clear" w:color="000000" w:fill="FFFFFF"/>
            <w:vAlign w:val="center"/>
            <w:hideMark/>
          </w:tcPr>
          <w:p w14:paraId="39D0E0B0" w14:textId="7624AD44"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Trajnime të personelit të </w:t>
            </w:r>
            <w:r w:rsidR="003110EB" w:rsidRPr="001F0C5A">
              <w:rPr>
                <w:rFonts w:ascii="Garamond" w:eastAsia="Times New Roman" w:hAnsi="Garamond" w:cs="Times New Roman"/>
                <w:b/>
                <w:bCs/>
                <w:color w:val="000000"/>
                <w:sz w:val="6"/>
                <w:szCs w:val="6"/>
                <w:lang w:val="sq-AL"/>
              </w:rPr>
              <w:t xml:space="preserve">agjencive </w:t>
            </w:r>
            <w:r w:rsidRPr="001F0C5A">
              <w:rPr>
                <w:rFonts w:ascii="Garamond" w:eastAsia="Times New Roman" w:hAnsi="Garamond" w:cs="Times New Roman"/>
                <w:b/>
                <w:bCs/>
                <w:color w:val="000000"/>
                <w:sz w:val="6"/>
                <w:szCs w:val="6"/>
                <w:lang w:val="sq-AL"/>
              </w:rPr>
              <w:t>që ushtrojnë veprimtarinë e tyre në PKK lidhur me gjurmimin dhe metodat e identifikimit të pasurive kulturore</w:t>
            </w:r>
          </w:p>
        </w:tc>
        <w:tc>
          <w:tcPr>
            <w:tcW w:w="211" w:type="pct"/>
            <w:tcBorders>
              <w:top w:val="nil"/>
              <w:left w:val="nil"/>
              <w:bottom w:val="single" w:sz="4" w:space="0" w:color="auto"/>
              <w:right w:val="single" w:sz="4" w:space="0" w:color="auto"/>
            </w:tcBorders>
            <w:shd w:val="clear" w:color="000000" w:fill="FFFFFF"/>
            <w:vAlign w:val="center"/>
            <w:hideMark/>
          </w:tcPr>
          <w:p w14:paraId="1D48A4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91202AB</w:t>
            </w:r>
          </w:p>
        </w:tc>
        <w:tc>
          <w:tcPr>
            <w:tcW w:w="202" w:type="pct"/>
            <w:tcBorders>
              <w:top w:val="nil"/>
              <w:left w:val="nil"/>
              <w:bottom w:val="single" w:sz="4" w:space="0" w:color="auto"/>
              <w:right w:val="single" w:sz="4" w:space="0" w:color="auto"/>
            </w:tcBorders>
            <w:shd w:val="clear" w:color="000000" w:fill="FFFFFF"/>
            <w:noWrap/>
            <w:vAlign w:val="center"/>
            <w:hideMark/>
          </w:tcPr>
          <w:p w14:paraId="06CFC6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MEKI / IKRKT</w:t>
            </w:r>
          </w:p>
        </w:tc>
        <w:tc>
          <w:tcPr>
            <w:tcW w:w="680" w:type="pct"/>
            <w:tcBorders>
              <w:top w:val="nil"/>
              <w:left w:val="nil"/>
              <w:bottom w:val="single" w:sz="4" w:space="0" w:color="auto"/>
              <w:right w:val="single" w:sz="4" w:space="0" w:color="auto"/>
            </w:tcBorders>
            <w:shd w:val="clear" w:color="000000" w:fill="FFFFFF"/>
            <w:vAlign w:val="center"/>
            <w:hideMark/>
          </w:tcPr>
          <w:p w14:paraId="6C11B3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r w:rsidRPr="001F0C5A">
              <w:rPr>
                <w:rFonts w:ascii="Garamond" w:eastAsia="Times New Roman" w:hAnsi="Garamond" w:cs="Times New Roman"/>
                <w:color w:val="000000"/>
                <w:sz w:val="6"/>
                <w:szCs w:val="6"/>
                <w:lang w:val="sq-AL"/>
              </w:rPr>
              <w:br/>
              <w:t>MF/DPD</w:t>
            </w:r>
          </w:p>
        </w:tc>
        <w:tc>
          <w:tcPr>
            <w:tcW w:w="143" w:type="pct"/>
            <w:tcBorders>
              <w:top w:val="nil"/>
              <w:left w:val="nil"/>
              <w:bottom w:val="single" w:sz="4" w:space="0" w:color="auto"/>
              <w:right w:val="single" w:sz="4" w:space="0" w:color="auto"/>
            </w:tcBorders>
            <w:shd w:val="clear" w:color="000000" w:fill="FFFFFF"/>
            <w:vAlign w:val="center"/>
            <w:hideMark/>
          </w:tcPr>
          <w:p w14:paraId="7E3040A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C2DDB8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64BAA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425,000</w:t>
            </w:r>
          </w:p>
        </w:tc>
        <w:tc>
          <w:tcPr>
            <w:tcW w:w="181" w:type="pct"/>
            <w:tcBorders>
              <w:top w:val="nil"/>
              <w:left w:val="nil"/>
              <w:bottom w:val="single" w:sz="4" w:space="0" w:color="auto"/>
              <w:right w:val="single" w:sz="4" w:space="0" w:color="auto"/>
            </w:tcBorders>
            <w:shd w:val="clear" w:color="000000" w:fill="FFFFFF"/>
            <w:vAlign w:val="center"/>
            <w:hideMark/>
          </w:tcPr>
          <w:p w14:paraId="3FCC5B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DEED2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425,000</w:t>
            </w:r>
          </w:p>
        </w:tc>
        <w:tc>
          <w:tcPr>
            <w:tcW w:w="196" w:type="pct"/>
            <w:tcBorders>
              <w:top w:val="nil"/>
              <w:left w:val="nil"/>
              <w:bottom w:val="single" w:sz="4" w:space="0" w:color="auto"/>
              <w:right w:val="single" w:sz="4" w:space="0" w:color="auto"/>
            </w:tcBorders>
            <w:shd w:val="clear" w:color="000000" w:fill="FFFFFF"/>
            <w:vAlign w:val="center"/>
            <w:hideMark/>
          </w:tcPr>
          <w:p w14:paraId="6E0050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455,000</w:t>
            </w:r>
          </w:p>
        </w:tc>
        <w:tc>
          <w:tcPr>
            <w:tcW w:w="196" w:type="pct"/>
            <w:tcBorders>
              <w:top w:val="nil"/>
              <w:left w:val="nil"/>
              <w:bottom w:val="single" w:sz="4" w:space="0" w:color="auto"/>
              <w:right w:val="single" w:sz="4" w:space="0" w:color="auto"/>
            </w:tcBorders>
            <w:shd w:val="clear" w:color="000000" w:fill="FFFFFF"/>
            <w:vAlign w:val="center"/>
            <w:hideMark/>
          </w:tcPr>
          <w:p w14:paraId="1D0BB3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4E699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455,000</w:t>
            </w:r>
          </w:p>
        </w:tc>
        <w:tc>
          <w:tcPr>
            <w:tcW w:w="196" w:type="pct"/>
            <w:tcBorders>
              <w:top w:val="nil"/>
              <w:left w:val="nil"/>
              <w:bottom w:val="single" w:sz="4" w:space="0" w:color="auto"/>
              <w:right w:val="single" w:sz="4" w:space="0" w:color="auto"/>
            </w:tcBorders>
            <w:shd w:val="clear" w:color="000000" w:fill="FFFFFF"/>
            <w:vAlign w:val="center"/>
            <w:hideMark/>
          </w:tcPr>
          <w:p w14:paraId="7D9996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880,000</w:t>
            </w:r>
          </w:p>
        </w:tc>
        <w:tc>
          <w:tcPr>
            <w:tcW w:w="196" w:type="pct"/>
            <w:tcBorders>
              <w:top w:val="nil"/>
              <w:left w:val="nil"/>
              <w:bottom w:val="single" w:sz="4" w:space="0" w:color="auto"/>
              <w:right w:val="single" w:sz="4" w:space="0" w:color="auto"/>
            </w:tcBorders>
            <w:shd w:val="clear" w:color="000000" w:fill="FFFFFF"/>
            <w:vAlign w:val="center"/>
            <w:hideMark/>
          </w:tcPr>
          <w:p w14:paraId="082284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3D3C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880,000</w:t>
            </w:r>
          </w:p>
        </w:tc>
        <w:tc>
          <w:tcPr>
            <w:tcW w:w="196" w:type="pct"/>
            <w:tcBorders>
              <w:top w:val="nil"/>
              <w:left w:val="nil"/>
              <w:bottom w:val="single" w:sz="4" w:space="0" w:color="auto"/>
              <w:right w:val="single" w:sz="4" w:space="0" w:color="auto"/>
            </w:tcBorders>
            <w:shd w:val="clear" w:color="000000" w:fill="FFFFFF"/>
            <w:vAlign w:val="center"/>
            <w:hideMark/>
          </w:tcPr>
          <w:p w14:paraId="5B5459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880,000</w:t>
            </w:r>
          </w:p>
        </w:tc>
        <w:tc>
          <w:tcPr>
            <w:tcW w:w="181" w:type="pct"/>
            <w:tcBorders>
              <w:top w:val="nil"/>
              <w:left w:val="nil"/>
              <w:bottom w:val="single" w:sz="4" w:space="0" w:color="auto"/>
              <w:right w:val="single" w:sz="4" w:space="0" w:color="auto"/>
            </w:tcBorders>
            <w:shd w:val="clear" w:color="000000" w:fill="FFFFFF"/>
            <w:vAlign w:val="center"/>
            <w:hideMark/>
          </w:tcPr>
          <w:p w14:paraId="4DEEE9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18DE8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880,000</w:t>
            </w:r>
          </w:p>
        </w:tc>
        <w:tc>
          <w:tcPr>
            <w:tcW w:w="170" w:type="pct"/>
            <w:tcBorders>
              <w:top w:val="nil"/>
              <w:left w:val="nil"/>
              <w:bottom w:val="single" w:sz="4" w:space="0" w:color="auto"/>
              <w:right w:val="single" w:sz="4" w:space="0" w:color="auto"/>
            </w:tcBorders>
            <w:shd w:val="clear" w:color="000000" w:fill="FFFFFF"/>
            <w:vAlign w:val="center"/>
            <w:hideMark/>
          </w:tcPr>
          <w:p w14:paraId="1C0AFE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CE0C9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69613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66913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80C1A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19150F3"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16C9E1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1EF9CF92" w14:textId="6807AF59"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3110EB">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w:t>
            </w:r>
            <w:r w:rsidR="003110EB" w:rsidRPr="001F0C5A">
              <w:rPr>
                <w:rFonts w:ascii="Garamond" w:eastAsia="Times New Roman" w:hAnsi="Garamond" w:cs="Times New Roman"/>
                <w:b/>
                <w:bCs/>
                <w:color w:val="FF0000"/>
                <w:sz w:val="6"/>
                <w:szCs w:val="6"/>
                <w:lang w:val="sq-AL"/>
              </w:rPr>
              <w:t xml:space="preserve">Objektivi </w:t>
            </w:r>
            <w:r w:rsidRPr="001F0C5A">
              <w:rPr>
                <w:rFonts w:ascii="Garamond" w:eastAsia="Times New Roman" w:hAnsi="Garamond" w:cs="Times New Roman"/>
                <w:b/>
                <w:bCs/>
                <w:color w:val="FF0000"/>
                <w:sz w:val="6"/>
                <w:szCs w:val="6"/>
                <w:lang w:val="sq-AL"/>
              </w:rPr>
              <w:t>specifik 4</w:t>
            </w:r>
          </w:p>
        </w:tc>
        <w:tc>
          <w:tcPr>
            <w:tcW w:w="211" w:type="pct"/>
            <w:tcBorders>
              <w:top w:val="nil"/>
              <w:left w:val="nil"/>
              <w:bottom w:val="single" w:sz="4" w:space="0" w:color="auto"/>
              <w:right w:val="single" w:sz="4" w:space="0" w:color="auto"/>
            </w:tcBorders>
            <w:shd w:val="clear" w:color="000000" w:fill="D9D9D9"/>
            <w:vAlign w:val="center"/>
            <w:hideMark/>
          </w:tcPr>
          <w:p w14:paraId="709CC72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4990854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4855962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166D900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043B828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7A0A9BE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6,103,533</w:t>
            </w:r>
          </w:p>
        </w:tc>
        <w:tc>
          <w:tcPr>
            <w:tcW w:w="181" w:type="pct"/>
            <w:tcBorders>
              <w:top w:val="nil"/>
              <w:left w:val="nil"/>
              <w:bottom w:val="single" w:sz="4" w:space="0" w:color="auto"/>
              <w:right w:val="single" w:sz="4" w:space="0" w:color="auto"/>
            </w:tcBorders>
            <w:shd w:val="clear" w:color="000000" w:fill="D9D9D9"/>
            <w:vAlign w:val="center"/>
            <w:hideMark/>
          </w:tcPr>
          <w:p w14:paraId="040ADAB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F76299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6,103,533</w:t>
            </w:r>
          </w:p>
        </w:tc>
        <w:tc>
          <w:tcPr>
            <w:tcW w:w="196" w:type="pct"/>
            <w:tcBorders>
              <w:top w:val="nil"/>
              <w:left w:val="nil"/>
              <w:bottom w:val="single" w:sz="4" w:space="0" w:color="auto"/>
              <w:right w:val="single" w:sz="4" w:space="0" w:color="auto"/>
            </w:tcBorders>
            <w:shd w:val="clear" w:color="000000" w:fill="D9D9D9"/>
            <w:vAlign w:val="center"/>
            <w:hideMark/>
          </w:tcPr>
          <w:p w14:paraId="6326C17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15,087,800</w:t>
            </w:r>
          </w:p>
        </w:tc>
        <w:tc>
          <w:tcPr>
            <w:tcW w:w="196" w:type="pct"/>
            <w:tcBorders>
              <w:top w:val="nil"/>
              <w:left w:val="nil"/>
              <w:bottom w:val="single" w:sz="4" w:space="0" w:color="auto"/>
              <w:right w:val="single" w:sz="4" w:space="0" w:color="auto"/>
            </w:tcBorders>
            <w:shd w:val="clear" w:color="000000" w:fill="D9D9D9"/>
            <w:vAlign w:val="center"/>
            <w:hideMark/>
          </w:tcPr>
          <w:p w14:paraId="60D9389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85BE4F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15,087,800</w:t>
            </w:r>
          </w:p>
        </w:tc>
        <w:tc>
          <w:tcPr>
            <w:tcW w:w="196" w:type="pct"/>
            <w:tcBorders>
              <w:top w:val="nil"/>
              <w:left w:val="nil"/>
              <w:bottom w:val="single" w:sz="4" w:space="0" w:color="auto"/>
              <w:right w:val="single" w:sz="4" w:space="0" w:color="auto"/>
            </w:tcBorders>
            <w:shd w:val="clear" w:color="000000" w:fill="D9D9D9"/>
            <w:vAlign w:val="center"/>
            <w:hideMark/>
          </w:tcPr>
          <w:p w14:paraId="486B02B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21,191,333</w:t>
            </w:r>
          </w:p>
        </w:tc>
        <w:tc>
          <w:tcPr>
            <w:tcW w:w="196" w:type="pct"/>
            <w:tcBorders>
              <w:top w:val="nil"/>
              <w:left w:val="nil"/>
              <w:bottom w:val="single" w:sz="4" w:space="0" w:color="auto"/>
              <w:right w:val="single" w:sz="4" w:space="0" w:color="auto"/>
            </w:tcBorders>
            <w:shd w:val="clear" w:color="000000" w:fill="D9D9D9"/>
            <w:vAlign w:val="center"/>
            <w:hideMark/>
          </w:tcPr>
          <w:p w14:paraId="4C52ED8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47055B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21,191,333</w:t>
            </w:r>
          </w:p>
        </w:tc>
        <w:tc>
          <w:tcPr>
            <w:tcW w:w="196" w:type="pct"/>
            <w:tcBorders>
              <w:top w:val="nil"/>
              <w:left w:val="nil"/>
              <w:bottom w:val="single" w:sz="4" w:space="0" w:color="auto"/>
              <w:right w:val="single" w:sz="4" w:space="0" w:color="auto"/>
            </w:tcBorders>
            <w:shd w:val="clear" w:color="000000" w:fill="D9D9D9"/>
            <w:vAlign w:val="center"/>
            <w:hideMark/>
          </w:tcPr>
          <w:p w14:paraId="04948A3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19,721,333</w:t>
            </w:r>
          </w:p>
        </w:tc>
        <w:tc>
          <w:tcPr>
            <w:tcW w:w="181" w:type="pct"/>
            <w:tcBorders>
              <w:top w:val="nil"/>
              <w:left w:val="nil"/>
              <w:bottom w:val="single" w:sz="4" w:space="0" w:color="auto"/>
              <w:right w:val="single" w:sz="4" w:space="0" w:color="auto"/>
            </w:tcBorders>
            <w:shd w:val="clear" w:color="000000" w:fill="D9D9D9"/>
            <w:vAlign w:val="center"/>
            <w:hideMark/>
          </w:tcPr>
          <w:p w14:paraId="518675A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E5C918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19,721,333</w:t>
            </w:r>
          </w:p>
        </w:tc>
        <w:tc>
          <w:tcPr>
            <w:tcW w:w="170" w:type="pct"/>
            <w:tcBorders>
              <w:top w:val="nil"/>
              <w:left w:val="nil"/>
              <w:bottom w:val="single" w:sz="4" w:space="0" w:color="auto"/>
              <w:right w:val="single" w:sz="4" w:space="0" w:color="auto"/>
            </w:tcBorders>
            <w:shd w:val="clear" w:color="000000" w:fill="D9D9D9"/>
            <w:vAlign w:val="center"/>
            <w:hideMark/>
          </w:tcPr>
          <w:p w14:paraId="3048170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8A739D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2263851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EF67B5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30E7396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1,470,000</w:t>
            </w:r>
          </w:p>
        </w:tc>
      </w:tr>
      <w:tr w:rsidR="006B6F84" w:rsidRPr="001F0C5A" w14:paraId="74C9B9F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2EDB46C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5</w:t>
            </w:r>
          </w:p>
        </w:tc>
        <w:tc>
          <w:tcPr>
            <w:tcW w:w="247" w:type="pct"/>
            <w:tcBorders>
              <w:top w:val="nil"/>
              <w:left w:val="nil"/>
              <w:bottom w:val="single" w:sz="4" w:space="0" w:color="auto"/>
              <w:right w:val="single" w:sz="4" w:space="0" w:color="auto"/>
            </w:tcBorders>
            <w:shd w:val="clear" w:color="000000" w:fill="DDEBF7"/>
            <w:hideMark/>
          </w:tcPr>
          <w:p w14:paraId="2D372B97" w14:textId="15EF00A1"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5: Forcimi i bashkëpunimit ndërkombëtar, veçanërisht me vendet fqinje, institucionet e BE-së dhe Agjencinë </w:t>
            </w:r>
            <w:r w:rsidR="003110EB" w:rsidRPr="001F0C5A">
              <w:rPr>
                <w:rFonts w:ascii="Garamond" w:eastAsia="Times New Roman" w:hAnsi="Garamond" w:cs="Times New Roman"/>
                <w:b/>
                <w:bCs/>
                <w:color w:val="000000"/>
                <w:sz w:val="6"/>
                <w:szCs w:val="6"/>
                <w:lang w:val="sq-AL"/>
              </w:rPr>
              <w:t>Evropiane</w:t>
            </w:r>
            <w:r w:rsidRPr="001F0C5A">
              <w:rPr>
                <w:rFonts w:ascii="Garamond" w:eastAsia="Times New Roman" w:hAnsi="Garamond" w:cs="Times New Roman"/>
                <w:b/>
                <w:bCs/>
                <w:color w:val="000000"/>
                <w:sz w:val="6"/>
                <w:szCs w:val="6"/>
                <w:lang w:val="sq-AL"/>
              </w:rPr>
              <w:t xml:space="preserve"> të </w:t>
            </w:r>
            <w:r w:rsidR="003110EB" w:rsidRPr="001F0C5A">
              <w:rPr>
                <w:rFonts w:ascii="Garamond" w:eastAsia="Times New Roman" w:hAnsi="Garamond" w:cs="Times New Roman"/>
                <w:b/>
                <w:bCs/>
                <w:color w:val="000000"/>
                <w:sz w:val="6"/>
                <w:szCs w:val="6"/>
                <w:lang w:val="sq-AL"/>
              </w:rPr>
              <w:t>Rojës</w:t>
            </w:r>
            <w:r w:rsidRPr="001F0C5A">
              <w:rPr>
                <w:rFonts w:ascii="Garamond" w:eastAsia="Times New Roman" w:hAnsi="Garamond" w:cs="Times New Roman"/>
                <w:b/>
                <w:bCs/>
                <w:color w:val="000000"/>
                <w:sz w:val="6"/>
                <w:szCs w:val="6"/>
                <w:lang w:val="sq-AL"/>
              </w:rPr>
              <w:t xml:space="preserve"> Kufitare dhe Bregdetare (FRONTEX)</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për çështjet e kufijve, parandalimin e migracionit të paligjshëm, krimin ndërkufitar dhe ripranimin e personave me qëndrim të parregullt</w:t>
            </w:r>
          </w:p>
        </w:tc>
        <w:tc>
          <w:tcPr>
            <w:tcW w:w="211" w:type="pct"/>
            <w:tcBorders>
              <w:top w:val="nil"/>
              <w:left w:val="nil"/>
              <w:bottom w:val="single" w:sz="4" w:space="0" w:color="auto"/>
              <w:right w:val="single" w:sz="4" w:space="0" w:color="auto"/>
            </w:tcBorders>
            <w:shd w:val="clear" w:color="000000" w:fill="DDEBF7"/>
            <w:vAlign w:val="center"/>
            <w:hideMark/>
          </w:tcPr>
          <w:p w14:paraId="38901D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BD78C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67264D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4378576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7ABF03A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CFD19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4CA33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C23CA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41A35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C8FEB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84EF1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7A3EF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72DE2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665022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C10E2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EDB4D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E33BA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319633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A33E1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6368C3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52DEC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0DCFB7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577C4B24"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79EFF17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5.1</w:t>
            </w:r>
          </w:p>
        </w:tc>
        <w:tc>
          <w:tcPr>
            <w:tcW w:w="247" w:type="pct"/>
            <w:tcBorders>
              <w:top w:val="nil"/>
              <w:left w:val="nil"/>
              <w:bottom w:val="single" w:sz="4" w:space="0" w:color="auto"/>
              <w:right w:val="single" w:sz="4" w:space="0" w:color="auto"/>
            </w:tcBorders>
            <w:shd w:val="clear" w:color="auto" w:fill="auto"/>
            <w:vAlign w:val="center"/>
            <w:hideMark/>
          </w:tcPr>
          <w:p w14:paraId="050EB5F4" w14:textId="137D184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Zhvillimi</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 xml:space="preserve">i operacionit të </w:t>
            </w:r>
            <w:r w:rsidR="003110EB" w:rsidRPr="001F0C5A">
              <w:rPr>
                <w:rFonts w:ascii="Garamond" w:eastAsia="Times New Roman" w:hAnsi="Garamond" w:cs="Times New Roman"/>
                <w:b/>
                <w:bCs/>
                <w:color w:val="000000"/>
                <w:sz w:val="6"/>
                <w:szCs w:val="6"/>
                <w:lang w:val="sq-AL"/>
              </w:rPr>
              <w:t xml:space="preserve">përbashkët </w:t>
            </w:r>
            <w:r w:rsidRPr="001F0C5A">
              <w:rPr>
                <w:rFonts w:ascii="Garamond" w:eastAsia="Times New Roman" w:hAnsi="Garamond" w:cs="Times New Roman"/>
                <w:b/>
                <w:bCs/>
                <w:color w:val="000000"/>
                <w:sz w:val="6"/>
                <w:szCs w:val="6"/>
                <w:lang w:val="sq-AL"/>
              </w:rPr>
              <w:t>me FRONTEX në zbatim të Marrëveshjes së re Statusore</w:t>
            </w:r>
          </w:p>
        </w:tc>
        <w:tc>
          <w:tcPr>
            <w:tcW w:w="211" w:type="pct"/>
            <w:tcBorders>
              <w:top w:val="nil"/>
              <w:left w:val="nil"/>
              <w:bottom w:val="single" w:sz="4" w:space="0" w:color="auto"/>
              <w:right w:val="single" w:sz="4" w:space="0" w:color="auto"/>
            </w:tcBorders>
            <w:shd w:val="clear" w:color="000000" w:fill="FFFFFF"/>
            <w:vAlign w:val="center"/>
            <w:hideMark/>
          </w:tcPr>
          <w:p w14:paraId="2066F7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293C78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0FEB16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FRONTEX</w:t>
            </w:r>
          </w:p>
        </w:tc>
        <w:tc>
          <w:tcPr>
            <w:tcW w:w="143" w:type="pct"/>
            <w:tcBorders>
              <w:top w:val="nil"/>
              <w:left w:val="nil"/>
              <w:bottom w:val="single" w:sz="4" w:space="0" w:color="auto"/>
              <w:right w:val="single" w:sz="4" w:space="0" w:color="auto"/>
            </w:tcBorders>
            <w:shd w:val="clear" w:color="auto" w:fill="auto"/>
            <w:vAlign w:val="center"/>
            <w:hideMark/>
          </w:tcPr>
          <w:p w14:paraId="48DA011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E68CE8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5C7346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6334C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9119E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FC84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96B77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ADEDA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2814A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504B4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893E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C248E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1772D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41D4B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62DDD6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38B57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39A71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70871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A07C7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CFC1AE7"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565B8A4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5.1.1</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10D4BCB5" w14:textId="51983183" w:rsidR="00D86FA8" w:rsidRPr="001F0C5A" w:rsidRDefault="00D86FA8" w:rsidP="00D86FA8">
            <w:pPr>
              <w:spacing w:after="0" w:line="240" w:lineRule="auto"/>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Pjesëmarrja e punonjësve të policisë kufitare dhe migracionit në</w:t>
            </w:r>
            <w:r w:rsidR="001F0C5A" w:rsidRPr="001F0C5A">
              <w:rPr>
                <w:rFonts w:ascii="Garamond" w:eastAsia="Times New Roman" w:hAnsi="Garamond" w:cs="Times New Roman"/>
                <w:sz w:val="6"/>
                <w:szCs w:val="6"/>
                <w:lang w:val="sq-AL"/>
              </w:rPr>
              <w:t xml:space="preserve"> </w:t>
            </w:r>
            <w:r w:rsidRPr="001F0C5A">
              <w:rPr>
                <w:rFonts w:ascii="Garamond" w:eastAsia="Times New Roman" w:hAnsi="Garamond" w:cs="Times New Roman"/>
                <w:sz w:val="6"/>
                <w:szCs w:val="6"/>
                <w:lang w:val="sq-AL"/>
              </w:rPr>
              <w:t>operacionet detare në bashkëpunim me FRONTEX</w:t>
            </w:r>
          </w:p>
        </w:tc>
        <w:tc>
          <w:tcPr>
            <w:tcW w:w="211" w:type="pct"/>
            <w:tcBorders>
              <w:top w:val="nil"/>
              <w:left w:val="nil"/>
              <w:bottom w:val="single" w:sz="4" w:space="0" w:color="auto"/>
              <w:right w:val="single" w:sz="4" w:space="0" w:color="auto"/>
            </w:tcBorders>
            <w:shd w:val="clear" w:color="000000" w:fill="FFFFFF"/>
            <w:vAlign w:val="center"/>
            <w:hideMark/>
          </w:tcPr>
          <w:p w14:paraId="4C5829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D36FA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713A78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FRONTEX</w:t>
            </w:r>
          </w:p>
        </w:tc>
        <w:tc>
          <w:tcPr>
            <w:tcW w:w="143" w:type="pct"/>
            <w:tcBorders>
              <w:top w:val="nil"/>
              <w:left w:val="nil"/>
              <w:bottom w:val="single" w:sz="4" w:space="0" w:color="auto"/>
              <w:right w:val="single" w:sz="4" w:space="0" w:color="auto"/>
            </w:tcBorders>
            <w:shd w:val="clear" w:color="auto" w:fill="auto"/>
            <w:vAlign w:val="center"/>
            <w:hideMark/>
          </w:tcPr>
          <w:p w14:paraId="6B2B3B2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4881DC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4EA5A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10,000,000</w:t>
            </w:r>
          </w:p>
        </w:tc>
        <w:tc>
          <w:tcPr>
            <w:tcW w:w="181" w:type="pct"/>
            <w:tcBorders>
              <w:top w:val="nil"/>
              <w:left w:val="nil"/>
              <w:bottom w:val="single" w:sz="4" w:space="0" w:color="auto"/>
              <w:right w:val="single" w:sz="4" w:space="0" w:color="auto"/>
            </w:tcBorders>
            <w:shd w:val="clear" w:color="000000" w:fill="FFFFFF"/>
            <w:vAlign w:val="center"/>
            <w:hideMark/>
          </w:tcPr>
          <w:p w14:paraId="4DAFA3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627BC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10,000,000</w:t>
            </w:r>
          </w:p>
        </w:tc>
        <w:tc>
          <w:tcPr>
            <w:tcW w:w="196" w:type="pct"/>
            <w:tcBorders>
              <w:top w:val="nil"/>
              <w:left w:val="nil"/>
              <w:bottom w:val="single" w:sz="4" w:space="0" w:color="auto"/>
              <w:right w:val="single" w:sz="4" w:space="0" w:color="auto"/>
            </w:tcBorders>
            <w:shd w:val="clear" w:color="000000" w:fill="FFFFFF"/>
            <w:vAlign w:val="center"/>
            <w:hideMark/>
          </w:tcPr>
          <w:p w14:paraId="1D83F0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10,000,000</w:t>
            </w:r>
          </w:p>
        </w:tc>
        <w:tc>
          <w:tcPr>
            <w:tcW w:w="196" w:type="pct"/>
            <w:tcBorders>
              <w:top w:val="nil"/>
              <w:left w:val="nil"/>
              <w:bottom w:val="single" w:sz="4" w:space="0" w:color="auto"/>
              <w:right w:val="single" w:sz="4" w:space="0" w:color="auto"/>
            </w:tcBorders>
            <w:shd w:val="clear" w:color="000000" w:fill="FFFFFF"/>
            <w:vAlign w:val="center"/>
            <w:hideMark/>
          </w:tcPr>
          <w:p w14:paraId="69B5DB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0A4E54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10,000,000</w:t>
            </w:r>
          </w:p>
        </w:tc>
        <w:tc>
          <w:tcPr>
            <w:tcW w:w="196" w:type="pct"/>
            <w:tcBorders>
              <w:top w:val="nil"/>
              <w:left w:val="nil"/>
              <w:bottom w:val="single" w:sz="4" w:space="0" w:color="auto"/>
              <w:right w:val="single" w:sz="4" w:space="0" w:color="auto"/>
            </w:tcBorders>
            <w:shd w:val="clear" w:color="000000" w:fill="FFFFFF"/>
            <w:vAlign w:val="center"/>
            <w:hideMark/>
          </w:tcPr>
          <w:p w14:paraId="50FD59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2266C7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BF7A3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46583F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81" w:type="pct"/>
            <w:tcBorders>
              <w:top w:val="nil"/>
              <w:left w:val="nil"/>
              <w:bottom w:val="single" w:sz="4" w:space="0" w:color="auto"/>
              <w:right w:val="single" w:sz="4" w:space="0" w:color="auto"/>
            </w:tcBorders>
            <w:shd w:val="clear" w:color="000000" w:fill="FFFFFF"/>
            <w:vAlign w:val="center"/>
            <w:hideMark/>
          </w:tcPr>
          <w:p w14:paraId="4297FF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C3733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70" w:type="pct"/>
            <w:tcBorders>
              <w:top w:val="nil"/>
              <w:left w:val="nil"/>
              <w:bottom w:val="single" w:sz="4" w:space="0" w:color="auto"/>
              <w:right w:val="single" w:sz="4" w:space="0" w:color="auto"/>
            </w:tcBorders>
            <w:shd w:val="clear" w:color="000000" w:fill="FFFFFF"/>
            <w:vAlign w:val="center"/>
            <w:hideMark/>
          </w:tcPr>
          <w:p w14:paraId="4CBC0E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5779A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87B74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32CA4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2AAC9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C5DB91B"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2EA0DE2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5.1.2</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6C76FD31"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i trajnimeve të koordinuara nga FRONTEX për rritjen e nivelit të përgjegjësisë të shërbimeve në kufi për respektimin e të drejtave të njeriut në përputhje me konventat përkatëse</w:t>
            </w:r>
          </w:p>
        </w:tc>
        <w:tc>
          <w:tcPr>
            <w:tcW w:w="211" w:type="pct"/>
            <w:tcBorders>
              <w:top w:val="nil"/>
              <w:left w:val="nil"/>
              <w:bottom w:val="single" w:sz="4" w:space="0" w:color="auto"/>
              <w:right w:val="single" w:sz="4" w:space="0" w:color="auto"/>
            </w:tcBorders>
            <w:shd w:val="clear" w:color="000000" w:fill="FFFFFF"/>
            <w:vAlign w:val="center"/>
            <w:hideMark/>
          </w:tcPr>
          <w:p w14:paraId="2BDC33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91604AJ</w:t>
            </w:r>
          </w:p>
        </w:tc>
        <w:tc>
          <w:tcPr>
            <w:tcW w:w="202" w:type="pct"/>
            <w:tcBorders>
              <w:top w:val="nil"/>
              <w:left w:val="nil"/>
              <w:bottom w:val="single" w:sz="4" w:space="0" w:color="auto"/>
              <w:right w:val="single" w:sz="4" w:space="0" w:color="auto"/>
            </w:tcBorders>
            <w:shd w:val="clear" w:color="000000" w:fill="FFFFFF"/>
            <w:vAlign w:val="center"/>
            <w:hideMark/>
          </w:tcPr>
          <w:p w14:paraId="39A2CD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35A38D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FRONTEX</w:t>
            </w:r>
          </w:p>
        </w:tc>
        <w:tc>
          <w:tcPr>
            <w:tcW w:w="143" w:type="pct"/>
            <w:tcBorders>
              <w:top w:val="nil"/>
              <w:left w:val="nil"/>
              <w:bottom w:val="single" w:sz="4" w:space="0" w:color="auto"/>
              <w:right w:val="single" w:sz="4" w:space="0" w:color="auto"/>
            </w:tcBorders>
            <w:shd w:val="clear" w:color="auto" w:fill="auto"/>
            <w:vAlign w:val="center"/>
            <w:hideMark/>
          </w:tcPr>
          <w:p w14:paraId="5E7D26E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249C4A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30A33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279,692,140</w:t>
            </w:r>
          </w:p>
        </w:tc>
        <w:tc>
          <w:tcPr>
            <w:tcW w:w="181" w:type="pct"/>
            <w:tcBorders>
              <w:top w:val="nil"/>
              <w:left w:val="nil"/>
              <w:bottom w:val="single" w:sz="4" w:space="0" w:color="auto"/>
              <w:right w:val="single" w:sz="4" w:space="0" w:color="auto"/>
            </w:tcBorders>
            <w:shd w:val="clear" w:color="000000" w:fill="FFFFFF"/>
            <w:vAlign w:val="center"/>
            <w:hideMark/>
          </w:tcPr>
          <w:p w14:paraId="1978DA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C6672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279,692,140</w:t>
            </w:r>
          </w:p>
        </w:tc>
        <w:tc>
          <w:tcPr>
            <w:tcW w:w="196" w:type="pct"/>
            <w:tcBorders>
              <w:top w:val="nil"/>
              <w:left w:val="nil"/>
              <w:bottom w:val="single" w:sz="4" w:space="0" w:color="auto"/>
              <w:right w:val="single" w:sz="4" w:space="0" w:color="auto"/>
            </w:tcBorders>
            <w:shd w:val="clear" w:color="000000" w:fill="FFFFFF"/>
            <w:vAlign w:val="center"/>
            <w:hideMark/>
          </w:tcPr>
          <w:p w14:paraId="11313F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279,692,140</w:t>
            </w:r>
          </w:p>
        </w:tc>
        <w:tc>
          <w:tcPr>
            <w:tcW w:w="196" w:type="pct"/>
            <w:tcBorders>
              <w:top w:val="nil"/>
              <w:left w:val="nil"/>
              <w:bottom w:val="single" w:sz="4" w:space="0" w:color="auto"/>
              <w:right w:val="single" w:sz="4" w:space="0" w:color="auto"/>
            </w:tcBorders>
            <w:shd w:val="clear" w:color="000000" w:fill="FFFFFF"/>
            <w:vAlign w:val="center"/>
            <w:hideMark/>
          </w:tcPr>
          <w:p w14:paraId="2961AE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3665C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279,692,140</w:t>
            </w:r>
          </w:p>
        </w:tc>
        <w:tc>
          <w:tcPr>
            <w:tcW w:w="196" w:type="pct"/>
            <w:tcBorders>
              <w:top w:val="nil"/>
              <w:left w:val="nil"/>
              <w:bottom w:val="single" w:sz="4" w:space="0" w:color="auto"/>
              <w:right w:val="single" w:sz="4" w:space="0" w:color="auto"/>
            </w:tcBorders>
            <w:shd w:val="clear" w:color="000000" w:fill="FFFFFF"/>
            <w:vAlign w:val="center"/>
            <w:hideMark/>
          </w:tcPr>
          <w:p w14:paraId="28F030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559,384,280</w:t>
            </w:r>
          </w:p>
        </w:tc>
        <w:tc>
          <w:tcPr>
            <w:tcW w:w="196" w:type="pct"/>
            <w:tcBorders>
              <w:top w:val="nil"/>
              <w:left w:val="nil"/>
              <w:bottom w:val="single" w:sz="4" w:space="0" w:color="auto"/>
              <w:right w:val="single" w:sz="4" w:space="0" w:color="auto"/>
            </w:tcBorders>
            <w:shd w:val="clear" w:color="000000" w:fill="FFFFFF"/>
            <w:vAlign w:val="center"/>
            <w:hideMark/>
          </w:tcPr>
          <w:p w14:paraId="2171EA0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A2CCC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559,384,280</w:t>
            </w:r>
          </w:p>
        </w:tc>
        <w:tc>
          <w:tcPr>
            <w:tcW w:w="196" w:type="pct"/>
            <w:tcBorders>
              <w:top w:val="nil"/>
              <w:left w:val="nil"/>
              <w:bottom w:val="single" w:sz="4" w:space="0" w:color="auto"/>
              <w:right w:val="single" w:sz="4" w:space="0" w:color="auto"/>
            </w:tcBorders>
            <w:shd w:val="clear" w:color="000000" w:fill="FFFFFF"/>
            <w:vAlign w:val="center"/>
            <w:hideMark/>
          </w:tcPr>
          <w:p w14:paraId="13B55F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559,384,280</w:t>
            </w:r>
          </w:p>
        </w:tc>
        <w:tc>
          <w:tcPr>
            <w:tcW w:w="181" w:type="pct"/>
            <w:tcBorders>
              <w:top w:val="nil"/>
              <w:left w:val="nil"/>
              <w:bottom w:val="single" w:sz="4" w:space="0" w:color="auto"/>
              <w:right w:val="single" w:sz="4" w:space="0" w:color="auto"/>
            </w:tcBorders>
            <w:shd w:val="clear" w:color="000000" w:fill="FFFFFF"/>
            <w:vAlign w:val="center"/>
            <w:hideMark/>
          </w:tcPr>
          <w:p w14:paraId="3012B4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8A9EF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559,384,280</w:t>
            </w:r>
          </w:p>
        </w:tc>
        <w:tc>
          <w:tcPr>
            <w:tcW w:w="170" w:type="pct"/>
            <w:tcBorders>
              <w:top w:val="nil"/>
              <w:left w:val="nil"/>
              <w:bottom w:val="single" w:sz="4" w:space="0" w:color="auto"/>
              <w:right w:val="single" w:sz="4" w:space="0" w:color="auto"/>
            </w:tcBorders>
            <w:shd w:val="clear" w:color="000000" w:fill="FFFFFF"/>
            <w:vAlign w:val="center"/>
            <w:hideMark/>
          </w:tcPr>
          <w:p w14:paraId="0A4FDA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46C67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DD170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6D3AC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17FBC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DF61730"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729302B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5.2</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0CDD2D3C" w14:textId="780CEB83"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Zbatimi i projektit për përmirësimin </w:t>
            </w:r>
            <w:r w:rsidRPr="003110EB">
              <w:rPr>
                <w:rFonts w:ascii="Garamond" w:eastAsia="Times New Roman" w:hAnsi="Garamond" w:cs="Times New Roman"/>
                <w:b/>
                <w:bCs/>
                <w:i/>
                <w:iCs/>
                <w:color w:val="000000"/>
                <w:sz w:val="6"/>
                <w:szCs w:val="6"/>
                <w:lang w:val="sq-AL"/>
              </w:rPr>
              <w:t>software</w:t>
            </w:r>
            <w:r w:rsidRPr="001F0C5A">
              <w:rPr>
                <w:rFonts w:ascii="Garamond" w:eastAsia="Times New Roman" w:hAnsi="Garamond" w:cs="Times New Roman"/>
                <w:b/>
                <w:bCs/>
                <w:color w:val="000000"/>
                <w:sz w:val="6"/>
                <w:szCs w:val="6"/>
                <w:lang w:val="sq-AL"/>
              </w:rPr>
              <w:t xml:space="preserve"> të sistemit SEED+, që mundëson shkëmbimin e informacioneve paraprake me administratat doganore të vendeve anëtare të CEFTA-s dhe ndërmjet </w:t>
            </w:r>
            <w:r w:rsidR="003110EB" w:rsidRPr="001F0C5A">
              <w:rPr>
                <w:rFonts w:ascii="Garamond" w:eastAsia="Times New Roman" w:hAnsi="Garamond" w:cs="Times New Roman"/>
                <w:b/>
                <w:bCs/>
                <w:color w:val="000000"/>
                <w:sz w:val="6"/>
                <w:szCs w:val="6"/>
                <w:lang w:val="sq-AL"/>
              </w:rPr>
              <w:t>agjencive</w:t>
            </w:r>
            <w:r w:rsidRPr="001F0C5A">
              <w:rPr>
                <w:rFonts w:ascii="Garamond" w:eastAsia="Times New Roman" w:hAnsi="Garamond" w:cs="Times New Roman"/>
                <w:b/>
                <w:bCs/>
                <w:color w:val="000000"/>
                <w:sz w:val="6"/>
                <w:szCs w:val="6"/>
                <w:lang w:val="sq-AL"/>
              </w:rPr>
              <w:t xml:space="preserve"> që operojnë në kufi </w:t>
            </w:r>
          </w:p>
        </w:tc>
        <w:tc>
          <w:tcPr>
            <w:tcW w:w="211" w:type="pct"/>
            <w:tcBorders>
              <w:top w:val="nil"/>
              <w:left w:val="nil"/>
              <w:bottom w:val="single" w:sz="4" w:space="0" w:color="auto"/>
              <w:right w:val="single" w:sz="4" w:space="0" w:color="auto"/>
            </w:tcBorders>
            <w:shd w:val="clear" w:color="000000" w:fill="FFFFFF"/>
            <w:vAlign w:val="center"/>
            <w:hideMark/>
          </w:tcPr>
          <w:p w14:paraId="1C1D14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Projekt i ri</w:t>
            </w:r>
          </w:p>
        </w:tc>
        <w:tc>
          <w:tcPr>
            <w:tcW w:w="202" w:type="pct"/>
            <w:tcBorders>
              <w:top w:val="nil"/>
              <w:left w:val="nil"/>
              <w:bottom w:val="single" w:sz="4" w:space="0" w:color="auto"/>
              <w:right w:val="single" w:sz="4" w:space="0" w:color="auto"/>
            </w:tcBorders>
            <w:shd w:val="clear" w:color="auto" w:fill="auto"/>
            <w:vAlign w:val="center"/>
            <w:hideMark/>
          </w:tcPr>
          <w:p w14:paraId="229B6008"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DPD</w:t>
            </w:r>
          </w:p>
        </w:tc>
        <w:tc>
          <w:tcPr>
            <w:tcW w:w="680" w:type="pct"/>
            <w:tcBorders>
              <w:top w:val="nil"/>
              <w:left w:val="nil"/>
              <w:bottom w:val="single" w:sz="4" w:space="0" w:color="auto"/>
              <w:right w:val="single" w:sz="4" w:space="0" w:color="auto"/>
            </w:tcBorders>
            <w:shd w:val="clear" w:color="auto" w:fill="auto"/>
            <w:vAlign w:val="center"/>
            <w:hideMark/>
          </w:tcPr>
          <w:p w14:paraId="3DBFE5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auto" w:fill="auto"/>
            <w:vAlign w:val="center"/>
            <w:hideMark/>
          </w:tcPr>
          <w:p w14:paraId="05D079B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29DAE88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E185F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812FD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B92C9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935C7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3D57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96" w:type="pct"/>
            <w:tcBorders>
              <w:top w:val="nil"/>
              <w:left w:val="nil"/>
              <w:bottom w:val="single" w:sz="4" w:space="0" w:color="auto"/>
              <w:right w:val="single" w:sz="4" w:space="0" w:color="auto"/>
            </w:tcBorders>
            <w:shd w:val="clear" w:color="000000" w:fill="FFFFFF"/>
            <w:vAlign w:val="center"/>
            <w:hideMark/>
          </w:tcPr>
          <w:p w14:paraId="4F56D8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96" w:type="pct"/>
            <w:tcBorders>
              <w:top w:val="nil"/>
              <w:left w:val="nil"/>
              <w:bottom w:val="single" w:sz="4" w:space="0" w:color="auto"/>
              <w:right w:val="single" w:sz="4" w:space="0" w:color="auto"/>
            </w:tcBorders>
            <w:shd w:val="clear" w:color="000000" w:fill="FFFFFF"/>
            <w:vAlign w:val="center"/>
            <w:hideMark/>
          </w:tcPr>
          <w:p w14:paraId="51B70F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6D49F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96" w:type="pct"/>
            <w:tcBorders>
              <w:top w:val="nil"/>
              <w:left w:val="nil"/>
              <w:bottom w:val="single" w:sz="4" w:space="0" w:color="auto"/>
              <w:right w:val="single" w:sz="4" w:space="0" w:color="auto"/>
            </w:tcBorders>
            <w:shd w:val="clear" w:color="000000" w:fill="FFFFFF"/>
            <w:vAlign w:val="center"/>
            <w:hideMark/>
          </w:tcPr>
          <w:p w14:paraId="55FAA6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96" w:type="pct"/>
            <w:tcBorders>
              <w:top w:val="nil"/>
              <w:left w:val="nil"/>
              <w:bottom w:val="single" w:sz="4" w:space="0" w:color="auto"/>
              <w:right w:val="single" w:sz="4" w:space="0" w:color="auto"/>
            </w:tcBorders>
            <w:shd w:val="clear" w:color="000000" w:fill="FFFFFF"/>
            <w:vAlign w:val="center"/>
            <w:hideMark/>
          </w:tcPr>
          <w:p w14:paraId="0BE04BD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6C981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96" w:type="pct"/>
            <w:tcBorders>
              <w:top w:val="nil"/>
              <w:left w:val="nil"/>
              <w:bottom w:val="single" w:sz="4" w:space="0" w:color="auto"/>
              <w:right w:val="single" w:sz="4" w:space="0" w:color="auto"/>
            </w:tcBorders>
            <w:shd w:val="clear" w:color="000000" w:fill="FFFFFF"/>
            <w:vAlign w:val="center"/>
            <w:hideMark/>
          </w:tcPr>
          <w:p w14:paraId="6B78AB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70" w:type="pct"/>
            <w:tcBorders>
              <w:top w:val="nil"/>
              <w:left w:val="nil"/>
              <w:bottom w:val="single" w:sz="4" w:space="0" w:color="auto"/>
              <w:right w:val="single" w:sz="4" w:space="0" w:color="auto"/>
            </w:tcBorders>
            <w:shd w:val="clear" w:color="000000" w:fill="FFFFFF"/>
            <w:vAlign w:val="center"/>
            <w:hideMark/>
          </w:tcPr>
          <w:p w14:paraId="0F5F69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A645E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7983D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67CED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1A124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465A65F"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04E4467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5.3</w:t>
            </w:r>
          </w:p>
        </w:tc>
        <w:tc>
          <w:tcPr>
            <w:tcW w:w="247" w:type="pct"/>
            <w:tcBorders>
              <w:top w:val="nil"/>
              <w:left w:val="single" w:sz="4" w:space="0" w:color="auto"/>
              <w:bottom w:val="single" w:sz="4" w:space="0" w:color="auto"/>
              <w:right w:val="nil"/>
            </w:tcBorders>
            <w:shd w:val="clear" w:color="auto" w:fill="auto"/>
            <w:vAlign w:val="center"/>
            <w:hideMark/>
          </w:tcPr>
          <w:p w14:paraId="446EE5EE" w14:textId="356AC5E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Pjesëmarrja e</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 xml:space="preserve">Drejtorisë së Përgjithshme të Doganave në Operacionet Ndërkombëtare të organizuara në kuadër të zbatimit të ligjit organizuar nga Organizata </w:t>
            </w:r>
            <w:r w:rsidR="003110EB" w:rsidRPr="001F0C5A">
              <w:rPr>
                <w:rFonts w:ascii="Garamond" w:eastAsia="Times New Roman" w:hAnsi="Garamond" w:cs="Times New Roman"/>
                <w:b/>
                <w:bCs/>
                <w:color w:val="000000"/>
                <w:sz w:val="6"/>
                <w:szCs w:val="6"/>
                <w:lang w:val="sq-AL"/>
              </w:rPr>
              <w:t>Botërore</w:t>
            </w:r>
            <w:r w:rsidRPr="001F0C5A">
              <w:rPr>
                <w:rFonts w:ascii="Garamond" w:eastAsia="Times New Roman" w:hAnsi="Garamond" w:cs="Times New Roman"/>
                <w:b/>
                <w:bCs/>
                <w:color w:val="000000"/>
                <w:sz w:val="6"/>
                <w:szCs w:val="6"/>
                <w:lang w:val="sq-AL"/>
              </w:rPr>
              <w:t xml:space="preserve"> e Doganave</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14:paraId="6D77B63C" w14:textId="13359DD8"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Programi 01150 Produkti 91005AA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Deklarata doganore t</w:t>
            </w:r>
            <w:r w:rsidR="00D94DB0">
              <w:rPr>
                <w:rFonts w:ascii="Garamond" w:eastAsia="Times New Roman" w:hAnsi="Garamond" w:cs="Times New Roman"/>
                <w:sz w:val="6"/>
                <w:szCs w:val="6"/>
                <w:lang w:val="sq-AL"/>
              </w:rPr>
              <w:t>ë</w:t>
            </w:r>
            <w:r w:rsidRPr="001F0C5A">
              <w:rPr>
                <w:rFonts w:ascii="Garamond" w:eastAsia="Times New Roman" w:hAnsi="Garamond" w:cs="Times New Roman"/>
                <w:sz w:val="6"/>
                <w:szCs w:val="6"/>
                <w:lang w:val="sq-AL"/>
              </w:rPr>
              <w:t xml:space="preserve"> procesuara</w:t>
            </w:r>
            <w:r w:rsidR="00D94DB0">
              <w:rPr>
                <w:rFonts w:ascii="Garamond" w:eastAsia="Times New Roman" w:hAnsi="Garamond" w:cs="Times New Roman"/>
                <w:sz w:val="6"/>
                <w:szCs w:val="6"/>
                <w:lang w:val="sq-AL"/>
              </w:rPr>
              <w:t>”</w:t>
            </w:r>
          </w:p>
        </w:tc>
        <w:tc>
          <w:tcPr>
            <w:tcW w:w="202" w:type="pct"/>
            <w:tcBorders>
              <w:top w:val="nil"/>
              <w:left w:val="nil"/>
              <w:bottom w:val="single" w:sz="4" w:space="0" w:color="auto"/>
              <w:right w:val="single" w:sz="4" w:space="0" w:color="auto"/>
            </w:tcBorders>
            <w:shd w:val="clear" w:color="000000" w:fill="FFFFFF"/>
            <w:vAlign w:val="center"/>
            <w:hideMark/>
          </w:tcPr>
          <w:p w14:paraId="24970A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518D7B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MF</w:t>
            </w:r>
          </w:p>
        </w:tc>
        <w:tc>
          <w:tcPr>
            <w:tcW w:w="143" w:type="pct"/>
            <w:tcBorders>
              <w:top w:val="nil"/>
              <w:left w:val="nil"/>
              <w:bottom w:val="single" w:sz="4" w:space="0" w:color="auto"/>
              <w:right w:val="single" w:sz="4" w:space="0" w:color="auto"/>
            </w:tcBorders>
            <w:shd w:val="clear" w:color="auto" w:fill="auto"/>
            <w:vAlign w:val="center"/>
            <w:hideMark/>
          </w:tcPr>
          <w:p w14:paraId="3BB5A3B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4255A99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B5731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1,725,000</w:t>
            </w:r>
          </w:p>
        </w:tc>
        <w:tc>
          <w:tcPr>
            <w:tcW w:w="181" w:type="pct"/>
            <w:tcBorders>
              <w:top w:val="nil"/>
              <w:left w:val="nil"/>
              <w:bottom w:val="single" w:sz="4" w:space="0" w:color="auto"/>
              <w:right w:val="single" w:sz="4" w:space="0" w:color="auto"/>
            </w:tcBorders>
            <w:shd w:val="clear" w:color="000000" w:fill="FFFFFF"/>
            <w:vAlign w:val="center"/>
            <w:hideMark/>
          </w:tcPr>
          <w:p w14:paraId="0B238D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DEE61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1,725,000</w:t>
            </w:r>
          </w:p>
        </w:tc>
        <w:tc>
          <w:tcPr>
            <w:tcW w:w="196" w:type="pct"/>
            <w:tcBorders>
              <w:top w:val="nil"/>
              <w:left w:val="nil"/>
              <w:bottom w:val="single" w:sz="4" w:space="0" w:color="auto"/>
              <w:right w:val="single" w:sz="4" w:space="0" w:color="auto"/>
            </w:tcBorders>
            <w:shd w:val="clear" w:color="000000" w:fill="FFFFFF"/>
            <w:vAlign w:val="center"/>
            <w:hideMark/>
          </w:tcPr>
          <w:p w14:paraId="6D1603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1,725,000</w:t>
            </w:r>
          </w:p>
        </w:tc>
        <w:tc>
          <w:tcPr>
            <w:tcW w:w="196" w:type="pct"/>
            <w:tcBorders>
              <w:top w:val="nil"/>
              <w:left w:val="nil"/>
              <w:bottom w:val="single" w:sz="4" w:space="0" w:color="auto"/>
              <w:right w:val="single" w:sz="4" w:space="0" w:color="auto"/>
            </w:tcBorders>
            <w:shd w:val="clear" w:color="000000" w:fill="FFFFFF"/>
            <w:vAlign w:val="center"/>
            <w:hideMark/>
          </w:tcPr>
          <w:p w14:paraId="009A06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F2C0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1,725,000</w:t>
            </w:r>
          </w:p>
        </w:tc>
        <w:tc>
          <w:tcPr>
            <w:tcW w:w="196" w:type="pct"/>
            <w:tcBorders>
              <w:top w:val="nil"/>
              <w:left w:val="nil"/>
              <w:bottom w:val="single" w:sz="4" w:space="0" w:color="auto"/>
              <w:right w:val="single" w:sz="4" w:space="0" w:color="auto"/>
            </w:tcBorders>
            <w:shd w:val="clear" w:color="000000" w:fill="FFFFFF"/>
            <w:vAlign w:val="center"/>
            <w:hideMark/>
          </w:tcPr>
          <w:p w14:paraId="0EDA65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3,450,000</w:t>
            </w:r>
          </w:p>
        </w:tc>
        <w:tc>
          <w:tcPr>
            <w:tcW w:w="196" w:type="pct"/>
            <w:tcBorders>
              <w:top w:val="nil"/>
              <w:left w:val="nil"/>
              <w:bottom w:val="single" w:sz="4" w:space="0" w:color="auto"/>
              <w:right w:val="single" w:sz="4" w:space="0" w:color="auto"/>
            </w:tcBorders>
            <w:shd w:val="clear" w:color="000000" w:fill="FFFFFF"/>
            <w:vAlign w:val="center"/>
            <w:hideMark/>
          </w:tcPr>
          <w:p w14:paraId="6B735D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3C4F97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3,450,000</w:t>
            </w:r>
          </w:p>
        </w:tc>
        <w:tc>
          <w:tcPr>
            <w:tcW w:w="196" w:type="pct"/>
            <w:tcBorders>
              <w:top w:val="nil"/>
              <w:left w:val="nil"/>
              <w:bottom w:val="single" w:sz="4" w:space="0" w:color="auto"/>
              <w:right w:val="single" w:sz="4" w:space="0" w:color="auto"/>
            </w:tcBorders>
            <w:shd w:val="clear" w:color="000000" w:fill="FFFFFF"/>
            <w:vAlign w:val="center"/>
            <w:hideMark/>
          </w:tcPr>
          <w:p w14:paraId="76A284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3,450,000</w:t>
            </w:r>
          </w:p>
        </w:tc>
        <w:tc>
          <w:tcPr>
            <w:tcW w:w="181" w:type="pct"/>
            <w:tcBorders>
              <w:top w:val="nil"/>
              <w:left w:val="nil"/>
              <w:bottom w:val="single" w:sz="4" w:space="0" w:color="auto"/>
              <w:right w:val="single" w:sz="4" w:space="0" w:color="auto"/>
            </w:tcBorders>
            <w:shd w:val="clear" w:color="000000" w:fill="FFFFFF"/>
            <w:vAlign w:val="center"/>
            <w:hideMark/>
          </w:tcPr>
          <w:p w14:paraId="53C0EB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B1E1D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3,450,000</w:t>
            </w:r>
          </w:p>
        </w:tc>
        <w:tc>
          <w:tcPr>
            <w:tcW w:w="170" w:type="pct"/>
            <w:tcBorders>
              <w:top w:val="nil"/>
              <w:left w:val="nil"/>
              <w:bottom w:val="single" w:sz="4" w:space="0" w:color="auto"/>
              <w:right w:val="single" w:sz="4" w:space="0" w:color="auto"/>
            </w:tcBorders>
            <w:shd w:val="clear" w:color="000000" w:fill="FFFFFF"/>
            <w:vAlign w:val="center"/>
            <w:hideMark/>
          </w:tcPr>
          <w:p w14:paraId="3D6DB0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4080F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444E2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1C3650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006EA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9B7EB7D"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3AAC54D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5.4</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003F9D2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Zhvillimi i patrullimeve të përbashkëta kufitare dhe operacioneve me policitë kufitare të vendeve fqinje, në zbatim të Marrëveshjeve e Protokolleve për bashkëpunimin ndërkufitar operacional për forcimin e sigurisë kufitare</w:t>
            </w:r>
          </w:p>
        </w:tc>
        <w:tc>
          <w:tcPr>
            <w:tcW w:w="211" w:type="pct"/>
            <w:tcBorders>
              <w:top w:val="nil"/>
              <w:left w:val="nil"/>
              <w:bottom w:val="single" w:sz="4" w:space="0" w:color="auto"/>
              <w:right w:val="single" w:sz="4" w:space="0" w:color="auto"/>
            </w:tcBorders>
            <w:shd w:val="clear" w:color="000000" w:fill="FFFFFF"/>
            <w:vAlign w:val="center"/>
            <w:hideMark/>
          </w:tcPr>
          <w:p w14:paraId="237C2A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D6AA7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FA45B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4F4AC1D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1FC001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B9B82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81" w:type="pct"/>
            <w:tcBorders>
              <w:top w:val="nil"/>
              <w:left w:val="nil"/>
              <w:bottom w:val="single" w:sz="4" w:space="0" w:color="auto"/>
              <w:right w:val="single" w:sz="4" w:space="0" w:color="auto"/>
            </w:tcBorders>
            <w:shd w:val="clear" w:color="000000" w:fill="FFFFFF"/>
            <w:vAlign w:val="center"/>
            <w:hideMark/>
          </w:tcPr>
          <w:p w14:paraId="57EF87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36B3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1C877F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15308F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F85B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0CD03F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220,000,000</w:t>
            </w:r>
          </w:p>
        </w:tc>
        <w:tc>
          <w:tcPr>
            <w:tcW w:w="196" w:type="pct"/>
            <w:tcBorders>
              <w:top w:val="nil"/>
              <w:left w:val="nil"/>
              <w:bottom w:val="single" w:sz="4" w:space="0" w:color="auto"/>
              <w:right w:val="single" w:sz="4" w:space="0" w:color="auto"/>
            </w:tcBorders>
            <w:shd w:val="clear" w:color="000000" w:fill="FFFFFF"/>
            <w:vAlign w:val="center"/>
            <w:hideMark/>
          </w:tcPr>
          <w:p w14:paraId="2C310C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BEBA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220,000,000</w:t>
            </w:r>
          </w:p>
        </w:tc>
        <w:tc>
          <w:tcPr>
            <w:tcW w:w="196" w:type="pct"/>
            <w:tcBorders>
              <w:top w:val="nil"/>
              <w:left w:val="nil"/>
              <w:bottom w:val="single" w:sz="4" w:space="0" w:color="auto"/>
              <w:right w:val="single" w:sz="4" w:space="0" w:color="auto"/>
            </w:tcBorders>
            <w:shd w:val="clear" w:color="000000" w:fill="FFFFFF"/>
            <w:vAlign w:val="center"/>
            <w:hideMark/>
          </w:tcPr>
          <w:p w14:paraId="5FF71D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220,000,000</w:t>
            </w:r>
          </w:p>
        </w:tc>
        <w:tc>
          <w:tcPr>
            <w:tcW w:w="181" w:type="pct"/>
            <w:tcBorders>
              <w:top w:val="nil"/>
              <w:left w:val="nil"/>
              <w:bottom w:val="single" w:sz="4" w:space="0" w:color="auto"/>
              <w:right w:val="single" w:sz="4" w:space="0" w:color="auto"/>
            </w:tcBorders>
            <w:shd w:val="clear" w:color="000000" w:fill="FFFFFF"/>
            <w:vAlign w:val="center"/>
            <w:hideMark/>
          </w:tcPr>
          <w:p w14:paraId="2644DE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B076C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220,000,000</w:t>
            </w:r>
          </w:p>
        </w:tc>
        <w:tc>
          <w:tcPr>
            <w:tcW w:w="170" w:type="pct"/>
            <w:tcBorders>
              <w:top w:val="nil"/>
              <w:left w:val="nil"/>
              <w:bottom w:val="single" w:sz="4" w:space="0" w:color="auto"/>
              <w:right w:val="single" w:sz="4" w:space="0" w:color="auto"/>
            </w:tcBorders>
            <w:shd w:val="clear" w:color="000000" w:fill="FFFFFF"/>
            <w:vAlign w:val="center"/>
            <w:hideMark/>
          </w:tcPr>
          <w:p w14:paraId="26D43A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6DD7B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9C4F7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45AF2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01B13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7C5304C"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7FD1F2B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5.5</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345A8F82" w14:textId="6AC4D51F" w:rsidR="00D86FA8" w:rsidRPr="001F0C5A" w:rsidRDefault="00D86FA8" w:rsidP="003110EB">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Vendosja e komunikimit të sigurt nëpërmjet kanalit të komunikimit SIENA, të Qendrave të Përbashkëta për Bashkëpunimin në Plavë, Vërmicë (Morinë) dhe Qafë</w:t>
            </w:r>
            <w:r w:rsidR="003110EB">
              <w:rPr>
                <w:rFonts w:ascii="Garamond" w:eastAsia="Times New Roman" w:hAnsi="Garamond" w:cs="Times New Roman"/>
                <w:b/>
                <w:bCs/>
                <w:color w:val="000000"/>
                <w:sz w:val="6"/>
                <w:szCs w:val="6"/>
                <w:lang w:val="sq-AL"/>
              </w:rPr>
              <w:t>t</w:t>
            </w:r>
            <w:r w:rsidRPr="001F0C5A">
              <w:rPr>
                <w:rFonts w:ascii="Garamond" w:eastAsia="Times New Roman" w:hAnsi="Garamond" w:cs="Times New Roman"/>
                <w:b/>
                <w:bCs/>
                <w:color w:val="000000"/>
                <w:sz w:val="6"/>
                <w:szCs w:val="6"/>
                <w:lang w:val="sq-AL"/>
              </w:rPr>
              <w:t>hanë, nëpërmjet së cilës synohet forcimi i bashkëpunimit ndërkufitar me vendet fqinje në zbatim të Marrëveshjeve e Protokolleve për shkëmbimin e informacionit me policinë kufitare të vendeve fqinje.</w:t>
            </w:r>
          </w:p>
        </w:tc>
        <w:tc>
          <w:tcPr>
            <w:tcW w:w="211" w:type="pct"/>
            <w:tcBorders>
              <w:top w:val="nil"/>
              <w:left w:val="nil"/>
              <w:bottom w:val="single" w:sz="4" w:space="0" w:color="auto"/>
              <w:right w:val="single" w:sz="4" w:space="0" w:color="auto"/>
            </w:tcBorders>
            <w:shd w:val="clear" w:color="auto" w:fill="auto"/>
            <w:vAlign w:val="center"/>
            <w:hideMark/>
          </w:tcPr>
          <w:p w14:paraId="11404D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6AE87C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73FE77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Projekti EU4 FAST</w:t>
            </w:r>
          </w:p>
        </w:tc>
        <w:tc>
          <w:tcPr>
            <w:tcW w:w="143" w:type="pct"/>
            <w:tcBorders>
              <w:top w:val="nil"/>
              <w:left w:val="nil"/>
              <w:bottom w:val="single" w:sz="4" w:space="0" w:color="auto"/>
              <w:right w:val="single" w:sz="4" w:space="0" w:color="auto"/>
            </w:tcBorders>
            <w:shd w:val="clear" w:color="000000" w:fill="FFFFFF"/>
            <w:vAlign w:val="center"/>
            <w:hideMark/>
          </w:tcPr>
          <w:p w14:paraId="04357A9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2AD6E1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226543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21E5A7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2491F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A572A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D1322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auto" w:fill="auto"/>
            <w:vAlign w:val="center"/>
            <w:hideMark/>
          </w:tcPr>
          <w:p w14:paraId="321689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259F5A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D6635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05189D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1C6D63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B8C50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0FDBF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61AA4B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D15DD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232" w:type="pct"/>
            <w:tcBorders>
              <w:top w:val="nil"/>
              <w:left w:val="nil"/>
              <w:bottom w:val="single" w:sz="4" w:space="0" w:color="auto"/>
              <w:right w:val="single" w:sz="4" w:space="0" w:color="auto"/>
            </w:tcBorders>
            <w:shd w:val="clear" w:color="000000" w:fill="FFFFFF"/>
            <w:vAlign w:val="center"/>
            <w:hideMark/>
          </w:tcPr>
          <w:p w14:paraId="2AF064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Projekti i financuar nga BE (EU4SAFEALB)</w:t>
            </w:r>
          </w:p>
        </w:tc>
        <w:tc>
          <w:tcPr>
            <w:tcW w:w="181" w:type="pct"/>
            <w:tcBorders>
              <w:top w:val="nil"/>
              <w:left w:val="nil"/>
              <w:bottom w:val="single" w:sz="4" w:space="0" w:color="auto"/>
              <w:right w:val="single" w:sz="4" w:space="0" w:color="auto"/>
            </w:tcBorders>
            <w:shd w:val="clear" w:color="000000" w:fill="FFFFFF"/>
            <w:vAlign w:val="center"/>
            <w:hideMark/>
          </w:tcPr>
          <w:p w14:paraId="635AEF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60" w:type="pct"/>
            <w:tcBorders>
              <w:top w:val="nil"/>
              <w:left w:val="nil"/>
              <w:bottom w:val="single" w:sz="4" w:space="0" w:color="auto"/>
              <w:right w:val="single" w:sz="4" w:space="0" w:color="auto"/>
            </w:tcBorders>
            <w:shd w:val="clear" w:color="000000" w:fill="FFFFFF"/>
            <w:vAlign w:val="center"/>
            <w:hideMark/>
          </w:tcPr>
          <w:p w14:paraId="329060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F8AB170"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2DAD1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F924904" w14:textId="699E8917"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3110EB">
              <w:rPr>
                <w:rFonts w:ascii="Garamond" w:eastAsia="Times New Roman" w:hAnsi="Garamond" w:cs="Times New Roman"/>
                <w:b/>
                <w:bCs/>
                <w:color w:val="FF0000"/>
                <w:sz w:val="6"/>
                <w:szCs w:val="6"/>
                <w:lang w:val="sq-AL"/>
              </w:rPr>
              <w:t xml:space="preserve">ja – </w:t>
            </w:r>
            <w:r w:rsidRPr="001F0C5A">
              <w:rPr>
                <w:rFonts w:ascii="Garamond" w:eastAsia="Times New Roman" w:hAnsi="Garamond" w:cs="Times New Roman"/>
                <w:b/>
                <w:bCs/>
                <w:color w:val="FF0000"/>
                <w:sz w:val="6"/>
                <w:szCs w:val="6"/>
                <w:lang w:val="sq-AL"/>
              </w:rPr>
              <w:t>Objektivi specifik 5</w:t>
            </w:r>
          </w:p>
        </w:tc>
        <w:tc>
          <w:tcPr>
            <w:tcW w:w="211" w:type="pct"/>
            <w:tcBorders>
              <w:top w:val="nil"/>
              <w:left w:val="nil"/>
              <w:bottom w:val="single" w:sz="4" w:space="0" w:color="auto"/>
              <w:right w:val="single" w:sz="4" w:space="0" w:color="auto"/>
            </w:tcBorders>
            <w:shd w:val="clear" w:color="000000" w:fill="D9D9D9"/>
            <w:vAlign w:val="center"/>
            <w:hideMark/>
          </w:tcPr>
          <w:p w14:paraId="5A081D3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0456472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7CF4CAD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5617210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505AF1E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4BFF9F2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401,417,140</w:t>
            </w:r>
          </w:p>
        </w:tc>
        <w:tc>
          <w:tcPr>
            <w:tcW w:w="181" w:type="pct"/>
            <w:tcBorders>
              <w:top w:val="nil"/>
              <w:left w:val="nil"/>
              <w:bottom w:val="single" w:sz="4" w:space="0" w:color="auto"/>
              <w:right w:val="single" w:sz="4" w:space="0" w:color="auto"/>
            </w:tcBorders>
            <w:shd w:val="clear" w:color="000000" w:fill="D9D9D9"/>
            <w:vAlign w:val="center"/>
            <w:hideMark/>
          </w:tcPr>
          <w:p w14:paraId="288AAD9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6B3303D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401,417,140</w:t>
            </w:r>
          </w:p>
        </w:tc>
        <w:tc>
          <w:tcPr>
            <w:tcW w:w="196" w:type="pct"/>
            <w:tcBorders>
              <w:top w:val="nil"/>
              <w:left w:val="nil"/>
              <w:bottom w:val="single" w:sz="4" w:space="0" w:color="auto"/>
              <w:right w:val="single" w:sz="4" w:space="0" w:color="auto"/>
            </w:tcBorders>
            <w:shd w:val="clear" w:color="000000" w:fill="D9D9D9"/>
            <w:vAlign w:val="center"/>
            <w:hideMark/>
          </w:tcPr>
          <w:p w14:paraId="1F27954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401,417,140</w:t>
            </w:r>
          </w:p>
        </w:tc>
        <w:tc>
          <w:tcPr>
            <w:tcW w:w="196" w:type="pct"/>
            <w:tcBorders>
              <w:top w:val="nil"/>
              <w:left w:val="nil"/>
              <w:bottom w:val="single" w:sz="4" w:space="0" w:color="auto"/>
              <w:right w:val="single" w:sz="4" w:space="0" w:color="auto"/>
            </w:tcBorders>
            <w:shd w:val="clear" w:color="000000" w:fill="D9D9D9"/>
            <w:vAlign w:val="center"/>
            <w:hideMark/>
          </w:tcPr>
          <w:p w14:paraId="4C9722A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291,875,000</w:t>
            </w:r>
          </w:p>
        </w:tc>
        <w:tc>
          <w:tcPr>
            <w:tcW w:w="196" w:type="pct"/>
            <w:tcBorders>
              <w:top w:val="nil"/>
              <w:left w:val="nil"/>
              <w:bottom w:val="single" w:sz="4" w:space="0" w:color="auto"/>
              <w:right w:val="single" w:sz="4" w:space="0" w:color="auto"/>
            </w:tcBorders>
            <w:shd w:val="clear" w:color="000000" w:fill="D9D9D9"/>
            <w:vAlign w:val="center"/>
            <w:hideMark/>
          </w:tcPr>
          <w:p w14:paraId="5D195AA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693,292,140</w:t>
            </w:r>
          </w:p>
        </w:tc>
        <w:tc>
          <w:tcPr>
            <w:tcW w:w="196" w:type="pct"/>
            <w:tcBorders>
              <w:top w:val="nil"/>
              <w:left w:val="nil"/>
              <w:bottom w:val="single" w:sz="4" w:space="0" w:color="auto"/>
              <w:right w:val="single" w:sz="4" w:space="0" w:color="auto"/>
            </w:tcBorders>
            <w:shd w:val="clear" w:color="000000" w:fill="D9D9D9"/>
            <w:vAlign w:val="center"/>
            <w:hideMark/>
          </w:tcPr>
          <w:p w14:paraId="30B7876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802,834,280</w:t>
            </w:r>
          </w:p>
        </w:tc>
        <w:tc>
          <w:tcPr>
            <w:tcW w:w="196" w:type="pct"/>
            <w:tcBorders>
              <w:top w:val="nil"/>
              <w:left w:val="nil"/>
              <w:bottom w:val="single" w:sz="4" w:space="0" w:color="auto"/>
              <w:right w:val="single" w:sz="4" w:space="0" w:color="auto"/>
            </w:tcBorders>
            <w:shd w:val="clear" w:color="000000" w:fill="D9D9D9"/>
            <w:vAlign w:val="center"/>
            <w:hideMark/>
          </w:tcPr>
          <w:p w14:paraId="0BD2EA0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291,875,000</w:t>
            </w:r>
          </w:p>
        </w:tc>
        <w:tc>
          <w:tcPr>
            <w:tcW w:w="196" w:type="pct"/>
            <w:tcBorders>
              <w:top w:val="nil"/>
              <w:left w:val="nil"/>
              <w:bottom w:val="single" w:sz="4" w:space="0" w:color="auto"/>
              <w:right w:val="single" w:sz="4" w:space="0" w:color="auto"/>
            </w:tcBorders>
            <w:shd w:val="clear" w:color="000000" w:fill="D9D9D9"/>
            <w:vAlign w:val="center"/>
            <w:hideMark/>
          </w:tcPr>
          <w:p w14:paraId="3569572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1,094,709,280</w:t>
            </w:r>
          </w:p>
        </w:tc>
        <w:tc>
          <w:tcPr>
            <w:tcW w:w="196" w:type="pct"/>
            <w:tcBorders>
              <w:top w:val="nil"/>
              <w:left w:val="nil"/>
              <w:bottom w:val="single" w:sz="4" w:space="0" w:color="auto"/>
              <w:right w:val="single" w:sz="4" w:space="0" w:color="auto"/>
            </w:tcBorders>
            <w:shd w:val="clear" w:color="000000" w:fill="D9D9D9"/>
            <w:vAlign w:val="center"/>
            <w:hideMark/>
          </w:tcPr>
          <w:p w14:paraId="25404A2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802,834,280</w:t>
            </w:r>
          </w:p>
        </w:tc>
        <w:tc>
          <w:tcPr>
            <w:tcW w:w="181" w:type="pct"/>
            <w:tcBorders>
              <w:top w:val="nil"/>
              <w:left w:val="nil"/>
              <w:bottom w:val="single" w:sz="4" w:space="0" w:color="auto"/>
              <w:right w:val="single" w:sz="4" w:space="0" w:color="auto"/>
            </w:tcBorders>
            <w:shd w:val="clear" w:color="000000" w:fill="D9D9D9"/>
            <w:vAlign w:val="center"/>
            <w:hideMark/>
          </w:tcPr>
          <w:p w14:paraId="2E68B63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231,875,000</w:t>
            </w:r>
          </w:p>
        </w:tc>
        <w:tc>
          <w:tcPr>
            <w:tcW w:w="196" w:type="pct"/>
            <w:tcBorders>
              <w:top w:val="nil"/>
              <w:left w:val="nil"/>
              <w:bottom w:val="single" w:sz="4" w:space="0" w:color="auto"/>
              <w:right w:val="single" w:sz="4" w:space="0" w:color="auto"/>
            </w:tcBorders>
            <w:shd w:val="clear" w:color="000000" w:fill="D9D9D9"/>
            <w:vAlign w:val="center"/>
            <w:hideMark/>
          </w:tcPr>
          <w:p w14:paraId="0223613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1,034,709,280</w:t>
            </w:r>
          </w:p>
        </w:tc>
        <w:tc>
          <w:tcPr>
            <w:tcW w:w="170" w:type="pct"/>
            <w:tcBorders>
              <w:top w:val="nil"/>
              <w:left w:val="nil"/>
              <w:bottom w:val="single" w:sz="4" w:space="0" w:color="auto"/>
              <w:right w:val="single" w:sz="4" w:space="0" w:color="auto"/>
            </w:tcBorders>
            <w:shd w:val="clear" w:color="000000" w:fill="D9D9D9"/>
            <w:vAlign w:val="center"/>
            <w:hideMark/>
          </w:tcPr>
          <w:p w14:paraId="2254E01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2D25577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60,000,000</w:t>
            </w:r>
          </w:p>
        </w:tc>
        <w:tc>
          <w:tcPr>
            <w:tcW w:w="232" w:type="pct"/>
            <w:tcBorders>
              <w:top w:val="nil"/>
              <w:left w:val="nil"/>
              <w:bottom w:val="single" w:sz="4" w:space="0" w:color="auto"/>
              <w:right w:val="single" w:sz="4" w:space="0" w:color="auto"/>
            </w:tcBorders>
            <w:shd w:val="clear" w:color="000000" w:fill="D9D9D9"/>
            <w:vAlign w:val="center"/>
            <w:hideMark/>
          </w:tcPr>
          <w:p w14:paraId="0C98D51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E34501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60,000,000</w:t>
            </w:r>
          </w:p>
        </w:tc>
        <w:tc>
          <w:tcPr>
            <w:tcW w:w="160" w:type="pct"/>
            <w:tcBorders>
              <w:top w:val="nil"/>
              <w:left w:val="nil"/>
              <w:bottom w:val="single" w:sz="4" w:space="0" w:color="auto"/>
              <w:right w:val="single" w:sz="4" w:space="0" w:color="auto"/>
            </w:tcBorders>
            <w:shd w:val="clear" w:color="000000" w:fill="D9D9D9"/>
            <w:vAlign w:val="center"/>
            <w:hideMark/>
          </w:tcPr>
          <w:p w14:paraId="17F14FA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5DB435DC"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26C5C66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6</w:t>
            </w:r>
          </w:p>
        </w:tc>
        <w:tc>
          <w:tcPr>
            <w:tcW w:w="247" w:type="pct"/>
            <w:tcBorders>
              <w:top w:val="nil"/>
              <w:left w:val="nil"/>
              <w:bottom w:val="single" w:sz="4" w:space="0" w:color="auto"/>
              <w:right w:val="single" w:sz="4" w:space="0" w:color="auto"/>
            </w:tcBorders>
            <w:shd w:val="clear" w:color="000000" w:fill="DDEBF7"/>
            <w:vAlign w:val="center"/>
            <w:hideMark/>
          </w:tcPr>
          <w:p w14:paraId="0C58C6B8" w14:textId="53A0CE89"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6: Përmirësimi i sistemit të ripranimit (kthimit dhe pranimit) të shtetasve të huaj dhe </w:t>
            </w:r>
            <w:r w:rsidR="003110EB">
              <w:rPr>
                <w:rFonts w:ascii="Garamond" w:eastAsia="Times New Roman" w:hAnsi="Garamond" w:cs="Times New Roman"/>
                <w:b/>
                <w:bCs/>
                <w:color w:val="000000"/>
                <w:sz w:val="6"/>
                <w:szCs w:val="6"/>
                <w:lang w:val="sq-AL"/>
              </w:rPr>
              <w:t>vendës</w:t>
            </w:r>
            <w:r w:rsidRPr="001F0C5A">
              <w:rPr>
                <w:rFonts w:ascii="Garamond" w:eastAsia="Times New Roman" w:hAnsi="Garamond" w:cs="Times New Roman"/>
                <w:b/>
                <w:bCs/>
                <w:color w:val="000000"/>
                <w:sz w:val="6"/>
                <w:szCs w:val="6"/>
                <w:lang w:val="sq-AL"/>
              </w:rPr>
              <w:t xml:space="preserve"> në përputhje me marrëveshjet e lidhura dhe në bashkëpunim me misionet diplomatike dhe konsullore</w:t>
            </w:r>
          </w:p>
        </w:tc>
        <w:tc>
          <w:tcPr>
            <w:tcW w:w="211" w:type="pct"/>
            <w:tcBorders>
              <w:top w:val="nil"/>
              <w:left w:val="nil"/>
              <w:bottom w:val="single" w:sz="4" w:space="0" w:color="auto"/>
              <w:right w:val="single" w:sz="4" w:space="0" w:color="auto"/>
            </w:tcBorders>
            <w:shd w:val="clear" w:color="000000" w:fill="DDEBF7"/>
            <w:vAlign w:val="center"/>
            <w:hideMark/>
          </w:tcPr>
          <w:p w14:paraId="44CC32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68C961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10BE4F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6FF65D5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596807A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6F9A5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25681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BABF0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E39CD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A9A63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FEEFB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E2D90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500D8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C6E46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DA35C1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F0FE9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06E0D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2900CC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EB1B3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224E51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19572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4D4EA8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6E4D82EE"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58332F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6.1</w:t>
            </w:r>
          </w:p>
        </w:tc>
        <w:tc>
          <w:tcPr>
            <w:tcW w:w="247" w:type="pct"/>
            <w:tcBorders>
              <w:top w:val="nil"/>
              <w:left w:val="nil"/>
              <w:bottom w:val="single" w:sz="4" w:space="0" w:color="auto"/>
              <w:right w:val="single" w:sz="4" w:space="0" w:color="auto"/>
            </w:tcBorders>
            <w:shd w:val="clear" w:color="auto" w:fill="auto"/>
            <w:hideMark/>
          </w:tcPr>
          <w:p w14:paraId="75479CE6" w14:textId="21185556"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Ndjekja e kërkesave dhe vijimi i negociatave drejt nënshkrimit të marrëveshjeve të ripranimit me:</w:t>
            </w:r>
            <w:r w:rsidRPr="001F0C5A">
              <w:rPr>
                <w:rFonts w:ascii="Garamond" w:eastAsia="Times New Roman" w:hAnsi="Garamond" w:cs="Times New Roman"/>
                <w:b/>
                <w:bCs/>
                <w:color w:val="000000"/>
                <w:sz w:val="6"/>
                <w:szCs w:val="6"/>
                <w:lang w:val="sq-AL"/>
              </w:rPr>
              <w:br/>
              <w:t>1. Indinë</w:t>
            </w:r>
            <w:r w:rsidRPr="001F0C5A">
              <w:rPr>
                <w:rFonts w:ascii="Garamond" w:eastAsia="Times New Roman" w:hAnsi="Garamond" w:cs="Times New Roman"/>
                <w:b/>
                <w:bCs/>
                <w:color w:val="000000"/>
                <w:sz w:val="6"/>
                <w:szCs w:val="6"/>
                <w:lang w:val="sq-AL"/>
              </w:rPr>
              <w:br/>
              <w:t>2. Algjerinë</w:t>
            </w:r>
            <w:r w:rsidRPr="001F0C5A">
              <w:rPr>
                <w:rFonts w:ascii="Garamond" w:eastAsia="Times New Roman" w:hAnsi="Garamond" w:cs="Times New Roman"/>
                <w:b/>
                <w:bCs/>
                <w:color w:val="000000"/>
                <w:sz w:val="6"/>
                <w:szCs w:val="6"/>
                <w:lang w:val="sq-AL"/>
              </w:rPr>
              <w:br/>
              <w:t xml:space="preserve">3. </w:t>
            </w:r>
            <w:r w:rsidR="003110EB" w:rsidRPr="001F0C5A">
              <w:rPr>
                <w:rFonts w:ascii="Garamond" w:eastAsia="Times New Roman" w:hAnsi="Garamond" w:cs="Times New Roman"/>
                <w:b/>
                <w:bCs/>
                <w:color w:val="000000"/>
                <w:sz w:val="6"/>
                <w:szCs w:val="6"/>
                <w:lang w:val="sq-AL"/>
              </w:rPr>
              <w:t>Egjiptin</w:t>
            </w:r>
            <w:r w:rsidRPr="001F0C5A">
              <w:rPr>
                <w:rFonts w:ascii="Garamond" w:eastAsia="Times New Roman" w:hAnsi="Garamond" w:cs="Times New Roman"/>
                <w:b/>
                <w:bCs/>
                <w:color w:val="000000"/>
                <w:sz w:val="6"/>
                <w:szCs w:val="6"/>
                <w:lang w:val="sq-AL"/>
              </w:rPr>
              <w:br/>
              <w:t>4. Pakistanin</w:t>
            </w:r>
            <w:r w:rsidRPr="001F0C5A">
              <w:rPr>
                <w:rFonts w:ascii="Garamond" w:eastAsia="Times New Roman" w:hAnsi="Garamond" w:cs="Times New Roman"/>
                <w:b/>
                <w:bCs/>
                <w:color w:val="000000"/>
                <w:sz w:val="6"/>
                <w:szCs w:val="6"/>
                <w:lang w:val="sq-AL"/>
              </w:rPr>
              <w:br/>
              <w:t>5. Marokun</w:t>
            </w:r>
          </w:p>
        </w:tc>
        <w:tc>
          <w:tcPr>
            <w:tcW w:w="211" w:type="pct"/>
            <w:tcBorders>
              <w:top w:val="nil"/>
              <w:left w:val="nil"/>
              <w:bottom w:val="single" w:sz="4" w:space="0" w:color="auto"/>
              <w:right w:val="single" w:sz="4" w:space="0" w:color="auto"/>
            </w:tcBorders>
            <w:shd w:val="clear" w:color="000000" w:fill="FFFFFF"/>
            <w:vAlign w:val="center"/>
            <w:hideMark/>
          </w:tcPr>
          <w:p w14:paraId="575B1B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D4CA8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60EFB5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MEPJ</w:t>
            </w:r>
          </w:p>
        </w:tc>
        <w:tc>
          <w:tcPr>
            <w:tcW w:w="143" w:type="pct"/>
            <w:tcBorders>
              <w:top w:val="nil"/>
              <w:left w:val="nil"/>
              <w:bottom w:val="single" w:sz="4" w:space="0" w:color="auto"/>
              <w:right w:val="single" w:sz="4" w:space="0" w:color="auto"/>
            </w:tcBorders>
            <w:shd w:val="clear" w:color="000000" w:fill="FFFFFF"/>
            <w:vAlign w:val="center"/>
            <w:hideMark/>
          </w:tcPr>
          <w:p w14:paraId="6710533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8545FE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7F030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348959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42C5A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0492AD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0A0E1E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AC696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0F8CD7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292CB6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5323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1790F1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81" w:type="pct"/>
            <w:tcBorders>
              <w:top w:val="nil"/>
              <w:left w:val="nil"/>
              <w:bottom w:val="single" w:sz="4" w:space="0" w:color="auto"/>
              <w:right w:val="single" w:sz="4" w:space="0" w:color="auto"/>
            </w:tcBorders>
            <w:shd w:val="clear" w:color="000000" w:fill="FFFFFF"/>
            <w:vAlign w:val="center"/>
            <w:hideMark/>
          </w:tcPr>
          <w:p w14:paraId="2E8D6B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5A64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70" w:type="pct"/>
            <w:tcBorders>
              <w:top w:val="nil"/>
              <w:left w:val="nil"/>
              <w:bottom w:val="single" w:sz="4" w:space="0" w:color="auto"/>
              <w:right w:val="single" w:sz="4" w:space="0" w:color="auto"/>
            </w:tcBorders>
            <w:shd w:val="clear" w:color="000000" w:fill="FFFFFF"/>
            <w:vAlign w:val="center"/>
            <w:hideMark/>
          </w:tcPr>
          <w:p w14:paraId="60DAFC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C165C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0E95C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396F4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12833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9FBB756"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2EA4C9D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6.2</w:t>
            </w:r>
          </w:p>
        </w:tc>
        <w:tc>
          <w:tcPr>
            <w:tcW w:w="247" w:type="pct"/>
            <w:tcBorders>
              <w:top w:val="nil"/>
              <w:left w:val="nil"/>
              <w:bottom w:val="single" w:sz="4" w:space="0" w:color="auto"/>
              <w:right w:val="single" w:sz="4" w:space="0" w:color="auto"/>
            </w:tcBorders>
            <w:shd w:val="clear" w:color="auto" w:fill="auto"/>
            <w:vAlign w:val="center"/>
            <w:hideMark/>
          </w:tcPr>
          <w:p w14:paraId="02E00DCF" w14:textId="6F5E4B34"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Zhvillimi i projektit për përmirësimin e</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infrastrukturës së lehtë dhe kushteve të trajtimit dhe akomodimit të migrantëve në Qendrën e Mbyllur për të Huajt në Karreç</w:t>
            </w:r>
          </w:p>
        </w:tc>
        <w:tc>
          <w:tcPr>
            <w:tcW w:w="211" w:type="pct"/>
            <w:tcBorders>
              <w:top w:val="nil"/>
              <w:left w:val="nil"/>
              <w:bottom w:val="single" w:sz="4" w:space="0" w:color="auto"/>
              <w:right w:val="single" w:sz="4" w:space="0" w:color="auto"/>
            </w:tcBorders>
            <w:shd w:val="clear" w:color="000000" w:fill="FFFFFF"/>
            <w:vAlign w:val="center"/>
            <w:hideMark/>
          </w:tcPr>
          <w:p w14:paraId="687E63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Projekt i ri</w:t>
            </w:r>
          </w:p>
        </w:tc>
        <w:tc>
          <w:tcPr>
            <w:tcW w:w="202" w:type="pct"/>
            <w:tcBorders>
              <w:top w:val="nil"/>
              <w:left w:val="nil"/>
              <w:bottom w:val="single" w:sz="4" w:space="0" w:color="auto"/>
              <w:right w:val="single" w:sz="4" w:space="0" w:color="auto"/>
            </w:tcBorders>
            <w:shd w:val="clear" w:color="auto" w:fill="auto"/>
            <w:vAlign w:val="center"/>
            <w:hideMark/>
          </w:tcPr>
          <w:p w14:paraId="53B6C4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auto" w:fill="auto"/>
            <w:vAlign w:val="center"/>
            <w:hideMark/>
          </w:tcPr>
          <w:p w14:paraId="25929C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Donacion BE/ICMPD</w:t>
            </w:r>
          </w:p>
        </w:tc>
        <w:tc>
          <w:tcPr>
            <w:tcW w:w="143" w:type="pct"/>
            <w:tcBorders>
              <w:top w:val="nil"/>
              <w:left w:val="nil"/>
              <w:bottom w:val="single" w:sz="4" w:space="0" w:color="auto"/>
              <w:right w:val="single" w:sz="4" w:space="0" w:color="auto"/>
            </w:tcBorders>
            <w:shd w:val="clear" w:color="auto" w:fill="auto"/>
            <w:vAlign w:val="center"/>
            <w:hideMark/>
          </w:tcPr>
          <w:p w14:paraId="048E3D8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5FDC04E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16B481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25D09A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ED41B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A3236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3585E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196" w:type="pct"/>
            <w:tcBorders>
              <w:top w:val="nil"/>
              <w:left w:val="nil"/>
              <w:bottom w:val="single" w:sz="4" w:space="0" w:color="auto"/>
              <w:right w:val="single" w:sz="4" w:space="0" w:color="auto"/>
            </w:tcBorders>
            <w:shd w:val="clear" w:color="auto" w:fill="auto"/>
            <w:vAlign w:val="center"/>
            <w:hideMark/>
          </w:tcPr>
          <w:p w14:paraId="60374D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196" w:type="pct"/>
            <w:tcBorders>
              <w:top w:val="nil"/>
              <w:left w:val="nil"/>
              <w:bottom w:val="single" w:sz="4" w:space="0" w:color="auto"/>
              <w:right w:val="single" w:sz="4" w:space="0" w:color="auto"/>
            </w:tcBorders>
            <w:shd w:val="clear" w:color="000000" w:fill="FFFFFF"/>
            <w:vAlign w:val="center"/>
            <w:hideMark/>
          </w:tcPr>
          <w:p w14:paraId="44A712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88586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196" w:type="pct"/>
            <w:tcBorders>
              <w:top w:val="nil"/>
              <w:left w:val="nil"/>
              <w:bottom w:val="single" w:sz="4" w:space="0" w:color="auto"/>
              <w:right w:val="single" w:sz="4" w:space="0" w:color="auto"/>
            </w:tcBorders>
            <w:shd w:val="clear" w:color="000000" w:fill="FFFFFF"/>
            <w:vAlign w:val="center"/>
            <w:hideMark/>
          </w:tcPr>
          <w:p w14:paraId="15892A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196" w:type="pct"/>
            <w:tcBorders>
              <w:top w:val="nil"/>
              <w:left w:val="nil"/>
              <w:bottom w:val="single" w:sz="4" w:space="0" w:color="auto"/>
              <w:right w:val="single" w:sz="4" w:space="0" w:color="auto"/>
            </w:tcBorders>
            <w:shd w:val="clear" w:color="000000" w:fill="FFFFFF"/>
            <w:vAlign w:val="center"/>
            <w:hideMark/>
          </w:tcPr>
          <w:p w14:paraId="4A38A2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9CC15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5688C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36E4DD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50148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232" w:type="pct"/>
            <w:tcBorders>
              <w:top w:val="nil"/>
              <w:left w:val="nil"/>
              <w:bottom w:val="single" w:sz="4" w:space="0" w:color="auto"/>
              <w:right w:val="single" w:sz="4" w:space="0" w:color="auto"/>
            </w:tcBorders>
            <w:shd w:val="clear" w:color="auto" w:fill="auto"/>
            <w:vAlign w:val="center"/>
            <w:hideMark/>
          </w:tcPr>
          <w:p w14:paraId="1D394FB1" w14:textId="77777777" w:rsidR="00D86FA8" w:rsidRPr="001F0C5A" w:rsidRDefault="00D86FA8" w:rsidP="00D86FA8">
            <w:pPr>
              <w:spacing w:after="0" w:line="240" w:lineRule="auto"/>
              <w:jc w:val="center"/>
              <w:rPr>
                <w:rFonts w:ascii="Garamond" w:eastAsia="Times New Roman" w:hAnsi="Garamond" w:cs="Times New Roman"/>
                <w:color w:val="FF0000"/>
                <w:sz w:val="6"/>
                <w:szCs w:val="6"/>
                <w:lang w:val="sq-AL"/>
              </w:rPr>
            </w:pPr>
            <w:r w:rsidRPr="001F0C5A">
              <w:rPr>
                <w:rFonts w:ascii="Garamond" w:eastAsia="Times New Roman" w:hAnsi="Garamond" w:cs="Times New Roman"/>
                <w:color w:val="FF0000"/>
                <w:sz w:val="6"/>
                <w:szCs w:val="6"/>
                <w:lang w:val="sq-AL"/>
              </w:rPr>
              <w:t>Donacion BE/ICMPD</w:t>
            </w:r>
          </w:p>
        </w:tc>
        <w:tc>
          <w:tcPr>
            <w:tcW w:w="181" w:type="pct"/>
            <w:tcBorders>
              <w:top w:val="nil"/>
              <w:left w:val="nil"/>
              <w:bottom w:val="single" w:sz="4" w:space="0" w:color="auto"/>
              <w:right w:val="single" w:sz="4" w:space="0" w:color="auto"/>
            </w:tcBorders>
            <w:shd w:val="clear" w:color="000000" w:fill="FFFFFF"/>
            <w:vAlign w:val="center"/>
            <w:hideMark/>
          </w:tcPr>
          <w:p w14:paraId="3AB2FF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160" w:type="pct"/>
            <w:tcBorders>
              <w:top w:val="nil"/>
              <w:left w:val="nil"/>
              <w:bottom w:val="single" w:sz="4" w:space="0" w:color="auto"/>
              <w:right w:val="single" w:sz="4" w:space="0" w:color="auto"/>
            </w:tcBorders>
            <w:shd w:val="clear" w:color="000000" w:fill="FFFFFF"/>
            <w:vAlign w:val="center"/>
            <w:hideMark/>
          </w:tcPr>
          <w:p w14:paraId="7FF2A0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15342CD"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8B5155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6.3</w:t>
            </w:r>
          </w:p>
        </w:tc>
        <w:tc>
          <w:tcPr>
            <w:tcW w:w="247" w:type="pct"/>
            <w:tcBorders>
              <w:top w:val="nil"/>
              <w:left w:val="nil"/>
              <w:bottom w:val="single" w:sz="4" w:space="0" w:color="auto"/>
              <w:right w:val="single" w:sz="4" w:space="0" w:color="auto"/>
            </w:tcBorders>
            <w:shd w:val="clear" w:color="auto" w:fill="auto"/>
            <w:vAlign w:val="center"/>
            <w:hideMark/>
          </w:tcPr>
          <w:p w14:paraId="05FF8B50" w14:textId="2167D36B"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Forcimi i kapaciteteve institucionale për realizimin e kthimeve dhe mundësimin e burimeve njerëzore/logjistike dhe </w:t>
            </w:r>
            <w:r w:rsidR="003110EB" w:rsidRPr="001F0C5A">
              <w:rPr>
                <w:rFonts w:ascii="Garamond" w:eastAsia="Times New Roman" w:hAnsi="Garamond" w:cs="Times New Roman"/>
                <w:b/>
                <w:bCs/>
                <w:color w:val="000000"/>
                <w:sz w:val="6"/>
                <w:szCs w:val="6"/>
                <w:lang w:val="sq-AL"/>
              </w:rPr>
              <w:t>trajnimin</w:t>
            </w:r>
            <w:r w:rsidRPr="001F0C5A">
              <w:rPr>
                <w:rFonts w:ascii="Garamond" w:eastAsia="Times New Roman" w:hAnsi="Garamond" w:cs="Times New Roman"/>
                <w:b/>
                <w:bCs/>
                <w:color w:val="000000"/>
                <w:sz w:val="6"/>
                <w:szCs w:val="6"/>
                <w:lang w:val="sq-AL"/>
              </w:rPr>
              <w:t xml:space="preserve"> e specializuar për drejtues eskorte dhe eskorta, nëpërmjet së cilës synohet sigurimi i bazës materiale/logjistike adekuate dhe fillimi i fluturimeve nacionale dhe të përbashkëta të kthimeve në kuadrin e implementimit të marrëveshjeve të ripranimit.</w:t>
            </w:r>
          </w:p>
        </w:tc>
        <w:tc>
          <w:tcPr>
            <w:tcW w:w="211" w:type="pct"/>
            <w:tcBorders>
              <w:top w:val="nil"/>
              <w:left w:val="nil"/>
              <w:bottom w:val="single" w:sz="4" w:space="0" w:color="auto"/>
              <w:right w:val="single" w:sz="4" w:space="0" w:color="auto"/>
            </w:tcBorders>
            <w:shd w:val="clear" w:color="000000" w:fill="FFFFFF"/>
            <w:vAlign w:val="center"/>
            <w:hideMark/>
          </w:tcPr>
          <w:p w14:paraId="379029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auto" w:fill="auto"/>
            <w:vAlign w:val="center"/>
            <w:hideMark/>
          </w:tcPr>
          <w:p w14:paraId="30855D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auto" w:fill="auto"/>
            <w:vAlign w:val="center"/>
            <w:hideMark/>
          </w:tcPr>
          <w:p w14:paraId="07712F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auto" w:fill="auto"/>
            <w:vAlign w:val="center"/>
            <w:hideMark/>
          </w:tcPr>
          <w:p w14:paraId="1C3D07D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6C634AA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3832D5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auto" w:fill="auto"/>
            <w:vAlign w:val="center"/>
            <w:hideMark/>
          </w:tcPr>
          <w:p w14:paraId="11413F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F2B92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auto" w:fill="auto"/>
            <w:vAlign w:val="center"/>
            <w:hideMark/>
          </w:tcPr>
          <w:p w14:paraId="1599E7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auto" w:fill="auto"/>
            <w:vAlign w:val="center"/>
            <w:hideMark/>
          </w:tcPr>
          <w:p w14:paraId="4C56CA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896E1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0F657F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43C667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D901C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0CAF4C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3C1025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28544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5DB0A8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D33C6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64434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18ED2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F2FA1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192795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52369F3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14860A26" w14:textId="002CA3CA"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3110EB">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6</w:t>
            </w:r>
          </w:p>
        </w:tc>
        <w:tc>
          <w:tcPr>
            <w:tcW w:w="211" w:type="pct"/>
            <w:tcBorders>
              <w:top w:val="nil"/>
              <w:left w:val="nil"/>
              <w:bottom w:val="single" w:sz="4" w:space="0" w:color="auto"/>
              <w:right w:val="single" w:sz="4" w:space="0" w:color="auto"/>
            </w:tcBorders>
            <w:shd w:val="clear" w:color="000000" w:fill="D9D9D9"/>
            <w:vAlign w:val="center"/>
            <w:hideMark/>
          </w:tcPr>
          <w:p w14:paraId="7540042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33EB6C4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69A50CF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7BF0777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5324E2F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492498A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700,000</w:t>
            </w:r>
          </w:p>
        </w:tc>
        <w:tc>
          <w:tcPr>
            <w:tcW w:w="181" w:type="pct"/>
            <w:tcBorders>
              <w:top w:val="nil"/>
              <w:left w:val="nil"/>
              <w:bottom w:val="single" w:sz="4" w:space="0" w:color="auto"/>
              <w:right w:val="single" w:sz="4" w:space="0" w:color="auto"/>
            </w:tcBorders>
            <w:shd w:val="clear" w:color="000000" w:fill="D9D9D9"/>
            <w:vAlign w:val="center"/>
            <w:hideMark/>
          </w:tcPr>
          <w:p w14:paraId="1C0197A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424097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700,000</w:t>
            </w:r>
          </w:p>
        </w:tc>
        <w:tc>
          <w:tcPr>
            <w:tcW w:w="196" w:type="pct"/>
            <w:tcBorders>
              <w:top w:val="nil"/>
              <w:left w:val="nil"/>
              <w:bottom w:val="single" w:sz="4" w:space="0" w:color="auto"/>
              <w:right w:val="single" w:sz="4" w:space="0" w:color="auto"/>
            </w:tcBorders>
            <w:shd w:val="clear" w:color="000000" w:fill="D9D9D9"/>
            <w:vAlign w:val="center"/>
            <w:hideMark/>
          </w:tcPr>
          <w:p w14:paraId="758AB56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700,000</w:t>
            </w:r>
          </w:p>
        </w:tc>
        <w:tc>
          <w:tcPr>
            <w:tcW w:w="196" w:type="pct"/>
            <w:tcBorders>
              <w:top w:val="nil"/>
              <w:left w:val="nil"/>
              <w:bottom w:val="single" w:sz="4" w:space="0" w:color="auto"/>
              <w:right w:val="single" w:sz="4" w:space="0" w:color="auto"/>
            </w:tcBorders>
            <w:shd w:val="clear" w:color="000000" w:fill="D9D9D9"/>
            <w:vAlign w:val="center"/>
            <w:hideMark/>
          </w:tcPr>
          <w:p w14:paraId="655DEE3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50,000,000</w:t>
            </w:r>
          </w:p>
        </w:tc>
        <w:tc>
          <w:tcPr>
            <w:tcW w:w="196" w:type="pct"/>
            <w:tcBorders>
              <w:top w:val="nil"/>
              <w:left w:val="nil"/>
              <w:bottom w:val="single" w:sz="4" w:space="0" w:color="auto"/>
              <w:right w:val="single" w:sz="4" w:space="0" w:color="auto"/>
            </w:tcBorders>
            <w:shd w:val="clear" w:color="000000" w:fill="D9D9D9"/>
            <w:vAlign w:val="center"/>
            <w:hideMark/>
          </w:tcPr>
          <w:p w14:paraId="5F89481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50,700,000</w:t>
            </w:r>
          </w:p>
        </w:tc>
        <w:tc>
          <w:tcPr>
            <w:tcW w:w="196" w:type="pct"/>
            <w:tcBorders>
              <w:top w:val="nil"/>
              <w:left w:val="nil"/>
              <w:bottom w:val="single" w:sz="4" w:space="0" w:color="auto"/>
              <w:right w:val="single" w:sz="4" w:space="0" w:color="auto"/>
            </w:tcBorders>
            <w:shd w:val="clear" w:color="000000" w:fill="D9D9D9"/>
            <w:vAlign w:val="center"/>
            <w:hideMark/>
          </w:tcPr>
          <w:p w14:paraId="309F817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1,400,000</w:t>
            </w:r>
          </w:p>
        </w:tc>
        <w:tc>
          <w:tcPr>
            <w:tcW w:w="196" w:type="pct"/>
            <w:tcBorders>
              <w:top w:val="nil"/>
              <w:left w:val="nil"/>
              <w:bottom w:val="single" w:sz="4" w:space="0" w:color="auto"/>
              <w:right w:val="single" w:sz="4" w:space="0" w:color="auto"/>
            </w:tcBorders>
            <w:shd w:val="clear" w:color="000000" w:fill="D9D9D9"/>
            <w:vAlign w:val="center"/>
            <w:hideMark/>
          </w:tcPr>
          <w:p w14:paraId="72363CF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50,000,000</w:t>
            </w:r>
          </w:p>
        </w:tc>
        <w:tc>
          <w:tcPr>
            <w:tcW w:w="196" w:type="pct"/>
            <w:tcBorders>
              <w:top w:val="nil"/>
              <w:left w:val="nil"/>
              <w:bottom w:val="single" w:sz="4" w:space="0" w:color="auto"/>
              <w:right w:val="single" w:sz="4" w:space="0" w:color="auto"/>
            </w:tcBorders>
            <w:shd w:val="clear" w:color="000000" w:fill="D9D9D9"/>
            <w:vAlign w:val="center"/>
            <w:hideMark/>
          </w:tcPr>
          <w:p w14:paraId="25CCE8C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51,400,000</w:t>
            </w:r>
          </w:p>
        </w:tc>
        <w:tc>
          <w:tcPr>
            <w:tcW w:w="196" w:type="pct"/>
            <w:tcBorders>
              <w:top w:val="nil"/>
              <w:left w:val="nil"/>
              <w:bottom w:val="single" w:sz="4" w:space="0" w:color="auto"/>
              <w:right w:val="single" w:sz="4" w:space="0" w:color="auto"/>
            </w:tcBorders>
            <w:shd w:val="clear" w:color="000000" w:fill="D9D9D9"/>
            <w:vAlign w:val="center"/>
            <w:hideMark/>
          </w:tcPr>
          <w:p w14:paraId="410B049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1,400,000</w:t>
            </w:r>
          </w:p>
        </w:tc>
        <w:tc>
          <w:tcPr>
            <w:tcW w:w="181" w:type="pct"/>
            <w:tcBorders>
              <w:top w:val="nil"/>
              <w:left w:val="nil"/>
              <w:bottom w:val="single" w:sz="4" w:space="0" w:color="auto"/>
              <w:right w:val="single" w:sz="4" w:space="0" w:color="auto"/>
            </w:tcBorders>
            <w:shd w:val="clear" w:color="000000" w:fill="D9D9D9"/>
            <w:vAlign w:val="center"/>
            <w:hideMark/>
          </w:tcPr>
          <w:p w14:paraId="5EBCF19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118C558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1,400,000</w:t>
            </w:r>
          </w:p>
        </w:tc>
        <w:tc>
          <w:tcPr>
            <w:tcW w:w="170" w:type="pct"/>
            <w:tcBorders>
              <w:top w:val="nil"/>
              <w:left w:val="nil"/>
              <w:bottom w:val="single" w:sz="4" w:space="0" w:color="auto"/>
              <w:right w:val="single" w:sz="4" w:space="0" w:color="auto"/>
            </w:tcBorders>
            <w:shd w:val="clear" w:color="000000" w:fill="D9D9D9"/>
            <w:vAlign w:val="center"/>
            <w:hideMark/>
          </w:tcPr>
          <w:p w14:paraId="4FB97CD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19F861A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50,000,000</w:t>
            </w:r>
          </w:p>
        </w:tc>
        <w:tc>
          <w:tcPr>
            <w:tcW w:w="232" w:type="pct"/>
            <w:tcBorders>
              <w:top w:val="nil"/>
              <w:left w:val="nil"/>
              <w:bottom w:val="single" w:sz="4" w:space="0" w:color="auto"/>
              <w:right w:val="single" w:sz="4" w:space="0" w:color="auto"/>
            </w:tcBorders>
            <w:shd w:val="clear" w:color="000000" w:fill="D9D9D9"/>
            <w:vAlign w:val="center"/>
            <w:hideMark/>
          </w:tcPr>
          <w:p w14:paraId="68C66FE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1FBFA18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50,000,000</w:t>
            </w:r>
          </w:p>
        </w:tc>
        <w:tc>
          <w:tcPr>
            <w:tcW w:w="160" w:type="pct"/>
            <w:tcBorders>
              <w:top w:val="nil"/>
              <w:left w:val="nil"/>
              <w:bottom w:val="single" w:sz="4" w:space="0" w:color="auto"/>
              <w:right w:val="single" w:sz="4" w:space="0" w:color="auto"/>
            </w:tcBorders>
            <w:shd w:val="clear" w:color="000000" w:fill="D9D9D9"/>
            <w:vAlign w:val="center"/>
            <w:hideMark/>
          </w:tcPr>
          <w:p w14:paraId="15A54D4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2698E64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6B4571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22E3022" w14:textId="32D8C589"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3110EB">
              <w:rPr>
                <w:rFonts w:ascii="Garamond" w:eastAsia="Times New Roman" w:hAnsi="Garamond" w:cs="Times New Roman"/>
                <w:b/>
                <w:bCs/>
                <w:color w:val="FF0000"/>
                <w:sz w:val="6"/>
                <w:szCs w:val="6"/>
                <w:lang w:val="sq-AL"/>
              </w:rPr>
              <w:t xml:space="preserve">ja </w:t>
            </w:r>
            <w:r w:rsidRPr="001F0C5A">
              <w:rPr>
                <w:rFonts w:ascii="Garamond" w:eastAsia="Times New Roman" w:hAnsi="Garamond" w:cs="Times New Roman"/>
                <w:b/>
                <w:bCs/>
                <w:color w:val="FF0000"/>
                <w:sz w:val="6"/>
                <w:szCs w:val="6"/>
                <w:lang w:val="sq-AL"/>
              </w:rPr>
              <w:t>totale</w:t>
            </w:r>
            <w:r w:rsidR="003110EB">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 xml:space="preserve"> Qëllimi i Politikës I (objektiva specifik</w:t>
            </w:r>
            <w:r w:rsidR="003110EB">
              <w:rPr>
                <w:rFonts w:ascii="Garamond" w:eastAsia="Times New Roman" w:hAnsi="Garamond" w:cs="Times New Roman"/>
                <w:b/>
                <w:bCs/>
                <w:color w:val="FF0000"/>
                <w:sz w:val="6"/>
                <w:szCs w:val="6"/>
                <w:lang w:val="sq-AL"/>
              </w:rPr>
              <w:t>ë</w:t>
            </w:r>
            <w:r w:rsidRPr="001F0C5A">
              <w:rPr>
                <w:rFonts w:ascii="Garamond" w:eastAsia="Times New Roman" w:hAnsi="Garamond" w:cs="Times New Roman"/>
                <w:b/>
                <w:bCs/>
                <w:color w:val="FF0000"/>
                <w:sz w:val="6"/>
                <w:szCs w:val="6"/>
                <w:lang w:val="sq-AL"/>
              </w:rPr>
              <w:t xml:space="preserve"> 1+2+3+4+5+6)</w:t>
            </w:r>
          </w:p>
        </w:tc>
        <w:tc>
          <w:tcPr>
            <w:tcW w:w="211" w:type="pct"/>
            <w:tcBorders>
              <w:top w:val="nil"/>
              <w:left w:val="nil"/>
              <w:bottom w:val="single" w:sz="4" w:space="0" w:color="auto"/>
              <w:right w:val="single" w:sz="4" w:space="0" w:color="auto"/>
            </w:tcBorders>
            <w:shd w:val="clear" w:color="000000" w:fill="D9D9D9"/>
            <w:vAlign w:val="center"/>
            <w:hideMark/>
          </w:tcPr>
          <w:p w14:paraId="20F96FA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1C3E2C3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183246A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5BCDD30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02269E2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1E8CE38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565,115,673</w:t>
            </w:r>
          </w:p>
        </w:tc>
        <w:tc>
          <w:tcPr>
            <w:tcW w:w="181" w:type="pct"/>
            <w:tcBorders>
              <w:top w:val="nil"/>
              <w:left w:val="nil"/>
              <w:bottom w:val="single" w:sz="4" w:space="0" w:color="auto"/>
              <w:right w:val="single" w:sz="4" w:space="0" w:color="auto"/>
            </w:tcBorders>
            <w:shd w:val="clear" w:color="000000" w:fill="D9D9D9"/>
            <w:vAlign w:val="center"/>
            <w:hideMark/>
          </w:tcPr>
          <w:p w14:paraId="1E018AD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20,050,000</w:t>
            </w:r>
          </w:p>
        </w:tc>
        <w:tc>
          <w:tcPr>
            <w:tcW w:w="196" w:type="pct"/>
            <w:tcBorders>
              <w:top w:val="nil"/>
              <w:left w:val="nil"/>
              <w:bottom w:val="single" w:sz="4" w:space="0" w:color="auto"/>
              <w:right w:val="single" w:sz="4" w:space="0" w:color="auto"/>
            </w:tcBorders>
            <w:shd w:val="clear" w:color="000000" w:fill="D9D9D9"/>
            <w:vAlign w:val="center"/>
            <w:hideMark/>
          </w:tcPr>
          <w:p w14:paraId="3C38079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585,165,673</w:t>
            </w:r>
          </w:p>
        </w:tc>
        <w:tc>
          <w:tcPr>
            <w:tcW w:w="196" w:type="pct"/>
            <w:tcBorders>
              <w:top w:val="nil"/>
              <w:left w:val="nil"/>
              <w:bottom w:val="single" w:sz="4" w:space="0" w:color="auto"/>
              <w:right w:val="single" w:sz="4" w:space="0" w:color="auto"/>
            </w:tcBorders>
            <w:shd w:val="clear" w:color="000000" w:fill="D9D9D9"/>
            <w:vAlign w:val="center"/>
            <w:hideMark/>
          </w:tcPr>
          <w:p w14:paraId="4C87E92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658,895,940</w:t>
            </w:r>
          </w:p>
        </w:tc>
        <w:tc>
          <w:tcPr>
            <w:tcW w:w="196" w:type="pct"/>
            <w:tcBorders>
              <w:top w:val="nil"/>
              <w:left w:val="nil"/>
              <w:bottom w:val="single" w:sz="4" w:space="0" w:color="auto"/>
              <w:right w:val="single" w:sz="4" w:space="0" w:color="auto"/>
            </w:tcBorders>
            <w:shd w:val="clear" w:color="000000" w:fill="D9D9D9"/>
            <w:vAlign w:val="center"/>
            <w:hideMark/>
          </w:tcPr>
          <w:p w14:paraId="1508209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664,875,000</w:t>
            </w:r>
          </w:p>
        </w:tc>
        <w:tc>
          <w:tcPr>
            <w:tcW w:w="196" w:type="pct"/>
            <w:tcBorders>
              <w:top w:val="nil"/>
              <w:left w:val="nil"/>
              <w:bottom w:val="single" w:sz="4" w:space="0" w:color="auto"/>
              <w:right w:val="single" w:sz="4" w:space="0" w:color="auto"/>
            </w:tcBorders>
            <w:shd w:val="clear" w:color="000000" w:fill="D9D9D9"/>
            <w:vAlign w:val="center"/>
            <w:hideMark/>
          </w:tcPr>
          <w:p w14:paraId="73D7D74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1,323,770,940</w:t>
            </w:r>
          </w:p>
        </w:tc>
        <w:tc>
          <w:tcPr>
            <w:tcW w:w="196" w:type="pct"/>
            <w:tcBorders>
              <w:top w:val="nil"/>
              <w:left w:val="nil"/>
              <w:bottom w:val="single" w:sz="4" w:space="0" w:color="auto"/>
              <w:right w:val="single" w:sz="4" w:space="0" w:color="auto"/>
            </w:tcBorders>
            <w:shd w:val="clear" w:color="000000" w:fill="D9D9D9"/>
            <w:vAlign w:val="center"/>
            <w:hideMark/>
          </w:tcPr>
          <w:p w14:paraId="3A6B0AD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1,224,011,613</w:t>
            </w:r>
          </w:p>
        </w:tc>
        <w:tc>
          <w:tcPr>
            <w:tcW w:w="196" w:type="pct"/>
            <w:tcBorders>
              <w:top w:val="nil"/>
              <w:left w:val="nil"/>
              <w:bottom w:val="single" w:sz="4" w:space="0" w:color="auto"/>
              <w:right w:val="single" w:sz="4" w:space="0" w:color="auto"/>
            </w:tcBorders>
            <w:shd w:val="clear" w:color="000000" w:fill="D9D9D9"/>
            <w:vAlign w:val="center"/>
            <w:hideMark/>
          </w:tcPr>
          <w:p w14:paraId="378B0B8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684,925,000</w:t>
            </w:r>
          </w:p>
        </w:tc>
        <w:tc>
          <w:tcPr>
            <w:tcW w:w="196" w:type="pct"/>
            <w:tcBorders>
              <w:top w:val="nil"/>
              <w:left w:val="nil"/>
              <w:bottom w:val="single" w:sz="4" w:space="0" w:color="auto"/>
              <w:right w:val="single" w:sz="4" w:space="0" w:color="auto"/>
            </w:tcBorders>
            <w:shd w:val="clear" w:color="000000" w:fill="D9D9D9"/>
            <w:vAlign w:val="center"/>
            <w:hideMark/>
          </w:tcPr>
          <w:p w14:paraId="6C453F4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1,908,936,613</w:t>
            </w:r>
          </w:p>
        </w:tc>
        <w:tc>
          <w:tcPr>
            <w:tcW w:w="196" w:type="pct"/>
            <w:tcBorders>
              <w:top w:val="nil"/>
              <w:left w:val="nil"/>
              <w:bottom w:val="single" w:sz="4" w:space="0" w:color="auto"/>
              <w:right w:val="single" w:sz="4" w:space="0" w:color="auto"/>
            </w:tcBorders>
            <w:shd w:val="clear" w:color="000000" w:fill="D9D9D9"/>
            <w:vAlign w:val="center"/>
            <w:hideMark/>
          </w:tcPr>
          <w:p w14:paraId="379AA5A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1,137,541,613</w:t>
            </w:r>
          </w:p>
        </w:tc>
        <w:tc>
          <w:tcPr>
            <w:tcW w:w="181" w:type="pct"/>
            <w:tcBorders>
              <w:top w:val="nil"/>
              <w:left w:val="nil"/>
              <w:bottom w:val="single" w:sz="4" w:space="0" w:color="auto"/>
              <w:right w:val="single" w:sz="4" w:space="0" w:color="auto"/>
            </w:tcBorders>
            <w:shd w:val="clear" w:color="000000" w:fill="D9D9D9"/>
            <w:vAlign w:val="center"/>
            <w:hideMark/>
          </w:tcPr>
          <w:p w14:paraId="42D2879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231,925,000</w:t>
            </w:r>
          </w:p>
        </w:tc>
        <w:tc>
          <w:tcPr>
            <w:tcW w:w="196" w:type="pct"/>
            <w:tcBorders>
              <w:top w:val="nil"/>
              <w:left w:val="nil"/>
              <w:bottom w:val="single" w:sz="4" w:space="0" w:color="auto"/>
              <w:right w:val="single" w:sz="4" w:space="0" w:color="auto"/>
            </w:tcBorders>
            <w:shd w:val="clear" w:color="000000" w:fill="D9D9D9"/>
            <w:vAlign w:val="center"/>
            <w:hideMark/>
          </w:tcPr>
          <w:p w14:paraId="21A83FA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1,369,466,613</w:t>
            </w:r>
          </w:p>
        </w:tc>
        <w:tc>
          <w:tcPr>
            <w:tcW w:w="170" w:type="pct"/>
            <w:tcBorders>
              <w:top w:val="nil"/>
              <w:left w:val="nil"/>
              <w:bottom w:val="single" w:sz="4" w:space="0" w:color="auto"/>
              <w:right w:val="single" w:sz="4" w:space="0" w:color="auto"/>
            </w:tcBorders>
            <w:shd w:val="clear" w:color="000000" w:fill="D9D9D9"/>
            <w:vAlign w:val="center"/>
            <w:hideMark/>
          </w:tcPr>
          <w:p w14:paraId="4E9E284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85,000,000</w:t>
            </w:r>
          </w:p>
        </w:tc>
        <w:tc>
          <w:tcPr>
            <w:tcW w:w="181" w:type="pct"/>
            <w:tcBorders>
              <w:top w:val="nil"/>
              <w:left w:val="nil"/>
              <w:bottom w:val="single" w:sz="4" w:space="0" w:color="auto"/>
              <w:right w:val="single" w:sz="4" w:space="0" w:color="auto"/>
            </w:tcBorders>
            <w:shd w:val="clear" w:color="000000" w:fill="D9D9D9"/>
            <w:vAlign w:val="center"/>
            <w:hideMark/>
          </w:tcPr>
          <w:p w14:paraId="247B2FD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453,000,000</w:t>
            </w:r>
          </w:p>
        </w:tc>
        <w:tc>
          <w:tcPr>
            <w:tcW w:w="232" w:type="pct"/>
            <w:tcBorders>
              <w:top w:val="nil"/>
              <w:left w:val="nil"/>
              <w:bottom w:val="single" w:sz="4" w:space="0" w:color="auto"/>
              <w:right w:val="single" w:sz="4" w:space="0" w:color="auto"/>
            </w:tcBorders>
            <w:shd w:val="clear" w:color="000000" w:fill="D9D9D9"/>
            <w:vAlign w:val="center"/>
            <w:hideMark/>
          </w:tcPr>
          <w:p w14:paraId="24E7FA7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7281790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538,000,000</w:t>
            </w:r>
          </w:p>
        </w:tc>
        <w:tc>
          <w:tcPr>
            <w:tcW w:w="160" w:type="pct"/>
            <w:tcBorders>
              <w:top w:val="nil"/>
              <w:left w:val="nil"/>
              <w:bottom w:val="single" w:sz="4" w:space="0" w:color="auto"/>
              <w:right w:val="single" w:sz="4" w:space="0" w:color="auto"/>
            </w:tcBorders>
            <w:shd w:val="clear" w:color="000000" w:fill="D9D9D9"/>
            <w:vAlign w:val="center"/>
            <w:hideMark/>
          </w:tcPr>
          <w:p w14:paraId="6C0C154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1,470,000</w:t>
            </w:r>
          </w:p>
        </w:tc>
      </w:tr>
      <w:tr w:rsidR="00D86FA8" w:rsidRPr="001F0C5A" w14:paraId="45B50629" w14:textId="77777777" w:rsidTr="00D86FA8">
        <w:trPr>
          <w:trHeight w:val="20"/>
        </w:trPr>
        <w:tc>
          <w:tcPr>
            <w:tcW w:w="5000" w:type="pct"/>
            <w:gridSpan w:val="24"/>
            <w:tcBorders>
              <w:top w:val="single" w:sz="4" w:space="0" w:color="auto"/>
              <w:left w:val="single" w:sz="4" w:space="0" w:color="auto"/>
              <w:bottom w:val="single" w:sz="4" w:space="0" w:color="auto"/>
              <w:right w:val="nil"/>
            </w:tcBorders>
            <w:shd w:val="clear" w:color="000000" w:fill="F8CBAD"/>
            <w:vAlign w:val="center"/>
            <w:hideMark/>
          </w:tcPr>
          <w:p w14:paraId="52C75FD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II. Qëllimi i Politikës: LEHTËSIMI I QARKULLIMIT LEGJITIM TË SHTETASVE DHE MALLRAVE</w:t>
            </w:r>
          </w:p>
        </w:tc>
      </w:tr>
      <w:tr w:rsidR="00D86FA8" w:rsidRPr="001F0C5A" w14:paraId="1EBD29AD" w14:textId="77777777" w:rsidTr="00D86FA8">
        <w:trPr>
          <w:trHeight w:val="20"/>
        </w:trPr>
        <w:tc>
          <w:tcPr>
            <w:tcW w:w="5000" w:type="pct"/>
            <w:gridSpan w:val="24"/>
            <w:tcBorders>
              <w:top w:val="single" w:sz="4" w:space="0" w:color="auto"/>
              <w:left w:val="single" w:sz="4" w:space="0" w:color="auto"/>
              <w:bottom w:val="nil"/>
              <w:right w:val="nil"/>
            </w:tcBorders>
            <w:shd w:val="clear" w:color="000000" w:fill="FCE4D6"/>
            <w:vAlign w:val="center"/>
            <w:hideMark/>
          </w:tcPr>
          <w:p w14:paraId="4CBA362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III. Programi buxhetor që kontribuon për qëllimin e politikës: Programi 03140 Policia e Shtetit</w:t>
            </w:r>
          </w:p>
        </w:tc>
      </w:tr>
      <w:tr w:rsidR="006B6F84" w:rsidRPr="001F0C5A" w14:paraId="614C6C4D" w14:textId="77777777" w:rsidTr="00D86FA8">
        <w:trPr>
          <w:trHeight w:val="20"/>
        </w:trPr>
        <w:tc>
          <w:tcPr>
            <w:tcW w:w="1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F496B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Nr.</w:t>
            </w:r>
          </w:p>
        </w:tc>
        <w:tc>
          <w:tcPr>
            <w:tcW w:w="2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4674D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Titulli </w:t>
            </w:r>
          </w:p>
        </w:tc>
        <w:tc>
          <w:tcPr>
            <w:tcW w:w="211" w:type="pct"/>
            <w:tcBorders>
              <w:top w:val="single" w:sz="4" w:space="0" w:color="auto"/>
              <w:left w:val="nil"/>
              <w:bottom w:val="single" w:sz="4" w:space="0" w:color="auto"/>
              <w:right w:val="single" w:sz="4" w:space="0" w:color="auto"/>
            </w:tcBorders>
            <w:shd w:val="clear" w:color="auto" w:fill="auto"/>
            <w:vAlign w:val="center"/>
            <w:hideMark/>
          </w:tcPr>
          <w:p w14:paraId="04FC78A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Programi buxhetor </w:t>
            </w:r>
          </w:p>
        </w:tc>
        <w:tc>
          <w:tcPr>
            <w:tcW w:w="882" w:type="pct"/>
            <w:gridSpan w:val="2"/>
            <w:tcBorders>
              <w:top w:val="single" w:sz="4" w:space="0" w:color="auto"/>
              <w:left w:val="nil"/>
              <w:bottom w:val="single" w:sz="4" w:space="0" w:color="auto"/>
              <w:right w:val="single" w:sz="4" w:space="0" w:color="auto"/>
            </w:tcBorders>
            <w:shd w:val="clear" w:color="auto" w:fill="auto"/>
            <w:vAlign w:val="center"/>
            <w:hideMark/>
          </w:tcPr>
          <w:p w14:paraId="64AE5D43" w14:textId="26ABCEAD"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Institucionet përgjegjëse</w:t>
            </w:r>
          </w:p>
        </w:tc>
        <w:tc>
          <w:tcPr>
            <w:tcW w:w="306" w:type="pct"/>
            <w:gridSpan w:val="2"/>
            <w:tcBorders>
              <w:top w:val="single" w:sz="4" w:space="0" w:color="auto"/>
              <w:left w:val="nil"/>
              <w:bottom w:val="single" w:sz="4" w:space="0" w:color="auto"/>
              <w:right w:val="single" w:sz="4" w:space="0" w:color="auto"/>
            </w:tcBorders>
            <w:shd w:val="clear" w:color="auto" w:fill="auto"/>
            <w:vAlign w:val="center"/>
            <w:hideMark/>
          </w:tcPr>
          <w:p w14:paraId="103CBA12" w14:textId="2DF15D9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i </w:t>
            </w:r>
            <w:r w:rsidR="006B6F84" w:rsidRPr="001F0C5A">
              <w:rPr>
                <w:rFonts w:ascii="Garamond" w:eastAsia="Times New Roman" w:hAnsi="Garamond" w:cs="Times New Roman"/>
                <w:b/>
                <w:bCs/>
                <w:color w:val="000000"/>
                <w:sz w:val="6"/>
                <w:szCs w:val="6"/>
                <w:lang w:val="sq-AL"/>
              </w:rPr>
              <w:t xml:space="preserve">zbatimit </w:t>
            </w:r>
          </w:p>
        </w:tc>
        <w:tc>
          <w:tcPr>
            <w:tcW w:w="55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BAF925" w14:textId="31B6D033"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indikative/2024</w:t>
            </w:r>
          </w:p>
        </w:tc>
        <w:tc>
          <w:tcPr>
            <w:tcW w:w="58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F4A130" w14:textId="2B79C7E9"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indikative/2025</w:t>
            </w:r>
          </w:p>
        </w:tc>
        <w:tc>
          <w:tcPr>
            <w:tcW w:w="58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D87060" w14:textId="127683A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 </w:t>
            </w:r>
            <w:r w:rsidR="006B6F84" w:rsidRPr="001F0C5A">
              <w:rPr>
                <w:rFonts w:ascii="Garamond" w:eastAsia="Times New Roman" w:hAnsi="Garamond" w:cs="Times New Roman"/>
                <w:b/>
                <w:bCs/>
                <w:color w:val="000000"/>
                <w:sz w:val="6"/>
                <w:szCs w:val="6"/>
                <w:lang w:val="sq-AL"/>
              </w:rPr>
              <w:t>totale</w:t>
            </w:r>
          </w:p>
        </w:tc>
        <w:tc>
          <w:tcPr>
            <w:tcW w:w="1336" w:type="pct"/>
            <w:gridSpan w:val="7"/>
            <w:tcBorders>
              <w:top w:val="single" w:sz="4" w:space="0" w:color="auto"/>
              <w:left w:val="nil"/>
              <w:bottom w:val="single" w:sz="4" w:space="0" w:color="auto"/>
              <w:right w:val="single" w:sz="4" w:space="0" w:color="000000"/>
            </w:tcBorders>
            <w:shd w:val="clear" w:color="auto" w:fill="auto"/>
            <w:vAlign w:val="center"/>
            <w:hideMark/>
          </w:tcPr>
          <w:p w14:paraId="4C5BE6B8" w14:textId="26BD2005"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Burimi i </w:t>
            </w:r>
            <w:r w:rsidR="006B6F84" w:rsidRPr="001F0C5A">
              <w:rPr>
                <w:rFonts w:ascii="Garamond" w:eastAsia="Times New Roman" w:hAnsi="Garamond" w:cs="Times New Roman"/>
                <w:b/>
                <w:bCs/>
                <w:color w:val="000000"/>
                <w:sz w:val="6"/>
                <w:szCs w:val="6"/>
                <w:lang w:val="sq-AL"/>
              </w:rPr>
              <w:t>financimit</w:t>
            </w:r>
          </w:p>
        </w:tc>
        <w:tc>
          <w:tcPr>
            <w:tcW w:w="1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AF047F" w14:textId="0F5A931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Hende</w:t>
            </w:r>
            <w:r w:rsidR="006B6F84">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 xml:space="preserve">ku financiar </w:t>
            </w:r>
          </w:p>
        </w:tc>
      </w:tr>
      <w:tr w:rsidR="006B6F84" w:rsidRPr="001F0C5A" w14:paraId="632ADA9D" w14:textId="77777777" w:rsidTr="00D86FA8">
        <w:trPr>
          <w:trHeight w:val="20"/>
        </w:trPr>
        <w:tc>
          <w:tcPr>
            <w:tcW w:w="125" w:type="pct"/>
            <w:vMerge/>
            <w:tcBorders>
              <w:top w:val="single" w:sz="4" w:space="0" w:color="auto"/>
              <w:left w:val="single" w:sz="4" w:space="0" w:color="auto"/>
              <w:bottom w:val="single" w:sz="4" w:space="0" w:color="auto"/>
              <w:right w:val="single" w:sz="4" w:space="0" w:color="auto"/>
            </w:tcBorders>
            <w:vAlign w:val="center"/>
            <w:hideMark/>
          </w:tcPr>
          <w:p w14:paraId="4BE3C30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single" w:sz="4" w:space="0" w:color="auto"/>
              <w:left w:val="single" w:sz="4" w:space="0" w:color="auto"/>
              <w:bottom w:val="single" w:sz="4" w:space="0" w:color="auto"/>
              <w:right w:val="single" w:sz="4" w:space="0" w:color="auto"/>
            </w:tcBorders>
            <w:vAlign w:val="center"/>
            <w:hideMark/>
          </w:tcPr>
          <w:p w14:paraId="7BBDC373"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val="restart"/>
            <w:tcBorders>
              <w:top w:val="nil"/>
              <w:left w:val="single" w:sz="4" w:space="0" w:color="auto"/>
              <w:bottom w:val="single" w:sz="4" w:space="0" w:color="auto"/>
              <w:right w:val="single" w:sz="4" w:space="0" w:color="auto"/>
            </w:tcBorders>
            <w:shd w:val="clear" w:color="auto" w:fill="auto"/>
            <w:vAlign w:val="center"/>
            <w:hideMark/>
          </w:tcPr>
          <w:p w14:paraId="39FFFFCC" w14:textId="4E10F24B"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Referenca e </w:t>
            </w:r>
            <w:r w:rsidR="006B6F84" w:rsidRPr="001F0C5A">
              <w:rPr>
                <w:rFonts w:ascii="Garamond" w:eastAsia="Times New Roman" w:hAnsi="Garamond" w:cs="Times New Roman"/>
                <w:b/>
                <w:bCs/>
                <w:color w:val="000000"/>
                <w:sz w:val="6"/>
                <w:szCs w:val="6"/>
                <w:lang w:val="sq-AL"/>
              </w:rPr>
              <w:t xml:space="preserve">rezultatit </w:t>
            </w:r>
            <w:r w:rsidRPr="001F0C5A">
              <w:rPr>
                <w:rFonts w:ascii="Garamond" w:eastAsia="Times New Roman" w:hAnsi="Garamond" w:cs="Times New Roman"/>
                <w:b/>
                <w:bCs/>
                <w:color w:val="000000"/>
                <w:sz w:val="6"/>
                <w:szCs w:val="6"/>
                <w:lang w:val="sq-AL"/>
              </w:rPr>
              <w:t>me produktet e programit buxhetor</w:t>
            </w:r>
            <w:r w:rsidR="001F0C5A" w:rsidRPr="001F0C5A">
              <w:rPr>
                <w:rFonts w:ascii="Garamond" w:eastAsia="Times New Roman" w:hAnsi="Garamond" w:cs="Times New Roman"/>
                <w:b/>
                <w:bCs/>
                <w:color w:val="000000"/>
                <w:sz w:val="6"/>
                <w:szCs w:val="6"/>
                <w:lang w:val="sq-AL"/>
              </w:rPr>
              <w:t xml:space="preserve"> </w:t>
            </w:r>
          </w:p>
        </w:tc>
        <w:tc>
          <w:tcPr>
            <w:tcW w:w="202" w:type="pct"/>
            <w:vMerge w:val="restart"/>
            <w:tcBorders>
              <w:top w:val="nil"/>
              <w:left w:val="single" w:sz="4" w:space="0" w:color="auto"/>
              <w:bottom w:val="single" w:sz="4" w:space="0" w:color="auto"/>
              <w:right w:val="single" w:sz="4" w:space="0" w:color="auto"/>
            </w:tcBorders>
            <w:shd w:val="clear" w:color="auto" w:fill="auto"/>
            <w:vAlign w:val="center"/>
            <w:hideMark/>
          </w:tcPr>
          <w:p w14:paraId="2D051A0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përgjegjës</w:t>
            </w:r>
          </w:p>
        </w:tc>
        <w:tc>
          <w:tcPr>
            <w:tcW w:w="680" w:type="pct"/>
            <w:vMerge w:val="restart"/>
            <w:tcBorders>
              <w:top w:val="nil"/>
              <w:left w:val="single" w:sz="4" w:space="0" w:color="auto"/>
              <w:bottom w:val="single" w:sz="4" w:space="0" w:color="auto"/>
              <w:right w:val="single" w:sz="4" w:space="0" w:color="auto"/>
            </w:tcBorders>
            <w:shd w:val="clear" w:color="auto" w:fill="auto"/>
            <w:vAlign w:val="center"/>
            <w:hideMark/>
          </w:tcPr>
          <w:p w14:paraId="37C4BEC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kontribues</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11D8E87D" w14:textId="3ED840C8"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6B6F84">
              <w:rPr>
                <w:rFonts w:ascii="Garamond" w:eastAsia="Times New Roman" w:hAnsi="Garamond" w:cs="Times New Roman"/>
                <w:b/>
                <w:bCs/>
                <w:color w:val="000000"/>
                <w:sz w:val="6"/>
                <w:szCs w:val="6"/>
                <w:lang w:val="sq-AL"/>
              </w:rPr>
              <w:t xml:space="preserve">i </w:t>
            </w:r>
            <w:r w:rsidR="006B6F84" w:rsidRPr="001F0C5A">
              <w:rPr>
                <w:rFonts w:ascii="Garamond" w:eastAsia="Times New Roman" w:hAnsi="Garamond" w:cs="Times New Roman"/>
                <w:b/>
                <w:bCs/>
                <w:color w:val="000000"/>
                <w:sz w:val="6"/>
                <w:szCs w:val="6"/>
                <w:lang w:val="sq-AL"/>
              </w:rPr>
              <w:t>fillimit</w:t>
            </w:r>
          </w:p>
        </w:tc>
        <w:tc>
          <w:tcPr>
            <w:tcW w:w="163" w:type="pct"/>
            <w:vMerge w:val="restart"/>
            <w:tcBorders>
              <w:top w:val="nil"/>
              <w:left w:val="single" w:sz="4" w:space="0" w:color="auto"/>
              <w:bottom w:val="single" w:sz="4" w:space="0" w:color="auto"/>
              <w:right w:val="single" w:sz="4" w:space="0" w:color="auto"/>
            </w:tcBorders>
            <w:shd w:val="clear" w:color="auto" w:fill="auto"/>
            <w:vAlign w:val="center"/>
            <w:hideMark/>
          </w:tcPr>
          <w:p w14:paraId="495BBC5B" w14:textId="29B02E9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6B6F84">
              <w:rPr>
                <w:rFonts w:ascii="Garamond" w:eastAsia="Times New Roman" w:hAnsi="Garamond" w:cs="Times New Roman"/>
                <w:b/>
                <w:bCs/>
                <w:color w:val="000000"/>
                <w:sz w:val="6"/>
                <w:szCs w:val="6"/>
                <w:lang w:val="sq-AL"/>
              </w:rPr>
              <w:t xml:space="preserve">i </w:t>
            </w:r>
            <w:r w:rsidR="006B6F84" w:rsidRPr="001F0C5A">
              <w:rPr>
                <w:rFonts w:ascii="Garamond" w:eastAsia="Times New Roman" w:hAnsi="Garamond" w:cs="Times New Roman"/>
                <w:b/>
                <w:bCs/>
                <w:color w:val="000000"/>
                <w:sz w:val="6"/>
                <w:szCs w:val="6"/>
                <w:lang w:val="sq-AL"/>
              </w:rPr>
              <w:t>mbarimit</w:t>
            </w:r>
          </w:p>
        </w:tc>
        <w:tc>
          <w:tcPr>
            <w:tcW w:w="557" w:type="pct"/>
            <w:gridSpan w:val="3"/>
            <w:vMerge/>
            <w:tcBorders>
              <w:top w:val="nil"/>
              <w:left w:val="single" w:sz="4" w:space="0" w:color="auto"/>
              <w:bottom w:val="single" w:sz="4" w:space="0" w:color="auto"/>
              <w:right w:val="single" w:sz="4" w:space="0" w:color="auto"/>
            </w:tcBorders>
            <w:vAlign w:val="center"/>
            <w:hideMark/>
          </w:tcPr>
          <w:p w14:paraId="5F55CAB2"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single" w:sz="4" w:space="0" w:color="auto"/>
            </w:tcBorders>
            <w:vAlign w:val="center"/>
            <w:hideMark/>
          </w:tcPr>
          <w:p w14:paraId="794DEE1F"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single" w:sz="4" w:space="0" w:color="auto"/>
            </w:tcBorders>
            <w:vAlign w:val="center"/>
            <w:hideMark/>
          </w:tcPr>
          <w:p w14:paraId="3DB504D6"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72" w:type="pct"/>
            <w:gridSpan w:val="3"/>
            <w:tcBorders>
              <w:top w:val="single" w:sz="4" w:space="0" w:color="auto"/>
              <w:left w:val="nil"/>
              <w:bottom w:val="single" w:sz="4" w:space="0" w:color="auto"/>
              <w:right w:val="single" w:sz="4" w:space="0" w:color="auto"/>
            </w:tcBorders>
            <w:shd w:val="clear" w:color="auto" w:fill="auto"/>
            <w:vAlign w:val="center"/>
            <w:hideMark/>
          </w:tcPr>
          <w:p w14:paraId="64875D08" w14:textId="64BF7DB8"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Buxhet </w:t>
            </w:r>
            <w:r w:rsidR="006B6F84" w:rsidRPr="001F0C5A">
              <w:rPr>
                <w:rFonts w:ascii="Garamond" w:eastAsia="Times New Roman" w:hAnsi="Garamond" w:cs="Times New Roman"/>
                <w:b/>
                <w:bCs/>
                <w:color w:val="000000"/>
                <w:sz w:val="6"/>
                <w:szCs w:val="6"/>
                <w:lang w:val="sq-AL"/>
              </w:rPr>
              <w:t xml:space="preserve">shteti </w:t>
            </w:r>
            <w:r w:rsidRPr="001F0C5A">
              <w:rPr>
                <w:rFonts w:ascii="Garamond" w:eastAsia="Times New Roman" w:hAnsi="Garamond" w:cs="Times New Roman"/>
                <w:b/>
                <w:bCs/>
                <w:color w:val="000000"/>
                <w:sz w:val="6"/>
                <w:szCs w:val="6"/>
                <w:lang w:val="sq-AL"/>
              </w:rPr>
              <w:t>(në lek)</w:t>
            </w:r>
          </w:p>
        </w:tc>
        <w:tc>
          <w:tcPr>
            <w:tcW w:w="763" w:type="pct"/>
            <w:gridSpan w:val="4"/>
            <w:tcBorders>
              <w:top w:val="single" w:sz="4" w:space="0" w:color="auto"/>
              <w:left w:val="nil"/>
              <w:bottom w:val="single" w:sz="4" w:space="0" w:color="auto"/>
              <w:right w:val="single" w:sz="4" w:space="0" w:color="auto"/>
            </w:tcBorders>
            <w:shd w:val="clear" w:color="auto" w:fill="auto"/>
            <w:vAlign w:val="center"/>
            <w:hideMark/>
          </w:tcPr>
          <w:p w14:paraId="3808ED33" w14:textId="6559932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Financim i </w:t>
            </w:r>
            <w:r w:rsidR="006B6F84" w:rsidRPr="001F0C5A">
              <w:rPr>
                <w:rFonts w:ascii="Garamond" w:eastAsia="Times New Roman" w:hAnsi="Garamond" w:cs="Times New Roman"/>
                <w:b/>
                <w:bCs/>
                <w:color w:val="000000"/>
                <w:sz w:val="6"/>
                <w:szCs w:val="6"/>
                <w:lang w:val="sq-AL"/>
              </w:rPr>
              <w:t xml:space="preserve">huaj </w:t>
            </w:r>
            <w:r w:rsidRPr="001F0C5A">
              <w:rPr>
                <w:rFonts w:ascii="Garamond" w:eastAsia="Times New Roman" w:hAnsi="Garamond" w:cs="Times New Roman"/>
                <w:b/>
                <w:bCs/>
                <w:color w:val="000000"/>
                <w:sz w:val="6"/>
                <w:szCs w:val="6"/>
                <w:lang w:val="sq-AL"/>
              </w:rPr>
              <w:t>(në lek)</w:t>
            </w:r>
          </w:p>
        </w:tc>
        <w:tc>
          <w:tcPr>
            <w:tcW w:w="160" w:type="pct"/>
            <w:vMerge/>
            <w:tcBorders>
              <w:top w:val="single" w:sz="4" w:space="0" w:color="auto"/>
              <w:left w:val="single" w:sz="4" w:space="0" w:color="auto"/>
              <w:bottom w:val="single" w:sz="4" w:space="0" w:color="auto"/>
              <w:right w:val="single" w:sz="4" w:space="0" w:color="auto"/>
            </w:tcBorders>
            <w:vAlign w:val="center"/>
            <w:hideMark/>
          </w:tcPr>
          <w:p w14:paraId="4980899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r>
      <w:tr w:rsidR="006B6F84" w:rsidRPr="001F0C5A" w14:paraId="2017A82B" w14:textId="77777777" w:rsidTr="00D86FA8">
        <w:trPr>
          <w:trHeight w:val="20"/>
        </w:trPr>
        <w:tc>
          <w:tcPr>
            <w:tcW w:w="125" w:type="pct"/>
            <w:vMerge/>
            <w:tcBorders>
              <w:top w:val="single" w:sz="4" w:space="0" w:color="auto"/>
              <w:left w:val="single" w:sz="4" w:space="0" w:color="auto"/>
              <w:bottom w:val="single" w:sz="4" w:space="0" w:color="auto"/>
              <w:right w:val="single" w:sz="4" w:space="0" w:color="auto"/>
            </w:tcBorders>
            <w:vAlign w:val="center"/>
            <w:hideMark/>
          </w:tcPr>
          <w:p w14:paraId="7E11AFCB"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single" w:sz="4" w:space="0" w:color="auto"/>
              <w:left w:val="single" w:sz="4" w:space="0" w:color="auto"/>
              <w:bottom w:val="single" w:sz="4" w:space="0" w:color="auto"/>
              <w:right w:val="single" w:sz="4" w:space="0" w:color="auto"/>
            </w:tcBorders>
            <w:vAlign w:val="center"/>
            <w:hideMark/>
          </w:tcPr>
          <w:p w14:paraId="0791FB2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tcBorders>
              <w:top w:val="nil"/>
              <w:left w:val="single" w:sz="4" w:space="0" w:color="auto"/>
              <w:bottom w:val="single" w:sz="4" w:space="0" w:color="auto"/>
              <w:right w:val="single" w:sz="4" w:space="0" w:color="auto"/>
            </w:tcBorders>
            <w:vAlign w:val="center"/>
            <w:hideMark/>
          </w:tcPr>
          <w:p w14:paraId="065BE88C"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02" w:type="pct"/>
            <w:vMerge/>
            <w:tcBorders>
              <w:top w:val="nil"/>
              <w:left w:val="single" w:sz="4" w:space="0" w:color="auto"/>
              <w:bottom w:val="single" w:sz="4" w:space="0" w:color="auto"/>
              <w:right w:val="single" w:sz="4" w:space="0" w:color="auto"/>
            </w:tcBorders>
            <w:vAlign w:val="center"/>
            <w:hideMark/>
          </w:tcPr>
          <w:p w14:paraId="0EF5083F"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680" w:type="pct"/>
            <w:vMerge/>
            <w:tcBorders>
              <w:top w:val="nil"/>
              <w:left w:val="single" w:sz="4" w:space="0" w:color="auto"/>
              <w:bottom w:val="single" w:sz="4" w:space="0" w:color="auto"/>
              <w:right w:val="single" w:sz="4" w:space="0" w:color="auto"/>
            </w:tcBorders>
            <w:vAlign w:val="center"/>
            <w:hideMark/>
          </w:tcPr>
          <w:p w14:paraId="694A140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43" w:type="pct"/>
            <w:vMerge/>
            <w:tcBorders>
              <w:top w:val="nil"/>
              <w:left w:val="single" w:sz="4" w:space="0" w:color="auto"/>
              <w:bottom w:val="single" w:sz="4" w:space="0" w:color="auto"/>
              <w:right w:val="single" w:sz="4" w:space="0" w:color="auto"/>
            </w:tcBorders>
            <w:vAlign w:val="center"/>
            <w:hideMark/>
          </w:tcPr>
          <w:p w14:paraId="59EE504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63" w:type="pct"/>
            <w:vMerge/>
            <w:tcBorders>
              <w:top w:val="nil"/>
              <w:left w:val="single" w:sz="4" w:space="0" w:color="auto"/>
              <w:bottom w:val="single" w:sz="4" w:space="0" w:color="auto"/>
              <w:right w:val="single" w:sz="4" w:space="0" w:color="auto"/>
            </w:tcBorders>
            <w:vAlign w:val="center"/>
            <w:hideMark/>
          </w:tcPr>
          <w:p w14:paraId="268A1BBE"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81" w:type="pct"/>
            <w:tcBorders>
              <w:top w:val="nil"/>
              <w:left w:val="nil"/>
              <w:bottom w:val="single" w:sz="4" w:space="0" w:color="auto"/>
              <w:right w:val="single" w:sz="4" w:space="0" w:color="auto"/>
            </w:tcBorders>
            <w:shd w:val="clear" w:color="auto" w:fill="auto"/>
            <w:vAlign w:val="center"/>
            <w:hideMark/>
          </w:tcPr>
          <w:p w14:paraId="1B57161A" w14:textId="6EE34C66"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81" w:type="pct"/>
            <w:tcBorders>
              <w:top w:val="nil"/>
              <w:left w:val="nil"/>
              <w:bottom w:val="single" w:sz="4" w:space="0" w:color="auto"/>
              <w:right w:val="single" w:sz="4" w:space="0" w:color="auto"/>
            </w:tcBorders>
            <w:shd w:val="clear" w:color="auto" w:fill="auto"/>
            <w:vAlign w:val="center"/>
            <w:hideMark/>
          </w:tcPr>
          <w:p w14:paraId="76F7A14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14F25B90" w14:textId="647E9C56"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6B6F84" w:rsidRPr="001F0C5A">
              <w:rPr>
                <w:rFonts w:ascii="Garamond" w:eastAsia="Times New Roman" w:hAnsi="Garamond" w:cs="Times New Roman"/>
                <w:b/>
                <w:bCs/>
                <w:color w:val="000000"/>
                <w:sz w:val="6"/>
                <w:szCs w:val="6"/>
                <w:lang w:val="sq-AL"/>
              </w:rPr>
              <w:t>kosto</w:t>
            </w:r>
          </w:p>
        </w:tc>
        <w:tc>
          <w:tcPr>
            <w:tcW w:w="196" w:type="pct"/>
            <w:tcBorders>
              <w:top w:val="nil"/>
              <w:left w:val="nil"/>
              <w:bottom w:val="single" w:sz="4" w:space="0" w:color="auto"/>
              <w:right w:val="single" w:sz="4" w:space="0" w:color="auto"/>
            </w:tcBorders>
            <w:shd w:val="clear" w:color="auto" w:fill="auto"/>
            <w:vAlign w:val="center"/>
            <w:hideMark/>
          </w:tcPr>
          <w:p w14:paraId="30AF5D15" w14:textId="20F6DB38"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96" w:type="pct"/>
            <w:tcBorders>
              <w:top w:val="nil"/>
              <w:left w:val="nil"/>
              <w:bottom w:val="single" w:sz="4" w:space="0" w:color="auto"/>
              <w:right w:val="single" w:sz="4" w:space="0" w:color="auto"/>
            </w:tcBorders>
            <w:shd w:val="clear" w:color="auto" w:fill="auto"/>
            <w:vAlign w:val="center"/>
            <w:hideMark/>
          </w:tcPr>
          <w:p w14:paraId="5292CA3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6463924A" w14:textId="11FFB96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6B6F84" w:rsidRPr="001F0C5A">
              <w:rPr>
                <w:rFonts w:ascii="Garamond" w:eastAsia="Times New Roman" w:hAnsi="Garamond" w:cs="Times New Roman"/>
                <w:b/>
                <w:bCs/>
                <w:color w:val="000000"/>
                <w:sz w:val="6"/>
                <w:szCs w:val="6"/>
                <w:lang w:val="sq-AL"/>
              </w:rPr>
              <w:t>kosto</w:t>
            </w:r>
          </w:p>
        </w:tc>
        <w:tc>
          <w:tcPr>
            <w:tcW w:w="196" w:type="pct"/>
            <w:tcBorders>
              <w:top w:val="nil"/>
              <w:left w:val="nil"/>
              <w:bottom w:val="single" w:sz="4" w:space="0" w:color="auto"/>
              <w:right w:val="single" w:sz="4" w:space="0" w:color="auto"/>
            </w:tcBorders>
            <w:shd w:val="clear" w:color="auto" w:fill="auto"/>
            <w:vAlign w:val="center"/>
            <w:hideMark/>
          </w:tcPr>
          <w:p w14:paraId="5AF00E94" w14:textId="137CC4A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A91982">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96" w:type="pct"/>
            <w:tcBorders>
              <w:top w:val="nil"/>
              <w:left w:val="nil"/>
              <w:bottom w:val="single" w:sz="4" w:space="0" w:color="auto"/>
              <w:right w:val="single" w:sz="4" w:space="0" w:color="auto"/>
            </w:tcBorders>
            <w:shd w:val="clear" w:color="auto" w:fill="auto"/>
            <w:vAlign w:val="center"/>
            <w:hideMark/>
          </w:tcPr>
          <w:p w14:paraId="466C1A9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3C459A27" w14:textId="0DFC0945"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6B6F84" w:rsidRPr="001F0C5A">
              <w:rPr>
                <w:rFonts w:ascii="Garamond" w:eastAsia="Times New Roman" w:hAnsi="Garamond" w:cs="Times New Roman"/>
                <w:b/>
                <w:bCs/>
                <w:color w:val="000000"/>
                <w:sz w:val="6"/>
                <w:szCs w:val="6"/>
                <w:lang w:val="sq-AL"/>
              </w:rPr>
              <w:t>kosto</w:t>
            </w:r>
          </w:p>
        </w:tc>
        <w:tc>
          <w:tcPr>
            <w:tcW w:w="196" w:type="pct"/>
            <w:tcBorders>
              <w:top w:val="nil"/>
              <w:left w:val="nil"/>
              <w:bottom w:val="single" w:sz="4" w:space="0" w:color="auto"/>
              <w:right w:val="single" w:sz="4" w:space="0" w:color="auto"/>
            </w:tcBorders>
            <w:shd w:val="clear" w:color="auto" w:fill="auto"/>
            <w:vAlign w:val="center"/>
            <w:hideMark/>
          </w:tcPr>
          <w:p w14:paraId="5537AEF2" w14:textId="18FC5B89"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81" w:type="pct"/>
            <w:tcBorders>
              <w:top w:val="nil"/>
              <w:left w:val="nil"/>
              <w:bottom w:val="single" w:sz="4" w:space="0" w:color="auto"/>
              <w:right w:val="single" w:sz="4" w:space="0" w:color="auto"/>
            </w:tcBorders>
            <w:shd w:val="clear" w:color="auto" w:fill="auto"/>
            <w:vAlign w:val="center"/>
            <w:hideMark/>
          </w:tcPr>
          <w:p w14:paraId="543F5F8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1E40307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BSH</w:t>
            </w:r>
          </w:p>
        </w:tc>
        <w:tc>
          <w:tcPr>
            <w:tcW w:w="170" w:type="pct"/>
            <w:tcBorders>
              <w:top w:val="nil"/>
              <w:left w:val="nil"/>
              <w:bottom w:val="single" w:sz="4" w:space="0" w:color="auto"/>
              <w:right w:val="single" w:sz="4" w:space="0" w:color="auto"/>
            </w:tcBorders>
            <w:shd w:val="clear" w:color="auto" w:fill="auto"/>
            <w:vAlign w:val="center"/>
            <w:hideMark/>
          </w:tcPr>
          <w:p w14:paraId="1F90BD3F" w14:textId="40822B92"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81" w:type="pct"/>
            <w:tcBorders>
              <w:top w:val="nil"/>
              <w:left w:val="nil"/>
              <w:bottom w:val="single" w:sz="4" w:space="0" w:color="auto"/>
              <w:right w:val="single" w:sz="4" w:space="0" w:color="auto"/>
            </w:tcBorders>
            <w:shd w:val="clear" w:color="auto" w:fill="auto"/>
            <w:vAlign w:val="center"/>
            <w:hideMark/>
          </w:tcPr>
          <w:p w14:paraId="0EB8D63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232" w:type="pct"/>
            <w:tcBorders>
              <w:top w:val="nil"/>
              <w:left w:val="nil"/>
              <w:bottom w:val="single" w:sz="4" w:space="0" w:color="auto"/>
              <w:right w:val="single" w:sz="4" w:space="0" w:color="auto"/>
            </w:tcBorders>
            <w:shd w:val="clear" w:color="auto" w:fill="auto"/>
            <w:vAlign w:val="center"/>
            <w:hideMark/>
          </w:tcPr>
          <w:p w14:paraId="02ECD592" w14:textId="77777777" w:rsidR="006B6F84"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Emri </w:t>
            </w:r>
            <w:r w:rsidR="006B6F84">
              <w:rPr>
                <w:rFonts w:ascii="Garamond" w:eastAsia="Times New Roman" w:hAnsi="Garamond" w:cs="Times New Roman"/>
                <w:b/>
                <w:bCs/>
                <w:color w:val="000000"/>
                <w:sz w:val="6"/>
                <w:szCs w:val="6"/>
                <w:lang w:val="sq-AL"/>
              </w:rPr>
              <w:t xml:space="preserve">i </w:t>
            </w:r>
            <w:r w:rsidRPr="001F0C5A">
              <w:rPr>
                <w:rFonts w:ascii="Garamond" w:eastAsia="Times New Roman" w:hAnsi="Garamond" w:cs="Times New Roman"/>
                <w:b/>
                <w:bCs/>
                <w:color w:val="000000"/>
                <w:sz w:val="6"/>
                <w:szCs w:val="6"/>
                <w:lang w:val="sq-AL"/>
              </w:rPr>
              <w:t>donatorit/</w:t>
            </w:r>
          </w:p>
          <w:p w14:paraId="63FE6B32" w14:textId="20CA10A2" w:rsidR="00D86FA8" w:rsidRPr="001F0C5A" w:rsidRDefault="006B6F84"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titullin e projektit</w:t>
            </w:r>
            <w:r w:rsidR="00D86FA8" w:rsidRPr="001F0C5A">
              <w:rPr>
                <w:rFonts w:ascii="Garamond" w:eastAsia="Times New Roman" w:hAnsi="Garamond" w:cs="Times New Roman"/>
                <w:b/>
                <w:bCs/>
                <w:color w:val="000000"/>
                <w:sz w:val="6"/>
                <w:szCs w:val="6"/>
                <w:lang w:val="sq-AL"/>
              </w:rPr>
              <w:t xml:space="preserve"> </w:t>
            </w:r>
          </w:p>
        </w:tc>
        <w:tc>
          <w:tcPr>
            <w:tcW w:w="181" w:type="pct"/>
            <w:tcBorders>
              <w:top w:val="nil"/>
              <w:left w:val="nil"/>
              <w:bottom w:val="single" w:sz="4" w:space="0" w:color="auto"/>
              <w:right w:val="single" w:sz="4" w:space="0" w:color="auto"/>
            </w:tcBorders>
            <w:shd w:val="clear" w:color="auto" w:fill="auto"/>
            <w:vAlign w:val="center"/>
            <w:hideMark/>
          </w:tcPr>
          <w:p w14:paraId="326342FE" w14:textId="3AB6BC1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Financim i </w:t>
            </w:r>
            <w:r w:rsidR="006B6F84" w:rsidRPr="001F0C5A">
              <w:rPr>
                <w:rFonts w:ascii="Garamond" w:eastAsia="Times New Roman" w:hAnsi="Garamond" w:cs="Times New Roman"/>
                <w:b/>
                <w:bCs/>
                <w:color w:val="000000"/>
                <w:sz w:val="6"/>
                <w:szCs w:val="6"/>
                <w:lang w:val="sq-AL"/>
              </w:rPr>
              <w:t>huaj</w:t>
            </w:r>
          </w:p>
        </w:tc>
        <w:tc>
          <w:tcPr>
            <w:tcW w:w="160" w:type="pct"/>
            <w:tcBorders>
              <w:top w:val="nil"/>
              <w:left w:val="nil"/>
              <w:bottom w:val="single" w:sz="4" w:space="0" w:color="auto"/>
              <w:right w:val="single" w:sz="4" w:space="0" w:color="auto"/>
            </w:tcBorders>
            <w:shd w:val="clear" w:color="auto" w:fill="auto"/>
            <w:vAlign w:val="center"/>
            <w:hideMark/>
          </w:tcPr>
          <w:p w14:paraId="250DDE5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r>
      <w:tr w:rsidR="006B6F84" w:rsidRPr="001F0C5A" w14:paraId="70FB3F91"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469B371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w:t>
            </w:r>
          </w:p>
        </w:tc>
        <w:tc>
          <w:tcPr>
            <w:tcW w:w="247" w:type="pct"/>
            <w:tcBorders>
              <w:top w:val="nil"/>
              <w:left w:val="nil"/>
              <w:bottom w:val="single" w:sz="4" w:space="0" w:color="auto"/>
              <w:right w:val="nil"/>
            </w:tcBorders>
            <w:shd w:val="clear" w:color="000000" w:fill="DDEBF7"/>
            <w:vAlign w:val="center"/>
            <w:hideMark/>
          </w:tcPr>
          <w:p w14:paraId="4B9C388E" w14:textId="5601B27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1: Përmirësimi i infrastrukturës në </w:t>
            </w:r>
            <w:r w:rsidR="003110EB" w:rsidRPr="001F0C5A">
              <w:rPr>
                <w:rFonts w:ascii="Garamond" w:eastAsia="Times New Roman" w:hAnsi="Garamond" w:cs="Times New Roman"/>
                <w:b/>
                <w:bCs/>
                <w:color w:val="000000"/>
                <w:sz w:val="6"/>
                <w:szCs w:val="6"/>
                <w:lang w:val="sq-AL"/>
              </w:rPr>
              <w:t>pikat e kalimit kufitar</w:t>
            </w:r>
            <w:r w:rsidR="003110EB">
              <w:rPr>
                <w:rFonts w:ascii="Garamond" w:eastAsia="Times New Roman" w:hAnsi="Garamond" w:cs="Times New Roman"/>
                <w:b/>
                <w:bCs/>
                <w:color w:val="000000"/>
                <w:sz w:val="6"/>
                <w:szCs w:val="6"/>
                <w:lang w:val="sq-AL"/>
              </w:rPr>
              <w:t>,</w:t>
            </w:r>
            <w:r w:rsidR="003110EB"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me qëllim krijimin e kushteve që sigurojnë kalim të lehtësuar dhe të sigurt në shtetasve dhe mallrave</w:t>
            </w:r>
          </w:p>
        </w:tc>
        <w:tc>
          <w:tcPr>
            <w:tcW w:w="211" w:type="pct"/>
            <w:tcBorders>
              <w:top w:val="nil"/>
              <w:left w:val="single" w:sz="4" w:space="0" w:color="auto"/>
              <w:bottom w:val="single" w:sz="4" w:space="0" w:color="auto"/>
              <w:right w:val="single" w:sz="4" w:space="0" w:color="auto"/>
            </w:tcBorders>
            <w:shd w:val="clear" w:color="000000" w:fill="DDEBF7"/>
            <w:vAlign w:val="center"/>
            <w:hideMark/>
          </w:tcPr>
          <w:p w14:paraId="43326D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0B150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2D5913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4D41D3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71639F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5F3AA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FDAAA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2CD4F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967BD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BEED4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45F73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CEC9D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C59BA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95E46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0C05B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E85F5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41643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65386C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0A969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3E4C3A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D7DA0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277FE8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16669E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71C29E7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1.1</w:t>
            </w:r>
          </w:p>
        </w:tc>
        <w:tc>
          <w:tcPr>
            <w:tcW w:w="247" w:type="pct"/>
            <w:tcBorders>
              <w:top w:val="nil"/>
              <w:left w:val="nil"/>
              <w:bottom w:val="single" w:sz="4" w:space="0" w:color="auto"/>
              <w:right w:val="single" w:sz="4" w:space="0" w:color="auto"/>
            </w:tcBorders>
            <w:shd w:val="clear" w:color="auto" w:fill="auto"/>
            <w:vAlign w:val="center"/>
            <w:hideMark/>
          </w:tcPr>
          <w:p w14:paraId="52469173" w14:textId="24F9D1F7" w:rsidR="00D86FA8" w:rsidRPr="001F0C5A" w:rsidRDefault="003110EB"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Përmirësimi</w:t>
            </w:r>
            <w:r w:rsidR="00D86FA8" w:rsidRPr="001F0C5A">
              <w:rPr>
                <w:rFonts w:ascii="Garamond" w:eastAsia="Times New Roman" w:hAnsi="Garamond" w:cs="Times New Roman"/>
                <w:b/>
                <w:bCs/>
                <w:color w:val="000000"/>
                <w:sz w:val="6"/>
                <w:szCs w:val="6"/>
                <w:lang w:val="sq-AL"/>
              </w:rPr>
              <w:t xml:space="preserve"> i </w:t>
            </w:r>
            <w:r w:rsidRPr="001F0C5A">
              <w:rPr>
                <w:rFonts w:ascii="Garamond" w:eastAsia="Times New Roman" w:hAnsi="Garamond" w:cs="Times New Roman"/>
                <w:b/>
                <w:bCs/>
                <w:color w:val="000000"/>
                <w:sz w:val="6"/>
                <w:szCs w:val="6"/>
                <w:lang w:val="sq-AL"/>
              </w:rPr>
              <w:t>pikave të kalimit kufitar</w:t>
            </w:r>
          </w:p>
        </w:tc>
        <w:tc>
          <w:tcPr>
            <w:tcW w:w="211" w:type="pct"/>
            <w:tcBorders>
              <w:top w:val="nil"/>
              <w:left w:val="nil"/>
              <w:bottom w:val="single" w:sz="4" w:space="0" w:color="auto"/>
              <w:right w:val="single" w:sz="4" w:space="0" w:color="auto"/>
            </w:tcBorders>
            <w:shd w:val="clear" w:color="000000" w:fill="FFFFFF"/>
            <w:vAlign w:val="center"/>
            <w:hideMark/>
          </w:tcPr>
          <w:p w14:paraId="7846CE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4F70E4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38F62F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000000" w:fill="FFFFFF"/>
            <w:vAlign w:val="center"/>
            <w:hideMark/>
          </w:tcPr>
          <w:p w14:paraId="578C58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E3A328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9B09A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72C312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5657F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1E799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D0251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D0684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E0B39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FBBF9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957AB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35783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F60AE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B111C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6A8A2E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2360C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7E8156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2F1CF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51A1A5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10A9A15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0F8CA3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lastRenderedPageBreak/>
              <w:t>1.1.1</w:t>
            </w:r>
          </w:p>
        </w:tc>
        <w:tc>
          <w:tcPr>
            <w:tcW w:w="247" w:type="pct"/>
            <w:tcBorders>
              <w:top w:val="nil"/>
              <w:left w:val="nil"/>
              <w:bottom w:val="single" w:sz="4" w:space="0" w:color="auto"/>
              <w:right w:val="single" w:sz="4" w:space="0" w:color="auto"/>
            </w:tcBorders>
            <w:shd w:val="clear" w:color="auto" w:fill="auto"/>
            <w:vAlign w:val="center"/>
            <w:hideMark/>
          </w:tcPr>
          <w:p w14:paraId="33723B8E" w14:textId="3DE9E141"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Rikonstruksion dhe rikonceptimi i </w:t>
            </w:r>
            <w:r w:rsidR="003110EB" w:rsidRPr="001F0C5A">
              <w:rPr>
                <w:rFonts w:ascii="Garamond" w:eastAsia="Times New Roman" w:hAnsi="Garamond" w:cs="Times New Roman"/>
                <w:color w:val="000000"/>
                <w:sz w:val="6"/>
                <w:szCs w:val="6"/>
                <w:lang w:val="sq-AL"/>
              </w:rPr>
              <w:t>hapësirave</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xml:space="preserve"> si dhe krijimi i kushteve bashkëkohore me </w:t>
            </w:r>
            <w:r w:rsidR="003110EB" w:rsidRPr="001F0C5A">
              <w:rPr>
                <w:rFonts w:ascii="Garamond" w:eastAsia="Times New Roman" w:hAnsi="Garamond" w:cs="Times New Roman"/>
                <w:color w:val="000000"/>
                <w:sz w:val="6"/>
                <w:szCs w:val="6"/>
                <w:lang w:val="sq-AL"/>
              </w:rPr>
              <w:t>standarde</w:t>
            </w:r>
            <w:r w:rsidRPr="001F0C5A">
              <w:rPr>
                <w:rFonts w:ascii="Garamond" w:eastAsia="Times New Roman" w:hAnsi="Garamond" w:cs="Times New Roman"/>
                <w:color w:val="000000"/>
                <w:sz w:val="6"/>
                <w:szCs w:val="6"/>
                <w:lang w:val="sq-AL"/>
              </w:rPr>
              <w:t xml:space="preserve"> të larta sigurie në degën Doganore Bllatë.</w:t>
            </w:r>
          </w:p>
        </w:tc>
        <w:tc>
          <w:tcPr>
            <w:tcW w:w="211" w:type="pct"/>
            <w:tcBorders>
              <w:top w:val="nil"/>
              <w:left w:val="nil"/>
              <w:bottom w:val="single" w:sz="4" w:space="0" w:color="auto"/>
              <w:right w:val="single" w:sz="4" w:space="0" w:color="auto"/>
            </w:tcBorders>
            <w:shd w:val="clear" w:color="000000" w:fill="FFFFFF"/>
            <w:vAlign w:val="center"/>
            <w:hideMark/>
          </w:tcPr>
          <w:p w14:paraId="40638A6E" w14:textId="530B47EE"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Programi 01150</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Prdukt AW101</w:t>
            </w:r>
            <w:r w:rsidR="001F0C5A" w:rsidRPr="001F0C5A">
              <w:rPr>
                <w:rFonts w:ascii="Garamond" w:eastAsia="Times New Roman" w:hAnsi="Garamond" w:cs="Times New Roman"/>
                <w:color w:val="000000"/>
                <w:sz w:val="6"/>
                <w:szCs w:val="6"/>
                <w:lang w:val="sq-AL"/>
              </w:rPr>
              <w:t xml:space="preserve">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Godina t</w:t>
            </w:r>
            <w:r w:rsidR="006C2282">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w:t>
            </w:r>
            <w:r w:rsidR="006C2282" w:rsidRPr="001F0C5A">
              <w:rPr>
                <w:rFonts w:ascii="Garamond" w:eastAsia="Times New Roman" w:hAnsi="Garamond" w:cs="Times New Roman"/>
                <w:color w:val="000000"/>
                <w:sz w:val="6"/>
                <w:szCs w:val="6"/>
                <w:lang w:val="sq-AL"/>
              </w:rPr>
              <w:t xml:space="preserve">ndërtuara </w:t>
            </w:r>
            <w:r w:rsidRPr="001F0C5A">
              <w:rPr>
                <w:rFonts w:ascii="Garamond" w:eastAsia="Times New Roman" w:hAnsi="Garamond" w:cs="Times New Roman"/>
                <w:color w:val="000000"/>
                <w:sz w:val="6"/>
                <w:szCs w:val="6"/>
                <w:lang w:val="sq-AL"/>
              </w:rPr>
              <w:t>dhe rikonstruktuara</w:t>
            </w:r>
            <w:r w:rsidR="003110EB">
              <w:rPr>
                <w:rFonts w:ascii="Garamond" w:eastAsia="Times New Roman" w:hAnsi="Garamond" w:cs="Times New Roman"/>
                <w:color w:val="000000"/>
                <w:sz w:val="6"/>
                <w:szCs w:val="6"/>
                <w:lang w:val="sq-AL"/>
              </w:rPr>
              <w:t>”</w:t>
            </w:r>
          </w:p>
        </w:tc>
        <w:tc>
          <w:tcPr>
            <w:tcW w:w="202" w:type="pct"/>
            <w:tcBorders>
              <w:top w:val="nil"/>
              <w:left w:val="nil"/>
              <w:bottom w:val="single" w:sz="4" w:space="0" w:color="auto"/>
              <w:right w:val="single" w:sz="4" w:space="0" w:color="auto"/>
            </w:tcBorders>
            <w:shd w:val="clear" w:color="000000" w:fill="FFFFFF"/>
            <w:vAlign w:val="center"/>
            <w:hideMark/>
          </w:tcPr>
          <w:p w14:paraId="45C281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51F354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000000" w:fill="FFFFFF"/>
            <w:vAlign w:val="center"/>
            <w:hideMark/>
          </w:tcPr>
          <w:p w14:paraId="7EF2258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A95C52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EB9CD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90C86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96" w:type="pct"/>
            <w:tcBorders>
              <w:top w:val="nil"/>
              <w:left w:val="nil"/>
              <w:bottom w:val="single" w:sz="4" w:space="0" w:color="auto"/>
              <w:right w:val="single" w:sz="4" w:space="0" w:color="auto"/>
            </w:tcBorders>
            <w:shd w:val="clear" w:color="000000" w:fill="FFFFFF"/>
            <w:vAlign w:val="center"/>
            <w:hideMark/>
          </w:tcPr>
          <w:p w14:paraId="008D09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96" w:type="pct"/>
            <w:tcBorders>
              <w:top w:val="nil"/>
              <w:left w:val="nil"/>
              <w:bottom w:val="single" w:sz="4" w:space="0" w:color="auto"/>
              <w:right w:val="single" w:sz="4" w:space="0" w:color="auto"/>
            </w:tcBorders>
            <w:shd w:val="clear" w:color="000000" w:fill="FFFFFF"/>
            <w:vAlign w:val="center"/>
            <w:hideMark/>
          </w:tcPr>
          <w:p w14:paraId="3DAE11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9DC83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BA37C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9E91D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F0DDD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96" w:type="pct"/>
            <w:tcBorders>
              <w:top w:val="nil"/>
              <w:left w:val="nil"/>
              <w:bottom w:val="single" w:sz="4" w:space="0" w:color="auto"/>
              <w:right w:val="single" w:sz="4" w:space="0" w:color="auto"/>
            </w:tcBorders>
            <w:shd w:val="clear" w:color="000000" w:fill="FFFFFF"/>
            <w:vAlign w:val="center"/>
            <w:hideMark/>
          </w:tcPr>
          <w:p w14:paraId="220621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96" w:type="pct"/>
            <w:tcBorders>
              <w:top w:val="nil"/>
              <w:left w:val="nil"/>
              <w:bottom w:val="single" w:sz="4" w:space="0" w:color="auto"/>
              <w:right w:val="single" w:sz="4" w:space="0" w:color="auto"/>
            </w:tcBorders>
            <w:shd w:val="clear" w:color="000000" w:fill="FFFFFF"/>
            <w:vAlign w:val="center"/>
            <w:hideMark/>
          </w:tcPr>
          <w:p w14:paraId="604CD6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ECBCD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96" w:type="pct"/>
            <w:tcBorders>
              <w:top w:val="nil"/>
              <w:left w:val="nil"/>
              <w:bottom w:val="single" w:sz="4" w:space="0" w:color="auto"/>
              <w:right w:val="single" w:sz="4" w:space="0" w:color="auto"/>
            </w:tcBorders>
            <w:shd w:val="clear" w:color="000000" w:fill="FFFFFF"/>
            <w:vAlign w:val="center"/>
            <w:hideMark/>
          </w:tcPr>
          <w:p w14:paraId="6B8811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70" w:type="pct"/>
            <w:tcBorders>
              <w:top w:val="nil"/>
              <w:left w:val="nil"/>
              <w:bottom w:val="single" w:sz="4" w:space="0" w:color="auto"/>
              <w:right w:val="single" w:sz="4" w:space="0" w:color="auto"/>
            </w:tcBorders>
            <w:shd w:val="clear" w:color="000000" w:fill="FFFFFF"/>
            <w:vAlign w:val="center"/>
            <w:hideMark/>
          </w:tcPr>
          <w:p w14:paraId="5E0D5D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1C96B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740BD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9ACE3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8A0EC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CE0DE0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569F157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1.1.2 </w:t>
            </w:r>
          </w:p>
        </w:tc>
        <w:tc>
          <w:tcPr>
            <w:tcW w:w="247" w:type="pct"/>
            <w:tcBorders>
              <w:top w:val="nil"/>
              <w:left w:val="nil"/>
              <w:bottom w:val="single" w:sz="4" w:space="0" w:color="auto"/>
              <w:right w:val="single" w:sz="4" w:space="0" w:color="auto"/>
            </w:tcBorders>
            <w:shd w:val="clear" w:color="auto" w:fill="auto"/>
            <w:vAlign w:val="center"/>
            <w:hideMark/>
          </w:tcPr>
          <w:p w14:paraId="3006688B" w14:textId="55D057C0" w:rsidR="00D86FA8" w:rsidRPr="001F0C5A" w:rsidRDefault="003110EB"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Rikonstruksioni</w:t>
            </w:r>
            <w:r w:rsidR="00D86FA8" w:rsidRPr="001F0C5A">
              <w:rPr>
                <w:rFonts w:ascii="Garamond" w:eastAsia="Times New Roman" w:hAnsi="Garamond" w:cs="Times New Roman"/>
                <w:color w:val="000000"/>
                <w:sz w:val="6"/>
                <w:szCs w:val="6"/>
                <w:lang w:val="sq-AL"/>
              </w:rPr>
              <w:t xml:space="preserve"> i PKK Qaf</w:t>
            </w:r>
            <w:r>
              <w:rPr>
                <w:rFonts w:ascii="Garamond" w:eastAsia="Times New Roman" w:hAnsi="Garamond" w:cs="Times New Roman"/>
                <w:color w:val="000000"/>
                <w:sz w:val="6"/>
                <w:szCs w:val="6"/>
                <w:lang w:val="sq-AL"/>
              </w:rPr>
              <w:t>ët</w:t>
            </w:r>
            <w:r w:rsidR="00D86FA8" w:rsidRPr="001F0C5A">
              <w:rPr>
                <w:rFonts w:ascii="Garamond" w:eastAsia="Times New Roman" w:hAnsi="Garamond" w:cs="Times New Roman"/>
                <w:color w:val="000000"/>
                <w:sz w:val="6"/>
                <w:szCs w:val="6"/>
                <w:lang w:val="sq-AL"/>
              </w:rPr>
              <w:t>han</w:t>
            </w:r>
            <w:r>
              <w:rPr>
                <w:rFonts w:ascii="Garamond" w:eastAsia="Times New Roman" w:hAnsi="Garamond" w:cs="Times New Roman"/>
                <w:color w:val="000000"/>
                <w:sz w:val="6"/>
                <w:szCs w:val="6"/>
                <w:lang w:val="sq-AL"/>
              </w:rPr>
              <w:t>ë</w:t>
            </w:r>
            <w:r w:rsidR="00D86FA8" w:rsidRPr="001F0C5A">
              <w:rPr>
                <w:rFonts w:ascii="Garamond" w:eastAsia="Times New Roman" w:hAnsi="Garamond" w:cs="Times New Roman"/>
                <w:color w:val="000000"/>
                <w:sz w:val="6"/>
                <w:szCs w:val="6"/>
                <w:lang w:val="sq-AL"/>
              </w:rPr>
              <w:t xml:space="preserve"> - Kafasan n</w:t>
            </w:r>
            <w:r>
              <w:rPr>
                <w:rFonts w:ascii="Garamond" w:eastAsia="Times New Roman" w:hAnsi="Garamond" w:cs="Times New Roman"/>
                <w:color w:val="000000"/>
                <w:sz w:val="6"/>
                <w:szCs w:val="6"/>
                <w:lang w:val="sq-AL"/>
              </w:rPr>
              <w:t>ë</w:t>
            </w:r>
            <w:r w:rsidR="00D86FA8" w:rsidRPr="001F0C5A">
              <w:rPr>
                <w:rFonts w:ascii="Garamond" w:eastAsia="Times New Roman" w:hAnsi="Garamond" w:cs="Times New Roman"/>
                <w:color w:val="000000"/>
                <w:sz w:val="6"/>
                <w:szCs w:val="6"/>
                <w:lang w:val="sq-AL"/>
              </w:rPr>
              <w:t xml:space="preserve"> form</w:t>
            </w:r>
            <w:r>
              <w:rPr>
                <w:rFonts w:ascii="Garamond" w:eastAsia="Times New Roman" w:hAnsi="Garamond" w:cs="Times New Roman"/>
                <w:color w:val="000000"/>
                <w:sz w:val="6"/>
                <w:szCs w:val="6"/>
                <w:lang w:val="sq-AL"/>
              </w:rPr>
              <w:t>ë</w:t>
            </w:r>
            <w:r w:rsidR="00D86FA8" w:rsidRPr="001F0C5A">
              <w:rPr>
                <w:rFonts w:ascii="Garamond" w:eastAsia="Times New Roman" w:hAnsi="Garamond" w:cs="Times New Roman"/>
                <w:color w:val="000000"/>
                <w:sz w:val="6"/>
                <w:szCs w:val="6"/>
                <w:lang w:val="sq-AL"/>
              </w:rPr>
              <w:t xml:space="preserve">n </w:t>
            </w:r>
            <w:r>
              <w:rPr>
                <w:rFonts w:ascii="Garamond" w:eastAsia="Times New Roman" w:hAnsi="Garamond" w:cs="Times New Roman"/>
                <w:color w:val="000000"/>
                <w:sz w:val="6"/>
                <w:szCs w:val="6"/>
                <w:lang w:val="sq-AL"/>
              </w:rPr>
              <w:t>“</w:t>
            </w:r>
            <w:r w:rsidR="00D86FA8" w:rsidRPr="001F0C5A">
              <w:rPr>
                <w:rFonts w:ascii="Garamond" w:eastAsia="Times New Roman" w:hAnsi="Garamond" w:cs="Times New Roman"/>
                <w:color w:val="000000"/>
                <w:sz w:val="6"/>
                <w:szCs w:val="6"/>
                <w:lang w:val="sq-AL"/>
              </w:rPr>
              <w:t>One Stop Shop</w:t>
            </w:r>
            <w:r>
              <w:rPr>
                <w:rFonts w:ascii="Garamond" w:eastAsia="Times New Roman" w:hAnsi="Garamond" w:cs="Times New Roman"/>
                <w:color w:val="000000"/>
                <w:sz w:val="6"/>
                <w:szCs w:val="6"/>
                <w:lang w:val="sq-AL"/>
              </w:rPr>
              <w:t>”</w:t>
            </w:r>
          </w:p>
        </w:tc>
        <w:tc>
          <w:tcPr>
            <w:tcW w:w="211" w:type="pct"/>
            <w:tcBorders>
              <w:top w:val="nil"/>
              <w:left w:val="nil"/>
              <w:bottom w:val="single" w:sz="4" w:space="0" w:color="auto"/>
              <w:right w:val="single" w:sz="4" w:space="0" w:color="auto"/>
            </w:tcBorders>
            <w:shd w:val="clear" w:color="000000" w:fill="FFFFFF"/>
            <w:vAlign w:val="center"/>
            <w:hideMark/>
          </w:tcPr>
          <w:p w14:paraId="00E563D5" w14:textId="604B310A"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Programi 01150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 xml:space="preserve">Menaxhimi </w:t>
            </w:r>
            <w:r w:rsidR="00D94DB0">
              <w:rPr>
                <w:rFonts w:ascii="Garamond" w:eastAsia="Times New Roman" w:hAnsi="Garamond" w:cs="Times New Roman"/>
                <w:sz w:val="6"/>
                <w:szCs w:val="6"/>
                <w:lang w:val="sq-AL"/>
              </w:rPr>
              <w:t>i</w:t>
            </w:r>
            <w:r w:rsidRPr="001F0C5A">
              <w:rPr>
                <w:rFonts w:ascii="Garamond" w:eastAsia="Times New Roman" w:hAnsi="Garamond" w:cs="Times New Roman"/>
                <w:sz w:val="6"/>
                <w:szCs w:val="6"/>
                <w:lang w:val="sq-AL"/>
              </w:rPr>
              <w:t xml:space="preserve"> t</w:t>
            </w:r>
            <w:r w:rsidR="00D94DB0">
              <w:rPr>
                <w:rFonts w:ascii="Garamond" w:eastAsia="Times New Roman" w:hAnsi="Garamond" w:cs="Times New Roman"/>
                <w:sz w:val="6"/>
                <w:szCs w:val="6"/>
                <w:lang w:val="sq-AL"/>
              </w:rPr>
              <w:t>ë</w:t>
            </w:r>
            <w:r w:rsidRPr="001F0C5A">
              <w:rPr>
                <w:rFonts w:ascii="Garamond" w:eastAsia="Times New Roman" w:hAnsi="Garamond" w:cs="Times New Roman"/>
                <w:sz w:val="6"/>
                <w:szCs w:val="6"/>
                <w:lang w:val="sq-AL"/>
              </w:rPr>
              <w:t xml:space="preserve"> ardhurave </w:t>
            </w:r>
            <w:r w:rsidR="006C2282" w:rsidRPr="001F0C5A">
              <w:rPr>
                <w:rFonts w:ascii="Garamond" w:eastAsia="Times New Roman" w:hAnsi="Garamond" w:cs="Times New Roman"/>
                <w:sz w:val="6"/>
                <w:szCs w:val="6"/>
                <w:lang w:val="sq-AL"/>
              </w:rPr>
              <w:t>doganore</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 xml:space="preserve"> produkti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19AD101</w:t>
            </w:r>
          </w:p>
        </w:tc>
        <w:tc>
          <w:tcPr>
            <w:tcW w:w="202" w:type="pct"/>
            <w:tcBorders>
              <w:top w:val="nil"/>
              <w:left w:val="nil"/>
              <w:bottom w:val="single" w:sz="4" w:space="0" w:color="auto"/>
              <w:right w:val="single" w:sz="4" w:space="0" w:color="auto"/>
            </w:tcBorders>
            <w:shd w:val="clear" w:color="000000" w:fill="FFFFFF"/>
            <w:vAlign w:val="center"/>
            <w:hideMark/>
          </w:tcPr>
          <w:p w14:paraId="7B3392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0495C9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r w:rsidRPr="001F0C5A">
              <w:rPr>
                <w:rFonts w:ascii="Garamond" w:eastAsia="Times New Roman" w:hAnsi="Garamond" w:cs="Times New Roman"/>
                <w:sz w:val="6"/>
                <w:szCs w:val="6"/>
                <w:lang w:val="sq-AL"/>
              </w:rPr>
              <w:t>Banka Botërore</w:t>
            </w:r>
          </w:p>
        </w:tc>
        <w:tc>
          <w:tcPr>
            <w:tcW w:w="143" w:type="pct"/>
            <w:tcBorders>
              <w:top w:val="nil"/>
              <w:left w:val="nil"/>
              <w:bottom w:val="single" w:sz="4" w:space="0" w:color="auto"/>
              <w:right w:val="single" w:sz="4" w:space="0" w:color="auto"/>
            </w:tcBorders>
            <w:shd w:val="clear" w:color="000000" w:fill="FFFFFF"/>
            <w:vAlign w:val="center"/>
            <w:hideMark/>
          </w:tcPr>
          <w:p w14:paraId="015C64B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FFFFFF"/>
            <w:vAlign w:val="center"/>
            <w:hideMark/>
          </w:tcPr>
          <w:p w14:paraId="509164D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4D6CF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FF25B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FA0EF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C1371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0ECB3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96" w:type="pct"/>
            <w:tcBorders>
              <w:top w:val="nil"/>
              <w:left w:val="nil"/>
              <w:bottom w:val="single" w:sz="4" w:space="0" w:color="auto"/>
              <w:right w:val="single" w:sz="4" w:space="0" w:color="auto"/>
            </w:tcBorders>
            <w:shd w:val="clear" w:color="000000" w:fill="FFFFFF"/>
            <w:vAlign w:val="center"/>
            <w:hideMark/>
          </w:tcPr>
          <w:p w14:paraId="03BB0D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96" w:type="pct"/>
            <w:tcBorders>
              <w:top w:val="nil"/>
              <w:left w:val="nil"/>
              <w:bottom w:val="single" w:sz="4" w:space="0" w:color="auto"/>
              <w:right w:val="single" w:sz="4" w:space="0" w:color="auto"/>
            </w:tcBorders>
            <w:shd w:val="clear" w:color="000000" w:fill="FFFFFF"/>
            <w:vAlign w:val="center"/>
            <w:hideMark/>
          </w:tcPr>
          <w:p w14:paraId="39FA1B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AFF4B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96" w:type="pct"/>
            <w:tcBorders>
              <w:top w:val="nil"/>
              <w:left w:val="nil"/>
              <w:bottom w:val="single" w:sz="4" w:space="0" w:color="auto"/>
              <w:right w:val="single" w:sz="4" w:space="0" w:color="auto"/>
            </w:tcBorders>
            <w:shd w:val="clear" w:color="000000" w:fill="FFFFFF"/>
            <w:vAlign w:val="center"/>
            <w:hideMark/>
          </w:tcPr>
          <w:p w14:paraId="3EFDB4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96" w:type="pct"/>
            <w:tcBorders>
              <w:top w:val="nil"/>
              <w:left w:val="nil"/>
              <w:bottom w:val="single" w:sz="4" w:space="0" w:color="auto"/>
              <w:right w:val="single" w:sz="4" w:space="0" w:color="auto"/>
            </w:tcBorders>
            <w:shd w:val="clear" w:color="000000" w:fill="FFFFFF"/>
            <w:vAlign w:val="center"/>
            <w:hideMark/>
          </w:tcPr>
          <w:p w14:paraId="25F0F8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86F37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96" w:type="pct"/>
            <w:tcBorders>
              <w:top w:val="nil"/>
              <w:left w:val="nil"/>
              <w:bottom w:val="single" w:sz="4" w:space="0" w:color="auto"/>
              <w:right w:val="single" w:sz="4" w:space="0" w:color="auto"/>
            </w:tcBorders>
            <w:shd w:val="clear" w:color="000000" w:fill="FFFFFF"/>
            <w:vAlign w:val="center"/>
            <w:hideMark/>
          </w:tcPr>
          <w:p w14:paraId="4DA6F0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70" w:type="pct"/>
            <w:tcBorders>
              <w:top w:val="nil"/>
              <w:left w:val="nil"/>
              <w:bottom w:val="single" w:sz="4" w:space="0" w:color="auto"/>
              <w:right w:val="single" w:sz="4" w:space="0" w:color="auto"/>
            </w:tcBorders>
            <w:shd w:val="clear" w:color="000000" w:fill="FFFFFF"/>
            <w:vAlign w:val="center"/>
            <w:hideMark/>
          </w:tcPr>
          <w:p w14:paraId="185815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64E3E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2CB20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Banka Boterore</w:t>
            </w:r>
          </w:p>
        </w:tc>
        <w:tc>
          <w:tcPr>
            <w:tcW w:w="181" w:type="pct"/>
            <w:tcBorders>
              <w:top w:val="nil"/>
              <w:left w:val="nil"/>
              <w:bottom w:val="single" w:sz="4" w:space="0" w:color="auto"/>
              <w:right w:val="single" w:sz="4" w:space="0" w:color="auto"/>
            </w:tcBorders>
            <w:shd w:val="clear" w:color="000000" w:fill="FFFFFF"/>
            <w:vAlign w:val="center"/>
            <w:hideMark/>
          </w:tcPr>
          <w:p w14:paraId="45B152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EA9A3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E12686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29B25DC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1.1.3</w:t>
            </w:r>
          </w:p>
        </w:tc>
        <w:tc>
          <w:tcPr>
            <w:tcW w:w="247" w:type="pct"/>
            <w:tcBorders>
              <w:top w:val="nil"/>
              <w:left w:val="nil"/>
              <w:bottom w:val="single" w:sz="4" w:space="0" w:color="auto"/>
              <w:right w:val="single" w:sz="4" w:space="0" w:color="auto"/>
            </w:tcBorders>
            <w:shd w:val="clear" w:color="auto" w:fill="auto"/>
            <w:vAlign w:val="center"/>
            <w:hideMark/>
          </w:tcPr>
          <w:p w14:paraId="3AC46DB7"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Ndërtimi dhe vënia në funksion e Pikës së Përbashkët të Kalimit Kufitar Zogaj</w:t>
            </w:r>
          </w:p>
        </w:tc>
        <w:tc>
          <w:tcPr>
            <w:tcW w:w="211" w:type="pct"/>
            <w:tcBorders>
              <w:top w:val="nil"/>
              <w:left w:val="nil"/>
              <w:bottom w:val="single" w:sz="4" w:space="0" w:color="auto"/>
              <w:right w:val="single" w:sz="4" w:space="0" w:color="auto"/>
            </w:tcBorders>
            <w:shd w:val="clear" w:color="000000" w:fill="FFFFFF"/>
            <w:vAlign w:val="center"/>
            <w:hideMark/>
          </w:tcPr>
          <w:p w14:paraId="1CB1D7D4" w14:textId="77777777" w:rsidR="00D86FA8" w:rsidRPr="001F0C5A" w:rsidRDefault="00D86FA8" w:rsidP="00D86FA8">
            <w:pPr>
              <w:spacing w:after="0" w:line="240" w:lineRule="auto"/>
              <w:jc w:val="center"/>
              <w:rPr>
                <w:rFonts w:ascii="Garamond" w:eastAsia="Times New Roman" w:hAnsi="Garamond" w:cs="Times New Roman"/>
                <w:color w:val="FF0000"/>
                <w:sz w:val="6"/>
                <w:szCs w:val="6"/>
                <w:lang w:val="sq-AL"/>
              </w:rPr>
            </w:pPr>
            <w:r w:rsidRPr="001F0C5A">
              <w:rPr>
                <w:rFonts w:ascii="Garamond" w:eastAsia="Times New Roman" w:hAnsi="Garamond" w:cs="Times New Roman"/>
                <w:color w:val="FF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6DB1AB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40911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7AE553F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AD45D9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01833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B6FB8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17F318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63F3E6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CFF0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A43A1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FA232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6F7F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2C7169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15DED2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02B347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3488E4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70" w:type="pct"/>
            <w:tcBorders>
              <w:top w:val="nil"/>
              <w:left w:val="nil"/>
              <w:bottom w:val="single" w:sz="4" w:space="0" w:color="auto"/>
              <w:right w:val="single" w:sz="4" w:space="0" w:color="auto"/>
            </w:tcBorders>
            <w:shd w:val="clear" w:color="000000" w:fill="FFFFFF"/>
            <w:vAlign w:val="center"/>
            <w:hideMark/>
          </w:tcPr>
          <w:p w14:paraId="02A23F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56773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CD2D6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F6E23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F4C52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789AFBE"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233C2C0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1.2</w:t>
            </w:r>
          </w:p>
        </w:tc>
        <w:tc>
          <w:tcPr>
            <w:tcW w:w="247" w:type="pct"/>
            <w:tcBorders>
              <w:top w:val="nil"/>
              <w:left w:val="nil"/>
              <w:bottom w:val="single" w:sz="4" w:space="0" w:color="auto"/>
              <w:right w:val="single" w:sz="4" w:space="0" w:color="auto"/>
            </w:tcBorders>
            <w:shd w:val="clear" w:color="auto" w:fill="auto"/>
            <w:vAlign w:val="center"/>
            <w:hideMark/>
          </w:tcPr>
          <w:p w14:paraId="5671147A"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Zbatimi i projektit për implementimin Sistemit të Kompjuterizuar të Tranzitit (New Computerized Transit System/NCTS) për shkëmbimin e të dhënave për mallrat tranzit</w:t>
            </w:r>
            <w:r w:rsidRPr="001F0C5A">
              <w:rPr>
                <w:rFonts w:ascii="Garamond" w:eastAsia="Times New Roman" w:hAnsi="Garamond" w:cs="Times New Roman"/>
                <w:b/>
                <w:bCs/>
                <w:sz w:val="6"/>
                <w:szCs w:val="6"/>
                <w:lang w:val="sq-AL"/>
              </w:rPr>
              <w:t xml:space="preserve"> </w:t>
            </w:r>
          </w:p>
        </w:tc>
        <w:tc>
          <w:tcPr>
            <w:tcW w:w="211" w:type="pct"/>
            <w:tcBorders>
              <w:top w:val="nil"/>
              <w:left w:val="nil"/>
              <w:bottom w:val="single" w:sz="4" w:space="0" w:color="auto"/>
              <w:right w:val="single" w:sz="4" w:space="0" w:color="auto"/>
            </w:tcBorders>
            <w:shd w:val="clear" w:color="000000" w:fill="FFFFFF"/>
            <w:vAlign w:val="center"/>
            <w:hideMark/>
          </w:tcPr>
          <w:p w14:paraId="4B2B7EA9"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5EA6FA46"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46DC4A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MF, Banka Botërore, PSH, </w:t>
            </w:r>
          </w:p>
        </w:tc>
        <w:tc>
          <w:tcPr>
            <w:tcW w:w="143" w:type="pct"/>
            <w:tcBorders>
              <w:top w:val="nil"/>
              <w:left w:val="nil"/>
              <w:bottom w:val="single" w:sz="4" w:space="0" w:color="auto"/>
              <w:right w:val="single" w:sz="4" w:space="0" w:color="auto"/>
            </w:tcBorders>
            <w:shd w:val="clear" w:color="000000" w:fill="FFFFFF"/>
            <w:vAlign w:val="center"/>
            <w:hideMark/>
          </w:tcPr>
          <w:p w14:paraId="0C1BB4B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DF04ED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70D1B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CDFC4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F8C17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7324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83CBE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196" w:type="pct"/>
            <w:tcBorders>
              <w:top w:val="nil"/>
              <w:left w:val="nil"/>
              <w:bottom w:val="single" w:sz="4" w:space="0" w:color="auto"/>
              <w:right w:val="single" w:sz="4" w:space="0" w:color="auto"/>
            </w:tcBorders>
            <w:shd w:val="clear" w:color="000000" w:fill="FFFFFF"/>
            <w:vAlign w:val="center"/>
            <w:hideMark/>
          </w:tcPr>
          <w:p w14:paraId="6D5D8D7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196" w:type="pct"/>
            <w:tcBorders>
              <w:top w:val="nil"/>
              <w:left w:val="nil"/>
              <w:bottom w:val="single" w:sz="4" w:space="0" w:color="auto"/>
              <w:right w:val="single" w:sz="4" w:space="0" w:color="auto"/>
            </w:tcBorders>
            <w:shd w:val="clear" w:color="000000" w:fill="FFFFFF"/>
            <w:vAlign w:val="center"/>
            <w:hideMark/>
          </w:tcPr>
          <w:p w14:paraId="390964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86815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196" w:type="pct"/>
            <w:tcBorders>
              <w:top w:val="nil"/>
              <w:left w:val="nil"/>
              <w:bottom w:val="single" w:sz="4" w:space="0" w:color="auto"/>
              <w:right w:val="single" w:sz="4" w:space="0" w:color="auto"/>
            </w:tcBorders>
            <w:shd w:val="clear" w:color="000000" w:fill="FFFFFF"/>
            <w:vAlign w:val="center"/>
            <w:hideMark/>
          </w:tcPr>
          <w:p w14:paraId="0C05AC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196" w:type="pct"/>
            <w:tcBorders>
              <w:top w:val="nil"/>
              <w:left w:val="nil"/>
              <w:bottom w:val="single" w:sz="4" w:space="0" w:color="auto"/>
              <w:right w:val="single" w:sz="4" w:space="0" w:color="auto"/>
            </w:tcBorders>
            <w:shd w:val="clear" w:color="000000" w:fill="FFFFFF"/>
            <w:vAlign w:val="center"/>
            <w:hideMark/>
          </w:tcPr>
          <w:p w14:paraId="50C7A8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6A8B2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0D255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003318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34698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232" w:type="pct"/>
            <w:tcBorders>
              <w:top w:val="nil"/>
              <w:left w:val="nil"/>
              <w:bottom w:val="single" w:sz="4" w:space="0" w:color="auto"/>
              <w:right w:val="single" w:sz="4" w:space="0" w:color="auto"/>
            </w:tcBorders>
            <w:shd w:val="clear" w:color="000000" w:fill="FFFFFF"/>
            <w:vAlign w:val="center"/>
            <w:hideMark/>
          </w:tcPr>
          <w:p w14:paraId="064E0B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Banka Boterore</w:t>
            </w:r>
          </w:p>
        </w:tc>
        <w:tc>
          <w:tcPr>
            <w:tcW w:w="181" w:type="pct"/>
            <w:tcBorders>
              <w:top w:val="nil"/>
              <w:left w:val="nil"/>
              <w:bottom w:val="single" w:sz="4" w:space="0" w:color="auto"/>
              <w:right w:val="single" w:sz="4" w:space="0" w:color="auto"/>
            </w:tcBorders>
            <w:shd w:val="clear" w:color="000000" w:fill="FFFFFF"/>
            <w:vAlign w:val="center"/>
            <w:hideMark/>
          </w:tcPr>
          <w:p w14:paraId="7B177A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160" w:type="pct"/>
            <w:tcBorders>
              <w:top w:val="nil"/>
              <w:left w:val="nil"/>
              <w:bottom w:val="single" w:sz="4" w:space="0" w:color="auto"/>
              <w:right w:val="single" w:sz="4" w:space="0" w:color="auto"/>
            </w:tcBorders>
            <w:shd w:val="clear" w:color="000000" w:fill="FFFFFF"/>
            <w:vAlign w:val="center"/>
            <w:hideMark/>
          </w:tcPr>
          <w:p w14:paraId="4EB241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6D27AE0"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827C69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1.3</w:t>
            </w:r>
          </w:p>
        </w:tc>
        <w:tc>
          <w:tcPr>
            <w:tcW w:w="247" w:type="pct"/>
            <w:tcBorders>
              <w:top w:val="nil"/>
              <w:left w:val="nil"/>
              <w:bottom w:val="single" w:sz="4" w:space="0" w:color="auto"/>
              <w:right w:val="single" w:sz="4" w:space="0" w:color="auto"/>
            </w:tcBorders>
            <w:shd w:val="clear" w:color="000000" w:fill="FFFFFF"/>
            <w:vAlign w:val="center"/>
            <w:hideMark/>
          </w:tcPr>
          <w:p w14:paraId="58FB76E2" w14:textId="7974B416"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Sigurimi i aksesit në TIMS në </w:t>
            </w:r>
            <w:r w:rsidR="003110EB" w:rsidRPr="001F0C5A">
              <w:rPr>
                <w:rFonts w:ascii="Garamond" w:eastAsia="Times New Roman" w:hAnsi="Garamond" w:cs="Times New Roman"/>
                <w:color w:val="000000"/>
                <w:sz w:val="6"/>
                <w:szCs w:val="6"/>
                <w:lang w:val="sq-AL"/>
              </w:rPr>
              <w:t xml:space="preserve">pikat e kalimit kufitar </w:t>
            </w:r>
            <w:r w:rsidRPr="001F0C5A">
              <w:rPr>
                <w:rFonts w:ascii="Garamond" w:eastAsia="Times New Roman" w:hAnsi="Garamond" w:cs="Times New Roman"/>
                <w:color w:val="000000"/>
                <w:sz w:val="6"/>
                <w:szCs w:val="6"/>
                <w:lang w:val="sq-AL"/>
              </w:rPr>
              <w:t xml:space="preserve">dhe në </w:t>
            </w:r>
            <w:r w:rsidR="003110EB" w:rsidRPr="001F0C5A">
              <w:rPr>
                <w:rFonts w:ascii="Garamond" w:eastAsia="Times New Roman" w:hAnsi="Garamond" w:cs="Times New Roman"/>
                <w:color w:val="000000"/>
                <w:sz w:val="6"/>
                <w:szCs w:val="6"/>
                <w:lang w:val="sq-AL"/>
              </w:rPr>
              <w:t xml:space="preserve">stacionet </w:t>
            </w:r>
            <w:r w:rsidRPr="001F0C5A">
              <w:rPr>
                <w:rFonts w:ascii="Garamond" w:eastAsia="Times New Roman" w:hAnsi="Garamond" w:cs="Times New Roman"/>
                <w:color w:val="000000"/>
                <w:sz w:val="6"/>
                <w:szCs w:val="6"/>
                <w:lang w:val="sq-AL"/>
              </w:rPr>
              <w:t>e PKM</w:t>
            </w:r>
            <w:r w:rsidR="003110EB">
              <w:rPr>
                <w:rFonts w:ascii="Garamond" w:eastAsia="Times New Roman" w:hAnsi="Garamond" w:cs="Times New Roman"/>
                <w:color w:val="000000"/>
                <w:sz w:val="6"/>
                <w:szCs w:val="6"/>
                <w:lang w:val="sq-AL"/>
              </w:rPr>
              <w:t>-së</w:t>
            </w:r>
            <w:r w:rsidRPr="001F0C5A">
              <w:rPr>
                <w:rFonts w:ascii="Garamond" w:eastAsia="Times New Roman" w:hAnsi="Garamond" w:cs="Times New Roman"/>
                <w:color w:val="000000"/>
                <w:sz w:val="6"/>
                <w:szCs w:val="6"/>
                <w:lang w:val="sq-AL"/>
              </w:rPr>
              <w:t xml:space="preserve"> të cilave aktualisht nuk </w:t>
            </w:r>
            <w:r w:rsidR="003110EB">
              <w:rPr>
                <w:rFonts w:ascii="Garamond" w:eastAsia="Times New Roman" w:hAnsi="Garamond" w:cs="Times New Roman"/>
                <w:color w:val="000000"/>
                <w:sz w:val="6"/>
                <w:szCs w:val="6"/>
                <w:lang w:val="sq-AL"/>
              </w:rPr>
              <w:t>i</w:t>
            </w:r>
            <w:r w:rsidRPr="001F0C5A">
              <w:rPr>
                <w:rFonts w:ascii="Garamond" w:eastAsia="Times New Roman" w:hAnsi="Garamond" w:cs="Times New Roman"/>
                <w:color w:val="000000"/>
                <w:sz w:val="6"/>
                <w:szCs w:val="6"/>
                <w:lang w:val="sq-AL"/>
              </w:rPr>
              <w:t>u ofrohet sinjali nëpërmjet TIMS</w:t>
            </w:r>
          </w:p>
        </w:tc>
        <w:tc>
          <w:tcPr>
            <w:tcW w:w="211" w:type="pct"/>
            <w:tcBorders>
              <w:top w:val="nil"/>
              <w:left w:val="nil"/>
              <w:bottom w:val="single" w:sz="4" w:space="0" w:color="auto"/>
              <w:right w:val="single" w:sz="4" w:space="0" w:color="auto"/>
            </w:tcBorders>
            <w:shd w:val="clear" w:color="000000" w:fill="FFFFFF"/>
            <w:vAlign w:val="center"/>
            <w:hideMark/>
          </w:tcPr>
          <w:p w14:paraId="420CB3FD"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7C61BC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4C8412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01BD12C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D85CA2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0A962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D3032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CFFDE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02E0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0C5E9C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4A899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730CFA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53EA6C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35359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0FA436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81" w:type="pct"/>
            <w:tcBorders>
              <w:top w:val="nil"/>
              <w:left w:val="nil"/>
              <w:bottom w:val="single" w:sz="4" w:space="0" w:color="auto"/>
              <w:right w:val="single" w:sz="4" w:space="0" w:color="auto"/>
            </w:tcBorders>
            <w:shd w:val="clear" w:color="000000" w:fill="FFFFFF"/>
            <w:vAlign w:val="center"/>
            <w:hideMark/>
          </w:tcPr>
          <w:p w14:paraId="29D4B1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BA8C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70" w:type="pct"/>
            <w:tcBorders>
              <w:top w:val="nil"/>
              <w:left w:val="nil"/>
              <w:bottom w:val="single" w:sz="4" w:space="0" w:color="auto"/>
              <w:right w:val="single" w:sz="4" w:space="0" w:color="auto"/>
            </w:tcBorders>
            <w:shd w:val="clear" w:color="000000" w:fill="FFFFFF"/>
            <w:vAlign w:val="center"/>
            <w:hideMark/>
          </w:tcPr>
          <w:p w14:paraId="12B05F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3426D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67330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C0BB4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80C9C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B71BA5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53C0850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1.4</w:t>
            </w:r>
          </w:p>
        </w:tc>
        <w:tc>
          <w:tcPr>
            <w:tcW w:w="247" w:type="pct"/>
            <w:tcBorders>
              <w:top w:val="nil"/>
              <w:left w:val="nil"/>
              <w:bottom w:val="single" w:sz="4" w:space="0" w:color="auto"/>
              <w:right w:val="single" w:sz="4" w:space="0" w:color="auto"/>
            </w:tcBorders>
            <w:shd w:val="clear" w:color="auto" w:fill="auto"/>
            <w:vAlign w:val="center"/>
            <w:hideMark/>
          </w:tcPr>
          <w:p w14:paraId="1BBBD9A6" w14:textId="24887D36"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Zbatimi i projektit për </w:t>
            </w:r>
            <w:r w:rsidR="003110EB" w:rsidRPr="001F0C5A">
              <w:rPr>
                <w:rFonts w:ascii="Garamond" w:eastAsia="Times New Roman" w:hAnsi="Garamond" w:cs="Times New Roman"/>
                <w:color w:val="000000"/>
                <w:sz w:val="6"/>
                <w:szCs w:val="6"/>
                <w:lang w:val="sq-AL"/>
              </w:rPr>
              <w:t>përmirësimin</w:t>
            </w:r>
            <w:r w:rsidRPr="001F0C5A">
              <w:rPr>
                <w:rFonts w:ascii="Garamond" w:eastAsia="Times New Roman" w:hAnsi="Garamond" w:cs="Times New Roman"/>
                <w:color w:val="000000"/>
                <w:sz w:val="6"/>
                <w:szCs w:val="6"/>
                <w:lang w:val="sq-AL"/>
              </w:rPr>
              <w:t xml:space="preserve"> e sistemit operacional të menaxhimit të integruar doganor nëpërmjet zhvillimit të mëtejshëm të moduleve </w:t>
            </w:r>
            <w:r w:rsidRPr="003110EB">
              <w:rPr>
                <w:rFonts w:ascii="Garamond" w:eastAsia="Times New Roman" w:hAnsi="Garamond" w:cs="Times New Roman"/>
                <w:i/>
                <w:iCs/>
                <w:color w:val="000000"/>
                <w:sz w:val="6"/>
                <w:szCs w:val="6"/>
                <w:lang w:val="sq-AL"/>
              </w:rPr>
              <w:t>software</w:t>
            </w:r>
            <w:r w:rsidRPr="001F0C5A">
              <w:rPr>
                <w:rFonts w:ascii="Garamond" w:eastAsia="Times New Roman" w:hAnsi="Garamond" w:cs="Times New Roman"/>
                <w:color w:val="000000"/>
                <w:sz w:val="6"/>
                <w:szCs w:val="6"/>
                <w:lang w:val="sq-AL"/>
              </w:rPr>
              <w:t xml:space="preserve"> të sistemit ASYCUDA World.</w:t>
            </w:r>
          </w:p>
        </w:tc>
        <w:tc>
          <w:tcPr>
            <w:tcW w:w="211" w:type="pct"/>
            <w:tcBorders>
              <w:top w:val="nil"/>
              <w:left w:val="nil"/>
              <w:bottom w:val="single" w:sz="4" w:space="0" w:color="auto"/>
              <w:right w:val="single" w:sz="4" w:space="0" w:color="auto"/>
            </w:tcBorders>
            <w:shd w:val="clear" w:color="000000" w:fill="FFFFFF"/>
            <w:vAlign w:val="center"/>
            <w:hideMark/>
          </w:tcPr>
          <w:p w14:paraId="10997E10" w14:textId="48A2B969"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Programi 01150 Produkti 91005 AA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Deklarata doganore t</w:t>
            </w:r>
            <w:r w:rsidR="006C2282">
              <w:rPr>
                <w:rFonts w:ascii="Garamond" w:eastAsia="Times New Roman" w:hAnsi="Garamond" w:cs="Times New Roman"/>
                <w:sz w:val="6"/>
                <w:szCs w:val="6"/>
                <w:lang w:val="sq-AL"/>
              </w:rPr>
              <w:t>ë</w:t>
            </w:r>
            <w:r w:rsidRPr="001F0C5A">
              <w:rPr>
                <w:rFonts w:ascii="Garamond" w:eastAsia="Times New Roman" w:hAnsi="Garamond" w:cs="Times New Roman"/>
                <w:sz w:val="6"/>
                <w:szCs w:val="6"/>
                <w:lang w:val="sq-AL"/>
              </w:rPr>
              <w:t xml:space="preserve"> procesuara</w:t>
            </w:r>
            <w:r w:rsidR="006C2282">
              <w:rPr>
                <w:rFonts w:ascii="Garamond" w:eastAsia="Times New Roman" w:hAnsi="Garamond" w:cs="Times New Roman"/>
                <w:sz w:val="6"/>
                <w:szCs w:val="6"/>
                <w:lang w:val="sq-AL"/>
              </w:rPr>
              <w:t>”</w:t>
            </w:r>
          </w:p>
        </w:tc>
        <w:tc>
          <w:tcPr>
            <w:tcW w:w="202" w:type="pct"/>
            <w:tcBorders>
              <w:top w:val="nil"/>
              <w:left w:val="nil"/>
              <w:bottom w:val="single" w:sz="4" w:space="0" w:color="auto"/>
              <w:right w:val="single" w:sz="4" w:space="0" w:color="auto"/>
            </w:tcBorders>
            <w:shd w:val="clear" w:color="000000" w:fill="FFFFFF"/>
            <w:vAlign w:val="center"/>
            <w:hideMark/>
          </w:tcPr>
          <w:p w14:paraId="6B85ED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0BF8F2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000000" w:fill="FFFFFF"/>
            <w:vAlign w:val="center"/>
            <w:hideMark/>
          </w:tcPr>
          <w:p w14:paraId="6889812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63" w:type="pct"/>
            <w:tcBorders>
              <w:top w:val="nil"/>
              <w:left w:val="nil"/>
              <w:bottom w:val="single" w:sz="4" w:space="0" w:color="auto"/>
              <w:right w:val="single" w:sz="4" w:space="0" w:color="auto"/>
            </w:tcBorders>
            <w:shd w:val="clear" w:color="000000" w:fill="FFFFFF"/>
            <w:vAlign w:val="center"/>
            <w:hideMark/>
          </w:tcPr>
          <w:p w14:paraId="7E2D1EA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3FD79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E2A3F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5E30B3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3205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40D25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96" w:type="pct"/>
            <w:tcBorders>
              <w:top w:val="nil"/>
              <w:left w:val="nil"/>
              <w:bottom w:val="single" w:sz="4" w:space="0" w:color="auto"/>
              <w:right w:val="single" w:sz="4" w:space="0" w:color="auto"/>
            </w:tcBorders>
            <w:shd w:val="clear" w:color="000000" w:fill="FFFFFF"/>
            <w:vAlign w:val="center"/>
            <w:hideMark/>
          </w:tcPr>
          <w:p w14:paraId="476C5E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96" w:type="pct"/>
            <w:tcBorders>
              <w:top w:val="nil"/>
              <w:left w:val="nil"/>
              <w:bottom w:val="single" w:sz="4" w:space="0" w:color="auto"/>
              <w:right w:val="single" w:sz="4" w:space="0" w:color="auto"/>
            </w:tcBorders>
            <w:shd w:val="clear" w:color="000000" w:fill="FFFFFF"/>
            <w:vAlign w:val="center"/>
            <w:hideMark/>
          </w:tcPr>
          <w:p w14:paraId="2381AF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125EF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96" w:type="pct"/>
            <w:tcBorders>
              <w:top w:val="nil"/>
              <w:left w:val="nil"/>
              <w:bottom w:val="single" w:sz="4" w:space="0" w:color="auto"/>
              <w:right w:val="single" w:sz="4" w:space="0" w:color="auto"/>
            </w:tcBorders>
            <w:shd w:val="clear" w:color="000000" w:fill="FFFFFF"/>
            <w:vAlign w:val="center"/>
            <w:hideMark/>
          </w:tcPr>
          <w:p w14:paraId="675930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96" w:type="pct"/>
            <w:tcBorders>
              <w:top w:val="nil"/>
              <w:left w:val="nil"/>
              <w:bottom w:val="single" w:sz="4" w:space="0" w:color="auto"/>
              <w:right w:val="single" w:sz="4" w:space="0" w:color="auto"/>
            </w:tcBorders>
            <w:shd w:val="clear" w:color="000000" w:fill="FFFFFF"/>
            <w:vAlign w:val="center"/>
            <w:hideMark/>
          </w:tcPr>
          <w:p w14:paraId="63B73F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8017E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96" w:type="pct"/>
            <w:tcBorders>
              <w:top w:val="nil"/>
              <w:left w:val="nil"/>
              <w:bottom w:val="single" w:sz="4" w:space="0" w:color="auto"/>
              <w:right w:val="single" w:sz="4" w:space="0" w:color="auto"/>
            </w:tcBorders>
            <w:shd w:val="clear" w:color="000000" w:fill="FFFFFF"/>
            <w:vAlign w:val="center"/>
            <w:hideMark/>
          </w:tcPr>
          <w:p w14:paraId="3C57D8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70" w:type="pct"/>
            <w:tcBorders>
              <w:top w:val="nil"/>
              <w:left w:val="nil"/>
              <w:bottom w:val="single" w:sz="4" w:space="0" w:color="auto"/>
              <w:right w:val="single" w:sz="4" w:space="0" w:color="auto"/>
            </w:tcBorders>
            <w:shd w:val="clear" w:color="000000" w:fill="FFFFFF"/>
            <w:vAlign w:val="center"/>
            <w:hideMark/>
          </w:tcPr>
          <w:p w14:paraId="112C73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16605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1F006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03F0E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E1735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A9E56C3"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5061BF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1.5</w:t>
            </w:r>
          </w:p>
        </w:tc>
        <w:tc>
          <w:tcPr>
            <w:tcW w:w="247" w:type="pct"/>
            <w:tcBorders>
              <w:top w:val="nil"/>
              <w:left w:val="nil"/>
              <w:bottom w:val="single" w:sz="4" w:space="0" w:color="auto"/>
              <w:right w:val="single" w:sz="4" w:space="0" w:color="auto"/>
            </w:tcBorders>
            <w:shd w:val="clear" w:color="auto" w:fill="auto"/>
            <w:vAlign w:val="center"/>
            <w:hideMark/>
          </w:tcPr>
          <w:p w14:paraId="366C4280" w14:textId="7068E4BB"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Pajisja me </w:t>
            </w:r>
            <w:r w:rsidR="003110EB" w:rsidRPr="001F0C5A">
              <w:rPr>
                <w:rFonts w:ascii="Garamond" w:eastAsia="Times New Roman" w:hAnsi="Garamond" w:cs="Times New Roman"/>
                <w:color w:val="000000"/>
                <w:sz w:val="6"/>
                <w:szCs w:val="6"/>
                <w:lang w:val="sq-AL"/>
              </w:rPr>
              <w:t>skaner</w:t>
            </w:r>
            <w:r w:rsidRPr="001F0C5A">
              <w:rPr>
                <w:rFonts w:ascii="Garamond" w:eastAsia="Times New Roman" w:hAnsi="Garamond" w:cs="Times New Roman"/>
                <w:color w:val="000000"/>
                <w:sz w:val="6"/>
                <w:szCs w:val="6"/>
                <w:lang w:val="sq-AL"/>
              </w:rPr>
              <w:t xml:space="preserve"> të bagazheve për </w:t>
            </w:r>
            <w:r w:rsidR="003110EB" w:rsidRPr="001F0C5A">
              <w:rPr>
                <w:rFonts w:ascii="Garamond" w:eastAsia="Times New Roman" w:hAnsi="Garamond" w:cs="Times New Roman"/>
                <w:color w:val="000000"/>
                <w:sz w:val="6"/>
                <w:szCs w:val="6"/>
                <w:lang w:val="sq-AL"/>
              </w:rPr>
              <w:t xml:space="preserve">degët doganore </w:t>
            </w:r>
            <w:r w:rsidRPr="001F0C5A">
              <w:rPr>
                <w:rFonts w:ascii="Garamond" w:eastAsia="Times New Roman" w:hAnsi="Garamond" w:cs="Times New Roman"/>
                <w:color w:val="000000"/>
                <w:sz w:val="6"/>
                <w:szCs w:val="6"/>
                <w:lang w:val="sq-AL"/>
              </w:rPr>
              <w:t>Muriqan, Kapshticë, Kakavijë, Qafë</w:t>
            </w:r>
            <w:r w:rsidR="007B2DA8">
              <w:rPr>
                <w:rFonts w:ascii="Garamond" w:eastAsia="Times New Roman" w:hAnsi="Garamond" w:cs="Times New Roman"/>
                <w:color w:val="000000"/>
                <w:sz w:val="6"/>
                <w:szCs w:val="6"/>
                <w:lang w:val="sq-AL"/>
              </w:rPr>
              <w:t>b</w:t>
            </w:r>
            <w:r w:rsidRPr="001F0C5A">
              <w:rPr>
                <w:rFonts w:ascii="Garamond" w:eastAsia="Times New Roman" w:hAnsi="Garamond" w:cs="Times New Roman"/>
                <w:color w:val="000000"/>
                <w:sz w:val="6"/>
                <w:szCs w:val="6"/>
                <w:lang w:val="sq-AL"/>
              </w:rPr>
              <w:t>otë, Qafë</w:t>
            </w:r>
            <w:r w:rsidR="007B2DA8">
              <w:rPr>
                <w:rFonts w:ascii="Garamond" w:eastAsia="Times New Roman" w:hAnsi="Garamond" w:cs="Times New Roman"/>
                <w:color w:val="000000"/>
                <w:sz w:val="6"/>
                <w:szCs w:val="6"/>
                <w:lang w:val="sq-AL"/>
              </w:rPr>
              <w:t>t</w:t>
            </w:r>
            <w:r w:rsidRPr="001F0C5A">
              <w:rPr>
                <w:rFonts w:ascii="Garamond" w:eastAsia="Times New Roman" w:hAnsi="Garamond" w:cs="Times New Roman"/>
                <w:color w:val="000000"/>
                <w:sz w:val="6"/>
                <w:szCs w:val="6"/>
                <w:lang w:val="sq-AL"/>
              </w:rPr>
              <w:t>hanë</w:t>
            </w:r>
          </w:p>
        </w:tc>
        <w:tc>
          <w:tcPr>
            <w:tcW w:w="211" w:type="pct"/>
            <w:tcBorders>
              <w:top w:val="nil"/>
              <w:left w:val="nil"/>
              <w:bottom w:val="single" w:sz="4" w:space="0" w:color="auto"/>
              <w:right w:val="single" w:sz="4" w:space="0" w:color="auto"/>
            </w:tcBorders>
            <w:shd w:val="clear" w:color="000000" w:fill="FFFFFF"/>
            <w:vAlign w:val="center"/>
            <w:hideMark/>
          </w:tcPr>
          <w:p w14:paraId="72400BED" w14:textId="77777777" w:rsidR="00D86FA8" w:rsidRPr="001F0C5A" w:rsidRDefault="00D86FA8" w:rsidP="00D86FA8">
            <w:pPr>
              <w:spacing w:after="0" w:line="240" w:lineRule="auto"/>
              <w:jc w:val="center"/>
              <w:rPr>
                <w:rFonts w:ascii="Garamond" w:eastAsia="Times New Roman" w:hAnsi="Garamond" w:cs="Times New Roman"/>
                <w:color w:val="FF0000"/>
                <w:sz w:val="6"/>
                <w:szCs w:val="6"/>
                <w:lang w:val="sq-AL"/>
              </w:rPr>
            </w:pPr>
            <w:r w:rsidRPr="001F0C5A">
              <w:rPr>
                <w:rFonts w:ascii="Garamond" w:eastAsia="Times New Roman" w:hAnsi="Garamond" w:cs="Times New Roman"/>
                <w:color w:val="FF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1E1684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60EE90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000000" w:fill="FFFFFF"/>
            <w:vAlign w:val="center"/>
            <w:hideMark/>
          </w:tcPr>
          <w:p w14:paraId="3B2418F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2DFBBB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81" w:type="pct"/>
            <w:tcBorders>
              <w:top w:val="nil"/>
              <w:left w:val="nil"/>
              <w:bottom w:val="single" w:sz="4" w:space="0" w:color="auto"/>
              <w:right w:val="single" w:sz="4" w:space="0" w:color="auto"/>
            </w:tcBorders>
            <w:shd w:val="clear" w:color="000000" w:fill="FFFFFF"/>
            <w:vAlign w:val="center"/>
            <w:hideMark/>
          </w:tcPr>
          <w:p w14:paraId="0C3217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8CEB5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96" w:type="pct"/>
            <w:tcBorders>
              <w:top w:val="nil"/>
              <w:left w:val="nil"/>
              <w:bottom w:val="single" w:sz="4" w:space="0" w:color="auto"/>
              <w:right w:val="single" w:sz="4" w:space="0" w:color="auto"/>
            </w:tcBorders>
            <w:shd w:val="clear" w:color="000000" w:fill="FFFFFF"/>
            <w:vAlign w:val="center"/>
            <w:hideMark/>
          </w:tcPr>
          <w:p w14:paraId="2D0C33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96" w:type="pct"/>
            <w:tcBorders>
              <w:top w:val="nil"/>
              <w:left w:val="nil"/>
              <w:bottom w:val="single" w:sz="4" w:space="0" w:color="auto"/>
              <w:right w:val="single" w:sz="4" w:space="0" w:color="auto"/>
            </w:tcBorders>
            <w:shd w:val="clear" w:color="000000" w:fill="FFFFFF"/>
            <w:vAlign w:val="center"/>
            <w:hideMark/>
          </w:tcPr>
          <w:p w14:paraId="48210B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6CB77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6B7F5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A5910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5E9DE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96" w:type="pct"/>
            <w:tcBorders>
              <w:top w:val="nil"/>
              <w:left w:val="nil"/>
              <w:bottom w:val="single" w:sz="4" w:space="0" w:color="auto"/>
              <w:right w:val="single" w:sz="4" w:space="0" w:color="auto"/>
            </w:tcBorders>
            <w:shd w:val="clear" w:color="000000" w:fill="FFFFFF"/>
            <w:vAlign w:val="center"/>
            <w:hideMark/>
          </w:tcPr>
          <w:p w14:paraId="080065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96" w:type="pct"/>
            <w:tcBorders>
              <w:top w:val="nil"/>
              <w:left w:val="nil"/>
              <w:bottom w:val="single" w:sz="4" w:space="0" w:color="auto"/>
              <w:right w:val="single" w:sz="4" w:space="0" w:color="auto"/>
            </w:tcBorders>
            <w:shd w:val="clear" w:color="000000" w:fill="FFFFFF"/>
            <w:vAlign w:val="center"/>
            <w:hideMark/>
          </w:tcPr>
          <w:p w14:paraId="1238B8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4FD14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96" w:type="pct"/>
            <w:tcBorders>
              <w:top w:val="nil"/>
              <w:left w:val="nil"/>
              <w:bottom w:val="single" w:sz="4" w:space="0" w:color="auto"/>
              <w:right w:val="single" w:sz="4" w:space="0" w:color="auto"/>
            </w:tcBorders>
            <w:shd w:val="clear" w:color="000000" w:fill="FFFFFF"/>
            <w:vAlign w:val="center"/>
            <w:hideMark/>
          </w:tcPr>
          <w:p w14:paraId="1C176A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70" w:type="pct"/>
            <w:tcBorders>
              <w:top w:val="nil"/>
              <w:left w:val="nil"/>
              <w:bottom w:val="single" w:sz="4" w:space="0" w:color="auto"/>
              <w:right w:val="single" w:sz="4" w:space="0" w:color="auto"/>
            </w:tcBorders>
            <w:shd w:val="clear" w:color="000000" w:fill="FFFFFF"/>
            <w:vAlign w:val="center"/>
            <w:hideMark/>
          </w:tcPr>
          <w:p w14:paraId="495EDF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7AAD0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F15DA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46FB2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C0FF1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3E1E3DC"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77339A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1.6</w:t>
            </w:r>
          </w:p>
        </w:tc>
        <w:tc>
          <w:tcPr>
            <w:tcW w:w="247" w:type="pct"/>
            <w:tcBorders>
              <w:top w:val="nil"/>
              <w:left w:val="nil"/>
              <w:bottom w:val="single" w:sz="4" w:space="0" w:color="auto"/>
              <w:right w:val="single" w:sz="4" w:space="0" w:color="auto"/>
            </w:tcBorders>
            <w:shd w:val="clear" w:color="auto" w:fill="auto"/>
            <w:vAlign w:val="center"/>
            <w:hideMark/>
          </w:tcPr>
          <w:p w14:paraId="3A787C96"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Pajisja me mjete transporti për njësitë doganore me kompetencë kontrollin e mallrave të ndaluara dhe kufizuara</w:t>
            </w:r>
          </w:p>
        </w:tc>
        <w:tc>
          <w:tcPr>
            <w:tcW w:w="211" w:type="pct"/>
            <w:tcBorders>
              <w:top w:val="nil"/>
              <w:left w:val="nil"/>
              <w:bottom w:val="single" w:sz="4" w:space="0" w:color="auto"/>
              <w:right w:val="single" w:sz="4" w:space="0" w:color="auto"/>
            </w:tcBorders>
            <w:shd w:val="clear" w:color="000000" w:fill="FFFFFF"/>
            <w:vAlign w:val="center"/>
            <w:hideMark/>
          </w:tcPr>
          <w:p w14:paraId="3B505F0F" w14:textId="77777777" w:rsidR="00D86FA8" w:rsidRPr="001F0C5A" w:rsidRDefault="00D86FA8" w:rsidP="00D86FA8">
            <w:pPr>
              <w:spacing w:after="0" w:line="240" w:lineRule="auto"/>
              <w:jc w:val="center"/>
              <w:rPr>
                <w:rFonts w:ascii="Garamond" w:eastAsia="Times New Roman" w:hAnsi="Garamond" w:cs="Times New Roman"/>
                <w:color w:val="FF0000"/>
                <w:sz w:val="6"/>
                <w:szCs w:val="6"/>
                <w:lang w:val="sq-AL"/>
              </w:rPr>
            </w:pPr>
            <w:r w:rsidRPr="001F0C5A">
              <w:rPr>
                <w:rFonts w:ascii="Garamond" w:eastAsia="Times New Roman" w:hAnsi="Garamond" w:cs="Times New Roman"/>
                <w:color w:val="FF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155B90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74CCE878"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MF/Donatorë</w:t>
            </w:r>
          </w:p>
        </w:tc>
        <w:tc>
          <w:tcPr>
            <w:tcW w:w="143" w:type="pct"/>
            <w:tcBorders>
              <w:top w:val="nil"/>
              <w:left w:val="nil"/>
              <w:bottom w:val="single" w:sz="4" w:space="0" w:color="auto"/>
              <w:right w:val="single" w:sz="4" w:space="0" w:color="auto"/>
            </w:tcBorders>
            <w:shd w:val="clear" w:color="000000" w:fill="FFFFFF"/>
            <w:vAlign w:val="center"/>
            <w:hideMark/>
          </w:tcPr>
          <w:p w14:paraId="73FF31C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026D9E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81" w:type="pct"/>
            <w:tcBorders>
              <w:top w:val="nil"/>
              <w:left w:val="nil"/>
              <w:bottom w:val="single" w:sz="4" w:space="0" w:color="auto"/>
              <w:right w:val="single" w:sz="4" w:space="0" w:color="auto"/>
            </w:tcBorders>
            <w:shd w:val="clear" w:color="000000" w:fill="FFFFFF"/>
            <w:vAlign w:val="center"/>
            <w:hideMark/>
          </w:tcPr>
          <w:p w14:paraId="0D81FE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F0307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96" w:type="pct"/>
            <w:tcBorders>
              <w:top w:val="nil"/>
              <w:left w:val="nil"/>
              <w:bottom w:val="single" w:sz="4" w:space="0" w:color="auto"/>
              <w:right w:val="single" w:sz="4" w:space="0" w:color="auto"/>
            </w:tcBorders>
            <w:shd w:val="clear" w:color="000000" w:fill="FFFFFF"/>
            <w:vAlign w:val="center"/>
            <w:hideMark/>
          </w:tcPr>
          <w:p w14:paraId="424A8D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96" w:type="pct"/>
            <w:tcBorders>
              <w:top w:val="nil"/>
              <w:left w:val="nil"/>
              <w:bottom w:val="single" w:sz="4" w:space="0" w:color="auto"/>
              <w:right w:val="single" w:sz="4" w:space="0" w:color="auto"/>
            </w:tcBorders>
            <w:shd w:val="clear" w:color="000000" w:fill="FFFFFF"/>
            <w:vAlign w:val="center"/>
            <w:hideMark/>
          </w:tcPr>
          <w:p w14:paraId="412DF6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655C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A9596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7C185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6246F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96" w:type="pct"/>
            <w:tcBorders>
              <w:top w:val="nil"/>
              <w:left w:val="nil"/>
              <w:bottom w:val="single" w:sz="4" w:space="0" w:color="auto"/>
              <w:right w:val="single" w:sz="4" w:space="0" w:color="auto"/>
            </w:tcBorders>
            <w:shd w:val="clear" w:color="000000" w:fill="FFFFFF"/>
            <w:vAlign w:val="center"/>
            <w:hideMark/>
          </w:tcPr>
          <w:p w14:paraId="4EE5FE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96" w:type="pct"/>
            <w:tcBorders>
              <w:top w:val="nil"/>
              <w:left w:val="nil"/>
              <w:bottom w:val="single" w:sz="4" w:space="0" w:color="auto"/>
              <w:right w:val="single" w:sz="4" w:space="0" w:color="auto"/>
            </w:tcBorders>
            <w:shd w:val="clear" w:color="000000" w:fill="FFFFFF"/>
            <w:vAlign w:val="center"/>
            <w:hideMark/>
          </w:tcPr>
          <w:p w14:paraId="6859ED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CEC8DF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96" w:type="pct"/>
            <w:tcBorders>
              <w:top w:val="nil"/>
              <w:left w:val="nil"/>
              <w:bottom w:val="single" w:sz="4" w:space="0" w:color="auto"/>
              <w:right w:val="single" w:sz="4" w:space="0" w:color="auto"/>
            </w:tcBorders>
            <w:shd w:val="clear" w:color="000000" w:fill="FFFFFF"/>
            <w:vAlign w:val="center"/>
            <w:hideMark/>
          </w:tcPr>
          <w:p w14:paraId="7A0F4C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70" w:type="pct"/>
            <w:tcBorders>
              <w:top w:val="nil"/>
              <w:left w:val="nil"/>
              <w:bottom w:val="single" w:sz="4" w:space="0" w:color="auto"/>
              <w:right w:val="single" w:sz="4" w:space="0" w:color="auto"/>
            </w:tcBorders>
            <w:shd w:val="clear" w:color="000000" w:fill="FFFFFF"/>
            <w:vAlign w:val="center"/>
            <w:hideMark/>
          </w:tcPr>
          <w:p w14:paraId="3805B2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DAEF2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B92BF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Donatore</w:t>
            </w:r>
          </w:p>
        </w:tc>
        <w:tc>
          <w:tcPr>
            <w:tcW w:w="181" w:type="pct"/>
            <w:tcBorders>
              <w:top w:val="nil"/>
              <w:left w:val="nil"/>
              <w:bottom w:val="single" w:sz="4" w:space="0" w:color="auto"/>
              <w:right w:val="single" w:sz="4" w:space="0" w:color="auto"/>
            </w:tcBorders>
            <w:shd w:val="clear" w:color="000000" w:fill="FFFFFF"/>
            <w:vAlign w:val="center"/>
            <w:hideMark/>
          </w:tcPr>
          <w:p w14:paraId="57C2D2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80ADD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CAFB76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0BEF118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D80B1D3" w14:textId="51715490"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7B2DA8">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w:t>
            </w:r>
            <w:r w:rsidR="007B2DA8" w:rsidRPr="001F0C5A">
              <w:rPr>
                <w:rFonts w:ascii="Garamond" w:eastAsia="Times New Roman" w:hAnsi="Garamond" w:cs="Times New Roman"/>
                <w:b/>
                <w:bCs/>
                <w:color w:val="FF0000"/>
                <w:sz w:val="6"/>
                <w:szCs w:val="6"/>
                <w:lang w:val="sq-AL"/>
              </w:rPr>
              <w:t xml:space="preserve">specifik </w:t>
            </w:r>
            <w:r w:rsidRPr="001F0C5A">
              <w:rPr>
                <w:rFonts w:ascii="Garamond" w:eastAsia="Times New Roman" w:hAnsi="Garamond" w:cs="Times New Roman"/>
                <w:b/>
                <w:bCs/>
                <w:color w:val="FF0000"/>
                <w:sz w:val="6"/>
                <w:szCs w:val="6"/>
                <w:lang w:val="sq-AL"/>
              </w:rPr>
              <w:t>1</w:t>
            </w:r>
          </w:p>
        </w:tc>
        <w:tc>
          <w:tcPr>
            <w:tcW w:w="211" w:type="pct"/>
            <w:tcBorders>
              <w:top w:val="nil"/>
              <w:left w:val="nil"/>
              <w:bottom w:val="single" w:sz="4" w:space="0" w:color="auto"/>
              <w:right w:val="single" w:sz="4" w:space="0" w:color="auto"/>
            </w:tcBorders>
            <w:shd w:val="clear" w:color="000000" w:fill="D9D9D9"/>
            <w:vAlign w:val="center"/>
            <w:hideMark/>
          </w:tcPr>
          <w:p w14:paraId="7D32CB8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20B819F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51C9240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2C77C75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0A27CB5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BFBFBF"/>
            <w:vAlign w:val="center"/>
            <w:hideMark/>
          </w:tcPr>
          <w:p w14:paraId="33B0CE4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20E6556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154,290,398</w:t>
            </w:r>
          </w:p>
        </w:tc>
        <w:tc>
          <w:tcPr>
            <w:tcW w:w="196" w:type="pct"/>
            <w:tcBorders>
              <w:top w:val="nil"/>
              <w:left w:val="nil"/>
              <w:bottom w:val="single" w:sz="4" w:space="0" w:color="auto"/>
              <w:right w:val="single" w:sz="4" w:space="0" w:color="auto"/>
            </w:tcBorders>
            <w:shd w:val="clear" w:color="000000" w:fill="BFBFBF"/>
            <w:vAlign w:val="center"/>
            <w:hideMark/>
          </w:tcPr>
          <w:p w14:paraId="3F683C6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154,290,398</w:t>
            </w:r>
          </w:p>
        </w:tc>
        <w:tc>
          <w:tcPr>
            <w:tcW w:w="196" w:type="pct"/>
            <w:tcBorders>
              <w:top w:val="nil"/>
              <w:left w:val="nil"/>
              <w:bottom w:val="single" w:sz="4" w:space="0" w:color="auto"/>
              <w:right w:val="single" w:sz="4" w:space="0" w:color="auto"/>
            </w:tcBorders>
            <w:shd w:val="clear" w:color="000000" w:fill="BFBFBF"/>
            <w:vAlign w:val="center"/>
            <w:hideMark/>
          </w:tcPr>
          <w:p w14:paraId="1CE2BE7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40,000,000</w:t>
            </w:r>
          </w:p>
        </w:tc>
        <w:tc>
          <w:tcPr>
            <w:tcW w:w="196" w:type="pct"/>
            <w:tcBorders>
              <w:top w:val="nil"/>
              <w:left w:val="nil"/>
              <w:bottom w:val="single" w:sz="4" w:space="0" w:color="auto"/>
              <w:right w:val="single" w:sz="4" w:space="0" w:color="auto"/>
            </w:tcBorders>
            <w:shd w:val="clear" w:color="000000" w:fill="BFBFBF"/>
            <w:vAlign w:val="center"/>
            <w:hideMark/>
          </w:tcPr>
          <w:p w14:paraId="41B0F2A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577,980,000</w:t>
            </w:r>
          </w:p>
        </w:tc>
        <w:tc>
          <w:tcPr>
            <w:tcW w:w="196" w:type="pct"/>
            <w:tcBorders>
              <w:top w:val="nil"/>
              <w:left w:val="nil"/>
              <w:bottom w:val="single" w:sz="4" w:space="0" w:color="auto"/>
              <w:right w:val="single" w:sz="4" w:space="0" w:color="auto"/>
            </w:tcBorders>
            <w:shd w:val="clear" w:color="000000" w:fill="BFBFBF"/>
            <w:vAlign w:val="center"/>
            <w:hideMark/>
          </w:tcPr>
          <w:p w14:paraId="3C58F4D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617,980,000</w:t>
            </w:r>
          </w:p>
        </w:tc>
        <w:tc>
          <w:tcPr>
            <w:tcW w:w="196" w:type="pct"/>
            <w:tcBorders>
              <w:top w:val="nil"/>
              <w:left w:val="nil"/>
              <w:bottom w:val="single" w:sz="4" w:space="0" w:color="auto"/>
              <w:right w:val="single" w:sz="4" w:space="0" w:color="auto"/>
            </w:tcBorders>
            <w:shd w:val="clear" w:color="000000" w:fill="BFBFBF"/>
            <w:vAlign w:val="center"/>
            <w:hideMark/>
          </w:tcPr>
          <w:p w14:paraId="3BB49FB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40,000,000</w:t>
            </w:r>
          </w:p>
        </w:tc>
        <w:tc>
          <w:tcPr>
            <w:tcW w:w="196" w:type="pct"/>
            <w:tcBorders>
              <w:top w:val="nil"/>
              <w:left w:val="nil"/>
              <w:bottom w:val="single" w:sz="4" w:space="0" w:color="auto"/>
              <w:right w:val="single" w:sz="4" w:space="0" w:color="auto"/>
            </w:tcBorders>
            <w:shd w:val="clear" w:color="000000" w:fill="BFBFBF"/>
            <w:vAlign w:val="center"/>
            <w:hideMark/>
          </w:tcPr>
          <w:p w14:paraId="1B60D6C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732,270,398</w:t>
            </w:r>
          </w:p>
        </w:tc>
        <w:tc>
          <w:tcPr>
            <w:tcW w:w="196" w:type="pct"/>
            <w:tcBorders>
              <w:top w:val="nil"/>
              <w:left w:val="nil"/>
              <w:bottom w:val="single" w:sz="4" w:space="0" w:color="auto"/>
              <w:right w:val="single" w:sz="4" w:space="0" w:color="auto"/>
            </w:tcBorders>
            <w:shd w:val="clear" w:color="000000" w:fill="BFBFBF"/>
            <w:vAlign w:val="center"/>
            <w:hideMark/>
          </w:tcPr>
          <w:p w14:paraId="6D1C3DD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772,270,398</w:t>
            </w:r>
          </w:p>
        </w:tc>
        <w:tc>
          <w:tcPr>
            <w:tcW w:w="196" w:type="pct"/>
            <w:tcBorders>
              <w:top w:val="nil"/>
              <w:left w:val="nil"/>
              <w:bottom w:val="single" w:sz="4" w:space="0" w:color="auto"/>
              <w:right w:val="single" w:sz="4" w:space="0" w:color="auto"/>
            </w:tcBorders>
            <w:shd w:val="clear" w:color="000000" w:fill="BFBFBF"/>
            <w:vAlign w:val="center"/>
            <w:hideMark/>
          </w:tcPr>
          <w:p w14:paraId="6F7D987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40,000,000</w:t>
            </w:r>
          </w:p>
        </w:tc>
        <w:tc>
          <w:tcPr>
            <w:tcW w:w="181" w:type="pct"/>
            <w:tcBorders>
              <w:top w:val="nil"/>
              <w:left w:val="nil"/>
              <w:bottom w:val="single" w:sz="4" w:space="0" w:color="auto"/>
              <w:right w:val="single" w:sz="4" w:space="0" w:color="auto"/>
            </w:tcBorders>
            <w:shd w:val="clear" w:color="000000" w:fill="BFBFBF"/>
            <w:vAlign w:val="center"/>
            <w:hideMark/>
          </w:tcPr>
          <w:p w14:paraId="404E864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509,190,398</w:t>
            </w:r>
          </w:p>
        </w:tc>
        <w:tc>
          <w:tcPr>
            <w:tcW w:w="196" w:type="pct"/>
            <w:tcBorders>
              <w:top w:val="nil"/>
              <w:left w:val="nil"/>
              <w:bottom w:val="single" w:sz="4" w:space="0" w:color="auto"/>
              <w:right w:val="single" w:sz="4" w:space="0" w:color="auto"/>
            </w:tcBorders>
            <w:shd w:val="clear" w:color="000000" w:fill="BFBFBF"/>
            <w:vAlign w:val="center"/>
            <w:hideMark/>
          </w:tcPr>
          <w:p w14:paraId="1F81966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549,190,398</w:t>
            </w:r>
          </w:p>
        </w:tc>
        <w:tc>
          <w:tcPr>
            <w:tcW w:w="170" w:type="pct"/>
            <w:tcBorders>
              <w:top w:val="nil"/>
              <w:left w:val="nil"/>
              <w:bottom w:val="single" w:sz="4" w:space="0" w:color="auto"/>
              <w:right w:val="single" w:sz="4" w:space="0" w:color="auto"/>
            </w:tcBorders>
            <w:shd w:val="clear" w:color="000000" w:fill="BFBFBF"/>
            <w:vAlign w:val="center"/>
            <w:hideMark/>
          </w:tcPr>
          <w:p w14:paraId="4972B92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513572D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223,080,000</w:t>
            </w:r>
          </w:p>
        </w:tc>
        <w:tc>
          <w:tcPr>
            <w:tcW w:w="232" w:type="pct"/>
            <w:tcBorders>
              <w:top w:val="nil"/>
              <w:left w:val="nil"/>
              <w:bottom w:val="single" w:sz="4" w:space="0" w:color="auto"/>
              <w:right w:val="single" w:sz="4" w:space="0" w:color="auto"/>
            </w:tcBorders>
            <w:shd w:val="clear" w:color="000000" w:fill="BFBFBF"/>
            <w:vAlign w:val="center"/>
            <w:hideMark/>
          </w:tcPr>
          <w:p w14:paraId="0A8491D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1ADC44E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223,080,000</w:t>
            </w:r>
          </w:p>
        </w:tc>
        <w:tc>
          <w:tcPr>
            <w:tcW w:w="160" w:type="pct"/>
            <w:tcBorders>
              <w:top w:val="nil"/>
              <w:left w:val="nil"/>
              <w:bottom w:val="single" w:sz="4" w:space="0" w:color="auto"/>
              <w:right w:val="single" w:sz="4" w:space="0" w:color="auto"/>
            </w:tcBorders>
            <w:shd w:val="clear" w:color="000000" w:fill="BFBFBF"/>
            <w:vAlign w:val="center"/>
            <w:hideMark/>
          </w:tcPr>
          <w:p w14:paraId="0F4CB45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7A5FCB0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4C1B30D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w:t>
            </w:r>
          </w:p>
        </w:tc>
        <w:tc>
          <w:tcPr>
            <w:tcW w:w="247" w:type="pct"/>
            <w:tcBorders>
              <w:top w:val="nil"/>
              <w:left w:val="nil"/>
              <w:bottom w:val="single" w:sz="4" w:space="0" w:color="auto"/>
              <w:right w:val="single" w:sz="4" w:space="0" w:color="auto"/>
            </w:tcBorders>
            <w:shd w:val="clear" w:color="000000" w:fill="DDEBF7"/>
            <w:vAlign w:val="center"/>
            <w:hideMark/>
          </w:tcPr>
          <w:p w14:paraId="4A2EC808" w14:textId="0C9EED5B"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2: Negocimi dhe nënshkrimi i marrëveshjeve për ngritjen </w:t>
            </w:r>
            <w:r w:rsidR="002D5B79" w:rsidRPr="001F0C5A">
              <w:rPr>
                <w:rFonts w:ascii="Garamond" w:eastAsia="Times New Roman" w:hAnsi="Garamond" w:cs="Times New Roman"/>
                <w:b/>
                <w:bCs/>
                <w:color w:val="000000"/>
                <w:sz w:val="6"/>
                <w:szCs w:val="6"/>
                <w:lang w:val="sq-AL"/>
              </w:rPr>
              <w:t>e pikave të përbashkëta të kalimit kufitar dhe d</w:t>
            </w:r>
            <w:r w:rsidRPr="001F0C5A">
              <w:rPr>
                <w:rFonts w:ascii="Garamond" w:eastAsia="Times New Roman" w:hAnsi="Garamond" w:cs="Times New Roman"/>
                <w:b/>
                <w:bCs/>
                <w:color w:val="000000"/>
                <w:sz w:val="6"/>
                <w:szCs w:val="6"/>
                <w:lang w:val="sq-AL"/>
              </w:rPr>
              <w:t>oganor</w:t>
            </w:r>
          </w:p>
        </w:tc>
        <w:tc>
          <w:tcPr>
            <w:tcW w:w="211" w:type="pct"/>
            <w:tcBorders>
              <w:top w:val="nil"/>
              <w:left w:val="nil"/>
              <w:bottom w:val="single" w:sz="4" w:space="0" w:color="auto"/>
              <w:right w:val="single" w:sz="4" w:space="0" w:color="auto"/>
            </w:tcBorders>
            <w:shd w:val="clear" w:color="000000" w:fill="DDEBF7"/>
            <w:vAlign w:val="center"/>
            <w:hideMark/>
          </w:tcPr>
          <w:p w14:paraId="7FBCBF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71562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5A5F47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1453E9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721ECC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2A249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6E20D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91E40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89A20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BE7B5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31D6A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A8FF3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F8BFF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8DCF4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F89A7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EFCEA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7AD8C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17E9BA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CAE59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47B03A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EBFD9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30F677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B602D5B"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7FC51D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2.1</w:t>
            </w:r>
          </w:p>
        </w:tc>
        <w:tc>
          <w:tcPr>
            <w:tcW w:w="247" w:type="pct"/>
            <w:tcBorders>
              <w:top w:val="nil"/>
              <w:left w:val="nil"/>
              <w:bottom w:val="single" w:sz="4" w:space="0" w:color="auto"/>
              <w:right w:val="single" w:sz="4" w:space="0" w:color="auto"/>
            </w:tcBorders>
            <w:shd w:val="clear" w:color="auto" w:fill="auto"/>
            <w:vAlign w:val="center"/>
            <w:hideMark/>
          </w:tcPr>
          <w:p w14:paraId="35DC6279" w14:textId="640887B6"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Rishikimi dhe nënshkrimi i protokolleve të zbatimit të marrëveshjes për ngritjen e </w:t>
            </w:r>
            <w:r w:rsidR="002D5B79" w:rsidRPr="001F0C5A">
              <w:rPr>
                <w:rFonts w:ascii="Garamond" w:eastAsia="Times New Roman" w:hAnsi="Garamond" w:cs="Times New Roman"/>
                <w:b/>
                <w:bCs/>
                <w:color w:val="000000"/>
                <w:sz w:val="6"/>
                <w:szCs w:val="6"/>
                <w:lang w:val="sq-AL"/>
              </w:rPr>
              <w:t xml:space="preserve">pikave të përbashkëta të kalimit kufitar dhe kryerjen </w:t>
            </w:r>
            <w:r w:rsidRPr="001F0C5A">
              <w:rPr>
                <w:rFonts w:ascii="Garamond" w:eastAsia="Times New Roman" w:hAnsi="Garamond" w:cs="Times New Roman"/>
                <w:b/>
                <w:bCs/>
                <w:color w:val="000000"/>
                <w:sz w:val="6"/>
                <w:szCs w:val="6"/>
                <w:lang w:val="sq-AL"/>
              </w:rPr>
              <w:t xml:space="preserve">e kontrolleve të përbashkëta kufitare dhe doganore me Kosovën, me qëllim lehtësimin e mëtejshëm të qarkullimit mes vendeve </w:t>
            </w:r>
          </w:p>
        </w:tc>
        <w:tc>
          <w:tcPr>
            <w:tcW w:w="211" w:type="pct"/>
            <w:tcBorders>
              <w:top w:val="nil"/>
              <w:left w:val="nil"/>
              <w:bottom w:val="single" w:sz="4" w:space="0" w:color="auto"/>
              <w:right w:val="single" w:sz="4" w:space="0" w:color="auto"/>
            </w:tcBorders>
            <w:shd w:val="clear" w:color="000000" w:fill="FFFFFF"/>
            <w:vAlign w:val="center"/>
            <w:hideMark/>
          </w:tcPr>
          <w:p w14:paraId="62BA8C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29B5B46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3AD7B9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00EBA00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FFFFFF"/>
            <w:vAlign w:val="center"/>
            <w:hideMark/>
          </w:tcPr>
          <w:p w14:paraId="6A67E29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E6CD3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FEEA1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0C77B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FDFC5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6A6E2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B5705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4702B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E337F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8AF74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E281B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3A669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23203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13C1AD7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827E1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7D05CB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25F93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07BBD1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0DC4F43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3B8D57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2.1.1</w:t>
            </w:r>
          </w:p>
        </w:tc>
        <w:tc>
          <w:tcPr>
            <w:tcW w:w="247" w:type="pct"/>
            <w:tcBorders>
              <w:top w:val="nil"/>
              <w:left w:val="nil"/>
              <w:bottom w:val="single" w:sz="4" w:space="0" w:color="auto"/>
              <w:right w:val="single" w:sz="4" w:space="0" w:color="auto"/>
            </w:tcBorders>
            <w:shd w:val="clear" w:color="auto" w:fill="auto"/>
            <w:vAlign w:val="center"/>
            <w:hideMark/>
          </w:tcPr>
          <w:p w14:paraId="24E16B01" w14:textId="747EE20F" w:rsidR="00D86FA8" w:rsidRPr="001F0C5A" w:rsidRDefault="00D86FA8" w:rsidP="00D86FA8">
            <w:pPr>
              <w:spacing w:after="0" w:line="240" w:lineRule="auto"/>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Nënshkrimi i protokollit për </w:t>
            </w:r>
            <w:r w:rsidR="002D5B79" w:rsidRPr="001F0C5A">
              <w:rPr>
                <w:rFonts w:ascii="Garamond" w:eastAsia="Times New Roman" w:hAnsi="Garamond" w:cs="Times New Roman"/>
                <w:sz w:val="6"/>
                <w:szCs w:val="6"/>
                <w:lang w:val="sq-AL"/>
              </w:rPr>
              <w:t xml:space="preserve">Pikën e Përbashkët të Kalimit </w:t>
            </w:r>
            <w:r w:rsidRPr="001F0C5A">
              <w:rPr>
                <w:rFonts w:ascii="Garamond" w:eastAsia="Times New Roman" w:hAnsi="Garamond" w:cs="Times New Roman"/>
                <w:sz w:val="6"/>
                <w:szCs w:val="6"/>
                <w:lang w:val="sq-AL"/>
              </w:rPr>
              <w:t>Qafë</w:t>
            </w:r>
            <w:r w:rsidR="002D5B79">
              <w:rPr>
                <w:rFonts w:ascii="Garamond" w:eastAsia="Times New Roman" w:hAnsi="Garamond" w:cs="Times New Roman"/>
                <w:sz w:val="6"/>
                <w:szCs w:val="6"/>
                <w:lang w:val="sq-AL"/>
              </w:rPr>
              <w:t>m</w:t>
            </w:r>
            <w:r w:rsidRPr="001F0C5A">
              <w:rPr>
                <w:rFonts w:ascii="Garamond" w:eastAsia="Times New Roman" w:hAnsi="Garamond" w:cs="Times New Roman"/>
                <w:sz w:val="6"/>
                <w:szCs w:val="6"/>
                <w:lang w:val="sq-AL"/>
              </w:rPr>
              <w:t xml:space="preserve">orinë </w:t>
            </w:r>
          </w:p>
        </w:tc>
        <w:tc>
          <w:tcPr>
            <w:tcW w:w="211" w:type="pct"/>
            <w:tcBorders>
              <w:top w:val="nil"/>
              <w:left w:val="nil"/>
              <w:bottom w:val="single" w:sz="4" w:space="0" w:color="auto"/>
              <w:right w:val="single" w:sz="4" w:space="0" w:color="auto"/>
            </w:tcBorders>
            <w:shd w:val="clear" w:color="000000" w:fill="FFFFFF"/>
            <w:vAlign w:val="center"/>
            <w:hideMark/>
          </w:tcPr>
          <w:p w14:paraId="76D2D1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10AD37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60456D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6283113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9391E8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F5646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2BCDA6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B6711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0C04A2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28D3CB6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02FF1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2A5C6A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36700F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41E7C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20AAE3B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56EFB5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51218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70" w:type="pct"/>
            <w:tcBorders>
              <w:top w:val="nil"/>
              <w:left w:val="nil"/>
              <w:bottom w:val="single" w:sz="4" w:space="0" w:color="auto"/>
              <w:right w:val="single" w:sz="4" w:space="0" w:color="auto"/>
            </w:tcBorders>
            <w:shd w:val="clear" w:color="000000" w:fill="FFFFFF"/>
            <w:vAlign w:val="center"/>
            <w:hideMark/>
          </w:tcPr>
          <w:p w14:paraId="6234B2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AA29D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B8B32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6270C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30624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1F6CE7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57D8DB2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2.1.2</w:t>
            </w:r>
          </w:p>
        </w:tc>
        <w:tc>
          <w:tcPr>
            <w:tcW w:w="247" w:type="pct"/>
            <w:tcBorders>
              <w:top w:val="nil"/>
              <w:left w:val="nil"/>
              <w:bottom w:val="single" w:sz="4" w:space="0" w:color="auto"/>
              <w:right w:val="single" w:sz="4" w:space="0" w:color="auto"/>
            </w:tcBorders>
            <w:shd w:val="clear" w:color="auto" w:fill="auto"/>
            <w:vAlign w:val="center"/>
            <w:hideMark/>
          </w:tcPr>
          <w:p w14:paraId="355D7CAE" w14:textId="75666EB4" w:rsidR="00D86FA8" w:rsidRPr="001F0C5A" w:rsidRDefault="00D86FA8" w:rsidP="00D86FA8">
            <w:pPr>
              <w:spacing w:after="0" w:line="240" w:lineRule="auto"/>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Nënshkrimi i protokollit për </w:t>
            </w:r>
            <w:r w:rsidR="002D5B79" w:rsidRPr="001F0C5A">
              <w:rPr>
                <w:rFonts w:ascii="Garamond" w:eastAsia="Times New Roman" w:hAnsi="Garamond" w:cs="Times New Roman"/>
                <w:sz w:val="6"/>
                <w:szCs w:val="6"/>
                <w:lang w:val="sq-AL"/>
              </w:rPr>
              <w:t xml:space="preserve">Pikën e Përbashkët të Kalimit </w:t>
            </w:r>
            <w:r w:rsidRPr="001F0C5A">
              <w:rPr>
                <w:rFonts w:ascii="Garamond" w:eastAsia="Times New Roman" w:hAnsi="Garamond" w:cs="Times New Roman"/>
                <w:color w:val="000000"/>
                <w:sz w:val="6"/>
                <w:szCs w:val="6"/>
                <w:lang w:val="sq-AL"/>
              </w:rPr>
              <w:t>Qafë</w:t>
            </w:r>
            <w:r w:rsidR="002D5B79">
              <w:rPr>
                <w:rFonts w:ascii="Garamond" w:eastAsia="Times New Roman" w:hAnsi="Garamond" w:cs="Times New Roman"/>
                <w:color w:val="000000"/>
                <w:sz w:val="6"/>
                <w:szCs w:val="6"/>
                <w:lang w:val="sq-AL"/>
              </w:rPr>
              <w:t>p</w:t>
            </w:r>
            <w:r w:rsidRPr="001F0C5A">
              <w:rPr>
                <w:rFonts w:ascii="Garamond" w:eastAsia="Times New Roman" w:hAnsi="Garamond" w:cs="Times New Roman"/>
                <w:color w:val="000000"/>
                <w:sz w:val="6"/>
                <w:szCs w:val="6"/>
                <w:lang w:val="sq-AL"/>
              </w:rPr>
              <w:t>rush</w:t>
            </w:r>
          </w:p>
        </w:tc>
        <w:tc>
          <w:tcPr>
            <w:tcW w:w="211" w:type="pct"/>
            <w:tcBorders>
              <w:top w:val="nil"/>
              <w:left w:val="nil"/>
              <w:bottom w:val="single" w:sz="4" w:space="0" w:color="auto"/>
              <w:right w:val="single" w:sz="4" w:space="0" w:color="auto"/>
            </w:tcBorders>
            <w:shd w:val="clear" w:color="000000" w:fill="FFFFFF"/>
            <w:vAlign w:val="center"/>
            <w:hideMark/>
          </w:tcPr>
          <w:p w14:paraId="5E84FA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2E8CB6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674DF6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350584E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FC8B0B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12F4C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4E89ED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C6D20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219551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7866A1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44FBC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51F753A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1850EF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3F961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4124D1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81" w:type="pct"/>
            <w:tcBorders>
              <w:top w:val="nil"/>
              <w:left w:val="nil"/>
              <w:bottom w:val="single" w:sz="4" w:space="0" w:color="auto"/>
              <w:right w:val="single" w:sz="4" w:space="0" w:color="auto"/>
            </w:tcBorders>
            <w:shd w:val="clear" w:color="000000" w:fill="FFFFFF"/>
            <w:vAlign w:val="center"/>
            <w:hideMark/>
          </w:tcPr>
          <w:p w14:paraId="3C7CBFC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8D6C1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70" w:type="pct"/>
            <w:tcBorders>
              <w:top w:val="nil"/>
              <w:left w:val="nil"/>
              <w:bottom w:val="single" w:sz="4" w:space="0" w:color="auto"/>
              <w:right w:val="single" w:sz="4" w:space="0" w:color="auto"/>
            </w:tcBorders>
            <w:shd w:val="clear" w:color="000000" w:fill="FFFFFF"/>
            <w:vAlign w:val="center"/>
            <w:hideMark/>
          </w:tcPr>
          <w:p w14:paraId="01C5C9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BCA92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56169A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51ED94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B832A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E8F4A8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745B0F8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2.1.3</w:t>
            </w:r>
          </w:p>
        </w:tc>
        <w:tc>
          <w:tcPr>
            <w:tcW w:w="247" w:type="pct"/>
            <w:tcBorders>
              <w:top w:val="nil"/>
              <w:left w:val="nil"/>
              <w:bottom w:val="single" w:sz="4" w:space="0" w:color="auto"/>
              <w:right w:val="single" w:sz="4" w:space="0" w:color="auto"/>
            </w:tcBorders>
            <w:shd w:val="clear" w:color="auto" w:fill="auto"/>
            <w:vAlign w:val="center"/>
            <w:hideMark/>
          </w:tcPr>
          <w:p w14:paraId="646EC020" w14:textId="18B95961" w:rsidR="00D86FA8" w:rsidRPr="001F0C5A" w:rsidRDefault="00D86FA8" w:rsidP="00D86FA8">
            <w:pPr>
              <w:spacing w:after="0" w:line="240" w:lineRule="auto"/>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Nënshkrimi i Protokollit për Pikën e Përbashkët të Kalimit Kufitar Shishtavec</w:t>
            </w:r>
            <w:r w:rsidR="001F0C5A" w:rsidRPr="001F0C5A">
              <w:rPr>
                <w:rFonts w:ascii="Garamond" w:eastAsia="Times New Roman" w:hAnsi="Garamond" w:cs="Times New Roman"/>
                <w:sz w:val="6"/>
                <w:szCs w:val="6"/>
                <w:lang w:val="sq-AL"/>
              </w:rPr>
              <w:t xml:space="preserve"> </w:t>
            </w:r>
            <w:r w:rsidRPr="001F0C5A">
              <w:rPr>
                <w:rFonts w:ascii="Garamond" w:eastAsia="Times New Roman" w:hAnsi="Garamond" w:cs="Times New Roman"/>
                <w:sz w:val="6"/>
                <w:szCs w:val="6"/>
                <w:lang w:val="sq-AL"/>
              </w:rPr>
              <w:t xml:space="preserve">– Dragash </w:t>
            </w:r>
          </w:p>
        </w:tc>
        <w:tc>
          <w:tcPr>
            <w:tcW w:w="211" w:type="pct"/>
            <w:tcBorders>
              <w:top w:val="nil"/>
              <w:left w:val="nil"/>
              <w:bottom w:val="single" w:sz="4" w:space="0" w:color="auto"/>
              <w:right w:val="single" w:sz="4" w:space="0" w:color="auto"/>
            </w:tcBorders>
            <w:shd w:val="clear" w:color="000000" w:fill="FFFFFF"/>
            <w:vAlign w:val="center"/>
            <w:hideMark/>
          </w:tcPr>
          <w:p w14:paraId="07CD6A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E7DCF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6B7F32D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09CF7CC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7F31AE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45B57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81" w:type="pct"/>
            <w:tcBorders>
              <w:top w:val="nil"/>
              <w:left w:val="nil"/>
              <w:bottom w:val="single" w:sz="4" w:space="0" w:color="auto"/>
              <w:right w:val="single" w:sz="4" w:space="0" w:color="auto"/>
            </w:tcBorders>
            <w:shd w:val="clear" w:color="000000" w:fill="FFFFFF"/>
            <w:vAlign w:val="center"/>
            <w:hideMark/>
          </w:tcPr>
          <w:p w14:paraId="7F3B65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4B04F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1AE720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FE79A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32EC2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3F8AF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46680A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057AD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5EAED5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81" w:type="pct"/>
            <w:tcBorders>
              <w:top w:val="nil"/>
              <w:left w:val="nil"/>
              <w:bottom w:val="single" w:sz="4" w:space="0" w:color="auto"/>
              <w:right w:val="single" w:sz="4" w:space="0" w:color="auto"/>
            </w:tcBorders>
            <w:shd w:val="clear" w:color="000000" w:fill="FFFFFF"/>
            <w:vAlign w:val="center"/>
            <w:hideMark/>
          </w:tcPr>
          <w:p w14:paraId="743558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D8833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70" w:type="pct"/>
            <w:tcBorders>
              <w:top w:val="nil"/>
              <w:left w:val="nil"/>
              <w:bottom w:val="single" w:sz="4" w:space="0" w:color="auto"/>
              <w:right w:val="single" w:sz="4" w:space="0" w:color="auto"/>
            </w:tcBorders>
            <w:shd w:val="clear" w:color="000000" w:fill="FFFFFF"/>
            <w:vAlign w:val="center"/>
            <w:hideMark/>
          </w:tcPr>
          <w:p w14:paraId="2D3F8A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9C00A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76810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E3BDE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9E699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247F2E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A2C296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2.1.4</w:t>
            </w:r>
          </w:p>
        </w:tc>
        <w:tc>
          <w:tcPr>
            <w:tcW w:w="247" w:type="pct"/>
            <w:tcBorders>
              <w:top w:val="nil"/>
              <w:left w:val="nil"/>
              <w:bottom w:val="single" w:sz="4" w:space="0" w:color="auto"/>
              <w:right w:val="single" w:sz="4" w:space="0" w:color="auto"/>
            </w:tcBorders>
            <w:shd w:val="clear" w:color="auto" w:fill="auto"/>
            <w:vAlign w:val="center"/>
            <w:hideMark/>
          </w:tcPr>
          <w:p w14:paraId="3B3D9CB4" w14:textId="77CEA4CE" w:rsidR="00D86FA8" w:rsidRPr="001F0C5A" w:rsidRDefault="00D86FA8" w:rsidP="00D86FA8">
            <w:pPr>
              <w:spacing w:after="0" w:line="240" w:lineRule="auto"/>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Nënshkrimi</w:t>
            </w:r>
            <w:r w:rsidRPr="001F0C5A">
              <w:rPr>
                <w:rFonts w:ascii="Garamond" w:eastAsia="Times New Roman" w:hAnsi="Garamond" w:cs="Times New Roman"/>
                <w:color w:val="000000"/>
                <w:sz w:val="6"/>
                <w:szCs w:val="6"/>
                <w:lang w:val="sq-AL"/>
              </w:rPr>
              <w:t xml:space="preserve"> dhe ndjekja e zbatimit e </w:t>
            </w:r>
            <w:r w:rsidR="002D5B79" w:rsidRPr="001F0C5A">
              <w:rPr>
                <w:rFonts w:ascii="Garamond" w:eastAsia="Times New Roman" w:hAnsi="Garamond" w:cs="Times New Roman"/>
                <w:color w:val="000000"/>
                <w:sz w:val="6"/>
                <w:szCs w:val="6"/>
                <w:lang w:val="sq-AL"/>
              </w:rPr>
              <w:t xml:space="preserve">protokollit </w:t>
            </w:r>
            <w:r w:rsidRPr="001F0C5A">
              <w:rPr>
                <w:rFonts w:ascii="Garamond" w:eastAsia="Times New Roman" w:hAnsi="Garamond" w:cs="Times New Roman"/>
                <w:color w:val="000000"/>
                <w:sz w:val="6"/>
                <w:szCs w:val="6"/>
                <w:lang w:val="sq-AL"/>
              </w:rPr>
              <w:t>ndërmjet Ministrisë së Brendshme të Republikës së Shqipërisë dhe Ministrisë së Punëve të Brendshme të Republikës së Kosovës për ndryshimin e protokollit ndërmjet Ministrisë së Brendshme të Republikës së Shqipërisë dhe Ministrisë së Punëve të Brendshme të Republikës së Kosovës për implementimin e kontrollit të përbashkët kufitar në Pikën e Përbashkët të Kalimit Kufitar Morinë/Kukës</w:t>
            </w:r>
          </w:p>
        </w:tc>
        <w:tc>
          <w:tcPr>
            <w:tcW w:w="211" w:type="pct"/>
            <w:tcBorders>
              <w:top w:val="nil"/>
              <w:left w:val="nil"/>
              <w:bottom w:val="single" w:sz="4" w:space="0" w:color="auto"/>
              <w:right w:val="single" w:sz="4" w:space="0" w:color="auto"/>
            </w:tcBorders>
            <w:shd w:val="clear" w:color="000000" w:fill="FFFFFF"/>
            <w:vAlign w:val="center"/>
            <w:hideMark/>
          </w:tcPr>
          <w:p w14:paraId="45B16D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42B04B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004E7D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5E3BAE7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2A17C3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8269EB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7CA4E6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D31191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3F9C56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6BAB9F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1136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5973147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2EE481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F3F6F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0FAB60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3C9226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DED14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70" w:type="pct"/>
            <w:tcBorders>
              <w:top w:val="nil"/>
              <w:left w:val="nil"/>
              <w:bottom w:val="single" w:sz="4" w:space="0" w:color="auto"/>
              <w:right w:val="single" w:sz="4" w:space="0" w:color="auto"/>
            </w:tcBorders>
            <w:shd w:val="clear" w:color="000000" w:fill="FFFFFF"/>
            <w:vAlign w:val="center"/>
            <w:hideMark/>
          </w:tcPr>
          <w:p w14:paraId="1B4735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5E73A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2B79D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9294B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04F6E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09AD290"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D3DEA0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2.2</w:t>
            </w:r>
          </w:p>
        </w:tc>
        <w:tc>
          <w:tcPr>
            <w:tcW w:w="247" w:type="pct"/>
            <w:tcBorders>
              <w:top w:val="nil"/>
              <w:left w:val="nil"/>
              <w:bottom w:val="single" w:sz="4" w:space="0" w:color="auto"/>
              <w:right w:val="single" w:sz="4" w:space="0" w:color="auto"/>
            </w:tcBorders>
            <w:shd w:val="clear" w:color="auto" w:fill="auto"/>
            <w:vAlign w:val="center"/>
            <w:hideMark/>
          </w:tcPr>
          <w:p w14:paraId="6B47BE2F" w14:textId="5D007F6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Nënshkrimi i protokolleve në zbatim të marrëveshjes për ngritjen e </w:t>
            </w:r>
            <w:r w:rsidR="002D5B79" w:rsidRPr="001F0C5A">
              <w:rPr>
                <w:rFonts w:ascii="Garamond" w:eastAsia="Times New Roman" w:hAnsi="Garamond" w:cs="Times New Roman"/>
                <w:b/>
                <w:bCs/>
                <w:color w:val="000000"/>
                <w:sz w:val="6"/>
                <w:szCs w:val="6"/>
                <w:lang w:val="sq-AL"/>
              </w:rPr>
              <w:t xml:space="preserve">pikave </w:t>
            </w:r>
            <w:r w:rsidRPr="001F0C5A">
              <w:rPr>
                <w:rFonts w:ascii="Garamond" w:eastAsia="Times New Roman" w:hAnsi="Garamond" w:cs="Times New Roman"/>
                <w:b/>
                <w:bCs/>
                <w:color w:val="000000"/>
                <w:sz w:val="6"/>
                <w:szCs w:val="6"/>
                <w:lang w:val="sq-AL"/>
              </w:rPr>
              <w:t xml:space="preserve">të </w:t>
            </w:r>
            <w:r w:rsidR="002D5B79" w:rsidRPr="001F0C5A">
              <w:rPr>
                <w:rFonts w:ascii="Garamond" w:eastAsia="Times New Roman" w:hAnsi="Garamond" w:cs="Times New Roman"/>
                <w:b/>
                <w:bCs/>
                <w:color w:val="000000"/>
                <w:sz w:val="6"/>
                <w:szCs w:val="6"/>
                <w:lang w:val="sq-AL"/>
              </w:rPr>
              <w:t xml:space="preserve">përbashkëta </w:t>
            </w:r>
            <w:r w:rsidRPr="001F0C5A">
              <w:rPr>
                <w:rFonts w:ascii="Garamond" w:eastAsia="Times New Roman" w:hAnsi="Garamond" w:cs="Times New Roman"/>
                <w:b/>
                <w:bCs/>
                <w:color w:val="000000"/>
                <w:sz w:val="6"/>
                <w:szCs w:val="6"/>
                <w:lang w:val="sq-AL"/>
              </w:rPr>
              <w:t xml:space="preserve">të </w:t>
            </w:r>
            <w:r w:rsidR="002D5B79" w:rsidRPr="001F0C5A">
              <w:rPr>
                <w:rFonts w:ascii="Garamond" w:eastAsia="Times New Roman" w:hAnsi="Garamond" w:cs="Times New Roman"/>
                <w:b/>
                <w:bCs/>
                <w:color w:val="000000"/>
                <w:sz w:val="6"/>
                <w:szCs w:val="6"/>
                <w:lang w:val="sq-AL"/>
              </w:rPr>
              <w:t xml:space="preserve">kalimit kufitar dhe </w:t>
            </w:r>
            <w:r w:rsidRPr="001F0C5A">
              <w:rPr>
                <w:rFonts w:ascii="Garamond" w:eastAsia="Times New Roman" w:hAnsi="Garamond" w:cs="Times New Roman"/>
                <w:b/>
                <w:bCs/>
                <w:color w:val="000000"/>
                <w:sz w:val="6"/>
                <w:szCs w:val="6"/>
                <w:lang w:val="sq-AL"/>
              </w:rPr>
              <w:t>kryerjen e kontrolleve të përbashkëta kufitare dhe doganore me Malin e Zi</w:t>
            </w:r>
          </w:p>
        </w:tc>
        <w:tc>
          <w:tcPr>
            <w:tcW w:w="211" w:type="pct"/>
            <w:tcBorders>
              <w:top w:val="nil"/>
              <w:left w:val="nil"/>
              <w:bottom w:val="single" w:sz="4" w:space="0" w:color="auto"/>
              <w:right w:val="single" w:sz="4" w:space="0" w:color="auto"/>
            </w:tcBorders>
            <w:shd w:val="clear" w:color="000000" w:fill="FFFFFF"/>
            <w:vAlign w:val="center"/>
            <w:hideMark/>
          </w:tcPr>
          <w:p w14:paraId="3A57FF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CE291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7B0589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1E89AFA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324701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7EBD9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E1130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490A3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BE936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CEA56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50B68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1C1B2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EEDCE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4172D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83112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DADEE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4A53C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1201DFD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CF5FB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33BE2B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19D6A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2F0C94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141D4B9D"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E8C905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2.2.1</w:t>
            </w:r>
          </w:p>
        </w:tc>
        <w:tc>
          <w:tcPr>
            <w:tcW w:w="247" w:type="pct"/>
            <w:tcBorders>
              <w:top w:val="nil"/>
              <w:left w:val="nil"/>
              <w:bottom w:val="single" w:sz="4" w:space="0" w:color="auto"/>
              <w:right w:val="single" w:sz="4" w:space="0" w:color="auto"/>
            </w:tcBorders>
            <w:shd w:val="clear" w:color="auto" w:fill="auto"/>
            <w:vAlign w:val="center"/>
            <w:hideMark/>
          </w:tcPr>
          <w:p w14:paraId="118B2684"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Nënshkrimi i Protokollit për Pikën e Përbashkët Zogaj</w:t>
            </w:r>
          </w:p>
        </w:tc>
        <w:tc>
          <w:tcPr>
            <w:tcW w:w="211" w:type="pct"/>
            <w:tcBorders>
              <w:top w:val="nil"/>
              <w:left w:val="nil"/>
              <w:bottom w:val="single" w:sz="4" w:space="0" w:color="auto"/>
              <w:right w:val="single" w:sz="4" w:space="0" w:color="auto"/>
            </w:tcBorders>
            <w:shd w:val="clear" w:color="000000" w:fill="FFFFFF"/>
            <w:vAlign w:val="center"/>
            <w:hideMark/>
          </w:tcPr>
          <w:p w14:paraId="22514A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23A5F0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300F9E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62444DC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169220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94BA3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81" w:type="pct"/>
            <w:tcBorders>
              <w:top w:val="nil"/>
              <w:left w:val="nil"/>
              <w:bottom w:val="single" w:sz="4" w:space="0" w:color="auto"/>
              <w:right w:val="single" w:sz="4" w:space="0" w:color="auto"/>
            </w:tcBorders>
            <w:shd w:val="clear" w:color="000000" w:fill="FFFFFF"/>
            <w:vAlign w:val="center"/>
            <w:hideMark/>
          </w:tcPr>
          <w:p w14:paraId="15C9D6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B3227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4E14A3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08CFCA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6A3C1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733AEA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64EC0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62E27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39E09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50E7E7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BB3BAD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70" w:type="pct"/>
            <w:tcBorders>
              <w:top w:val="nil"/>
              <w:left w:val="nil"/>
              <w:bottom w:val="single" w:sz="4" w:space="0" w:color="auto"/>
              <w:right w:val="single" w:sz="4" w:space="0" w:color="auto"/>
            </w:tcBorders>
            <w:shd w:val="clear" w:color="000000" w:fill="FFFFFF"/>
            <w:vAlign w:val="center"/>
            <w:hideMark/>
          </w:tcPr>
          <w:p w14:paraId="6914E7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1FB9E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CFC0F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CF914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A8ED2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A7112E8"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2EA886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2.2.2</w:t>
            </w:r>
          </w:p>
        </w:tc>
        <w:tc>
          <w:tcPr>
            <w:tcW w:w="247" w:type="pct"/>
            <w:tcBorders>
              <w:top w:val="nil"/>
              <w:left w:val="nil"/>
              <w:bottom w:val="single" w:sz="4" w:space="0" w:color="auto"/>
              <w:right w:val="single" w:sz="4" w:space="0" w:color="auto"/>
            </w:tcBorders>
            <w:shd w:val="clear" w:color="auto" w:fill="auto"/>
            <w:vAlign w:val="center"/>
            <w:hideMark/>
          </w:tcPr>
          <w:p w14:paraId="3A806E87"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Nënshkrimi i protokollit për Pikën e Përbashkët Shën Nikolla - Pulaj</w:t>
            </w:r>
          </w:p>
        </w:tc>
        <w:tc>
          <w:tcPr>
            <w:tcW w:w="211" w:type="pct"/>
            <w:tcBorders>
              <w:top w:val="nil"/>
              <w:left w:val="nil"/>
              <w:bottom w:val="single" w:sz="4" w:space="0" w:color="auto"/>
              <w:right w:val="single" w:sz="4" w:space="0" w:color="auto"/>
            </w:tcBorders>
            <w:shd w:val="clear" w:color="000000" w:fill="FFFFFF"/>
            <w:vAlign w:val="center"/>
            <w:hideMark/>
          </w:tcPr>
          <w:p w14:paraId="6C1CFBF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2EFB4B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798CA2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2335898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7EA1ED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BAD0D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81" w:type="pct"/>
            <w:tcBorders>
              <w:top w:val="nil"/>
              <w:left w:val="nil"/>
              <w:bottom w:val="single" w:sz="4" w:space="0" w:color="auto"/>
              <w:right w:val="single" w:sz="4" w:space="0" w:color="auto"/>
            </w:tcBorders>
            <w:shd w:val="clear" w:color="000000" w:fill="FFFFFF"/>
            <w:vAlign w:val="center"/>
            <w:hideMark/>
          </w:tcPr>
          <w:p w14:paraId="48F704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77D47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2C2F19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25F9152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AD7D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1DB13C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35F51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AC8BD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2170C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393B32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1F7A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70" w:type="pct"/>
            <w:tcBorders>
              <w:top w:val="nil"/>
              <w:left w:val="nil"/>
              <w:bottom w:val="single" w:sz="4" w:space="0" w:color="auto"/>
              <w:right w:val="single" w:sz="4" w:space="0" w:color="auto"/>
            </w:tcBorders>
            <w:shd w:val="clear" w:color="000000" w:fill="FFFFFF"/>
            <w:vAlign w:val="center"/>
            <w:hideMark/>
          </w:tcPr>
          <w:p w14:paraId="65B456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2780A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235F9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BA249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BD8E2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8680490"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EEF113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2.2.3</w:t>
            </w:r>
          </w:p>
        </w:tc>
        <w:tc>
          <w:tcPr>
            <w:tcW w:w="247" w:type="pct"/>
            <w:tcBorders>
              <w:top w:val="nil"/>
              <w:left w:val="nil"/>
              <w:bottom w:val="single" w:sz="4" w:space="0" w:color="auto"/>
              <w:right w:val="single" w:sz="4" w:space="0" w:color="auto"/>
            </w:tcBorders>
            <w:shd w:val="clear" w:color="auto" w:fill="auto"/>
            <w:vAlign w:val="center"/>
            <w:hideMark/>
          </w:tcPr>
          <w:p w14:paraId="54736682"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Ndërtimi i infrastrukturës për ngritjen dhe funksionimin e Pikës së Përbashkët Shën Nikolla - Pulaj</w:t>
            </w:r>
          </w:p>
        </w:tc>
        <w:tc>
          <w:tcPr>
            <w:tcW w:w="211" w:type="pct"/>
            <w:tcBorders>
              <w:top w:val="nil"/>
              <w:left w:val="nil"/>
              <w:bottom w:val="single" w:sz="4" w:space="0" w:color="auto"/>
              <w:right w:val="single" w:sz="4" w:space="0" w:color="auto"/>
            </w:tcBorders>
            <w:shd w:val="clear" w:color="000000" w:fill="FFFFFF"/>
            <w:vAlign w:val="center"/>
            <w:hideMark/>
          </w:tcPr>
          <w:p w14:paraId="6A305D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C865E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29D71A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p>
        </w:tc>
        <w:tc>
          <w:tcPr>
            <w:tcW w:w="143" w:type="pct"/>
            <w:tcBorders>
              <w:top w:val="nil"/>
              <w:left w:val="nil"/>
              <w:bottom w:val="single" w:sz="4" w:space="0" w:color="auto"/>
              <w:right w:val="single" w:sz="4" w:space="0" w:color="auto"/>
            </w:tcBorders>
            <w:shd w:val="clear" w:color="000000" w:fill="FFFFFF"/>
            <w:vAlign w:val="center"/>
            <w:hideMark/>
          </w:tcPr>
          <w:p w14:paraId="3C10E45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F14740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EB3567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410979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397AA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0C677C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91954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BBA06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A90D6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717434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206D5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2B384D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2A0829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63C77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70" w:type="pct"/>
            <w:tcBorders>
              <w:top w:val="nil"/>
              <w:left w:val="nil"/>
              <w:bottom w:val="single" w:sz="4" w:space="0" w:color="auto"/>
              <w:right w:val="single" w:sz="4" w:space="0" w:color="auto"/>
            </w:tcBorders>
            <w:shd w:val="clear" w:color="000000" w:fill="FFFFFF"/>
            <w:vAlign w:val="center"/>
            <w:hideMark/>
          </w:tcPr>
          <w:p w14:paraId="28B322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B4434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2A6E2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75638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1D44B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85C8E0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7983E48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2.3</w:t>
            </w:r>
          </w:p>
        </w:tc>
        <w:tc>
          <w:tcPr>
            <w:tcW w:w="247" w:type="pct"/>
            <w:tcBorders>
              <w:top w:val="nil"/>
              <w:left w:val="nil"/>
              <w:bottom w:val="single" w:sz="4" w:space="0" w:color="auto"/>
              <w:right w:val="single" w:sz="4" w:space="0" w:color="auto"/>
            </w:tcBorders>
            <w:shd w:val="clear" w:color="auto" w:fill="auto"/>
            <w:vAlign w:val="center"/>
            <w:hideMark/>
          </w:tcPr>
          <w:p w14:paraId="53E3BFB3" w14:textId="5A17A315"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Vijimi i negociatave për ngritjen e </w:t>
            </w:r>
            <w:r w:rsidR="002D5B79" w:rsidRPr="001F0C5A">
              <w:rPr>
                <w:rFonts w:ascii="Garamond" w:eastAsia="Times New Roman" w:hAnsi="Garamond" w:cs="Times New Roman"/>
                <w:b/>
                <w:bCs/>
                <w:color w:val="000000"/>
                <w:sz w:val="6"/>
                <w:szCs w:val="6"/>
                <w:lang w:val="sq-AL"/>
              </w:rPr>
              <w:t xml:space="preserve">pikave të përbashkëta të kalimit kufitar dhe kryerjen </w:t>
            </w:r>
            <w:r w:rsidRPr="001F0C5A">
              <w:rPr>
                <w:rFonts w:ascii="Garamond" w:eastAsia="Times New Roman" w:hAnsi="Garamond" w:cs="Times New Roman"/>
                <w:b/>
                <w:bCs/>
                <w:color w:val="000000"/>
                <w:sz w:val="6"/>
                <w:szCs w:val="6"/>
                <w:lang w:val="sq-AL"/>
              </w:rPr>
              <w:t>e kontrolleve të përbashkëta kufitare dhe doganore me Maqedoninë e Veriut, në zbatim të Marrëveshjes së nënshkruar për këtë qëllim</w:t>
            </w:r>
          </w:p>
        </w:tc>
        <w:tc>
          <w:tcPr>
            <w:tcW w:w="211" w:type="pct"/>
            <w:tcBorders>
              <w:top w:val="nil"/>
              <w:left w:val="nil"/>
              <w:bottom w:val="single" w:sz="4" w:space="0" w:color="auto"/>
              <w:right w:val="single" w:sz="4" w:space="0" w:color="auto"/>
            </w:tcBorders>
            <w:shd w:val="clear" w:color="000000" w:fill="FFFFFF"/>
            <w:vAlign w:val="center"/>
            <w:hideMark/>
          </w:tcPr>
          <w:p w14:paraId="633E25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223E4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160561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p>
        </w:tc>
        <w:tc>
          <w:tcPr>
            <w:tcW w:w="143" w:type="pct"/>
            <w:tcBorders>
              <w:top w:val="nil"/>
              <w:left w:val="nil"/>
              <w:bottom w:val="single" w:sz="4" w:space="0" w:color="auto"/>
              <w:right w:val="single" w:sz="4" w:space="0" w:color="auto"/>
            </w:tcBorders>
            <w:shd w:val="clear" w:color="000000" w:fill="FFFFFF"/>
            <w:vAlign w:val="center"/>
            <w:hideMark/>
          </w:tcPr>
          <w:p w14:paraId="676BF48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39081B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9CDE6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7B2220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750D2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22B2FD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47B8BB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4EE44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13CBEE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118B0F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D8ED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030DC1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41B268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46003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2276A9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D5DC1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0DF6C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64A6F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09B14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DE3E39B"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01C1D74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046C5068" w14:textId="523878F3"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2D5B79">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2</w:t>
            </w:r>
          </w:p>
        </w:tc>
        <w:tc>
          <w:tcPr>
            <w:tcW w:w="211" w:type="pct"/>
            <w:tcBorders>
              <w:top w:val="nil"/>
              <w:left w:val="nil"/>
              <w:bottom w:val="single" w:sz="4" w:space="0" w:color="auto"/>
              <w:right w:val="single" w:sz="4" w:space="0" w:color="auto"/>
            </w:tcBorders>
            <w:shd w:val="clear" w:color="000000" w:fill="D9D9D9"/>
            <w:vAlign w:val="center"/>
            <w:hideMark/>
          </w:tcPr>
          <w:p w14:paraId="4A554D3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457F567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4124DF9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3EA2347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6FC485A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6149887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81" w:type="pct"/>
            <w:tcBorders>
              <w:top w:val="nil"/>
              <w:left w:val="nil"/>
              <w:bottom w:val="single" w:sz="4" w:space="0" w:color="auto"/>
              <w:right w:val="single" w:sz="4" w:space="0" w:color="auto"/>
            </w:tcBorders>
            <w:shd w:val="clear" w:color="000000" w:fill="D9D9D9"/>
            <w:vAlign w:val="center"/>
            <w:hideMark/>
          </w:tcPr>
          <w:p w14:paraId="5D04A9F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16F99B8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96" w:type="pct"/>
            <w:tcBorders>
              <w:top w:val="nil"/>
              <w:left w:val="nil"/>
              <w:bottom w:val="single" w:sz="4" w:space="0" w:color="auto"/>
              <w:right w:val="single" w:sz="4" w:space="0" w:color="auto"/>
            </w:tcBorders>
            <w:shd w:val="clear" w:color="000000" w:fill="D9D9D9"/>
            <w:vAlign w:val="center"/>
            <w:hideMark/>
          </w:tcPr>
          <w:p w14:paraId="00CFB33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96" w:type="pct"/>
            <w:tcBorders>
              <w:top w:val="nil"/>
              <w:left w:val="nil"/>
              <w:bottom w:val="single" w:sz="4" w:space="0" w:color="auto"/>
              <w:right w:val="single" w:sz="4" w:space="0" w:color="auto"/>
            </w:tcBorders>
            <w:shd w:val="clear" w:color="000000" w:fill="D9D9D9"/>
            <w:vAlign w:val="center"/>
            <w:hideMark/>
          </w:tcPr>
          <w:p w14:paraId="3B1A97B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63B792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96" w:type="pct"/>
            <w:tcBorders>
              <w:top w:val="nil"/>
              <w:left w:val="nil"/>
              <w:bottom w:val="single" w:sz="4" w:space="0" w:color="auto"/>
              <w:right w:val="single" w:sz="4" w:space="0" w:color="auto"/>
            </w:tcBorders>
            <w:shd w:val="clear" w:color="000000" w:fill="D9D9D9"/>
            <w:vAlign w:val="center"/>
            <w:hideMark/>
          </w:tcPr>
          <w:p w14:paraId="32A30C5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1,800,000</w:t>
            </w:r>
          </w:p>
        </w:tc>
        <w:tc>
          <w:tcPr>
            <w:tcW w:w="196" w:type="pct"/>
            <w:tcBorders>
              <w:top w:val="nil"/>
              <w:left w:val="nil"/>
              <w:bottom w:val="single" w:sz="4" w:space="0" w:color="auto"/>
              <w:right w:val="single" w:sz="4" w:space="0" w:color="auto"/>
            </w:tcBorders>
            <w:shd w:val="clear" w:color="000000" w:fill="D9D9D9"/>
            <w:vAlign w:val="center"/>
            <w:hideMark/>
          </w:tcPr>
          <w:p w14:paraId="341DD45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7767691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1,800,000</w:t>
            </w:r>
          </w:p>
        </w:tc>
        <w:tc>
          <w:tcPr>
            <w:tcW w:w="196" w:type="pct"/>
            <w:tcBorders>
              <w:top w:val="nil"/>
              <w:left w:val="nil"/>
              <w:bottom w:val="single" w:sz="4" w:space="0" w:color="auto"/>
              <w:right w:val="single" w:sz="4" w:space="0" w:color="auto"/>
            </w:tcBorders>
            <w:shd w:val="clear" w:color="000000" w:fill="D9D9D9"/>
            <w:vAlign w:val="center"/>
            <w:hideMark/>
          </w:tcPr>
          <w:p w14:paraId="55386C2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1,800,000</w:t>
            </w:r>
          </w:p>
        </w:tc>
        <w:tc>
          <w:tcPr>
            <w:tcW w:w="181" w:type="pct"/>
            <w:tcBorders>
              <w:top w:val="nil"/>
              <w:left w:val="nil"/>
              <w:bottom w:val="single" w:sz="4" w:space="0" w:color="auto"/>
              <w:right w:val="single" w:sz="4" w:space="0" w:color="auto"/>
            </w:tcBorders>
            <w:shd w:val="clear" w:color="000000" w:fill="D9D9D9"/>
            <w:vAlign w:val="center"/>
            <w:hideMark/>
          </w:tcPr>
          <w:p w14:paraId="70990BB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3A639AF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1,800,000</w:t>
            </w:r>
          </w:p>
        </w:tc>
        <w:tc>
          <w:tcPr>
            <w:tcW w:w="170" w:type="pct"/>
            <w:tcBorders>
              <w:top w:val="nil"/>
              <w:left w:val="nil"/>
              <w:bottom w:val="single" w:sz="4" w:space="0" w:color="auto"/>
              <w:right w:val="single" w:sz="4" w:space="0" w:color="auto"/>
            </w:tcBorders>
            <w:shd w:val="clear" w:color="000000" w:fill="D9D9D9"/>
            <w:vAlign w:val="center"/>
            <w:hideMark/>
          </w:tcPr>
          <w:p w14:paraId="1A3CB8C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268A0D0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192291B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E3E1BC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0FBDC2B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6038156D"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2A9FBE8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w:t>
            </w:r>
          </w:p>
        </w:tc>
        <w:tc>
          <w:tcPr>
            <w:tcW w:w="247" w:type="pct"/>
            <w:tcBorders>
              <w:top w:val="nil"/>
              <w:left w:val="nil"/>
              <w:bottom w:val="single" w:sz="4" w:space="0" w:color="auto"/>
              <w:right w:val="single" w:sz="4" w:space="0" w:color="auto"/>
            </w:tcBorders>
            <w:shd w:val="clear" w:color="000000" w:fill="DDEBF7"/>
            <w:hideMark/>
          </w:tcPr>
          <w:p w14:paraId="4D5DE9D5"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3: Alokimi i burimeve të nevojshme njerëzore në Pikat e Kalimit të Kufitar në përputhje me fluksin e qarkullimit ndërkufitar</w:t>
            </w:r>
            <w:r w:rsidRPr="001F0C5A">
              <w:rPr>
                <w:rFonts w:ascii="Garamond" w:eastAsia="Times New Roman" w:hAnsi="Garamond" w:cs="Times New Roman"/>
                <w:b/>
                <w:bCs/>
                <w:color w:val="000000"/>
                <w:sz w:val="6"/>
                <w:szCs w:val="6"/>
                <w:lang w:val="sq-AL"/>
              </w:rPr>
              <w:br/>
            </w:r>
            <w:r w:rsidRPr="001F0C5A">
              <w:rPr>
                <w:rFonts w:ascii="Garamond" w:eastAsia="Times New Roman" w:hAnsi="Garamond" w:cs="Times New Roman"/>
                <w:b/>
                <w:bCs/>
                <w:color w:val="000000"/>
                <w:sz w:val="6"/>
                <w:szCs w:val="6"/>
                <w:lang w:val="sq-AL"/>
              </w:rPr>
              <w:br/>
              <w:t xml:space="preserve"> </w:t>
            </w:r>
          </w:p>
        </w:tc>
        <w:tc>
          <w:tcPr>
            <w:tcW w:w="211" w:type="pct"/>
            <w:tcBorders>
              <w:top w:val="nil"/>
              <w:left w:val="nil"/>
              <w:bottom w:val="single" w:sz="4" w:space="0" w:color="auto"/>
              <w:right w:val="single" w:sz="4" w:space="0" w:color="auto"/>
            </w:tcBorders>
            <w:shd w:val="clear" w:color="000000" w:fill="DDEBF7"/>
            <w:vAlign w:val="center"/>
            <w:hideMark/>
          </w:tcPr>
          <w:p w14:paraId="26E07C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D17F8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6B9EA2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3FBBD05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2335ABE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D1052C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64537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86CFA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7CD95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4EC65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BFAF2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53495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D48C0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B02D9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76081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C678E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BC8B7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6E2F58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967FD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156BFF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B3118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558EBE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2C86AFE8"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29ADC5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3.1</w:t>
            </w:r>
          </w:p>
        </w:tc>
        <w:tc>
          <w:tcPr>
            <w:tcW w:w="247" w:type="pct"/>
            <w:tcBorders>
              <w:top w:val="nil"/>
              <w:left w:val="nil"/>
              <w:bottom w:val="single" w:sz="4" w:space="0" w:color="auto"/>
              <w:right w:val="single" w:sz="4" w:space="0" w:color="auto"/>
            </w:tcBorders>
            <w:shd w:val="clear" w:color="auto" w:fill="auto"/>
            <w:vAlign w:val="center"/>
            <w:hideMark/>
          </w:tcPr>
          <w:p w14:paraId="6A0435CB"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Rritje e kapaciteteve njerëzore të Policisë së Kufirit dhe Migracionit</w:t>
            </w:r>
          </w:p>
        </w:tc>
        <w:tc>
          <w:tcPr>
            <w:tcW w:w="211" w:type="pct"/>
            <w:tcBorders>
              <w:top w:val="nil"/>
              <w:left w:val="nil"/>
              <w:bottom w:val="single" w:sz="4" w:space="0" w:color="auto"/>
              <w:right w:val="single" w:sz="4" w:space="0" w:color="auto"/>
            </w:tcBorders>
            <w:shd w:val="clear" w:color="000000" w:fill="FFFFFF"/>
            <w:vAlign w:val="center"/>
            <w:hideMark/>
          </w:tcPr>
          <w:p w14:paraId="3E90A9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4EC09E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4E7B4D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6B64BAD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25FBBB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DB23D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9E914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DCC9B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D6720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5658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3982C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FF78C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6C92F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F3D9D0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9BEFA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E9447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8C39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33816A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6ECB3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1BFE5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9CEFF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520F5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F64C079"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6171CF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3.1.1</w:t>
            </w:r>
          </w:p>
        </w:tc>
        <w:tc>
          <w:tcPr>
            <w:tcW w:w="247" w:type="pct"/>
            <w:tcBorders>
              <w:top w:val="nil"/>
              <w:left w:val="nil"/>
              <w:bottom w:val="single" w:sz="4" w:space="0" w:color="auto"/>
              <w:right w:val="single" w:sz="4" w:space="0" w:color="auto"/>
            </w:tcBorders>
            <w:shd w:val="clear" w:color="auto" w:fill="auto"/>
            <w:vAlign w:val="center"/>
            <w:hideMark/>
          </w:tcPr>
          <w:p w14:paraId="7FBF06B8"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Plotësimi i vendeve vakante në strukturat vendore të policisë kufitare dhe migracionit, në bazë të vlerësimit të nevojave dhe analizave të riskut</w:t>
            </w:r>
          </w:p>
        </w:tc>
        <w:tc>
          <w:tcPr>
            <w:tcW w:w="211" w:type="pct"/>
            <w:tcBorders>
              <w:top w:val="nil"/>
              <w:left w:val="nil"/>
              <w:bottom w:val="single" w:sz="4" w:space="0" w:color="auto"/>
              <w:right w:val="single" w:sz="4" w:space="0" w:color="auto"/>
            </w:tcBorders>
            <w:shd w:val="clear" w:color="000000" w:fill="FFFFFF"/>
            <w:vAlign w:val="center"/>
            <w:hideMark/>
          </w:tcPr>
          <w:p w14:paraId="5E71BC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4C5E22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26493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7784E4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04D1AB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90711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157,000,000</w:t>
            </w:r>
          </w:p>
        </w:tc>
        <w:tc>
          <w:tcPr>
            <w:tcW w:w="181" w:type="pct"/>
            <w:tcBorders>
              <w:top w:val="nil"/>
              <w:left w:val="nil"/>
              <w:bottom w:val="single" w:sz="4" w:space="0" w:color="auto"/>
              <w:right w:val="single" w:sz="4" w:space="0" w:color="auto"/>
            </w:tcBorders>
            <w:shd w:val="clear" w:color="000000" w:fill="FFFFFF"/>
            <w:vAlign w:val="center"/>
            <w:hideMark/>
          </w:tcPr>
          <w:p w14:paraId="4F3C59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93ADC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157,000,000</w:t>
            </w:r>
          </w:p>
        </w:tc>
        <w:tc>
          <w:tcPr>
            <w:tcW w:w="196" w:type="pct"/>
            <w:tcBorders>
              <w:top w:val="nil"/>
              <w:left w:val="nil"/>
              <w:bottom w:val="single" w:sz="4" w:space="0" w:color="auto"/>
              <w:right w:val="single" w:sz="4" w:space="0" w:color="auto"/>
            </w:tcBorders>
            <w:shd w:val="clear" w:color="000000" w:fill="FFFFFF"/>
            <w:vAlign w:val="center"/>
            <w:hideMark/>
          </w:tcPr>
          <w:p w14:paraId="423A56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157,000,000</w:t>
            </w:r>
          </w:p>
        </w:tc>
        <w:tc>
          <w:tcPr>
            <w:tcW w:w="196" w:type="pct"/>
            <w:tcBorders>
              <w:top w:val="nil"/>
              <w:left w:val="nil"/>
              <w:bottom w:val="single" w:sz="4" w:space="0" w:color="auto"/>
              <w:right w:val="single" w:sz="4" w:space="0" w:color="auto"/>
            </w:tcBorders>
            <w:shd w:val="clear" w:color="000000" w:fill="FFFFFF"/>
            <w:vAlign w:val="center"/>
            <w:hideMark/>
          </w:tcPr>
          <w:p w14:paraId="532497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DD459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157,000,000</w:t>
            </w:r>
          </w:p>
        </w:tc>
        <w:tc>
          <w:tcPr>
            <w:tcW w:w="196" w:type="pct"/>
            <w:tcBorders>
              <w:top w:val="nil"/>
              <w:left w:val="nil"/>
              <w:bottom w:val="single" w:sz="4" w:space="0" w:color="auto"/>
              <w:right w:val="single" w:sz="4" w:space="0" w:color="auto"/>
            </w:tcBorders>
            <w:shd w:val="clear" w:color="000000" w:fill="FFFFFF"/>
            <w:vAlign w:val="center"/>
            <w:hideMark/>
          </w:tcPr>
          <w:p w14:paraId="167660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314,000,000</w:t>
            </w:r>
          </w:p>
        </w:tc>
        <w:tc>
          <w:tcPr>
            <w:tcW w:w="196" w:type="pct"/>
            <w:tcBorders>
              <w:top w:val="nil"/>
              <w:left w:val="nil"/>
              <w:bottom w:val="single" w:sz="4" w:space="0" w:color="auto"/>
              <w:right w:val="single" w:sz="4" w:space="0" w:color="auto"/>
            </w:tcBorders>
            <w:shd w:val="clear" w:color="000000" w:fill="FFFFFF"/>
            <w:vAlign w:val="center"/>
            <w:hideMark/>
          </w:tcPr>
          <w:p w14:paraId="565BC6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D9DF0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314,000,000</w:t>
            </w:r>
          </w:p>
        </w:tc>
        <w:tc>
          <w:tcPr>
            <w:tcW w:w="196" w:type="pct"/>
            <w:tcBorders>
              <w:top w:val="nil"/>
              <w:left w:val="nil"/>
              <w:bottom w:val="single" w:sz="4" w:space="0" w:color="auto"/>
              <w:right w:val="single" w:sz="4" w:space="0" w:color="auto"/>
            </w:tcBorders>
            <w:shd w:val="clear" w:color="000000" w:fill="FFFFFF"/>
            <w:vAlign w:val="center"/>
            <w:hideMark/>
          </w:tcPr>
          <w:p w14:paraId="564D1B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314,000,000</w:t>
            </w:r>
          </w:p>
        </w:tc>
        <w:tc>
          <w:tcPr>
            <w:tcW w:w="181" w:type="pct"/>
            <w:tcBorders>
              <w:top w:val="nil"/>
              <w:left w:val="nil"/>
              <w:bottom w:val="single" w:sz="4" w:space="0" w:color="auto"/>
              <w:right w:val="single" w:sz="4" w:space="0" w:color="auto"/>
            </w:tcBorders>
            <w:shd w:val="clear" w:color="000000" w:fill="FFFFFF"/>
            <w:vAlign w:val="center"/>
            <w:hideMark/>
          </w:tcPr>
          <w:p w14:paraId="672129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E4D0F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314,000,000</w:t>
            </w:r>
          </w:p>
        </w:tc>
        <w:tc>
          <w:tcPr>
            <w:tcW w:w="170" w:type="pct"/>
            <w:tcBorders>
              <w:top w:val="nil"/>
              <w:left w:val="nil"/>
              <w:bottom w:val="single" w:sz="4" w:space="0" w:color="auto"/>
              <w:right w:val="single" w:sz="4" w:space="0" w:color="auto"/>
            </w:tcBorders>
            <w:shd w:val="clear" w:color="000000" w:fill="FFFFFF"/>
            <w:vAlign w:val="center"/>
            <w:hideMark/>
          </w:tcPr>
          <w:p w14:paraId="6D541D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EED94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B6366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F6E53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69864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7244D6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738BCC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3.1.2</w:t>
            </w:r>
          </w:p>
        </w:tc>
        <w:tc>
          <w:tcPr>
            <w:tcW w:w="247" w:type="pct"/>
            <w:tcBorders>
              <w:top w:val="nil"/>
              <w:left w:val="nil"/>
              <w:bottom w:val="single" w:sz="4" w:space="0" w:color="auto"/>
              <w:right w:val="single" w:sz="4" w:space="0" w:color="auto"/>
            </w:tcBorders>
            <w:shd w:val="clear" w:color="auto" w:fill="auto"/>
            <w:vAlign w:val="center"/>
            <w:hideMark/>
          </w:tcPr>
          <w:p w14:paraId="16AEB11A" w14:textId="164E9F49"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Ndryshime strukturore n</w:t>
            </w:r>
            <w:r w:rsidR="00D94DB0">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funksion t</w:t>
            </w:r>
            <w:r w:rsidR="006C2282">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hapjes s</w:t>
            </w:r>
            <w:r w:rsidR="006C2282">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pikave t</w:t>
            </w:r>
            <w:r w:rsidR="006C2282">
              <w:rPr>
                <w:rFonts w:ascii="Garamond" w:eastAsia="Times New Roman" w:hAnsi="Garamond" w:cs="Times New Roman"/>
                <w:color w:val="000000"/>
                <w:sz w:val="6"/>
                <w:szCs w:val="6"/>
                <w:lang w:val="sq-AL"/>
              </w:rPr>
              <w:t xml:space="preserve">ë </w:t>
            </w:r>
            <w:r w:rsidRPr="001F0C5A">
              <w:rPr>
                <w:rFonts w:ascii="Garamond" w:eastAsia="Times New Roman" w:hAnsi="Garamond" w:cs="Times New Roman"/>
                <w:color w:val="000000"/>
                <w:sz w:val="6"/>
                <w:szCs w:val="6"/>
                <w:lang w:val="sq-AL"/>
              </w:rPr>
              <w:t>reja, në zbatim të marrëveshjeve të nënshkruara me shtetet fqinje.</w:t>
            </w:r>
          </w:p>
        </w:tc>
        <w:tc>
          <w:tcPr>
            <w:tcW w:w="211" w:type="pct"/>
            <w:tcBorders>
              <w:top w:val="nil"/>
              <w:left w:val="nil"/>
              <w:bottom w:val="single" w:sz="4" w:space="0" w:color="auto"/>
              <w:right w:val="single" w:sz="4" w:space="0" w:color="auto"/>
            </w:tcBorders>
            <w:shd w:val="clear" w:color="000000" w:fill="FFFFFF"/>
            <w:vAlign w:val="center"/>
            <w:hideMark/>
          </w:tcPr>
          <w:p w14:paraId="46CCFC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410459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EDFA4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44A506A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9FCE12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55751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221,000,000</w:t>
            </w:r>
          </w:p>
        </w:tc>
        <w:tc>
          <w:tcPr>
            <w:tcW w:w="181" w:type="pct"/>
            <w:tcBorders>
              <w:top w:val="nil"/>
              <w:left w:val="nil"/>
              <w:bottom w:val="single" w:sz="4" w:space="0" w:color="auto"/>
              <w:right w:val="single" w:sz="4" w:space="0" w:color="auto"/>
            </w:tcBorders>
            <w:shd w:val="clear" w:color="000000" w:fill="FFFFFF"/>
            <w:vAlign w:val="center"/>
            <w:hideMark/>
          </w:tcPr>
          <w:p w14:paraId="41D0AB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D4089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221,000,000</w:t>
            </w:r>
          </w:p>
        </w:tc>
        <w:tc>
          <w:tcPr>
            <w:tcW w:w="196" w:type="pct"/>
            <w:tcBorders>
              <w:top w:val="nil"/>
              <w:left w:val="nil"/>
              <w:bottom w:val="single" w:sz="4" w:space="0" w:color="auto"/>
              <w:right w:val="single" w:sz="4" w:space="0" w:color="auto"/>
            </w:tcBorders>
            <w:shd w:val="clear" w:color="000000" w:fill="FFFFFF"/>
            <w:vAlign w:val="center"/>
            <w:hideMark/>
          </w:tcPr>
          <w:p w14:paraId="2FE67A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221,000,000</w:t>
            </w:r>
          </w:p>
        </w:tc>
        <w:tc>
          <w:tcPr>
            <w:tcW w:w="196" w:type="pct"/>
            <w:tcBorders>
              <w:top w:val="nil"/>
              <w:left w:val="nil"/>
              <w:bottom w:val="single" w:sz="4" w:space="0" w:color="auto"/>
              <w:right w:val="single" w:sz="4" w:space="0" w:color="auto"/>
            </w:tcBorders>
            <w:shd w:val="clear" w:color="000000" w:fill="FFFFFF"/>
            <w:vAlign w:val="center"/>
            <w:hideMark/>
          </w:tcPr>
          <w:p w14:paraId="37F9BD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D8B5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221,000,000</w:t>
            </w:r>
          </w:p>
        </w:tc>
        <w:tc>
          <w:tcPr>
            <w:tcW w:w="196" w:type="pct"/>
            <w:tcBorders>
              <w:top w:val="nil"/>
              <w:left w:val="nil"/>
              <w:bottom w:val="single" w:sz="4" w:space="0" w:color="auto"/>
              <w:right w:val="single" w:sz="4" w:space="0" w:color="auto"/>
            </w:tcBorders>
            <w:shd w:val="clear" w:color="000000" w:fill="FFFFFF"/>
            <w:vAlign w:val="center"/>
            <w:hideMark/>
          </w:tcPr>
          <w:p w14:paraId="4EADA5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442,000,000</w:t>
            </w:r>
          </w:p>
        </w:tc>
        <w:tc>
          <w:tcPr>
            <w:tcW w:w="196" w:type="pct"/>
            <w:tcBorders>
              <w:top w:val="nil"/>
              <w:left w:val="nil"/>
              <w:bottom w:val="single" w:sz="4" w:space="0" w:color="auto"/>
              <w:right w:val="single" w:sz="4" w:space="0" w:color="auto"/>
            </w:tcBorders>
            <w:shd w:val="clear" w:color="000000" w:fill="FFFFFF"/>
            <w:vAlign w:val="center"/>
            <w:hideMark/>
          </w:tcPr>
          <w:p w14:paraId="76AE20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13124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442,000,000</w:t>
            </w:r>
          </w:p>
        </w:tc>
        <w:tc>
          <w:tcPr>
            <w:tcW w:w="196" w:type="pct"/>
            <w:tcBorders>
              <w:top w:val="nil"/>
              <w:left w:val="nil"/>
              <w:bottom w:val="single" w:sz="4" w:space="0" w:color="auto"/>
              <w:right w:val="single" w:sz="4" w:space="0" w:color="auto"/>
            </w:tcBorders>
            <w:shd w:val="clear" w:color="000000" w:fill="FFFFFF"/>
            <w:vAlign w:val="center"/>
            <w:hideMark/>
          </w:tcPr>
          <w:p w14:paraId="254949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442,000,000</w:t>
            </w:r>
          </w:p>
        </w:tc>
        <w:tc>
          <w:tcPr>
            <w:tcW w:w="181" w:type="pct"/>
            <w:tcBorders>
              <w:top w:val="nil"/>
              <w:left w:val="nil"/>
              <w:bottom w:val="single" w:sz="4" w:space="0" w:color="auto"/>
              <w:right w:val="single" w:sz="4" w:space="0" w:color="auto"/>
            </w:tcBorders>
            <w:shd w:val="clear" w:color="000000" w:fill="FFFFFF"/>
            <w:vAlign w:val="center"/>
            <w:hideMark/>
          </w:tcPr>
          <w:p w14:paraId="079D41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6ED68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442,000,000</w:t>
            </w:r>
          </w:p>
        </w:tc>
        <w:tc>
          <w:tcPr>
            <w:tcW w:w="170" w:type="pct"/>
            <w:tcBorders>
              <w:top w:val="nil"/>
              <w:left w:val="nil"/>
              <w:bottom w:val="single" w:sz="4" w:space="0" w:color="auto"/>
              <w:right w:val="single" w:sz="4" w:space="0" w:color="auto"/>
            </w:tcBorders>
            <w:shd w:val="clear" w:color="000000" w:fill="FFFFFF"/>
            <w:vAlign w:val="center"/>
            <w:hideMark/>
          </w:tcPr>
          <w:p w14:paraId="4CBCE1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514BF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80BD9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9AF4C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521A7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0E78B4F"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26B9D86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3.2</w:t>
            </w:r>
          </w:p>
        </w:tc>
        <w:tc>
          <w:tcPr>
            <w:tcW w:w="247" w:type="pct"/>
            <w:tcBorders>
              <w:top w:val="nil"/>
              <w:left w:val="nil"/>
              <w:bottom w:val="single" w:sz="4" w:space="0" w:color="auto"/>
              <w:right w:val="single" w:sz="4" w:space="0" w:color="auto"/>
            </w:tcBorders>
            <w:shd w:val="clear" w:color="auto" w:fill="auto"/>
            <w:vAlign w:val="center"/>
            <w:hideMark/>
          </w:tcPr>
          <w:p w14:paraId="42AF0663" w14:textId="660D8CCC"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Vlerësim i plotë i fizibilitetit për hapjen e </w:t>
            </w:r>
            <w:r w:rsidR="002D5B79" w:rsidRPr="001F0C5A">
              <w:rPr>
                <w:rFonts w:ascii="Garamond" w:eastAsia="Times New Roman" w:hAnsi="Garamond" w:cs="Times New Roman"/>
                <w:b/>
                <w:bCs/>
                <w:color w:val="000000"/>
                <w:sz w:val="6"/>
                <w:szCs w:val="6"/>
                <w:lang w:val="sq-AL"/>
              </w:rPr>
              <w:t>pikave të reja të kalimit kufitar</w:t>
            </w:r>
          </w:p>
        </w:tc>
        <w:tc>
          <w:tcPr>
            <w:tcW w:w="211" w:type="pct"/>
            <w:tcBorders>
              <w:top w:val="nil"/>
              <w:left w:val="nil"/>
              <w:bottom w:val="single" w:sz="4" w:space="0" w:color="auto"/>
              <w:right w:val="single" w:sz="4" w:space="0" w:color="auto"/>
            </w:tcBorders>
            <w:shd w:val="clear" w:color="000000" w:fill="FFFFFF"/>
            <w:vAlign w:val="center"/>
            <w:hideMark/>
          </w:tcPr>
          <w:p w14:paraId="4F94D5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nil"/>
              <w:right w:val="nil"/>
            </w:tcBorders>
            <w:shd w:val="clear" w:color="000000" w:fill="FFFFFF"/>
            <w:noWrap/>
            <w:vAlign w:val="center"/>
            <w:hideMark/>
          </w:tcPr>
          <w:p w14:paraId="1BC368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single" w:sz="4" w:space="0" w:color="auto"/>
              <w:bottom w:val="single" w:sz="4" w:space="0" w:color="auto"/>
              <w:right w:val="single" w:sz="4" w:space="0" w:color="auto"/>
            </w:tcBorders>
            <w:shd w:val="clear" w:color="000000" w:fill="FFFFFF"/>
            <w:vAlign w:val="center"/>
            <w:hideMark/>
          </w:tcPr>
          <w:p w14:paraId="328838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MIE, MTM</w:t>
            </w:r>
          </w:p>
        </w:tc>
        <w:tc>
          <w:tcPr>
            <w:tcW w:w="143" w:type="pct"/>
            <w:tcBorders>
              <w:top w:val="nil"/>
              <w:left w:val="nil"/>
              <w:bottom w:val="single" w:sz="4" w:space="0" w:color="auto"/>
              <w:right w:val="single" w:sz="4" w:space="0" w:color="auto"/>
            </w:tcBorders>
            <w:shd w:val="clear" w:color="000000" w:fill="FFFFFF"/>
            <w:vAlign w:val="center"/>
            <w:hideMark/>
          </w:tcPr>
          <w:p w14:paraId="2EE0794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49A867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72486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F47BF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E9123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0F942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57027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AAC5DA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19151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EFD893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F85A9D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5D28D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99AB2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EAF91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607A01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38DE3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354EAF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6B32E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4317BE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3D5D441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DD809B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3.2.1</w:t>
            </w:r>
          </w:p>
        </w:tc>
        <w:tc>
          <w:tcPr>
            <w:tcW w:w="247" w:type="pct"/>
            <w:tcBorders>
              <w:top w:val="nil"/>
              <w:left w:val="nil"/>
              <w:bottom w:val="single" w:sz="4" w:space="0" w:color="auto"/>
              <w:right w:val="single" w:sz="4" w:space="0" w:color="auto"/>
            </w:tcBorders>
            <w:shd w:val="clear" w:color="auto" w:fill="auto"/>
            <w:vAlign w:val="center"/>
            <w:hideMark/>
          </w:tcPr>
          <w:p w14:paraId="73F8F41D"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Vlerësim për hapjen e PKK sezonale në Orikum</w:t>
            </w:r>
          </w:p>
        </w:tc>
        <w:tc>
          <w:tcPr>
            <w:tcW w:w="211" w:type="pct"/>
            <w:tcBorders>
              <w:top w:val="nil"/>
              <w:left w:val="nil"/>
              <w:bottom w:val="single" w:sz="4" w:space="0" w:color="auto"/>
              <w:right w:val="single" w:sz="4" w:space="0" w:color="auto"/>
            </w:tcBorders>
            <w:shd w:val="clear" w:color="000000" w:fill="FFFFFF"/>
            <w:vAlign w:val="center"/>
            <w:hideMark/>
          </w:tcPr>
          <w:p w14:paraId="30B9EA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91604AJ</w:t>
            </w:r>
          </w:p>
        </w:tc>
        <w:tc>
          <w:tcPr>
            <w:tcW w:w="202" w:type="pct"/>
            <w:tcBorders>
              <w:top w:val="single" w:sz="4" w:space="0" w:color="auto"/>
              <w:left w:val="nil"/>
              <w:bottom w:val="single" w:sz="4" w:space="0" w:color="auto"/>
              <w:right w:val="single" w:sz="4" w:space="0" w:color="auto"/>
            </w:tcBorders>
            <w:shd w:val="clear" w:color="000000" w:fill="FFFFFF"/>
            <w:vAlign w:val="center"/>
            <w:hideMark/>
          </w:tcPr>
          <w:p w14:paraId="67758F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402F4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MIE, MTM</w:t>
            </w:r>
          </w:p>
        </w:tc>
        <w:tc>
          <w:tcPr>
            <w:tcW w:w="143" w:type="pct"/>
            <w:tcBorders>
              <w:top w:val="nil"/>
              <w:left w:val="nil"/>
              <w:bottom w:val="single" w:sz="4" w:space="0" w:color="auto"/>
              <w:right w:val="single" w:sz="4" w:space="0" w:color="auto"/>
            </w:tcBorders>
            <w:shd w:val="clear" w:color="000000" w:fill="FFFFFF"/>
            <w:vAlign w:val="center"/>
            <w:hideMark/>
          </w:tcPr>
          <w:p w14:paraId="205DACE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4BFC66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0C2A5F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50A2E4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43238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65A938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7E2C1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12A68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2F2D1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084F0B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B6AC6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2A58BF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29BDFB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85BE6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78B1C3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6B34E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7D36E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5450C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50574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88355F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E0A0BB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3.2.2</w:t>
            </w:r>
          </w:p>
        </w:tc>
        <w:tc>
          <w:tcPr>
            <w:tcW w:w="247" w:type="pct"/>
            <w:tcBorders>
              <w:top w:val="nil"/>
              <w:left w:val="nil"/>
              <w:bottom w:val="single" w:sz="4" w:space="0" w:color="auto"/>
              <w:right w:val="single" w:sz="4" w:space="0" w:color="auto"/>
            </w:tcBorders>
            <w:shd w:val="clear" w:color="auto" w:fill="auto"/>
            <w:vAlign w:val="center"/>
            <w:hideMark/>
          </w:tcPr>
          <w:p w14:paraId="2270FBEC" w14:textId="021CD85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Vlerësim për hapjen e PKK sezonale në Porto</w:t>
            </w:r>
            <w:r w:rsidR="002D5B79">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Romano</w:t>
            </w:r>
          </w:p>
        </w:tc>
        <w:tc>
          <w:tcPr>
            <w:tcW w:w="211" w:type="pct"/>
            <w:tcBorders>
              <w:top w:val="nil"/>
              <w:left w:val="nil"/>
              <w:bottom w:val="single" w:sz="4" w:space="0" w:color="auto"/>
              <w:right w:val="single" w:sz="4" w:space="0" w:color="auto"/>
            </w:tcBorders>
            <w:shd w:val="clear" w:color="000000" w:fill="FFFFFF"/>
            <w:vAlign w:val="center"/>
            <w:hideMark/>
          </w:tcPr>
          <w:p w14:paraId="637D51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91604AJ</w:t>
            </w:r>
          </w:p>
        </w:tc>
        <w:tc>
          <w:tcPr>
            <w:tcW w:w="202" w:type="pct"/>
            <w:tcBorders>
              <w:top w:val="nil"/>
              <w:left w:val="nil"/>
              <w:bottom w:val="single" w:sz="4" w:space="0" w:color="auto"/>
              <w:right w:val="single" w:sz="4" w:space="0" w:color="auto"/>
            </w:tcBorders>
            <w:shd w:val="clear" w:color="000000" w:fill="FFFFFF"/>
            <w:vAlign w:val="center"/>
            <w:hideMark/>
          </w:tcPr>
          <w:p w14:paraId="59A48B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189424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MIE, MTM</w:t>
            </w:r>
          </w:p>
        </w:tc>
        <w:tc>
          <w:tcPr>
            <w:tcW w:w="143" w:type="pct"/>
            <w:tcBorders>
              <w:top w:val="nil"/>
              <w:left w:val="nil"/>
              <w:bottom w:val="single" w:sz="4" w:space="0" w:color="auto"/>
              <w:right w:val="single" w:sz="4" w:space="0" w:color="auto"/>
            </w:tcBorders>
            <w:shd w:val="clear" w:color="000000" w:fill="FFFFFF"/>
            <w:vAlign w:val="center"/>
            <w:hideMark/>
          </w:tcPr>
          <w:p w14:paraId="06431AE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76B44E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93FA5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29C350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4FD1E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D8060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0FADB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C128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73729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5A3FAF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844AE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5DEE5A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1C015C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B4546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70" w:type="pct"/>
            <w:tcBorders>
              <w:top w:val="nil"/>
              <w:left w:val="nil"/>
              <w:bottom w:val="single" w:sz="4" w:space="0" w:color="auto"/>
              <w:right w:val="single" w:sz="4" w:space="0" w:color="auto"/>
            </w:tcBorders>
            <w:shd w:val="clear" w:color="000000" w:fill="FFFFFF"/>
            <w:vAlign w:val="center"/>
            <w:hideMark/>
          </w:tcPr>
          <w:p w14:paraId="2BBB07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122A8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99F89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85BC9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4547E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B5232B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0184F4C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4AFB4FC" w14:textId="6D353C53"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2D5B79">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3</w:t>
            </w:r>
          </w:p>
        </w:tc>
        <w:tc>
          <w:tcPr>
            <w:tcW w:w="211" w:type="pct"/>
            <w:tcBorders>
              <w:top w:val="nil"/>
              <w:left w:val="nil"/>
              <w:bottom w:val="single" w:sz="4" w:space="0" w:color="auto"/>
              <w:right w:val="single" w:sz="4" w:space="0" w:color="auto"/>
            </w:tcBorders>
            <w:shd w:val="clear" w:color="000000" w:fill="D9D9D9"/>
            <w:vAlign w:val="center"/>
            <w:hideMark/>
          </w:tcPr>
          <w:p w14:paraId="43BF0BF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133A5D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412FD96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63B4106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0DE5D39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44F282E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378,850,000</w:t>
            </w:r>
          </w:p>
        </w:tc>
        <w:tc>
          <w:tcPr>
            <w:tcW w:w="181" w:type="pct"/>
            <w:tcBorders>
              <w:top w:val="nil"/>
              <w:left w:val="nil"/>
              <w:bottom w:val="single" w:sz="4" w:space="0" w:color="auto"/>
              <w:right w:val="single" w:sz="4" w:space="0" w:color="auto"/>
            </w:tcBorders>
            <w:shd w:val="clear" w:color="000000" w:fill="D9D9D9"/>
            <w:vAlign w:val="center"/>
            <w:hideMark/>
          </w:tcPr>
          <w:p w14:paraId="26956D6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4D91ED5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378,850,000</w:t>
            </w:r>
          </w:p>
        </w:tc>
        <w:tc>
          <w:tcPr>
            <w:tcW w:w="196" w:type="pct"/>
            <w:tcBorders>
              <w:top w:val="nil"/>
              <w:left w:val="nil"/>
              <w:bottom w:val="single" w:sz="4" w:space="0" w:color="auto"/>
              <w:right w:val="single" w:sz="4" w:space="0" w:color="auto"/>
            </w:tcBorders>
            <w:shd w:val="clear" w:color="000000" w:fill="D9D9D9"/>
            <w:vAlign w:val="center"/>
            <w:hideMark/>
          </w:tcPr>
          <w:p w14:paraId="724A166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378,000,000</w:t>
            </w:r>
          </w:p>
        </w:tc>
        <w:tc>
          <w:tcPr>
            <w:tcW w:w="196" w:type="pct"/>
            <w:tcBorders>
              <w:top w:val="nil"/>
              <w:left w:val="nil"/>
              <w:bottom w:val="single" w:sz="4" w:space="0" w:color="auto"/>
              <w:right w:val="single" w:sz="4" w:space="0" w:color="auto"/>
            </w:tcBorders>
            <w:shd w:val="clear" w:color="000000" w:fill="D9D9D9"/>
            <w:vAlign w:val="center"/>
            <w:hideMark/>
          </w:tcPr>
          <w:p w14:paraId="1F4AC01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11B9100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378,000,000</w:t>
            </w:r>
          </w:p>
        </w:tc>
        <w:tc>
          <w:tcPr>
            <w:tcW w:w="196" w:type="pct"/>
            <w:tcBorders>
              <w:top w:val="nil"/>
              <w:left w:val="nil"/>
              <w:bottom w:val="single" w:sz="4" w:space="0" w:color="auto"/>
              <w:right w:val="single" w:sz="4" w:space="0" w:color="auto"/>
            </w:tcBorders>
            <w:shd w:val="clear" w:color="000000" w:fill="D9D9D9"/>
            <w:vAlign w:val="center"/>
            <w:hideMark/>
          </w:tcPr>
          <w:p w14:paraId="03A96B5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756,850,000</w:t>
            </w:r>
          </w:p>
        </w:tc>
        <w:tc>
          <w:tcPr>
            <w:tcW w:w="196" w:type="pct"/>
            <w:tcBorders>
              <w:top w:val="nil"/>
              <w:left w:val="nil"/>
              <w:bottom w:val="single" w:sz="4" w:space="0" w:color="auto"/>
              <w:right w:val="single" w:sz="4" w:space="0" w:color="auto"/>
            </w:tcBorders>
            <w:shd w:val="clear" w:color="000000" w:fill="D9D9D9"/>
            <w:vAlign w:val="center"/>
            <w:hideMark/>
          </w:tcPr>
          <w:p w14:paraId="158786F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B5107C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756,850,000</w:t>
            </w:r>
          </w:p>
        </w:tc>
        <w:tc>
          <w:tcPr>
            <w:tcW w:w="196" w:type="pct"/>
            <w:tcBorders>
              <w:top w:val="nil"/>
              <w:left w:val="nil"/>
              <w:bottom w:val="single" w:sz="4" w:space="0" w:color="auto"/>
              <w:right w:val="single" w:sz="4" w:space="0" w:color="auto"/>
            </w:tcBorders>
            <w:shd w:val="clear" w:color="000000" w:fill="D9D9D9"/>
            <w:vAlign w:val="center"/>
            <w:hideMark/>
          </w:tcPr>
          <w:p w14:paraId="3EA3F53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756,850,000</w:t>
            </w:r>
          </w:p>
        </w:tc>
        <w:tc>
          <w:tcPr>
            <w:tcW w:w="181" w:type="pct"/>
            <w:tcBorders>
              <w:top w:val="nil"/>
              <w:left w:val="nil"/>
              <w:bottom w:val="single" w:sz="4" w:space="0" w:color="auto"/>
              <w:right w:val="single" w:sz="4" w:space="0" w:color="auto"/>
            </w:tcBorders>
            <w:shd w:val="clear" w:color="000000" w:fill="D9D9D9"/>
            <w:vAlign w:val="center"/>
            <w:hideMark/>
          </w:tcPr>
          <w:p w14:paraId="330256D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7BC9F0C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756,850,000</w:t>
            </w:r>
          </w:p>
        </w:tc>
        <w:tc>
          <w:tcPr>
            <w:tcW w:w="170" w:type="pct"/>
            <w:tcBorders>
              <w:top w:val="nil"/>
              <w:left w:val="nil"/>
              <w:bottom w:val="single" w:sz="4" w:space="0" w:color="auto"/>
              <w:right w:val="single" w:sz="4" w:space="0" w:color="auto"/>
            </w:tcBorders>
            <w:shd w:val="clear" w:color="000000" w:fill="D9D9D9"/>
            <w:vAlign w:val="center"/>
            <w:hideMark/>
          </w:tcPr>
          <w:p w14:paraId="0D272CD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32EFAAB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2F75F9D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BFD82A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2789C4D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6208026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4B708DE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4</w:t>
            </w:r>
          </w:p>
        </w:tc>
        <w:tc>
          <w:tcPr>
            <w:tcW w:w="247" w:type="pct"/>
            <w:tcBorders>
              <w:top w:val="nil"/>
              <w:left w:val="nil"/>
              <w:bottom w:val="single" w:sz="4" w:space="0" w:color="auto"/>
              <w:right w:val="single" w:sz="4" w:space="0" w:color="auto"/>
            </w:tcBorders>
            <w:shd w:val="clear" w:color="000000" w:fill="DDEBF7"/>
            <w:hideMark/>
          </w:tcPr>
          <w:p w14:paraId="3801388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4: Forcimi i kapaciteteve logjistike për zbulimin e dokumenteve të falsifikuara të udhëtimit</w:t>
            </w:r>
            <w:r w:rsidRPr="001F0C5A">
              <w:rPr>
                <w:rFonts w:ascii="Garamond" w:eastAsia="Times New Roman" w:hAnsi="Garamond" w:cs="Times New Roman"/>
                <w:b/>
                <w:bCs/>
                <w:color w:val="000000"/>
                <w:sz w:val="6"/>
                <w:szCs w:val="6"/>
                <w:lang w:val="sq-AL"/>
              </w:rPr>
              <w:br/>
            </w:r>
            <w:r w:rsidRPr="001F0C5A">
              <w:rPr>
                <w:rFonts w:ascii="Garamond" w:eastAsia="Times New Roman" w:hAnsi="Garamond" w:cs="Times New Roman"/>
                <w:b/>
                <w:bCs/>
                <w:color w:val="000000"/>
                <w:sz w:val="6"/>
                <w:szCs w:val="6"/>
                <w:lang w:val="sq-AL"/>
              </w:rPr>
              <w:br/>
              <w:t xml:space="preserve"> </w:t>
            </w:r>
          </w:p>
        </w:tc>
        <w:tc>
          <w:tcPr>
            <w:tcW w:w="211" w:type="pct"/>
            <w:tcBorders>
              <w:top w:val="nil"/>
              <w:left w:val="nil"/>
              <w:bottom w:val="single" w:sz="4" w:space="0" w:color="auto"/>
              <w:right w:val="single" w:sz="4" w:space="0" w:color="auto"/>
            </w:tcBorders>
            <w:shd w:val="clear" w:color="000000" w:fill="DDEBF7"/>
            <w:vAlign w:val="center"/>
            <w:hideMark/>
          </w:tcPr>
          <w:p w14:paraId="21E269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60211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1855EE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33B713B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117BA31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F2C03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67E83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E9A28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B0120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555EF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CD338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E22F0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D5E4C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5967C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93BFE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DADDB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1CF537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19C16A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C12FC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6F6B487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1C755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5739DE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3B9AF828"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850C896" w14:textId="77777777" w:rsidR="00D86FA8" w:rsidRPr="001F0C5A" w:rsidRDefault="00D86FA8" w:rsidP="00D86FA8">
            <w:pPr>
              <w:spacing w:after="0" w:line="240" w:lineRule="auto"/>
              <w:jc w:val="center"/>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Masa 4.1</w:t>
            </w:r>
          </w:p>
        </w:tc>
        <w:tc>
          <w:tcPr>
            <w:tcW w:w="247" w:type="pct"/>
            <w:tcBorders>
              <w:top w:val="nil"/>
              <w:left w:val="nil"/>
              <w:bottom w:val="single" w:sz="4" w:space="0" w:color="auto"/>
              <w:right w:val="single" w:sz="4" w:space="0" w:color="auto"/>
            </w:tcBorders>
            <w:shd w:val="clear" w:color="auto" w:fill="auto"/>
            <w:vAlign w:val="center"/>
            <w:hideMark/>
          </w:tcPr>
          <w:p w14:paraId="7E2C11E8" w14:textId="77777777" w:rsidR="00D86FA8" w:rsidRPr="001F0C5A" w:rsidRDefault="00D86FA8" w:rsidP="00D86FA8">
            <w:pPr>
              <w:spacing w:after="0" w:line="240" w:lineRule="auto"/>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Pajisja e Pikave të Kalimit Kufitar me pajisje speciale për ekzaminimin e dokumenteve të udhëtimit, sipas nevojës dhe analizës së riskut.</w:t>
            </w:r>
          </w:p>
        </w:tc>
        <w:tc>
          <w:tcPr>
            <w:tcW w:w="211" w:type="pct"/>
            <w:tcBorders>
              <w:top w:val="nil"/>
              <w:left w:val="nil"/>
              <w:bottom w:val="single" w:sz="4" w:space="0" w:color="auto"/>
              <w:right w:val="single" w:sz="4" w:space="0" w:color="auto"/>
            </w:tcBorders>
            <w:shd w:val="clear" w:color="000000" w:fill="FFFFFF"/>
            <w:vAlign w:val="center"/>
            <w:hideMark/>
          </w:tcPr>
          <w:p w14:paraId="7BB7F54D"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Nuk ka marre akoma kod pasi eshte projekt i ri</w:t>
            </w:r>
          </w:p>
        </w:tc>
        <w:tc>
          <w:tcPr>
            <w:tcW w:w="202" w:type="pct"/>
            <w:tcBorders>
              <w:top w:val="nil"/>
              <w:left w:val="nil"/>
              <w:bottom w:val="single" w:sz="4" w:space="0" w:color="auto"/>
              <w:right w:val="single" w:sz="4" w:space="0" w:color="auto"/>
            </w:tcBorders>
            <w:shd w:val="clear" w:color="000000" w:fill="FFFFFF"/>
            <w:vAlign w:val="center"/>
            <w:hideMark/>
          </w:tcPr>
          <w:p w14:paraId="5B4A8D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61A8B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5365810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8134B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1732E7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6FA02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17,050,000</w:t>
            </w:r>
          </w:p>
        </w:tc>
        <w:tc>
          <w:tcPr>
            <w:tcW w:w="196" w:type="pct"/>
            <w:tcBorders>
              <w:top w:val="nil"/>
              <w:left w:val="nil"/>
              <w:bottom w:val="single" w:sz="4" w:space="0" w:color="auto"/>
              <w:right w:val="single" w:sz="4" w:space="0" w:color="auto"/>
            </w:tcBorders>
            <w:shd w:val="clear" w:color="000000" w:fill="FFFFFF"/>
            <w:vAlign w:val="center"/>
            <w:hideMark/>
          </w:tcPr>
          <w:p w14:paraId="103B76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17,050,000</w:t>
            </w:r>
          </w:p>
        </w:tc>
        <w:tc>
          <w:tcPr>
            <w:tcW w:w="196" w:type="pct"/>
            <w:tcBorders>
              <w:top w:val="nil"/>
              <w:left w:val="nil"/>
              <w:bottom w:val="single" w:sz="4" w:space="0" w:color="auto"/>
              <w:right w:val="single" w:sz="4" w:space="0" w:color="auto"/>
            </w:tcBorders>
            <w:shd w:val="clear" w:color="000000" w:fill="FFFFFF"/>
            <w:vAlign w:val="center"/>
            <w:hideMark/>
          </w:tcPr>
          <w:p w14:paraId="544C25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83812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15,750,000</w:t>
            </w:r>
          </w:p>
        </w:tc>
        <w:tc>
          <w:tcPr>
            <w:tcW w:w="196" w:type="pct"/>
            <w:tcBorders>
              <w:top w:val="nil"/>
              <w:left w:val="nil"/>
              <w:bottom w:val="single" w:sz="4" w:space="0" w:color="auto"/>
              <w:right w:val="single" w:sz="4" w:space="0" w:color="auto"/>
            </w:tcBorders>
            <w:shd w:val="clear" w:color="000000" w:fill="FFFFFF"/>
            <w:vAlign w:val="center"/>
            <w:hideMark/>
          </w:tcPr>
          <w:p w14:paraId="6A3D44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15,750,000</w:t>
            </w:r>
          </w:p>
        </w:tc>
        <w:tc>
          <w:tcPr>
            <w:tcW w:w="196" w:type="pct"/>
            <w:tcBorders>
              <w:top w:val="nil"/>
              <w:left w:val="nil"/>
              <w:bottom w:val="single" w:sz="4" w:space="0" w:color="auto"/>
              <w:right w:val="single" w:sz="4" w:space="0" w:color="auto"/>
            </w:tcBorders>
            <w:shd w:val="clear" w:color="000000" w:fill="FFFFFF"/>
            <w:vAlign w:val="center"/>
            <w:hideMark/>
          </w:tcPr>
          <w:p w14:paraId="4B839F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39BB5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32,800,000</w:t>
            </w:r>
          </w:p>
        </w:tc>
        <w:tc>
          <w:tcPr>
            <w:tcW w:w="196" w:type="pct"/>
            <w:tcBorders>
              <w:top w:val="nil"/>
              <w:left w:val="nil"/>
              <w:bottom w:val="single" w:sz="4" w:space="0" w:color="auto"/>
              <w:right w:val="single" w:sz="4" w:space="0" w:color="auto"/>
            </w:tcBorders>
            <w:shd w:val="clear" w:color="000000" w:fill="FFFFFF"/>
            <w:vAlign w:val="center"/>
            <w:hideMark/>
          </w:tcPr>
          <w:p w14:paraId="579828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32,800,000</w:t>
            </w:r>
          </w:p>
        </w:tc>
        <w:tc>
          <w:tcPr>
            <w:tcW w:w="196" w:type="pct"/>
            <w:tcBorders>
              <w:top w:val="nil"/>
              <w:left w:val="nil"/>
              <w:bottom w:val="single" w:sz="4" w:space="0" w:color="auto"/>
              <w:right w:val="single" w:sz="4" w:space="0" w:color="auto"/>
            </w:tcBorders>
            <w:shd w:val="clear" w:color="000000" w:fill="FFFFFF"/>
            <w:vAlign w:val="center"/>
            <w:hideMark/>
          </w:tcPr>
          <w:p w14:paraId="034414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5C692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32,800,000</w:t>
            </w:r>
          </w:p>
        </w:tc>
        <w:tc>
          <w:tcPr>
            <w:tcW w:w="196" w:type="pct"/>
            <w:tcBorders>
              <w:top w:val="nil"/>
              <w:left w:val="nil"/>
              <w:bottom w:val="single" w:sz="4" w:space="0" w:color="auto"/>
              <w:right w:val="single" w:sz="4" w:space="0" w:color="auto"/>
            </w:tcBorders>
            <w:shd w:val="clear" w:color="000000" w:fill="FFFFFF"/>
            <w:vAlign w:val="center"/>
            <w:hideMark/>
          </w:tcPr>
          <w:p w14:paraId="0E018D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32,800,000</w:t>
            </w:r>
          </w:p>
        </w:tc>
        <w:tc>
          <w:tcPr>
            <w:tcW w:w="170" w:type="pct"/>
            <w:tcBorders>
              <w:top w:val="nil"/>
              <w:left w:val="nil"/>
              <w:bottom w:val="single" w:sz="4" w:space="0" w:color="auto"/>
              <w:right w:val="single" w:sz="4" w:space="0" w:color="auto"/>
            </w:tcBorders>
            <w:shd w:val="clear" w:color="000000" w:fill="FFFFFF"/>
            <w:vAlign w:val="center"/>
            <w:hideMark/>
          </w:tcPr>
          <w:p w14:paraId="6C9CD6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7D96A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AE06E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F0DA3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9534C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AD24BCE"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32EDC4A" w14:textId="77777777" w:rsidR="00D86FA8" w:rsidRPr="001F0C5A" w:rsidRDefault="00D86FA8" w:rsidP="00D86FA8">
            <w:pPr>
              <w:spacing w:after="0" w:line="240" w:lineRule="auto"/>
              <w:jc w:val="center"/>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Masa 4.2</w:t>
            </w:r>
          </w:p>
        </w:tc>
        <w:tc>
          <w:tcPr>
            <w:tcW w:w="247" w:type="pct"/>
            <w:tcBorders>
              <w:top w:val="nil"/>
              <w:left w:val="nil"/>
              <w:bottom w:val="single" w:sz="4" w:space="0" w:color="auto"/>
              <w:right w:val="single" w:sz="4" w:space="0" w:color="auto"/>
            </w:tcBorders>
            <w:shd w:val="clear" w:color="auto" w:fill="auto"/>
            <w:vAlign w:val="center"/>
            <w:hideMark/>
          </w:tcPr>
          <w:p w14:paraId="77C5E0D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Sigurimi i aksesit në bankën e të dhënave të dokumenteve të udhëtimit PRADO</w:t>
            </w:r>
          </w:p>
        </w:tc>
        <w:tc>
          <w:tcPr>
            <w:tcW w:w="211" w:type="pct"/>
            <w:tcBorders>
              <w:top w:val="nil"/>
              <w:left w:val="nil"/>
              <w:bottom w:val="single" w:sz="4" w:space="0" w:color="auto"/>
              <w:right w:val="single" w:sz="4" w:space="0" w:color="auto"/>
            </w:tcBorders>
            <w:shd w:val="clear" w:color="000000" w:fill="FFFFFF"/>
            <w:vAlign w:val="center"/>
            <w:hideMark/>
          </w:tcPr>
          <w:p w14:paraId="7D4F8F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704B2F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0F5E2E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Donatorë/ MB</w:t>
            </w:r>
          </w:p>
        </w:tc>
        <w:tc>
          <w:tcPr>
            <w:tcW w:w="143" w:type="pct"/>
            <w:tcBorders>
              <w:top w:val="nil"/>
              <w:left w:val="nil"/>
              <w:bottom w:val="single" w:sz="4" w:space="0" w:color="auto"/>
              <w:right w:val="single" w:sz="4" w:space="0" w:color="auto"/>
            </w:tcBorders>
            <w:shd w:val="clear" w:color="000000" w:fill="FFFFFF"/>
            <w:vAlign w:val="center"/>
            <w:hideMark/>
          </w:tcPr>
          <w:p w14:paraId="2B237F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BED221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341C0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C79F0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D18E6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F3F91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4AFDF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4A2E7C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747418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4EB4E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7238DB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0A4A20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8CEE9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14E5B8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70" w:type="pct"/>
            <w:tcBorders>
              <w:top w:val="nil"/>
              <w:left w:val="nil"/>
              <w:bottom w:val="single" w:sz="4" w:space="0" w:color="auto"/>
              <w:right w:val="single" w:sz="4" w:space="0" w:color="auto"/>
            </w:tcBorders>
            <w:shd w:val="clear" w:color="000000" w:fill="FFFFFF"/>
            <w:vAlign w:val="center"/>
            <w:hideMark/>
          </w:tcPr>
          <w:p w14:paraId="4BEC9F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FA9E2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36D2C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E6360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574BF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60E9C4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70B3283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241B25CB" w14:textId="368BDB31"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2D5B79">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4</w:t>
            </w:r>
          </w:p>
        </w:tc>
        <w:tc>
          <w:tcPr>
            <w:tcW w:w="211" w:type="pct"/>
            <w:tcBorders>
              <w:top w:val="nil"/>
              <w:left w:val="nil"/>
              <w:bottom w:val="single" w:sz="4" w:space="0" w:color="auto"/>
              <w:right w:val="single" w:sz="4" w:space="0" w:color="auto"/>
            </w:tcBorders>
            <w:shd w:val="clear" w:color="000000" w:fill="D9D9D9"/>
            <w:vAlign w:val="center"/>
            <w:hideMark/>
          </w:tcPr>
          <w:p w14:paraId="4085A5C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6236872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60EAFF2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324ACF1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7AF8468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21B59AD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4F019A7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17,050,000</w:t>
            </w:r>
          </w:p>
        </w:tc>
        <w:tc>
          <w:tcPr>
            <w:tcW w:w="196" w:type="pct"/>
            <w:tcBorders>
              <w:top w:val="nil"/>
              <w:left w:val="nil"/>
              <w:bottom w:val="single" w:sz="4" w:space="0" w:color="auto"/>
              <w:right w:val="single" w:sz="4" w:space="0" w:color="auto"/>
            </w:tcBorders>
            <w:shd w:val="clear" w:color="000000" w:fill="D9D9D9"/>
            <w:vAlign w:val="center"/>
            <w:hideMark/>
          </w:tcPr>
          <w:p w14:paraId="0B8EE2A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17,050,000</w:t>
            </w:r>
          </w:p>
        </w:tc>
        <w:tc>
          <w:tcPr>
            <w:tcW w:w="196" w:type="pct"/>
            <w:tcBorders>
              <w:top w:val="nil"/>
              <w:left w:val="nil"/>
              <w:bottom w:val="single" w:sz="4" w:space="0" w:color="auto"/>
              <w:right w:val="single" w:sz="4" w:space="0" w:color="auto"/>
            </w:tcBorders>
            <w:shd w:val="clear" w:color="000000" w:fill="D9D9D9"/>
            <w:vAlign w:val="center"/>
            <w:hideMark/>
          </w:tcPr>
          <w:p w14:paraId="039AE9D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690941D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75,750,000</w:t>
            </w:r>
          </w:p>
        </w:tc>
        <w:tc>
          <w:tcPr>
            <w:tcW w:w="196" w:type="pct"/>
            <w:tcBorders>
              <w:top w:val="nil"/>
              <w:left w:val="nil"/>
              <w:bottom w:val="single" w:sz="4" w:space="0" w:color="auto"/>
              <w:right w:val="single" w:sz="4" w:space="0" w:color="auto"/>
            </w:tcBorders>
            <w:shd w:val="clear" w:color="000000" w:fill="D9D9D9"/>
            <w:vAlign w:val="center"/>
            <w:hideMark/>
          </w:tcPr>
          <w:p w14:paraId="232F5DB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75,750,000</w:t>
            </w:r>
          </w:p>
        </w:tc>
        <w:tc>
          <w:tcPr>
            <w:tcW w:w="196" w:type="pct"/>
            <w:tcBorders>
              <w:top w:val="nil"/>
              <w:left w:val="nil"/>
              <w:bottom w:val="single" w:sz="4" w:space="0" w:color="auto"/>
              <w:right w:val="single" w:sz="4" w:space="0" w:color="auto"/>
            </w:tcBorders>
            <w:shd w:val="clear" w:color="000000" w:fill="D9D9D9"/>
            <w:vAlign w:val="center"/>
            <w:hideMark/>
          </w:tcPr>
          <w:p w14:paraId="6B2B57C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78D3316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92,800,000</w:t>
            </w:r>
          </w:p>
        </w:tc>
        <w:tc>
          <w:tcPr>
            <w:tcW w:w="196" w:type="pct"/>
            <w:tcBorders>
              <w:top w:val="nil"/>
              <w:left w:val="nil"/>
              <w:bottom w:val="single" w:sz="4" w:space="0" w:color="auto"/>
              <w:right w:val="single" w:sz="4" w:space="0" w:color="auto"/>
            </w:tcBorders>
            <w:shd w:val="clear" w:color="000000" w:fill="D9D9D9"/>
            <w:vAlign w:val="center"/>
            <w:hideMark/>
          </w:tcPr>
          <w:p w14:paraId="591B1A9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92,800,000</w:t>
            </w:r>
          </w:p>
        </w:tc>
        <w:tc>
          <w:tcPr>
            <w:tcW w:w="196" w:type="pct"/>
            <w:tcBorders>
              <w:top w:val="nil"/>
              <w:left w:val="nil"/>
              <w:bottom w:val="single" w:sz="4" w:space="0" w:color="auto"/>
              <w:right w:val="single" w:sz="4" w:space="0" w:color="auto"/>
            </w:tcBorders>
            <w:shd w:val="clear" w:color="000000" w:fill="D9D9D9"/>
            <w:vAlign w:val="center"/>
            <w:hideMark/>
          </w:tcPr>
          <w:p w14:paraId="7FD86C3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2CBC9E3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92,800,000</w:t>
            </w:r>
          </w:p>
        </w:tc>
        <w:tc>
          <w:tcPr>
            <w:tcW w:w="196" w:type="pct"/>
            <w:tcBorders>
              <w:top w:val="nil"/>
              <w:left w:val="nil"/>
              <w:bottom w:val="single" w:sz="4" w:space="0" w:color="auto"/>
              <w:right w:val="single" w:sz="4" w:space="0" w:color="auto"/>
            </w:tcBorders>
            <w:shd w:val="clear" w:color="000000" w:fill="D9D9D9"/>
            <w:vAlign w:val="center"/>
            <w:hideMark/>
          </w:tcPr>
          <w:p w14:paraId="5B0ED08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92,800,000</w:t>
            </w:r>
          </w:p>
        </w:tc>
        <w:tc>
          <w:tcPr>
            <w:tcW w:w="170" w:type="pct"/>
            <w:tcBorders>
              <w:top w:val="nil"/>
              <w:left w:val="nil"/>
              <w:bottom w:val="single" w:sz="4" w:space="0" w:color="auto"/>
              <w:right w:val="single" w:sz="4" w:space="0" w:color="auto"/>
            </w:tcBorders>
            <w:shd w:val="clear" w:color="000000" w:fill="D9D9D9"/>
            <w:vAlign w:val="center"/>
            <w:hideMark/>
          </w:tcPr>
          <w:p w14:paraId="6263242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1070080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34F1A08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34A94C8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5DE9312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1365BDEC"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098E08B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5</w:t>
            </w:r>
          </w:p>
        </w:tc>
        <w:tc>
          <w:tcPr>
            <w:tcW w:w="247" w:type="pct"/>
            <w:tcBorders>
              <w:top w:val="nil"/>
              <w:left w:val="nil"/>
              <w:bottom w:val="single" w:sz="4" w:space="0" w:color="auto"/>
              <w:right w:val="single" w:sz="4" w:space="0" w:color="auto"/>
            </w:tcBorders>
            <w:shd w:val="clear" w:color="000000" w:fill="DDEBF7"/>
            <w:hideMark/>
          </w:tcPr>
          <w:p w14:paraId="28F2164D" w14:textId="531557DF"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5: Forcimi i kapaciteteve profesionale të rojeve kufitare që shërbejnë n</w:t>
            </w:r>
            <w:r w:rsidR="00D94DB0">
              <w:rPr>
                <w:rFonts w:ascii="Garamond" w:eastAsia="Times New Roman" w:hAnsi="Garamond" w:cs="Times New Roman"/>
                <w:b/>
                <w:bCs/>
                <w:color w:val="000000"/>
                <w:sz w:val="6"/>
                <w:szCs w:val="6"/>
                <w:lang w:val="sq-AL"/>
              </w:rPr>
              <w:t>ë</w:t>
            </w:r>
            <w:r w:rsidRPr="001F0C5A">
              <w:rPr>
                <w:rFonts w:ascii="Garamond" w:eastAsia="Times New Roman" w:hAnsi="Garamond" w:cs="Times New Roman"/>
                <w:b/>
                <w:bCs/>
                <w:color w:val="000000"/>
                <w:sz w:val="6"/>
                <w:szCs w:val="6"/>
                <w:lang w:val="sq-AL"/>
              </w:rPr>
              <w:t xml:space="preserve"> </w:t>
            </w:r>
            <w:r w:rsidR="002D5B79" w:rsidRPr="001F0C5A">
              <w:rPr>
                <w:rFonts w:ascii="Garamond" w:eastAsia="Times New Roman" w:hAnsi="Garamond" w:cs="Times New Roman"/>
                <w:b/>
                <w:bCs/>
                <w:color w:val="000000"/>
                <w:sz w:val="6"/>
                <w:szCs w:val="6"/>
                <w:lang w:val="sq-AL"/>
              </w:rPr>
              <w:t xml:space="preserve">pikat e kalimit kufitare </w:t>
            </w:r>
            <w:r w:rsidRPr="001F0C5A">
              <w:rPr>
                <w:rFonts w:ascii="Garamond" w:eastAsia="Times New Roman" w:hAnsi="Garamond" w:cs="Times New Roman"/>
                <w:b/>
                <w:bCs/>
                <w:color w:val="000000"/>
                <w:sz w:val="6"/>
                <w:szCs w:val="6"/>
                <w:lang w:val="sq-AL"/>
              </w:rPr>
              <w:t>për identifikimin e dokumenteve të udhëtimit</w:t>
            </w:r>
            <w:r w:rsidRPr="001F0C5A">
              <w:rPr>
                <w:rFonts w:ascii="Garamond" w:eastAsia="Times New Roman" w:hAnsi="Garamond" w:cs="Times New Roman"/>
                <w:b/>
                <w:bCs/>
                <w:color w:val="000000"/>
                <w:sz w:val="6"/>
                <w:szCs w:val="6"/>
                <w:lang w:val="sq-AL"/>
              </w:rPr>
              <w:br/>
            </w:r>
            <w:r w:rsidRPr="001F0C5A">
              <w:rPr>
                <w:rFonts w:ascii="Garamond" w:eastAsia="Times New Roman" w:hAnsi="Garamond" w:cs="Times New Roman"/>
                <w:b/>
                <w:bCs/>
                <w:color w:val="000000"/>
                <w:sz w:val="6"/>
                <w:szCs w:val="6"/>
                <w:lang w:val="sq-AL"/>
              </w:rPr>
              <w:br/>
              <w:t xml:space="preserve"> </w:t>
            </w:r>
          </w:p>
        </w:tc>
        <w:tc>
          <w:tcPr>
            <w:tcW w:w="211" w:type="pct"/>
            <w:tcBorders>
              <w:top w:val="nil"/>
              <w:left w:val="nil"/>
              <w:bottom w:val="single" w:sz="4" w:space="0" w:color="auto"/>
              <w:right w:val="single" w:sz="4" w:space="0" w:color="auto"/>
            </w:tcBorders>
            <w:shd w:val="clear" w:color="000000" w:fill="DDEBF7"/>
            <w:vAlign w:val="center"/>
            <w:hideMark/>
          </w:tcPr>
          <w:p w14:paraId="6A4E41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572312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779326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634ABC0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451D355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C93EC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1DDFB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C1784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D3A59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299CE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18FA9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F6B03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77969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7CB89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66B70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2BC53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DE5FD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4B32C2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54DFF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4C5440D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74950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32AF8A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0B00E519"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133B72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5.1</w:t>
            </w:r>
          </w:p>
        </w:tc>
        <w:tc>
          <w:tcPr>
            <w:tcW w:w="247" w:type="pct"/>
            <w:tcBorders>
              <w:top w:val="nil"/>
              <w:left w:val="nil"/>
              <w:bottom w:val="single" w:sz="4" w:space="0" w:color="auto"/>
              <w:right w:val="single" w:sz="4" w:space="0" w:color="auto"/>
            </w:tcBorders>
            <w:shd w:val="clear" w:color="auto" w:fill="auto"/>
            <w:vAlign w:val="center"/>
            <w:hideMark/>
          </w:tcPr>
          <w:p w14:paraId="7805A09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Zhvillimi i trajnimeve të avancuara për sigurinë e dokumenteve të udhëtimit, për punonjësit e policisë së vijës së dytë të kontrollit kufitar</w:t>
            </w:r>
          </w:p>
        </w:tc>
        <w:tc>
          <w:tcPr>
            <w:tcW w:w="211" w:type="pct"/>
            <w:tcBorders>
              <w:top w:val="nil"/>
              <w:left w:val="nil"/>
              <w:bottom w:val="single" w:sz="4" w:space="0" w:color="auto"/>
              <w:right w:val="single" w:sz="4" w:space="0" w:color="auto"/>
            </w:tcBorders>
            <w:shd w:val="clear" w:color="000000" w:fill="FFFFFF"/>
            <w:vAlign w:val="center"/>
            <w:hideMark/>
          </w:tcPr>
          <w:p w14:paraId="0AEEA9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00F336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0D7890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FRONTEX</w:t>
            </w:r>
          </w:p>
        </w:tc>
        <w:tc>
          <w:tcPr>
            <w:tcW w:w="143" w:type="pct"/>
            <w:tcBorders>
              <w:top w:val="nil"/>
              <w:left w:val="nil"/>
              <w:bottom w:val="single" w:sz="4" w:space="0" w:color="auto"/>
              <w:right w:val="single" w:sz="4" w:space="0" w:color="auto"/>
            </w:tcBorders>
            <w:shd w:val="clear" w:color="000000" w:fill="FFFFFF"/>
            <w:vAlign w:val="center"/>
            <w:hideMark/>
          </w:tcPr>
          <w:p w14:paraId="655249D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2021</w:t>
            </w:r>
          </w:p>
        </w:tc>
        <w:tc>
          <w:tcPr>
            <w:tcW w:w="163" w:type="pct"/>
            <w:tcBorders>
              <w:top w:val="nil"/>
              <w:left w:val="nil"/>
              <w:bottom w:val="single" w:sz="4" w:space="0" w:color="auto"/>
              <w:right w:val="single" w:sz="4" w:space="0" w:color="auto"/>
            </w:tcBorders>
            <w:shd w:val="clear" w:color="000000" w:fill="FFFFFF"/>
            <w:vAlign w:val="center"/>
            <w:hideMark/>
          </w:tcPr>
          <w:p w14:paraId="20E75CB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6DBA8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3CCB0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EAD73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F3DA6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B33CB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D16AC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9DE2D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B8320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07CC2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D3731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97BB5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9EA8A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55DEB3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B9C067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0BAFD0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2CE5D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71E576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7BC3A58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C61B1A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5.1.1</w:t>
            </w:r>
          </w:p>
        </w:tc>
        <w:tc>
          <w:tcPr>
            <w:tcW w:w="247" w:type="pct"/>
            <w:tcBorders>
              <w:top w:val="nil"/>
              <w:left w:val="nil"/>
              <w:bottom w:val="single" w:sz="4" w:space="0" w:color="auto"/>
              <w:right w:val="single" w:sz="4" w:space="0" w:color="auto"/>
            </w:tcBorders>
            <w:shd w:val="clear" w:color="auto" w:fill="auto"/>
            <w:vAlign w:val="center"/>
            <w:hideMark/>
          </w:tcPr>
          <w:p w14:paraId="0AE8DE50" w14:textId="3984D69B"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Shkëmbimi i eksperiencës në fushën e sigurisë së dokumenteve të udhëtimit në nivel bilateral dhe në kuadër të operacioneve të koordinuara nga Agjencia </w:t>
            </w:r>
            <w:r w:rsidR="002D5B79" w:rsidRPr="001F0C5A">
              <w:rPr>
                <w:rFonts w:ascii="Garamond" w:eastAsia="Times New Roman" w:hAnsi="Garamond" w:cs="Times New Roman"/>
                <w:color w:val="000000"/>
                <w:sz w:val="6"/>
                <w:szCs w:val="6"/>
                <w:lang w:val="sq-AL"/>
              </w:rPr>
              <w:t>Evropiane</w:t>
            </w:r>
            <w:r w:rsidRPr="001F0C5A">
              <w:rPr>
                <w:rFonts w:ascii="Garamond" w:eastAsia="Times New Roman" w:hAnsi="Garamond" w:cs="Times New Roman"/>
                <w:color w:val="000000"/>
                <w:sz w:val="6"/>
                <w:szCs w:val="6"/>
                <w:lang w:val="sq-AL"/>
              </w:rPr>
              <w:t xml:space="preserve"> e Roj</w:t>
            </w:r>
            <w:r w:rsidR="002D5B79">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s Kufitare dhe Bregdetare</w:t>
            </w:r>
          </w:p>
        </w:tc>
        <w:tc>
          <w:tcPr>
            <w:tcW w:w="211" w:type="pct"/>
            <w:tcBorders>
              <w:top w:val="nil"/>
              <w:left w:val="nil"/>
              <w:bottom w:val="single" w:sz="4" w:space="0" w:color="auto"/>
              <w:right w:val="single" w:sz="4" w:space="0" w:color="auto"/>
            </w:tcBorders>
            <w:shd w:val="clear" w:color="000000" w:fill="FFFFFF"/>
            <w:vAlign w:val="center"/>
            <w:hideMark/>
          </w:tcPr>
          <w:p w14:paraId="22A54E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91604AJ</w:t>
            </w:r>
          </w:p>
        </w:tc>
        <w:tc>
          <w:tcPr>
            <w:tcW w:w="202" w:type="pct"/>
            <w:tcBorders>
              <w:top w:val="nil"/>
              <w:left w:val="nil"/>
              <w:bottom w:val="single" w:sz="4" w:space="0" w:color="auto"/>
              <w:right w:val="single" w:sz="4" w:space="0" w:color="auto"/>
            </w:tcBorders>
            <w:shd w:val="clear" w:color="000000" w:fill="FFFFFF"/>
            <w:vAlign w:val="center"/>
            <w:hideMark/>
          </w:tcPr>
          <w:p w14:paraId="3AC50B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345788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FRONTEX</w:t>
            </w:r>
          </w:p>
        </w:tc>
        <w:tc>
          <w:tcPr>
            <w:tcW w:w="143" w:type="pct"/>
            <w:tcBorders>
              <w:top w:val="nil"/>
              <w:left w:val="nil"/>
              <w:bottom w:val="single" w:sz="4" w:space="0" w:color="auto"/>
              <w:right w:val="single" w:sz="4" w:space="0" w:color="auto"/>
            </w:tcBorders>
            <w:shd w:val="clear" w:color="000000" w:fill="FFFFFF"/>
            <w:vAlign w:val="center"/>
            <w:hideMark/>
          </w:tcPr>
          <w:p w14:paraId="1D2886C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2021</w:t>
            </w:r>
          </w:p>
        </w:tc>
        <w:tc>
          <w:tcPr>
            <w:tcW w:w="163" w:type="pct"/>
            <w:tcBorders>
              <w:top w:val="nil"/>
              <w:left w:val="nil"/>
              <w:bottom w:val="single" w:sz="4" w:space="0" w:color="auto"/>
              <w:right w:val="single" w:sz="4" w:space="0" w:color="auto"/>
            </w:tcBorders>
            <w:shd w:val="clear" w:color="000000" w:fill="FFFFFF"/>
            <w:vAlign w:val="center"/>
            <w:hideMark/>
          </w:tcPr>
          <w:p w14:paraId="36C84E4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D6EB6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5B630B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1B742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6E8D7A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44A6DB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4603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290F1F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444513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9084A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3E2364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6ED123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83CBD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7D48E4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081CC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E98DE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99725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68A1E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1EF0A1B"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BB1E16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lastRenderedPageBreak/>
              <w:t>5.1.2</w:t>
            </w:r>
          </w:p>
        </w:tc>
        <w:tc>
          <w:tcPr>
            <w:tcW w:w="247" w:type="pct"/>
            <w:tcBorders>
              <w:top w:val="nil"/>
              <w:left w:val="nil"/>
              <w:bottom w:val="single" w:sz="4" w:space="0" w:color="auto"/>
              <w:right w:val="single" w:sz="4" w:space="0" w:color="auto"/>
            </w:tcBorders>
            <w:shd w:val="clear" w:color="auto" w:fill="auto"/>
            <w:vAlign w:val="center"/>
            <w:hideMark/>
          </w:tcPr>
          <w:p w14:paraId="12209FC2"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Përgatitja dhe shkëmbimi në strukturat vendore të materialeve analitike, të rasteve të evidentuara të falsifikimit të dokumenteve të udhëtimit.</w:t>
            </w:r>
          </w:p>
        </w:tc>
        <w:tc>
          <w:tcPr>
            <w:tcW w:w="211" w:type="pct"/>
            <w:tcBorders>
              <w:top w:val="nil"/>
              <w:left w:val="nil"/>
              <w:bottom w:val="single" w:sz="4" w:space="0" w:color="auto"/>
              <w:right w:val="single" w:sz="4" w:space="0" w:color="auto"/>
            </w:tcBorders>
            <w:shd w:val="clear" w:color="000000" w:fill="FFFFFF"/>
            <w:vAlign w:val="center"/>
            <w:hideMark/>
          </w:tcPr>
          <w:p w14:paraId="089D94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205956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1E4F55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MB/DPGJC</w:t>
            </w:r>
          </w:p>
        </w:tc>
        <w:tc>
          <w:tcPr>
            <w:tcW w:w="143" w:type="pct"/>
            <w:tcBorders>
              <w:top w:val="nil"/>
              <w:left w:val="nil"/>
              <w:bottom w:val="single" w:sz="4" w:space="0" w:color="auto"/>
              <w:right w:val="single" w:sz="4" w:space="0" w:color="auto"/>
            </w:tcBorders>
            <w:shd w:val="clear" w:color="000000" w:fill="FFFFFF"/>
            <w:vAlign w:val="center"/>
            <w:hideMark/>
          </w:tcPr>
          <w:p w14:paraId="649017C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2021</w:t>
            </w:r>
          </w:p>
        </w:tc>
        <w:tc>
          <w:tcPr>
            <w:tcW w:w="163" w:type="pct"/>
            <w:tcBorders>
              <w:top w:val="nil"/>
              <w:left w:val="nil"/>
              <w:bottom w:val="single" w:sz="4" w:space="0" w:color="auto"/>
              <w:right w:val="single" w:sz="4" w:space="0" w:color="auto"/>
            </w:tcBorders>
            <w:shd w:val="clear" w:color="000000" w:fill="FFFFFF"/>
            <w:vAlign w:val="center"/>
            <w:hideMark/>
          </w:tcPr>
          <w:p w14:paraId="06EDB01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78971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1ED000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C9D68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2DBEE8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0FEBE1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736F6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42A976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7A3F22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32B24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091D82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4C2C2B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5908D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259A04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0BB77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2F291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EBD61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25B41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DAC837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4A636AA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2FF6606" w14:textId="14F0EC55"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5</w:t>
            </w:r>
          </w:p>
        </w:tc>
        <w:tc>
          <w:tcPr>
            <w:tcW w:w="211" w:type="pct"/>
            <w:tcBorders>
              <w:top w:val="nil"/>
              <w:left w:val="nil"/>
              <w:bottom w:val="single" w:sz="4" w:space="0" w:color="auto"/>
              <w:right w:val="single" w:sz="4" w:space="0" w:color="auto"/>
            </w:tcBorders>
            <w:shd w:val="clear" w:color="000000" w:fill="D9D9D9"/>
            <w:vAlign w:val="center"/>
            <w:hideMark/>
          </w:tcPr>
          <w:p w14:paraId="7AF9D2D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5D195F3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316678F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433AF66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480C2F2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167AB60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w:t>
            </w:r>
          </w:p>
        </w:tc>
        <w:tc>
          <w:tcPr>
            <w:tcW w:w="181" w:type="pct"/>
            <w:tcBorders>
              <w:top w:val="nil"/>
              <w:left w:val="nil"/>
              <w:bottom w:val="single" w:sz="4" w:space="0" w:color="auto"/>
              <w:right w:val="single" w:sz="4" w:space="0" w:color="auto"/>
            </w:tcBorders>
            <w:shd w:val="clear" w:color="000000" w:fill="D9D9D9"/>
            <w:vAlign w:val="center"/>
            <w:hideMark/>
          </w:tcPr>
          <w:p w14:paraId="7CA6EF5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B395FB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w:t>
            </w:r>
          </w:p>
        </w:tc>
        <w:tc>
          <w:tcPr>
            <w:tcW w:w="196" w:type="pct"/>
            <w:tcBorders>
              <w:top w:val="nil"/>
              <w:left w:val="nil"/>
              <w:bottom w:val="single" w:sz="4" w:space="0" w:color="auto"/>
              <w:right w:val="single" w:sz="4" w:space="0" w:color="auto"/>
            </w:tcBorders>
            <w:shd w:val="clear" w:color="000000" w:fill="D9D9D9"/>
            <w:vAlign w:val="center"/>
            <w:hideMark/>
          </w:tcPr>
          <w:p w14:paraId="5319811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w:t>
            </w:r>
          </w:p>
        </w:tc>
        <w:tc>
          <w:tcPr>
            <w:tcW w:w="196" w:type="pct"/>
            <w:tcBorders>
              <w:top w:val="nil"/>
              <w:left w:val="nil"/>
              <w:bottom w:val="single" w:sz="4" w:space="0" w:color="auto"/>
              <w:right w:val="single" w:sz="4" w:space="0" w:color="auto"/>
            </w:tcBorders>
            <w:shd w:val="clear" w:color="000000" w:fill="D9D9D9"/>
            <w:vAlign w:val="center"/>
            <w:hideMark/>
          </w:tcPr>
          <w:p w14:paraId="147A1D2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BBC69A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w:t>
            </w:r>
          </w:p>
        </w:tc>
        <w:tc>
          <w:tcPr>
            <w:tcW w:w="196" w:type="pct"/>
            <w:tcBorders>
              <w:top w:val="nil"/>
              <w:left w:val="nil"/>
              <w:bottom w:val="single" w:sz="4" w:space="0" w:color="auto"/>
              <w:right w:val="single" w:sz="4" w:space="0" w:color="auto"/>
            </w:tcBorders>
            <w:shd w:val="clear" w:color="000000" w:fill="D9D9D9"/>
            <w:vAlign w:val="center"/>
            <w:hideMark/>
          </w:tcPr>
          <w:p w14:paraId="762E36B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800,000</w:t>
            </w:r>
          </w:p>
        </w:tc>
        <w:tc>
          <w:tcPr>
            <w:tcW w:w="196" w:type="pct"/>
            <w:tcBorders>
              <w:top w:val="nil"/>
              <w:left w:val="nil"/>
              <w:bottom w:val="single" w:sz="4" w:space="0" w:color="auto"/>
              <w:right w:val="single" w:sz="4" w:space="0" w:color="auto"/>
            </w:tcBorders>
            <w:shd w:val="clear" w:color="000000" w:fill="D9D9D9"/>
            <w:vAlign w:val="center"/>
            <w:hideMark/>
          </w:tcPr>
          <w:p w14:paraId="65F6A8E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42BB9C2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800,000</w:t>
            </w:r>
          </w:p>
        </w:tc>
        <w:tc>
          <w:tcPr>
            <w:tcW w:w="196" w:type="pct"/>
            <w:tcBorders>
              <w:top w:val="nil"/>
              <w:left w:val="nil"/>
              <w:bottom w:val="single" w:sz="4" w:space="0" w:color="auto"/>
              <w:right w:val="single" w:sz="4" w:space="0" w:color="auto"/>
            </w:tcBorders>
            <w:shd w:val="clear" w:color="000000" w:fill="D9D9D9"/>
            <w:vAlign w:val="center"/>
            <w:hideMark/>
          </w:tcPr>
          <w:p w14:paraId="32639C3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800,000</w:t>
            </w:r>
          </w:p>
        </w:tc>
        <w:tc>
          <w:tcPr>
            <w:tcW w:w="181" w:type="pct"/>
            <w:tcBorders>
              <w:top w:val="nil"/>
              <w:left w:val="nil"/>
              <w:bottom w:val="single" w:sz="4" w:space="0" w:color="auto"/>
              <w:right w:val="single" w:sz="4" w:space="0" w:color="auto"/>
            </w:tcBorders>
            <w:shd w:val="clear" w:color="000000" w:fill="D9D9D9"/>
            <w:vAlign w:val="center"/>
            <w:hideMark/>
          </w:tcPr>
          <w:p w14:paraId="326D3F2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41C8C1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800,000</w:t>
            </w:r>
          </w:p>
        </w:tc>
        <w:tc>
          <w:tcPr>
            <w:tcW w:w="170" w:type="pct"/>
            <w:tcBorders>
              <w:top w:val="nil"/>
              <w:left w:val="nil"/>
              <w:bottom w:val="single" w:sz="4" w:space="0" w:color="auto"/>
              <w:right w:val="single" w:sz="4" w:space="0" w:color="auto"/>
            </w:tcBorders>
            <w:shd w:val="clear" w:color="000000" w:fill="D9D9D9"/>
            <w:vAlign w:val="center"/>
            <w:hideMark/>
          </w:tcPr>
          <w:p w14:paraId="76372EC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3E0ACC7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3F526CA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81F662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479F19C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028E588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1E3C517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0B0DDE8F" w14:textId="3B71BC9D"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w:t>
            </w:r>
            <w:r w:rsidRPr="001F0C5A">
              <w:rPr>
                <w:rFonts w:ascii="Garamond" w:eastAsia="Times New Roman" w:hAnsi="Garamond" w:cs="Times New Roman"/>
                <w:b/>
                <w:bCs/>
                <w:color w:val="FF0000"/>
                <w:sz w:val="6"/>
                <w:szCs w:val="6"/>
                <w:lang w:val="sq-AL"/>
              </w:rPr>
              <w:t xml:space="preserve"> totale </w:t>
            </w:r>
            <w:r w:rsidR="00CB13C5">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 xml:space="preserve">Qëllimi i </w:t>
            </w:r>
            <w:r w:rsidR="00CB13C5" w:rsidRPr="001F0C5A">
              <w:rPr>
                <w:rFonts w:ascii="Garamond" w:eastAsia="Times New Roman" w:hAnsi="Garamond" w:cs="Times New Roman"/>
                <w:b/>
                <w:bCs/>
                <w:color w:val="FF0000"/>
                <w:sz w:val="6"/>
                <w:szCs w:val="6"/>
                <w:lang w:val="sq-AL"/>
              </w:rPr>
              <w:t xml:space="preserve">politikës </w:t>
            </w:r>
            <w:r w:rsidRPr="001F0C5A">
              <w:rPr>
                <w:rFonts w:ascii="Garamond" w:eastAsia="Times New Roman" w:hAnsi="Garamond" w:cs="Times New Roman"/>
                <w:b/>
                <w:bCs/>
                <w:color w:val="FF0000"/>
                <w:sz w:val="6"/>
                <w:szCs w:val="6"/>
                <w:lang w:val="sq-AL"/>
              </w:rPr>
              <w:t>II (objektiva specifik</w:t>
            </w:r>
            <w:r w:rsidR="00CB13C5">
              <w:rPr>
                <w:rFonts w:ascii="Garamond" w:eastAsia="Times New Roman" w:hAnsi="Garamond" w:cs="Times New Roman"/>
                <w:b/>
                <w:bCs/>
                <w:color w:val="FF0000"/>
                <w:sz w:val="6"/>
                <w:szCs w:val="6"/>
                <w:lang w:val="sq-AL"/>
              </w:rPr>
              <w:t>ë</w:t>
            </w:r>
            <w:r w:rsidRPr="001F0C5A">
              <w:rPr>
                <w:rFonts w:ascii="Garamond" w:eastAsia="Times New Roman" w:hAnsi="Garamond" w:cs="Times New Roman"/>
                <w:b/>
                <w:bCs/>
                <w:color w:val="FF0000"/>
                <w:sz w:val="6"/>
                <w:szCs w:val="6"/>
                <w:lang w:val="sq-AL"/>
              </w:rPr>
              <w:t xml:space="preserve"> 1.+2+3+4+5)</w:t>
            </w:r>
          </w:p>
        </w:tc>
        <w:tc>
          <w:tcPr>
            <w:tcW w:w="211" w:type="pct"/>
            <w:tcBorders>
              <w:top w:val="nil"/>
              <w:left w:val="nil"/>
              <w:bottom w:val="single" w:sz="4" w:space="0" w:color="auto"/>
              <w:right w:val="single" w:sz="4" w:space="0" w:color="auto"/>
            </w:tcBorders>
            <w:shd w:val="clear" w:color="000000" w:fill="D9D9D9"/>
            <w:vAlign w:val="center"/>
            <w:hideMark/>
          </w:tcPr>
          <w:p w14:paraId="2E1FBA6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123E48C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7A7AA17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4D91C57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6C5097A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6AD5E6E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380,450,000</w:t>
            </w:r>
          </w:p>
        </w:tc>
        <w:tc>
          <w:tcPr>
            <w:tcW w:w="181" w:type="pct"/>
            <w:tcBorders>
              <w:top w:val="nil"/>
              <w:left w:val="nil"/>
              <w:bottom w:val="single" w:sz="4" w:space="0" w:color="auto"/>
              <w:right w:val="single" w:sz="4" w:space="0" w:color="auto"/>
            </w:tcBorders>
            <w:shd w:val="clear" w:color="000000" w:fill="D9D9D9"/>
            <w:vAlign w:val="center"/>
            <w:hideMark/>
          </w:tcPr>
          <w:p w14:paraId="2B094AF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171,340,398</w:t>
            </w:r>
          </w:p>
        </w:tc>
        <w:tc>
          <w:tcPr>
            <w:tcW w:w="196" w:type="pct"/>
            <w:tcBorders>
              <w:top w:val="nil"/>
              <w:left w:val="nil"/>
              <w:bottom w:val="single" w:sz="4" w:space="0" w:color="auto"/>
              <w:right w:val="single" w:sz="4" w:space="0" w:color="auto"/>
            </w:tcBorders>
            <w:shd w:val="clear" w:color="000000" w:fill="D9D9D9"/>
            <w:vAlign w:val="center"/>
            <w:hideMark/>
          </w:tcPr>
          <w:p w14:paraId="1E8D03F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551,790,398</w:t>
            </w:r>
          </w:p>
        </w:tc>
        <w:tc>
          <w:tcPr>
            <w:tcW w:w="196" w:type="pct"/>
            <w:tcBorders>
              <w:top w:val="nil"/>
              <w:left w:val="nil"/>
              <w:bottom w:val="single" w:sz="4" w:space="0" w:color="auto"/>
              <w:right w:val="single" w:sz="4" w:space="0" w:color="auto"/>
            </w:tcBorders>
            <w:shd w:val="clear" w:color="000000" w:fill="D9D9D9"/>
            <w:vAlign w:val="center"/>
            <w:hideMark/>
          </w:tcPr>
          <w:p w14:paraId="22DD598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419,000,000</w:t>
            </w:r>
          </w:p>
        </w:tc>
        <w:tc>
          <w:tcPr>
            <w:tcW w:w="196" w:type="pct"/>
            <w:tcBorders>
              <w:top w:val="nil"/>
              <w:left w:val="nil"/>
              <w:bottom w:val="single" w:sz="4" w:space="0" w:color="auto"/>
              <w:right w:val="single" w:sz="4" w:space="0" w:color="auto"/>
            </w:tcBorders>
            <w:shd w:val="clear" w:color="000000" w:fill="D9D9D9"/>
            <w:vAlign w:val="center"/>
            <w:hideMark/>
          </w:tcPr>
          <w:p w14:paraId="20C1024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653,730,000</w:t>
            </w:r>
          </w:p>
        </w:tc>
        <w:tc>
          <w:tcPr>
            <w:tcW w:w="196" w:type="pct"/>
            <w:tcBorders>
              <w:top w:val="nil"/>
              <w:left w:val="nil"/>
              <w:bottom w:val="single" w:sz="4" w:space="0" w:color="auto"/>
              <w:right w:val="single" w:sz="4" w:space="0" w:color="auto"/>
            </w:tcBorders>
            <w:shd w:val="clear" w:color="000000" w:fill="D9D9D9"/>
            <w:vAlign w:val="center"/>
            <w:hideMark/>
          </w:tcPr>
          <w:p w14:paraId="27818DB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1,072,730,000</w:t>
            </w:r>
          </w:p>
        </w:tc>
        <w:tc>
          <w:tcPr>
            <w:tcW w:w="196" w:type="pct"/>
            <w:tcBorders>
              <w:top w:val="nil"/>
              <w:left w:val="nil"/>
              <w:bottom w:val="single" w:sz="4" w:space="0" w:color="auto"/>
              <w:right w:val="single" w:sz="4" w:space="0" w:color="auto"/>
            </w:tcBorders>
            <w:shd w:val="clear" w:color="000000" w:fill="D9D9D9"/>
            <w:vAlign w:val="center"/>
            <w:hideMark/>
          </w:tcPr>
          <w:p w14:paraId="3026DEE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799,450,000</w:t>
            </w:r>
          </w:p>
        </w:tc>
        <w:tc>
          <w:tcPr>
            <w:tcW w:w="196" w:type="pct"/>
            <w:tcBorders>
              <w:top w:val="nil"/>
              <w:left w:val="nil"/>
              <w:bottom w:val="single" w:sz="4" w:space="0" w:color="auto"/>
              <w:right w:val="single" w:sz="4" w:space="0" w:color="auto"/>
            </w:tcBorders>
            <w:shd w:val="clear" w:color="000000" w:fill="D9D9D9"/>
            <w:vAlign w:val="center"/>
            <w:hideMark/>
          </w:tcPr>
          <w:p w14:paraId="5E43197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825,070,398</w:t>
            </w:r>
          </w:p>
        </w:tc>
        <w:tc>
          <w:tcPr>
            <w:tcW w:w="196" w:type="pct"/>
            <w:tcBorders>
              <w:top w:val="nil"/>
              <w:left w:val="nil"/>
              <w:bottom w:val="single" w:sz="4" w:space="0" w:color="auto"/>
              <w:right w:val="single" w:sz="4" w:space="0" w:color="auto"/>
            </w:tcBorders>
            <w:shd w:val="clear" w:color="000000" w:fill="D9D9D9"/>
            <w:vAlign w:val="center"/>
            <w:hideMark/>
          </w:tcPr>
          <w:p w14:paraId="4F33DAB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1,624,520,398</w:t>
            </w:r>
          </w:p>
        </w:tc>
        <w:tc>
          <w:tcPr>
            <w:tcW w:w="196" w:type="pct"/>
            <w:tcBorders>
              <w:top w:val="nil"/>
              <w:left w:val="nil"/>
              <w:bottom w:val="single" w:sz="4" w:space="0" w:color="auto"/>
              <w:right w:val="single" w:sz="4" w:space="0" w:color="auto"/>
            </w:tcBorders>
            <w:shd w:val="clear" w:color="000000" w:fill="D9D9D9"/>
            <w:vAlign w:val="center"/>
            <w:hideMark/>
          </w:tcPr>
          <w:p w14:paraId="135B8AE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799,450,000</w:t>
            </w:r>
          </w:p>
        </w:tc>
        <w:tc>
          <w:tcPr>
            <w:tcW w:w="181" w:type="pct"/>
            <w:tcBorders>
              <w:top w:val="nil"/>
              <w:left w:val="nil"/>
              <w:bottom w:val="single" w:sz="4" w:space="0" w:color="auto"/>
              <w:right w:val="single" w:sz="4" w:space="0" w:color="auto"/>
            </w:tcBorders>
            <w:shd w:val="clear" w:color="000000" w:fill="D9D9D9"/>
            <w:vAlign w:val="center"/>
            <w:hideMark/>
          </w:tcPr>
          <w:p w14:paraId="39EDB97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601,990,398</w:t>
            </w:r>
          </w:p>
        </w:tc>
        <w:tc>
          <w:tcPr>
            <w:tcW w:w="196" w:type="pct"/>
            <w:tcBorders>
              <w:top w:val="nil"/>
              <w:left w:val="nil"/>
              <w:bottom w:val="single" w:sz="4" w:space="0" w:color="auto"/>
              <w:right w:val="single" w:sz="4" w:space="0" w:color="auto"/>
            </w:tcBorders>
            <w:shd w:val="clear" w:color="000000" w:fill="D9D9D9"/>
            <w:vAlign w:val="center"/>
            <w:hideMark/>
          </w:tcPr>
          <w:p w14:paraId="6FF1888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1,401,440,398</w:t>
            </w:r>
          </w:p>
        </w:tc>
        <w:tc>
          <w:tcPr>
            <w:tcW w:w="170" w:type="pct"/>
            <w:tcBorders>
              <w:top w:val="nil"/>
              <w:left w:val="nil"/>
              <w:bottom w:val="single" w:sz="4" w:space="0" w:color="auto"/>
              <w:right w:val="single" w:sz="4" w:space="0" w:color="auto"/>
            </w:tcBorders>
            <w:shd w:val="clear" w:color="000000" w:fill="D9D9D9"/>
            <w:vAlign w:val="center"/>
            <w:hideMark/>
          </w:tcPr>
          <w:p w14:paraId="200FDC5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1B84D71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223,080,000</w:t>
            </w:r>
          </w:p>
        </w:tc>
        <w:tc>
          <w:tcPr>
            <w:tcW w:w="232" w:type="pct"/>
            <w:tcBorders>
              <w:top w:val="nil"/>
              <w:left w:val="nil"/>
              <w:bottom w:val="single" w:sz="4" w:space="0" w:color="auto"/>
              <w:right w:val="single" w:sz="4" w:space="0" w:color="auto"/>
            </w:tcBorders>
            <w:shd w:val="clear" w:color="000000" w:fill="D9D9D9"/>
            <w:vAlign w:val="center"/>
            <w:hideMark/>
          </w:tcPr>
          <w:p w14:paraId="523C4CE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6E5EC83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223,080,000</w:t>
            </w:r>
          </w:p>
        </w:tc>
        <w:tc>
          <w:tcPr>
            <w:tcW w:w="160" w:type="pct"/>
            <w:tcBorders>
              <w:top w:val="nil"/>
              <w:left w:val="nil"/>
              <w:bottom w:val="single" w:sz="4" w:space="0" w:color="auto"/>
              <w:right w:val="single" w:sz="4" w:space="0" w:color="auto"/>
            </w:tcBorders>
            <w:shd w:val="clear" w:color="000000" w:fill="D9D9D9"/>
            <w:vAlign w:val="center"/>
            <w:hideMark/>
          </w:tcPr>
          <w:p w14:paraId="45344D8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D86FA8" w:rsidRPr="001F0C5A" w14:paraId="49634DEB" w14:textId="77777777" w:rsidTr="00D86FA8">
        <w:trPr>
          <w:trHeight w:val="20"/>
        </w:trPr>
        <w:tc>
          <w:tcPr>
            <w:tcW w:w="5000" w:type="pct"/>
            <w:gridSpan w:val="24"/>
            <w:tcBorders>
              <w:top w:val="single" w:sz="4" w:space="0" w:color="auto"/>
              <w:left w:val="single" w:sz="4" w:space="0" w:color="auto"/>
              <w:bottom w:val="single" w:sz="4" w:space="0" w:color="auto"/>
              <w:right w:val="nil"/>
            </w:tcBorders>
            <w:shd w:val="clear" w:color="000000" w:fill="F8CBAD"/>
            <w:vAlign w:val="center"/>
            <w:hideMark/>
          </w:tcPr>
          <w:p w14:paraId="29E821B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III. Qëllimi i Politikës: Respektimi i plotë e i të drejtave themelore, përfshirë trajtimin e çdo individi me respekt të plotë për dinjitetin dhe mundësimin e qasjes në mbrojtjen ndërkombëtare të atyre që kanë nevojë</w:t>
            </w:r>
          </w:p>
        </w:tc>
      </w:tr>
      <w:tr w:rsidR="00D86FA8" w:rsidRPr="001F0C5A" w14:paraId="7DF32188" w14:textId="77777777" w:rsidTr="00D86FA8">
        <w:trPr>
          <w:trHeight w:val="20"/>
        </w:trPr>
        <w:tc>
          <w:tcPr>
            <w:tcW w:w="5000" w:type="pct"/>
            <w:gridSpan w:val="24"/>
            <w:tcBorders>
              <w:top w:val="single" w:sz="4" w:space="0" w:color="auto"/>
              <w:left w:val="single" w:sz="4" w:space="0" w:color="auto"/>
              <w:bottom w:val="nil"/>
              <w:right w:val="nil"/>
            </w:tcBorders>
            <w:shd w:val="clear" w:color="000000" w:fill="FCE4D6"/>
            <w:vAlign w:val="center"/>
            <w:hideMark/>
          </w:tcPr>
          <w:p w14:paraId="01B0FD5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III. Programi buxhetor që kontribuon për qëllimin e politikës: Programi 03140 Policia e Shtetit</w:t>
            </w:r>
          </w:p>
        </w:tc>
      </w:tr>
      <w:tr w:rsidR="006B6F84" w:rsidRPr="001F0C5A" w14:paraId="25ACD8D2" w14:textId="77777777" w:rsidTr="00D86FA8">
        <w:trPr>
          <w:trHeight w:val="20"/>
        </w:trPr>
        <w:tc>
          <w:tcPr>
            <w:tcW w:w="1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5A4A1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Nr.</w:t>
            </w:r>
          </w:p>
        </w:tc>
        <w:tc>
          <w:tcPr>
            <w:tcW w:w="2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D8D2C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Titulli </w:t>
            </w:r>
          </w:p>
        </w:tc>
        <w:tc>
          <w:tcPr>
            <w:tcW w:w="211" w:type="pct"/>
            <w:tcBorders>
              <w:top w:val="single" w:sz="4" w:space="0" w:color="auto"/>
              <w:left w:val="nil"/>
              <w:bottom w:val="single" w:sz="4" w:space="0" w:color="auto"/>
              <w:right w:val="single" w:sz="4" w:space="0" w:color="auto"/>
            </w:tcBorders>
            <w:shd w:val="clear" w:color="auto" w:fill="auto"/>
            <w:vAlign w:val="center"/>
            <w:hideMark/>
          </w:tcPr>
          <w:p w14:paraId="3E1B23B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Programi buxhetor </w:t>
            </w:r>
          </w:p>
        </w:tc>
        <w:tc>
          <w:tcPr>
            <w:tcW w:w="882" w:type="pct"/>
            <w:gridSpan w:val="2"/>
            <w:tcBorders>
              <w:top w:val="single" w:sz="4" w:space="0" w:color="auto"/>
              <w:left w:val="nil"/>
              <w:bottom w:val="single" w:sz="4" w:space="0" w:color="auto"/>
              <w:right w:val="single" w:sz="4" w:space="0" w:color="auto"/>
            </w:tcBorders>
            <w:shd w:val="clear" w:color="auto" w:fill="auto"/>
            <w:vAlign w:val="center"/>
            <w:hideMark/>
          </w:tcPr>
          <w:p w14:paraId="3234F965" w14:textId="04D1E4A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Institucionet përgjegjëse</w:t>
            </w:r>
          </w:p>
        </w:tc>
        <w:tc>
          <w:tcPr>
            <w:tcW w:w="306" w:type="pct"/>
            <w:gridSpan w:val="2"/>
            <w:tcBorders>
              <w:top w:val="single" w:sz="4" w:space="0" w:color="auto"/>
              <w:left w:val="nil"/>
              <w:bottom w:val="single" w:sz="4" w:space="0" w:color="auto"/>
              <w:right w:val="single" w:sz="4" w:space="0" w:color="auto"/>
            </w:tcBorders>
            <w:shd w:val="clear" w:color="auto" w:fill="auto"/>
            <w:vAlign w:val="center"/>
            <w:hideMark/>
          </w:tcPr>
          <w:p w14:paraId="35506518" w14:textId="460EFF6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i </w:t>
            </w:r>
            <w:r w:rsidR="006B6F84" w:rsidRPr="001F0C5A">
              <w:rPr>
                <w:rFonts w:ascii="Garamond" w:eastAsia="Times New Roman" w:hAnsi="Garamond" w:cs="Times New Roman"/>
                <w:b/>
                <w:bCs/>
                <w:color w:val="000000"/>
                <w:sz w:val="6"/>
                <w:szCs w:val="6"/>
                <w:lang w:val="sq-AL"/>
              </w:rPr>
              <w:t xml:space="preserve">zbatimit </w:t>
            </w:r>
          </w:p>
        </w:tc>
        <w:tc>
          <w:tcPr>
            <w:tcW w:w="55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43158B" w14:textId="21E1849E"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6B6F84">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indikative/2024</w:t>
            </w:r>
          </w:p>
        </w:tc>
        <w:tc>
          <w:tcPr>
            <w:tcW w:w="58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9E6ECD" w14:textId="35DE621F"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6B6F84">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indikative/2025</w:t>
            </w:r>
          </w:p>
        </w:tc>
        <w:tc>
          <w:tcPr>
            <w:tcW w:w="588"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90DB19A" w14:textId="5772556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6B6F84">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 </w:t>
            </w:r>
            <w:r w:rsidR="006B6F84" w:rsidRPr="001F0C5A">
              <w:rPr>
                <w:rFonts w:ascii="Garamond" w:eastAsia="Times New Roman" w:hAnsi="Garamond" w:cs="Times New Roman"/>
                <w:b/>
                <w:bCs/>
                <w:color w:val="000000"/>
                <w:sz w:val="6"/>
                <w:szCs w:val="6"/>
                <w:lang w:val="sq-AL"/>
              </w:rPr>
              <w:t>totale</w:t>
            </w:r>
          </w:p>
        </w:tc>
        <w:tc>
          <w:tcPr>
            <w:tcW w:w="1336" w:type="pct"/>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6D630FA0" w14:textId="460EACC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Burimi i </w:t>
            </w:r>
            <w:r w:rsidR="006B6F84" w:rsidRPr="001F0C5A">
              <w:rPr>
                <w:rFonts w:ascii="Garamond" w:eastAsia="Times New Roman" w:hAnsi="Garamond" w:cs="Times New Roman"/>
                <w:b/>
                <w:bCs/>
                <w:color w:val="000000"/>
                <w:sz w:val="6"/>
                <w:szCs w:val="6"/>
                <w:lang w:val="sq-AL"/>
              </w:rPr>
              <w:t>financimit</w:t>
            </w:r>
          </w:p>
        </w:tc>
        <w:tc>
          <w:tcPr>
            <w:tcW w:w="1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5B4D3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Hendeku financiar </w:t>
            </w:r>
          </w:p>
        </w:tc>
      </w:tr>
      <w:tr w:rsidR="006B6F84" w:rsidRPr="001F0C5A" w14:paraId="63F8FD1B" w14:textId="77777777" w:rsidTr="00D86FA8">
        <w:trPr>
          <w:trHeight w:val="20"/>
        </w:trPr>
        <w:tc>
          <w:tcPr>
            <w:tcW w:w="125" w:type="pct"/>
            <w:vMerge/>
            <w:tcBorders>
              <w:top w:val="single" w:sz="4" w:space="0" w:color="auto"/>
              <w:left w:val="single" w:sz="4" w:space="0" w:color="auto"/>
              <w:bottom w:val="single" w:sz="4" w:space="0" w:color="auto"/>
              <w:right w:val="single" w:sz="4" w:space="0" w:color="auto"/>
            </w:tcBorders>
            <w:vAlign w:val="center"/>
            <w:hideMark/>
          </w:tcPr>
          <w:p w14:paraId="7306B479"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single" w:sz="4" w:space="0" w:color="auto"/>
              <w:left w:val="single" w:sz="4" w:space="0" w:color="auto"/>
              <w:bottom w:val="single" w:sz="4" w:space="0" w:color="auto"/>
              <w:right w:val="single" w:sz="4" w:space="0" w:color="auto"/>
            </w:tcBorders>
            <w:vAlign w:val="center"/>
            <w:hideMark/>
          </w:tcPr>
          <w:p w14:paraId="63466B09"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val="restart"/>
            <w:tcBorders>
              <w:top w:val="nil"/>
              <w:left w:val="single" w:sz="4" w:space="0" w:color="auto"/>
              <w:bottom w:val="single" w:sz="4" w:space="0" w:color="auto"/>
              <w:right w:val="single" w:sz="4" w:space="0" w:color="auto"/>
            </w:tcBorders>
            <w:shd w:val="clear" w:color="auto" w:fill="auto"/>
            <w:vAlign w:val="center"/>
            <w:hideMark/>
          </w:tcPr>
          <w:p w14:paraId="1F851376" w14:textId="5AF29B25"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Referenca e </w:t>
            </w:r>
            <w:r w:rsidR="00CB13C5" w:rsidRPr="001F0C5A">
              <w:rPr>
                <w:rFonts w:ascii="Garamond" w:eastAsia="Times New Roman" w:hAnsi="Garamond" w:cs="Times New Roman"/>
                <w:b/>
                <w:bCs/>
                <w:color w:val="000000"/>
                <w:sz w:val="6"/>
                <w:szCs w:val="6"/>
                <w:lang w:val="sq-AL"/>
              </w:rPr>
              <w:t xml:space="preserve">rezultatit </w:t>
            </w:r>
            <w:r w:rsidRPr="001F0C5A">
              <w:rPr>
                <w:rFonts w:ascii="Garamond" w:eastAsia="Times New Roman" w:hAnsi="Garamond" w:cs="Times New Roman"/>
                <w:b/>
                <w:bCs/>
                <w:color w:val="000000"/>
                <w:sz w:val="6"/>
                <w:szCs w:val="6"/>
                <w:lang w:val="sq-AL"/>
              </w:rPr>
              <w:t>me produktet e programit buxhetor</w:t>
            </w:r>
            <w:r w:rsidR="001F0C5A" w:rsidRPr="001F0C5A">
              <w:rPr>
                <w:rFonts w:ascii="Garamond" w:eastAsia="Times New Roman" w:hAnsi="Garamond" w:cs="Times New Roman"/>
                <w:b/>
                <w:bCs/>
                <w:color w:val="000000"/>
                <w:sz w:val="6"/>
                <w:szCs w:val="6"/>
                <w:lang w:val="sq-AL"/>
              </w:rPr>
              <w:t xml:space="preserve"> </w:t>
            </w:r>
          </w:p>
        </w:tc>
        <w:tc>
          <w:tcPr>
            <w:tcW w:w="202" w:type="pct"/>
            <w:vMerge w:val="restart"/>
            <w:tcBorders>
              <w:top w:val="nil"/>
              <w:left w:val="single" w:sz="4" w:space="0" w:color="auto"/>
              <w:bottom w:val="single" w:sz="4" w:space="0" w:color="auto"/>
              <w:right w:val="single" w:sz="4" w:space="0" w:color="auto"/>
            </w:tcBorders>
            <w:shd w:val="clear" w:color="auto" w:fill="auto"/>
            <w:vAlign w:val="center"/>
            <w:hideMark/>
          </w:tcPr>
          <w:p w14:paraId="4F484B8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përgjegjës</w:t>
            </w:r>
          </w:p>
        </w:tc>
        <w:tc>
          <w:tcPr>
            <w:tcW w:w="680" w:type="pct"/>
            <w:vMerge w:val="restart"/>
            <w:tcBorders>
              <w:top w:val="nil"/>
              <w:left w:val="single" w:sz="4" w:space="0" w:color="auto"/>
              <w:bottom w:val="single" w:sz="4" w:space="0" w:color="auto"/>
              <w:right w:val="single" w:sz="4" w:space="0" w:color="auto"/>
            </w:tcBorders>
            <w:shd w:val="clear" w:color="auto" w:fill="auto"/>
            <w:vAlign w:val="center"/>
            <w:hideMark/>
          </w:tcPr>
          <w:p w14:paraId="2385E2E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kontribues</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625E19CC" w14:textId="2C6EB193"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6B6F84">
              <w:rPr>
                <w:rFonts w:ascii="Garamond" w:eastAsia="Times New Roman" w:hAnsi="Garamond" w:cs="Times New Roman"/>
                <w:b/>
                <w:bCs/>
                <w:color w:val="000000"/>
                <w:sz w:val="6"/>
                <w:szCs w:val="6"/>
                <w:lang w:val="sq-AL"/>
              </w:rPr>
              <w:t xml:space="preserve">i </w:t>
            </w:r>
            <w:r w:rsidR="006B6F84" w:rsidRPr="001F0C5A">
              <w:rPr>
                <w:rFonts w:ascii="Garamond" w:eastAsia="Times New Roman" w:hAnsi="Garamond" w:cs="Times New Roman"/>
                <w:b/>
                <w:bCs/>
                <w:color w:val="000000"/>
                <w:sz w:val="6"/>
                <w:szCs w:val="6"/>
                <w:lang w:val="sq-AL"/>
              </w:rPr>
              <w:t>fillimit</w:t>
            </w:r>
          </w:p>
        </w:tc>
        <w:tc>
          <w:tcPr>
            <w:tcW w:w="163" w:type="pct"/>
            <w:vMerge w:val="restart"/>
            <w:tcBorders>
              <w:top w:val="nil"/>
              <w:left w:val="single" w:sz="4" w:space="0" w:color="auto"/>
              <w:bottom w:val="single" w:sz="4" w:space="0" w:color="auto"/>
              <w:right w:val="single" w:sz="4" w:space="0" w:color="auto"/>
            </w:tcBorders>
            <w:shd w:val="clear" w:color="auto" w:fill="auto"/>
            <w:vAlign w:val="center"/>
            <w:hideMark/>
          </w:tcPr>
          <w:p w14:paraId="4F108033" w14:textId="49EF898C"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6B6F84">
              <w:rPr>
                <w:rFonts w:ascii="Garamond" w:eastAsia="Times New Roman" w:hAnsi="Garamond" w:cs="Times New Roman"/>
                <w:b/>
                <w:bCs/>
                <w:color w:val="000000"/>
                <w:sz w:val="6"/>
                <w:szCs w:val="6"/>
                <w:lang w:val="sq-AL"/>
              </w:rPr>
              <w:t xml:space="preserve">i </w:t>
            </w:r>
            <w:r w:rsidR="006B6F84" w:rsidRPr="001F0C5A">
              <w:rPr>
                <w:rFonts w:ascii="Garamond" w:eastAsia="Times New Roman" w:hAnsi="Garamond" w:cs="Times New Roman"/>
                <w:b/>
                <w:bCs/>
                <w:color w:val="000000"/>
                <w:sz w:val="6"/>
                <w:szCs w:val="6"/>
                <w:lang w:val="sq-AL"/>
              </w:rPr>
              <w:t>mbarimit</w:t>
            </w:r>
          </w:p>
        </w:tc>
        <w:tc>
          <w:tcPr>
            <w:tcW w:w="557" w:type="pct"/>
            <w:gridSpan w:val="3"/>
            <w:vMerge/>
            <w:tcBorders>
              <w:top w:val="nil"/>
              <w:left w:val="single" w:sz="4" w:space="0" w:color="auto"/>
              <w:bottom w:val="single" w:sz="4" w:space="0" w:color="auto"/>
              <w:right w:val="single" w:sz="4" w:space="0" w:color="auto"/>
            </w:tcBorders>
            <w:vAlign w:val="center"/>
            <w:hideMark/>
          </w:tcPr>
          <w:p w14:paraId="4712FD3E"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single" w:sz="4" w:space="0" w:color="auto"/>
            </w:tcBorders>
            <w:vAlign w:val="center"/>
            <w:hideMark/>
          </w:tcPr>
          <w:p w14:paraId="3E8A0FC3"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single" w:sz="4" w:space="0" w:color="auto"/>
            </w:tcBorders>
            <w:vAlign w:val="center"/>
            <w:hideMark/>
          </w:tcPr>
          <w:p w14:paraId="518B765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7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E46F064" w14:textId="72AF322E"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Buxhet Shteti (në</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lek)</w:t>
            </w:r>
          </w:p>
        </w:tc>
        <w:tc>
          <w:tcPr>
            <w:tcW w:w="763" w:type="pct"/>
            <w:gridSpan w:val="4"/>
            <w:tcBorders>
              <w:top w:val="single" w:sz="4" w:space="0" w:color="auto"/>
              <w:left w:val="nil"/>
              <w:bottom w:val="single" w:sz="4" w:space="0" w:color="auto"/>
              <w:right w:val="single" w:sz="4" w:space="0" w:color="auto"/>
            </w:tcBorders>
            <w:shd w:val="clear" w:color="auto" w:fill="auto"/>
            <w:vAlign w:val="center"/>
            <w:hideMark/>
          </w:tcPr>
          <w:p w14:paraId="32812CE8" w14:textId="66968CCD"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Financim i </w:t>
            </w:r>
            <w:r w:rsidR="006B6F84" w:rsidRPr="001F0C5A">
              <w:rPr>
                <w:rFonts w:ascii="Garamond" w:eastAsia="Times New Roman" w:hAnsi="Garamond" w:cs="Times New Roman"/>
                <w:b/>
                <w:bCs/>
                <w:color w:val="000000"/>
                <w:sz w:val="6"/>
                <w:szCs w:val="6"/>
                <w:lang w:val="sq-AL"/>
              </w:rPr>
              <w:t xml:space="preserve">huaj </w:t>
            </w:r>
            <w:r w:rsidRPr="001F0C5A">
              <w:rPr>
                <w:rFonts w:ascii="Garamond" w:eastAsia="Times New Roman" w:hAnsi="Garamond" w:cs="Times New Roman"/>
                <w:b/>
                <w:bCs/>
                <w:color w:val="000000"/>
                <w:sz w:val="6"/>
                <w:szCs w:val="6"/>
                <w:lang w:val="sq-AL"/>
              </w:rPr>
              <w:t>(në lek)</w:t>
            </w:r>
          </w:p>
        </w:tc>
        <w:tc>
          <w:tcPr>
            <w:tcW w:w="160" w:type="pct"/>
            <w:vMerge/>
            <w:tcBorders>
              <w:top w:val="single" w:sz="4" w:space="0" w:color="auto"/>
              <w:left w:val="single" w:sz="4" w:space="0" w:color="auto"/>
              <w:bottom w:val="single" w:sz="4" w:space="0" w:color="auto"/>
              <w:right w:val="single" w:sz="4" w:space="0" w:color="auto"/>
            </w:tcBorders>
            <w:vAlign w:val="center"/>
            <w:hideMark/>
          </w:tcPr>
          <w:p w14:paraId="20A48E6F"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r>
      <w:tr w:rsidR="006B6F84" w:rsidRPr="001F0C5A" w14:paraId="11FD6380" w14:textId="77777777" w:rsidTr="00D86FA8">
        <w:trPr>
          <w:trHeight w:val="20"/>
        </w:trPr>
        <w:tc>
          <w:tcPr>
            <w:tcW w:w="125" w:type="pct"/>
            <w:vMerge/>
            <w:tcBorders>
              <w:top w:val="single" w:sz="4" w:space="0" w:color="auto"/>
              <w:left w:val="single" w:sz="4" w:space="0" w:color="auto"/>
              <w:bottom w:val="single" w:sz="4" w:space="0" w:color="auto"/>
              <w:right w:val="single" w:sz="4" w:space="0" w:color="auto"/>
            </w:tcBorders>
            <w:vAlign w:val="center"/>
            <w:hideMark/>
          </w:tcPr>
          <w:p w14:paraId="6212EB45"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single" w:sz="4" w:space="0" w:color="auto"/>
              <w:left w:val="single" w:sz="4" w:space="0" w:color="auto"/>
              <w:bottom w:val="single" w:sz="4" w:space="0" w:color="auto"/>
              <w:right w:val="single" w:sz="4" w:space="0" w:color="auto"/>
            </w:tcBorders>
            <w:vAlign w:val="center"/>
            <w:hideMark/>
          </w:tcPr>
          <w:p w14:paraId="0AD8969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tcBorders>
              <w:top w:val="nil"/>
              <w:left w:val="single" w:sz="4" w:space="0" w:color="auto"/>
              <w:bottom w:val="single" w:sz="4" w:space="0" w:color="auto"/>
              <w:right w:val="single" w:sz="4" w:space="0" w:color="auto"/>
            </w:tcBorders>
            <w:vAlign w:val="center"/>
            <w:hideMark/>
          </w:tcPr>
          <w:p w14:paraId="32155D72"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02" w:type="pct"/>
            <w:vMerge/>
            <w:tcBorders>
              <w:top w:val="nil"/>
              <w:left w:val="single" w:sz="4" w:space="0" w:color="auto"/>
              <w:bottom w:val="single" w:sz="4" w:space="0" w:color="auto"/>
              <w:right w:val="single" w:sz="4" w:space="0" w:color="auto"/>
            </w:tcBorders>
            <w:vAlign w:val="center"/>
            <w:hideMark/>
          </w:tcPr>
          <w:p w14:paraId="78AEA24C"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680" w:type="pct"/>
            <w:vMerge/>
            <w:tcBorders>
              <w:top w:val="nil"/>
              <w:left w:val="single" w:sz="4" w:space="0" w:color="auto"/>
              <w:bottom w:val="single" w:sz="4" w:space="0" w:color="auto"/>
              <w:right w:val="single" w:sz="4" w:space="0" w:color="auto"/>
            </w:tcBorders>
            <w:vAlign w:val="center"/>
            <w:hideMark/>
          </w:tcPr>
          <w:p w14:paraId="5E952D2D"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43" w:type="pct"/>
            <w:vMerge/>
            <w:tcBorders>
              <w:top w:val="nil"/>
              <w:left w:val="single" w:sz="4" w:space="0" w:color="auto"/>
              <w:bottom w:val="single" w:sz="4" w:space="0" w:color="auto"/>
              <w:right w:val="single" w:sz="4" w:space="0" w:color="auto"/>
            </w:tcBorders>
            <w:vAlign w:val="center"/>
            <w:hideMark/>
          </w:tcPr>
          <w:p w14:paraId="1BF30306"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63" w:type="pct"/>
            <w:vMerge/>
            <w:tcBorders>
              <w:top w:val="nil"/>
              <w:left w:val="single" w:sz="4" w:space="0" w:color="auto"/>
              <w:bottom w:val="single" w:sz="4" w:space="0" w:color="auto"/>
              <w:right w:val="single" w:sz="4" w:space="0" w:color="auto"/>
            </w:tcBorders>
            <w:vAlign w:val="center"/>
            <w:hideMark/>
          </w:tcPr>
          <w:p w14:paraId="54C7B15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81" w:type="pct"/>
            <w:tcBorders>
              <w:top w:val="nil"/>
              <w:left w:val="nil"/>
              <w:bottom w:val="single" w:sz="4" w:space="0" w:color="auto"/>
              <w:right w:val="single" w:sz="4" w:space="0" w:color="auto"/>
            </w:tcBorders>
            <w:shd w:val="clear" w:color="auto" w:fill="auto"/>
            <w:vAlign w:val="center"/>
            <w:hideMark/>
          </w:tcPr>
          <w:p w14:paraId="0BEACD8B" w14:textId="033DF2ED"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rente</w:t>
            </w:r>
          </w:p>
        </w:tc>
        <w:tc>
          <w:tcPr>
            <w:tcW w:w="181" w:type="pct"/>
            <w:tcBorders>
              <w:top w:val="nil"/>
              <w:left w:val="nil"/>
              <w:bottom w:val="single" w:sz="4" w:space="0" w:color="auto"/>
              <w:right w:val="single" w:sz="4" w:space="0" w:color="auto"/>
            </w:tcBorders>
            <w:shd w:val="clear" w:color="auto" w:fill="auto"/>
            <w:vAlign w:val="center"/>
            <w:hideMark/>
          </w:tcPr>
          <w:p w14:paraId="49DC01C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183DC0B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Kosto</w:t>
            </w:r>
          </w:p>
        </w:tc>
        <w:tc>
          <w:tcPr>
            <w:tcW w:w="196" w:type="pct"/>
            <w:tcBorders>
              <w:top w:val="nil"/>
              <w:left w:val="nil"/>
              <w:bottom w:val="single" w:sz="4" w:space="0" w:color="auto"/>
              <w:right w:val="single" w:sz="4" w:space="0" w:color="auto"/>
            </w:tcBorders>
            <w:shd w:val="clear" w:color="auto" w:fill="auto"/>
            <w:vAlign w:val="center"/>
            <w:hideMark/>
          </w:tcPr>
          <w:p w14:paraId="1416B22E" w14:textId="7A9D252B"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rente</w:t>
            </w:r>
          </w:p>
        </w:tc>
        <w:tc>
          <w:tcPr>
            <w:tcW w:w="196" w:type="pct"/>
            <w:tcBorders>
              <w:top w:val="nil"/>
              <w:left w:val="nil"/>
              <w:bottom w:val="single" w:sz="4" w:space="0" w:color="auto"/>
              <w:right w:val="single" w:sz="4" w:space="0" w:color="auto"/>
            </w:tcBorders>
            <w:shd w:val="clear" w:color="auto" w:fill="auto"/>
            <w:vAlign w:val="center"/>
            <w:hideMark/>
          </w:tcPr>
          <w:p w14:paraId="45BE3AB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2DDE8A0B" w14:textId="4B78C1C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6B6F84" w:rsidRPr="001F0C5A">
              <w:rPr>
                <w:rFonts w:ascii="Garamond" w:eastAsia="Times New Roman" w:hAnsi="Garamond" w:cs="Times New Roman"/>
                <w:b/>
                <w:bCs/>
                <w:color w:val="000000"/>
                <w:sz w:val="6"/>
                <w:szCs w:val="6"/>
                <w:lang w:val="sq-AL"/>
              </w:rPr>
              <w:t>kosto</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4D62977F" w14:textId="584322FD"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5A5AB24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647586F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Kosto</w:t>
            </w:r>
          </w:p>
        </w:tc>
        <w:tc>
          <w:tcPr>
            <w:tcW w:w="196" w:type="pct"/>
            <w:tcBorders>
              <w:top w:val="nil"/>
              <w:left w:val="nil"/>
              <w:bottom w:val="single" w:sz="4" w:space="0" w:color="auto"/>
              <w:right w:val="single" w:sz="4" w:space="0" w:color="auto"/>
            </w:tcBorders>
            <w:shd w:val="clear" w:color="auto" w:fill="auto"/>
            <w:vAlign w:val="center"/>
            <w:hideMark/>
          </w:tcPr>
          <w:p w14:paraId="0BC858CD" w14:textId="3490F989"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w:t>
            </w:r>
            <w:r w:rsidR="00A91982">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rente</w:t>
            </w:r>
          </w:p>
        </w:tc>
        <w:tc>
          <w:tcPr>
            <w:tcW w:w="181" w:type="pct"/>
            <w:tcBorders>
              <w:top w:val="nil"/>
              <w:left w:val="nil"/>
              <w:bottom w:val="single" w:sz="4" w:space="0" w:color="auto"/>
              <w:right w:val="single" w:sz="4" w:space="0" w:color="auto"/>
            </w:tcBorders>
            <w:shd w:val="clear" w:color="auto" w:fill="auto"/>
            <w:vAlign w:val="center"/>
            <w:hideMark/>
          </w:tcPr>
          <w:p w14:paraId="20036F7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3ED8DF0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BSH</w:t>
            </w:r>
          </w:p>
        </w:tc>
        <w:tc>
          <w:tcPr>
            <w:tcW w:w="170" w:type="pct"/>
            <w:tcBorders>
              <w:top w:val="nil"/>
              <w:left w:val="nil"/>
              <w:bottom w:val="single" w:sz="4" w:space="0" w:color="auto"/>
              <w:right w:val="single" w:sz="4" w:space="0" w:color="auto"/>
            </w:tcBorders>
            <w:shd w:val="clear" w:color="auto" w:fill="auto"/>
            <w:vAlign w:val="center"/>
            <w:hideMark/>
          </w:tcPr>
          <w:p w14:paraId="20F120D5" w14:textId="38C1BF75"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A91982">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81" w:type="pct"/>
            <w:tcBorders>
              <w:top w:val="nil"/>
              <w:left w:val="nil"/>
              <w:bottom w:val="single" w:sz="4" w:space="0" w:color="auto"/>
              <w:right w:val="single" w:sz="4" w:space="0" w:color="auto"/>
            </w:tcBorders>
            <w:shd w:val="clear" w:color="auto" w:fill="auto"/>
            <w:vAlign w:val="center"/>
            <w:hideMark/>
          </w:tcPr>
          <w:p w14:paraId="5D85469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232" w:type="pct"/>
            <w:tcBorders>
              <w:top w:val="nil"/>
              <w:left w:val="nil"/>
              <w:bottom w:val="single" w:sz="4" w:space="0" w:color="auto"/>
              <w:right w:val="single" w:sz="4" w:space="0" w:color="auto"/>
            </w:tcBorders>
            <w:shd w:val="clear" w:color="auto" w:fill="auto"/>
            <w:vAlign w:val="center"/>
            <w:hideMark/>
          </w:tcPr>
          <w:p w14:paraId="5CF13BE9" w14:textId="70C9CB2C"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Emri donatorit/</w:t>
            </w:r>
            <w:r w:rsidR="006B6F84" w:rsidRPr="001F0C5A">
              <w:rPr>
                <w:rFonts w:ascii="Garamond" w:eastAsia="Times New Roman" w:hAnsi="Garamond" w:cs="Times New Roman"/>
                <w:b/>
                <w:bCs/>
                <w:color w:val="000000"/>
                <w:sz w:val="6"/>
                <w:szCs w:val="6"/>
                <w:lang w:val="sq-AL"/>
              </w:rPr>
              <w:t xml:space="preserve">Titullin </w:t>
            </w:r>
            <w:r w:rsidRPr="001F0C5A">
              <w:rPr>
                <w:rFonts w:ascii="Garamond" w:eastAsia="Times New Roman" w:hAnsi="Garamond" w:cs="Times New Roman"/>
                <w:b/>
                <w:bCs/>
                <w:color w:val="000000"/>
                <w:sz w:val="6"/>
                <w:szCs w:val="6"/>
                <w:lang w:val="sq-AL"/>
              </w:rPr>
              <w:t xml:space="preserve">e projektit </w:t>
            </w:r>
          </w:p>
        </w:tc>
        <w:tc>
          <w:tcPr>
            <w:tcW w:w="181" w:type="pct"/>
            <w:tcBorders>
              <w:top w:val="nil"/>
              <w:left w:val="nil"/>
              <w:bottom w:val="single" w:sz="4" w:space="0" w:color="auto"/>
              <w:right w:val="single" w:sz="4" w:space="0" w:color="auto"/>
            </w:tcBorders>
            <w:shd w:val="clear" w:color="auto" w:fill="auto"/>
            <w:vAlign w:val="center"/>
            <w:hideMark/>
          </w:tcPr>
          <w:p w14:paraId="2D943090" w14:textId="3549530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6B6F84" w:rsidRPr="001F0C5A">
              <w:rPr>
                <w:rFonts w:ascii="Garamond" w:eastAsia="Times New Roman" w:hAnsi="Garamond" w:cs="Times New Roman"/>
                <w:b/>
                <w:bCs/>
                <w:color w:val="000000"/>
                <w:sz w:val="6"/>
                <w:szCs w:val="6"/>
                <w:lang w:val="sq-AL"/>
              </w:rPr>
              <w:t xml:space="preserve">Financim </w:t>
            </w:r>
            <w:r w:rsidRPr="001F0C5A">
              <w:rPr>
                <w:rFonts w:ascii="Garamond" w:eastAsia="Times New Roman" w:hAnsi="Garamond" w:cs="Times New Roman"/>
                <w:b/>
                <w:bCs/>
                <w:color w:val="000000"/>
                <w:sz w:val="6"/>
                <w:szCs w:val="6"/>
                <w:lang w:val="sq-AL"/>
              </w:rPr>
              <w:t xml:space="preserve">i </w:t>
            </w:r>
            <w:r w:rsidR="00A91982" w:rsidRPr="001F0C5A">
              <w:rPr>
                <w:rFonts w:ascii="Garamond" w:eastAsia="Times New Roman" w:hAnsi="Garamond" w:cs="Times New Roman"/>
                <w:b/>
                <w:bCs/>
                <w:color w:val="000000"/>
                <w:sz w:val="6"/>
                <w:szCs w:val="6"/>
                <w:lang w:val="sq-AL"/>
              </w:rPr>
              <w:t>huaj</w:t>
            </w:r>
          </w:p>
        </w:tc>
        <w:tc>
          <w:tcPr>
            <w:tcW w:w="160" w:type="pct"/>
            <w:tcBorders>
              <w:top w:val="nil"/>
              <w:left w:val="nil"/>
              <w:bottom w:val="single" w:sz="4" w:space="0" w:color="auto"/>
              <w:right w:val="single" w:sz="4" w:space="0" w:color="auto"/>
            </w:tcBorders>
            <w:shd w:val="clear" w:color="auto" w:fill="auto"/>
            <w:vAlign w:val="center"/>
            <w:hideMark/>
          </w:tcPr>
          <w:p w14:paraId="2917D2C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r>
      <w:tr w:rsidR="006B6F84" w:rsidRPr="001F0C5A" w14:paraId="5EFECBA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40DEE51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w:t>
            </w:r>
          </w:p>
        </w:tc>
        <w:tc>
          <w:tcPr>
            <w:tcW w:w="247" w:type="pct"/>
            <w:tcBorders>
              <w:top w:val="nil"/>
              <w:left w:val="nil"/>
              <w:bottom w:val="single" w:sz="4" w:space="0" w:color="auto"/>
              <w:right w:val="single" w:sz="4" w:space="0" w:color="auto"/>
            </w:tcBorders>
            <w:shd w:val="clear" w:color="000000" w:fill="DDEBF7"/>
            <w:vAlign w:val="center"/>
            <w:hideMark/>
          </w:tcPr>
          <w:p w14:paraId="42086B8B"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1: Përmirësimi i nivelit të respektimit, mbrojtjes dhe promovimit të të drejtave themelore, sjelljes profesionale të oficerëve të kontrollit kufitar, si dhe aftësive të tyre profesionale për përdorim më efikas të pajisjeve teknike, trajnimit dhe zhvillimit profesional</w:t>
            </w:r>
          </w:p>
        </w:tc>
        <w:tc>
          <w:tcPr>
            <w:tcW w:w="211" w:type="pct"/>
            <w:tcBorders>
              <w:top w:val="nil"/>
              <w:left w:val="nil"/>
              <w:bottom w:val="single" w:sz="4" w:space="0" w:color="auto"/>
              <w:right w:val="single" w:sz="4" w:space="0" w:color="auto"/>
            </w:tcBorders>
            <w:shd w:val="clear" w:color="000000" w:fill="DDEBF7"/>
            <w:vAlign w:val="center"/>
            <w:hideMark/>
          </w:tcPr>
          <w:p w14:paraId="58127D7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586389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7D9852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57A4C3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66E4F1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8188D7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0F794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5181B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8F0CA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88B7C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A3E80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AC1C2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65E69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F00BC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A4831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E8FA3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7826F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720AD6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4DEEB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16F32D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A1F6C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72A27F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51BA5B3C"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FD72D0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1.1</w:t>
            </w:r>
          </w:p>
        </w:tc>
        <w:tc>
          <w:tcPr>
            <w:tcW w:w="247" w:type="pct"/>
            <w:tcBorders>
              <w:top w:val="nil"/>
              <w:left w:val="nil"/>
              <w:bottom w:val="single" w:sz="4" w:space="0" w:color="auto"/>
              <w:right w:val="single" w:sz="4" w:space="0" w:color="auto"/>
            </w:tcBorders>
            <w:shd w:val="clear" w:color="auto" w:fill="auto"/>
            <w:vAlign w:val="center"/>
            <w:hideMark/>
          </w:tcPr>
          <w:p w14:paraId="2CE6D583" w14:textId="3B92FC15"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Vijimi i trajnimit të roj</w:t>
            </w:r>
            <w:r w:rsidR="00CB13C5">
              <w:rPr>
                <w:rFonts w:ascii="Garamond" w:eastAsia="Times New Roman" w:hAnsi="Garamond" w:cs="Times New Roman"/>
                <w:b/>
                <w:bCs/>
                <w:color w:val="000000"/>
                <w:sz w:val="6"/>
                <w:szCs w:val="6"/>
                <w:lang w:val="sq-AL"/>
              </w:rPr>
              <w:t>a</w:t>
            </w:r>
            <w:r w:rsidRPr="001F0C5A">
              <w:rPr>
                <w:rFonts w:ascii="Garamond" w:eastAsia="Times New Roman" w:hAnsi="Garamond" w:cs="Times New Roman"/>
                <w:b/>
                <w:bCs/>
                <w:color w:val="000000"/>
                <w:sz w:val="6"/>
                <w:szCs w:val="6"/>
                <w:lang w:val="sq-AL"/>
              </w:rPr>
              <w:t xml:space="preserve">ve kufitare për procedurat </w:t>
            </w:r>
            <w:r w:rsidR="00CB13C5" w:rsidRPr="001F0C5A">
              <w:rPr>
                <w:rFonts w:ascii="Garamond" w:eastAsia="Times New Roman" w:hAnsi="Garamond" w:cs="Times New Roman"/>
                <w:b/>
                <w:bCs/>
                <w:color w:val="000000"/>
                <w:sz w:val="6"/>
                <w:szCs w:val="6"/>
                <w:lang w:val="sq-AL"/>
              </w:rPr>
              <w:t>standarde</w:t>
            </w:r>
            <w:r w:rsidRPr="001F0C5A">
              <w:rPr>
                <w:rFonts w:ascii="Garamond" w:eastAsia="Times New Roman" w:hAnsi="Garamond" w:cs="Times New Roman"/>
                <w:b/>
                <w:bCs/>
                <w:color w:val="000000"/>
                <w:sz w:val="6"/>
                <w:szCs w:val="6"/>
                <w:lang w:val="sq-AL"/>
              </w:rPr>
              <w:t xml:space="preserve"> të përzgjedhjes dhe referimit të të huajve të parregullt</w:t>
            </w:r>
          </w:p>
        </w:tc>
        <w:tc>
          <w:tcPr>
            <w:tcW w:w="211" w:type="pct"/>
            <w:tcBorders>
              <w:top w:val="nil"/>
              <w:left w:val="nil"/>
              <w:bottom w:val="single" w:sz="4" w:space="0" w:color="auto"/>
              <w:right w:val="single" w:sz="4" w:space="0" w:color="auto"/>
            </w:tcBorders>
            <w:shd w:val="clear" w:color="000000" w:fill="FFFFFF"/>
            <w:vAlign w:val="center"/>
            <w:hideMark/>
          </w:tcPr>
          <w:p w14:paraId="2E99BB2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AADF3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E522D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11B35FB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96BFEA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F15C4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711BAA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D654A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41EAA7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6223A3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3CBF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1180F0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1A92B1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89F04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57713F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2EAB0C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2FBF1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467159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573E3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9DD5B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BFA06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1E824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39323E2"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754AE5F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1.2</w:t>
            </w:r>
          </w:p>
        </w:tc>
        <w:tc>
          <w:tcPr>
            <w:tcW w:w="247" w:type="pct"/>
            <w:tcBorders>
              <w:top w:val="nil"/>
              <w:left w:val="nil"/>
              <w:bottom w:val="single" w:sz="4" w:space="0" w:color="auto"/>
              <w:right w:val="single" w:sz="4" w:space="0" w:color="auto"/>
            </w:tcBorders>
            <w:shd w:val="clear" w:color="auto" w:fill="auto"/>
            <w:vAlign w:val="center"/>
            <w:hideMark/>
          </w:tcPr>
          <w:p w14:paraId="5564EE0D" w14:textId="741FCDC0"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Trajnim i vazhdueshëm i roj</w:t>
            </w:r>
            <w:r w:rsidR="00A91982">
              <w:rPr>
                <w:rFonts w:ascii="Garamond" w:eastAsia="Times New Roman" w:hAnsi="Garamond" w:cs="Times New Roman"/>
                <w:b/>
                <w:bCs/>
                <w:color w:val="000000"/>
                <w:sz w:val="6"/>
                <w:szCs w:val="6"/>
                <w:lang w:val="sq-AL"/>
              </w:rPr>
              <w:t>a</w:t>
            </w:r>
            <w:r w:rsidRPr="001F0C5A">
              <w:rPr>
                <w:rFonts w:ascii="Garamond" w:eastAsia="Times New Roman" w:hAnsi="Garamond" w:cs="Times New Roman"/>
                <w:b/>
                <w:bCs/>
                <w:color w:val="000000"/>
                <w:sz w:val="6"/>
                <w:szCs w:val="6"/>
                <w:lang w:val="sq-AL"/>
              </w:rPr>
              <w:t>ve kufitare për grumbullimin dhe përdorimin e të dhënave personale</w:t>
            </w:r>
          </w:p>
        </w:tc>
        <w:tc>
          <w:tcPr>
            <w:tcW w:w="211" w:type="pct"/>
            <w:tcBorders>
              <w:top w:val="nil"/>
              <w:left w:val="nil"/>
              <w:bottom w:val="single" w:sz="4" w:space="0" w:color="auto"/>
              <w:right w:val="single" w:sz="4" w:space="0" w:color="auto"/>
            </w:tcBorders>
            <w:shd w:val="clear" w:color="000000" w:fill="FFFFFF"/>
            <w:vAlign w:val="center"/>
            <w:hideMark/>
          </w:tcPr>
          <w:p w14:paraId="1C0D40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438022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5C506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129123F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51D142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79A94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703B04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33836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E9F61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36F82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7E575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8DB45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F0981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ABA0E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7EDB64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41AB6A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8218E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70" w:type="pct"/>
            <w:tcBorders>
              <w:top w:val="nil"/>
              <w:left w:val="nil"/>
              <w:bottom w:val="single" w:sz="4" w:space="0" w:color="auto"/>
              <w:right w:val="single" w:sz="4" w:space="0" w:color="auto"/>
            </w:tcBorders>
            <w:shd w:val="clear" w:color="000000" w:fill="FFFFFF"/>
            <w:vAlign w:val="center"/>
            <w:hideMark/>
          </w:tcPr>
          <w:p w14:paraId="6A7175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DB637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280B3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E71BA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C1A9A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F6D4285"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5ED450F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1.3</w:t>
            </w:r>
          </w:p>
        </w:tc>
        <w:tc>
          <w:tcPr>
            <w:tcW w:w="247" w:type="pct"/>
            <w:tcBorders>
              <w:top w:val="nil"/>
              <w:left w:val="nil"/>
              <w:bottom w:val="single" w:sz="4" w:space="0" w:color="auto"/>
              <w:right w:val="single" w:sz="4" w:space="0" w:color="auto"/>
            </w:tcBorders>
            <w:shd w:val="clear" w:color="auto" w:fill="auto"/>
            <w:vAlign w:val="center"/>
            <w:hideMark/>
          </w:tcPr>
          <w:p w14:paraId="123318F5" w14:textId="5AB92529" w:rsidR="00D86FA8" w:rsidRPr="001F0C5A" w:rsidRDefault="00CB13C5"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Zhvillimi</w:t>
            </w:r>
            <w:r w:rsidR="00D86FA8" w:rsidRPr="001F0C5A">
              <w:rPr>
                <w:rFonts w:ascii="Garamond" w:eastAsia="Times New Roman" w:hAnsi="Garamond" w:cs="Times New Roman"/>
                <w:b/>
                <w:bCs/>
                <w:color w:val="000000"/>
                <w:sz w:val="6"/>
                <w:szCs w:val="6"/>
                <w:lang w:val="sq-AL"/>
              </w:rPr>
              <w:t xml:space="preserve"> i trajnimeve të vazhdueshme për trajtimin e shtetasve të huaj në territorin e Republikës së Shqipërisë, në përputhje me legjislacionin për të huajt</w:t>
            </w:r>
          </w:p>
        </w:tc>
        <w:tc>
          <w:tcPr>
            <w:tcW w:w="211" w:type="pct"/>
            <w:tcBorders>
              <w:top w:val="nil"/>
              <w:left w:val="nil"/>
              <w:bottom w:val="single" w:sz="4" w:space="0" w:color="auto"/>
              <w:right w:val="single" w:sz="4" w:space="0" w:color="auto"/>
            </w:tcBorders>
            <w:shd w:val="clear" w:color="000000" w:fill="FFFFFF"/>
            <w:vAlign w:val="center"/>
            <w:hideMark/>
          </w:tcPr>
          <w:p w14:paraId="4D5120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3C655D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17B554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22851B8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77E6FF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89B74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7EE1D2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8631A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4CF35C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2F23EA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FD644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2A04EA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19AD79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256E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49FDDF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2B647B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8D097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05449F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49B1E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DE23B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B0CE2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85C7E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32A1FE3"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D9DE29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1.4</w:t>
            </w:r>
          </w:p>
        </w:tc>
        <w:tc>
          <w:tcPr>
            <w:tcW w:w="247" w:type="pct"/>
            <w:tcBorders>
              <w:top w:val="nil"/>
              <w:left w:val="nil"/>
              <w:bottom w:val="single" w:sz="4" w:space="0" w:color="auto"/>
              <w:right w:val="single" w:sz="4" w:space="0" w:color="auto"/>
            </w:tcBorders>
            <w:shd w:val="clear" w:color="auto" w:fill="auto"/>
            <w:vAlign w:val="center"/>
            <w:hideMark/>
          </w:tcPr>
          <w:p w14:paraId="4D0AF23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Rishikimi i procedurave për përzgjedhjen e shtetasve të huaj imigrantë të parregullt që hyjnë në vendin tonë në mënyrë të paligjshme nëpërmjet kufirit</w:t>
            </w:r>
          </w:p>
        </w:tc>
        <w:tc>
          <w:tcPr>
            <w:tcW w:w="211" w:type="pct"/>
            <w:tcBorders>
              <w:top w:val="nil"/>
              <w:left w:val="nil"/>
              <w:bottom w:val="single" w:sz="4" w:space="0" w:color="auto"/>
              <w:right w:val="single" w:sz="4" w:space="0" w:color="auto"/>
            </w:tcBorders>
            <w:shd w:val="clear" w:color="000000" w:fill="FFFFFF"/>
            <w:vAlign w:val="center"/>
            <w:hideMark/>
          </w:tcPr>
          <w:p w14:paraId="37FAA0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24FCEE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164A30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37253E8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ADC810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84EEE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371C4E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3EABC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6F3D70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232125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9A8D3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6CB775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551D96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B17E5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0EC41B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1465B2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C7DDA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233CDF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159C1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B578C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8B95C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A25B1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17E62BC"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22160D4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1.5</w:t>
            </w:r>
          </w:p>
        </w:tc>
        <w:tc>
          <w:tcPr>
            <w:tcW w:w="247" w:type="pct"/>
            <w:tcBorders>
              <w:top w:val="nil"/>
              <w:left w:val="nil"/>
              <w:bottom w:val="single" w:sz="4" w:space="0" w:color="auto"/>
              <w:right w:val="single" w:sz="4" w:space="0" w:color="auto"/>
            </w:tcBorders>
            <w:shd w:val="clear" w:color="auto" w:fill="auto"/>
            <w:vAlign w:val="center"/>
            <w:hideMark/>
          </w:tcPr>
          <w:p w14:paraId="4309018A" w14:textId="35D263C8"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Trajnime të stafit doganor lidhur përdorimin</w:t>
            </w:r>
            <w:r w:rsidRPr="001F0C5A">
              <w:rPr>
                <w:rFonts w:ascii="Garamond" w:eastAsia="Times New Roman" w:hAnsi="Garamond" w:cs="Times New Roman"/>
                <w:b/>
                <w:bCs/>
                <w:sz w:val="6"/>
                <w:szCs w:val="6"/>
                <w:lang w:val="sq-AL"/>
              </w:rPr>
              <w:t xml:space="preserve"> e </w:t>
            </w:r>
            <w:r w:rsidR="00CB13C5" w:rsidRPr="001F0C5A">
              <w:rPr>
                <w:rFonts w:ascii="Garamond" w:eastAsia="Times New Roman" w:hAnsi="Garamond" w:cs="Times New Roman"/>
                <w:b/>
                <w:bCs/>
                <w:sz w:val="6"/>
                <w:szCs w:val="6"/>
                <w:lang w:val="sq-AL"/>
              </w:rPr>
              <w:t>pajisjeve</w:t>
            </w:r>
            <w:r w:rsidRPr="001F0C5A">
              <w:rPr>
                <w:rFonts w:ascii="Garamond" w:eastAsia="Times New Roman" w:hAnsi="Garamond" w:cs="Times New Roman"/>
                <w:b/>
                <w:bCs/>
                <w:sz w:val="6"/>
                <w:szCs w:val="6"/>
                <w:lang w:val="sq-AL"/>
              </w:rPr>
              <w:t xml:space="preserve"> të kontrollit (si skanera</w:t>
            </w:r>
            <w:r w:rsidRPr="001F0C5A">
              <w:rPr>
                <w:rFonts w:ascii="Garamond" w:eastAsia="Times New Roman" w:hAnsi="Garamond" w:cs="Times New Roman"/>
                <w:b/>
                <w:bCs/>
                <w:color w:val="000000"/>
                <w:sz w:val="6"/>
                <w:szCs w:val="6"/>
                <w:lang w:val="sq-AL"/>
              </w:rPr>
              <w:t xml:space="preserve"> etj.)</w:t>
            </w:r>
          </w:p>
        </w:tc>
        <w:tc>
          <w:tcPr>
            <w:tcW w:w="211" w:type="pct"/>
            <w:tcBorders>
              <w:top w:val="nil"/>
              <w:left w:val="nil"/>
              <w:bottom w:val="single" w:sz="4" w:space="0" w:color="auto"/>
              <w:right w:val="single" w:sz="4" w:space="0" w:color="auto"/>
            </w:tcBorders>
            <w:shd w:val="clear" w:color="000000" w:fill="FFFFFF"/>
            <w:vAlign w:val="center"/>
            <w:hideMark/>
          </w:tcPr>
          <w:p w14:paraId="4B8CD84F" w14:textId="1235448E"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Programi 01150 Produkti 91005 AA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Deklarata doganore t</w:t>
            </w:r>
            <w:r w:rsidR="006C2282">
              <w:rPr>
                <w:rFonts w:ascii="Garamond" w:eastAsia="Times New Roman" w:hAnsi="Garamond" w:cs="Times New Roman"/>
                <w:sz w:val="6"/>
                <w:szCs w:val="6"/>
                <w:lang w:val="sq-AL"/>
              </w:rPr>
              <w:t>ë</w:t>
            </w:r>
            <w:r w:rsidRPr="001F0C5A">
              <w:rPr>
                <w:rFonts w:ascii="Garamond" w:eastAsia="Times New Roman" w:hAnsi="Garamond" w:cs="Times New Roman"/>
                <w:sz w:val="6"/>
                <w:szCs w:val="6"/>
                <w:lang w:val="sq-AL"/>
              </w:rPr>
              <w:t xml:space="preserve"> procesuara</w:t>
            </w:r>
            <w:r w:rsidR="006C2282">
              <w:rPr>
                <w:rFonts w:ascii="Garamond" w:eastAsia="Times New Roman" w:hAnsi="Garamond" w:cs="Times New Roman"/>
                <w:sz w:val="6"/>
                <w:szCs w:val="6"/>
                <w:lang w:val="sq-AL"/>
              </w:rPr>
              <w:t>”</w:t>
            </w:r>
          </w:p>
        </w:tc>
        <w:tc>
          <w:tcPr>
            <w:tcW w:w="202" w:type="pct"/>
            <w:tcBorders>
              <w:top w:val="nil"/>
              <w:left w:val="nil"/>
              <w:bottom w:val="single" w:sz="4" w:space="0" w:color="auto"/>
              <w:right w:val="single" w:sz="4" w:space="0" w:color="auto"/>
            </w:tcBorders>
            <w:shd w:val="clear" w:color="000000" w:fill="FFFFFF"/>
            <w:vAlign w:val="center"/>
            <w:hideMark/>
          </w:tcPr>
          <w:p w14:paraId="75532B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12CB41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1AAA4A3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1ED3FA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5AEA0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106,671</w:t>
            </w:r>
          </w:p>
        </w:tc>
        <w:tc>
          <w:tcPr>
            <w:tcW w:w="181" w:type="pct"/>
            <w:tcBorders>
              <w:top w:val="nil"/>
              <w:left w:val="nil"/>
              <w:bottom w:val="single" w:sz="4" w:space="0" w:color="auto"/>
              <w:right w:val="single" w:sz="4" w:space="0" w:color="auto"/>
            </w:tcBorders>
            <w:shd w:val="clear" w:color="000000" w:fill="FFFFFF"/>
            <w:vAlign w:val="center"/>
            <w:hideMark/>
          </w:tcPr>
          <w:p w14:paraId="2749DA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74EA4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106,671</w:t>
            </w:r>
          </w:p>
        </w:tc>
        <w:tc>
          <w:tcPr>
            <w:tcW w:w="196" w:type="pct"/>
            <w:tcBorders>
              <w:top w:val="nil"/>
              <w:left w:val="nil"/>
              <w:bottom w:val="single" w:sz="4" w:space="0" w:color="auto"/>
              <w:right w:val="single" w:sz="4" w:space="0" w:color="auto"/>
            </w:tcBorders>
            <w:shd w:val="clear" w:color="000000" w:fill="FFFFFF"/>
            <w:vAlign w:val="center"/>
            <w:hideMark/>
          </w:tcPr>
          <w:p w14:paraId="7F1629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106,671</w:t>
            </w:r>
          </w:p>
        </w:tc>
        <w:tc>
          <w:tcPr>
            <w:tcW w:w="196" w:type="pct"/>
            <w:tcBorders>
              <w:top w:val="nil"/>
              <w:left w:val="nil"/>
              <w:bottom w:val="single" w:sz="4" w:space="0" w:color="auto"/>
              <w:right w:val="single" w:sz="4" w:space="0" w:color="auto"/>
            </w:tcBorders>
            <w:shd w:val="clear" w:color="000000" w:fill="FFFFFF"/>
            <w:vAlign w:val="center"/>
            <w:hideMark/>
          </w:tcPr>
          <w:p w14:paraId="1036FD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B7CE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106,671</w:t>
            </w:r>
          </w:p>
        </w:tc>
        <w:tc>
          <w:tcPr>
            <w:tcW w:w="196" w:type="pct"/>
            <w:tcBorders>
              <w:top w:val="nil"/>
              <w:left w:val="nil"/>
              <w:bottom w:val="single" w:sz="4" w:space="0" w:color="auto"/>
              <w:right w:val="single" w:sz="4" w:space="0" w:color="auto"/>
            </w:tcBorders>
            <w:shd w:val="clear" w:color="000000" w:fill="FFFFFF"/>
            <w:vAlign w:val="center"/>
            <w:hideMark/>
          </w:tcPr>
          <w:p w14:paraId="2E66C7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213,342</w:t>
            </w:r>
          </w:p>
        </w:tc>
        <w:tc>
          <w:tcPr>
            <w:tcW w:w="196" w:type="pct"/>
            <w:tcBorders>
              <w:top w:val="nil"/>
              <w:left w:val="nil"/>
              <w:bottom w:val="single" w:sz="4" w:space="0" w:color="auto"/>
              <w:right w:val="single" w:sz="4" w:space="0" w:color="auto"/>
            </w:tcBorders>
            <w:shd w:val="clear" w:color="000000" w:fill="FFFFFF"/>
            <w:vAlign w:val="center"/>
            <w:hideMark/>
          </w:tcPr>
          <w:p w14:paraId="3803D3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5E077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213,342</w:t>
            </w:r>
          </w:p>
        </w:tc>
        <w:tc>
          <w:tcPr>
            <w:tcW w:w="196" w:type="pct"/>
            <w:tcBorders>
              <w:top w:val="nil"/>
              <w:left w:val="nil"/>
              <w:bottom w:val="single" w:sz="4" w:space="0" w:color="auto"/>
              <w:right w:val="single" w:sz="4" w:space="0" w:color="auto"/>
            </w:tcBorders>
            <w:shd w:val="clear" w:color="000000" w:fill="FFFFFF"/>
            <w:vAlign w:val="center"/>
            <w:hideMark/>
          </w:tcPr>
          <w:p w14:paraId="0F42F3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213,342</w:t>
            </w:r>
          </w:p>
        </w:tc>
        <w:tc>
          <w:tcPr>
            <w:tcW w:w="181" w:type="pct"/>
            <w:tcBorders>
              <w:top w:val="nil"/>
              <w:left w:val="nil"/>
              <w:bottom w:val="single" w:sz="4" w:space="0" w:color="auto"/>
              <w:right w:val="single" w:sz="4" w:space="0" w:color="auto"/>
            </w:tcBorders>
            <w:shd w:val="clear" w:color="000000" w:fill="FFFFFF"/>
            <w:vAlign w:val="center"/>
            <w:hideMark/>
          </w:tcPr>
          <w:p w14:paraId="16740E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D517C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213,342</w:t>
            </w:r>
          </w:p>
        </w:tc>
        <w:tc>
          <w:tcPr>
            <w:tcW w:w="170" w:type="pct"/>
            <w:tcBorders>
              <w:top w:val="nil"/>
              <w:left w:val="nil"/>
              <w:bottom w:val="single" w:sz="4" w:space="0" w:color="auto"/>
              <w:right w:val="single" w:sz="4" w:space="0" w:color="auto"/>
            </w:tcBorders>
            <w:shd w:val="clear" w:color="000000" w:fill="FFFFFF"/>
            <w:vAlign w:val="center"/>
            <w:hideMark/>
          </w:tcPr>
          <w:p w14:paraId="3A1DD5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58913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6CA10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0DFDF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78056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08A96B8"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489EB98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0C40A48C" w14:textId="29E441DD"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  –</w:t>
            </w:r>
            <w:r w:rsidR="00CB13C5" w:rsidRPr="001F0C5A">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 xml:space="preserve"> Objektivi </w:t>
            </w:r>
            <w:r w:rsidR="00CB13C5" w:rsidRPr="001F0C5A">
              <w:rPr>
                <w:rFonts w:ascii="Garamond" w:eastAsia="Times New Roman" w:hAnsi="Garamond" w:cs="Times New Roman"/>
                <w:b/>
                <w:bCs/>
                <w:color w:val="FF0000"/>
                <w:sz w:val="6"/>
                <w:szCs w:val="6"/>
                <w:lang w:val="sq-AL"/>
              </w:rPr>
              <w:t xml:space="preserve">specifik </w:t>
            </w:r>
            <w:r w:rsidRPr="001F0C5A">
              <w:rPr>
                <w:rFonts w:ascii="Garamond" w:eastAsia="Times New Roman" w:hAnsi="Garamond" w:cs="Times New Roman"/>
                <w:b/>
                <w:bCs/>
                <w:color w:val="FF0000"/>
                <w:sz w:val="6"/>
                <w:szCs w:val="6"/>
                <w:lang w:val="sq-AL"/>
              </w:rPr>
              <w:t>1</w:t>
            </w:r>
          </w:p>
        </w:tc>
        <w:tc>
          <w:tcPr>
            <w:tcW w:w="211" w:type="pct"/>
            <w:tcBorders>
              <w:top w:val="nil"/>
              <w:left w:val="nil"/>
              <w:bottom w:val="single" w:sz="4" w:space="0" w:color="auto"/>
              <w:right w:val="single" w:sz="4" w:space="0" w:color="auto"/>
            </w:tcBorders>
            <w:shd w:val="clear" w:color="000000" w:fill="D9D9D9"/>
            <w:vAlign w:val="center"/>
            <w:hideMark/>
          </w:tcPr>
          <w:p w14:paraId="26F5584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2D48E90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6120525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300482B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3816900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BFBFBF"/>
            <w:vAlign w:val="center"/>
            <w:hideMark/>
          </w:tcPr>
          <w:p w14:paraId="54A01A3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1,256,671</w:t>
            </w:r>
          </w:p>
        </w:tc>
        <w:tc>
          <w:tcPr>
            <w:tcW w:w="181" w:type="pct"/>
            <w:tcBorders>
              <w:top w:val="nil"/>
              <w:left w:val="nil"/>
              <w:bottom w:val="single" w:sz="4" w:space="0" w:color="auto"/>
              <w:right w:val="single" w:sz="4" w:space="0" w:color="auto"/>
            </w:tcBorders>
            <w:shd w:val="clear" w:color="000000" w:fill="BFBFBF"/>
            <w:vAlign w:val="center"/>
            <w:hideMark/>
          </w:tcPr>
          <w:p w14:paraId="1D1A4FE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157812E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1,256,671</w:t>
            </w:r>
          </w:p>
        </w:tc>
        <w:tc>
          <w:tcPr>
            <w:tcW w:w="196" w:type="pct"/>
            <w:tcBorders>
              <w:top w:val="nil"/>
              <w:left w:val="nil"/>
              <w:bottom w:val="single" w:sz="4" w:space="0" w:color="auto"/>
              <w:right w:val="single" w:sz="4" w:space="0" w:color="auto"/>
            </w:tcBorders>
            <w:shd w:val="clear" w:color="000000" w:fill="BFBFBF"/>
            <w:vAlign w:val="center"/>
            <w:hideMark/>
          </w:tcPr>
          <w:p w14:paraId="3A7B0F4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1,006,671</w:t>
            </w:r>
          </w:p>
        </w:tc>
        <w:tc>
          <w:tcPr>
            <w:tcW w:w="196" w:type="pct"/>
            <w:tcBorders>
              <w:top w:val="nil"/>
              <w:left w:val="nil"/>
              <w:bottom w:val="single" w:sz="4" w:space="0" w:color="auto"/>
              <w:right w:val="single" w:sz="4" w:space="0" w:color="auto"/>
            </w:tcBorders>
            <w:shd w:val="clear" w:color="000000" w:fill="BFBFBF"/>
            <w:vAlign w:val="center"/>
            <w:hideMark/>
          </w:tcPr>
          <w:p w14:paraId="1E05CFF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600800E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1,006,671</w:t>
            </w:r>
          </w:p>
        </w:tc>
        <w:tc>
          <w:tcPr>
            <w:tcW w:w="196" w:type="pct"/>
            <w:tcBorders>
              <w:top w:val="nil"/>
              <w:left w:val="nil"/>
              <w:bottom w:val="single" w:sz="4" w:space="0" w:color="auto"/>
              <w:right w:val="single" w:sz="4" w:space="0" w:color="auto"/>
            </w:tcBorders>
            <w:shd w:val="clear" w:color="000000" w:fill="BFBFBF"/>
            <w:vAlign w:val="center"/>
            <w:hideMark/>
          </w:tcPr>
          <w:p w14:paraId="2E17BDB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2,263,342</w:t>
            </w:r>
          </w:p>
        </w:tc>
        <w:tc>
          <w:tcPr>
            <w:tcW w:w="196" w:type="pct"/>
            <w:tcBorders>
              <w:top w:val="nil"/>
              <w:left w:val="nil"/>
              <w:bottom w:val="single" w:sz="4" w:space="0" w:color="auto"/>
              <w:right w:val="single" w:sz="4" w:space="0" w:color="auto"/>
            </w:tcBorders>
            <w:shd w:val="clear" w:color="000000" w:fill="BFBFBF"/>
            <w:vAlign w:val="center"/>
            <w:hideMark/>
          </w:tcPr>
          <w:p w14:paraId="5FD6E65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5250241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2,263,342</w:t>
            </w:r>
          </w:p>
        </w:tc>
        <w:tc>
          <w:tcPr>
            <w:tcW w:w="196" w:type="pct"/>
            <w:tcBorders>
              <w:top w:val="nil"/>
              <w:left w:val="nil"/>
              <w:bottom w:val="single" w:sz="4" w:space="0" w:color="auto"/>
              <w:right w:val="single" w:sz="4" w:space="0" w:color="auto"/>
            </w:tcBorders>
            <w:shd w:val="clear" w:color="000000" w:fill="BFBFBF"/>
            <w:vAlign w:val="center"/>
            <w:hideMark/>
          </w:tcPr>
          <w:p w14:paraId="6784BFC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2,263,342</w:t>
            </w:r>
          </w:p>
        </w:tc>
        <w:tc>
          <w:tcPr>
            <w:tcW w:w="181" w:type="pct"/>
            <w:tcBorders>
              <w:top w:val="nil"/>
              <w:left w:val="nil"/>
              <w:bottom w:val="single" w:sz="4" w:space="0" w:color="auto"/>
              <w:right w:val="single" w:sz="4" w:space="0" w:color="auto"/>
            </w:tcBorders>
            <w:shd w:val="clear" w:color="000000" w:fill="BFBFBF"/>
            <w:vAlign w:val="center"/>
            <w:hideMark/>
          </w:tcPr>
          <w:p w14:paraId="6ABDE4B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11FC663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2,263,342</w:t>
            </w:r>
          </w:p>
        </w:tc>
        <w:tc>
          <w:tcPr>
            <w:tcW w:w="170" w:type="pct"/>
            <w:tcBorders>
              <w:top w:val="nil"/>
              <w:left w:val="nil"/>
              <w:bottom w:val="single" w:sz="4" w:space="0" w:color="auto"/>
              <w:right w:val="single" w:sz="4" w:space="0" w:color="auto"/>
            </w:tcBorders>
            <w:shd w:val="clear" w:color="000000" w:fill="BFBFBF"/>
            <w:vAlign w:val="center"/>
            <w:hideMark/>
          </w:tcPr>
          <w:p w14:paraId="1AEA6A7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2E02C48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BFBFBF"/>
            <w:vAlign w:val="center"/>
            <w:hideMark/>
          </w:tcPr>
          <w:p w14:paraId="3B392C9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1B71027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BFBFBF"/>
            <w:vAlign w:val="center"/>
            <w:hideMark/>
          </w:tcPr>
          <w:p w14:paraId="59774B2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03EB283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6FC4E73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w:t>
            </w:r>
          </w:p>
        </w:tc>
        <w:tc>
          <w:tcPr>
            <w:tcW w:w="247" w:type="pct"/>
            <w:tcBorders>
              <w:top w:val="nil"/>
              <w:left w:val="nil"/>
              <w:bottom w:val="single" w:sz="4" w:space="0" w:color="auto"/>
              <w:right w:val="single" w:sz="4" w:space="0" w:color="auto"/>
            </w:tcBorders>
            <w:shd w:val="clear" w:color="000000" w:fill="DDEBF7"/>
            <w:vAlign w:val="center"/>
            <w:hideMark/>
          </w:tcPr>
          <w:p w14:paraId="6FE7D33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2: Kontrolli i cilësisë në zbatimin e ligjit për menaxhimin e kufijve dhe sjellja e policëve dhe doganierëve të përfshirë në kontrollin kufitar dhe doganor të kryhet në përputhje aktet ligjore dhe nënligjore dhe me standardet e BE-së</w:t>
            </w:r>
          </w:p>
        </w:tc>
        <w:tc>
          <w:tcPr>
            <w:tcW w:w="211" w:type="pct"/>
            <w:tcBorders>
              <w:top w:val="nil"/>
              <w:left w:val="nil"/>
              <w:bottom w:val="single" w:sz="4" w:space="0" w:color="auto"/>
              <w:right w:val="single" w:sz="4" w:space="0" w:color="auto"/>
            </w:tcBorders>
            <w:shd w:val="clear" w:color="000000" w:fill="DDEBF7"/>
            <w:vAlign w:val="center"/>
            <w:hideMark/>
          </w:tcPr>
          <w:p w14:paraId="2B9DFC4F"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66E51F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7F007D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50DA21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5B38EC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1D613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CB866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94426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68A2F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E5797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15BB17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5B2E8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B8ACB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6C0FD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4C09E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C7F00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F46D8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3BF26E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E7BDF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5135F9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EA760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163ED7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3352741E"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F72F9B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2.1</w:t>
            </w:r>
          </w:p>
        </w:tc>
        <w:tc>
          <w:tcPr>
            <w:tcW w:w="247" w:type="pct"/>
            <w:tcBorders>
              <w:top w:val="nil"/>
              <w:left w:val="nil"/>
              <w:bottom w:val="single" w:sz="4" w:space="0" w:color="auto"/>
              <w:right w:val="single" w:sz="4" w:space="0" w:color="auto"/>
            </w:tcBorders>
            <w:shd w:val="clear" w:color="000000" w:fill="FFFFFF"/>
            <w:vAlign w:val="center"/>
            <w:hideMark/>
          </w:tcPr>
          <w:p w14:paraId="28E371C6" w14:textId="0B33431C"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Rishikimi dhe miratimi i procedurave </w:t>
            </w:r>
            <w:r w:rsidR="00CB13C5" w:rsidRPr="001F0C5A">
              <w:rPr>
                <w:rFonts w:ascii="Garamond" w:eastAsia="Times New Roman" w:hAnsi="Garamond" w:cs="Times New Roman"/>
                <w:b/>
                <w:bCs/>
                <w:color w:val="000000"/>
                <w:sz w:val="6"/>
                <w:szCs w:val="6"/>
                <w:lang w:val="sq-AL"/>
              </w:rPr>
              <w:t>standarde</w:t>
            </w:r>
            <w:r w:rsidRPr="001F0C5A">
              <w:rPr>
                <w:rFonts w:ascii="Garamond" w:eastAsia="Times New Roman" w:hAnsi="Garamond" w:cs="Times New Roman"/>
                <w:b/>
                <w:bCs/>
                <w:color w:val="000000"/>
                <w:sz w:val="6"/>
                <w:szCs w:val="6"/>
                <w:lang w:val="sq-AL"/>
              </w:rPr>
              <w:t xml:space="preserve"> të punës për zhvillimin e inspektimeve tematike të aktivitetit të strukturave për kufirin dhe migracionin, nga Departamenti për Kufirin dhe Migracionin</w:t>
            </w:r>
          </w:p>
        </w:tc>
        <w:tc>
          <w:tcPr>
            <w:tcW w:w="211" w:type="pct"/>
            <w:tcBorders>
              <w:top w:val="nil"/>
              <w:left w:val="nil"/>
              <w:bottom w:val="single" w:sz="4" w:space="0" w:color="auto"/>
              <w:right w:val="single" w:sz="4" w:space="0" w:color="auto"/>
            </w:tcBorders>
            <w:shd w:val="clear" w:color="000000" w:fill="FFFFFF"/>
            <w:vAlign w:val="center"/>
            <w:hideMark/>
          </w:tcPr>
          <w:p w14:paraId="38906FB4" w14:textId="66D96C09" w:rsidR="00D86FA8" w:rsidRPr="001F0C5A" w:rsidRDefault="001F0C5A"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w:t>
            </w:r>
            <w:r w:rsidR="00D86FA8"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181A1D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3CF4A5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1086628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E7FABD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2F031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639B25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1EEE2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547630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554028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59C5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2404B0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62EDE6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B9E6E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67EF504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62E71F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7A170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675D3E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F2D74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DE238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AA58C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C1E59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870607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7D3D7F9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2.2</w:t>
            </w:r>
          </w:p>
        </w:tc>
        <w:tc>
          <w:tcPr>
            <w:tcW w:w="247" w:type="pct"/>
            <w:tcBorders>
              <w:top w:val="nil"/>
              <w:left w:val="nil"/>
              <w:bottom w:val="single" w:sz="4" w:space="0" w:color="auto"/>
              <w:right w:val="single" w:sz="4" w:space="0" w:color="auto"/>
            </w:tcBorders>
            <w:shd w:val="clear" w:color="000000" w:fill="FFFFFF"/>
            <w:vAlign w:val="center"/>
            <w:hideMark/>
          </w:tcPr>
          <w:p w14:paraId="3B546B6B" w14:textId="48A24C0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Hartimi dhe zhvillimi i planeve të inspektimit të strukturave vendore për kufirin dhe migracionin</w:t>
            </w:r>
          </w:p>
        </w:tc>
        <w:tc>
          <w:tcPr>
            <w:tcW w:w="211" w:type="pct"/>
            <w:tcBorders>
              <w:top w:val="nil"/>
              <w:left w:val="nil"/>
              <w:bottom w:val="single" w:sz="4" w:space="0" w:color="auto"/>
              <w:right w:val="single" w:sz="4" w:space="0" w:color="auto"/>
            </w:tcBorders>
            <w:shd w:val="clear" w:color="000000" w:fill="FFFFFF"/>
            <w:vAlign w:val="center"/>
            <w:hideMark/>
          </w:tcPr>
          <w:p w14:paraId="30A9BE1D" w14:textId="687BE5F5" w:rsidR="00D86FA8" w:rsidRPr="001F0C5A" w:rsidRDefault="001F0C5A"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w:t>
            </w:r>
            <w:r w:rsidR="00D86FA8"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7AEF3A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46B728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7B872A7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B762C7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F93D0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74C11B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54A6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5D8054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1F3943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2E8E7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6BF2EB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613E9B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9D99A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6BFD17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6789D0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D12AB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4058BD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777B8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6EFAB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39BC2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97CEB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6D12C5E"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A31620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2.3</w:t>
            </w:r>
          </w:p>
        </w:tc>
        <w:tc>
          <w:tcPr>
            <w:tcW w:w="247" w:type="pct"/>
            <w:tcBorders>
              <w:top w:val="nil"/>
              <w:left w:val="nil"/>
              <w:bottom w:val="single" w:sz="4" w:space="0" w:color="auto"/>
              <w:right w:val="single" w:sz="4" w:space="0" w:color="auto"/>
            </w:tcBorders>
            <w:shd w:val="clear" w:color="000000" w:fill="FFFFFF"/>
            <w:vAlign w:val="center"/>
            <w:hideMark/>
          </w:tcPr>
          <w:p w14:paraId="638AE4EF" w14:textId="4520FD14"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Zhvillimi i inspektimeve </w:t>
            </w:r>
            <w:r w:rsidRPr="00CB13C5">
              <w:rPr>
                <w:rFonts w:ascii="Garamond" w:eastAsia="Times New Roman" w:hAnsi="Garamond" w:cs="Times New Roman"/>
                <w:b/>
                <w:bCs/>
                <w:i/>
                <w:iCs/>
                <w:color w:val="000000"/>
                <w:sz w:val="6"/>
                <w:szCs w:val="6"/>
                <w:lang w:val="sq-AL"/>
              </w:rPr>
              <w:t>ad-hoc</w:t>
            </w:r>
            <w:r w:rsidRPr="001F0C5A">
              <w:rPr>
                <w:rFonts w:ascii="Garamond" w:eastAsia="Times New Roman" w:hAnsi="Garamond" w:cs="Times New Roman"/>
                <w:b/>
                <w:bCs/>
                <w:color w:val="000000"/>
                <w:sz w:val="6"/>
                <w:szCs w:val="6"/>
                <w:lang w:val="sq-AL"/>
              </w:rPr>
              <w:t xml:space="preserve"> për probleme që mund të ndeshen apo në ndjekje të ankesave të shtetasve të ndryshëm, për aktivitetin e roj</w:t>
            </w:r>
            <w:r w:rsidR="00A91982">
              <w:rPr>
                <w:rFonts w:ascii="Garamond" w:eastAsia="Times New Roman" w:hAnsi="Garamond" w:cs="Times New Roman"/>
                <w:b/>
                <w:bCs/>
                <w:color w:val="000000"/>
                <w:sz w:val="6"/>
                <w:szCs w:val="6"/>
                <w:lang w:val="sq-AL"/>
              </w:rPr>
              <w:t>a</w:t>
            </w:r>
            <w:r w:rsidRPr="001F0C5A">
              <w:rPr>
                <w:rFonts w:ascii="Garamond" w:eastAsia="Times New Roman" w:hAnsi="Garamond" w:cs="Times New Roman"/>
                <w:b/>
                <w:bCs/>
                <w:color w:val="000000"/>
                <w:sz w:val="6"/>
                <w:szCs w:val="6"/>
                <w:lang w:val="sq-AL"/>
              </w:rPr>
              <w:t>ve kufitare dhe/ose strukturave vendore për kufirin dhe migracionin</w:t>
            </w:r>
          </w:p>
        </w:tc>
        <w:tc>
          <w:tcPr>
            <w:tcW w:w="211" w:type="pct"/>
            <w:tcBorders>
              <w:top w:val="nil"/>
              <w:left w:val="nil"/>
              <w:bottom w:val="single" w:sz="4" w:space="0" w:color="auto"/>
              <w:right w:val="single" w:sz="4" w:space="0" w:color="auto"/>
            </w:tcBorders>
            <w:shd w:val="clear" w:color="000000" w:fill="FFFFFF"/>
            <w:vAlign w:val="center"/>
            <w:hideMark/>
          </w:tcPr>
          <w:p w14:paraId="627D93B7" w14:textId="3619B3CB" w:rsidR="00D86FA8" w:rsidRPr="001F0C5A" w:rsidRDefault="001F0C5A"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w:t>
            </w:r>
            <w:r w:rsidR="00D86FA8"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0698CD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F00BD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4A778DE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78B842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E5A81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211772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86D6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1EEEDA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4C38630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A3CEF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7EC450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4C5D0A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6A14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08B42B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81" w:type="pct"/>
            <w:tcBorders>
              <w:top w:val="nil"/>
              <w:left w:val="nil"/>
              <w:bottom w:val="single" w:sz="4" w:space="0" w:color="auto"/>
              <w:right w:val="single" w:sz="4" w:space="0" w:color="auto"/>
            </w:tcBorders>
            <w:shd w:val="clear" w:color="000000" w:fill="FFFFFF"/>
            <w:vAlign w:val="center"/>
            <w:hideMark/>
          </w:tcPr>
          <w:p w14:paraId="02EF84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9CDDC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70" w:type="pct"/>
            <w:tcBorders>
              <w:top w:val="nil"/>
              <w:left w:val="nil"/>
              <w:bottom w:val="single" w:sz="4" w:space="0" w:color="auto"/>
              <w:right w:val="single" w:sz="4" w:space="0" w:color="auto"/>
            </w:tcBorders>
            <w:shd w:val="clear" w:color="000000" w:fill="FFFFFF"/>
            <w:vAlign w:val="center"/>
            <w:hideMark/>
          </w:tcPr>
          <w:p w14:paraId="299832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EDC95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F68BE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0654F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9B318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E2900CB"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01A0095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2.4</w:t>
            </w:r>
          </w:p>
        </w:tc>
        <w:tc>
          <w:tcPr>
            <w:tcW w:w="247" w:type="pct"/>
            <w:tcBorders>
              <w:top w:val="nil"/>
              <w:left w:val="nil"/>
              <w:bottom w:val="single" w:sz="4" w:space="0" w:color="auto"/>
              <w:right w:val="single" w:sz="4" w:space="0" w:color="auto"/>
            </w:tcBorders>
            <w:shd w:val="clear" w:color="000000" w:fill="FFFFFF"/>
            <w:vAlign w:val="center"/>
            <w:hideMark/>
          </w:tcPr>
          <w:p w14:paraId="7393E7E2" w14:textId="42069009"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Rishikimi i procedurave </w:t>
            </w:r>
            <w:r w:rsidR="00CB13C5" w:rsidRPr="001F0C5A">
              <w:rPr>
                <w:rFonts w:ascii="Garamond" w:eastAsia="Times New Roman" w:hAnsi="Garamond" w:cs="Times New Roman"/>
                <w:b/>
                <w:bCs/>
                <w:color w:val="000000"/>
                <w:sz w:val="6"/>
                <w:szCs w:val="6"/>
                <w:lang w:val="sq-AL"/>
              </w:rPr>
              <w:t>standarde</w:t>
            </w:r>
            <w:r w:rsidRPr="001F0C5A">
              <w:rPr>
                <w:rFonts w:ascii="Garamond" w:eastAsia="Times New Roman" w:hAnsi="Garamond" w:cs="Times New Roman"/>
                <w:b/>
                <w:bCs/>
                <w:color w:val="000000"/>
                <w:sz w:val="6"/>
                <w:szCs w:val="6"/>
                <w:lang w:val="sq-AL"/>
              </w:rPr>
              <w:t xml:space="preserve"> të pun</w:t>
            </w:r>
            <w:r w:rsidR="00CB13C5">
              <w:rPr>
                <w:rFonts w:ascii="Garamond" w:eastAsia="Times New Roman" w:hAnsi="Garamond" w:cs="Times New Roman"/>
                <w:b/>
                <w:bCs/>
                <w:color w:val="000000"/>
                <w:sz w:val="6"/>
                <w:szCs w:val="6"/>
                <w:lang w:val="sq-AL"/>
              </w:rPr>
              <w:t>ë</w:t>
            </w:r>
            <w:r w:rsidRPr="001F0C5A">
              <w:rPr>
                <w:rFonts w:ascii="Garamond" w:eastAsia="Times New Roman" w:hAnsi="Garamond" w:cs="Times New Roman"/>
                <w:b/>
                <w:bCs/>
                <w:color w:val="000000"/>
                <w:sz w:val="6"/>
                <w:szCs w:val="6"/>
                <w:lang w:val="sq-AL"/>
              </w:rPr>
              <w:t xml:space="preserve">s në përputhje me rregulloret e brendshme dhe </w:t>
            </w:r>
            <w:r w:rsidR="00CB13C5" w:rsidRPr="001F0C5A">
              <w:rPr>
                <w:rFonts w:ascii="Garamond" w:eastAsia="Times New Roman" w:hAnsi="Garamond" w:cs="Times New Roman"/>
                <w:b/>
                <w:bCs/>
                <w:color w:val="000000"/>
                <w:sz w:val="6"/>
                <w:szCs w:val="6"/>
                <w:lang w:val="sq-AL"/>
              </w:rPr>
              <w:t>standardet</w:t>
            </w:r>
            <w:r w:rsidRPr="001F0C5A">
              <w:rPr>
                <w:rFonts w:ascii="Garamond" w:eastAsia="Times New Roman" w:hAnsi="Garamond" w:cs="Times New Roman"/>
                <w:b/>
                <w:bCs/>
                <w:color w:val="000000"/>
                <w:sz w:val="6"/>
                <w:szCs w:val="6"/>
                <w:lang w:val="sq-AL"/>
              </w:rPr>
              <w:t xml:space="preserve"> e BE</w:t>
            </w:r>
            <w:r w:rsidR="00CB13C5">
              <w:rPr>
                <w:rFonts w:ascii="Garamond" w:eastAsia="Times New Roman" w:hAnsi="Garamond" w:cs="Times New Roman"/>
                <w:b/>
                <w:bCs/>
                <w:color w:val="000000"/>
                <w:sz w:val="6"/>
                <w:szCs w:val="6"/>
                <w:lang w:val="sq-AL"/>
              </w:rPr>
              <w:t>-së</w:t>
            </w:r>
          </w:p>
        </w:tc>
        <w:tc>
          <w:tcPr>
            <w:tcW w:w="211" w:type="pct"/>
            <w:tcBorders>
              <w:top w:val="nil"/>
              <w:left w:val="nil"/>
              <w:bottom w:val="single" w:sz="4" w:space="0" w:color="auto"/>
              <w:right w:val="single" w:sz="4" w:space="0" w:color="auto"/>
            </w:tcBorders>
            <w:shd w:val="clear" w:color="000000" w:fill="FFFFFF"/>
            <w:vAlign w:val="center"/>
            <w:hideMark/>
          </w:tcPr>
          <w:p w14:paraId="0C33C4AA" w14:textId="11AFD43E"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Programi 01150 Produkti 91005 AA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Deklarata doganore t</w:t>
            </w:r>
            <w:r w:rsidR="00D94DB0">
              <w:rPr>
                <w:rFonts w:ascii="Garamond" w:eastAsia="Times New Roman" w:hAnsi="Garamond" w:cs="Times New Roman"/>
                <w:sz w:val="6"/>
                <w:szCs w:val="6"/>
                <w:lang w:val="sq-AL"/>
              </w:rPr>
              <w:t>ë</w:t>
            </w:r>
            <w:r w:rsidRPr="001F0C5A">
              <w:rPr>
                <w:rFonts w:ascii="Garamond" w:eastAsia="Times New Roman" w:hAnsi="Garamond" w:cs="Times New Roman"/>
                <w:sz w:val="6"/>
                <w:szCs w:val="6"/>
                <w:lang w:val="sq-AL"/>
              </w:rPr>
              <w:t xml:space="preserve"> procesuara</w:t>
            </w:r>
            <w:r w:rsidR="0012790D">
              <w:rPr>
                <w:rFonts w:ascii="Garamond" w:eastAsia="Times New Roman" w:hAnsi="Garamond" w:cs="Times New Roman"/>
                <w:sz w:val="6"/>
                <w:szCs w:val="6"/>
                <w:lang w:val="sq-AL"/>
              </w:rPr>
              <w:t>”</w:t>
            </w:r>
          </w:p>
        </w:tc>
        <w:tc>
          <w:tcPr>
            <w:tcW w:w="202" w:type="pct"/>
            <w:tcBorders>
              <w:top w:val="nil"/>
              <w:left w:val="nil"/>
              <w:bottom w:val="single" w:sz="4" w:space="0" w:color="auto"/>
              <w:right w:val="single" w:sz="4" w:space="0" w:color="auto"/>
            </w:tcBorders>
            <w:shd w:val="clear" w:color="000000" w:fill="FFFFFF"/>
            <w:vAlign w:val="center"/>
            <w:hideMark/>
          </w:tcPr>
          <w:p w14:paraId="390C5A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29FE17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000000" w:fill="FFFFFF"/>
            <w:vAlign w:val="center"/>
            <w:hideMark/>
          </w:tcPr>
          <w:p w14:paraId="13E5CA9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19A6FE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CC4CC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260,161</w:t>
            </w:r>
          </w:p>
        </w:tc>
        <w:tc>
          <w:tcPr>
            <w:tcW w:w="181" w:type="pct"/>
            <w:tcBorders>
              <w:top w:val="nil"/>
              <w:left w:val="nil"/>
              <w:bottom w:val="single" w:sz="4" w:space="0" w:color="auto"/>
              <w:right w:val="single" w:sz="4" w:space="0" w:color="auto"/>
            </w:tcBorders>
            <w:shd w:val="clear" w:color="000000" w:fill="FFFFFF"/>
            <w:vAlign w:val="center"/>
            <w:hideMark/>
          </w:tcPr>
          <w:p w14:paraId="34DB09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21619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260,161</w:t>
            </w:r>
          </w:p>
        </w:tc>
        <w:tc>
          <w:tcPr>
            <w:tcW w:w="196" w:type="pct"/>
            <w:tcBorders>
              <w:top w:val="nil"/>
              <w:left w:val="nil"/>
              <w:bottom w:val="single" w:sz="4" w:space="0" w:color="auto"/>
              <w:right w:val="single" w:sz="4" w:space="0" w:color="auto"/>
            </w:tcBorders>
            <w:shd w:val="clear" w:color="000000" w:fill="FFFFFF"/>
            <w:vAlign w:val="center"/>
            <w:hideMark/>
          </w:tcPr>
          <w:p w14:paraId="34D8A3F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260,161</w:t>
            </w:r>
          </w:p>
        </w:tc>
        <w:tc>
          <w:tcPr>
            <w:tcW w:w="196" w:type="pct"/>
            <w:tcBorders>
              <w:top w:val="nil"/>
              <w:left w:val="nil"/>
              <w:bottom w:val="single" w:sz="4" w:space="0" w:color="auto"/>
              <w:right w:val="single" w:sz="4" w:space="0" w:color="auto"/>
            </w:tcBorders>
            <w:shd w:val="clear" w:color="000000" w:fill="FFFFFF"/>
            <w:vAlign w:val="center"/>
            <w:hideMark/>
          </w:tcPr>
          <w:p w14:paraId="7617DD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8BFC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260,161</w:t>
            </w:r>
          </w:p>
        </w:tc>
        <w:tc>
          <w:tcPr>
            <w:tcW w:w="196" w:type="pct"/>
            <w:tcBorders>
              <w:top w:val="nil"/>
              <w:left w:val="nil"/>
              <w:bottom w:val="single" w:sz="4" w:space="0" w:color="auto"/>
              <w:right w:val="single" w:sz="4" w:space="0" w:color="auto"/>
            </w:tcBorders>
            <w:shd w:val="clear" w:color="000000" w:fill="FFFFFF"/>
            <w:vAlign w:val="center"/>
            <w:hideMark/>
          </w:tcPr>
          <w:p w14:paraId="7162CA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520,322</w:t>
            </w:r>
          </w:p>
        </w:tc>
        <w:tc>
          <w:tcPr>
            <w:tcW w:w="196" w:type="pct"/>
            <w:tcBorders>
              <w:top w:val="nil"/>
              <w:left w:val="nil"/>
              <w:bottom w:val="single" w:sz="4" w:space="0" w:color="auto"/>
              <w:right w:val="single" w:sz="4" w:space="0" w:color="auto"/>
            </w:tcBorders>
            <w:shd w:val="clear" w:color="000000" w:fill="FFFFFF"/>
            <w:vAlign w:val="center"/>
            <w:hideMark/>
          </w:tcPr>
          <w:p w14:paraId="760E412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E560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520,322</w:t>
            </w:r>
          </w:p>
        </w:tc>
        <w:tc>
          <w:tcPr>
            <w:tcW w:w="196" w:type="pct"/>
            <w:tcBorders>
              <w:top w:val="nil"/>
              <w:left w:val="nil"/>
              <w:bottom w:val="single" w:sz="4" w:space="0" w:color="auto"/>
              <w:right w:val="single" w:sz="4" w:space="0" w:color="auto"/>
            </w:tcBorders>
            <w:shd w:val="clear" w:color="000000" w:fill="FFFFFF"/>
            <w:vAlign w:val="center"/>
            <w:hideMark/>
          </w:tcPr>
          <w:p w14:paraId="49BCEC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520,322</w:t>
            </w:r>
          </w:p>
        </w:tc>
        <w:tc>
          <w:tcPr>
            <w:tcW w:w="181" w:type="pct"/>
            <w:tcBorders>
              <w:top w:val="nil"/>
              <w:left w:val="nil"/>
              <w:bottom w:val="single" w:sz="4" w:space="0" w:color="auto"/>
              <w:right w:val="single" w:sz="4" w:space="0" w:color="auto"/>
            </w:tcBorders>
            <w:shd w:val="clear" w:color="000000" w:fill="FFFFFF"/>
            <w:vAlign w:val="center"/>
            <w:hideMark/>
          </w:tcPr>
          <w:p w14:paraId="6FD293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C5E7B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520,322</w:t>
            </w:r>
          </w:p>
        </w:tc>
        <w:tc>
          <w:tcPr>
            <w:tcW w:w="170" w:type="pct"/>
            <w:tcBorders>
              <w:top w:val="nil"/>
              <w:left w:val="nil"/>
              <w:bottom w:val="single" w:sz="4" w:space="0" w:color="auto"/>
              <w:right w:val="single" w:sz="4" w:space="0" w:color="auto"/>
            </w:tcBorders>
            <w:shd w:val="clear" w:color="000000" w:fill="FFFFFF"/>
            <w:vAlign w:val="center"/>
            <w:hideMark/>
          </w:tcPr>
          <w:p w14:paraId="4FBDA4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9512E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A7900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F25B9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54474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1C69041"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2610328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56703E03" w14:textId="30D9D4E6"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  –</w:t>
            </w:r>
            <w:r w:rsidR="00CB13C5" w:rsidRPr="001F0C5A">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Objektivi specifik 2</w:t>
            </w:r>
          </w:p>
        </w:tc>
        <w:tc>
          <w:tcPr>
            <w:tcW w:w="211" w:type="pct"/>
            <w:tcBorders>
              <w:top w:val="nil"/>
              <w:left w:val="nil"/>
              <w:bottom w:val="single" w:sz="4" w:space="0" w:color="auto"/>
              <w:right w:val="single" w:sz="4" w:space="0" w:color="auto"/>
            </w:tcBorders>
            <w:shd w:val="clear" w:color="000000" w:fill="D9D9D9"/>
            <w:vAlign w:val="center"/>
            <w:hideMark/>
          </w:tcPr>
          <w:p w14:paraId="2B07DD6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67C6340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39C6C86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1A0426A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2C4B0CA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56319A3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1,160,161</w:t>
            </w:r>
          </w:p>
        </w:tc>
        <w:tc>
          <w:tcPr>
            <w:tcW w:w="181" w:type="pct"/>
            <w:tcBorders>
              <w:top w:val="nil"/>
              <w:left w:val="nil"/>
              <w:bottom w:val="single" w:sz="4" w:space="0" w:color="auto"/>
              <w:right w:val="single" w:sz="4" w:space="0" w:color="auto"/>
            </w:tcBorders>
            <w:shd w:val="clear" w:color="000000" w:fill="D9D9D9"/>
            <w:vAlign w:val="center"/>
            <w:hideMark/>
          </w:tcPr>
          <w:p w14:paraId="47F7171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6D3E7E2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1,160,161</w:t>
            </w:r>
          </w:p>
        </w:tc>
        <w:tc>
          <w:tcPr>
            <w:tcW w:w="196" w:type="pct"/>
            <w:tcBorders>
              <w:top w:val="nil"/>
              <w:left w:val="nil"/>
              <w:bottom w:val="single" w:sz="4" w:space="0" w:color="auto"/>
              <w:right w:val="single" w:sz="4" w:space="0" w:color="auto"/>
            </w:tcBorders>
            <w:shd w:val="clear" w:color="000000" w:fill="D9D9D9"/>
            <w:vAlign w:val="center"/>
            <w:hideMark/>
          </w:tcPr>
          <w:p w14:paraId="117AE7C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1,160,161</w:t>
            </w:r>
          </w:p>
        </w:tc>
        <w:tc>
          <w:tcPr>
            <w:tcW w:w="196" w:type="pct"/>
            <w:tcBorders>
              <w:top w:val="nil"/>
              <w:left w:val="nil"/>
              <w:bottom w:val="single" w:sz="4" w:space="0" w:color="auto"/>
              <w:right w:val="single" w:sz="4" w:space="0" w:color="auto"/>
            </w:tcBorders>
            <w:shd w:val="clear" w:color="000000" w:fill="D9D9D9"/>
            <w:vAlign w:val="center"/>
            <w:hideMark/>
          </w:tcPr>
          <w:p w14:paraId="331B758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3F78452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1,160,161</w:t>
            </w:r>
          </w:p>
        </w:tc>
        <w:tc>
          <w:tcPr>
            <w:tcW w:w="196" w:type="pct"/>
            <w:tcBorders>
              <w:top w:val="nil"/>
              <w:left w:val="nil"/>
              <w:bottom w:val="single" w:sz="4" w:space="0" w:color="auto"/>
              <w:right w:val="single" w:sz="4" w:space="0" w:color="auto"/>
            </w:tcBorders>
            <w:shd w:val="clear" w:color="000000" w:fill="D9D9D9"/>
            <w:vAlign w:val="center"/>
            <w:hideMark/>
          </w:tcPr>
          <w:p w14:paraId="0402FC1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2,320,322</w:t>
            </w:r>
          </w:p>
        </w:tc>
        <w:tc>
          <w:tcPr>
            <w:tcW w:w="196" w:type="pct"/>
            <w:tcBorders>
              <w:top w:val="nil"/>
              <w:left w:val="nil"/>
              <w:bottom w:val="single" w:sz="4" w:space="0" w:color="auto"/>
              <w:right w:val="single" w:sz="4" w:space="0" w:color="auto"/>
            </w:tcBorders>
            <w:shd w:val="clear" w:color="000000" w:fill="D9D9D9"/>
            <w:vAlign w:val="center"/>
            <w:hideMark/>
          </w:tcPr>
          <w:p w14:paraId="018C991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9D94EA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2,320,322</w:t>
            </w:r>
          </w:p>
        </w:tc>
        <w:tc>
          <w:tcPr>
            <w:tcW w:w="196" w:type="pct"/>
            <w:tcBorders>
              <w:top w:val="nil"/>
              <w:left w:val="nil"/>
              <w:bottom w:val="single" w:sz="4" w:space="0" w:color="auto"/>
              <w:right w:val="single" w:sz="4" w:space="0" w:color="auto"/>
            </w:tcBorders>
            <w:shd w:val="clear" w:color="000000" w:fill="D9D9D9"/>
            <w:vAlign w:val="center"/>
            <w:hideMark/>
          </w:tcPr>
          <w:p w14:paraId="70AA89C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2,320,322</w:t>
            </w:r>
          </w:p>
        </w:tc>
        <w:tc>
          <w:tcPr>
            <w:tcW w:w="181" w:type="pct"/>
            <w:tcBorders>
              <w:top w:val="nil"/>
              <w:left w:val="nil"/>
              <w:bottom w:val="single" w:sz="4" w:space="0" w:color="auto"/>
              <w:right w:val="single" w:sz="4" w:space="0" w:color="auto"/>
            </w:tcBorders>
            <w:shd w:val="clear" w:color="000000" w:fill="D9D9D9"/>
            <w:vAlign w:val="center"/>
            <w:hideMark/>
          </w:tcPr>
          <w:p w14:paraId="5975407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238213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2,320,322</w:t>
            </w:r>
          </w:p>
        </w:tc>
        <w:tc>
          <w:tcPr>
            <w:tcW w:w="170" w:type="pct"/>
            <w:tcBorders>
              <w:top w:val="nil"/>
              <w:left w:val="nil"/>
              <w:bottom w:val="single" w:sz="4" w:space="0" w:color="auto"/>
              <w:right w:val="single" w:sz="4" w:space="0" w:color="auto"/>
            </w:tcBorders>
            <w:shd w:val="clear" w:color="000000" w:fill="D9D9D9"/>
            <w:vAlign w:val="center"/>
            <w:hideMark/>
          </w:tcPr>
          <w:p w14:paraId="3E5F86C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71C2A94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53E42A7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733DB07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20A840B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1B08C55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6998F22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w:t>
            </w:r>
          </w:p>
        </w:tc>
        <w:tc>
          <w:tcPr>
            <w:tcW w:w="247" w:type="pct"/>
            <w:tcBorders>
              <w:top w:val="nil"/>
              <w:left w:val="nil"/>
              <w:bottom w:val="single" w:sz="4" w:space="0" w:color="auto"/>
              <w:right w:val="single" w:sz="4" w:space="0" w:color="auto"/>
            </w:tcBorders>
            <w:shd w:val="clear" w:color="000000" w:fill="DDEBF7"/>
            <w:vAlign w:val="center"/>
            <w:hideMark/>
          </w:tcPr>
          <w:p w14:paraId="2B8F2C78"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3: Sigurimi i qasjes në mbrojtjen ndërkombëtare të atyre që kanë nevojë</w:t>
            </w:r>
            <w:r w:rsidRPr="001F0C5A">
              <w:rPr>
                <w:rFonts w:ascii="Garamond" w:eastAsia="Times New Roman" w:hAnsi="Garamond" w:cs="Times New Roman"/>
                <w:b/>
                <w:bCs/>
                <w:color w:val="000000"/>
                <w:sz w:val="6"/>
                <w:szCs w:val="6"/>
                <w:lang w:val="sq-AL"/>
              </w:rPr>
              <w:br/>
              <w:t xml:space="preserve"> </w:t>
            </w:r>
          </w:p>
        </w:tc>
        <w:tc>
          <w:tcPr>
            <w:tcW w:w="211" w:type="pct"/>
            <w:tcBorders>
              <w:top w:val="nil"/>
              <w:left w:val="nil"/>
              <w:bottom w:val="single" w:sz="4" w:space="0" w:color="auto"/>
              <w:right w:val="single" w:sz="4" w:space="0" w:color="auto"/>
            </w:tcBorders>
            <w:shd w:val="clear" w:color="000000" w:fill="DDEBF7"/>
            <w:vAlign w:val="center"/>
            <w:hideMark/>
          </w:tcPr>
          <w:p w14:paraId="2EA9D1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43C601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1E39DE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2D1C79C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3877BE7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4D30E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FD5EB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CB13B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653A6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21D81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0FDD1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4548E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AF768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06C08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B81EC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25242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8CA29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3EB498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14ADC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2003E7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0C793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137217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27C6C6C"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A8712E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3.1</w:t>
            </w:r>
          </w:p>
        </w:tc>
        <w:tc>
          <w:tcPr>
            <w:tcW w:w="247" w:type="pct"/>
            <w:tcBorders>
              <w:top w:val="nil"/>
              <w:left w:val="nil"/>
              <w:bottom w:val="single" w:sz="4" w:space="0" w:color="auto"/>
              <w:right w:val="single" w:sz="4" w:space="0" w:color="auto"/>
            </w:tcBorders>
            <w:shd w:val="clear" w:color="auto" w:fill="auto"/>
            <w:vAlign w:val="center"/>
            <w:hideMark/>
          </w:tcPr>
          <w:p w14:paraId="6AEC737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Rishikimi i procedurave për përzgjedhjen e shtetasve të huaj që kërkojnë mbrojtje ndërkombëtare në RSH</w:t>
            </w:r>
          </w:p>
        </w:tc>
        <w:tc>
          <w:tcPr>
            <w:tcW w:w="211" w:type="pct"/>
            <w:tcBorders>
              <w:top w:val="nil"/>
              <w:left w:val="nil"/>
              <w:bottom w:val="single" w:sz="4" w:space="0" w:color="auto"/>
              <w:right w:val="single" w:sz="4" w:space="0" w:color="auto"/>
            </w:tcBorders>
            <w:shd w:val="clear" w:color="000000" w:fill="FFFFFF"/>
            <w:vAlign w:val="center"/>
            <w:hideMark/>
          </w:tcPr>
          <w:p w14:paraId="0C1696BE" w14:textId="6611EC4D" w:rsidR="00D86FA8" w:rsidRPr="001F0C5A" w:rsidRDefault="001F0C5A"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w:t>
            </w:r>
            <w:r w:rsidR="00D86FA8"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9A1A9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9FFC3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53F09C3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0A70E7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3E346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310AB6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FEAD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F5342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382BD0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3EC48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1AA169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3D5C69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D519E7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5F3888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16D3D81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81593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4EC258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0BCD16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6BADC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9A514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D20E8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72CDA5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A5849A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3.2</w:t>
            </w:r>
          </w:p>
        </w:tc>
        <w:tc>
          <w:tcPr>
            <w:tcW w:w="247" w:type="pct"/>
            <w:tcBorders>
              <w:top w:val="nil"/>
              <w:left w:val="nil"/>
              <w:bottom w:val="single" w:sz="4" w:space="0" w:color="auto"/>
              <w:right w:val="single" w:sz="4" w:space="0" w:color="auto"/>
            </w:tcBorders>
            <w:shd w:val="clear" w:color="auto" w:fill="auto"/>
            <w:vAlign w:val="center"/>
            <w:hideMark/>
          </w:tcPr>
          <w:p w14:paraId="680E13AF" w14:textId="10EE0179"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Trajnimi i roj</w:t>
            </w:r>
            <w:r w:rsidR="00CB13C5">
              <w:rPr>
                <w:rFonts w:ascii="Garamond" w:eastAsia="Times New Roman" w:hAnsi="Garamond" w:cs="Times New Roman"/>
                <w:b/>
                <w:bCs/>
                <w:color w:val="000000"/>
                <w:sz w:val="6"/>
                <w:szCs w:val="6"/>
                <w:lang w:val="sq-AL"/>
              </w:rPr>
              <w:t>a</w:t>
            </w:r>
            <w:r w:rsidRPr="001F0C5A">
              <w:rPr>
                <w:rFonts w:ascii="Garamond" w:eastAsia="Times New Roman" w:hAnsi="Garamond" w:cs="Times New Roman"/>
                <w:b/>
                <w:bCs/>
                <w:color w:val="000000"/>
                <w:sz w:val="6"/>
                <w:szCs w:val="6"/>
                <w:lang w:val="sq-AL"/>
              </w:rPr>
              <w:t>ve kufitare për procedurat e reja për përzgjdhjen e shtetasve të huaj që kërkojnë mbrojtje ndërkombëtare në vendin tonë</w:t>
            </w:r>
          </w:p>
        </w:tc>
        <w:tc>
          <w:tcPr>
            <w:tcW w:w="211" w:type="pct"/>
            <w:tcBorders>
              <w:top w:val="nil"/>
              <w:left w:val="nil"/>
              <w:bottom w:val="single" w:sz="4" w:space="0" w:color="auto"/>
              <w:right w:val="single" w:sz="4" w:space="0" w:color="auto"/>
            </w:tcBorders>
            <w:shd w:val="clear" w:color="000000" w:fill="FFFFFF"/>
            <w:vAlign w:val="center"/>
            <w:hideMark/>
          </w:tcPr>
          <w:p w14:paraId="7F160B1E" w14:textId="077AE40C" w:rsidR="00D86FA8" w:rsidRPr="001F0C5A" w:rsidRDefault="001F0C5A"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w:t>
            </w:r>
            <w:r w:rsidR="00D86FA8"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0BB589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4E62A9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3A18ACC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FA86A6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B07397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3F34D6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91252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F019E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C1D55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610C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022E64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48DA8D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36DC3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24FEC9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5D7894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5E2BB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163602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10525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D8884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95826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5C58F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051A278"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4EC1195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0F6015C" w14:textId="63BA3AB5"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  –</w:t>
            </w:r>
            <w:r w:rsidR="00CB13C5" w:rsidRPr="001F0C5A">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Times New Roman"/>
                <w:b/>
                <w:bCs/>
                <w:color w:val="FF0000"/>
                <w:sz w:val="6"/>
                <w:szCs w:val="6"/>
                <w:lang w:val="sq-AL"/>
              </w:rPr>
              <w:t xml:space="preserve">Objektivi </w:t>
            </w:r>
            <w:r w:rsidRPr="001F0C5A">
              <w:rPr>
                <w:rFonts w:ascii="Garamond" w:eastAsia="Times New Roman" w:hAnsi="Garamond" w:cs="Times New Roman"/>
                <w:b/>
                <w:bCs/>
                <w:color w:val="FF0000"/>
                <w:sz w:val="6"/>
                <w:szCs w:val="6"/>
                <w:lang w:val="sq-AL"/>
              </w:rPr>
              <w:t>specifik 3</w:t>
            </w:r>
          </w:p>
        </w:tc>
        <w:tc>
          <w:tcPr>
            <w:tcW w:w="211" w:type="pct"/>
            <w:tcBorders>
              <w:top w:val="nil"/>
              <w:left w:val="nil"/>
              <w:bottom w:val="single" w:sz="4" w:space="0" w:color="auto"/>
              <w:right w:val="single" w:sz="4" w:space="0" w:color="auto"/>
            </w:tcBorders>
            <w:shd w:val="clear" w:color="000000" w:fill="D9D9D9"/>
            <w:vAlign w:val="center"/>
            <w:hideMark/>
          </w:tcPr>
          <w:p w14:paraId="589F0FB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692A015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0B836DF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4C1E1EA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3A8BC86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1F943DC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81" w:type="pct"/>
            <w:tcBorders>
              <w:top w:val="nil"/>
              <w:left w:val="nil"/>
              <w:bottom w:val="single" w:sz="4" w:space="0" w:color="auto"/>
              <w:right w:val="single" w:sz="4" w:space="0" w:color="auto"/>
            </w:tcBorders>
            <w:shd w:val="clear" w:color="000000" w:fill="D9D9D9"/>
            <w:vAlign w:val="center"/>
            <w:hideMark/>
          </w:tcPr>
          <w:p w14:paraId="15121E9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732D060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96" w:type="pct"/>
            <w:tcBorders>
              <w:top w:val="nil"/>
              <w:left w:val="nil"/>
              <w:bottom w:val="single" w:sz="4" w:space="0" w:color="auto"/>
              <w:right w:val="single" w:sz="4" w:space="0" w:color="auto"/>
            </w:tcBorders>
            <w:shd w:val="clear" w:color="000000" w:fill="D9D9D9"/>
            <w:vAlign w:val="center"/>
            <w:hideMark/>
          </w:tcPr>
          <w:p w14:paraId="214E60E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96" w:type="pct"/>
            <w:tcBorders>
              <w:top w:val="nil"/>
              <w:left w:val="nil"/>
              <w:bottom w:val="single" w:sz="4" w:space="0" w:color="auto"/>
              <w:right w:val="single" w:sz="4" w:space="0" w:color="auto"/>
            </w:tcBorders>
            <w:shd w:val="clear" w:color="000000" w:fill="D9D9D9"/>
            <w:vAlign w:val="center"/>
            <w:hideMark/>
          </w:tcPr>
          <w:p w14:paraId="56E8C76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3B367E7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96" w:type="pct"/>
            <w:tcBorders>
              <w:top w:val="nil"/>
              <w:left w:val="nil"/>
              <w:bottom w:val="single" w:sz="4" w:space="0" w:color="auto"/>
              <w:right w:val="single" w:sz="4" w:space="0" w:color="auto"/>
            </w:tcBorders>
            <w:shd w:val="clear" w:color="000000" w:fill="D9D9D9"/>
            <w:vAlign w:val="center"/>
            <w:hideMark/>
          </w:tcPr>
          <w:p w14:paraId="349DFF4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96" w:type="pct"/>
            <w:tcBorders>
              <w:top w:val="nil"/>
              <w:left w:val="nil"/>
              <w:bottom w:val="single" w:sz="4" w:space="0" w:color="auto"/>
              <w:right w:val="single" w:sz="4" w:space="0" w:color="auto"/>
            </w:tcBorders>
            <w:shd w:val="clear" w:color="000000" w:fill="D9D9D9"/>
            <w:vAlign w:val="center"/>
            <w:hideMark/>
          </w:tcPr>
          <w:p w14:paraId="2C57508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CB885E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96" w:type="pct"/>
            <w:tcBorders>
              <w:top w:val="nil"/>
              <w:left w:val="nil"/>
              <w:bottom w:val="single" w:sz="4" w:space="0" w:color="auto"/>
              <w:right w:val="single" w:sz="4" w:space="0" w:color="auto"/>
            </w:tcBorders>
            <w:shd w:val="clear" w:color="000000" w:fill="D9D9D9"/>
            <w:vAlign w:val="center"/>
            <w:hideMark/>
          </w:tcPr>
          <w:p w14:paraId="3DF5163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81" w:type="pct"/>
            <w:tcBorders>
              <w:top w:val="nil"/>
              <w:left w:val="nil"/>
              <w:bottom w:val="single" w:sz="4" w:space="0" w:color="auto"/>
              <w:right w:val="single" w:sz="4" w:space="0" w:color="auto"/>
            </w:tcBorders>
            <w:shd w:val="clear" w:color="000000" w:fill="D9D9D9"/>
            <w:vAlign w:val="center"/>
            <w:hideMark/>
          </w:tcPr>
          <w:p w14:paraId="7E61A05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250B5B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70" w:type="pct"/>
            <w:tcBorders>
              <w:top w:val="nil"/>
              <w:left w:val="nil"/>
              <w:bottom w:val="single" w:sz="4" w:space="0" w:color="auto"/>
              <w:right w:val="single" w:sz="4" w:space="0" w:color="auto"/>
            </w:tcBorders>
            <w:shd w:val="clear" w:color="000000" w:fill="D9D9D9"/>
            <w:vAlign w:val="center"/>
            <w:hideMark/>
          </w:tcPr>
          <w:p w14:paraId="6D59245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0FD43A8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5BD5656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24A08BB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3E1BECA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263D3EA8"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66D2C87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3F611BCD" w14:textId="024C8B6B"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w:t>
            </w:r>
            <w:r w:rsidRPr="001F0C5A">
              <w:rPr>
                <w:rFonts w:ascii="Garamond" w:eastAsia="Times New Roman" w:hAnsi="Garamond" w:cs="Times New Roman"/>
                <w:b/>
                <w:bCs/>
                <w:color w:val="FF0000"/>
                <w:sz w:val="6"/>
                <w:szCs w:val="6"/>
                <w:lang w:val="sq-AL"/>
              </w:rPr>
              <w:t xml:space="preserve"> totale </w:t>
            </w:r>
            <w:r w:rsidR="00CB13C5">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Times New Roman"/>
                <w:b/>
                <w:bCs/>
                <w:color w:val="FF0000"/>
                <w:sz w:val="6"/>
                <w:szCs w:val="6"/>
                <w:lang w:val="sq-AL"/>
              </w:rPr>
              <w:t xml:space="preserve"> </w:t>
            </w:r>
            <w:r w:rsidR="00CB13C5">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 xml:space="preserve">Qëllimi i </w:t>
            </w:r>
            <w:r w:rsidR="00CB13C5" w:rsidRPr="001F0C5A">
              <w:rPr>
                <w:rFonts w:ascii="Garamond" w:eastAsia="Times New Roman" w:hAnsi="Garamond" w:cs="Times New Roman"/>
                <w:b/>
                <w:bCs/>
                <w:color w:val="FF0000"/>
                <w:sz w:val="6"/>
                <w:szCs w:val="6"/>
                <w:lang w:val="sq-AL"/>
              </w:rPr>
              <w:t xml:space="preserve">politikës </w:t>
            </w:r>
            <w:r w:rsidRPr="001F0C5A">
              <w:rPr>
                <w:rFonts w:ascii="Garamond" w:eastAsia="Times New Roman" w:hAnsi="Garamond" w:cs="Times New Roman"/>
                <w:b/>
                <w:bCs/>
                <w:color w:val="FF0000"/>
                <w:sz w:val="6"/>
                <w:szCs w:val="6"/>
                <w:lang w:val="sq-AL"/>
              </w:rPr>
              <w:t>III (objektiva specifik</w:t>
            </w:r>
            <w:r w:rsidR="00CB13C5">
              <w:rPr>
                <w:rFonts w:ascii="Garamond" w:eastAsia="Times New Roman" w:hAnsi="Garamond" w:cs="Times New Roman"/>
                <w:b/>
                <w:bCs/>
                <w:color w:val="FF0000"/>
                <w:sz w:val="6"/>
                <w:szCs w:val="6"/>
                <w:lang w:val="sq-AL"/>
              </w:rPr>
              <w:t>ë</w:t>
            </w:r>
            <w:r w:rsidRPr="001F0C5A">
              <w:rPr>
                <w:rFonts w:ascii="Garamond" w:eastAsia="Times New Roman" w:hAnsi="Garamond" w:cs="Times New Roman"/>
                <w:b/>
                <w:bCs/>
                <w:color w:val="FF0000"/>
                <w:sz w:val="6"/>
                <w:szCs w:val="6"/>
                <w:lang w:val="sq-AL"/>
              </w:rPr>
              <w:t xml:space="preserve"> 1+2+3)</w:t>
            </w:r>
          </w:p>
        </w:tc>
        <w:tc>
          <w:tcPr>
            <w:tcW w:w="211" w:type="pct"/>
            <w:tcBorders>
              <w:top w:val="nil"/>
              <w:left w:val="nil"/>
              <w:bottom w:val="single" w:sz="4" w:space="0" w:color="auto"/>
              <w:right w:val="single" w:sz="4" w:space="0" w:color="auto"/>
            </w:tcBorders>
            <w:shd w:val="clear" w:color="000000" w:fill="D9D9D9"/>
            <w:vAlign w:val="center"/>
            <w:hideMark/>
          </w:tcPr>
          <w:p w14:paraId="0B74658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0B67047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0A242E9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291B2D8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12AE0DA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3A4F6ED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3,016,832</w:t>
            </w:r>
          </w:p>
        </w:tc>
        <w:tc>
          <w:tcPr>
            <w:tcW w:w="181" w:type="pct"/>
            <w:tcBorders>
              <w:top w:val="nil"/>
              <w:left w:val="nil"/>
              <w:bottom w:val="single" w:sz="4" w:space="0" w:color="auto"/>
              <w:right w:val="single" w:sz="4" w:space="0" w:color="auto"/>
            </w:tcBorders>
            <w:shd w:val="clear" w:color="000000" w:fill="D9D9D9"/>
            <w:vAlign w:val="center"/>
            <w:hideMark/>
          </w:tcPr>
          <w:p w14:paraId="145B91B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17F1ACA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3,016,831</w:t>
            </w:r>
          </w:p>
        </w:tc>
        <w:tc>
          <w:tcPr>
            <w:tcW w:w="196" w:type="pct"/>
            <w:tcBorders>
              <w:top w:val="nil"/>
              <w:left w:val="nil"/>
              <w:bottom w:val="single" w:sz="4" w:space="0" w:color="auto"/>
              <w:right w:val="single" w:sz="4" w:space="0" w:color="auto"/>
            </w:tcBorders>
            <w:shd w:val="clear" w:color="000000" w:fill="D9D9D9"/>
            <w:vAlign w:val="center"/>
            <w:hideMark/>
          </w:tcPr>
          <w:p w14:paraId="2D79BC6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2,766,832</w:t>
            </w:r>
          </w:p>
        </w:tc>
        <w:tc>
          <w:tcPr>
            <w:tcW w:w="196" w:type="pct"/>
            <w:tcBorders>
              <w:top w:val="nil"/>
              <w:left w:val="nil"/>
              <w:bottom w:val="single" w:sz="4" w:space="0" w:color="auto"/>
              <w:right w:val="single" w:sz="4" w:space="0" w:color="auto"/>
            </w:tcBorders>
            <w:shd w:val="clear" w:color="000000" w:fill="D9D9D9"/>
            <w:vAlign w:val="center"/>
            <w:hideMark/>
          </w:tcPr>
          <w:p w14:paraId="323E135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12799CF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2,766,832</w:t>
            </w:r>
          </w:p>
        </w:tc>
        <w:tc>
          <w:tcPr>
            <w:tcW w:w="196" w:type="pct"/>
            <w:tcBorders>
              <w:top w:val="nil"/>
              <w:left w:val="nil"/>
              <w:bottom w:val="single" w:sz="4" w:space="0" w:color="auto"/>
              <w:right w:val="single" w:sz="4" w:space="0" w:color="auto"/>
            </w:tcBorders>
            <w:shd w:val="clear" w:color="000000" w:fill="D9D9D9"/>
            <w:vAlign w:val="center"/>
            <w:hideMark/>
          </w:tcPr>
          <w:p w14:paraId="5E889DA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5,783,664</w:t>
            </w:r>
          </w:p>
        </w:tc>
        <w:tc>
          <w:tcPr>
            <w:tcW w:w="196" w:type="pct"/>
            <w:tcBorders>
              <w:top w:val="nil"/>
              <w:left w:val="nil"/>
              <w:bottom w:val="single" w:sz="4" w:space="0" w:color="auto"/>
              <w:right w:val="single" w:sz="4" w:space="0" w:color="auto"/>
            </w:tcBorders>
            <w:shd w:val="clear" w:color="000000" w:fill="D9D9D9"/>
            <w:vAlign w:val="center"/>
            <w:hideMark/>
          </w:tcPr>
          <w:p w14:paraId="3A15FB2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7850999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5,783,664</w:t>
            </w:r>
          </w:p>
        </w:tc>
        <w:tc>
          <w:tcPr>
            <w:tcW w:w="196" w:type="pct"/>
            <w:tcBorders>
              <w:top w:val="nil"/>
              <w:left w:val="nil"/>
              <w:bottom w:val="single" w:sz="4" w:space="0" w:color="auto"/>
              <w:right w:val="single" w:sz="4" w:space="0" w:color="auto"/>
            </w:tcBorders>
            <w:shd w:val="clear" w:color="000000" w:fill="D9D9D9"/>
            <w:vAlign w:val="center"/>
            <w:hideMark/>
          </w:tcPr>
          <w:p w14:paraId="472176A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5,783,664</w:t>
            </w:r>
          </w:p>
        </w:tc>
        <w:tc>
          <w:tcPr>
            <w:tcW w:w="181" w:type="pct"/>
            <w:tcBorders>
              <w:top w:val="nil"/>
              <w:left w:val="nil"/>
              <w:bottom w:val="single" w:sz="4" w:space="0" w:color="auto"/>
              <w:right w:val="single" w:sz="4" w:space="0" w:color="auto"/>
            </w:tcBorders>
            <w:shd w:val="clear" w:color="000000" w:fill="D9D9D9"/>
            <w:vAlign w:val="center"/>
            <w:hideMark/>
          </w:tcPr>
          <w:p w14:paraId="69D17FB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51D7F4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5,783,664</w:t>
            </w:r>
          </w:p>
        </w:tc>
        <w:tc>
          <w:tcPr>
            <w:tcW w:w="170" w:type="pct"/>
            <w:tcBorders>
              <w:top w:val="nil"/>
              <w:left w:val="nil"/>
              <w:bottom w:val="single" w:sz="4" w:space="0" w:color="auto"/>
              <w:right w:val="single" w:sz="4" w:space="0" w:color="auto"/>
            </w:tcBorders>
            <w:shd w:val="clear" w:color="000000" w:fill="D9D9D9"/>
            <w:vAlign w:val="center"/>
            <w:hideMark/>
          </w:tcPr>
          <w:p w14:paraId="77A87A9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1572FA3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76F625C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C13878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7442156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281395CE"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A9D08E"/>
            <w:noWrap/>
            <w:vAlign w:val="bottom"/>
            <w:hideMark/>
          </w:tcPr>
          <w:p w14:paraId="16998C4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A9D08E"/>
            <w:noWrap/>
            <w:vAlign w:val="center"/>
            <w:hideMark/>
          </w:tcPr>
          <w:p w14:paraId="1BA719B9" w14:textId="77777777"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 xml:space="preserve">Total Cost of the Action Plan = QP I + QP II + QP III </w:t>
            </w:r>
          </w:p>
        </w:tc>
        <w:tc>
          <w:tcPr>
            <w:tcW w:w="211" w:type="pct"/>
            <w:tcBorders>
              <w:top w:val="nil"/>
              <w:left w:val="nil"/>
              <w:bottom w:val="single" w:sz="4" w:space="0" w:color="auto"/>
              <w:right w:val="single" w:sz="4" w:space="0" w:color="auto"/>
            </w:tcBorders>
            <w:shd w:val="clear" w:color="000000" w:fill="A9D08E"/>
            <w:noWrap/>
            <w:vAlign w:val="center"/>
            <w:hideMark/>
          </w:tcPr>
          <w:p w14:paraId="74927B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A9D08E"/>
            <w:noWrap/>
            <w:vAlign w:val="center"/>
            <w:hideMark/>
          </w:tcPr>
          <w:p w14:paraId="32A5B2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A9D08E"/>
            <w:noWrap/>
            <w:vAlign w:val="center"/>
            <w:hideMark/>
          </w:tcPr>
          <w:p w14:paraId="19B74E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A9D08E"/>
            <w:noWrap/>
            <w:vAlign w:val="center"/>
            <w:hideMark/>
          </w:tcPr>
          <w:p w14:paraId="28570C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A9D08E"/>
            <w:noWrap/>
            <w:vAlign w:val="center"/>
            <w:hideMark/>
          </w:tcPr>
          <w:p w14:paraId="2E7BF8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A9D08E"/>
            <w:noWrap/>
            <w:vAlign w:val="center"/>
            <w:hideMark/>
          </w:tcPr>
          <w:p w14:paraId="6504255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948,582,505</w:t>
            </w:r>
          </w:p>
        </w:tc>
        <w:tc>
          <w:tcPr>
            <w:tcW w:w="181" w:type="pct"/>
            <w:tcBorders>
              <w:top w:val="nil"/>
              <w:left w:val="nil"/>
              <w:bottom w:val="single" w:sz="4" w:space="0" w:color="auto"/>
              <w:right w:val="single" w:sz="4" w:space="0" w:color="auto"/>
            </w:tcBorders>
            <w:shd w:val="clear" w:color="000000" w:fill="A9D08E"/>
            <w:noWrap/>
            <w:vAlign w:val="center"/>
            <w:hideMark/>
          </w:tcPr>
          <w:p w14:paraId="6B18564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191,390,398</w:t>
            </w:r>
          </w:p>
        </w:tc>
        <w:tc>
          <w:tcPr>
            <w:tcW w:w="196" w:type="pct"/>
            <w:tcBorders>
              <w:top w:val="nil"/>
              <w:left w:val="nil"/>
              <w:bottom w:val="single" w:sz="4" w:space="0" w:color="auto"/>
              <w:right w:val="single" w:sz="4" w:space="0" w:color="auto"/>
            </w:tcBorders>
            <w:shd w:val="clear" w:color="000000" w:fill="A9D08E"/>
            <w:noWrap/>
            <w:vAlign w:val="center"/>
            <w:hideMark/>
          </w:tcPr>
          <w:p w14:paraId="1FB321C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1,139,972,902</w:t>
            </w:r>
          </w:p>
        </w:tc>
        <w:tc>
          <w:tcPr>
            <w:tcW w:w="196" w:type="pct"/>
            <w:tcBorders>
              <w:top w:val="nil"/>
              <w:left w:val="nil"/>
              <w:bottom w:val="single" w:sz="4" w:space="0" w:color="auto"/>
              <w:right w:val="single" w:sz="4" w:space="0" w:color="auto"/>
            </w:tcBorders>
            <w:shd w:val="clear" w:color="000000" w:fill="A9D08E"/>
            <w:noWrap/>
            <w:vAlign w:val="center"/>
            <w:hideMark/>
          </w:tcPr>
          <w:p w14:paraId="3622F76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1,080,662,772</w:t>
            </w:r>
          </w:p>
        </w:tc>
        <w:tc>
          <w:tcPr>
            <w:tcW w:w="196" w:type="pct"/>
            <w:tcBorders>
              <w:top w:val="nil"/>
              <w:left w:val="nil"/>
              <w:bottom w:val="single" w:sz="4" w:space="0" w:color="auto"/>
              <w:right w:val="single" w:sz="4" w:space="0" w:color="auto"/>
            </w:tcBorders>
            <w:shd w:val="clear" w:color="000000" w:fill="A9D08E"/>
            <w:noWrap/>
            <w:vAlign w:val="center"/>
            <w:hideMark/>
          </w:tcPr>
          <w:p w14:paraId="767A01C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1,318,605,000</w:t>
            </w:r>
          </w:p>
        </w:tc>
        <w:tc>
          <w:tcPr>
            <w:tcW w:w="196" w:type="pct"/>
            <w:tcBorders>
              <w:top w:val="nil"/>
              <w:left w:val="nil"/>
              <w:bottom w:val="single" w:sz="4" w:space="0" w:color="auto"/>
              <w:right w:val="single" w:sz="4" w:space="0" w:color="auto"/>
            </w:tcBorders>
            <w:shd w:val="clear" w:color="000000" w:fill="A9D08E"/>
            <w:noWrap/>
            <w:vAlign w:val="center"/>
            <w:hideMark/>
          </w:tcPr>
          <w:p w14:paraId="41A34DE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2,399,267,772</w:t>
            </w:r>
          </w:p>
        </w:tc>
        <w:tc>
          <w:tcPr>
            <w:tcW w:w="196" w:type="pct"/>
            <w:tcBorders>
              <w:top w:val="nil"/>
              <w:left w:val="nil"/>
              <w:bottom w:val="single" w:sz="4" w:space="0" w:color="auto"/>
              <w:right w:val="single" w:sz="4" w:space="0" w:color="auto"/>
            </w:tcBorders>
            <w:shd w:val="clear" w:color="000000" w:fill="A9D08E"/>
            <w:noWrap/>
            <w:vAlign w:val="center"/>
            <w:hideMark/>
          </w:tcPr>
          <w:p w14:paraId="30F0F86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2,029,245,277</w:t>
            </w:r>
          </w:p>
        </w:tc>
        <w:tc>
          <w:tcPr>
            <w:tcW w:w="196" w:type="pct"/>
            <w:tcBorders>
              <w:top w:val="nil"/>
              <w:left w:val="nil"/>
              <w:bottom w:val="single" w:sz="4" w:space="0" w:color="auto"/>
              <w:right w:val="single" w:sz="4" w:space="0" w:color="auto"/>
            </w:tcBorders>
            <w:shd w:val="clear" w:color="000000" w:fill="A9D08E"/>
            <w:noWrap/>
            <w:vAlign w:val="center"/>
            <w:hideMark/>
          </w:tcPr>
          <w:p w14:paraId="27756A1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1,509,995,398</w:t>
            </w:r>
          </w:p>
        </w:tc>
        <w:tc>
          <w:tcPr>
            <w:tcW w:w="196" w:type="pct"/>
            <w:tcBorders>
              <w:top w:val="nil"/>
              <w:left w:val="nil"/>
              <w:bottom w:val="single" w:sz="4" w:space="0" w:color="auto"/>
              <w:right w:val="single" w:sz="4" w:space="0" w:color="auto"/>
            </w:tcBorders>
            <w:shd w:val="clear" w:color="000000" w:fill="A9D08E"/>
            <w:noWrap/>
            <w:vAlign w:val="center"/>
            <w:hideMark/>
          </w:tcPr>
          <w:p w14:paraId="5E72FD4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3,539,240,675</w:t>
            </w:r>
          </w:p>
        </w:tc>
        <w:tc>
          <w:tcPr>
            <w:tcW w:w="196" w:type="pct"/>
            <w:tcBorders>
              <w:top w:val="nil"/>
              <w:left w:val="nil"/>
              <w:bottom w:val="single" w:sz="4" w:space="0" w:color="auto"/>
              <w:right w:val="single" w:sz="4" w:space="0" w:color="auto"/>
            </w:tcBorders>
            <w:shd w:val="clear" w:color="000000" w:fill="A9D08E"/>
            <w:noWrap/>
            <w:vAlign w:val="center"/>
            <w:hideMark/>
          </w:tcPr>
          <w:p w14:paraId="7C6C0E6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1,942,775,277</w:t>
            </w:r>
          </w:p>
        </w:tc>
        <w:tc>
          <w:tcPr>
            <w:tcW w:w="181" w:type="pct"/>
            <w:tcBorders>
              <w:top w:val="nil"/>
              <w:left w:val="nil"/>
              <w:bottom w:val="single" w:sz="4" w:space="0" w:color="auto"/>
              <w:right w:val="single" w:sz="4" w:space="0" w:color="auto"/>
            </w:tcBorders>
            <w:shd w:val="clear" w:color="000000" w:fill="A9D08E"/>
            <w:noWrap/>
            <w:vAlign w:val="center"/>
            <w:hideMark/>
          </w:tcPr>
          <w:p w14:paraId="587124F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833,915,398</w:t>
            </w:r>
          </w:p>
        </w:tc>
        <w:tc>
          <w:tcPr>
            <w:tcW w:w="196" w:type="pct"/>
            <w:tcBorders>
              <w:top w:val="nil"/>
              <w:left w:val="nil"/>
              <w:bottom w:val="single" w:sz="4" w:space="0" w:color="auto"/>
              <w:right w:val="single" w:sz="4" w:space="0" w:color="auto"/>
            </w:tcBorders>
            <w:shd w:val="clear" w:color="000000" w:fill="A9D08E"/>
            <w:noWrap/>
            <w:vAlign w:val="center"/>
            <w:hideMark/>
          </w:tcPr>
          <w:p w14:paraId="07A3DD5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2,776,690,675</w:t>
            </w:r>
          </w:p>
        </w:tc>
        <w:tc>
          <w:tcPr>
            <w:tcW w:w="170" w:type="pct"/>
            <w:tcBorders>
              <w:top w:val="nil"/>
              <w:left w:val="nil"/>
              <w:bottom w:val="single" w:sz="4" w:space="0" w:color="auto"/>
              <w:right w:val="single" w:sz="4" w:space="0" w:color="auto"/>
            </w:tcBorders>
            <w:shd w:val="clear" w:color="000000" w:fill="A9D08E"/>
            <w:noWrap/>
            <w:vAlign w:val="center"/>
            <w:hideMark/>
          </w:tcPr>
          <w:p w14:paraId="346F22A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85,000,000</w:t>
            </w:r>
          </w:p>
        </w:tc>
        <w:tc>
          <w:tcPr>
            <w:tcW w:w="181" w:type="pct"/>
            <w:tcBorders>
              <w:top w:val="nil"/>
              <w:left w:val="nil"/>
              <w:bottom w:val="single" w:sz="4" w:space="0" w:color="auto"/>
              <w:right w:val="single" w:sz="4" w:space="0" w:color="auto"/>
            </w:tcBorders>
            <w:shd w:val="clear" w:color="000000" w:fill="A9D08E"/>
            <w:noWrap/>
            <w:vAlign w:val="center"/>
            <w:hideMark/>
          </w:tcPr>
          <w:p w14:paraId="2690540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676,080,000</w:t>
            </w:r>
          </w:p>
        </w:tc>
        <w:tc>
          <w:tcPr>
            <w:tcW w:w="232" w:type="pct"/>
            <w:tcBorders>
              <w:top w:val="nil"/>
              <w:left w:val="nil"/>
              <w:bottom w:val="single" w:sz="4" w:space="0" w:color="auto"/>
              <w:right w:val="single" w:sz="4" w:space="0" w:color="auto"/>
            </w:tcBorders>
            <w:shd w:val="clear" w:color="000000" w:fill="A9D08E"/>
            <w:noWrap/>
            <w:vAlign w:val="center"/>
            <w:hideMark/>
          </w:tcPr>
          <w:p w14:paraId="09F46CB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A9D08E"/>
            <w:noWrap/>
            <w:vAlign w:val="center"/>
            <w:hideMark/>
          </w:tcPr>
          <w:p w14:paraId="00FB1F4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761,080,000</w:t>
            </w:r>
          </w:p>
        </w:tc>
        <w:tc>
          <w:tcPr>
            <w:tcW w:w="160" w:type="pct"/>
            <w:tcBorders>
              <w:top w:val="nil"/>
              <w:left w:val="nil"/>
              <w:bottom w:val="single" w:sz="4" w:space="0" w:color="auto"/>
              <w:right w:val="single" w:sz="4" w:space="0" w:color="auto"/>
            </w:tcBorders>
            <w:shd w:val="clear" w:color="000000" w:fill="A9D08E"/>
            <w:noWrap/>
            <w:vAlign w:val="center"/>
            <w:hideMark/>
          </w:tcPr>
          <w:p w14:paraId="3CEB406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1,470,000</w:t>
            </w:r>
          </w:p>
        </w:tc>
      </w:tr>
    </w:tbl>
    <w:p w14:paraId="35B6B23F" w14:textId="3D3BD17E" w:rsidR="00D86FA8" w:rsidRPr="001F0C5A" w:rsidRDefault="00D86FA8" w:rsidP="00DE4297">
      <w:pPr>
        <w:spacing w:after="0" w:line="240" w:lineRule="auto"/>
        <w:ind w:firstLine="284"/>
        <w:jc w:val="right"/>
        <w:rPr>
          <w:rFonts w:ascii="Garamond" w:hAnsi="Garamond" w:cs="Times New Roman"/>
          <w:b/>
          <w:sz w:val="24"/>
          <w:szCs w:val="24"/>
          <w:lang w:val="sq-AL"/>
        </w:rPr>
      </w:pPr>
    </w:p>
    <w:tbl>
      <w:tblPr>
        <w:tblW w:w="5000" w:type="pct"/>
        <w:tblLook w:val="04A0" w:firstRow="1" w:lastRow="0" w:firstColumn="1" w:lastColumn="0" w:noHBand="0" w:noVBand="1"/>
      </w:tblPr>
      <w:tblGrid>
        <w:gridCol w:w="1065"/>
        <w:gridCol w:w="953"/>
        <w:gridCol w:w="950"/>
        <w:gridCol w:w="596"/>
        <w:gridCol w:w="713"/>
        <w:gridCol w:w="923"/>
        <w:gridCol w:w="923"/>
        <w:gridCol w:w="926"/>
        <w:gridCol w:w="1175"/>
        <w:gridCol w:w="867"/>
        <w:gridCol w:w="926"/>
        <w:gridCol w:w="867"/>
        <w:gridCol w:w="808"/>
        <w:gridCol w:w="808"/>
        <w:gridCol w:w="722"/>
        <w:gridCol w:w="761"/>
      </w:tblGrid>
      <w:tr w:rsidR="00D86FA8" w:rsidRPr="001F0C5A" w14:paraId="58F17F96" w14:textId="77777777" w:rsidTr="00D86FA8">
        <w:trPr>
          <w:trHeight w:val="20"/>
        </w:trPr>
        <w:tc>
          <w:tcPr>
            <w:tcW w:w="5000" w:type="pct"/>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14:paraId="2BF108F6" w14:textId="77777777" w:rsidR="00D86FA8" w:rsidRPr="001F0C5A" w:rsidRDefault="00D86FA8" w:rsidP="00D86FA8">
            <w:pPr>
              <w:spacing w:after="0" w:line="240" w:lineRule="auto"/>
              <w:rPr>
                <w:rFonts w:ascii="Garamond" w:eastAsia="Times New Roman" w:hAnsi="Garamond" w:cs="Calibri"/>
                <w:b/>
                <w:bCs/>
                <w:color w:val="0070C0"/>
                <w:sz w:val="8"/>
                <w:szCs w:val="8"/>
                <w:lang w:val="sq-AL"/>
              </w:rPr>
            </w:pPr>
            <w:r w:rsidRPr="001F0C5A">
              <w:rPr>
                <w:rFonts w:ascii="Garamond" w:eastAsia="Times New Roman" w:hAnsi="Garamond" w:cs="Calibri"/>
                <w:b/>
                <w:bCs/>
                <w:color w:val="0070C0"/>
                <w:sz w:val="8"/>
                <w:szCs w:val="8"/>
                <w:lang w:val="sq-AL"/>
              </w:rPr>
              <w:t>Qëllimi i Politikës I: MBROJTJA E SIGURISË SË BRENDSHME DHE MENAXHIMI I FLUKSEVE MIGRATORE, ME QËLLIM PARANDALIMIN E MIGRACIONIT TË PARREGULLT, SI DHE PARANDALIMIN DHE GODITJEN E KRIMIT NDËRKUFITAR</w:t>
            </w:r>
          </w:p>
        </w:tc>
      </w:tr>
      <w:tr w:rsidR="00D86FA8" w:rsidRPr="001F0C5A" w14:paraId="595C5A07" w14:textId="77777777" w:rsidTr="00D86FA8">
        <w:trPr>
          <w:trHeight w:val="20"/>
        </w:trPr>
        <w:tc>
          <w:tcPr>
            <w:tcW w:w="381" w:type="pct"/>
            <w:vMerge w:val="restart"/>
            <w:tcBorders>
              <w:top w:val="nil"/>
              <w:left w:val="single" w:sz="8" w:space="0" w:color="auto"/>
              <w:bottom w:val="single" w:sz="8" w:space="0" w:color="000000"/>
              <w:right w:val="single" w:sz="8" w:space="0" w:color="auto"/>
            </w:tcBorders>
            <w:shd w:val="clear" w:color="auto" w:fill="auto"/>
            <w:vAlign w:val="center"/>
            <w:hideMark/>
          </w:tcPr>
          <w:p w14:paraId="43B87C80" w14:textId="7631D668"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Objektivat </w:t>
            </w:r>
            <w:r w:rsidR="00CB13C5" w:rsidRPr="001F0C5A">
              <w:rPr>
                <w:rFonts w:ascii="Garamond" w:eastAsia="Times New Roman" w:hAnsi="Garamond" w:cs="Times New Roman"/>
                <w:b/>
                <w:bCs/>
                <w:color w:val="000000"/>
                <w:sz w:val="8"/>
                <w:szCs w:val="8"/>
                <w:lang w:val="sq-AL"/>
              </w:rPr>
              <w:t xml:space="preserve">specifikë </w:t>
            </w:r>
          </w:p>
        </w:tc>
        <w:tc>
          <w:tcPr>
            <w:tcW w:w="681" w:type="pct"/>
            <w:gridSpan w:val="2"/>
            <w:tcBorders>
              <w:top w:val="single" w:sz="8" w:space="0" w:color="auto"/>
              <w:left w:val="nil"/>
              <w:bottom w:val="single" w:sz="8" w:space="0" w:color="auto"/>
              <w:right w:val="single" w:sz="8" w:space="0" w:color="000000"/>
            </w:tcBorders>
            <w:shd w:val="clear" w:color="auto" w:fill="auto"/>
            <w:vAlign w:val="center"/>
            <w:hideMark/>
          </w:tcPr>
          <w:p w14:paraId="178D20A1" w14:textId="33E3880A"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Institucionet përgjegjëse</w:t>
            </w:r>
          </w:p>
        </w:tc>
        <w:tc>
          <w:tcPr>
            <w:tcW w:w="468" w:type="pct"/>
            <w:gridSpan w:val="2"/>
            <w:tcBorders>
              <w:top w:val="single" w:sz="8" w:space="0" w:color="auto"/>
              <w:left w:val="nil"/>
              <w:bottom w:val="single" w:sz="8" w:space="0" w:color="auto"/>
              <w:right w:val="single" w:sz="8" w:space="0" w:color="000000"/>
            </w:tcBorders>
            <w:shd w:val="clear" w:color="auto" w:fill="auto"/>
            <w:vAlign w:val="center"/>
            <w:hideMark/>
          </w:tcPr>
          <w:p w14:paraId="1C298A12" w14:textId="0EC4854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Afati i </w:t>
            </w:r>
            <w:r w:rsidR="00CB13C5" w:rsidRPr="001F0C5A">
              <w:rPr>
                <w:rFonts w:ascii="Garamond" w:eastAsia="Times New Roman" w:hAnsi="Garamond" w:cs="Times New Roman"/>
                <w:b/>
                <w:bCs/>
                <w:color w:val="000000"/>
                <w:sz w:val="8"/>
                <w:szCs w:val="8"/>
                <w:lang w:val="sq-AL"/>
              </w:rPr>
              <w:t xml:space="preserve">zbatimit </w:t>
            </w:r>
          </w:p>
        </w:tc>
        <w:tc>
          <w:tcPr>
            <w:tcW w:w="991"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0A29641" w14:textId="22BDA712"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A91982">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indikative totale</w:t>
            </w:r>
          </w:p>
        </w:tc>
        <w:tc>
          <w:tcPr>
            <w:tcW w:w="1949" w:type="pct"/>
            <w:gridSpan w:val="6"/>
            <w:tcBorders>
              <w:top w:val="single" w:sz="8" w:space="0" w:color="auto"/>
              <w:left w:val="nil"/>
              <w:bottom w:val="single" w:sz="8" w:space="0" w:color="auto"/>
              <w:right w:val="single" w:sz="8" w:space="0" w:color="000000"/>
            </w:tcBorders>
            <w:shd w:val="clear" w:color="auto" w:fill="auto"/>
            <w:vAlign w:val="center"/>
            <w:hideMark/>
          </w:tcPr>
          <w:p w14:paraId="786AFA8D" w14:textId="34DD298D"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Burimi i mbulimit deri </w:t>
            </w:r>
            <w:r w:rsidR="00CB13C5">
              <w:rPr>
                <w:rFonts w:ascii="Garamond" w:eastAsia="Times New Roman" w:hAnsi="Garamond" w:cs="Times New Roman"/>
                <w:b/>
                <w:bCs/>
                <w:color w:val="000000"/>
                <w:sz w:val="8"/>
                <w:szCs w:val="8"/>
                <w:lang w:val="sq-AL"/>
              </w:rPr>
              <w:t>më</w:t>
            </w:r>
            <w:r w:rsidRPr="001F0C5A">
              <w:rPr>
                <w:rFonts w:ascii="Garamond" w:eastAsia="Times New Roman" w:hAnsi="Garamond" w:cs="Times New Roman"/>
                <w:b/>
                <w:bCs/>
                <w:color w:val="000000"/>
                <w:sz w:val="8"/>
                <w:szCs w:val="8"/>
                <w:lang w:val="sq-AL"/>
              </w:rPr>
              <w:t xml:space="preserve"> 2025</w:t>
            </w:r>
            <w:r w:rsidR="00CB13C5">
              <w:rPr>
                <w:rFonts w:ascii="Garamond" w:eastAsia="Times New Roman" w:hAnsi="Garamond" w:cs="Times New Roman"/>
                <w:b/>
                <w:bCs/>
                <w:color w:val="000000"/>
                <w:sz w:val="8"/>
                <w:szCs w:val="8"/>
                <w:lang w:val="sq-AL"/>
              </w:rPr>
              <w:t>-n</w:t>
            </w:r>
          </w:p>
        </w:tc>
        <w:tc>
          <w:tcPr>
            <w:tcW w:w="258" w:type="pct"/>
            <w:vMerge w:val="restart"/>
            <w:tcBorders>
              <w:top w:val="nil"/>
              <w:left w:val="single" w:sz="8" w:space="0" w:color="auto"/>
              <w:bottom w:val="single" w:sz="8" w:space="0" w:color="000000"/>
              <w:right w:val="single" w:sz="8" w:space="0" w:color="auto"/>
            </w:tcBorders>
            <w:shd w:val="clear" w:color="auto" w:fill="auto"/>
            <w:vAlign w:val="center"/>
            <w:hideMark/>
          </w:tcPr>
          <w:p w14:paraId="3B1AE33E" w14:textId="5D931DEA"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Hendeku financiar</w:t>
            </w:r>
            <w:r w:rsidRPr="001F0C5A">
              <w:rPr>
                <w:rFonts w:ascii="Garamond" w:eastAsia="Times New Roman" w:hAnsi="Garamond" w:cs="Times New Roman"/>
                <w:b/>
                <w:bCs/>
                <w:color w:val="000000"/>
                <w:sz w:val="8"/>
                <w:szCs w:val="8"/>
                <w:lang w:val="sq-AL"/>
              </w:rPr>
              <w:br/>
              <w:t>2024</w:t>
            </w:r>
            <w:r w:rsidR="00CB13C5">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2025</w:t>
            </w:r>
            <w:r w:rsidRPr="001F0C5A">
              <w:rPr>
                <w:rFonts w:ascii="Garamond" w:eastAsia="Times New Roman" w:hAnsi="Garamond" w:cs="Times New Roman"/>
                <w:b/>
                <w:bCs/>
                <w:color w:val="000000"/>
                <w:sz w:val="8"/>
                <w:szCs w:val="8"/>
                <w:lang w:val="sq-AL"/>
              </w:rPr>
              <w:br/>
              <w:t xml:space="preserve">(në </w:t>
            </w:r>
            <w:r w:rsidR="00CB13C5" w:rsidRPr="001F0C5A">
              <w:rPr>
                <w:rFonts w:ascii="Garamond" w:eastAsia="Times New Roman" w:hAnsi="Garamond" w:cs="Times New Roman"/>
                <w:b/>
                <w:bCs/>
                <w:color w:val="000000"/>
                <w:sz w:val="8"/>
                <w:szCs w:val="8"/>
                <w:lang w:val="sq-AL"/>
              </w:rPr>
              <w:t>lek</w:t>
            </w:r>
            <w:r w:rsidRPr="001F0C5A">
              <w:rPr>
                <w:rFonts w:ascii="Garamond" w:eastAsia="Times New Roman" w:hAnsi="Garamond" w:cs="Times New Roman"/>
                <w:b/>
                <w:bCs/>
                <w:color w:val="000000"/>
                <w:sz w:val="8"/>
                <w:szCs w:val="8"/>
                <w:lang w:val="sq-AL"/>
              </w:rPr>
              <w:t>)</w:t>
            </w:r>
          </w:p>
        </w:tc>
        <w:tc>
          <w:tcPr>
            <w:tcW w:w="272" w:type="pct"/>
            <w:vMerge w:val="restart"/>
            <w:tcBorders>
              <w:top w:val="nil"/>
              <w:left w:val="single" w:sz="8" w:space="0" w:color="auto"/>
              <w:bottom w:val="single" w:sz="4" w:space="0" w:color="000000"/>
              <w:right w:val="single" w:sz="8" w:space="0" w:color="auto"/>
            </w:tcBorders>
            <w:shd w:val="clear" w:color="auto" w:fill="auto"/>
            <w:vAlign w:val="center"/>
            <w:hideMark/>
          </w:tcPr>
          <w:p w14:paraId="118C95D2" w14:textId="5741A90D"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CB13C5">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totale n</w:t>
            </w:r>
            <w:r w:rsidR="00CB13C5">
              <w:rPr>
                <w:rFonts w:ascii="Garamond" w:eastAsia="Times New Roman" w:hAnsi="Garamond" w:cs="Times New Roman"/>
                <w:b/>
                <w:bCs/>
                <w:color w:val="000000"/>
                <w:sz w:val="8"/>
                <w:szCs w:val="8"/>
                <w:lang w:val="sq-AL"/>
              </w:rPr>
              <w:t>ë</w:t>
            </w:r>
            <w:r w:rsidRPr="001F0C5A">
              <w:rPr>
                <w:rFonts w:ascii="Garamond" w:eastAsia="Times New Roman" w:hAnsi="Garamond" w:cs="Times New Roman"/>
                <w:b/>
                <w:bCs/>
                <w:color w:val="000000"/>
                <w:sz w:val="8"/>
                <w:szCs w:val="8"/>
                <w:lang w:val="sq-AL"/>
              </w:rPr>
              <w:t xml:space="preserve"> EUR</w:t>
            </w:r>
            <w:r w:rsidRPr="001F0C5A">
              <w:rPr>
                <w:rFonts w:ascii="Garamond" w:eastAsia="Times New Roman" w:hAnsi="Garamond" w:cs="Times New Roman"/>
                <w:b/>
                <w:bCs/>
                <w:color w:val="000000"/>
                <w:sz w:val="8"/>
                <w:szCs w:val="8"/>
                <w:lang w:val="sq-AL"/>
              </w:rPr>
              <w:br/>
              <w:t xml:space="preserve">(kursi </w:t>
            </w:r>
            <w:r w:rsidR="00CB13C5" w:rsidRPr="001F0C5A">
              <w:rPr>
                <w:rFonts w:ascii="Garamond" w:eastAsia="Times New Roman" w:hAnsi="Garamond" w:cs="Times New Roman"/>
                <w:b/>
                <w:bCs/>
                <w:color w:val="000000"/>
                <w:sz w:val="8"/>
                <w:szCs w:val="8"/>
                <w:lang w:val="sq-AL"/>
              </w:rPr>
              <w:t>këmbimit</w:t>
            </w:r>
            <w:r w:rsidRPr="001F0C5A">
              <w:rPr>
                <w:rFonts w:ascii="Garamond" w:eastAsia="Times New Roman" w:hAnsi="Garamond" w:cs="Times New Roman"/>
                <w:b/>
                <w:bCs/>
                <w:color w:val="000000"/>
                <w:sz w:val="8"/>
                <w:szCs w:val="8"/>
                <w:lang w:val="sq-AL"/>
              </w:rPr>
              <w:t>: 1 EUR = 109 ALL)</w:t>
            </w:r>
          </w:p>
        </w:tc>
      </w:tr>
      <w:tr w:rsidR="00D86FA8" w:rsidRPr="001F0C5A" w14:paraId="75A26E1D"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46F695F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val="restart"/>
            <w:tcBorders>
              <w:top w:val="nil"/>
              <w:left w:val="single" w:sz="8" w:space="0" w:color="auto"/>
              <w:bottom w:val="single" w:sz="8" w:space="0" w:color="000000"/>
              <w:right w:val="single" w:sz="8" w:space="0" w:color="auto"/>
            </w:tcBorders>
            <w:shd w:val="clear" w:color="auto" w:fill="auto"/>
            <w:vAlign w:val="center"/>
            <w:hideMark/>
          </w:tcPr>
          <w:p w14:paraId="7CE4BD6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përgjegjës</w:t>
            </w:r>
          </w:p>
        </w:tc>
        <w:tc>
          <w:tcPr>
            <w:tcW w:w="340" w:type="pct"/>
            <w:vMerge w:val="restart"/>
            <w:tcBorders>
              <w:top w:val="nil"/>
              <w:left w:val="single" w:sz="8" w:space="0" w:color="auto"/>
              <w:bottom w:val="single" w:sz="8" w:space="0" w:color="000000"/>
              <w:right w:val="single" w:sz="8" w:space="0" w:color="auto"/>
            </w:tcBorders>
            <w:shd w:val="clear" w:color="auto" w:fill="auto"/>
            <w:vAlign w:val="center"/>
            <w:hideMark/>
          </w:tcPr>
          <w:p w14:paraId="6E434F51"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kontribues</w:t>
            </w:r>
          </w:p>
        </w:tc>
        <w:tc>
          <w:tcPr>
            <w:tcW w:w="213" w:type="pct"/>
            <w:vMerge w:val="restart"/>
            <w:tcBorders>
              <w:top w:val="nil"/>
              <w:left w:val="single" w:sz="8" w:space="0" w:color="auto"/>
              <w:bottom w:val="single" w:sz="8" w:space="0" w:color="000000"/>
              <w:right w:val="single" w:sz="8" w:space="0" w:color="auto"/>
            </w:tcBorders>
            <w:shd w:val="clear" w:color="auto" w:fill="auto"/>
            <w:vAlign w:val="center"/>
            <w:hideMark/>
          </w:tcPr>
          <w:p w14:paraId="2746BF1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 i fillimit</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601E18D7" w14:textId="6CEFDBB5"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w:t>
            </w:r>
            <w:r w:rsidR="001F0C5A" w:rsidRPr="001F0C5A">
              <w:rPr>
                <w:rFonts w:ascii="Garamond" w:eastAsia="Times New Roman" w:hAnsi="Garamond" w:cs="Times New Roman"/>
                <w:b/>
                <w:bCs/>
                <w:color w:val="000000"/>
                <w:sz w:val="8"/>
                <w:szCs w:val="8"/>
                <w:lang w:val="sq-AL"/>
              </w:rPr>
              <w:t xml:space="preserve"> </w:t>
            </w:r>
            <w:r w:rsidRPr="001F0C5A">
              <w:rPr>
                <w:rFonts w:ascii="Garamond" w:eastAsia="Times New Roman" w:hAnsi="Garamond" w:cs="Times New Roman"/>
                <w:b/>
                <w:bCs/>
                <w:color w:val="000000"/>
                <w:sz w:val="8"/>
                <w:szCs w:val="8"/>
                <w:lang w:val="sq-AL"/>
              </w:rPr>
              <w:t>i mbarimit</w:t>
            </w:r>
          </w:p>
        </w:tc>
        <w:tc>
          <w:tcPr>
            <w:tcW w:w="991" w:type="pct"/>
            <w:gridSpan w:val="3"/>
            <w:vMerge/>
            <w:tcBorders>
              <w:top w:val="nil"/>
              <w:left w:val="single" w:sz="8" w:space="0" w:color="auto"/>
              <w:bottom w:val="single" w:sz="8" w:space="0" w:color="000000"/>
              <w:right w:val="single" w:sz="8" w:space="0" w:color="auto"/>
            </w:tcBorders>
            <w:vAlign w:val="center"/>
            <w:hideMark/>
          </w:tcPr>
          <w:p w14:paraId="7DABEC7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1061" w:type="pct"/>
            <w:gridSpan w:val="3"/>
            <w:tcBorders>
              <w:top w:val="single" w:sz="8" w:space="0" w:color="auto"/>
              <w:left w:val="nil"/>
              <w:bottom w:val="single" w:sz="8" w:space="0" w:color="auto"/>
              <w:right w:val="single" w:sz="8" w:space="0" w:color="000000"/>
            </w:tcBorders>
            <w:shd w:val="clear" w:color="auto" w:fill="auto"/>
            <w:vAlign w:val="center"/>
            <w:hideMark/>
          </w:tcPr>
          <w:p w14:paraId="479C3EF7" w14:textId="3CADC88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PBA 2024</w:t>
            </w:r>
            <w:r w:rsidR="00CB13C5">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2026</w:t>
            </w:r>
          </w:p>
        </w:tc>
        <w:tc>
          <w:tcPr>
            <w:tcW w:w="888" w:type="pct"/>
            <w:gridSpan w:val="3"/>
            <w:tcBorders>
              <w:top w:val="single" w:sz="8" w:space="0" w:color="auto"/>
              <w:left w:val="nil"/>
              <w:bottom w:val="single" w:sz="8" w:space="0" w:color="auto"/>
              <w:right w:val="single" w:sz="8" w:space="0" w:color="000000"/>
            </w:tcBorders>
            <w:shd w:val="clear" w:color="auto" w:fill="auto"/>
            <w:vAlign w:val="center"/>
            <w:hideMark/>
          </w:tcPr>
          <w:p w14:paraId="5028758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Financim i huaj</w:t>
            </w:r>
          </w:p>
        </w:tc>
        <w:tc>
          <w:tcPr>
            <w:tcW w:w="258" w:type="pct"/>
            <w:vMerge/>
            <w:tcBorders>
              <w:top w:val="nil"/>
              <w:left w:val="single" w:sz="8" w:space="0" w:color="auto"/>
              <w:bottom w:val="single" w:sz="8" w:space="0" w:color="000000"/>
              <w:right w:val="single" w:sz="8" w:space="0" w:color="auto"/>
            </w:tcBorders>
            <w:vAlign w:val="center"/>
            <w:hideMark/>
          </w:tcPr>
          <w:p w14:paraId="3B328AA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72" w:type="pct"/>
            <w:vMerge/>
            <w:tcBorders>
              <w:top w:val="nil"/>
              <w:left w:val="single" w:sz="8" w:space="0" w:color="auto"/>
              <w:bottom w:val="single" w:sz="4" w:space="0" w:color="000000"/>
              <w:right w:val="single" w:sz="8" w:space="0" w:color="auto"/>
            </w:tcBorders>
            <w:vAlign w:val="center"/>
            <w:hideMark/>
          </w:tcPr>
          <w:p w14:paraId="1CFECA45"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50F120C7"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73673F73"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tcBorders>
              <w:top w:val="nil"/>
              <w:left w:val="single" w:sz="8" w:space="0" w:color="auto"/>
              <w:bottom w:val="single" w:sz="8" w:space="0" w:color="000000"/>
              <w:right w:val="single" w:sz="8" w:space="0" w:color="auto"/>
            </w:tcBorders>
            <w:vAlign w:val="center"/>
            <w:hideMark/>
          </w:tcPr>
          <w:p w14:paraId="5AFA14CA"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0" w:type="pct"/>
            <w:vMerge/>
            <w:tcBorders>
              <w:top w:val="nil"/>
              <w:left w:val="single" w:sz="8" w:space="0" w:color="auto"/>
              <w:bottom w:val="single" w:sz="8" w:space="0" w:color="000000"/>
              <w:right w:val="single" w:sz="8" w:space="0" w:color="auto"/>
            </w:tcBorders>
            <w:vAlign w:val="center"/>
            <w:hideMark/>
          </w:tcPr>
          <w:p w14:paraId="46FC6685"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13" w:type="pct"/>
            <w:vMerge/>
            <w:tcBorders>
              <w:top w:val="nil"/>
              <w:left w:val="single" w:sz="8" w:space="0" w:color="auto"/>
              <w:bottom w:val="single" w:sz="8" w:space="0" w:color="000000"/>
              <w:right w:val="single" w:sz="8" w:space="0" w:color="auto"/>
            </w:tcBorders>
            <w:vAlign w:val="center"/>
            <w:hideMark/>
          </w:tcPr>
          <w:p w14:paraId="5BF5CDB0"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55" w:type="pct"/>
            <w:vMerge/>
            <w:tcBorders>
              <w:top w:val="nil"/>
              <w:left w:val="single" w:sz="8" w:space="0" w:color="auto"/>
              <w:bottom w:val="single" w:sz="8" w:space="0" w:color="000000"/>
              <w:right w:val="single" w:sz="8" w:space="0" w:color="auto"/>
            </w:tcBorders>
            <w:vAlign w:val="center"/>
            <w:hideMark/>
          </w:tcPr>
          <w:p w14:paraId="7FE0BCD0"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30" w:type="pct"/>
            <w:tcBorders>
              <w:top w:val="nil"/>
              <w:left w:val="nil"/>
              <w:bottom w:val="single" w:sz="8" w:space="0" w:color="auto"/>
              <w:right w:val="nil"/>
            </w:tcBorders>
            <w:shd w:val="clear" w:color="auto" w:fill="auto"/>
            <w:vAlign w:val="center"/>
            <w:hideMark/>
          </w:tcPr>
          <w:p w14:paraId="6BB87CA2" w14:textId="24A740BD"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330" w:type="pct"/>
            <w:tcBorders>
              <w:top w:val="nil"/>
              <w:left w:val="single" w:sz="8" w:space="0" w:color="auto"/>
              <w:bottom w:val="single" w:sz="8" w:space="0" w:color="auto"/>
              <w:right w:val="single" w:sz="8" w:space="0" w:color="auto"/>
            </w:tcBorders>
            <w:shd w:val="clear" w:color="auto" w:fill="auto"/>
            <w:vAlign w:val="center"/>
            <w:hideMark/>
          </w:tcPr>
          <w:p w14:paraId="1F92437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49332CBB" w14:textId="554073CC"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Total </w:t>
            </w:r>
            <w:r w:rsidR="00CB13C5" w:rsidRPr="001F0C5A">
              <w:rPr>
                <w:rFonts w:ascii="Garamond" w:eastAsia="Times New Roman" w:hAnsi="Garamond" w:cs="Times New Roman"/>
                <w:b/>
                <w:bCs/>
                <w:color w:val="000000"/>
                <w:sz w:val="8"/>
                <w:szCs w:val="8"/>
                <w:lang w:val="sq-AL"/>
              </w:rPr>
              <w:t>kosto</w:t>
            </w:r>
          </w:p>
        </w:tc>
        <w:tc>
          <w:tcPr>
            <w:tcW w:w="420" w:type="pct"/>
            <w:tcBorders>
              <w:top w:val="nil"/>
              <w:left w:val="nil"/>
              <w:bottom w:val="single" w:sz="8" w:space="0" w:color="auto"/>
              <w:right w:val="nil"/>
            </w:tcBorders>
            <w:shd w:val="clear" w:color="auto" w:fill="auto"/>
            <w:vAlign w:val="center"/>
            <w:hideMark/>
          </w:tcPr>
          <w:p w14:paraId="4B47EF7A" w14:textId="4D8D26BE"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310" w:type="pct"/>
            <w:tcBorders>
              <w:top w:val="nil"/>
              <w:left w:val="single" w:sz="8" w:space="0" w:color="auto"/>
              <w:bottom w:val="single" w:sz="8" w:space="0" w:color="auto"/>
              <w:right w:val="single" w:sz="8" w:space="0" w:color="auto"/>
            </w:tcBorders>
            <w:shd w:val="clear" w:color="auto" w:fill="auto"/>
            <w:vAlign w:val="center"/>
            <w:hideMark/>
          </w:tcPr>
          <w:p w14:paraId="21BB0A9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1F92129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BSH</w:t>
            </w:r>
          </w:p>
        </w:tc>
        <w:tc>
          <w:tcPr>
            <w:tcW w:w="310" w:type="pct"/>
            <w:tcBorders>
              <w:top w:val="nil"/>
              <w:left w:val="nil"/>
              <w:bottom w:val="single" w:sz="8" w:space="0" w:color="auto"/>
              <w:right w:val="nil"/>
            </w:tcBorders>
            <w:shd w:val="clear" w:color="auto" w:fill="auto"/>
            <w:vAlign w:val="center"/>
            <w:hideMark/>
          </w:tcPr>
          <w:p w14:paraId="41DF9BCC" w14:textId="3B141A92"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289" w:type="pct"/>
            <w:tcBorders>
              <w:top w:val="nil"/>
              <w:left w:val="single" w:sz="8" w:space="0" w:color="auto"/>
              <w:bottom w:val="single" w:sz="8" w:space="0" w:color="auto"/>
              <w:right w:val="single" w:sz="8" w:space="0" w:color="auto"/>
            </w:tcBorders>
            <w:shd w:val="clear" w:color="auto" w:fill="auto"/>
            <w:vAlign w:val="center"/>
            <w:hideMark/>
          </w:tcPr>
          <w:p w14:paraId="3A68A76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289" w:type="pct"/>
            <w:tcBorders>
              <w:top w:val="nil"/>
              <w:left w:val="nil"/>
              <w:bottom w:val="single" w:sz="8" w:space="0" w:color="auto"/>
              <w:right w:val="single" w:sz="8" w:space="0" w:color="auto"/>
            </w:tcBorders>
            <w:shd w:val="clear" w:color="auto" w:fill="auto"/>
            <w:vAlign w:val="center"/>
            <w:hideMark/>
          </w:tcPr>
          <w:p w14:paraId="5BEA8FB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FH</w:t>
            </w:r>
          </w:p>
        </w:tc>
        <w:tc>
          <w:tcPr>
            <w:tcW w:w="258" w:type="pct"/>
            <w:tcBorders>
              <w:top w:val="nil"/>
              <w:left w:val="nil"/>
              <w:bottom w:val="single" w:sz="8" w:space="0" w:color="auto"/>
              <w:right w:val="single" w:sz="8" w:space="0" w:color="auto"/>
            </w:tcBorders>
            <w:shd w:val="clear" w:color="auto" w:fill="auto"/>
            <w:vAlign w:val="center"/>
            <w:hideMark/>
          </w:tcPr>
          <w:p w14:paraId="5097C73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w:t>
            </w:r>
          </w:p>
        </w:tc>
        <w:tc>
          <w:tcPr>
            <w:tcW w:w="272" w:type="pct"/>
            <w:vMerge/>
            <w:tcBorders>
              <w:top w:val="nil"/>
              <w:left w:val="single" w:sz="8" w:space="0" w:color="auto"/>
              <w:bottom w:val="single" w:sz="4" w:space="0" w:color="000000"/>
              <w:right w:val="single" w:sz="8" w:space="0" w:color="auto"/>
            </w:tcBorders>
            <w:vAlign w:val="center"/>
            <w:hideMark/>
          </w:tcPr>
          <w:p w14:paraId="69C1F56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01283961"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4D834563" w14:textId="5F87A7E9"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1: Rritja e nivelit të përputhshmërisë me standardet evropiane dhe të </w:t>
            </w:r>
            <w:r w:rsidR="00CB13C5" w:rsidRPr="001F0C5A">
              <w:rPr>
                <w:rFonts w:ascii="Garamond" w:eastAsia="Times New Roman" w:hAnsi="Garamond" w:cs="Calibri"/>
                <w:b/>
                <w:bCs/>
                <w:color w:val="000000"/>
                <w:sz w:val="8"/>
                <w:szCs w:val="8"/>
                <w:lang w:val="sq-AL"/>
              </w:rPr>
              <w:t>Shengenit</w:t>
            </w:r>
            <w:r w:rsidRPr="001F0C5A">
              <w:rPr>
                <w:rFonts w:ascii="Garamond" w:eastAsia="Times New Roman" w:hAnsi="Garamond" w:cs="Calibri"/>
                <w:b/>
                <w:bCs/>
                <w:color w:val="000000"/>
                <w:sz w:val="8"/>
                <w:szCs w:val="8"/>
                <w:lang w:val="sq-AL"/>
              </w:rPr>
              <w:t xml:space="preserve">, në aspektin legjislativ, administrativ dhe institucional në fushën e menaxhimit të integruar të kufijve, veçanërisht në fushën e kontrollit dhe </w:t>
            </w:r>
            <w:r w:rsidR="00CB13C5" w:rsidRPr="001F0C5A">
              <w:rPr>
                <w:rFonts w:ascii="Garamond" w:eastAsia="Times New Roman" w:hAnsi="Garamond" w:cs="Calibri"/>
                <w:b/>
                <w:bCs/>
                <w:color w:val="000000"/>
                <w:sz w:val="8"/>
                <w:szCs w:val="8"/>
                <w:lang w:val="sq-AL"/>
              </w:rPr>
              <w:t>mbikëqyrjes</w:t>
            </w:r>
            <w:r w:rsidRPr="001F0C5A">
              <w:rPr>
                <w:rFonts w:ascii="Garamond" w:eastAsia="Times New Roman" w:hAnsi="Garamond" w:cs="Calibri"/>
                <w:b/>
                <w:bCs/>
                <w:color w:val="000000"/>
                <w:sz w:val="8"/>
                <w:szCs w:val="8"/>
                <w:lang w:val="sq-AL"/>
              </w:rPr>
              <w:t xml:space="preserve"> së kufirit dhe forcimi i bashkëpunimit ndëragje</w:t>
            </w:r>
            <w:r w:rsidR="00CB13C5">
              <w:rPr>
                <w:rFonts w:ascii="Garamond" w:eastAsia="Times New Roman" w:hAnsi="Garamond" w:cs="Calibri"/>
                <w:b/>
                <w:bCs/>
                <w:color w:val="000000"/>
                <w:sz w:val="8"/>
                <w:szCs w:val="8"/>
                <w:lang w:val="sq-AL"/>
              </w:rPr>
              <w:t>n</w:t>
            </w:r>
            <w:r w:rsidRPr="001F0C5A">
              <w:rPr>
                <w:rFonts w:ascii="Garamond" w:eastAsia="Times New Roman" w:hAnsi="Garamond" w:cs="Calibri"/>
                <w:b/>
                <w:bCs/>
                <w:color w:val="000000"/>
                <w:sz w:val="8"/>
                <w:szCs w:val="8"/>
                <w:lang w:val="sq-AL"/>
              </w:rPr>
              <w:t>ci dhe bashkëpunimit ndërkombëtar</w:t>
            </w:r>
          </w:p>
        </w:tc>
        <w:tc>
          <w:tcPr>
            <w:tcW w:w="341" w:type="pct"/>
            <w:tcBorders>
              <w:top w:val="single" w:sz="4" w:space="0" w:color="auto"/>
              <w:left w:val="nil"/>
              <w:bottom w:val="single" w:sz="4" w:space="0" w:color="auto"/>
              <w:right w:val="single" w:sz="4" w:space="0" w:color="auto"/>
            </w:tcBorders>
            <w:shd w:val="clear" w:color="auto" w:fill="auto"/>
            <w:vAlign w:val="center"/>
            <w:hideMark/>
          </w:tcPr>
          <w:p w14:paraId="4009D1A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53BD3369" w14:textId="7583776E"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MF</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DPD</w:t>
            </w:r>
            <w:r w:rsidRPr="001F0C5A">
              <w:rPr>
                <w:rFonts w:ascii="Garamond" w:eastAsia="Times New Roman" w:hAnsi="Garamond" w:cs="Times New Roman"/>
                <w:color w:val="000000"/>
                <w:sz w:val="8"/>
                <w:szCs w:val="8"/>
                <w:lang w:val="sq-AL"/>
              </w:rPr>
              <w:br/>
              <w:t>MM</w:t>
            </w:r>
            <w:r w:rsidR="001F0C5A" w:rsidRPr="001F0C5A">
              <w:rPr>
                <w:rFonts w:ascii="Garamond" w:eastAsia="Times New Roman" w:hAnsi="Garamond" w:cs="Times New Roman"/>
                <w:color w:val="000000"/>
                <w:sz w:val="8"/>
                <w:szCs w:val="8"/>
                <w:lang w:val="sq-AL"/>
              </w:rPr>
              <w:t xml:space="preserve"> </w:t>
            </w:r>
          </w:p>
        </w:tc>
        <w:tc>
          <w:tcPr>
            <w:tcW w:w="213" w:type="pct"/>
            <w:tcBorders>
              <w:top w:val="single" w:sz="4" w:space="0" w:color="auto"/>
              <w:left w:val="nil"/>
              <w:bottom w:val="single" w:sz="4" w:space="0" w:color="auto"/>
              <w:right w:val="single" w:sz="4" w:space="0" w:color="auto"/>
            </w:tcBorders>
            <w:shd w:val="clear" w:color="auto" w:fill="auto"/>
            <w:vAlign w:val="center"/>
            <w:hideMark/>
          </w:tcPr>
          <w:p w14:paraId="1C6A160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single" w:sz="4" w:space="0" w:color="auto"/>
              <w:left w:val="nil"/>
              <w:bottom w:val="single" w:sz="4" w:space="0" w:color="auto"/>
              <w:right w:val="single" w:sz="4" w:space="0" w:color="auto"/>
            </w:tcBorders>
            <w:shd w:val="clear" w:color="auto" w:fill="auto"/>
            <w:vAlign w:val="center"/>
            <w:hideMark/>
          </w:tcPr>
          <w:p w14:paraId="2CDB6D3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78FAE2E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5,650,000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4BDF89A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59B11F3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5,650,000</w:t>
            </w:r>
          </w:p>
        </w:tc>
        <w:tc>
          <w:tcPr>
            <w:tcW w:w="420" w:type="pct"/>
            <w:tcBorders>
              <w:top w:val="single" w:sz="4" w:space="0" w:color="auto"/>
              <w:left w:val="nil"/>
              <w:bottom w:val="single" w:sz="4" w:space="0" w:color="auto"/>
              <w:right w:val="single" w:sz="4" w:space="0" w:color="auto"/>
            </w:tcBorders>
            <w:shd w:val="clear" w:color="auto" w:fill="auto"/>
            <w:vAlign w:val="center"/>
            <w:hideMark/>
          </w:tcPr>
          <w:p w14:paraId="7B066BD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5,650,000</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4065386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0630D083"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5,650,000</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19BBDAF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56CB804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58061CF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single" w:sz="4" w:space="0" w:color="auto"/>
              <w:left w:val="nil"/>
              <w:bottom w:val="single" w:sz="4" w:space="0" w:color="auto"/>
              <w:right w:val="single" w:sz="4" w:space="0" w:color="auto"/>
            </w:tcBorders>
            <w:shd w:val="clear" w:color="auto" w:fill="auto"/>
            <w:vAlign w:val="center"/>
            <w:hideMark/>
          </w:tcPr>
          <w:p w14:paraId="7D92B18E"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7FB295C2"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51,835</w:t>
            </w:r>
          </w:p>
        </w:tc>
      </w:tr>
      <w:tr w:rsidR="00D86FA8" w:rsidRPr="001F0C5A" w14:paraId="6E219482"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7F2DE220" w14:textId="5A360684"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2 - Përmirësimi i Sistemit për </w:t>
            </w:r>
            <w:r w:rsidR="00CB13C5" w:rsidRPr="001F0C5A">
              <w:rPr>
                <w:rFonts w:ascii="Garamond" w:eastAsia="Times New Roman" w:hAnsi="Garamond" w:cs="Calibri"/>
                <w:b/>
                <w:bCs/>
                <w:color w:val="000000"/>
                <w:sz w:val="8"/>
                <w:szCs w:val="8"/>
                <w:lang w:val="sq-AL"/>
              </w:rPr>
              <w:t>mbikëqyrjen</w:t>
            </w:r>
            <w:r w:rsidRPr="001F0C5A">
              <w:rPr>
                <w:rFonts w:ascii="Garamond" w:eastAsia="Times New Roman" w:hAnsi="Garamond" w:cs="Calibri"/>
                <w:b/>
                <w:bCs/>
                <w:color w:val="000000"/>
                <w:sz w:val="8"/>
                <w:szCs w:val="8"/>
                <w:lang w:val="sq-AL"/>
              </w:rPr>
              <w:t xml:space="preserve"> e hapësirës detare, kontrollit kufitar </w:t>
            </w:r>
            <w:r w:rsidRPr="001F0C5A">
              <w:rPr>
                <w:rFonts w:ascii="Garamond" w:eastAsia="Times New Roman" w:hAnsi="Garamond" w:cs="Calibri"/>
                <w:b/>
                <w:bCs/>
                <w:color w:val="000000"/>
                <w:sz w:val="8"/>
                <w:szCs w:val="8"/>
                <w:lang w:val="sq-AL"/>
              </w:rPr>
              <w:lastRenderedPageBreak/>
              <w:t>dhe kërkimit dhe shpëtimit në det</w:t>
            </w:r>
          </w:p>
        </w:tc>
        <w:tc>
          <w:tcPr>
            <w:tcW w:w="341" w:type="pct"/>
            <w:tcBorders>
              <w:top w:val="nil"/>
              <w:left w:val="nil"/>
              <w:bottom w:val="single" w:sz="4" w:space="0" w:color="auto"/>
              <w:right w:val="single" w:sz="4" w:space="0" w:color="auto"/>
            </w:tcBorders>
            <w:shd w:val="clear" w:color="auto" w:fill="auto"/>
            <w:vAlign w:val="center"/>
            <w:hideMark/>
          </w:tcPr>
          <w:p w14:paraId="1E48E60E" w14:textId="154700A2"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lastRenderedPageBreak/>
              <w:t>MB</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PSH</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MM / FD-RB</w:t>
            </w:r>
          </w:p>
        </w:tc>
        <w:tc>
          <w:tcPr>
            <w:tcW w:w="340" w:type="pct"/>
            <w:tcBorders>
              <w:top w:val="nil"/>
              <w:left w:val="nil"/>
              <w:bottom w:val="single" w:sz="4" w:space="0" w:color="auto"/>
              <w:right w:val="single" w:sz="4" w:space="0" w:color="auto"/>
            </w:tcBorders>
            <w:shd w:val="clear" w:color="auto" w:fill="auto"/>
            <w:vAlign w:val="center"/>
            <w:hideMark/>
          </w:tcPr>
          <w:p w14:paraId="6DAE72D6" w14:textId="6F506E81"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MM</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FD-RB</w:t>
            </w:r>
            <w:r w:rsidRPr="001F0C5A">
              <w:rPr>
                <w:rFonts w:ascii="Garamond" w:eastAsia="Times New Roman" w:hAnsi="Garamond" w:cs="Times New Roman"/>
                <w:color w:val="000000"/>
                <w:sz w:val="8"/>
                <w:szCs w:val="8"/>
                <w:lang w:val="sq-AL"/>
              </w:rPr>
              <w:br/>
              <w:t>QNOD</w:t>
            </w:r>
            <w:r w:rsidRPr="001F0C5A">
              <w:rPr>
                <w:rFonts w:ascii="Garamond" w:eastAsia="Times New Roman" w:hAnsi="Garamond" w:cs="Times New Roman"/>
                <w:color w:val="000000"/>
                <w:sz w:val="8"/>
                <w:szCs w:val="8"/>
                <w:lang w:val="sq-AL"/>
              </w:rPr>
              <w:br/>
              <w:t>MB / PSH</w:t>
            </w:r>
            <w:r w:rsidRPr="001F0C5A">
              <w:rPr>
                <w:rFonts w:ascii="Garamond" w:eastAsia="Times New Roman" w:hAnsi="Garamond" w:cs="Times New Roman"/>
                <w:color w:val="000000"/>
                <w:sz w:val="8"/>
                <w:szCs w:val="8"/>
                <w:lang w:val="sq-AL"/>
              </w:rPr>
              <w:br/>
              <w:t>MF/DPD</w:t>
            </w:r>
            <w:r w:rsidRPr="001F0C5A">
              <w:rPr>
                <w:rFonts w:ascii="Garamond" w:eastAsia="Times New Roman" w:hAnsi="Garamond" w:cs="Times New Roman"/>
                <w:color w:val="000000"/>
                <w:sz w:val="8"/>
                <w:szCs w:val="8"/>
                <w:lang w:val="sq-AL"/>
              </w:rPr>
              <w:br/>
              <w:t xml:space="preserve">MIE/Drejtoria e </w:t>
            </w:r>
            <w:r w:rsidRPr="001F0C5A">
              <w:rPr>
                <w:rFonts w:ascii="Garamond" w:eastAsia="Times New Roman" w:hAnsi="Garamond" w:cs="Times New Roman"/>
                <w:color w:val="000000"/>
                <w:sz w:val="8"/>
                <w:szCs w:val="8"/>
                <w:lang w:val="sq-AL"/>
              </w:rPr>
              <w:lastRenderedPageBreak/>
              <w:t>Përgjithshme Detare</w:t>
            </w:r>
            <w:r w:rsidRPr="001F0C5A">
              <w:rPr>
                <w:rFonts w:ascii="Garamond" w:eastAsia="Times New Roman" w:hAnsi="Garamond" w:cs="Times New Roman"/>
                <w:color w:val="000000"/>
                <w:sz w:val="8"/>
                <w:szCs w:val="8"/>
                <w:lang w:val="sq-AL"/>
              </w:rPr>
              <w:br/>
              <w:t>DONATORË</w:t>
            </w:r>
          </w:p>
        </w:tc>
        <w:tc>
          <w:tcPr>
            <w:tcW w:w="213" w:type="pct"/>
            <w:tcBorders>
              <w:top w:val="nil"/>
              <w:left w:val="nil"/>
              <w:bottom w:val="single" w:sz="4" w:space="0" w:color="auto"/>
              <w:right w:val="single" w:sz="4" w:space="0" w:color="auto"/>
            </w:tcBorders>
            <w:shd w:val="clear" w:color="auto" w:fill="auto"/>
            <w:vAlign w:val="center"/>
            <w:hideMark/>
          </w:tcPr>
          <w:p w14:paraId="58786E1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lastRenderedPageBreak/>
              <w:t>2024</w:t>
            </w:r>
          </w:p>
        </w:tc>
        <w:tc>
          <w:tcPr>
            <w:tcW w:w="255" w:type="pct"/>
            <w:tcBorders>
              <w:top w:val="nil"/>
              <w:left w:val="nil"/>
              <w:bottom w:val="single" w:sz="4" w:space="0" w:color="auto"/>
              <w:right w:val="single" w:sz="4" w:space="0" w:color="auto"/>
            </w:tcBorders>
            <w:shd w:val="clear" w:color="auto" w:fill="auto"/>
            <w:vAlign w:val="center"/>
            <w:hideMark/>
          </w:tcPr>
          <w:p w14:paraId="1F23FCA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42A0C1D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976,000</w:t>
            </w:r>
          </w:p>
        </w:tc>
        <w:tc>
          <w:tcPr>
            <w:tcW w:w="330" w:type="pct"/>
            <w:tcBorders>
              <w:top w:val="nil"/>
              <w:left w:val="nil"/>
              <w:bottom w:val="single" w:sz="4" w:space="0" w:color="auto"/>
              <w:right w:val="single" w:sz="4" w:space="0" w:color="auto"/>
            </w:tcBorders>
            <w:shd w:val="clear" w:color="auto" w:fill="auto"/>
            <w:vAlign w:val="center"/>
            <w:hideMark/>
          </w:tcPr>
          <w:p w14:paraId="2C39959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343,050,000</w:t>
            </w:r>
          </w:p>
        </w:tc>
        <w:tc>
          <w:tcPr>
            <w:tcW w:w="330" w:type="pct"/>
            <w:tcBorders>
              <w:top w:val="nil"/>
              <w:left w:val="nil"/>
              <w:bottom w:val="single" w:sz="4" w:space="0" w:color="auto"/>
              <w:right w:val="single" w:sz="4" w:space="0" w:color="auto"/>
            </w:tcBorders>
            <w:shd w:val="clear" w:color="auto" w:fill="auto"/>
            <w:vAlign w:val="center"/>
            <w:hideMark/>
          </w:tcPr>
          <w:p w14:paraId="382CDA6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344,026,000</w:t>
            </w:r>
          </w:p>
        </w:tc>
        <w:tc>
          <w:tcPr>
            <w:tcW w:w="420" w:type="pct"/>
            <w:tcBorders>
              <w:top w:val="nil"/>
              <w:left w:val="nil"/>
              <w:bottom w:val="single" w:sz="4" w:space="0" w:color="auto"/>
              <w:right w:val="single" w:sz="4" w:space="0" w:color="auto"/>
            </w:tcBorders>
            <w:shd w:val="clear" w:color="auto" w:fill="auto"/>
            <w:vAlign w:val="center"/>
            <w:hideMark/>
          </w:tcPr>
          <w:p w14:paraId="2BC3C117"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976,000</w:t>
            </w:r>
          </w:p>
        </w:tc>
        <w:tc>
          <w:tcPr>
            <w:tcW w:w="310" w:type="pct"/>
            <w:tcBorders>
              <w:top w:val="nil"/>
              <w:left w:val="nil"/>
              <w:bottom w:val="single" w:sz="4" w:space="0" w:color="auto"/>
              <w:right w:val="single" w:sz="4" w:space="0" w:color="auto"/>
            </w:tcBorders>
            <w:shd w:val="clear" w:color="auto" w:fill="auto"/>
            <w:vAlign w:val="center"/>
            <w:hideMark/>
          </w:tcPr>
          <w:p w14:paraId="0FD36C1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50,000</w:t>
            </w:r>
          </w:p>
        </w:tc>
        <w:tc>
          <w:tcPr>
            <w:tcW w:w="330" w:type="pct"/>
            <w:tcBorders>
              <w:top w:val="nil"/>
              <w:left w:val="nil"/>
              <w:bottom w:val="single" w:sz="4" w:space="0" w:color="auto"/>
              <w:right w:val="single" w:sz="4" w:space="0" w:color="auto"/>
            </w:tcBorders>
            <w:shd w:val="clear" w:color="auto" w:fill="auto"/>
            <w:vAlign w:val="center"/>
            <w:hideMark/>
          </w:tcPr>
          <w:p w14:paraId="3CE78FC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1,026,000</w:t>
            </w:r>
          </w:p>
        </w:tc>
        <w:tc>
          <w:tcPr>
            <w:tcW w:w="310" w:type="pct"/>
            <w:tcBorders>
              <w:top w:val="nil"/>
              <w:left w:val="nil"/>
              <w:bottom w:val="single" w:sz="4" w:space="0" w:color="auto"/>
              <w:right w:val="single" w:sz="4" w:space="0" w:color="auto"/>
            </w:tcBorders>
            <w:shd w:val="clear" w:color="auto" w:fill="auto"/>
            <w:vAlign w:val="center"/>
            <w:hideMark/>
          </w:tcPr>
          <w:p w14:paraId="1A8430D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5C53917C"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343,000,000</w:t>
            </w:r>
          </w:p>
        </w:tc>
        <w:tc>
          <w:tcPr>
            <w:tcW w:w="289" w:type="pct"/>
            <w:tcBorders>
              <w:top w:val="nil"/>
              <w:left w:val="nil"/>
              <w:bottom w:val="single" w:sz="4" w:space="0" w:color="auto"/>
              <w:right w:val="single" w:sz="4" w:space="0" w:color="auto"/>
            </w:tcBorders>
            <w:shd w:val="clear" w:color="auto" w:fill="auto"/>
            <w:vAlign w:val="center"/>
            <w:hideMark/>
          </w:tcPr>
          <w:p w14:paraId="0D011DE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343,000,000</w:t>
            </w:r>
          </w:p>
        </w:tc>
        <w:tc>
          <w:tcPr>
            <w:tcW w:w="258" w:type="pct"/>
            <w:tcBorders>
              <w:top w:val="nil"/>
              <w:left w:val="nil"/>
              <w:bottom w:val="single" w:sz="4" w:space="0" w:color="auto"/>
              <w:right w:val="single" w:sz="4" w:space="0" w:color="auto"/>
            </w:tcBorders>
            <w:shd w:val="clear" w:color="auto" w:fill="auto"/>
            <w:vAlign w:val="center"/>
            <w:hideMark/>
          </w:tcPr>
          <w:p w14:paraId="7EE541A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3C143427"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3,156,202</w:t>
            </w:r>
          </w:p>
        </w:tc>
      </w:tr>
      <w:tr w:rsidR="00D86FA8" w:rsidRPr="001F0C5A" w14:paraId="2675121A"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194B1EFD" w14:textId="65A4D09D"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3: Reduktimi i vulnerabilitetit (ndjeshmërisë) në kufi duke reaguar në mënyrë më efektive me vendosjen e </w:t>
            </w:r>
            <w:r w:rsidRPr="001F0C5A">
              <w:rPr>
                <w:rFonts w:ascii="Garamond" w:eastAsia="Times New Roman" w:hAnsi="Garamond" w:cs="Calibri"/>
                <w:b/>
                <w:bCs/>
                <w:color w:val="000000"/>
                <w:sz w:val="8"/>
                <w:szCs w:val="8"/>
                <w:lang w:val="sq-AL"/>
              </w:rPr>
              <w:br/>
              <w:t xml:space="preserve">burimeve të disponueshme, bazuar në analizën e rrezikut të kryer dhe kërcënimit që mund të ndikojë në </w:t>
            </w:r>
            <w:r w:rsidRPr="001F0C5A">
              <w:rPr>
                <w:rFonts w:ascii="Garamond" w:eastAsia="Times New Roman" w:hAnsi="Garamond" w:cs="Calibri"/>
                <w:b/>
                <w:bCs/>
                <w:color w:val="000000"/>
                <w:sz w:val="8"/>
                <w:szCs w:val="8"/>
                <w:lang w:val="sq-AL"/>
              </w:rPr>
              <w:br/>
              <w:t>sigurinë kufitare, në përputhje me modelin e CIRAM të BE-së</w:t>
            </w:r>
            <w:r w:rsidRPr="001F0C5A">
              <w:rPr>
                <w:rFonts w:ascii="Garamond" w:eastAsia="Times New Roman" w:hAnsi="Garamond" w:cs="Calibri"/>
                <w:b/>
                <w:bCs/>
                <w:color w:val="000000"/>
                <w:sz w:val="8"/>
                <w:szCs w:val="8"/>
                <w:lang w:val="sq-AL"/>
              </w:rPr>
              <w:b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71F088C7"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nil"/>
              <w:left w:val="nil"/>
              <w:bottom w:val="single" w:sz="4" w:space="0" w:color="auto"/>
              <w:right w:val="single" w:sz="4" w:space="0" w:color="auto"/>
            </w:tcBorders>
            <w:shd w:val="clear" w:color="000000" w:fill="FFFFFF"/>
            <w:vAlign w:val="center"/>
            <w:hideMark/>
          </w:tcPr>
          <w:p w14:paraId="33BC355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r w:rsidRPr="001F0C5A">
              <w:rPr>
                <w:rFonts w:ascii="Garamond" w:eastAsia="Times New Roman" w:hAnsi="Garamond" w:cs="Times New Roman"/>
                <w:color w:val="000000"/>
                <w:sz w:val="8"/>
                <w:szCs w:val="8"/>
                <w:lang w:val="sq-AL"/>
              </w:rPr>
              <w:br/>
              <w:t>MBZHR/AKU</w:t>
            </w:r>
            <w:r w:rsidRPr="001F0C5A">
              <w:rPr>
                <w:rFonts w:ascii="Garamond" w:eastAsia="Times New Roman" w:hAnsi="Garamond" w:cs="Times New Roman"/>
                <w:color w:val="000000"/>
                <w:sz w:val="8"/>
                <w:szCs w:val="8"/>
                <w:lang w:val="sq-AL"/>
              </w:rPr>
              <w:br/>
              <w:t>MF/DPD</w:t>
            </w:r>
          </w:p>
        </w:tc>
        <w:tc>
          <w:tcPr>
            <w:tcW w:w="213" w:type="pct"/>
            <w:tcBorders>
              <w:top w:val="nil"/>
              <w:left w:val="nil"/>
              <w:bottom w:val="single" w:sz="4" w:space="0" w:color="auto"/>
              <w:right w:val="single" w:sz="4" w:space="0" w:color="auto"/>
            </w:tcBorders>
            <w:shd w:val="clear" w:color="auto" w:fill="auto"/>
            <w:vAlign w:val="center"/>
            <w:hideMark/>
          </w:tcPr>
          <w:p w14:paraId="565694E2"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529A72E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0A35CDE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391,960,000</w:t>
            </w:r>
          </w:p>
        </w:tc>
        <w:tc>
          <w:tcPr>
            <w:tcW w:w="330" w:type="pct"/>
            <w:tcBorders>
              <w:top w:val="nil"/>
              <w:left w:val="nil"/>
              <w:bottom w:val="single" w:sz="4" w:space="0" w:color="auto"/>
              <w:right w:val="single" w:sz="4" w:space="0" w:color="auto"/>
            </w:tcBorders>
            <w:shd w:val="clear" w:color="auto" w:fill="auto"/>
            <w:vAlign w:val="center"/>
            <w:hideMark/>
          </w:tcPr>
          <w:p w14:paraId="4D27BD5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089706C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391,960,000</w:t>
            </w:r>
          </w:p>
        </w:tc>
        <w:tc>
          <w:tcPr>
            <w:tcW w:w="420" w:type="pct"/>
            <w:tcBorders>
              <w:top w:val="nil"/>
              <w:left w:val="nil"/>
              <w:bottom w:val="single" w:sz="4" w:space="0" w:color="auto"/>
              <w:right w:val="single" w:sz="4" w:space="0" w:color="auto"/>
            </w:tcBorders>
            <w:shd w:val="clear" w:color="auto" w:fill="auto"/>
            <w:vAlign w:val="center"/>
            <w:hideMark/>
          </w:tcPr>
          <w:p w14:paraId="24EBA9C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306,960,000</w:t>
            </w:r>
          </w:p>
        </w:tc>
        <w:tc>
          <w:tcPr>
            <w:tcW w:w="310" w:type="pct"/>
            <w:tcBorders>
              <w:top w:val="nil"/>
              <w:left w:val="nil"/>
              <w:bottom w:val="single" w:sz="4" w:space="0" w:color="auto"/>
              <w:right w:val="single" w:sz="4" w:space="0" w:color="auto"/>
            </w:tcBorders>
            <w:shd w:val="clear" w:color="auto" w:fill="auto"/>
            <w:vAlign w:val="center"/>
            <w:hideMark/>
          </w:tcPr>
          <w:p w14:paraId="7FDE0F6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0503201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306,960,000</w:t>
            </w:r>
          </w:p>
        </w:tc>
        <w:tc>
          <w:tcPr>
            <w:tcW w:w="310" w:type="pct"/>
            <w:tcBorders>
              <w:top w:val="nil"/>
              <w:left w:val="nil"/>
              <w:bottom w:val="single" w:sz="4" w:space="0" w:color="auto"/>
              <w:right w:val="single" w:sz="4" w:space="0" w:color="auto"/>
            </w:tcBorders>
            <w:shd w:val="clear" w:color="auto" w:fill="auto"/>
            <w:vAlign w:val="center"/>
            <w:hideMark/>
          </w:tcPr>
          <w:p w14:paraId="63F2FB7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85,000,000</w:t>
            </w:r>
          </w:p>
        </w:tc>
        <w:tc>
          <w:tcPr>
            <w:tcW w:w="289" w:type="pct"/>
            <w:tcBorders>
              <w:top w:val="nil"/>
              <w:left w:val="nil"/>
              <w:bottom w:val="single" w:sz="4" w:space="0" w:color="auto"/>
              <w:right w:val="single" w:sz="4" w:space="0" w:color="auto"/>
            </w:tcBorders>
            <w:shd w:val="clear" w:color="auto" w:fill="auto"/>
            <w:vAlign w:val="center"/>
            <w:hideMark/>
          </w:tcPr>
          <w:p w14:paraId="7BA6717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3B5B4BD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85,000,000</w:t>
            </w:r>
          </w:p>
        </w:tc>
        <w:tc>
          <w:tcPr>
            <w:tcW w:w="258" w:type="pct"/>
            <w:tcBorders>
              <w:top w:val="nil"/>
              <w:left w:val="nil"/>
              <w:bottom w:val="single" w:sz="4" w:space="0" w:color="auto"/>
              <w:right w:val="single" w:sz="4" w:space="0" w:color="auto"/>
            </w:tcBorders>
            <w:shd w:val="clear" w:color="auto" w:fill="auto"/>
            <w:vAlign w:val="center"/>
            <w:hideMark/>
          </w:tcPr>
          <w:p w14:paraId="3878D20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0E1DC0AB"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3,595,963</w:t>
            </w:r>
          </w:p>
        </w:tc>
      </w:tr>
      <w:tr w:rsidR="00D86FA8" w:rsidRPr="001F0C5A" w14:paraId="45D09BED"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744428D6" w14:textId="7EE40EFE"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OBJEKTIVI SPECIFIK 4: Bashkëpunim i zgjeruar ndërinstitucional në menaxhimin e integruar të kufijve për të përmirësuar trafikun ndërkufitar, përmirësimin e sigurisë kufitare, luftën ndaj krimit ndërkufitar, mbrojtjen e jetës, shëndetit dhe pronën e njerëzve, shëndetin e kafshëve, bimësinë dhe ekosistemet përgjatë kufirit shtetëror</w:t>
            </w:r>
          </w:p>
        </w:tc>
        <w:tc>
          <w:tcPr>
            <w:tcW w:w="341" w:type="pct"/>
            <w:tcBorders>
              <w:top w:val="nil"/>
              <w:left w:val="nil"/>
              <w:bottom w:val="single" w:sz="4" w:space="0" w:color="auto"/>
              <w:right w:val="single" w:sz="4" w:space="0" w:color="auto"/>
            </w:tcBorders>
            <w:shd w:val="clear" w:color="auto" w:fill="auto"/>
            <w:vAlign w:val="center"/>
            <w:hideMark/>
          </w:tcPr>
          <w:p w14:paraId="75DF9F30" w14:textId="0A2A0F85"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MF/DPD</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MB/PSH</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MEKI/IKRKT</w:t>
            </w:r>
          </w:p>
        </w:tc>
        <w:tc>
          <w:tcPr>
            <w:tcW w:w="340" w:type="pct"/>
            <w:tcBorders>
              <w:top w:val="nil"/>
              <w:left w:val="nil"/>
              <w:bottom w:val="single" w:sz="4" w:space="0" w:color="auto"/>
              <w:right w:val="single" w:sz="4" w:space="0" w:color="auto"/>
            </w:tcBorders>
            <w:shd w:val="clear" w:color="auto" w:fill="auto"/>
            <w:vAlign w:val="center"/>
            <w:hideMark/>
          </w:tcPr>
          <w:p w14:paraId="1EEAE19C" w14:textId="5F07770D"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MB/PSH</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MF/DPD</w:t>
            </w:r>
            <w:r w:rsidRPr="001F0C5A">
              <w:rPr>
                <w:rFonts w:ascii="Garamond" w:eastAsia="Times New Roman" w:hAnsi="Garamond" w:cs="Times New Roman"/>
                <w:color w:val="000000"/>
                <w:sz w:val="8"/>
                <w:szCs w:val="8"/>
                <w:lang w:val="sq-AL"/>
              </w:rPr>
              <w:br/>
              <w:t>MBZHR/AKU</w:t>
            </w:r>
            <w:r w:rsidR="001F0C5A" w:rsidRPr="001F0C5A">
              <w:rPr>
                <w:rFonts w:ascii="Garamond" w:eastAsia="Times New Roman" w:hAnsi="Garamond" w:cs="Times New Roman"/>
                <w:color w:val="000000"/>
                <w:sz w:val="8"/>
                <w:szCs w:val="8"/>
                <w:lang w:val="sq-AL"/>
              </w:rPr>
              <w:t xml:space="preserve"> </w:t>
            </w:r>
          </w:p>
        </w:tc>
        <w:tc>
          <w:tcPr>
            <w:tcW w:w="213" w:type="pct"/>
            <w:tcBorders>
              <w:top w:val="nil"/>
              <w:left w:val="nil"/>
              <w:bottom w:val="single" w:sz="4" w:space="0" w:color="auto"/>
              <w:right w:val="single" w:sz="4" w:space="0" w:color="auto"/>
            </w:tcBorders>
            <w:shd w:val="clear" w:color="auto" w:fill="auto"/>
            <w:vAlign w:val="center"/>
            <w:hideMark/>
          </w:tcPr>
          <w:p w14:paraId="33DDEA2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636D854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7B9EF93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21,191,333</w:t>
            </w:r>
          </w:p>
        </w:tc>
        <w:tc>
          <w:tcPr>
            <w:tcW w:w="330" w:type="pct"/>
            <w:tcBorders>
              <w:top w:val="nil"/>
              <w:left w:val="nil"/>
              <w:bottom w:val="single" w:sz="4" w:space="0" w:color="auto"/>
              <w:right w:val="single" w:sz="4" w:space="0" w:color="auto"/>
            </w:tcBorders>
            <w:shd w:val="clear" w:color="auto" w:fill="auto"/>
            <w:vAlign w:val="center"/>
            <w:hideMark/>
          </w:tcPr>
          <w:p w14:paraId="1CCAA51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252B561E"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21,191,333</w:t>
            </w:r>
          </w:p>
        </w:tc>
        <w:tc>
          <w:tcPr>
            <w:tcW w:w="420" w:type="pct"/>
            <w:tcBorders>
              <w:top w:val="nil"/>
              <w:left w:val="nil"/>
              <w:bottom w:val="single" w:sz="4" w:space="0" w:color="auto"/>
              <w:right w:val="single" w:sz="4" w:space="0" w:color="auto"/>
            </w:tcBorders>
            <w:shd w:val="clear" w:color="auto" w:fill="auto"/>
            <w:vAlign w:val="center"/>
            <w:hideMark/>
          </w:tcPr>
          <w:p w14:paraId="0A9387A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19,721,333</w:t>
            </w:r>
          </w:p>
        </w:tc>
        <w:tc>
          <w:tcPr>
            <w:tcW w:w="310" w:type="pct"/>
            <w:tcBorders>
              <w:top w:val="nil"/>
              <w:left w:val="nil"/>
              <w:bottom w:val="single" w:sz="4" w:space="0" w:color="auto"/>
              <w:right w:val="single" w:sz="4" w:space="0" w:color="auto"/>
            </w:tcBorders>
            <w:shd w:val="clear" w:color="auto" w:fill="auto"/>
            <w:vAlign w:val="center"/>
            <w:hideMark/>
          </w:tcPr>
          <w:p w14:paraId="58C8DC5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2CB94C3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19,721,333</w:t>
            </w:r>
          </w:p>
        </w:tc>
        <w:tc>
          <w:tcPr>
            <w:tcW w:w="310" w:type="pct"/>
            <w:tcBorders>
              <w:top w:val="nil"/>
              <w:left w:val="nil"/>
              <w:bottom w:val="single" w:sz="4" w:space="0" w:color="auto"/>
              <w:right w:val="single" w:sz="4" w:space="0" w:color="auto"/>
            </w:tcBorders>
            <w:shd w:val="clear" w:color="auto" w:fill="auto"/>
            <w:vAlign w:val="center"/>
            <w:hideMark/>
          </w:tcPr>
          <w:p w14:paraId="5BAEDC8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5E4F50D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23DCC5C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679C71A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1,470,000</w:t>
            </w:r>
          </w:p>
        </w:tc>
        <w:tc>
          <w:tcPr>
            <w:tcW w:w="272" w:type="pct"/>
            <w:tcBorders>
              <w:top w:val="nil"/>
              <w:left w:val="nil"/>
              <w:bottom w:val="single" w:sz="4" w:space="0" w:color="auto"/>
              <w:right w:val="single" w:sz="8" w:space="0" w:color="auto"/>
            </w:tcBorders>
            <w:shd w:val="clear" w:color="auto" w:fill="auto"/>
            <w:noWrap/>
            <w:vAlign w:val="center"/>
            <w:hideMark/>
          </w:tcPr>
          <w:p w14:paraId="77C1185D"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194,416</w:t>
            </w:r>
          </w:p>
        </w:tc>
      </w:tr>
      <w:tr w:rsidR="00D86FA8" w:rsidRPr="001F0C5A" w14:paraId="21C2B677"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6EFA9B8D" w14:textId="67CCA926"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5: Forcimi i bashkëpunimit ndërkombëtar, veçanërisht me vendet fqinje, institucionet e BE-së dhe Agjencinë </w:t>
            </w:r>
            <w:r w:rsidR="00CB13C5" w:rsidRPr="001F0C5A">
              <w:rPr>
                <w:rFonts w:ascii="Garamond" w:eastAsia="Times New Roman" w:hAnsi="Garamond" w:cs="Calibri"/>
                <w:b/>
                <w:bCs/>
                <w:color w:val="000000"/>
                <w:sz w:val="8"/>
                <w:szCs w:val="8"/>
                <w:lang w:val="sq-AL"/>
              </w:rPr>
              <w:t>Evropiane</w:t>
            </w:r>
            <w:r w:rsidRPr="001F0C5A">
              <w:rPr>
                <w:rFonts w:ascii="Garamond" w:eastAsia="Times New Roman" w:hAnsi="Garamond" w:cs="Calibri"/>
                <w:b/>
                <w:bCs/>
                <w:color w:val="000000"/>
                <w:sz w:val="8"/>
                <w:szCs w:val="8"/>
                <w:lang w:val="sq-AL"/>
              </w:rPr>
              <w:t xml:space="preserve"> të Roj</w:t>
            </w:r>
            <w:r w:rsidR="00CB13C5">
              <w:rPr>
                <w:rFonts w:ascii="Garamond" w:eastAsia="Times New Roman" w:hAnsi="Garamond" w:cs="Calibri"/>
                <w:b/>
                <w:bCs/>
                <w:color w:val="000000"/>
                <w:sz w:val="8"/>
                <w:szCs w:val="8"/>
                <w:lang w:val="sq-AL"/>
              </w:rPr>
              <w:t>ë</w:t>
            </w:r>
            <w:r w:rsidRPr="001F0C5A">
              <w:rPr>
                <w:rFonts w:ascii="Garamond" w:eastAsia="Times New Roman" w:hAnsi="Garamond" w:cs="Calibri"/>
                <w:b/>
                <w:bCs/>
                <w:color w:val="000000"/>
                <w:sz w:val="8"/>
                <w:szCs w:val="8"/>
                <w:lang w:val="sq-AL"/>
              </w:rPr>
              <w:t>s Kufitare dhe Bregdetare (FRONTEX)</w:t>
            </w:r>
            <w:r w:rsidR="001F0C5A" w:rsidRPr="001F0C5A">
              <w:rPr>
                <w:rFonts w:ascii="Garamond" w:eastAsia="Times New Roman" w:hAnsi="Garamond" w:cs="Calibri"/>
                <w:b/>
                <w:bCs/>
                <w:color w:val="000000"/>
                <w:sz w:val="8"/>
                <w:szCs w:val="8"/>
                <w:lang w:val="sq-AL"/>
              </w:rPr>
              <w:t xml:space="preserve"> </w:t>
            </w:r>
            <w:r w:rsidRPr="001F0C5A">
              <w:rPr>
                <w:rFonts w:ascii="Garamond" w:eastAsia="Times New Roman" w:hAnsi="Garamond" w:cs="Calibri"/>
                <w:b/>
                <w:bCs/>
                <w:color w:val="000000"/>
                <w:sz w:val="8"/>
                <w:szCs w:val="8"/>
                <w:lang w:val="sq-AL"/>
              </w:rPr>
              <w:t>për çështjet e kufijve, parandalimin e migracionit të paligjshëm, krimin ndërkufitar dhe ripranimin e personave me qëndrim të parregullt</w:t>
            </w:r>
          </w:p>
        </w:tc>
        <w:tc>
          <w:tcPr>
            <w:tcW w:w="341" w:type="pct"/>
            <w:tcBorders>
              <w:top w:val="nil"/>
              <w:left w:val="nil"/>
              <w:bottom w:val="single" w:sz="4" w:space="0" w:color="auto"/>
              <w:right w:val="single" w:sz="4" w:space="0" w:color="auto"/>
            </w:tcBorders>
            <w:shd w:val="clear" w:color="auto" w:fill="auto"/>
            <w:vAlign w:val="center"/>
            <w:hideMark/>
          </w:tcPr>
          <w:p w14:paraId="1F2E62DE" w14:textId="0B0BEAC8"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MB/PSH</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DPD</w:t>
            </w:r>
          </w:p>
        </w:tc>
        <w:tc>
          <w:tcPr>
            <w:tcW w:w="340" w:type="pct"/>
            <w:tcBorders>
              <w:top w:val="nil"/>
              <w:left w:val="nil"/>
              <w:bottom w:val="single" w:sz="4" w:space="0" w:color="auto"/>
              <w:right w:val="single" w:sz="4" w:space="0" w:color="auto"/>
            </w:tcBorders>
            <w:shd w:val="clear" w:color="auto" w:fill="auto"/>
            <w:vAlign w:val="center"/>
            <w:hideMark/>
          </w:tcPr>
          <w:p w14:paraId="51938ED4" w14:textId="5C3FEB25"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MF/DPD</w:t>
            </w:r>
            <w:r w:rsidRPr="001F0C5A">
              <w:rPr>
                <w:rFonts w:ascii="Garamond" w:eastAsia="Times New Roman" w:hAnsi="Garamond" w:cs="Times New Roman"/>
                <w:color w:val="000000"/>
                <w:sz w:val="8"/>
                <w:szCs w:val="8"/>
                <w:lang w:val="sq-AL"/>
              </w:rPr>
              <w:br/>
              <w:t>MEPJ</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24DB2CF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0759B4D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177A4D4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802,834,280</w:t>
            </w:r>
          </w:p>
        </w:tc>
        <w:tc>
          <w:tcPr>
            <w:tcW w:w="330" w:type="pct"/>
            <w:tcBorders>
              <w:top w:val="nil"/>
              <w:left w:val="nil"/>
              <w:bottom w:val="single" w:sz="4" w:space="0" w:color="auto"/>
              <w:right w:val="single" w:sz="4" w:space="0" w:color="auto"/>
            </w:tcBorders>
            <w:shd w:val="clear" w:color="auto" w:fill="auto"/>
            <w:vAlign w:val="center"/>
            <w:hideMark/>
          </w:tcPr>
          <w:p w14:paraId="49F4769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291,875,000</w:t>
            </w:r>
          </w:p>
        </w:tc>
        <w:tc>
          <w:tcPr>
            <w:tcW w:w="330" w:type="pct"/>
            <w:tcBorders>
              <w:top w:val="nil"/>
              <w:left w:val="nil"/>
              <w:bottom w:val="single" w:sz="4" w:space="0" w:color="auto"/>
              <w:right w:val="single" w:sz="4" w:space="0" w:color="auto"/>
            </w:tcBorders>
            <w:shd w:val="clear" w:color="auto" w:fill="auto"/>
            <w:vAlign w:val="center"/>
            <w:hideMark/>
          </w:tcPr>
          <w:p w14:paraId="42763CB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1,094,709,280</w:t>
            </w:r>
          </w:p>
        </w:tc>
        <w:tc>
          <w:tcPr>
            <w:tcW w:w="420" w:type="pct"/>
            <w:tcBorders>
              <w:top w:val="nil"/>
              <w:left w:val="nil"/>
              <w:bottom w:val="single" w:sz="4" w:space="0" w:color="auto"/>
              <w:right w:val="single" w:sz="4" w:space="0" w:color="auto"/>
            </w:tcBorders>
            <w:shd w:val="clear" w:color="auto" w:fill="auto"/>
            <w:vAlign w:val="center"/>
            <w:hideMark/>
          </w:tcPr>
          <w:p w14:paraId="4D05469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802,834,280</w:t>
            </w:r>
          </w:p>
        </w:tc>
        <w:tc>
          <w:tcPr>
            <w:tcW w:w="310" w:type="pct"/>
            <w:tcBorders>
              <w:top w:val="nil"/>
              <w:left w:val="nil"/>
              <w:bottom w:val="single" w:sz="4" w:space="0" w:color="auto"/>
              <w:right w:val="single" w:sz="4" w:space="0" w:color="auto"/>
            </w:tcBorders>
            <w:shd w:val="clear" w:color="auto" w:fill="auto"/>
            <w:vAlign w:val="center"/>
            <w:hideMark/>
          </w:tcPr>
          <w:p w14:paraId="5E71516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231,875,000</w:t>
            </w:r>
          </w:p>
        </w:tc>
        <w:tc>
          <w:tcPr>
            <w:tcW w:w="330" w:type="pct"/>
            <w:tcBorders>
              <w:top w:val="nil"/>
              <w:left w:val="nil"/>
              <w:bottom w:val="single" w:sz="4" w:space="0" w:color="auto"/>
              <w:right w:val="single" w:sz="4" w:space="0" w:color="auto"/>
            </w:tcBorders>
            <w:shd w:val="clear" w:color="auto" w:fill="auto"/>
            <w:vAlign w:val="center"/>
            <w:hideMark/>
          </w:tcPr>
          <w:p w14:paraId="3C4D2B72"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1,034,709,280</w:t>
            </w:r>
          </w:p>
        </w:tc>
        <w:tc>
          <w:tcPr>
            <w:tcW w:w="310" w:type="pct"/>
            <w:tcBorders>
              <w:top w:val="nil"/>
              <w:left w:val="nil"/>
              <w:bottom w:val="single" w:sz="4" w:space="0" w:color="auto"/>
              <w:right w:val="single" w:sz="4" w:space="0" w:color="auto"/>
            </w:tcBorders>
            <w:shd w:val="clear" w:color="auto" w:fill="auto"/>
            <w:vAlign w:val="center"/>
            <w:hideMark/>
          </w:tcPr>
          <w:p w14:paraId="77888961"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4C0B4DB1"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60,000,000</w:t>
            </w:r>
          </w:p>
        </w:tc>
        <w:tc>
          <w:tcPr>
            <w:tcW w:w="289" w:type="pct"/>
            <w:tcBorders>
              <w:top w:val="nil"/>
              <w:left w:val="nil"/>
              <w:bottom w:val="single" w:sz="4" w:space="0" w:color="auto"/>
              <w:right w:val="single" w:sz="4" w:space="0" w:color="auto"/>
            </w:tcBorders>
            <w:shd w:val="clear" w:color="auto" w:fill="auto"/>
            <w:vAlign w:val="center"/>
            <w:hideMark/>
          </w:tcPr>
          <w:p w14:paraId="68B0581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60,000,000</w:t>
            </w:r>
          </w:p>
        </w:tc>
        <w:tc>
          <w:tcPr>
            <w:tcW w:w="258" w:type="pct"/>
            <w:tcBorders>
              <w:top w:val="nil"/>
              <w:left w:val="nil"/>
              <w:bottom w:val="single" w:sz="4" w:space="0" w:color="auto"/>
              <w:right w:val="single" w:sz="4" w:space="0" w:color="auto"/>
            </w:tcBorders>
            <w:shd w:val="clear" w:color="auto" w:fill="auto"/>
            <w:vAlign w:val="center"/>
            <w:hideMark/>
          </w:tcPr>
          <w:p w14:paraId="50304D8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681C53AB"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10,043,204</w:t>
            </w:r>
          </w:p>
        </w:tc>
      </w:tr>
      <w:tr w:rsidR="00D86FA8" w:rsidRPr="001F0C5A" w14:paraId="76DA5942"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45DEC9EC" w14:textId="7C6FBF72"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6: Përmirësimi i sistemit të ripranimit (kthimit dhe pranimit) të shtetasve të huaj dhe </w:t>
            </w:r>
            <w:r w:rsidR="003110EB">
              <w:rPr>
                <w:rFonts w:ascii="Garamond" w:eastAsia="Times New Roman" w:hAnsi="Garamond" w:cs="Calibri"/>
                <w:b/>
                <w:bCs/>
                <w:color w:val="000000"/>
                <w:sz w:val="8"/>
                <w:szCs w:val="8"/>
                <w:lang w:val="sq-AL"/>
              </w:rPr>
              <w:t>vendës</w:t>
            </w:r>
            <w:r w:rsidRPr="001F0C5A">
              <w:rPr>
                <w:rFonts w:ascii="Garamond" w:eastAsia="Times New Roman" w:hAnsi="Garamond" w:cs="Calibri"/>
                <w:b/>
                <w:bCs/>
                <w:color w:val="000000"/>
                <w:sz w:val="8"/>
                <w:szCs w:val="8"/>
                <w:lang w:val="sq-AL"/>
              </w:rPr>
              <w:t xml:space="preserve"> në përputhje me marrëveshjet e lidhura dhe në bashkëpunim me misionet diplomatike dhe konsullore</w:t>
            </w:r>
          </w:p>
        </w:tc>
        <w:tc>
          <w:tcPr>
            <w:tcW w:w="341" w:type="pct"/>
            <w:tcBorders>
              <w:top w:val="nil"/>
              <w:left w:val="nil"/>
              <w:bottom w:val="single" w:sz="4" w:space="0" w:color="auto"/>
              <w:right w:val="single" w:sz="4" w:space="0" w:color="auto"/>
            </w:tcBorders>
            <w:shd w:val="clear" w:color="auto" w:fill="auto"/>
            <w:vAlign w:val="center"/>
            <w:hideMark/>
          </w:tcPr>
          <w:p w14:paraId="0EF542A5"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MB/PSH</w:t>
            </w:r>
          </w:p>
        </w:tc>
        <w:tc>
          <w:tcPr>
            <w:tcW w:w="340" w:type="pct"/>
            <w:tcBorders>
              <w:top w:val="nil"/>
              <w:left w:val="nil"/>
              <w:bottom w:val="single" w:sz="4" w:space="0" w:color="auto"/>
              <w:right w:val="single" w:sz="4" w:space="0" w:color="auto"/>
            </w:tcBorders>
            <w:shd w:val="clear" w:color="auto" w:fill="auto"/>
            <w:vAlign w:val="center"/>
            <w:hideMark/>
          </w:tcPr>
          <w:p w14:paraId="720A7A99" w14:textId="20C040D4"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MEPJ</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MSHMS</w:t>
            </w:r>
          </w:p>
        </w:tc>
        <w:tc>
          <w:tcPr>
            <w:tcW w:w="213" w:type="pct"/>
            <w:tcBorders>
              <w:top w:val="nil"/>
              <w:left w:val="nil"/>
              <w:bottom w:val="single" w:sz="4" w:space="0" w:color="auto"/>
              <w:right w:val="single" w:sz="4" w:space="0" w:color="auto"/>
            </w:tcBorders>
            <w:shd w:val="clear" w:color="auto" w:fill="auto"/>
            <w:vAlign w:val="center"/>
            <w:hideMark/>
          </w:tcPr>
          <w:p w14:paraId="170E247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1498A30C"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3EB3CC57"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1,400,000</w:t>
            </w:r>
          </w:p>
        </w:tc>
        <w:tc>
          <w:tcPr>
            <w:tcW w:w="330" w:type="pct"/>
            <w:tcBorders>
              <w:top w:val="nil"/>
              <w:left w:val="nil"/>
              <w:bottom w:val="single" w:sz="4" w:space="0" w:color="auto"/>
              <w:right w:val="single" w:sz="4" w:space="0" w:color="auto"/>
            </w:tcBorders>
            <w:shd w:val="clear" w:color="auto" w:fill="auto"/>
            <w:vAlign w:val="center"/>
            <w:hideMark/>
          </w:tcPr>
          <w:p w14:paraId="12B2FC4D"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50,000,000</w:t>
            </w:r>
          </w:p>
        </w:tc>
        <w:tc>
          <w:tcPr>
            <w:tcW w:w="330" w:type="pct"/>
            <w:tcBorders>
              <w:top w:val="nil"/>
              <w:left w:val="nil"/>
              <w:bottom w:val="single" w:sz="4" w:space="0" w:color="auto"/>
              <w:right w:val="single" w:sz="4" w:space="0" w:color="auto"/>
            </w:tcBorders>
            <w:shd w:val="clear" w:color="auto" w:fill="auto"/>
            <w:vAlign w:val="center"/>
            <w:hideMark/>
          </w:tcPr>
          <w:p w14:paraId="7785CF8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51,400,000</w:t>
            </w:r>
          </w:p>
        </w:tc>
        <w:tc>
          <w:tcPr>
            <w:tcW w:w="420" w:type="pct"/>
            <w:tcBorders>
              <w:top w:val="nil"/>
              <w:left w:val="nil"/>
              <w:bottom w:val="single" w:sz="4" w:space="0" w:color="auto"/>
              <w:right w:val="single" w:sz="4" w:space="0" w:color="auto"/>
            </w:tcBorders>
            <w:shd w:val="clear" w:color="auto" w:fill="auto"/>
            <w:vAlign w:val="center"/>
            <w:hideMark/>
          </w:tcPr>
          <w:p w14:paraId="6376E7F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1,400,000</w:t>
            </w:r>
          </w:p>
        </w:tc>
        <w:tc>
          <w:tcPr>
            <w:tcW w:w="310" w:type="pct"/>
            <w:tcBorders>
              <w:top w:val="nil"/>
              <w:left w:val="nil"/>
              <w:bottom w:val="single" w:sz="4" w:space="0" w:color="auto"/>
              <w:right w:val="single" w:sz="4" w:space="0" w:color="auto"/>
            </w:tcBorders>
            <w:shd w:val="clear" w:color="auto" w:fill="auto"/>
            <w:vAlign w:val="center"/>
            <w:hideMark/>
          </w:tcPr>
          <w:p w14:paraId="63AE206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2A1D432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1,400,000</w:t>
            </w:r>
          </w:p>
        </w:tc>
        <w:tc>
          <w:tcPr>
            <w:tcW w:w="310" w:type="pct"/>
            <w:tcBorders>
              <w:top w:val="nil"/>
              <w:left w:val="nil"/>
              <w:bottom w:val="single" w:sz="4" w:space="0" w:color="auto"/>
              <w:right w:val="single" w:sz="4" w:space="0" w:color="auto"/>
            </w:tcBorders>
            <w:shd w:val="clear" w:color="auto" w:fill="auto"/>
            <w:vAlign w:val="center"/>
            <w:hideMark/>
          </w:tcPr>
          <w:p w14:paraId="3FA5995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4EF9641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50,000,000</w:t>
            </w:r>
          </w:p>
        </w:tc>
        <w:tc>
          <w:tcPr>
            <w:tcW w:w="289" w:type="pct"/>
            <w:tcBorders>
              <w:top w:val="nil"/>
              <w:left w:val="nil"/>
              <w:bottom w:val="single" w:sz="4" w:space="0" w:color="auto"/>
              <w:right w:val="single" w:sz="4" w:space="0" w:color="auto"/>
            </w:tcBorders>
            <w:shd w:val="clear" w:color="auto" w:fill="auto"/>
            <w:vAlign w:val="center"/>
            <w:hideMark/>
          </w:tcPr>
          <w:p w14:paraId="5081C85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50,000,000</w:t>
            </w:r>
          </w:p>
        </w:tc>
        <w:tc>
          <w:tcPr>
            <w:tcW w:w="258" w:type="pct"/>
            <w:tcBorders>
              <w:top w:val="nil"/>
              <w:left w:val="nil"/>
              <w:bottom w:val="single" w:sz="4" w:space="0" w:color="auto"/>
              <w:right w:val="single" w:sz="4" w:space="0" w:color="auto"/>
            </w:tcBorders>
            <w:shd w:val="clear" w:color="auto" w:fill="auto"/>
            <w:vAlign w:val="center"/>
            <w:hideMark/>
          </w:tcPr>
          <w:p w14:paraId="1DF02A8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219BF387"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471,560</w:t>
            </w:r>
          </w:p>
        </w:tc>
      </w:tr>
      <w:tr w:rsidR="00D86FA8" w:rsidRPr="001F0C5A" w14:paraId="599FE7A8" w14:textId="77777777" w:rsidTr="00D86FA8">
        <w:trPr>
          <w:trHeight w:val="20"/>
        </w:trPr>
        <w:tc>
          <w:tcPr>
            <w:tcW w:w="381" w:type="pct"/>
            <w:tcBorders>
              <w:top w:val="nil"/>
              <w:left w:val="single" w:sz="8" w:space="0" w:color="auto"/>
              <w:bottom w:val="single" w:sz="8" w:space="0" w:color="auto"/>
              <w:right w:val="single" w:sz="4" w:space="0" w:color="auto"/>
            </w:tcBorders>
            <w:shd w:val="clear" w:color="auto" w:fill="auto"/>
            <w:vAlign w:val="center"/>
            <w:hideMark/>
          </w:tcPr>
          <w:p w14:paraId="319F234D" w14:textId="43F1614E"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b/>
                <w:bCs/>
                <w:color w:val="FF0000"/>
                <w:sz w:val="8"/>
                <w:szCs w:val="8"/>
                <w:lang w:val="sq-AL"/>
              </w:rPr>
              <w:t>Kosto</w:t>
            </w:r>
            <w:r w:rsidR="00A91982">
              <w:rPr>
                <w:rFonts w:ascii="Garamond" w:eastAsia="Times New Roman" w:hAnsi="Garamond" w:cs="Calibri"/>
                <w:b/>
                <w:bCs/>
                <w:color w:val="FF0000"/>
                <w:sz w:val="8"/>
                <w:szCs w:val="8"/>
                <w:lang w:val="sq-AL"/>
              </w:rPr>
              <w:t>ja</w:t>
            </w:r>
            <w:r w:rsidRPr="001F0C5A">
              <w:rPr>
                <w:rFonts w:ascii="Garamond" w:eastAsia="Times New Roman" w:hAnsi="Garamond" w:cs="Calibri"/>
                <w:b/>
                <w:bCs/>
                <w:color w:val="FF0000"/>
                <w:sz w:val="8"/>
                <w:szCs w:val="8"/>
                <w:lang w:val="sq-AL"/>
              </w:rPr>
              <w:t xml:space="preserve"> totale </w:t>
            </w:r>
            <w:r w:rsidR="00CB13C5">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Times New Roman"/>
                <w:b/>
                <w:bCs/>
                <w:color w:val="FF0000"/>
                <w:sz w:val="6"/>
                <w:szCs w:val="6"/>
                <w:lang w:val="sq-AL"/>
              </w:rPr>
              <w:t xml:space="preserve"> </w:t>
            </w:r>
            <w:r w:rsidR="00CB13C5">
              <w:rPr>
                <w:rFonts w:ascii="Garamond" w:eastAsia="Times New Roman" w:hAnsi="Garamond" w:cs="Times New Roman"/>
                <w:b/>
                <w:bCs/>
                <w:color w:val="FF0000"/>
                <w:sz w:val="6"/>
                <w:szCs w:val="6"/>
                <w:lang w:val="sq-AL"/>
              </w:rPr>
              <w:t xml:space="preserve"> </w:t>
            </w:r>
            <w:r w:rsidRPr="001F0C5A">
              <w:rPr>
                <w:rFonts w:ascii="Garamond" w:eastAsia="Times New Roman" w:hAnsi="Garamond" w:cs="Calibri"/>
                <w:b/>
                <w:bCs/>
                <w:color w:val="FF0000"/>
                <w:sz w:val="8"/>
                <w:szCs w:val="8"/>
                <w:lang w:val="sq-AL"/>
              </w:rPr>
              <w:t xml:space="preserve">Qëllimi i </w:t>
            </w:r>
            <w:r w:rsidR="00CB13C5" w:rsidRPr="001F0C5A">
              <w:rPr>
                <w:rFonts w:ascii="Garamond" w:eastAsia="Times New Roman" w:hAnsi="Garamond" w:cs="Calibri"/>
                <w:b/>
                <w:bCs/>
                <w:color w:val="FF0000"/>
                <w:sz w:val="8"/>
                <w:szCs w:val="8"/>
                <w:lang w:val="sq-AL"/>
              </w:rPr>
              <w:t xml:space="preserve">politikës </w:t>
            </w:r>
            <w:r w:rsidRPr="001F0C5A">
              <w:rPr>
                <w:rFonts w:ascii="Garamond" w:eastAsia="Times New Roman" w:hAnsi="Garamond" w:cs="Calibri"/>
                <w:b/>
                <w:bCs/>
                <w:color w:val="FF0000"/>
                <w:sz w:val="8"/>
                <w:szCs w:val="8"/>
                <w:lang w:val="sq-AL"/>
              </w:rPr>
              <w:t xml:space="preserve">I </w:t>
            </w:r>
            <w:r w:rsidRPr="001F0C5A">
              <w:rPr>
                <w:rFonts w:ascii="Garamond" w:eastAsia="Times New Roman" w:hAnsi="Garamond" w:cs="Calibri"/>
                <w:color w:val="000000"/>
                <w:sz w:val="8"/>
                <w:szCs w:val="8"/>
                <w:lang w:val="sq-AL"/>
              </w:rPr>
              <w:br/>
              <w:t>(objektiva specifik</w:t>
            </w:r>
            <w:r w:rsidR="00CB13C5">
              <w:rPr>
                <w:rFonts w:ascii="Garamond" w:eastAsia="Times New Roman" w:hAnsi="Garamond" w:cs="Calibri"/>
                <w:color w:val="000000"/>
                <w:sz w:val="8"/>
                <w:szCs w:val="8"/>
                <w:lang w:val="sq-AL"/>
              </w:rPr>
              <w:t>ë</w:t>
            </w:r>
            <w:r w:rsidRPr="001F0C5A">
              <w:rPr>
                <w:rFonts w:ascii="Garamond" w:eastAsia="Times New Roman" w:hAnsi="Garamond" w:cs="Calibri"/>
                <w:color w:val="000000"/>
                <w:sz w:val="8"/>
                <w:szCs w:val="8"/>
                <w:lang w:val="sq-AL"/>
              </w:rPr>
              <w:t xml:space="preserve"> 1+2+3+4+5+6)</w:t>
            </w:r>
          </w:p>
        </w:tc>
        <w:tc>
          <w:tcPr>
            <w:tcW w:w="341" w:type="pct"/>
            <w:tcBorders>
              <w:top w:val="nil"/>
              <w:left w:val="nil"/>
              <w:bottom w:val="single" w:sz="8" w:space="0" w:color="auto"/>
              <w:right w:val="single" w:sz="4" w:space="0" w:color="auto"/>
            </w:tcBorders>
            <w:shd w:val="clear" w:color="auto" w:fill="auto"/>
            <w:noWrap/>
            <w:vAlign w:val="bottom"/>
            <w:hideMark/>
          </w:tcPr>
          <w:p w14:paraId="411A1139"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40" w:type="pct"/>
            <w:tcBorders>
              <w:top w:val="nil"/>
              <w:left w:val="nil"/>
              <w:bottom w:val="single" w:sz="8" w:space="0" w:color="auto"/>
              <w:right w:val="single" w:sz="4" w:space="0" w:color="auto"/>
            </w:tcBorders>
            <w:shd w:val="clear" w:color="auto" w:fill="auto"/>
            <w:noWrap/>
            <w:vAlign w:val="bottom"/>
            <w:hideMark/>
          </w:tcPr>
          <w:p w14:paraId="20137FCA"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13" w:type="pct"/>
            <w:tcBorders>
              <w:top w:val="nil"/>
              <w:left w:val="nil"/>
              <w:bottom w:val="single" w:sz="8" w:space="0" w:color="auto"/>
              <w:right w:val="single" w:sz="4" w:space="0" w:color="auto"/>
            </w:tcBorders>
            <w:shd w:val="clear" w:color="auto" w:fill="auto"/>
            <w:noWrap/>
            <w:vAlign w:val="bottom"/>
            <w:hideMark/>
          </w:tcPr>
          <w:p w14:paraId="271A382F"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55" w:type="pct"/>
            <w:tcBorders>
              <w:top w:val="nil"/>
              <w:left w:val="nil"/>
              <w:bottom w:val="single" w:sz="8" w:space="0" w:color="auto"/>
              <w:right w:val="single" w:sz="4" w:space="0" w:color="auto"/>
            </w:tcBorders>
            <w:shd w:val="clear" w:color="auto" w:fill="auto"/>
            <w:noWrap/>
            <w:vAlign w:val="bottom"/>
            <w:hideMark/>
          </w:tcPr>
          <w:p w14:paraId="33EA27B6"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30" w:type="pct"/>
            <w:tcBorders>
              <w:top w:val="nil"/>
              <w:left w:val="nil"/>
              <w:bottom w:val="single" w:sz="8" w:space="0" w:color="auto"/>
              <w:right w:val="single" w:sz="4" w:space="0" w:color="auto"/>
            </w:tcBorders>
            <w:shd w:val="clear" w:color="auto" w:fill="auto"/>
            <w:noWrap/>
            <w:vAlign w:val="center"/>
            <w:hideMark/>
          </w:tcPr>
          <w:p w14:paraId="39023348"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1,224,011,613</w:t>
            </w:r>
          </w:p>
        </w:tc>
        <w:tc>
          <w:tcPr>
            <w:tcW w:w="330" w:type="pct"/>
            <w:tcBorders>
              <w:top w:val="nil"/>
              <w:left w:val="nil"/>
              <w:bottom w:val="single" w:sz="8" w:space="0" w:color="auto"/>
              <w:right w:val="single" w:sz="4" w:space="0" w:color="auto"/>
            </w:tcBorders>
            <w:shd w:val="clear" w:color="auto" w:fill="auto"/>
            <w:noWrap/>
            <w:vAlign w:val="center"/>
            <w:hideMark/>
          </w:tcPr>
          <w:p w14:paraId="2476138B"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684,925,000</w:t>
            </w:r>
          </w:p>
        </w:tc>
        <w:tc>
          <w:tcPr>
            <w:tcW w:w="330" w:type="pct"/>
            <w:tcBorders>
              <w:top w:val="nil"/>
              <w:left w:val="nil"/>
              <w:bottom w:val="single" w:sz="8" w:space="0" w:color="auto"/>
              <w:right w:val="single" w:sz="4" w:space="0" w:color="auto"/>
            </w:tcBorders>
            <w:shd w:val="clear" w:color="auto" w:fill="auto"/>
            <w:noWrap/>
            <w:vAlign w:val="center"/>
            <w:hideMark/>
          </w:tcPr>
          <w:p w14:paraId="60D892C9"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1,908,936,613</w:t>
            </w:r>
          </w:p>
        </w:tc>
        <w:tc>
          <w:tcPr>
            <w:tcW w:w="420" w:type="pct"/>
            <w:tcBorders>
              <w:top w:val="nil"/>
              <w:left w:val="nil"/>
              <w:bottom w:val="single" w:sz="8" w:space="0" w:color="auto"/>
              <w:right w:val="single" w:sz="4" w:space="0" w:color="auto"/>
            </w:tcBorders>
            <w:shd w:val="clear" w:color="auto" w:fill="auto"/>
            <w:noWrap/>
            <w:vAlign w:val="center"/>
            <w:hideMark/>
          </w:tcPr>
          <w:p w14:paraId="6F841A4F"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1,137,541,613</w:t>
            </w:r>
          </w:p>
        </w:tc>
        <w:tc>
          <w:tcPr>
            <w:tcW w:w="310" w:type="pct"/>
            <w:tcBorders>
              <w:top w:val="nil"/>
              <w:left w:val="nil"/>
              <w:bottom w:val="single" w:sz="8" w:space="0" w:color="auto"/>
              <w:right w:val="single" w:sz="4" w:space="0" w:color="auto"/>
            </w:tcBorders>
            <w:shd w:val="clear" w:color="auto" w:fill="auto"/>
            <w:noWrap/>
            <w:vAlign w:val="center"/>
            <w:hideMark/>
          </w:tcPr>
          <w:p w14:paraId="39F23B1E"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231,925,000</w:t>
            </w:r>
          </w:p>
        </w:tc>
        <w:tc>
          <w:tcPr>
            <w:tcW w:w="330" w:type="pct"/>
            <w:tcBorders>
              <w:top w:val="nil"/>
              <w:left w:val="nil"/>
              <w:bottom w:val="single" w:sz="8" w:space="0" w:color="auto"/>
              <w:right w:val="single" w:sz="4" w:space="0" w:color="auto"/>
            </w:tcBorders>
            <w:shd w:val="clear" w:color="auto" w:fill="auto"/>
            <w:noWrap/>
            <w:vAlign w:val="center"/>
            <w:hideMark/>
          </w:tcPr>
          <w:p w14:paraId="1CD2AF77"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1,369,466,613</w:t>
            </w:r>
          </w:p>
        </w:tc>
        <w:tc>
          <w:tcPr>
            <w:tcW w:w="310" w:type="pct"/>
            <w:tcBorders>
              <w:top w:val="nil"/>
              <w:left w:val="nil"/>
              <w:bottom w:val="single" w:sz="8" w:space="0" w:color="auto"/>
              <w:right w:val="single" w:sz="4" w:space="0" w:color="auto"/>
            </w:tcBorders>
            <w:shd w:val="clear" w:color="auto" w:fill="auto"/>
            <w:noWrap/>
            <w:vAlign w:val="center"/>
            <w:hideMark/>
          </w:tcPr>
          <w:p w14:paraId="59A2193B"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85,000,000</w:t>
            </w:r>
          </w:p>
        </w:tc>
        <w:tc>
          <w:tcPr>
            <w:tcW w:w="289" w:type="pct"/>
            <w:tcBorders>
              <w:top w:val="nil"/>
              <w:left w:val="nil"/>
              <w:bottom w:val="single" w:sz="8" w:space="0" w:color="auto"/>
              <w:right w:val="single" w:sz="4" w:space="0" w:color="auto"/>
            </w:tcBorders>
            <w:shd w:val="clear" w:color="auto" w:fill="auto"/>
            <w:noWrap/>
            <w:vAlign w:val="center"/>
            <w:hideMark/>
          </w:tcPr>
          <w:p w14:paraId="3AAEE4B2"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453,000,000</w:t>
            </w:r>
          </w:p>
        </w:tc>
        <w:tc>
          <w:tcPr>
            <w:tcW w:w="289" w:type="pct"/>
            <w:tcBorders>
              <w:top w:val="nil"/>
              <w:left w:val="nil"/>
              <w:bottom w:val="single" w:sz="8" w:space="0" w:color="auto"/>
              <w:right w:val="single" w:sz="4" w:space="0" w:color="auto"/>
            </w:tcBorders>
            <w:shd w:val="clear" w:color="auto" w:fill="auto"/>
            <w:noWrap/>
            <w:vAlign w:val="center"/>
            <w:hideMark/>
          </w:tcPr>
          <w:p w14:paraId="62884898"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538,000,000</w:t>
            </w:r>
          </w:p>
        </w:tc>
        <w:tc>
          <w:tcPr>
            <w:tcW w:w="258" w:type="pct"/>
            <w:tcBorders>
              <w:top w:val="nil"/>
              <w:left w:val="nil"/>
              <w:bottom w:val="single" w:sz="8" w:space="0" w:color="auto"/>
              <w:right w:val="single" w:sz="4" w:space="0" w:color="auto"/>
            </w:tcBorders>
            <w:shd w:val="clear" w:color="auto" w:fill="auto"/>
            <w:noWrap/>
            <w:vAlign w:val="center"/>
            <w:hideMark/>
          </w:tcPr>
          <w:p w14:paraId="2155D772"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1,470,000</w:t>
            </w:r>
          </w:p>
        </w:tc>
        <w:tc>
          <w:tcPr>
            <w:tcW w:w="272" w:type="pct"/>
            <w:tcBorders>
              <w:top w:val="nil"/>
              <w:left w:val="nil"/>
              <w:bottom w:val="single" w:sz="8" w:space="0" w:color="auto"/>
              <w:right w:val="single" w:sz="8" w:space="0" w:color="auto"/>
            </w:tcBorders>
            <w:shd w:val="clear" w:color="000000" w:fill="92D050"/>
            <w:noWrap/>
            <w:vAlign w:val="center"/>
            <w:hideMark/>
          </w:tcPr>
          <w:p w14:paraId="7536FD4A"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17,513,180</w:t>
            </w:r>
          </w:p>
        </w:tc>
      </w:tr>
      <w:tr w:rsidR="00D86FA8" w:rsidRPr="001F0C5A" w14:paraId="6546E3A9" w14:textId="77777777" w:rsidTr="00D86FA8">
        <w:trPr>
          <w:trHeight w:val="20"/>
        </w:trPr>
        <w:tc>
          <w:tcPr>
            <w:tcW w:w="5000" w:type="pct"/>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14:paraId="668707E6" w14:textId="77777777" w:rsidR="00D86FA8" w:rsidRPr="001F0C5A" w:rsidRDefault="00D86FA8" w:rsidP="00D86FA8">
            <w:pPr>
              <w:spacing w:after="0" w:line="240" w:lineRule="auto"/>
              <w:rPr>
                <w:rFonts w:ascii="Garamond" w:eastAsia="Times New Roman" w:hAnsi="Garamond" w:cs="Calibri"/>
                <w:b/>
                <w:bCs/>
                <w:color w:val="0070C0"/>
                <w:sz w:val="8"/>
                <w:szCs w:val="8"/>
                <w:lang w:val="sq-AL"/>
              </w:rPr>
            </w:pPr>
            <w:r w:rsidRPr="001F0C5A">
              <w:rPr>
                <w:rFonts w:ascii="Garamond" w:eastAsia="Times New Roman" w:hAnsi="Garamond" w:cs="Calibri"/>
                <w:b/>
                <w:bCs/>
                <w:color w:val="0070C0"/>
                <w:sz w:val="8"/>
                <w:szCs w:val="8"/>
                <w:lang w:val="sq-AL"/>
              </w:rPr>
              <w:t>Qëllimi i Politikës II: LEHTËSIMI I QARKULLIMIT LEGJITIM TË SHTETASVE DHE MALLRAVE</w:t>
            </w:r>
          </w:p>
        </w:tc>
      </w:tr>
      <w:tr w:rsidR="00D86FA8" w:rsidRPr="001F0C5A" w14:paraId="0FAD3026" w14:textId="77777777" w:rsidTr="00D86FA8">
        <w:trPr>
          <w:trHeight w:val="20"/>
        </w:trPr>
        <w:tc>
          <w:tcPr>
            <w:tcW w:w="381" w:type="pct"/>
            <w:vMerge w:val="restart"/>
            <w:tcBorders>
              <w:top w:val="nil"/>
              <w:left w:val="single" w:sz="8" w:space="0" w:color="auto"/>
              <w:bottom w:val="single" w:sz="8" w:space="0" w:color="000000"/>
              <w:right w:val="single" w:sz="8" w:space="0" w:color="auto"/>
            </w:tcBorders>
            <w:shd w:val="clear" w:color="auto" w:fill="auto"/>
            <w:vAlign w:val="center"/>
            <w:hideMark/>
          </w:tcPr>
          <w:p w14:paraId="6B98B3D1" w14:textId="42629C79"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Objektivat </w:t>
            </w:r>
            <w:r w:rsidR="00CB13C5" w:rsidRPr="001F0C5A">
              <w:rPr>
                <w:rFonts w:ascii="Garamond" w:eastAsia="Times New Roman" w:hAnsi="Garamond" w:cs="Times New Roman"/>
                <w:b/>
                <w:bCs/>
                <w:color w:val="000000"/>
                <w:sz w:val="8"/>
                <w:szCs w:val="8"/>
                <w:lang w:val="sq-AL"/>
              </w:rPr>
              <w:t xml:space="preserve">specifikë </w:t>
            </w:r>
          </w:p>
        </w:tc>
        <w:tc>
          <w:tcPr>
            <w:tcW w:w="681" w:type="pct"/>
            <w:gridSpan w:val="2"/>
            <w:tcBorders>
              <w:top w:val="single" w:sz="8" w:space="0" w:color="auto"/>
              <w:left w:val="nil"/>
              <w:bottom w:val="single" w:sz="8" w:space="0" w:color="auto"/>
              <w:right w:val="single" w:sz="8" w:space="0" w:color="000000"/>
            </w:tcBorders>
            <w:shd w:val="clear" w:color="auto" w:fill="auto"/>
            <w:vAlign w:val="center"/>
            <w:hideMark/>
          </w:tcPr>
          <w:p w14:paraId="5C374891" w14:textId="62D2B0FD"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Institucionet përgjegjëse</w:t>
            </w:r>
          </w:p>
        </w:tc>
        <w:tc>
          <w:tcPr>
            <w:tcW w:w="468" w:type="pct"/>
            <w:gridSpan w:val="2"/>
            <w:tcBorders>
              <w:top w:val="single" w:sz="8" w:space="0" w:color="auto"/>
              <w:left w:val="nil"/>
              <w:bottom w:val="single" w:sz="8" w:space="0" w:color="auto"/>
              <w:right w:val="single" w:sz="8" w:space="0" w:color="000000"/>
            </w:tcBorders>
            <w:shd w:val="clear" w:color="auto" w:fill="auto"/>
            <w:vAlign w:val="center"/>
            <w:hideMark/>
          </w:tcPr>
          <w:p w14:paraId="4FE7D56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Afati i Zbatimit </w:t>
            </w:r>
          </w:p>
        </w:tc>
        <w:tc>
          <w:tcPr>
            <w:tcW w:w="991"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BF23AB1" w14:textId="1DE84D86"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A91982">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indikative totale</w:t>
            </w:r>
          </w:p>
        </w:tc>
        <w:tc>
          <w:tcPr>
            <w:tcW w:w="1949" w:type="pct"/>
            <w:gridSpan w:val="6"/>
            <w:tcBorders>
              <w:top w:val="single" w:sz="8" w:space="0" w:color="auto"/>
              <w:left w:val="nil"/>
              <w:bottom w:val="single" w:sz="8" w:space="0" w:color="auto"/>
              <w:right w:val="single" w:sz="8" w:space="0" w:color="000000"/>
            </w:tcBorders>
            <w:shd w:val="clear" w:color="auto" w:fill="auto"/>
            <w:vAlign w:val="center"/>
            <w:hideMark/>
          </w:tcPr>
          <w:p w14:paraId="66C25836" w14:textId="41FD2BB8"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Burimi i mbulimit deri </w:t>
            </w:r>
            <w:r w:rsidR="00CB13C5">
              <w:rPr>
                <w:rFonts w:ascii="Garamond" w:eastAsia="Times New Roman" w:hAnsi="Garamond" w:cs="Times New Roman"/>
                <w:b/>
                <w:bCs/>
                <w:color w:val="000000"/>
                <w:sz w:val="8"/>
                <w:szCs w:val="8"/>
                <w:lang w:val="sq-AL"/>
              </w:rPr>
              <w:t>më</w:t>
            </w:r>
            <w:r w:rsidRPr="001F0C5A">
              <w:rPr>
                <w:rFonts w:ascii="Garamond" w:eastAsia="Times New Roman" w:hAnsi="Garamond" w:cs="Times New Roman"/>
                <w:b/>
                <w:bCs/>
                <w:color w:val="000000"/>
                <w:sz w:val="8"/>
                <w:szCs w:val="8"/>
                <w:lang w:val="sq-AL"/>
              </w:rPr>
              <w:t xml:space="preserve"> 2025</w:t>
            </w:r>
            <w:r w:rsidR="00CB13C5">
              <w:rPr>
                <w:rFonts w:ascii="Garamond" w:eastAsia="Times New Roman" w:hAnsi="Garamond" w:cs="Times New Roman"/>
                <w:b/>
                <w:bCs/>
                <w:color w:val="000000"/>
                <w:sz w:val="8"/>
                <w:szCs w:val="8"/>
                <w:lang w:val="sq-AL"/>
              </w:rPr>
              <w:t>-n</w:t>
            </w:r>
          </w:p>
        </w:tc>
        <w:tc>
          <w:tcPr>
            <w:tcW w:w="258" w:type="pct"/>
            <w:vMerge w:val="restart"/>
            <w:tcBorders>
              <w:top w:val="nil"/>
              <w:left w:val="single" w:sz="8" w:space="0" w:color="auto"/>
              <w:bottom w:val="single" w:sz="8" w:space="0" w:color="000000"/>
              <w:right w:val="single" w:sz="8" w:space="0" w:color="auto"/>
            </w:tcBorders>
            <w:shd w:val="clear" w:color="auto" w:fill="auto"/>
            <w:vAlign w:val="center"/>
            <w:hideMark/>
          </w:tcPr>
          <w:p w14:paraId="48BF0D7F" w14:textId="414C67BC"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Hendeku financiar</w:t>
            </w:r>
            <w:r w:rsidRPr="001F0C5A">
              <w:rPr>
                <w:rFonts w:ascii="Garamond" w:eastAsia="Times New Roman" w:hAnsi="Garamond" w:cs="Times New Roman"/>
                <w:b/>
                <w:bCs/>
                <w:color w:val="000000"/>
                <w:sz w:val="8"/>
                <w:szCs w:val="8"/>
                <w:lang w:val="sq-AL"/>
              </w:rPr>
              <w:br/>
              <w:t>2021</w:t>
            </w:r>
            <w:r w:rsidR="00CB13C5">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2027</w:t>
            </w:r>
            <w:r w:rsidRPr="001F0C5A">
              <w:rPr>
                <w:rFonts w:ascii="Garamond" w:eastAsia="Times New Roman" w:hAnsi="Garamond" w:cs="Times New Roman"/>
                <w:b/>
                <w:bCs/>
                <w:color w:val="000000"/>
                <w:sz w:val="8"/>
                <w:szCs w:val="8"/>
                <w:lang w:val="sq-AL"/>
              </w:rPr>
              <w:br/>
              <w:t xml:space="preserve">(në </w:t>
            </w:r>
            <w:r w:rsidR="00CB13C5" w:rsidRPr="001F0C5A">
              <w:rPr>
                <w:rFonts w:ascii="Garamond" w:eastAsia="Times New Roman" w:hAnsi="Garamond" w:cs="Times New Roman"/>
                <w:b/>
                <w:bCs/>
                <w:color w:val="000000"/>
                <w:sz w:val="8"/>
                <w:szCs w:val="8"/>
                <w:lang w:val="sq-AL"/>
              </w:rPr>
              <w:t>lek</w:t>
            </w:r>
            <w:r w:rsidRPr="001F0C5A">
              <w:rPr>
                <w:rFonts w:ascii="Garamond" w:eastAsia="Times New Roman" w:hAnsi="Garamond" w:cs="Times New Roman"/>
                <w:b/>
                <w:bCs/>
                <w:color w:val="000000"/>
                <w:sz w:val="8"/>
                <w:szCs w:val="8"/>
                <w:lang w:val="sq-AL"/>
              </w:rPr>
              <w:t>)</w:t>
            </w:r>
          </w:p>
        </w:tc>
        <w:tc>
          <w:tcPr>
            <w:tcW w:w="272" w:type="pct"/>
            <w:vMerge w:val="restart"/>
            <w:tcBorders>
              <w:top w:val="nil"/>
              <w:left w:val="single" w:sz="8" w:space="0" w:color="auto"/>
              <w:bottom w:val="single" w:sz="4" w:space="0" w:color="000000"/>
              <w:right w:val="single" w:sz="8" w:space="0" w:color="auto"/>
            </w:tcBorders>
            <w:shd w:val="clear" w:color="auto" w:fill="auto"/>
            <w:vAlign w:val="center"/>
            <w:hideMark/>
          </w:tcPr>
          <w:p w14:paraId="6475A0F8" w14:textId="0BC47BDB"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CB13C5">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totale n</w:t>
            </w:r>
            <w:r w:rsidR="00CB13C5">
              <w:rPr>
                <w:rFonts w:ascii="Garamond" w:eastAsia="Times New Roman" w:hAnsi="Garamond" w:cs="Times New Roman"/>
                <w:b/>
                <w:bCs/>
                <w:color w:val="000000"/>
                <w:sz w:val="8"/>
                <w:szCs w:val="8"/>
                <w:lang w:val="sq-AL"/>
              </w:rPr>
              <w:t>ë</w:t>
            </w:r>
            <w:r w:rsidRPr="001F0C5A">
              <w:rPr>
                <w:rFonts w:ascii="Garamond" w:eastAsia="Times New Roman" w:hAnsi="Garamond" w:cs="Times New Roman"/>
                <w:b/>
                <w:bCs/>
                <w:color w:val="000000"/>
                <w:sz w:val="8"/>
                <w:szCs w:val="8"/>
                <w:lang w:val="sq-AL"/>
              </w:rPr>
              <w:t xml:space="preserve"> EUR</w:t>
            </w:r>
            <w:r w:rsidRPr="001F0C5A">
              <w:rPr>
                <w:rFonts w:ascii="Garamond" w:eastAsia="Times New Roman" w:hAnsi="Garamond" w:cs="Times New Roman"/>
                <w:b/>
                <w:bCs/>
                <w:color w:val="000000"/>
                <w:sz w:val="8"/>
                <w:szCs w:val="8"/>
                <w:lang w:val="sq-AL"/>
              </w:rPr>
              <w:br/>
              <w:t xml:space="preserve">(kursi </w:t>
            </w:r>
            <w:r w:rsidR="00CB13C5">
              <w:rPr>
                <w:rFonts w:ascii="Garamond" w:eastAsia="Times New Roman" w:hAnsi="Garamond" w:cs="Times New Roman"/>
                <w:b/>
                <w:bCs/>
                <w:color w:val="000000"/>
                <w:sz w:val="8"/>
                <w:szCs w:val="8"/>
                <w:lang w:val="sq-AL"/>
              </w:rPr>
              <w:t xml:space="preserve">i </w:t>
            </w:r>
            <w:r w:rsidR="00CB13C5" w:rsidRPr="001F0C5A">
              <w:rPr>
                <w:rFonts w:ascii="Garamond" w:eastAsia="Times New Roman" w:hAnsi="Garamond" w:cs="Times New Roman"/>
                <w:b/>
                <w:bCs/>
                <w:color w:val="000000"/>
                <w:sz w:val="8"/>
                <w:szCs w:val="8"/>
                <w:lang w:val="sq-AL"/>
              </w:rPr>
              <w:t>këmbimit</w:t>
            </w:r>
            <w:r w:rsidRPr="001F0C5A">
              <w:rPr>
                <w:rFonts w:ascii="Garamond" w:eastAsia="Times New Roman" w:hAnsi="Garamond" w:cs="Times New Roman"/>
                <w:b/>
                <w:bCs/>
                <w:color w:val="000000"/>
                <w:sz w:val="8"/>
                <w:szCs w:val="8"/>
                <w:lang w:val="sq-AL"/>
              </w:rPr>
              <w:t>: 1 EUR = 109</w:t>
            </w:r>
            <w:r w:rsidR="00CB13C5">
              <w:rPr>
                <w:rFonts w:ascii="Garamond" w:eastAsia="Times New Roman" w:hAnsi="Garamond" w:cs="Times New Roman"/>
                <w:b/>
                <w:bCs/>
                <w:color w:val="000000"/>
                <w:sz w:val="8"/>
                <w:szCs w:val="8"/>
                <w:lang w:val="sq-AL"/>
              </w:rPr>
              <w:t xml:space="preserve"> </w:t>
            </w:r>
            <w:r w:rsidRPr="001F0C5A">
              <w:rPr>
                <w:rFonts w:ascii="Garamond" w:eastAsia="Times New Roman" w:hAnsi="Garamond" w:cs="Times New Roman"/>
                <w:b/>
                <w:bCs/>
                <w:color w:val="000000"/>
                <w:sz w:val="8"/>
                <w:szCs w:val="8"/>
                <w:lang w:val="sq-AL"/>
              </w:rPr>
              <w:t>ALL)</w:t>
            </w:r>
          </w:p>
        </w:tc>
      </w:tr>
      <w:tr w:rsidR="00D86FA8" w:rsidRPr="001F0C5A" w14:paraId="25FAB801"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021CE46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val="restart"/>
            <w:tcBorders>
              <w:top w:val="nil"/>
              <w:left w:val="single" w:sz="8" w:space="0" w:color="auto"/>
              <w:bottom w:val="single" w:sz="8" w:space="0" w:color="000000"/>
              <w:right w:val="single" w:sz="8" w:space="0" w:color="auto"/>
            </w:tcBorders>
            <w:shd w:val="clear" w:color="auto" w:fill="auto"/>
            <w:vAlign w:val="center"/>
            <w:hideMark/>
          </w:tcPr>
          <w:p w14:paraId="2973A2B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përgjegjës</w:t>
            </w:r>
          </w:p>
        </w:tc>
        <w:tc>
          <w:tcPr>
            <w:tcW w:w="340" w:type="pct"/>
            <w:vMerge w:val="restart"/>
            <w:tcBorders>
              <w:top w:val="nil"/>
              <w:left w:val="single" w:sz="8" w:space="0" w:color="auto"/>
              <w:bottom w:val="single" w:sz="8" w:space="0" w:color="000000"/>
              <w:right w:val="single" w:sz="8" w:space="0" w:color="auto"/>
            </w:tcBorders>
            <w:shd w:val="clear" w:color="auto" w:fill="auto"/>
            <w:vAlign w:val="center"/>
            <w:hideMark/>
          </w:tcPr>
          <w:p w14:paraId="5435B852"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kontribues</w:t>
            </w:r>
          </w:p>
        </w:tc>
        <w:tc>
          <w:tcPr>
            <w:tcW w:w="213" w:type="pct"/>
            <w:vMerge w:val="restart"/>
            <w:tcBorders>
              <w:top w:val="nil"/>
              <w:left w:val="single" w:sz="8" w:space="0" w:color="auto"/>
              <w:bottom w:val="single" w:sz="8" w:space="0" w:color="000000"/>
              <w:right w:val="single" w:sz="8" w:space="0" w:color="auto"/>
            </w:tcBorders>
            <w:shd w:val="clear" w:color="auto" w:fill="auto"/>
            <w:vAlign w:val="center"/>
            <w:hideMark/>
          </w:tcPr>
          <w:p w14:paraId="2BED05F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 i fillimit</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3F0ACF50" w14:textId="41B4A54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w:t>
            </w:r>
            <w:r w:rsidR="001F0C5A" w:rsidRPr="001F0C5A">
              <w:rPr>
                <w:rFonts w:ascii="Garamond" w:eastAsia="Times New Roman" w:hAnsi="Garamond" w:cs="Times New Roman"/>
                <w:b/>
                <w:bCs/>
                <w:color w:val="000000"/>
                <w:sz w:val="8"/>
                <w:szCs w:val="8"/>
                <w:lang w:val="sq-AL"/>
              </w:rPr>
              <w:t xml:space="preserve"> </w:t>
            </w:r>
            <w:r w:rsidRPr="001F0C5A">
              <w:rPr>
                <w:rFonts w:ascii="Garamond" w:eastAsia="Times New Roman" w:hAnsi="Garamond" w:cs="Times New Roman"/>
                <w:b/>
                <w:bCs/>
                <w:color w:val="000000"/>
                <w:sz w:val="8"/>
                <w:szCs w:val="8"/>
                <w:lang w:val="sq-AL"/>
              </w:rPr>
              <w:t>i mbarimit</w:t>
            </w:r>
          </w:p>
        </w:tc>
        <w:tc>
          <w:tcPr>
            <w:tcW w:w="991" w:type="pct"/>
            <w:gridSpan w:val="3"/>
            <w:vMerge/>
            <w:tcBorders>
              <w:top w:val="nil"/>
              <w:left w:val="single" w:sz="8" w:space="0" w:color="auto"/>
              <w:bottom w:val="single" w:sz="8" w:space="0" w:color="000000"/>
              <w:right w:val="single" w:sz="8" w:space="0" w:color="auto"/>
            </w:tcBorders>
            <w:vAlign w:val="center"/>
            <w:hideMark/>
          </w:tcPr>
          <w:p w14:paraId="1CC01033"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1061" w:type="pct"/>
            <w:gridSpan w:val="3"/>
            <w:tcBorders>
              <w:top w:val="single" w:sz="8" w:space="0" w:color="auto"/>
              <w:left w:val="nil"/>
              <w:bottom w:val="single" w:sz="8" w:space="0" w:color="auto"/>
              <w:right w:val="single" w:sz="8" w:space="0" w:color="000000"/>
            </w:tcBorders>
            <w:shd w:val="clear" w:color="auto" w:fill="auto"/>
            <w:vAlign w:val="center"/>
            <w:hideMark/>
          </w:tcPr>
          <w:p w14:paraId="0F3A29BB" w14:textId="2CC76A11"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PBA 2024</w:t>
            </w:r>
            <w:r w:rsidR="00CB13C5">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2026</w:t>
            </w:r>
          </w:p>
        </w:tc>
        <w:tc>
          <w:tcPr>
            <w:tcW w:w="888" w:type="pct"/>
            <w:gridSpan w:val="3"/>
            <w:tcBorders>
              <w:top w:val="single" w:sz="8" w:space="0" w:color="auto"/>
              <w:left w:val="nil"/>
              <w:bottom w:val="single" w:sz="8" w:space="0" w:color="auto"/>
              <w:right w:val="single" w:sz="8" w:space="0" w:color="000000"/>
            </w:tcBorders>
            <w:shd w:val="clear" w:color="auto" w:fill="auto"/>
            <w:vAlign w:val="center"/>
            <w:hideMark/>
          </w:tcPr>
          <w:p w14:paraId="455F9D1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Financim i huaj</w:t>
            </w:r>
          </w:p>
        </w:tc>
        <w:tc>
          <w:tcPr>
            <w:tcW w:w="258" w:type="pct"/>
            <w:vMerge/>
            <w:tcBorders>
              <w:top w:val="nil"/>
              <w:left w:val="single" w:sz="8" w:space="0" w:color="auto"/>
              <w:bottom w:val="single" w:sz="8" w:space="0" w:color="000000"/>
              <w:right w:val="single" w:sz="8" w:space="0" w:color="auto"/>
            </w:tcBorders>
            <w:vAlign w:val="center"/>
            <w:hideMark/>
          </w:tcPr>
          <w:p w14:paraId="00193626"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72" w:type="pct"/>
            <w:vMerge/>
            <w:tcBorders>
              <w:top w:val="nil"/>
              <w:left w:val="single" w:sz="8" w:space="0" w:color="auto"/>
              <w:bottom w:val="single" w:sz="4" w:space="0" w:color="000000"/>
              <w:right w:val="single" w:sz="8" w:space="0" w:color="auto"/>
            </w:tcBorders>
            <w:vAlign w:val="center"/>
            <w:hideMark/>
          </w:tcPr>
          <w:p w14:paraId="623F0048"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323ACBDE"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1E71CA6B"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tcBorders>
              <w:top w:val="nil"/>
              <w:left w:val="single" w:sz="8" w:space="0" w:color="auto"/>
              <w:bottom w:val="single" w:sz="8" w:space="0" w:color="000000"/>
              <w:right w:val="single" w:sz="8" w:space="0" w:color="auto"/>
            </w:tcBorders>
            <w:vAlign w:val="center"/>
            <w:hideMark/>
          </w:tcPr>
          <w:p w14:paraId="0E6F2C5D"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0" w:type="pct"/>
            <w:vMerge/>
            <w:tcBorders>
              <w:top w:val="nil"/>
              <w:left w:val="single" w:sz="8" w:space="0" w:color="auto"/>
              <w:bottom w:val="single" w:sz="8" w:space="0" w:color="000000"/>
              <w:right w:val="single" w:sz="8" w:space="0" w:color="auto"/>
            </w:tcBorders>
            <w:vAlign w:val="center"/>
            <w:hideMark/>
          </w:tcPr>
          <w:p w14:paraId="5A0595D2"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13" w:type="pct"/>
            <w:vMerge/>
            <w:tcBorders>
              <w:top w:val="nil"/>
              <w:left w:val="single" w:sz="8" w:space="0" w:color="auto"/>
              <w:bottom w:val="single" w:sz="8" w:space="0" w:color="000000"/>
              <w:right w:val="single" w:sz="8" w:space="0" w:color="auto"/>
            </w:tcBorders>
            <w:vAlign w:val="center"/>
            <w:hideMark/>
          </w:tcPr>
          <w:p w14:paraId="23516F4F"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55" w:type="pct"/>
            <w:vMerge/>
            <w:tcBorders>
              <w:top w:val="nil"/>
              <w:left w:val="single" w:sz="8" w:space="0" w:color="auto"/>
              <w:bottom w:val="single" w:sz="8" w:space="0" w:color="000000"/>
              <w:right w:val="single" w:sz="8" w:space="0" w:color="auto"/>
            </w:tcBorders>
            <w:vAlign w:val="center"/>
            <w:hideMark/>
          </w:tcPr>
          <w:p w14:paraId="0627F142"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30" w:type="pct"/>
            <w:tcBorders>
              <w:top w:val="nil"/>
              <w:left w:val="nil"/>
              <w:bottom w:val="single" w:sz="8" w:space="0" w:color="auto"/>
              <w:right w:val="nil"/>
            </w:tcBorders>
            <w:shd w:val="clear" w:color="auto" w:fill="auto"/>
            <w:vAlign w:val="center"/>
            <w:hideMark/>
          </w:tcPr>
          <w:p w14:paraId="455F365C" w14:textId="5C199D3B"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330" w:type="pct"/>
            <w:tcBorders>
              <w:top w:val="nil"/>
              <w:left w:val="single" w:sz="8" w:space="0" w:color="auto"/>
              <w:bottom w:val="single" w:sz="8" w:space="0" w:color="auto"/>
              <w:right w:val="single" w:sz="8" w:space="0" w:color="auto"/>
            </w:tcBorders>
            <w:shd w:val="clear" w:color="auto" w:fill="auto"/>
            <w:vAlign w:val="center"/>
            <w:hideMark/>
          </w:tcPr>
          <w:p w14:paraId="70B548E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75BAABD1" w14:textId="7CB2C13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Total </w:t>
            </w:r>
            <w:r w:rsidR="00CB13C5" w:rsidRPr="001F0C5A">
              <w:rPr>
                <w:rFonts w:ascii="Garamond" w:eastAsia="Times New Roman" w:hAnsi="Garamond" w:cs="Times New Roman"/>
                <w:b/>
                <w:bCs/>
                <w:color w:val="000000"/>
                <w:sz w:val="8"/>
                <w:szCs w:val="8"/>
                <w:lang w:val="sq-AL"/>
              </w:rPr>
              <w:t>kosto</w:t>
            </w:r>
          </w:p>
        </w:tc>
        <w:tc>
          <w:tcPr>
            <w:tcW w:w="420" w:type="pct"/>
            <w:tcBorders>
              <w:top w:val="nil"/>
              <w:left w:val="nil"/>
              <w:bottom w:val="single" w:sz="8" w:space="0" w:color="auto"/>
              <w:right w:val="nil"/>
            </w:tcBorders>
            <w:shd w:val="clear" w:color="auto" w:fill="auto"/>
            <w:vAlign w:val="center"/>
            <w:hideMark/>
          </w:tcPr>
          <w:p w14:paraId="155E7254" w14:textId="70AB430E"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rente</w:t>
            </w:r>
          </w:p>
        </w:tc>
        <w:tc>
          <w:tcPr>
            <w:tcW w:w="310" w:type="pct"/>
            <w:tcBorders>
              <w:top w:val="nil"/>
              <w:left w:val="single" w:sz="8" w:space="0" w:color="auto"/>
              <w:bottom w:val="single" w:sz="8" w:space="0" w:color="auto"/>
              <w:right w:val="single" w:sz="8" w:space="0" w:color="auto"/>
            </w:tcBorders>
            <w:shd w:val="clear" w:color="auto" w:fill="auto"/>
            <w:vAlign w:val="center"/>
            <w:hideMark/>
          </w:tcPr>
          <w:p w14:paraId="6354CEA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47893AE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BSH</w:t>
            </w:r>
          </w:p>
        </w:tc>
        <w:tc>
          <w:tcPr>
            <w:tcW w:w="310" w:type="pct"/>
            <w:tcBorders>
              <w:top w:val="nil"/>
              <w:left w:val="nil"/>
              <w:bottom w:val="single" w:sz="8" w:space="0" w:color="auto"/>
              <w:right w:val="nil"/>
            </w:tcBorders>
            <w:shd w:val="clear" w:color="auto" w:fill="auto"/>
            <w:vAlign w:val="center"/>
            <w:hideMark/>
          </w:tcPr>
          <w:p w14:paraId="76A5A660" w14:textId="28830790"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rente</w:t>
            </w:r>
          </w:p>
        </w:tc>
        <w:tc>
          <w:tcPr>
            <w:tcW w:w="289" w:type="pct"/>
            <w:tcBorders>
              <w:top w:val="nil"/>
              <w:left w:val="single" w:sz="8" w:space="0" w:color="auto"/>
              <w:bottom w:val="single" w:sz="8" w:space="0" w:color="auto"/>
              <w:right w:val="single" w:sz="8" w:space="0" w:color="auto"/>
            </w:tcBorders>
            <w:shd w:val="clear" w:color="auto" w:fill="auto"/>
            <w:vAlign w:val="center"/>
            <w:hideMark/>
          </w:tcPr>
          <w:p w14:paraId="4BECB7B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289" w:type="pct"/>
            <w:tcBorders>
              <w:top w:val="nil"/>
              <w:left w:val="nil"/>
              <w:bottom w:val="single" w:sz="8" w:space="0" w:color="auto"/>
              <w:right w:val="single" w:sz="8" w:space="0" w:color="auto"/>
            </w:tcBorders>
            <w:shd w:val="clear" w:color="auto" w:fill="auto"/>
            <w:vAlign w:val="center"/>
            <w:hideMark/>
          </w:tcPr>
          <w:p w14:paraId="5351F26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FH</w:t>
            </w:r>
          </w:p>
        </w:tc>
        <w:tc>
          <w:tcPr>
            <w:tcW w:w="258" w:type="pct"/>
            <w:tcBorders>
              <w:top w:val="nil"/>
              <w:left w:val="nil"/>
              <w:bottom w:val="single" w:sz="8" w:space="0" w:color="auto"/>
              <w:right w:val="single" w:sz="8" w:space="0" w:color="auto"/>
            </w:tcBorders>
            <w:shd w:val="clear" w:color="auto" w:fill="auto"/>
            <w:vAlign w:val="center"/>
            <w:hideMark/>
          </w:tcPr>
          <w:p w14:paraId="09CE29D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w:t>
            </w:r>
          </w:p>
        </w:tc>
        <w:tc>
          <w:tcPr>
            <w:tcW w:w="272" w:type="pct"/>
            <w:vMerge/>
            <w:tcBorders>
              <w:top w:val="nil"/>
              <w:left w:val="single" w:sz="8" w:space="0" w:color="auto"/>
              <w:bottom w:val="single" w:sz="4" w:space="0" w:color="000000"/>
              <w:right w:val="single" w:sz="8" w:space="0" w:color="auto"/>
            </w:tcBorders>
            <w:vAlign w:val="center"/>
            <w:hideMark/>
          </w:tcPr>
          <w:p w14:paraId="45283309"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293F87F6" w14:textId="77777777" w:rsidTr="00D86FA8">
        <w:trPr>
          <w:trHeight w:val="20"/>
        </w:trPr>
        <w:tc>
          <w:tcPr>
            <w:tcW w:w="381"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14ABD732" w14:textId="520A64E6"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1: Përmirësimi i infrastrukturës në </w:t>
            </w:r>
            <w:r w:rsidR="00CB13C5" w:rsidRPr="001F0C5A">
              <w:rPr>
                <w:rFonts w:ascii="Garamond" w:eastAsia="Times New Roman" w:hAnsi="Garamond" w:cs="Calibri"/>
                <w:b/>
                <w:bCs/>
                <w:color w:val="000000"/>
                <w:sz w:val="8"/>
                <w:szCs w:val="8"/>
                <w:lang w:val="sq-AL"/>
              </w:rPr>
              <w:t>pikat e kalimit kufitar m</w:t>
            </w:r>
            <w:r w:rsidRPr="001F0C5A">
              <w:rPr>
                <w:rFonts w:ascii="Garamond" w:eastAsia="Times New Roman" w:hAnsi="Garamond" w:cs="Calibri"/>
                <w:b/>
                <w:bCs/>
                <w:color w:val="000000"/>
                <w:sz w:val="8"/>
                <w:szCs w:val="8"/>
                <w:lang w:val="sq-AL"/>
              </w:rPr>
              <w:t>e qëllim krijimin e kushteve që sigurojnë kalim të lehtësuar dhe të sigurt në shtetasve dhe mallrave</w:t>
            </w:r>
          </w:p>
        </w:tc>
        <w:tc>
          <w:tcPr>
            <w:tcW w:w="341" w:type="pct"/>
            <w:tcBorders>
              <w:top w:val="single" w:sz="4" w:space="0" w:color="auto"/>
              <w:left w:val="nil"/>
              <w:bottom w:val="single" w:sz="4" w:space="0" w:color="auto"/>
              <w:right w:val="single" w:sz="4" w:space="0" w:color="auto"/>
            </w:tcBorders>
            <w:shd w:val="clear" w:color="auto" w:fill="auto"/>
            <w:vAlign w:val="center"/>
            <w:hideMark/>
          </w:tcPr>
          <w:p w14:paraId="1F6B60F3" w14:textId="0A153E1E"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DPD</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PSH</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7572FE3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MF/DPD</w:t>
            </w:r>
            <w:r w:rsidRPr="001F0C5A">
              <w:rPr>
                <w:rFonts w:ascii="Garamond" w:eastAsia="Times New Roman" w:hAnsi="Garamond" w:cs="Times New Roman"/>
                <w:color w:val="000000"/>
                <w:sz w:val="8"/>
                <w:szCs w:val="8"/>
                <w:lang w:val="sq-AL"/>
              </w:rPr>
              <w:br/>
              <w:t>MB / PSH</w:t>
            </w:r>
          </w:p>
        </w:tc>
        <w:tc>
          <w:tcPr>
            <w:tcW w:w="213" w:type="pct"/>
            <w:tcBorders>
              <w:top w:val="single" w:sz="4" w:space="0" w:color="auto"/>
              <w:left w:val="nil"/>
              <w:bottom w:val="single" w:sz="4" w:space="0" w:color="auto"/>
              <w:right w:val="single" w:sz="4" w:space="0" w:color="auto"/>
            </w:tcBorders>
            <w:shd w:val="clear" w:color="auto" w:fill="auto"/>
            <w:vAlign w:val="center"/>
            <w:hideMark/>
          </w:tcPr>
          <w:p w14:paraId="578EE602"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single" w:sz="4" w:space="0" w:color="auto"/>
              <w:left w:val="nil"/>
              <w:bottom w:val="single" w:sz="4" w:space="0" w:color="auto"/>
              <w:right w:val="single" w:sz="4" w:space="0" w:color="auto"/>
            </w:tcBorders>
            <w:shd w:val="clear" w:color="auto" w:fill="auto"/>
            <w:vAlign w:val="center"/>
            <w:hideMark/>
          </w:tcPr>
          <w:p w14:paraId="201AC1C1"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3D87D99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40,000,000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1FB32C7B"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732,270,398</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37BE2E1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772,270,398</w:t>
            </w:r>
          </w:p>
        </w:tc>
        <w:tc>
          <w:tcPr>
            <w:tcW w:w="420" w:type="pct"/>
            <w:tcBorders>
              <w:top w:val="single" w:sz="4" w:space="0" w:color="auto"/>
              <w:left w:val="nil"/>
              <w:bottom w:val="single" w:sz="4" w:space="0" w:color="auto"/>
              <w:right w:val="single" w:sz="4" w:space="0" w:color="auto"/>
            </w:tcBorders>
            <w:shd w:val="clear" w:color="auto" w:fill="auto"/>
            <w:vAlign w:val="center"/>
            <w:hideMark/>
          </w:tcPr>
          <w:p w14:paraId="15FC210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40,000,000</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048B9AC8"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509,190,398</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7ABD9596"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549,190,398</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56209EC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3C77A80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223,080,000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55762B26"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223,080,000</w:t>
            </w:r>
          </w:p>
        </w:tc>
        <w:tc>
          <w:tcPr>
            <w:tcW w:w="258" w:type="pct"/>
            <w:tcBorders>
              <w:top w:val="single" w:sz="4" w:space="0" w:color="auto"/>
              <w:left w:val="nil"/>
              <w:bottom w:val="single" w:sz="4" w:space="0" w:color="auto"/>
              <w:right w:val="single" w:sz="4" w:space="0" w:color="auto"/>
            </w:tcBorders>
            <w:shd w:val="clear" w:color="auto" w:fill="auto"/>
            <w:vAlign w:val="center"/>
            <w:hideMark/>
          </w:tcPr>
          <w:p w14:paraId="31622E6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1E9A8726"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6,178,163</w:t>
            </w:r>
          </w:p>
        </w:tc>
      </w:tr>
      <w:tr w:rsidR="00D86FA8" w:rsidRPr="001F0C5A" w14:paraId="0B1BED5B"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054FA2F7" w14:textId="44BB6213"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2: Negocimi dhe nënshkrimi i marrëveshjeve për ngritjen e </w:t>
            </w:r>
            <w:r w:rsidR="00CB13C5" w:rsidRPr="001F0C5A">
              <w:rPr>
                <w:rFonts w:ascii="Garamond" w:eastAsia="Times New Roman" w:hAnsi="Garamond" w:cs="Calibri"/>
                <w:b/>
                <w:bCs/>
                <w:color w:val="000000"/>
                <w:sz w:val="8"/>
                <w:szCs w:val="8"/>
                <w:lang w:val="sq-AL"/>
              </w:rPr>
              <w:t>pikave të përbashkëta të kalimit kufitar dhe doganor</w:t>
            </w:r>
          </w:p>
        </w:tc>
        <w:tc>
          <w:tcPr>
            <w:tcW w:w="341" w:type="pct"/>
            <w:tcBorders>
              <w:top w:val="nil"/>
              <w:left w:val="nil"/>
              <w:bottom w:val="single" w:sz="4" w:space="0" w:color="auto"/>
              <w:right w:val="single" w:sz="4" w:space="0" w:color="auto"/>
            </w:tcBorders>
            <w:shd w:val="clear" w:color="auto" w:fill="auto"/>
            <w:vAlign w:val="center"/>
            <w:hideMark/>
          </w:tcPr>
          <w:p w14:paraId="5B2B92D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MB/PSH</w:t>
            </w:r>
          </w:p>
        </w:tc>
        <w:tc>
          <w:tcPr>
            <w:tcW w:w="340" w:type="pct"/>
            <w:tcBorders>
              <w:top w:val="nil"/>
              <w:left w:val="nil"/>
              <w:bottom w:val="single" w:sz="4" w:space="0" w:color="auto"/>
              <w:right w:val="single" w:sz="4" w:space="0" w:color="auto"/>
            </w:tcBorders>
            <w:shd w:val="clear" w:color="auto" w:fill="auto"/>
            <w:vAlign w:val="center"/>
            <w:hideMark/>
          </w:tcPr>
          <w:p w14:paraId="31ADAD15"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MF/DPD</w:t>
            </w:r>
            <w:r w:rsidRPr="001F0C5A">
              <w:rPr>
                <w:rFonts w:ascii="Garamond" w:eastAsia="Times New Roman" w:hAnsi="Garamond" w:cs="Times New Roman"/>
                <w:color w:val="000000"/>
                <w:sz w:val="8"/>
                <w:szCs w:val="8"/>
                <w:lang w:val="sq-AL"/>
              </w:rPr>
              <w:br/>
              <w:t>MEPJ</w:t>
            </w:r>
          </w:p>
        </w:tc>
        <w:tc>
          <w:tcPr>
            <w:tcW w:w="213" w:type="pct"/>
            <w:tcBorders>
              <w:top w:val="nil"/>
              <w:left w:val="nil"/>
              <w:bottom w:val="single" w:sz="4" w:space="0" w:color="auto"/>
              <w:right w:val="single" w:sz="4" w:space="0" w:color="auto"/>
            </w:tcBorders>
            <w:shd w:val="clear" w:color="auto" w:fill="auto"/>
            <w:vAlign w:val="center"/>
            <w:hideMark/>
          </w:tcPr>
          <w:p w14:paraId="6ED5CA1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1AB65E1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6144B03C"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1,800,000</w:t>
            </w:r>
          </w:p>
        </w:tc>
        <w:tc>
          <w:tcPr>
            <w:tcW w:w="330" w:type="pct"/>
            <w:tcBorders>
              <w:top w:val="nil"/>
              <w:left w:val="nil"/>
              <w:bottom w:val="single" w:sz="4" w:space="0" w:color="auto"/>
              <w:right w:val="single" w:sz="4" w:space="0" w:color="auto"/>
            </w:tcBorders>
            <w:shd w:val="clear" w:color="auto" w:fill="auto"/>
            <w:vAlign w:val="center"/>
            <w:hideMark/>
          </w:tcPr>
          <w:p w14:paraId="2329CEC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15ED9D9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1,800,000</w:t>
            </w:r>
          </w:p>
        </w:tc>
        <w:tc>
          <w:tcPr>
            <w:tcW w:w="420" w:type="pct"/>
            <w:tcBorders>
              <w:top w:val="nil"/>
              <w:left w:val="nil"/>
              <w:bottom w:val="single" w:sz="4" w:space="0" w:color="auto"/>
              <w:right w:val="single" w:sz="4" w:space="0" w:color="auto"/>
            </w:tcBorders>
            <w:shd w:val="clear" w:color="auto" w:fill="auto"/>
            <w:vAlign w:val="center"/>
            <w:hideMark/>
          </w:tcPr>
          <w:p w14:paraId="57C3EE77"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1,800,000</w:t>
            </w:r>
          </w:p>
        </w:tc>
        <w:tc>
          <w:tcPr>
            <w:tcW w:w="310" w:type="pct"/>
            <w:tcBorders>
              <w:top w:val="nil"/>
              <w:left w:val="nil"/>
              <w:bottom w:val="single" w:sz="4" w:space="0" w:color="auto"/>
              <w:right w:val="single" w:sz="4" w:space="0" w:color="auto"/>
            </w:tcBorders>
            <w:shd w:val="clear" w:color="auto" w:fill="auto"/>
            <w:vAlign w:val="center"/>
            <w:hideMark/>
          </w:tcPr>
          <w:p w14:paraId="12A03D0D"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2852CBD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1,800,000</w:t>
            </w:r>
          </w:p>
        </w:tc>
        <w:tc>
          <w:tcPr>
            <w:tcW w:w="310" w:type="pct"/>
            <w:tcBorders>
              <w:top w:val="nil"/>
              <w:left w:val="nil"/>
              <w:bottom w:val="single" w:sz="4" w:space="0" w:color="auto"/>
              <w:right w:val="single" w:sz="4" w:space="0" w:color="auto"/>
            </w:tcBorders>
            <w:shd w:val="clear" w:color="auto" w:fill="auto"/>
            <w:vAlign w:val="center"/>
            <w:hideMark/>
          </w:tcPr>
          <w:p w14:paraId="0B624F0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557E45D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684A067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7AE720B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0FDF786F"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14,400</w:t>
            </w:r>
          </w:p>
        </w:tc>
      </w:tr>
      <w:tr w:rsidR="00D86FA8" w:rsidRPr="001F0C5A" w14:paraId="7CEE7555"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496D63EC" w14:textId="27335496"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3: Alokimi i burimeve të nevojshme njerëzore në </w:t>
            </w:r>
            <w:r w:rsidR="00CB13C5" w:rsidRPr="001F0C5A">
              <w:rPr>
                <w:rFonts w:ascii="Garamond" w:eastAsia="Times New Roman" w:hAnsi="Garamond" w:cs="Calibri"/>
                <w:b/>
                <w:bCs/>
                <w:color w:val="000000"/>
                <w:sz w:val="8"/>
                <w:szCs w:val="8"/>
                <w:lang w:val="sq-AL"/>
              </w:rPr>
              <w:t xml:space="preserve">pikat e kalimit të kufitar </w:t>
            </w:r>
            <w:r w:rsidRPr="001F0C5A">
              <w:rPr>
                <w:rFonts w:ascii="Garamond" w:eastAsia="Times New Roman" w:hAnsi="Garamond" w:cs="Calibri"/>
                <w:b/>
                <w:bCs/>
                <w:color w:val="000000"/>
                <w:sz w:val="8"/>
                <w:szCs w:val="8"/>
                <w:lang w:val="sq-AL"/>
              </w:rPr>
              <w:t>në përputhje me fluksin e qarkullimit ndërkufitar</w:t>
            </w:r>
            <w:r w:rsidRPr="001F0C5A">
              <w:rPr>
                <w:rFonts w:ascii="Garamond" w:eastAsia="Times New Roman" w:hAnsi="Garamond" w:cs="Calibri"/>
                <w:b/>
                <w:bCs/>
                <w:color w:val="000000"/>
                <w:sz w:val="8"/>
                <w:szCs w:val="8"/>
                <w:lang w:val="sq-AL"/>
              </w:rPr>
              <w:br/>
            </w:r>
            <w:r w:rsidRPr="001F0C5A">
              <w:rPr>
                <w:rFonts w:ascii="Garamond" w:eastAsia="Times New Roman" w:hAnsi="Garamond" w:cs="Calibri"/>
                <w:b/>
                <w:bCs/>
                <w:color w:val="000000"/>
                <w:sz w:val="8"/>
                <w:szCs w:val="8"/>
                <w:lang w:val="sq-AL"/>
              </w:rPr>
              <w:b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049F207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nil"/>
              <w:left w:val="nil"/>
              <w:bottom w:val="single" w:sz="4" w:space="0" w:color="auto"/>
              <w:right w:val="single" w:sz="4" w:space="0" w:color="auto"/>
            </w:tcBorders>
            <w:shd w:val="clear" w:color="auto" w:fill="auto"/>
            <w:vAlign w:val="center"/>
            <w:hideMark/>
          </w:tcPr>
          <w:p w14:paraId="67AE276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1F29E1D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24CA165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77C8505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756,850,000</w:t>
            </w:r>
          </w:p>
        </w:tc>
        <w:tc>
          <w:tcPr>
            <w:tcW w:w="330" w:type="pct"/>
            <w:tcBorders>
              <w:top w:val="nil"/>
              <w:left w:val="nil"/>
              <w:bottom w:val="single" w:sz="4" w:space="0" w:color="auto"/>
              <w:right w:val="single" w:sz="4" w:space="0" w:color="auto"/>
            </w:tcBorders>
            <w:shd w:val="clear" w:color="auto" w:fill="auto"/>
            <w:vAlign w:val="center"/>
            <w:hideMark/>
          </w:tcPr>
          <w:p w14:paraId="5ABEE4A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6857E7B6"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756,850,000</w:t>
            </w:r>
          </w:p>
        </w:tc>
        <w:tc>
          <w:tcPr>
            <w:tcW w:w="420" w:type="pct"/>
            <w:tcBorders>
              <w:top w:val="nil"/>
              <w:left w:val="nil"/>
              <w:bottom w:val="single" w:sz="4" w:space="0" w:color="auto"/>
              <w:right w:val="single" w:sz="4" w:space="0" w:color="auto"/>
            </w:tcBorders>
            <w:shd w:val="clear" w:color="auto" w:fill="auto"/>
            <w:vAlign w:val="center"/>
            <w:hideMark/>
          </w:tcPr>
          <w:p w14:paraId="0F611EA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756,850,000</w:t>
            </w:r>
          </w:p>
        </w:tc>
        <w:tc>
          <w:tcPr>
            <w:tcW w:w="310" w:type="pct"/>
            <w:tcBorders>
              <w:top w:val="nil"/>
              <w:left w:val="nil"/>
              <w:bottom w:val="single" w:sz="4" w:space="0" w:color="auto"/>
              <w:right w:val="single" w:sz="4" w:space="0" w:color="auto"/>
            </w:tcBorders>
            <w:shd w:val="clear" w:color="auto" w:fill="auto"/>
            <w:vAlign w:val="center"/>
            <w:hideMark/>
          </w:tcPr>
          <w:p w14:paraId="1BE228A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4E3ED17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756,850,000</w:t>
            </w:r>
          </w:p>
        </w:tc>
        <w:tc>
          <w:tcPr>
            <w:tcW w:w="310" w:type="pct"/>
            <w:tcBorders>
              <w:top w:val="nil"/>
              <w:left w:val="nil"/>
              <w:bottom w:val="single" w:sz="4" w:space="0" w:color="auto"/>
              <w:right w:val="single" w:sz="4" w:space="0" w:color="auto"/>
            </w:tcBorders>
            <w:shd w:val="clear" w:color="auto" w:fill="auto"/>
            <w:vAlign w:val="center"/>
            <w:hideMark/>
          </w:tcPr>
          <w:p w14:paraId="5AF73FB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5A5415C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66D3C23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64CE92C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63E25547"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6,054,800</w:t>
            </w:r>
          </w:p>
        </w:tc>
      </w:tr>
      <w:tr w:rsidR="00D86FA8" w:rsidRPr="001F0C5A" w14:paraId="235FF4CB"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63183756" w14:textId="77777777"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4: Forcimi i kapaciteteve </w:t>
            </w:r>
            <w:r w:rsidRPr="001F0C5A">
              <w:rPr>
                <w:rFonts w:ascii="Garamond" w:eastAsia="Times New Roman" w:hAnsi="Garamond" w:cs="Calibri"/>
                <w:b/>
                <w:bCs/>
                <w:color w:val="000000"/>
                <w:sz w:val="8"/>
                <w:szCs w:val="8"/>
                <w:lang w:val="sq-AL"/>
              </w:rPr>
              <w:lastRenderedPageBreak/>
              <w:t>logjistike për zbulimin e dokumenteve të falsifikuara të udhëtimit</w:t>
            </w:r>
            <w:r w:rsidRPr="001F0C5A">
              <w:rPr>
                <w:rFonts w:ascii="Garamond" w:eastAsia="Times New Roman" w:hAnsi="Garamond" w:cs="Calibri"/>
                <w:b/>
                <w:bCs/>
                <w:color w:val="000000"/>
                <w:sz w:val="8"/>
                <w:szCs w:val="8"/>
                <w:lang w:val="sq-AL"/>
              </w:rPr>
              <w:br/>
            </w:r>
            <w:r w:rsidRPr="001F0C5A">
              <w:rPr>
                <w:rFonts w:ascii="Garamond" w:eastAsia="Times New Roman" w:hAnsi="Garamond" w:cs="Calibri"/>
                <w:b/>
                <w:bCs/>
                <w:color w:val="000000"/>
                <w:sz w:val="8"/>
                <w:szCs w:val="8"/>
                <w:lang w:val="sq-AL"/>
              </w:rPr>
              <w:b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330FC90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lastRenderedPageBreak/>
              <w:t>PSH</w:t>
            </w:r>
          </w:p>
        </w:tc>
        <w:tc>
          <w:tcPr>
            <w:tcW w:w="340" w:type="pct"/>
            <w:tcBorders>
              <w:top w:val="nil"/>
              <w:left w:val="nil"/>
              <w:bottom w:val="single" w:sz="4" w:space="0" w:color="auto"/>
              <w:right w:val="single" w:sz="4" w:space="0" w:color="auto"/>
            </w:tcBorders>
            <w:shd w:val="clear" w:color="auto" w:fill="auto"/>
            <w:vAlign w:val="center"/>
            <w:hideMark/>
          </w:tcPr>
          <w:p w14:paraId="7F9F721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22E811A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3BFA09E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025B0C1C"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79EC473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92,800,000</w:t>
            </w:r>
          </w:p>
        </w:tc>
        <w:tc>
          <w:tcPr>
            <w:tcW w:w="330" w:type="pct"/>
            <w:tcBorders>
              <w:top w:val="nil"/>
              <w:left w:val="nil"/>
              <w:bottom w:val="single" w:sz="4" w:space="0" w:color="auto"/>
              <w:right w:val="single" w:sz="4" w:space="0" w:color="auto"/>
            </w:tcBorders>
            <w:shd w:val="clear" w:color="auto" w:fill="auto"/>
            <w:vAlign w:val="center"/>
            <w:hideMark/>
          </w:tcPr>
          <w:p w14:paraId="7874056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92,800,000</w:t>
            </w:r>
          </w:p>
        </w:tc>
        <w:tc>
          <w:tcPr>
            <w:tcW w:w="420" w:type="pct"/>
            <w:tcBorders>
              <w:top w:val="nil"/>
              <w:left w:val="nil"/>
              <w:bottom w:val="single" w:sz="4" w:space="0" w:color="auto"/>
              <w:right w:val="single" w:sz="4" w:space="0" w:color="auto"/>
            </w:tcBorders>
            <w:shd w:val="clear" w:color="auto" w:fill="auto"/>
            <w:vAlign w:val="center"/>
            <w:hideMark/>
          </w:tcPr>
          <w:p w14:paraId="1600593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10" w:type="pct"/>
            <w:tcBorders>
              <w:top w:val="nil"/>
              <w:left w:val="nil"/>
              <w:bottom w:val="single" w:sz="4" w:space="0" w:color="auto"/>
              <w:right w:val="single" w:sz="4" w:space="0" w:color="auto"/>
            </w:tcBorders>
            <w:shd w:val="clear" w:color="auto" w:fill="auto"/>
            <w:vAlign w:val="center"/>
            <w:hideMark/>
          </w:tcPr>
          <w:p w14:paraId="266ABB17"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92,800,000</w:t>
            </w:r>
          </w:p>
        </w:tc>
        <w:tc>
          <w:tcPr>
            <w:tcW w:w="330" w:type="pct"/>
            <w:tcBorders>
              <w:top w:val="nil"/>
              <w:left w:val="nil"/>
              <w:bottom w:val="single" w:sz="4" w:space="0" w:color="auto"/>
              <w:right w:val="single" w:sz="4" w:space="0" w:color="auto"/>
            </w:tcBorders>
            <w:shd w:val="clear" w:color="auto" w:fill="auto"/>
            <w:vAlign w:val="center"/>
            <w:hideMark/>
          </w:tcPr>
          <w:p w14:paraId="679838B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92,800,000</w:t>
            </w:r>
          </w:p>
        </w:tc>
        <w:tc>
          <w:tcPr>
            <w:tcW w:w="310" w:type="pct"/>
            <w:tcBorders>
              <w:top w:val="nil"/>
              <w:left w:val="nil"/>
              <w:bottom w:val="single" w:sz="4" w:space="0" w:color="auto"/>
              <w:right w:val="single" w:sz="4" w:space="0" w:color="auto"/>
            </w:tcBorders>
            <w:shd w:val="clear" w:color="auto" w:fill="auto"/>
            <w:vAlign w:val="center"/>
            <w:hideMark/>
          </w:tcPr>
          <w:p w14:paraId="55C4E31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7D494ABD"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7FC51CE2"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47F1FD6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2993BA54"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742,400</w:t>
            </w:r>
          </w:p>
        </w:tc>
      </w:tr>
      <w:tr w:rsidR="00D86FA8" w:rsidRPr="001F0C5A" w14:paraId="52BE4AA5"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333EE624" w14:textId="1944CCF5"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OBJEKTIVI SPECIFIK 5: Forcimi i kapaciteteve profesionale të roj</w:t>
            </w:r>
            <w:r w:rsidR="00A91982">
              <w:rPr>
                <w:rFonts w:ascii="Garamond" w:eastAsia="Times New Roman" w:hAnsi="Garamond" w:cs="Calibri"/>
                <w:b/>
                <w:bCs/>
                <w:color w:val="000000"/>
                <w:sz w:val="8"/>
                <w:szCs w:val="8"/>
                <w:lang w:val="sq-AL"/>
              </w:rPr>
              <w:t>a</w:t>
            </w:r>
            <w:r w:rsidRPr="001F0C5A">
              <w:rPr>
                <w:rFonts w:ascii="Garamond" w:eastAsia="Times New Roman" w:hAnsi="Garamond" w:cs="Calibri"/>
                <w:b/>
                <w:bCs/>
                <w:color w:val="000000"/>
                <w:sz w:val="8"/>
                <w:szCs w:val="8"/>
                <w:lang w:val="sq-AL"/>
              </w:rPr>
              <w:t>ve kufitare që shërbejnë n</w:t>
            </w:r>
            <w:r w:rsidR="00D94DB0">
              <w:rPr>
                <w:rFonts w:ascii="Garamond" w:eastAsia="Times New Roman" w:hAnsi="Garamond" w:cs="Calibri"/>
                <w:b/>
                <w:bCs/>
                <w:color w:val="000000"/>
                <w:sz w:val="8"/>
                <w:szCs w:val="8"/>
                <w:lang w:val="sq-AL"/>
              </w:rPr>
              <w:t>ë</w:t>
            </w:r>
            <w:r w:rsidRPr="001F0C5A">
              <w:rPr>
                <w:rFonts w:ascii="Garamond" w:eastAsia="Times New Roman" w:hAnsi="Garamond" w:cs="Calibri"/>
                <w:b/>
                <w:bCs/>
                <w:color w:val="000000"/>
                <w:sz w:val="8"/>
                <w:szCs w:val="8"/>
                <w:lang w:val="sq-AL"/>
              </w:rPr>
              <w:t xml:space="preserve"> </w:t>
            </w:r>
            <w:r w:rsidR="00CB13C5" w:rsidRPr="001F0C5A">
              <w:rPr>
                <w:rFonts w:ascii="Garamond" w:eastAsia="Times New Roman" w:hAnsi="Garamond" w:cs="Calibri"/>
                <w:b/>
                <w:bCs/>
                <w:color w:val="000000"/>
                <w:sz w:val="8"/>
                <w:szCs w:val="8"/>
                <w:lang w:val="sq-AL"/>
              </w:rPr>
              <w:t xml:space="preserve">pikat e kalimit kufitare </w:t>
            </w:r>
            <w:r w:rsidRPr="001F0C5A">
              <w:rPr>
                <w:rFonts w:ascii="Garamond" w:eastAsia="Times New Roman" w:hAnsi="Garamond" w:cs="Calibri"/>
                <w:b/>
                <w:bCs/>
                <w:color w:val="000000"/>
                <w:sz w:val="8"/>
                <w:szCs w:val="8"/>
                <w:lang w:val="sq-AL"/>
              </w:rPr>
              <w:t>për identifikimin e dokumenteve të udhëtimit</w:t>
            </w:r>
            <w:r w:rsidRPr="001F0C5A">
              <w:rPr>
                <w:rFonts w:ascii="Garamond" w:eastAsia="Times New Roman" w:hAnsi="Garamond" w:cs="Calibri"/>
                <w:b/>
                <w:bCs/>
                <w:color w:val="000000"/>
                <w:sz w:val="8"/>
                <w:szCs w:val="8"/>
                <w:lang w:val="sq-AL"/>
              </w:rPr>
              <w:br/>
            </w:r>
            <w:r w:rsidRPr="001F0C5A">
              <w:rPr>
                <w:rFonts w:ascii="Garamond" w:eastAsia="Times New Roman" w:hAnsi="Garamond" w:cs="Calibri"/>
                <w:b/>
                <w:bCs/>
                <w:color w:val="000000"/>
                <w:sz w:val="8"/>
                <w:szCs w:val="8"/>
                <w:lang w:val="sq-AL"/>
              </w:rPr>
              <w:b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0F0FB71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nil"/>
              <w:left w:val="nil"/>
              <w:bottom w:val="single" w:sz="4" w:space="0" w:color="auto"/>
              <w:right w:val="single" w:sz="4" w:space="0" w:color="auto"/>
            </w:tcBorders>
            <w:shd w:val="clear" w:color="auto" w:fill="auto"/>
            <w:vAlign w:val="center"/>
            <w:hideMark/>
          </w:tcPr>
          <w:p w14:paraId="68F0AAAD"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73D09233"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2385A93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59B8574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800,000</w:t>
            </w:r>
          </w:p>
        </w:tc>
        <w:tc>
          <w:tcPr>
            <w:tcW w:w="330" w:type="pct"/>
            <w:tcBorders>
              <w:top w:val="nil"/>
              <w:left w:val="nil"/>
              <w:bottom w:val="single" w:sz="4" w:space="0" w:color="auto"/>
              <w:right w:val="single" w:sz="4" w:space="0" w:color="auto"/>
            </w:tcBorders>
            <w:shd w:val="clear" w:color="auto" w:fill="auto"/>
            <w:vAlign w:val="center"/>
            <w:hideMark/>
          </w:tcPr>
          <w:p w14:paraId="0FF810A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3AA3F82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800,000</w:t>
            </w:r>
          </w:p>
        </w:tc>
        <w:tc>
          <w:tcPr>
            <w:tcW w:w="420" w:type="pct"/>
            <w:tcBorders>
              <w:top w:val="nil"/>
              <w:left w:val="nil"/>
              <w:bottom w:val="single" w:sz="4" w:space="0" w:color="auto"/>
              <w:right w:val="single" w:sz="4" w:space="0" w:color="auto"/>
            </w:tcBorders>
            <w:shd w:val="clear" w:color="auto" w:fill="auto"/>
            <w:vAlign w:val="center"/>
            <w:hideMark/>
          </w:tcPr>
          <w:p w14:paraId="3F73414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800,000</w:t>
            </w:r>
          </w:p>
        </w:tc>
        <w:tc>
          <w:tcPr>
            <w:tcW w:w="310" w:type="pct"/>
            <w:tcBorders>
              <w:top w:val="nil"/>
              <w:left w:val="nil"/>
              <w:bottom w:val="single" w:sz="4" w:space="0" w:color="auto"/>
              <w:right w:val="single" w:sz="4" w:space="0" w:color="auto"/>
            </w:tcBorders>
            <w:shd w:val="clear" w:color="auto" w:fill="auto"/>
            <w:vAlign w:val="center"/>
            <w:hideMark/>
          </w:tcPr>
          <w:p w14:paraId="439B8C6B"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4166BFFC"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800,000</w:t>
            </w:r>
          </w:p>
        </w:tc>
        <w:tc>
          <w:tcPr>
            <w:tcW w:w="310" w:type="pct"/>
            <w:tcBorders>
              <w:top w:val="nil"/>
              <w:left w:val="nil"/>
              <w:bottom w:val="single" w:sz="4" w:space="0" w:color="auto"/>
              <w:right w:val="single" w:sz="4" w:space="0" w:color="auto"/>
            </w:tcBorders>
            <w:shd w:val="clear" w:color="auto" w:fill="auto"/>
            <w:vAlign w:val="center"/>
            <w:hideMark/>
          </w:tcPr>
          <w:p w14:paraId="1DDFFB98"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34C3AFE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5240789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0E5F888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02069CE9"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6,400</w:t>
            </w:r>
          </w:p>
        </w:tc>
      </w:tr>
      <w:tr w:rsidR="00D86FA8" w:rsidRPr="001F0C5A" w14:paraId="0D80AFD0" w14:textId="77777777" w:rsidTr="00D86FA8">
        <w:trPr>
          <w:trHeight w:val="20"/>
        </w:trPr>
        <w:tc>
          <w:tcPr>
            <w:tcW w:w="381" w:type="pct"/>
            <w:tcBorders>
              <w:top w:val="nil"/>
              <w:left w:val="single" w:sz="8" w:space="0" w:color="auto"/>
              <w:bottom w:val="single" w:sz="8" w:space="0" w:color="auto"/>
              <w:right w:val="single" w:sz="4" w:space="0" w:color="auto"/>
            </w:tcBorders>
            <w:shd w:val="clear" w:color="auto" w:fill="auto"/>
            <w:vAlign w:val="center"/>
            <w:hideMark/>
          </w:tcPr>
          <w:p w14:paraId="69427807" w14:textId="043CD3C8"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b/>
                <w:bCs/>
                <w:color w:val="FF0000"/>
                <w:sz w:val="8"/>
                <w:szCs w:val="8"/>
                <w:lang w:val="sq-AL"/>
              </w:rPr>
              <w:t>Kosto</w:t>
            </w:r>
            <w:r w:rsidR="00A91982">
              <w:rPr>
                <w:rFonts w:ascii="Garamond" w:eastAsia="Times New Roman" w:hAnsi="Garamond" w:cs="Calibri"/>
                <w:b/>
                <w:bCs/>
                <w:color w:val="FF0000"/>
                <w:sz w:val="8"/>
                <w:szCs w:val="8"/>
                <w:lang w:val="sq-AL"/>
              </w:rPr>
              <w:t>ja</w:t>
            </w:r>
            <w:r w:rsidRPr="001F0C5A">
              <w:rPr>
                <w:rFonts w:ascii="Garamond" w:eastAsia="Times New Roman" w:hAnsi="Garamond" w:cs="Calibri"/>
                <w:b/>
                <w:bCs/>
                <w:color w:val="FF0000"/>
                <w:sz w:val="8"/>
                <w:szCs w:val="8"/>
                <w:lang w:val="sq-AL"/>
              </w:rPr>
              <w:t xml:space="preserve"> totale </w:t>
            </w:r>
            <w:r w:rsidR="00CB13C5">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Times New Roman"/>
                <w:b/>
                <w:bCs/>
                <w:color w:val="FF0000"/>
                <w:sz w:val="6"/>
                <w:szCs w:val="6"/>
                <w:lang w:val="sq-AL"/>
              </w:rPr>
              <w:t xml:space="preserve"> </w:t>
            </w:r>
            <w:r w:rsidR="00CB13C5">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Calibri"/>
                <w:b/>
                <w:bCs/>
                <w:color w:val="FF0000"/>
                <w:sz w:val="8"/>
                <w:szCs w:val="8"/>
                <w:lang w:val="sq-AL"/>
              </w:rPr>
              <w:t xml:space="preserve">Qëllimi </w:t>
            </w:r>
            <w:r w:rsidRPr="001F0C5A">
              <w:rPr>
                <w:rFonts w:ascii="Garamond" w:eastAsia="Times New Roman" w:hAnsi="Garamond" w:cs="Calibri"/>
                <w:b/>
                <w:bCs/>
                <w:color w:val="FF0000"/>
                <w:sz w:val="8"/>
                <w:szCs w:val="8"/>
                <w:lang w:val="sq-AL"/>
              </w:rPr>
              <w:t xml:space="preserve">i </w:t>
            </w:r>
            <w:r w:rsidR="00CB13C5" w:rsidRPr="001F0C5A">
              <w:rPr>
                <w:rFonts w:ascii="Garamond" w:eastAsia="Times New Roman" w:hAnsi="Garamond" w:cs="Calibri"/>
                <w:b/>
                <w:bCs/>
                <w:color w:val="FF0000"/>
                <w:sz w:val="8"/>
                <w:szCs w:val="8"/>
                <w:lang w:val="sq-AL"/>
              </w:rPr>
              <w:t xml:space="preserve">politikës </w:t>
            </w:r>
            <w:r w:rsidRPr="001F0C5A">
              <w:rPr>
                <w:rFonts w:ascii="Garamond" w:eastAsia="Times New Roman" w:hAnsi="Garamond" w:cs="Calibri"/>
                <w:b/>
                <w:bCs/>
                <w:color w:val="FF0000"/>
                <w:sz w:val="8"/>
                <w:szCs w:val="8"/>
                <w:lang w:val="sq-AL"/>
              </w:rPr>
              <w:t xml:space="preserve">II </w:t>
            </w:r>
            <w:r w:rsidRPr="001F0C5A">
              <w:rPr>
                <w:rFonts w:ascii="Garamond" w:eastAsia="Times New Roman" w:hAnsi="Garamond" w:cs="Calibri"/>
                <w:color w:val="000000"/>
                <w:sz w:val="8"/>
                <w:szCs w:val="8"/>
                <w:lang w:val="sq-AL"/>
              </w:rPr>
              <w:br/>
              <w:t>(objektiva specifik</w:t>
            </w:r>
            <w:r w:rsidR="00CB13C5">
              <w:rPr>
                <w:rFonts w:ascii="Garamond" w:eastAsia="Times New Roman" w:hAnsi="Garamond" w:cs="Calibri"/>
                <w:color w:val="000000"/>
                <w:sz w:val="8"/>
                <w:szCs w:val="8"/>
                <w:lang w:val="sq-AL"/>
              </w:rPr>
              <w:t>ë</w:t>
            </w:r>
            <w:r w:rsidRPr="001F0C5A">
              <w:rPr>
                <w:rFonts w:ascii="Garamond" w:eastAsia="Times New Roman" w:hAnsi="Garamond" w:cs="Calibri"/>
                <w:color w:val="000000"/>
                <w:sz w:val="8"/>
                <w:szCs w:val="8"/>
                <w:lang w:val="sq-AL"/>
              </w:rPr>
              <w:t xml:space="preserve"> 1+2+3+4+5 )</w:t>
            </w:r>
          </w:p>
        </w:tc>
        <w:tc>
          <w:tcPr>
            <w:tcW w:w="341" w:type="pct"/>
            <w:tcBorders>
              <w:top w:val="nil"/>
              <w:left w:val="nil"/>
              <w:bottom w:val="single" w:sz="8" w:space="0" w:color="auto"/>
              <w:right w:val="single" w:sz="4" w:space="0" w:color="auto"/>
            </w:tcBorders>
            <w:shd w:val="clear" w:color="auto" w:fill="auto"/>
            <w:noWrap/>
            <w:vAlign w:val="bottom"/>
            <w:hideMark/>
          </w:tcPr>
          <w:p w14:paraId="36039E74"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40" w:type="pct"/>
            <w:tcBorders>
              <w:top w:val="nil"/>
              <w:left w:val="nil"/>
              <w:bottom w:val="single" w:sz="8" w:space="0" w:color="auto"/>
              <w:right w:val="single" w:sz="4" w:space="0" w:color="auto"/>
            </w:tcBorders>
            <w:shd w:val="clear" w:color="auto" w:fill="auto"/>
            <w:noWrap/>
            <w:vAlign w:val="bottom"/>
            <w:hideMark/>
          </w:tcPr>
          <w:p w14:paraId="43E28FEC"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13" w:type="pct"/>
            <w:tcBorders>
              <w:top w:val="nil"/>
              <w:left w:val="nil"/>
              <w:bottom w:val="single" w:sz="8" w:space="0" w:color="auto"/>
              <w:right w:val="single" w:sz="4" w:space="0" w:color="auto"/>
            </w:tcBorders>
            <w:shd w:val="clear" w:color="auto" w:fill="auto"/>
            <w:noWrap/>
            <w:vAlign w:val="bottom"/>
            <w:hideMark/>
          </w:tcPr>
          <w:p w14:paraId="65B82B05"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55" w:type="pct"/>
            <w:tcBorders>
              <w:top w:val="nil"/>
              <w:left w:val="nil"/>
              <w:bottom w:val="single" w:sz="8" w:space="0" w:color="auto"/>
              <w:right w:val="single" w:sz="4" w:space="0" w:color="auto"/>
            </w:tcBorders>
            <w:shd w:val="clear" w:color="auto" w:fill="auto"/>
            <w:noWrap/>
            <w:vAlign w:val="bottom"/>
            <w:hideMark/>
          </w:tcPr>
          <w:p w14:paraId="65575A4C"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30" w:type="pct"/>
            <w:tcBorders>
              <w:top w:val="nil"/>
              <w:left w:val="nil"/>
              <w:bottom w:val="single" w:sz="8" w:space="0" w:color="auto"/>
              <w:right w:val="single" w:sz="4" w:space="0" w:color="auto"/>
            </w:tcBorders>
            <w:shd w:val="clear" w:color="auto" w:fill="auto"/>
            <w:noWrap/>
            <w:vAlign w:val="center"/>
            <w:hideMark/>
          </w:tcPr>
          <w:p w14:paraId="632FFCA2"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799,450,000</w:t>
            </w:r>
          </w:p>
        </w:tc>
        <w:tc>
          <w:tcPr>
            <w:tcW w:w="330" w:type="pct"/>
            <w:tcBorders>
              <w:top w:val="nil"/>
              <w:left w:val="nil"/>
              <w:bottom w:val="single" w:sz="8" w:space="0" w:color="auto"/>
              <w:right w:val="single" w:sz="4" w:space="0" w:color="auto"/>
            </w:tcBorders>
            <w:shd w:val="clear" w:color="auto" w:fill="auto"/>
            <w:noWrap/>
            <w:vAlign w:val="center"/>
            <w:hideMark/>
          </w:tcPr>
          <w:p w14:paraId="42FBC9B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825,070,398</w:t>
            </w:r>
          </w:p>
        </w:tc>
        <w:tc>
          <w:tcPr>
            <w:tcW w:w="330" w:type="pct"/>
            <w:tcBorders>
              <w:top w:val="nil"/>
              <w:left w:val="nil"/>
              <w:bottom w:val="single" w:sz="8" w:space="0" w:color="auto"/>
              <w:right w:val="single" w:sz="4" w:space="0" w:color="auto"/>
            </w:tcBorders>
            <w:shd w:val="clear" w:color="auto" w:fill="auto"/>
            <w:noWrap/>
            <w:vAlign w:val="center"/>
            <w:hideMark/>
          </w:tcPr>
          <w:p w14:paraId="507541EC"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1,624,520,398</w:t>
            </w:r>
          </w:p>
        </w:tc>
        <w:tc>
          <w:tcPr>
            <w:tcW w:w="420" w:type="pct"/>
            <w:tcBorders>
              <w:top w:val="nil"/>
              <w:left w:val="nil"/>
              <w:bottom w:val="single" w:sz="8" w:space="0" w:color="auto"/>
              <w:right w:val="single" w:sz="4" w:space="0" w:color="auto"/>
            </w:tcBorders>
            <w:shd w:val="clear" w:color="auto" w:fill="auto"/>
            <w:noWrap/>
            <w:vAlign w:val="center"/>
            <w:hideMark/>
          </w:tcPr>
          <w:p w14:paraId="3D6EE489"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799,450,000</w:t>
            </w:r>
          </w:p>
        </w:tc>
        <w:tc>
          <w:tcPr>
            <w:tcW w:w="310" w:type="pct"/>
            <w:tcBorders>
              <w:top w:val="nil"/>
              <w:left w:val="nil"/>
              <w:bottom w:val="single" w:sz="8" w:space="0" w:color="auto"/>
              <w:right w:val="single" w:sz="4" w:space="0" w:color="auto"/>
            </w:tcBorders>
            <w:shd w:val="clear" w:color="auto" w:fill="auto"/>
            <w:noWrap/>
            <w:vAlign w:val="center"/>
            <w:hideMark/>
          </w:tcPr>
          <w:p w14:paraId="62422187"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601,990,398</w:t>
            </w:r>
          </w:p>
        </w:tc>
        <w:tc>
          <w:tcPr>
            <w:tcW w:w="330" w:type="pct"/>
            <w:tcBorders>
              <w:top w:val="nil"/>
              <w:left w:val="nil"/>
              <w:bottom w:val="single" w:sz="8" w:space="0" w:color="auto"/>
              <w:right w:val="single" w:sz="4" w:space="0" w:color="auto"/>
            </w:tcBorders>
            <w:shd w:val="clear" w:color="auto" w:fill="auto"/>
            <w:noWrap/>
            <w:vAlign w:val="center"/>
            <w:hideMark/>
          </w:tcPr>
          <w:p w14:paraId="1E0D1601"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1,401,440,398</w:t>
            </w:r>
          </w:p>
        </w:tc>
        <w:tc>
          <w:tcPr>
            <w:tcW w:w="310" w:type="pct"/>
            <w:tcBorders>
              <w:top w:val="nil"/>
              <w:left w:val="nil"/>
              <w:bottom w:val="single" w:sz="8" w:space="0" w:color="auto"/>
              <w:right w:val="single" w:sz="4" w:space="0" w:color="auto"/>
            </w:tcBorders>
            <w:shd w:val="clear" w:color="auto" w:fill="auto"/>
            <w:noWrap/>
            <w:vAlign w:val="center"/>
            <w:hideMark/>
          </w:tcPr>
          <w:p w14:paraId="7711F5A8"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89" w:type="pct"/>
            <w:tcBorders>
              <w:top w:val="nil"/>
              <w:left w:val="nil"/>
              <w:bottom w:val="single" w:sz="8" w:space="0" w:color="auto"/>
              <w:right w:val="single" w:sz="4" w:space="0" w:color="auto"/>
            </w:tcBorders>
            <w:shd w:val="clear" w:color="auto" w:fill="auto"/>
            <w:noWrap/>
            <w:vAlign w:val="center"/>
            <w:hideMark/>
          </w:tcPr>
          <w:p w14:paraId="070A314F"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223,080,000</w:t>
            </w:r>
          </w:p>
        </w:tc>
        <w:tc>
          <w:tcPr>
            <w:tcW w:w="289" w:type="pct"/>
            <w:tcBorders>
              <w:top w:val="nil"/>
              <w:left w:val="nil"/>
              <w:bottom w:val="single" w:sz="8" w:space="0" w:color="auto"/>
              <w:right w:val="single" w:sz="4" w:space="0" w:color="auto"/>
            </w:tcBorders>
            <w:shd w:val="clear" w:color="auto" w:fill="auto"/>
            <w:noWrap/>
            <w:vAlign w:val="center"/>
            <w:hideMark/>
          </w:tcPr>
          <w:p w14:paraId="2D12602B"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223,080,000</w:t>
            </w:r>
          </w:p>
        </w:tc>
        <w:tc>
          <w:tcPr>
            <w:tcW w:w="258" w:type="pct"/>
            <w:tcBorders>
              <w:top w:val="nil"/>
              <w:left w:val="nil"/>
              <w:bottom w:val="single" w:sz="8" w:space="0" w:color="auto"/>
              <w:right w:val="single" w:sz="4" w:space="0" w:color="auto"/>
            </w:tcBorders>
            <w:shd w:val="clear" w:color="auto" w:fill="auto"/>
            <w:noWrap/>
            <w:vAlign w:val="center"/>
            <w:hideMark/>
          </w:tcPr>
          <w:p w14:paraId="35001B8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72" w:type="pct"/>
            <w:tcBorders>
              <w:top w:val="nil"/>
              <w:left w:val="nil"/>
              <w:bottom w:val="single" w:sz="8" w:space="0" w:color="auto"/>
              <w:right w:val="single" w:sz="8" w:space="0" w:color="auto"/>
            </w:tcBorders>
            <w:shd w:val="clear" w:color="000000" w:fill="92D050"/>
            <w:noWrap/>
            <w:vAlign w:val="center"/>
            <w:hideMark/>
          </w:tcPr>
          <w:p w14:paraId="602BDB15"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12,996,163</w:t>
            </w:r>
          </w:p>
        </w:tc>
      </w:tr>
      <w:tr w:rsidR="00D86FA8" w:rsidRPr="001F0C5A" w14:paraId="2CE11270" w14:textId="77777777" w:rsidTr="00D86FA8">
        <w:trPr>
          <w:trHeight w:val="20"/>
        </w:trPr>
        <w:tc>
          <w:tcPr>
            <w:tcW w:w="5000" w:type="pct"/>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14:paraId="1CE589B8" w14:textId="3BD9957C" w:rsidR="00D86FA8" w:rsidRPr="001F0C5A" w:rsidRDefault="00D86FA8" w:rsidP="00D86FA8">
            <w:pPr>
              <w:spacing w:after="0" w:line="240" w:lineRule="auto"/>
              <w:rPr>
                <w:rFonts w:ascii="Garamond" w:eastAsia="Times New Roman" w:hAnsi="Garamond" w:cs="Calibri"/>
                <w:b/>
                <w:bCs/>
                <w:color w:val="0070C0"/>
                <w:sz w:val="8"/>
                <w:szCs w:val="8"/>
                <w:lang w:val="sq-AL"/>
              </w:rPr>
            </w:pPr>
            <w:r w:rsidRPr="001F0C5A">
              <w:rPr>
                <w:rFonts w:ascii="Garamond" w:eastAsia="Times New Roman" w:hAnsi="Garamond" w:cs="Calibri"/>
                <w:b/>
                <w:bCs/>
                <w:color w:val="0070C0"/>
                <w:sz w:val="8"/>
                <w:szCs w:val="8"/>
                <w:lang w:val="sq-AL"/>
              </w:rPr>
              <w:t xml:space="preserve">Qëllimi i </w:t>
            </w:r>
            <w:r w:rsidR="00CB13C5" w:rsidRPr="001F0C5A">
              <w:rPr>
                <w:rFonts w:ascii="Garamond" w:eastAsia="Times New Roman" w:hAnsi="Garamond" w:cs="Calibri"/>
                <w:b/>
                <w:bCs/>
                <w:color w:val="0070C0"/>
                <w:sz w:val="8"/>
                <w:szCs w:val="8"/>
                <w:lang w:val="sq-AL"/>
              </w:rPr>
              <w:t xml:space="preserve">politikës </w:t>
            </w:r>
            <w:r w:rsidRPr="001F0C5A">
              <w:rPr>
                <w:rFonts w:ascii="Garamond" w:eastAsia="Times New Roman" w:hAnsi="Garamond" w:cs="Calibri"/>
                <w:b/>
                <w:bCs/>
                <w:color w:val="0070C0"/>
                <w:sz w:val="8"/>
                <w:szCs w:val="8"/>
                <w:lang w:val="sq-AL"/>
              </w:rPr>
              <w:t>III: RESPEKTIMI I PLOTË I TË DREJTAVE THEMELORE, PËRFSHIRË TRAJTIMIN E ÇDO INDIVIDI ME RESPEKT TË PLOTË PËR DINJITETIN DHE MUNDËSIMIN E QASJES NË MBROJTJEN NDËRKOMBËTARE TË ATYRE QË KANË NEVOJË</w:t>
            </w:r>
          </w:p>
        </w:tc>
      </w:tr>
      <w:tr w:rsidR="00D86FA8" w:rsidRPr="001F0C5A" w14:paraId="77B3FA31" w14:textId="77777777" w:rsidTr="00D86FA8">
        <w:trPr>
          <w:trHeight w:val="20"/>
        </w:trPr>
        <w:tc>
          <w:tcPr>
            <w:tcW w:w="381" w:type="pct"/>
            <w:vMerge w:val="restart"/>
            <w:tcBorders>
              <w:top w:val="nil"/>
              <w:left w:val="single" w:sz="8" w:space="0" w:color="auto"/>
              <w:bottom w:val="single" w:sz="8" w:space="0" w:color="000000"/>
              <w:right w:val="single" w:sz="8" w:space="0" w:color="auto"/>
            </w:tcBorders>
            <w:shd w:val="clear" w:color="auto" w:fill="auto"/>
            <w:vAlign w:val="center"/>
            <w:hideMark/>
          </w:tcPr>
          <w:p w14:paraId="518D2E2D" w14:textId="1EE26C2B"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Objektivat </w:t>
            </w:r>
            <w:r w:rsidR="00CB13C5" w:rsidRPr="001F0C5A">
              <w:rPr>
                <w:rFonts w:ascii="Garamond" w:eastAsia="Times New Roman" w:hAnsi="Garamond" w:cs="Times New Roman"/>
                <w:b/>
                <w:bCs/>
                <w:color w:val="000000"/>
                <w:sz w:val="8"/>
                <w:szCs w:val="8"/>
                <w:lang w:val="sq-AL"/>
              </w:rPr>
              <w:t>specifik</w:t>
            </w:r>
            <w:r w:rsidR="00CB13C5">
              <w:rPr>
                <w:rFonts w:ascii="Garamond" w:eastAsia="Times New Roman" w:hAnsi="Garamond" w:cs="Times New Roman"/>
                <w:b/>
                <w:bCs/>
                <w:color w:val="000000"/>
                <w:sz w:val="8"/>
                <w:szCs w:val="8"/>
                <w:lang w:val="sq-AL"/>
              </w:rPr>
              <w:t>ë</w:t>
            </w:r>
            <w:r w:rsidR="00CB13C5" w:rsidRPr="001F0C5A">
              <w:rPr>
                <w:rFonts w:ascii="Garamond" w:eastAsia="Times New Roman" w:hAnsi="Garamond" w:cs="Times New Roman"/>
                <w:b/>
                <w:bCs/>
                <w:color w:val="000000"/>
                <w:sz w:val="8"/>
                <w:szCs w:val="8"/>
                <w:lang w:val="sq-AL"/>
              </w:rPr>
              <w:t xml:space="preserve"> </w:t>
            </w:r>
          </w:p>
        </w:tc>
        <w:tc>
          <w:tcPr>
            <w:tcW w:w="681" w:type="pct"/>
            <w:gridSpan w:val="2"/>
            <w:tcBorders>
              <w:top w:val="single" w:sz="8" w:space="0" w:color="auto"/>
              <w:left w:val="nil"/>
              <w:bottom w:val="single" w:sz="8" w:space="0" w:color="auto"/>
              <w:right w:val="single" w:sz="8" w:space="0" w:color="000000"/>
            </w:tcBorders>
            <w:shd w:val="clear" w:color="auto" w:fill="auto"/>
            <w:vAlign w:val="center"/>
            <w:hideMark/>
          </w:tcPr>
          <w:p w14:paraId="303145DF" w14:textId="3DF7221A"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Institucionet përgjegjëse</w:t>
            </w:r>
          </w:p>
        </w:tc>
        <w:tc>
          <w:tcPr>
            <w:tcW w:w="468" w:type="pct"/>
            <w:gridSpan w:val="2"/>
            <w:tcBorders>
              <w:top w:val="single" w:sz="8" w:space="0" w:color="auto"/>
              <w:left w:val="nil"/>
              <w:bottom w:val="single" w:sz="8" w:space="0" w:color="auto"/>
              <w:right w:val="single" w:sz="8" w:space="0" w:color="000000"/>
            </w:tcBorders>
            <w:shd w:val="clear" w:color="auto" w:fill="auto"/>
            <w:vAlign w:val="center"/>
            <w:hideMark/>
          </w:tcPr>
          <w:p w14:paraId="6D524776" w14:textId="6AC7949B"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Afati i </w:t>
            </w:r>
            <w:r w:rsidR="00A91982" w:rsidRPr="001F0C5A">
              <w:rPr>
                <w:rFonts w:ascii="Garamond" w:eastAsia="Times New Roman" w:hAnsi="Garamond" w:cs="Times New Roman"/>
                <w:b/>
                <w:bCs/>
                <w:color w:val="000000"/>
                <w:sz w:val="8"/>
                <w:szCs w:val="8"/>
                <w:lang w:val="sq-AL"/>
              </w:rPr>
              <w:t xml:space="preserve">zbatimit </w:t>
            </w:r>
          </w:p>
        </w:tc>
        <w:tc>
          <w:tcPr>
            <w:tcW w:w="991"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88C76B4" w14:textId="0A6BBC3C"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CB13C5">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indikative totale</w:t>
            </w:r>
          </w:p>
        </w:tc>
        <w:tc>
          <w:tcPr>
            <w:tcW w:w="1949" w:type="pct"/>
            <w:gridSpan w:val="6"/>
            <w:tcBorders>
              <w:top w:val="single" w:sz="8" w:space="0" w:color="auto"/>
              <w:left w:val="nil"/>
              <w:bottom w:val="single" w:sz="8" w:space="0" w:color="auto"/>
              <w:right w:val="single" w:sz="8" w:space="0" w:color="000000"/>
            </w:tcBorders>
            <w:shd w:val="clear" w:color="auto" w:fill="auto"/>
            <w:vAlign w:val="center"/>
            <w:hideMark/>
          </w:tcPr>
          <w:p w14:paraId="0FB27C2F" w14:textId="69D823C0"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Burimi i mbulimit deri </w:t>
            </w:r>
            <w:r w:rsidR="00C3116E">
              <w:rPr>
                <w:rFonts w:ascii="Garamond" w:eastAsia="Times New Roman" w:hAnsi="Garamond" w:cs="Times New Roman"/>
                <w:b/>
                <w:bCs/>
                <w:color w:val="000000"/>
                <w:sz w:val="8"/>
                <w:szCs w:val="8"/>
                <w:lang w:val="sq-AL"/>
              </w:rPr>
              <w:t>më</w:t>
            </w:r>
            <w:r w:rsidRPr="001F0C5A">
              <w:rPr>
                <w:rFonts w:ascii="Garamond" w:eastAsia="Times New Roman" w:hAnsi="Garamond" w:cs="Times New Roman"/>
                <w:b/>
                <w:bCs/>
                <w:color w:val="000000"/>
                <w:sz w:val="8"/>
                <w:szCs w:val="8"/>
                <w:lang w:val="sq-AL"/>
              </w:rPr>
              <w:t xml:space="preserve"> 2025</w:t>
            </w:r>
            <w:r w:rsidR="00C3116E">
              <w:rPr>
                <w:rFonts w:ascii="Garamond" w:eastAsia="Times New Roman" w:hAnsi="Garamond" w:cs="Times New Roman"/>
                <w:b/>
                <w:bCs/>
                <w:color w:val="000000"/>
                <w:sz w:val="8"/>
                <w:szCs w:val="8"/>
                <w:lang w:val="sq-AL"/>
              </w:rPr>
              <w:t>-n</w:t>
            </w:r>
          </w:p>
        </w:tc>
        <w:tc>
          <w:tcPr>
            <w:tcW w:w="258" w:type="pct"/>
            <w:vMerge w:val="restart"/>
            <w:tcBorders>
              <w:top w:val="nil"/>
              <w:left w:val="single" w:sz="8" w:space="0" w:color="auto"/>
              <w:bottom w:val="single" w:sz="8" w:space="0" w:color="000000"/>
              <w:right w:val="single" w:sz="8" w:space="0" w:color="auto"/>
            </w:tcBorders>
            <w:shd w:val="clear" w:color="auto" w:fill="auto"/>
            <w:vAlign w:val="center"/>
            <w:hideMark/>
          </w:tcPr>
          <w:p w14:paraId="4D52D1AB" w14:textId="243C61E5"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Hendeku financiar</w:t>
            </w:r>
            <w:r w:rsidRPr="001F0C5A">
              <w:rPr>
                <w:rFonts w:ascii="Garamond" w:eastAsia="Times New Roman" w:hAnsi="Garamond" w:cs="Times New Roman"/>
                <w:b/>
                <w:bCs/>
                <w:color w:val="000000"/>
                <w:sz w:val="8"/>
                <w:szCs w:val="8"/>
                <w:lang w:val="sq-AL"/>
              </w:rPr>
              <w:br/>
              <w:t>2021</w:t>
            </w:r>
            <w:r w:rsidR="00C3116E">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2027</w:t>
            </w:r>
            <w:r w:rsidRPr="001F0C5A">
              <w:rPr>
                <w:rFonts w:ascii="Garamond" w:eastAsia="Times New Roman" w:hAnsi="Garamond" w:cs="Times New Roman"/>
                <w:b/>
                <w:bCs/>
                <w:color w:val="000000"/>
                <w:sz w:val="8"/>
                <w:szCs w:val="8"/>
                <w:lang w:val="sq-AL"/>
              </w:rPr>
              <w:br/>
              <w:t xml:space="preserve">(në </w:t>
            </w:r>
            <w:r w:rsidR="00C3116E" w:rsidRPr="001F0C5A">
              <w:rPr>
                <w:rFonts w:ascii="Garamond" w:eastAsia="Times New Roman" w:hAnsi="Garamond" w:cs="Times New Roman"/>
                <w:b/>
                <w:bCs/>
                <w:color w:val="000000"/>
                <w:sz w:val="8"/>
                <w:szCs w:val="8"/>
                <w:lang w:val="sq-AL"/>
              </w:rPr>
              <w:t>lek</w:t>
            </w:r>
            <w:r w:rsidRPr="001F0C5A">
              <w:rPr>
                <w:rFonts w:ascii="Garamond" w:eastAsia="Times New Roman" w:hAnsi="Garamond" w:cs="Times New Roman"/>
                <w:b/>
                <w:bCs/>
                <w:color w:val="000000"/>
                <w:sz w:val="8"/>
                <w:szCs w:val="8"/>
                <w:lang w:val="sq-AL"/>
              </w:rPr>
              <w:t>)</w:t>
            </w:r>
          </w:p>
        </w:tc>
        <w:tc>
          <w:tcPr>
            <w:tcW w:w="272" w:type="pct"/>
            <w:vMerge w:val="restart"/>
            <w:tcBorders>
              <w:top w:val="nil"/>
              <w:left w:val="single" w:sz="8" w:space="0" w:color="auto"/>
              <w:bottom w:val="single" w:sz="4" w:space="0" w:color="000000"/>
              <w:right w:val="single" w:sz="8" w:space="0" w:color="auto"/>
            </w:tcBorders>
            <w:shd w:val="clear" w:color="auto" w:fill="auto"/>
            <w:vAlign w:val="center"/>
            <w:hideMark/>
          </w:tcPr>
          <w:p w14:paraId="7D42689B" w14:textId="37E631BE"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C3116E">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totale n</w:t>
            </w:r>
            <w:r w:rsidR="00C3116E">
              <w:rPr>
                <w:rFonts w:ascii="Garamond" w:eastAsia="Times New Roman" w:hAnsi="Garamond" w:cs="Times New Roman"/>
                <w:b/>
                <w:bCs/>
                <w:color w:val="000000"/>
                <w:sz w:val="8"/>
                <w:szCs w:val="8"/>
                <w:lang w:val="sq-AL"/>
              </w:rPr>
              <w:t>ë</w:t>
            </w:r>
            <w:r w:rsidRPr="001F0C5A">
              <w:rPr>
                <w:rFonts w:ascii="Garamond" w:eastAsia="Times New Roman" w:hAnsi="Garamond" w:cs="Times New Roman"/>
                <w:b/>
                <w:bCs/>
                <w:color w:val="000000"/>
                <w:sz w:val="8"/>
                <w:szCs w:val="8"/>
                <w:lang w:val="sq-AL"/>
              </w:rPr>
              <w:t xml:space="preserve"> EUR</w:t>
            </w:r>
            <w:r w:rsidRPr="001F0C5A">
              <w:rPr>
                <w:rFonts w:ascii="Garamond" w:eastAsia="Times New Roman" w:hAnsi="Garamond" w:cs="Times New Roman"/>
                <w:b/>
                <w:bCs/>
                <w:color w:val="000000"/>
                <w:sz w:val="8"/>
                <w:szCs w:val="8"/>
                <w:lang w:val="sq-AL"/>
              </w:rPr>
              <w:br/>
              <w:t xml:space="preserve">(kursi </w:t>
            </w:r>
            <w:r w:rsidR="00C3116E" w:rsidRPr="001F0C5A">
              <w:rPr>
                <w:rFonts w:ascii="Garamond" w:eastAsia="Times New Roman" w:hAnsi="Garamond" w:cs="Times New Roman"/>
                <w:b/>
                <w:bCs/>
                <w:color w:val="000000"/>
                <w:sz w:val="8"/>
                <w:szCs w:val="8"/>
                <w:lang w:val="sq-AL"/>
              </w:rPr>
              <w:t>këmbimit</w:t>
            </w:r>
            <w:r w:rsidRPr="001F0C5A">
              <w:rPr>
                <w:rFonts w:ascii="Garamond" w:eastAsia="Times New Roman" w:hAnsi="Garamond" w:cs="Times New Roman"/>
                <w:b/>
                <w:bCs/>
                <w:color w:val="000000"/>
                <w:sz w:val="8"/>
                <w:szCs w:val="8"/>
                <w:lang w:val="sq-AL"/>
              </w:rPr>
              <w:t>: 1 EUR = 109 ALL)</w:t>
            </w:r>
          </w:p>
        </w:tc>
      </w:tr>
      <w:tr w:rsidR="00D86FA8" w:rsidRPr="001F0C5A" w14:paraId="4353AB1D"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4E921B9E"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val="restart"/>
            <w:tcBorders>
              <w:top w:val="nil"/>
              <w:left w:val="single" w:sz="8" w:space="0" w:color="auto"/>
              <w:bottom w:val="single" w:sz="8" w:space="0" w:color="000000"/>
              <w:right w:val="single" w:sz="8" w:space="0" w:color="auto"/>
            </w:tcBorders>
            <w:shd w:val="clear" w:color="auto" w:fill="auto"/>
            <w:vAlign w:val="center"/>
            <w:hideMark/>
          </w:tcPr>
          <w:p w14:paraId="563A52F1"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përgjegjës</w:t>
            </w:r>
          </w:p>
        </w:tc>
        <w:tc>
          <w:tcPr>
            <w:tcW w:w="340" w:type="pct"/>
            <w:vMerge w:val="restart"/>
            <w:tcBorders>
              <w:top w:val="nil"/>
              <w:left w:val="single" w:sz="8" w:space="0" w:color="auto"/>
              <w:bottom w:val="single" w:sz="8" w:space="0" w:color="000000"/>
              <w:right w:val="single" w:sz="8" w:space="0" w:color="auto"/>
            </w:tcBorders>
            <w:shd w:val="clear" w:color="auto" w:fill="auto"/>
            <w:vAlign w:val="center"/>
            <w:hideMark/>
          </w:tcPr>
          <w:p w14:paraId="168CB986"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kontribues</w:t>
            </w:r>
          </w:p>
        </w:tc>
        <w:tc>
          <w:tcPr>
            <w:tcW w:w="213" w:type="pct"/>
            <w:vMerge w:val="restart"/>
            <w:tcBorders>
              <w:top w:val="nil"/>
              <w:left w:val="single" w:sz="8" w:space="0" w:color="auto"/>
              <w:bottom w:val="single" w:sz="8" w:space="0" w:color="000000"/>
              <w:right w:val="single" w:sz="8" w:space="0" w:color="auto"/>
            </w:tcBorders>
            <w:shd w:val="clear" w:color="auto" w:fill="auto"/>
            <w:vAlign w:val="center"/>
            <w:hideMark/>
          </w:tcPr>
          <w:p w14:paraId="2FB6189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 i fillimit</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77D9C9DE" w14:textId="4D5BCBF4"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w:t>
            </w:r>
            <w:r w:rsidR="001F0C5A" w:rsidRPr="001F0C5A">
              <w:rPr>
                <w:rFonts w:ascii="Garamond" w:eastAsia="Times New Roman" w:hAnsi="Garamond" w:cs="Times New Roman"/>
                <w:b/>
                <w:bCs/>
                <w:color w:val="000000"/>
                <w:sz w:val="8"/>
                <w:szCs w:val="8"/>
                <w:lang w:val="sq-AL"/>
              </w:rPr>
              <w:t xml:space="preserve"> </w:t>
            </w:r>
            <w:r w:rsidRPr="001F0C5A">
              <w:rPr>
                <w:rFonts w:ascii="Garamond" w:eastAsia="Times New Roman" w:hAnsi="Garamond" w:cs="Times New Roman"/>
                <w:b/>
                <w:bCs/>
                <w:color w:val="000000"/>
                <w:sz w:val="8"/>
                <w:szCs w:val="8"/>
                <w:lang w:val="sq-AL"/>
              </w:rPr>
              <w:t>i mbarimit</w:t>
            </w:r>
          </w:p>
        </w:tc>
        <w:tc>
          <w:tcPr>
            <w:tcW w:w="991" w:type="pct"/>
            <w:gridSpan w:val="3"/>
            <w:vMerge/>
            <w:tcBorders>
              <w:top w:val="nil"/>
              <w:left w:val="single" w:sz="8" w:space="0" w:color="auto"/>
              <w:bottom w:val="single" w:sz="8" w:space="0" w:color="000000"/>
              <w:right w:val="single" w:sz="8" w:space="0" w:color="auto"/>
            </w:tcBorders>
            <w:vAlign w:val="center"/>
            <w:hideMark/>
          </w:tcPr>
          <w:p w14:paraId="79223D42"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1061" w:type="pct"/>
            <w:gridSpan w:val="3"/>
            <w:tcBorders>
              <w:top w:val="single" w:sz="8" w:space="0" w:color="auto"/>
              <w:left w:val="nil"/>
              <w:bottom w:val="single" w:sz="8" w:space="0" w:color="auto"/>
              <w:right w:val="single" w:sz="8" w:space="0" w:color="000000"/>
            </w:tcBorders>
            <w:shd w:val="clear" w:color="auto" w:fill="auto"/>
            <w:vAlign w:val="center"/>
            <w:hideMark/>
          </w:tcPr>
          <w:p w14:paraId="319517AC" w14:textId="3AEB3A4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PBA 2024</w:t>
            </w:r>
            <w:r w:rsidR="00C3116E">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2026</w:t>
            </w:r>
          </w:p>
        </w:tc>
        <w:tc>
          <w:tcPr>
            <w:tcW w:w="888" w:type="pct"/>
            <w:gridSpan w:val="3"/>
            <w:tcBorders>
              <w:top w:val="single" w:sz="8" w:space="0" w:color="auto"/>
              <w:left w:val="nil"/>
              <w:bottom w:val="single" w:sz="8" w:space="0" w:color="auto"/>
              <w:right w:val="single" w:sz="8" w:space="0" w:color="000000"/>
            </w:tcBorders>
            <w:shd w:val="clear" w:color="auto" w:fill="auto"/>
            <w:vAlign w:val="center"/>
            <w:hideMark/>
          </w:tcPr>
          <w:p w14:paraId="3FB9DD5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Financim i huaj</w:t>
            </w:r>
          </w:p>
        </w:tc>
        <w:tc>
          <w:tcPr>
            <w:tcW w:w="258" w:type="pct"/>
            <w:vMerge/>
            <w:tcBorders>
              <w:top w:val="nil"/>
              <w:left w:val="single" w:sz="8" w:space="0" w:color="auto"/>
              <w:bottom w:val="single" w:sz="8" w:space="0" w:color="000000"/>
              <w:right w:val="single" w:sz="8" w:space="0" w:color="auto"/>
            </w:tcBorders>
            <w:vAlign w:val="center"/>
            <w:hideMark/>
          </w:tcPr>
          <w:p w14:paraId="586DA48E"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72" w:type="pct"/>
            <w:vMerge/>
            <w:tcBorders>
              <w:top w:val="nil"/>
              <w:left w:val="single" w:sz="8" w:space="0" w:color="auto"/>
              <w:bottom w:val="single" w:sz="4" w:space="0" w:color="000000"/>
              <w:right w:val="single" w:sz="8" w:space="0" w:color="auto"/>
            </w:tcBorders>
            <w:vAlign w:val="center"/>
            <w:hideMark/>
          </w:tcPr>
          <w:p w14:paraId="014EB3C8"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623AB017"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7BD85ED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tcBorders>
              <w:top w:val="nil"/>
              <w:left w:val="single" w:sz="8" w:space="0" w:color="auto"/>
              <w:bottom w:val="single" w:sz="8" w:space="0" w:color="000000"/>
              <w:right w:val="single" w:sz="8" w:space="0" w:color="auto"/>
            </w:tcBorders>
            <w:vAlign w:val="center"/>
            <w:hideMark/>
          </w:tcPr>
          <w:p w14:paraId="36BC15B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0" w:type="pct"/>
            <w:vMerge/>
            <w:tcBorders>
              <w:top w:val="nil"/>
              <w:left w:val="single" w:sz="8" w:space="0" w:color="auto"/>
              <w:bottom w:val="single" w:sz="8" w:space="0" w:color="000000"/>
              <w:right w:val="single" w:sz="8" w:space="0" w:color="auto"/>
            </w:tcBorders>
            <w:vAlign w:val="center"/>
            <w:hideMark/>
          </w:tcPr>
          <w:p w14:paraId="689A91DB"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13" w:type="pct"/>
            <w:vMerge/>
            <w:tcBorders>
              <w:top w:val="nil"/>
              <w:left w:val="single" w:sz="8" w:space="0" w:color="auto"/>
              <w:bottom w:val="single" w:sz="8" w:space="0" w:color="000000"/>
              <w:right w:val="single" w:sz="8" w:space="0" w:color="auto"/>
            </w:tcBorders>
            <w:vAlign w:val="center"/>
            <w:hideMark/>
          </w:tcPr>
          <w:p w14:paraId="0CDA601E"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55" w:type="pct"/>
            <w:vMerge/>
            <w:tcBorders>
              <w:top w:val="nil"/>
              <w:left w:val="single" w:sz="8" w:space="0" w:color="auto"/>
              <w:bottom w:val="single" w:sz="8" w:space="0" w:color="000000"/>
              <w:right w:val="single" w:sz="8" w:space="0" w:color="auto"/>
            </w:tcBorders>
            <w:vAlign w:val="center"/>
            <w:hideMark/>
          </w:tcPr>
          <w:p w14:paraId="30A62568"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30" w:type="pct"/>
            <w:tcBorders>
              <w:top w:val="nil"/>
              <w:left w:val="nil"/>
              <w:bottom w:val="single" w:sz="8" w:space="0" w:color="auto"/>
              <w:right w:val="nil"/>
            </w:tcBorders>
            <w:shd w:val="clear" w:color="auto" w:fill="auto"/>
            <w:vAlign w:val="center"/>
            <w:hideMark/>
          </w:tcPr>
          <w:p w14:paraId="70F5DDB2" w14:textId="6F5C7E2B"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330" w:type="pct"/>
            <w:tcBorders>
              <w:top w:val="nil"/>
              <w:left w:val="single" w:sz="8" w:space="0" w:color="auto"/>
              <w:bottom w:val="single" w:sz="8" w:space="0" w:color="auto"/>
              <w:right w:val="single" w:sz="8" w:space="0" w:color="auto"/>
            </w:tcBorders>
            <w:shd w:val="clear" w:color="auto" w:fill="auto"/>
            <w:vAlign w:val="center"/>
            <w:hideMark/>
          </w:tcPr>
          <w:p w14:paraId="2346EA7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729E2B0D" w14:textId="0B009A3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Total </w:t>
            </w:r>
            <w:r w:rsidR="00C3116E" w:rsidRPr="001F0C5A">
              <w:rPr>
                <w:rFonts w:ascii="Garamond" w:eastAsia="Times New Roman" w:hAnsi="Garamond" w:cs="Times New Roman"/>
                <w:b/>
                <w:bCs/>
                <w:color w:val="000000"/>
                <w:sz w:val="8"/>
                <w:szCs w:val="8"/>
                <w:lang w:val="sq-AL"/>
              </w:rPr>
              <w:t>kosto</w:t>
            </w:r>
          </w:p>
        </w:tc>
        <w:tc>
          <w:tcPr>
            <w:tcW w:w="420" w:type="pct"/>
            <w:tcBorders>
              <w:top w:val="nil"/>
              <w:left w:val="nil"/>
              <w:bottom w:val="single" w:sz="8" w:space="0" w:color="auto"/>
              <w:right w:val="nil"/>
            </w:tcBorders>
            <w:shd w:val="clear" w:color="auto" w:fill="auto"/>
            <w:vAlign w:val="center"/>
            <w:hideMark/>
          </w:tcPr>
          <w:p w14:paraId="38E67EAB" w14:textId="312A1B4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3116E">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310" w:type="pct"/>
            <w:tcBorders>
              <w:top w:val="nil"/>
              <w:left w:val="single" w:sz="8" w:space="0" w:color="auto"/>
              <w:bottom w:val="single" w:sz="8" w:space="0" w:color="auto"/>
              <w:right w:val="single" w:sz="8" w:space="0" w:color="auto"/>
            </w:tcBorders>
            <w:shd w:val="clear" w:color="auto" w:fill="auto"/>
            <w:vAlign w:val="center"/>
            <w:hideMark/>
          </w:tcPr>
          <w:p w14:paraId="7D96442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08C18AC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BSH</w:t>
            </w:r>
          </w:p>
        </w:tc>
        <w:tc>
          <w:tcPr>
            <w:tcW w:w="310" w:type="pct"/>
            <w:tcBorders>
              <w:top w:val="nil"/>
              <w:left w:val="nil"/>
              <w:bottom w:val="single" w:sz="8" w:space="0" w:color="auto"/>
              <w:right w:val="nil"/>
            </w:tcBorders>
            <w:shd w:val="clear" w:color="auto" w:fill="auto"/>
            <w:vAlign w:val="center"/>
            <w:hideMark/>
          </w:tcPr>
          <w:p w14:paraId="03F68D0E" w14:textId="23E06C3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w:t>
            </w:r>
            <w:r w:rsidR="00C3116E">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rente</w:t>
            </w:r>
          </w:p>
        </w:tc>
        <w:tc>
          <w:tcPr>
            <w:tcW w:w="289" w:type="pct"/>
            <w:tcBorders>
              <w:top w:val="nil"/>
              <w:left w:val="single" w:sz="8" w:space="0" w:color="auto"/>
              <w:bottom w:val="single" w:sz="8" w:space="0" w:color="auto"/>
              <w:right w:val="single" w:sz="8" w:space="0" w:color="auto"/>
            </w:tcBorders>
            <w:shd w:val="clear" w:color="auto" w:fill="auto"/>
            <w:vAlign w:val="center"/>
            <w:hideMark/>
          </w:tcPr>
          <w:p w14:paraId="248DF681"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289" w:type="pct"/>
            <w:tcBorders>
              <w:top w:val="nil"/>
              <w:left w:val="nil"/>
              <w:bottom w:val="single" w:sz="8" w:space="0" w:color="auto"/>
              <w:right w:val="single" w:sz="8" w:space="0" w:color="auto"/>
            </w:tcBorders>
            <w:shd w:val="clear" w:color="auto" w:fill="auto"/>
            <w:vAlign w:val="center"/>
            <w:hideMark/>
          </w:tcPr>
          <w:p w14:paraId="753670F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FH</w:t>
            </w:r>
          </w:p>
        </w:tc>
        <w:tc>
          <w:tcPr>
            <w:tcW w:w="258" w:type="pct"/>
            <w:tcBorders>
              <w:top w:val="nil"/>
              <w:left w:val="nil"/>
              <w:bottom w:val="single" w:sz="8" w:space="0" w:color="auto"/>
              <w:right w:val="single" w:sz="8" w:space="0" w:color="auto"/>
            </w:tcBorders>
            <w:shd w:val="clear" w:color="auto" w:fill="auto"/>
            <w:vAlign w:val="center"/>
            <w:hideMark/>
          </w:tcPr>
          <w:p w14:paraId="449916E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w:t>
            </w:r>
          </w:p>
        </w:tc>
        <w:tc>
          <w:tcPr>
            <w:tcW w:w="272" w:type="pct"/>
            <w:vMerge/>
            <w:tcBorders>
              <w:top w:val="nil"/>
              <w:left w:val="single" w:sz="8" w:space="0" w:color="auto"/>
              <w:bottom w:val="single" w:sz="4" w:space="0" w:color="000000"/>
              <w:right w:val="single" w:sz="8" w:space="0" w:color="auto"/>
            </w:tcBorders>
            <w:vAlign w:val="center"/>
            <w:hideMark/>
          </w:tcPr>
          <w:p w14:paraId="4010DEA8"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6A07D20E" w14:textId="77777777" w:rsidTr="00D86FA8">
        <w:trPr>
          <w:trHeight w:val="20"/>
        </w:trPr>
        <w:tc>
          <w:tcPr>
            <w:tcW w:w="381"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00825320" w14:textId="77777777"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Objektivi specifik 1: Përmirësimi i nivelit të respektimit, mbrojtjes dhe promovimit të të drejtave themelore, sjelljes profesionale të oficerëve të kontrollit kufitar, si dhe aftësive të tyre profesionale për përdorim më efikas të pajisjeve teknike, trajnimit dhe zhvillimit profesional</w:t>
            </w:r>
          </w:p>
        </w:tc>
        <w:tc>
          <w:tcPr>
            <w:tcW w:w="341" w:type="pct"/>
            <w:tcBorders>
              <w:top w:val="single" w:sz="4" w:space="0" w:color="auto"/>
              <w:left w:val="nil"/>
              <w:bottom w:val="single" w:sz="4" w:space="0" w:color="auto"/>
              <w:right w:val="single" w:sz="4" w:space="0" w:color="auto"/>
            </w:tcBorders>
            <w:shd w:val="clear" w:color="auto" w:fill="auto"/>
            <w:vAlign w:val="center"/>
            <w:hideMark/>
          </w:tcPr>
          <w:p w14:paraId="22BBB44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15FF4CA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single" w:sz="4" w:space="0" w:color="auto"/>
              <w:left w:val="nil"/>
              <w:bottom w:val="single" w:sz="4" w:space="0" w:color="auto"/>
              <w:right w:val="single" w:sz="4" w:space="0" w:color="auto"/>
            </w:tcBorders>
            <w:shd w:val="clear" w:color="auto" w:fill="auto"/>
            <w:vAlign w:val="center"/>
            <w:hideMark/>
          </w:tcPr>
          <w:p w14:paraId="7E2D621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single" w:sz="4" w:space="0" w:color="auto"/>
              <w:left w:val="nil"/>
              <w:bottom w:val="single" w:sz="4" w:space="0" w:color="auto"/>
              <w:right w:val="single" w:sz="4" w:space="0" w:color="auto"/>
            </w:tcBorders>
            <w:shd w:val="clear" w:color="auto" w:fill="auto"/>
            <w:vAlign w:val="center"/>
            <w:hideMark/>
          </w:tcPr>
          <w:p w14:paraId="2E1A3C9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3F92DEF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2,263,342</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00819F5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07C9FFF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2,263,342</w:t>
            </w:r>
          </w:p>
        </w:tc>
        <w:tc>
          <w:tcPr>
            <w:tcW w:w="420" w:type="pct"/>
            <w:tcBorders>
              <w:top w:val="single" w:sz="4" w:space="0" w:color="auto"/>
              <w:left w:val="nil"/>
              <w:bottom w:val="single" w:sz="4" w:space="0" w:color="auto"/>
              <w:right w:val="single" w:sz="4" w:space="0" w:color="auto"/>
            </w:tcBorders>
            <w:shd w:val="clear" w:color="auto" w:fill="auto"/>
            <w:vAlign w:val="center"/>
            <w:hideMark/>
          </w:tcPr>
          <w:p w14:paraId="6B6D147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2,263,342</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52B658D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387AA58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2,263,342</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542D87E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71C2C06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575BAD9E"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single" w:sz="4" w:space="0" w:color="auto"/>
              <w:left w:val="nil"/>
              <w:bottom w:val="single" w:sz="4" w:space="0" w:color="auto"/>
              <w:right w:val="single" w:sz="4" w:space="0" w:color="auto"/>
            </w:tcBorders>
            <w:shd w:val="clear" w:color="auto" w:fill="auto"/>
            <w:vAlign w:val="center"/>
            <w:hideMark/>
          </w:tcPr>
          <w:p w14:paraId="732078D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3FC7AB6A"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18,107</w:t>
            </w:r>
          </w:p>
        </w:tc>
      </w:tr>
      <w:tr w:rsidR="00D86FA8" w:rsidRPr="001F0C5A" w14:paraId="53E12D3F"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4912470A" w14:textId="77777777"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Objektivi specifik 2: Kontrolli i cilësisë në zbatimin e ligjit për menaxhimin e kufijve dhe sjellja e policëve dhe doganierëve të përfshirë në kontrollin kufitar dhe doganor të kryhet në përputhje aktet ligjore dhe nënligjore dhe me standardet e BE-së</w:t>
            </w:r>
          </w:p>
        </w:tc>
        <w:tc>
          <w:tcPr>
            <w:tcW w:w="341" w:type="pct"/>
            <w:tcBorders>
              <w:top w:val="nil"/>
              <w:left w:val="nil"/>
              <w:bottom w:val="single" w:sz="4" w:space="0" w:color="auto"/>
              <w:right w:val="single" w:sz="4" w:space="0" w:color="auto"/>
            </w:tcBorders>
            <w:shd w:val="clear" w:color="auto" w:fill="auto"/>
            <w:vAlign w:val="center"/>
            <w:hideMark/>
          </w:tcPr>
          <w:p w14:paraId="5D3C304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nil"/>
              <w:left w:val="nil"/>
              <w:bottom w:val="single" w:sz="4" w:space="0" w:color="auto"/>
              <w:right w:val="single" w:sz="4" w:space="0" w:color="auto"/>
            </w:tcBorders>
            <w:shd w:val="clear" w:color="auto" w:fill="auto"/>
            <w:vAlign w:val="center"/>
            <w:hideMark/>
          </w:tcPr>
          <w:p w14:paraId="69163331"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13B6DF9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69ACFA0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2BFFB0C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2,320,322</w:t>
            </w:r>
          </w:p>
        </w:tc>
        <w:tc>
          <w:tcPr>
            <w:tcW w:w="330" w:type="pct"/>
            <w:tcBorders>
              <w:top w:val="nil"/>
              <w:left w:val="nil"/>
              <w:bottom w:val="single" w:sz="4" w:space="0" w:color="auto"/>
              <w:right w:val="single" w:sz="4" w:space="0" w:color="auto"/>
            </w:tcBorders>
            <w:shd w:val="clear" w:color="auto" w:fill="auto"/>
            <w:vAlign w:val="center"/>
            <w:hideMark/>
          </w:tcPr>
          <w:p w14:paraId="0B2DE03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7A00807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2,320,322</w:t>
            </w:r>
          </w:p>
        </w:tc>
        <w:tc>
          <w:tcPr>
            <w:tcW w:w="420" w:type="pct"/>
            <w:tcBorders>
              <w:top w:val="nil"/>
              <w:left w:val="nil"/>
              <w:bottom w:val="single" w:sz="4" w:space="0" w:color="auto"/>
              <w:right w:val="single" w:sz="4" w:space="0" w:color="auto"/>
            </w:tcBorders>
            <w:shd w:val="clear" w:color="auto" w:fill="auto"/>
            <w:vAlign w:val="center"/>
            <w:hideMark/>
          </w:tcPr>
          <w:p w14:paraId="004D3C3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2,320,322</w:t>
            </w:r>
          </w:p>
        </w:tc>
        <w:tc>
          <w:tcPr>
            <w:tcW w:w="310" w:type="pct"/>
            <w:tcBorders>
              <w:top w:val="nil"/>
              <w:left w:val="nil"/>
              <w:bottom w:val="single" w:sz="4" w:space="0" w:color="auto"/>
              <w:right w:val="single" w:sz="4" w:space="0" w:color="auto"/>
            </w:tcBorders>
            <w:shd w:val="clear" w:color="auto" w:fill="auto"/>
            <w:vAlign w:val="center"/>
            <w:hideMark/>
          </w:tcPr>
          <w:p w14:paraId="2E0AA0BB"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68C4EE9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2,320,322</w:t>
            </w:r>
          </w:p>
        </w:tc>
        <w:tc>
          <w:tcPr>
            <w:tcW w:w="310" w:type="pct"/>
            <w:tcBorders>
              <w:top w:val="nil"/>
              <w:left w:val="nil"/>
              <w:bottom w:val="single" w:sz="4" w:space="0" w:color="auto"/>
              <w:right w:val="single" w:sz="4" w:space="0" w:color="auto"/>
            </w:tcBorders>
            <w:shd w:val="clear" w:color="auto" w:fill="auto"/>
            <w:vAlign w:val="center"/>
            <w:hideMark/>
          </w:tcPr>
          <w:p w14:paraId="6602EC9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193BBB8C"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2396970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632D48C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5B4DD495"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18,563</w:t>
            </w:r>
          </w:p>
        </w:tc>
      </w:tr>
      <w:tr w:rsidR="00D86FA8" w:rsidRPr="001F0C5A" w14:paraId="61B26490"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0091B0EB" w14:textId="77777777"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Objektivi specifik 3: Sigurimi i qasjes në mbrojtjen ndërkombëtare atyre që kanë nevojë</w:t>
            </w:r>
          </w:p>
        </w:tc>
        <w:tc>
          <w:tcPr>
            <w:tcW w:w="341" w:type="pct"/>
            <w:tcBorders>
              <w:top w:val="nil"/>
              <w:left w:val="nil"/>
              <w:bottom w:val="single" w:sz="4" w:space="0" w:color="auto"/>
              <w:right w:val="single" w:sz="4" w:space="0" w:color="auto"/>
            </w:tcBorders>
            <w:shd w:val="clear" w:color="auto" w:fill="auto"/>
            <w:vAlign w:val="center"/>
            <w:hideMark/>
          </w:tcPr>
          <w:p w14:paraId="703CD17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nil"/>
              <w:left w:val="nil"/>
              <w:bottom w:val="single" w:sz="4" w:space="0" w:color="auto"/>
              <w:right w:val="single" w:sz="4" w:space="0" w:color="auto"/>
            </w:tcBorders>
            <w:shd w:val="clear" w:color="auto" w:fill="auto"/>
            <w:vAlign w:val="center"/>
            <w:hideMark/>
          </w:tcPr>
          <w:p w14:paraId="683D38AB"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0FB3ED8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04AC6C73"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65C93CC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1,200,000</w:t>
            </w:r>
          </w:p>
        </w:tc>
        <w:tc>
          <w:tcPr>
            <w:tcW w:w="330" w:type="pct"/>
            <w:tcBorders>
              <w:top w:val="nil"/>
              <w:left w:val="nil"/>
              <w:bottom w:val="single" w:sz="4" w:space="0" w:color="auto"/>
              <w:right w:val="single" w:sz="4" w:space="0" w:color="auto"/>
            </w:tcBorders>
            <w:shd w:val="clear" w:color="auto" w:fill="auto"/>
            <w:vAlign w:val="center"/>
            <w:hideMark/>
          </w:tcPr>
          <w:p w14:paraId="742DD005"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1C924A5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1,200,000</w:t>
            </w:r>
          </w:p>
        </w:tc>
        <w:tc>
          <w:tcPr>
            <w:tcW w:w="420" w:type="pct"/>
            <w:tcBorders>
              <w:top w:val="nil"/>
              <w:left w:val="nil"/>
              <w:bottom w:val="single" w:sz="4" w:space="0" w:color="auto"/>
              <w:right w:val="single" w:sz="4" w:space="0" w:color="auto"/>
            </w:tcBorders>
            <w:shd w:val="clear" w:color="auto" w:fill="auto"/>
            <w:vAlign w:val="center"/>
            <w:hideMark/>
          </w:tcPr>
          <w:p w14:paraId="333A2B65"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1,200,000</w:t>
            </w:r>
          </w:p>
        </w:tc>
        <w:tc>
          <w:tcPr>
            <w:tcW w:w="310" w:type="pct"/>
            <w:tcBorders>
              <w:top w:val="nil"/>
              <w:left w:val="nil"/>
              <w:bottom w:val="single" w:sz="4" w:space="0" w:color="auto"/>
              <w:right w:val="single" w:sz="4" w:space="0" w:color="auto"/>
            </w:tcBorders>
            <w:shd w:val="clear" w:color="auto" w:fill="auto"/>
            <w:vAlign w:val="center"/>
            <w:hideMark/>
          </w:tcPr>
          <w:p w14:paraId="599F81FB"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574A4E2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1,200,000</w:t>
            </w:r>
          </w:p>
        </w:tc>
        <w:tc>
          <w:tcPr>
            <w:tcW w:w="310" w:type="pct"/>
            <w:tcBorders>
              <w:top w:val="nil"/>
              <w:left w:val="nil"/>
              <w:bottom w:val="single" w:sz="4" w:space="0" w:color="auto"/>
              <w:right w:val="single" w:sz="4" w:space="0" w:color="auto"/>
            </w:tcBorders>
            <w:shd w:val="clear" w:color="auto" w:fill="auto"/>
            <w:vAlign w:val="center"/>
            <w:hideMark/>
          </w:tcPr>
          <w:p w14:paraId="58A605F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743EB01C"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23F71FE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5A8FB2F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55D18399"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9,600</w:t>
            </w:r>
          </w:p>
        </w:tc>
      </w:tr>
      <w:tr w:rsidR="00D86FA8" w:rsidRPr="001F0C5A" w14:paraId="204F6B70" w14:textId="77777777" w:rsidTr="00D86FA8">
        <w:trPr>
          <w:trHeight w:val="20"/>
        </w:trPr>
        <w:tc>
          <w:tcPr>
            <w:tcW w:w="381" w:type="pct"/>
            <w:tcBorders>
              <w:top w:val="nil"/>
              <w:left w:val="single" w:sz="8" w:space="0" w:color="auto"/>
              <w:bottom w:val="single" w:sz="8" w:space="0" w:color="auto"/>
              <w:right w:val="single" w:sz="4" w:space="0" w:color="auto"/>
            </w:tcBorders>
            <w:shd w:val="clear" w:color="auto" w:fill="auto"/>
            <w:vAlign w:val="center"/>
            <w:hideMark/>
          </w:tcPr>
          <w:p w14:paraId="13C8DC4E" w14:textId="64126FAA"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b/>
                <w:bCs/>
                <w:color w:val="FF0000"/>
                <w:sz w:val="8"/>
                <w:szCs w:val="8"/>
                <w:lang w:val="sq-AL"/>
              </w:rPr>
              <w:t>Kosto</w:t>
            </w:r>
            <w:r w:rsidR="00A91982">
              <w:rPr>
                <w:rFonts w:ascii="Garamond" w:eastAsia="Times New Roman" w:hAnsi="Garamond" w:cs="Calibri"/>
                <w:b/>
                <w:bCs/>
                <w:color w:val="FF0000"/>
                <w:sz w:val="8"/>
                <w:szCs w:val="8"/>
                <w:lang w:val="sq-AL"/>
              </w:rPr>
              <w:t>ja</w:t>
            </w:r>
            <w:r w:rsidRPr="001F0C5A">
              <w:rPr>
                <w:rFonts w:ascii="Garamond" w:eastAsia="Times New Roman" w:hAnsi="Garamond" w:cs="Calibri"/>
                <w:b/>
                <w:bCs/>
                <w:color w:val="FF0000"/>
                <w:sz w:val="8"/>
                <w:szCs w:val="8"/>
                <w:lang w:val="sq-AL"/>
              </w:rPr>
              <w:t xml:space="preserve"> totale </w:t>
            </w:r>
            <w:r w:rsidR="00286C4C">
              <w:rPr>
                <w:rFonts w:ascii="Garamond" w:eastAsia="Times New Roman" w:hAnsi="Garamond" w:cs="Times New Roman"/>
                <w:b/>
                <w:bCs/>
                <w:color w:val="FF0000"/>
                <w:sz w:val="6"/>
                <w:szCs w:val="6"/>
                <w:lang w:val="sq-AL"/>
              </w:rPr>
              <w:t xml:space="preserve"> –</w:t>
            </w:r>
            <w:r w:rsidR="00286C4C" w:rsidRPr="001F0C5A">
              <w:rPr>
                <w:rFonts w:ascii="Garamond" w:eastAsia="Times New Roman" w:hAnsi="Garamond" w:cs="Times New Roman"/>
                <w:b/>
                <w:bCs/>
                <w:color w:val="FF0000"/>
                <w:sz w:val="6"/>
                <w:szCs w:val="6"/>
                <w:lang w:val="sq-AL"/>
              </w:rPr>
              <w:t xml:space="preserve"> </w:t>
            </w:r>
            <w:r w:rsidR="00286C4C">
              <w:rPr>
                <w:rFonts w:ascii="Garamond" w:eastAsia="Times New Roman" w:hAnsi="Garamond" w:cs="Times New Roman"/>
                <w:b/>
                <w:bCs/>
                <w:color w:val="FF0000"/>
                <w:sz w:val="6"/>
                <w:szCs w:val="6"/>
                <w:lang w:val="sq-AL"/>
              </w:rPr>
              <w:t xml:space="preserve"> </w:t>
            </w:r>
            <w:r w:rsidRPr="001F0C5A">
              <w:rPr>
                <w:rFonts w:ascii="Garamond" w:eastAsia="Times New Roman" w:hAnsi="Garamond" w:cs="Calibri"/>
                <w:b/>
                <w:bCs/>
                <w:color w:val="FF0000"/>
                <w:sz w:val="8"/>
                <w:szCs w:val="8"/>
                <w:lang w:val="sq-AL"/>
              </w:rPr>
              <w:t xml:space="preserve">Qëllimi i </w:t>
            </w:r>
            <w:r w:rsidR="00286C4C" w:rsidRPr="001F0C5A">
              <w:rPr>
                <w:rFonts w:ascii="Garamond" w:eastAsia="Times New Roman" w:hAnsi="Garamond" w:cs="Calibri"/>
                <w:b/>
                <w:bCs/>
                <w:color w:val="FF0000"/>
                <w:sz w:val="8"/>
                <w:szCs w:val="8"/>
                <w:lang w:val="sq-AL"/>
              </w:rPr>
              <w:t xml:space="preserve">politikës </w:t>
            </w:r>
            <w:r w:rsidRPr="001F0C5A">
              <w:rPr>
                <w:rFonts w:ascii="Garamond" w:eastAsia="Times New Roman" w:hAnsi="Garamond" w:cs="Calibri"/>
                <w:b/>
                <w:bCs/>
                <w:color w:val="FF0000"/>
                <w:sz w:val="8"/>
                <w:szCs w:val="8"/>
                <w:lang w:val="sq-AL"/>
              </w:rPr>
              <w:t xml:space="preserve">III </w:t>
            </w:r>
            <w:r w:rsidRPr="001F0C5A">
              <w:rPr>
                <w:rFonts w:ascii="Garamond" w:eastAsia="Times New Roman" w:hAnsi="Garamond" w:cs="Calibri"/>
                <w:color w:val="000000"/>
                <w:sz w:val="8"/>
                <w:szCs w:val="8"/>
                <w:lang w:val="sq-AL"/>
              </w:rPr>
              <w:br/>
              <w:t>(objektiva specifik</w:t>
            </w:r>
            <w:r w:rsidR="00AB7A0F">
              <w:rPr>
                <w:rFonts w:ascii="Garamond" w:eastAsia="Times New Roman" w:hAnsi="Garamond" w:cs="Calibri"/>
                <w:color w:val="000000"/>
                <w:sz w:val="8"/>
                <w:szCs w:val="8"/>
                <w:lang w:val="sq-AL"/>
              </w:rPr>
              <w:t>ë</w:t>
            </w:r>
            <w:r w:rsidRPr="001F0C5A">
              <w:rPr>
                <w:rFonts w:ascii="Garamond" w:eastAsia="Times New Roman" w:hAnsi="Garamond" w:cs="Calibri"/>
                <w:color w:val="000000"/>
                <w:sz w:val="8"/>
                <w:szCs w:val="8"/>
                <w:lang w:val="sq-AL"/>
              </w:rPr>
              <w:t xml:space="preserve"> 1+2+3)</w:t>
            </w:r>
          </w:p>
        </w:tc>
        <w:tc>
          <w:tcPr>
            <w:tcW w:w="341" w:type="pct"/>
            <w:tcBorders>
              <w:top w:val="nil"/>
              <w:left w:val="nil"/>
              <w:bottom w:val="single" w:sz="8" w:space="0" w:color="auto"/>
              <w:right w:val="single" w:sz="4" w:space="0" w:color="auto"/>
            </w:tcBorders>
            <w:shd w:val="clear" w:color="auto" w:fill="auto"/>
            <w:noWrap/>
            <w:vAlign w:val="bottom"/>
            <w:hideMark/>
          </w:tcPr>
          <w:p w14:paraId="1BB856B5"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40" w:type="pct"/>
            <w:tcBorders>
              <w:top w:val="nil"/>
              <w:left w:val="nil"/>
              <w:bottom w:val="single" w:sz="8" w:space="0" w:color="auto"/>
              <w:right w:val="single" w:sz="4" w:space="0" w:color="auto"/>
            </w:tcBorders>
            <w:shd w:val="clear" w:color="auto" w:fill="auto"/>
            <w:noWrap/>
            <w:vAlign w:val="bottom"/>
            <w:hideMark/>
          </w:tcPr>
          <w:p w14:paraId="09E32457"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13" w:type="pct"/>
            <w:tcBorders>
              <w:top w:val="nil"/>
              <w:left w:val="nil"/>
              <w:bottom w:val="single" w:sz="8" w:space="0" w:color="auto"/>
              <w:right w:val="single" w:sz="4" w:space="0" w:color="auto"/>
            </w:tcBorders>
            <w:shd w:val="clear" w:color="auto" w:fill="auto"/>
            <w:noWrap/>
            <w:vAlign w:val="bottom"/>
            <w:hideMark/>
          </w:tcPr>
          <w:p w14:paraId="69F5D520"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55" w:type="pct"/>
            <w:tcBorders>
              <w:top w:val="nil"/>
              <w:left w:val="nil"/>
              <w:bottom w:val="single" w:sz="8" w:space="0" w:color="auto"/>
              <w:right w:val="single" w:sz="4" w:space="0" w:color="auto"/>
            </w:tcBorders>
            <w:shd w:val="clear" w:color="auto" w:fill="auto"/>
            <w:noWrap/>
            <w:vAlign w:val="bottom"/>
            <w:hideMark/>
          </w:tcPr>
          <w:p w14:paraId="16FE1D52"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30" w:type="pct"/>
            <w:tcBorders>
              <w:top w:val="nil"/>
              <w:left w:val="nil"/>
              <w:bottom w:val="single" w:sz="8" w:space="0" w:color="auto"/>
              <w:right w:val="single" w:sz="4" w:space="0" w:color="auto"/>
            </w:tcBorders>
            <w:shd w:val="clear" w:color="auto" w:fill="auto"/>
            <w:noWrap/>
            <w:vAlign w:val="center"/>
            <w:hideMark/>
          </w:tcPr>
          <w:p w14:paraId="2DB78D76"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5,783,664</w:t>
            </w:r>
          </w:p>
        </w:tc>
        <w:tc>
          <w:tcPr>
            <w:tcW w:w="330" w:type="pct"/>
            <w:tcBorders>
              <w:top w:val="nil"/>
              <w:left w:val="nil"/>
              <w:bottom w:val="single" w:sz="8" w:space="0" w:color="auto"/>
              <w:right w:val="single" w:sz="4" w:space="0" w:color="auto"/>
            </w:tcBorders>
            <w:shd w:val="clear" w:color="auto" w:fill="auto"/>
            <w:noWrap/>
            <w:vAlign w:val="center"/>
            <w:hideMark/>
          </w:tcPr>
          <w:p w14:paraId="75BAA3F5"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330" w:type="pct"/>
            <w:tcBorders>
              <w:top w:val="nil"/>
              <w:left w:val="nil"/>
              <w:bottom w:val="single" w:sz="8" w:space="0" w:color="auto"/>
              <w:right w:val="single" w:sz="4" w:space="0" w:color="auto"/>
            </w:tcBorders>
            <w:shd w:val="clear" w:color="auto" w:fill="auto"/>
            <w:noWrap/>
            <w:vAlign w:val="center"/>
            <w:hideMark/>
          </w:tcPr>
          <w:p w14:paraId="1430E1C5"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5,783,664</w:t>
            </w:r>
          </w:p>
        </w:tc>
        <w:tc>
          <w:tcPr>
            <w:tcW w:w="420" w:type="pct"/>
            <w:tcBorders>
              <w:top w:val="nil"/>
              <w:left w:val="nil"/>
              <w:bottom w:val="single" w:sz="8" w:space="0" w:color="auto"/>
              <w:right w:val="single" w:sz="4" w:space="0" w:color="auto"/>
            </w:tcBorders>
            <w:shd w:val="clear" w:color="auto" w:fill="auto"/>
            <w:noWrap/>
            <w:vAlign w:val="center"/>
            <w:hideMark/>
          </w:tcPr>
          <w:p w14:paraId="32520E78"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5,783,664</w:t>
            </w:r>
          </w:p>
        </w:tc>
        <w:tc>
          <w:tcPr>
            <w:tcW w:w="310" w:type="pct"/>
            <w:tcBorders>
              <w:top w:val="nil"/>
              <w:left w:val="nil"/>
              <w:bottom w:val="single" w:sz="8" w:space="0" w:color="auto"/>
              <w:right w:val="single" w:sz="4" w:space="0" w:color="auto"/>
            </w:tcBorders>
            <w:shd w:val="clear" w:color="auto" w:fill="auto"/>
            <w:noWrap/>
            <w:vAlign w:val="center"/>
            <w:hideMark/>
          </w:tcPr>
          <w:p w14:paraId="1101EB83"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330" w:type="pct"/>
            <w:tcBorders>
              <w:top w:val="nil"/>
              <w:left w:val="nil"/>
              <w:bottom w:val="single" w:sz="8" w:space="0" w:color="auto"/>
              <w:right w:val="single" w:sz="4" w:space="0" w:color="auto"/>
            </w:tcBorders>
            <w:shd w:val="clear" w:color="auto" w:fill="auto"/>
            <w:noWrap/>
            <w:vAlign w:val="center"/>
            <w:hideMark/>
          </w:tcPr>
          <w:p w14:paraId="11B4B2DF"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5,783,664</w:t>
            </w:r>
          </w:p>
        </w:tc>
        <w:tc>
          <w:tcPr>
            <w:tcW w:w="310" w:type="pct"/>
            <w:tcBorders>
              <w:top w:val="nil"/>
              <w:left w:val="nil"/>
              <w:bottom w:val="single" w:sz="8" w:space="0" w:color="auto"/>
              <w:right w:val="single" w:sz="4" w:space="0" w:color="auto"/>
            </w:tcBorders>
            <w:shd w:val="clear" w:color="auto" w:fill="auto"/>
            <w:noWrap/>
            <w:vAlign w:val="center"/>
            <w:hideMark/>
          </w:tcPr>
          <w:p w14:paraId="5C3EC3EA"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89" w:type="pct"/>
            <w:tcBorders>
              <w:top w:val="nil"/>
              <w:left w:val="nil"/>
              <w:bottom w:val="single" w:sz="8" w:space="0" w:color="auto"/>
              <w:right w:val="single" w:sz="4" w:space="0" w:color="auto"/>
            </w:tcBorders>
            <w:shd w:val="clear" w:color="auto" w:fill="auto"/>
            <w:noWrap/>
            <w:vAlign w:val="center"/>
            <w:hideMark/>
          </w:tcPr>
          <w:p w14:paraId="6EEEDCF8"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89" w:type="pct"/>
            <w:tcBorders>
              <w:top w:val="nil"/>
              <w:left w:val="nil"/>
              <w:bottom w:val="single" w:sz="8" w:space="0" w:color="auto"/>
              <w:right w:val="single" w:sz="4" w:space="0" w:color="auto"/>
            </w:tcBorders>
            <w:shd w:val="clear" w:color="auto" w:fill="auto"/>
            <w:noWrap/>
            <w:vAlign w:val="center"/>
            <w:hideMark/>
          </w:tcPr>
          <w:p w14:paraId="5CA004B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58" w:type="pct"/>
            <w:tcBorders>
              <w:top w:val="nil"/>
              <w:left w:val="nil"/>
              <w:bottom w:val="single" w:sz="8" w:space="0" w:color="auto"/>
              <w:right w:val="single" w:sz="4" w:space="0" w:color="auto"/>
            </w:tcBorders>
            <w:shd w:val="clear" w:color="auto" w:fill="auto"/>
            <w:noWrap/>
            <w:vAlign w:val="center"/>
            <w:hideMark/>
          </w:tcPr>
          <w:p w14:paraId="01E0B1AD"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72" w:type="pct"/>
            <w:tcBorders>
              <w:top w:val="nil"/>
              <w:left w:val="nil"/>
              <w:bottom w:val="single" w:sz="8" w:space="0" w:color="auto"/>
              <w:right w:val="single" w:sz="8" w:space="0" w:color="auto"/>
            </w:tcBorders>
            <w:shd w:val="clear" w:color="000000" w:fill="92D050"/>
            <w:noWrap/>
            <w:vAlign w:val="center"/>
            <w:hideMark/>
          </w:tcPr>
          <w:p w14:paraId="240CF63E"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46,269</w:t>
            </w:r>
          </w:p>
        </w:tc>
      </w:tr>
      <w:tr w:rsidR="00D86FA8" w:rsidRPr="001F0C5A" w14:paraId="6AD667D0" w14:textId="77777777" w:rsidTr="00D86FA8">
        <w:trPr>
          <w:trHeight w:val="20"/>
        </w:trPr>
        <w:tc>
          <w:tcPr>
            <w:tcW w:w="381" w:type="pct"/>
            <w:tcBorders>
              <w:top w:val="single" w:sz="4" w:space="0" w:color="auto"/>
              <w:left w:val="single" w:sz="8" w:space="0" w:color="auto"/>
              <w:bottom w:val="single" w:sz="8" w:space="0" w:color="auto"/>
              <w:right w:val="single" w:sz="4" w:space="0" w:color="auto"/>
            </w:tcBorders>
            <w:shd w:val="clear" w:color="000000" w:fill="BDD7EE"/>
            <w:vAlign w:val="center"/>
            <w:hideMark/>
          </w:tcPr>
          <w:p w14:paraId="21D97A09" w14:textId="698E2FDB" w:rsidR="00D86FA8" w:rsidRPr="001F0C5A" w:rsidRDefault="00D86FA8" w:rsidP="00D86FA8">
            <w:pPr>
              <w:spacing w:after="0" w:line="240" w:lineRule="auto"/>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Kosto</w:t>
            </w:r>
            <w:r w:rsidR="00C265DC">
              <w:rPr>
                <w:rFonts w:ascii="Garamond" w:eastAsia="Times New Roman" w:hAnsi="Garamond" w:cs="Calibri"/>
                <w:b/>
                <w:bCs/>
                <w:color w:val="FF0000"/>
                <w:sz w:val="8"/>
                <w:szCs w:val="8"/>
                <w:lang w:val="sq-AL"/>
              </w:rPr>
              <w:t>ja</w:t>
            </w:r>
            <w:r w:rsidRPr="001F0C5A">
              <w:rPr>
                <w:rFonts w:ascii="Garamond" w:eastAsia="Times New Roman" w:hAnsi="Garamond" w:cs="Calibri"/>
                <w:b/>
                <w:bCs/>
                <w:color w:val="FF0000"/>
                <w:sz w:val="8"/>
                <w:szCs w:val="8"/>
                <w:lang w:val="sq-AL"/>
              </w:rPr>
              <w:t xml:space="preserve"> totale e PV</w:t>
            </w:r>
            <w:r w:rsidR="00C265DC">
              <w:rPr>
                <w:rFonts w:ascii="Garamond" w:eastAsia="Times New Roman" w:hAnsi="Garamond" w:cs="Calibri"/>
                <w:b/>
                <w:bCs/>
                <w:color w:val="FF0000"/>
                <w:sz w:val="8"/>
                <w:szCs w:val="8"/>
                <w:lang w:val="sq-AL"/>
              </w:rPr>
              <w:t>-së</w:t>
            </w:r>
          </w:p>
        </w:tc>
        <w:tc>
          <w:tcPr>
            <w:tcW w:w="341" w:type="pct"/>
            <w:tcBorders>
              <w:top w:val="single" w:sz="4" w:space="0" w:color="auto"/>
              <w:left w:val="nil"/>
              <w:bottom w:val="single" w:sz="8" w:space="0" w:color="auto"/>
              <w:right w:val="single" w:sz="4" w:space="0" w:color="auto"/>
            </w:tcBorders>
            <w:shd w:val="clear" w:color="000000" w:fill="BDD7EE"/>
            <w:noWrap/>
            <w:vAlign w:val="center"/>
            <w:hideMark/>
          </w:tcPr>
          <w:p w14:paraId="2F2B76A6" w14:textId="77777777" w:rsidR="00D86FA8" w:rsidRPr="001F0C5A" w:rsidRDefault="00D86FA8" w:rsidP="00D86FA8">
            <w:pPr>
              <w:spacing w:after="0" w:line="240" w:lineRule="auto"/>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 </w:t>
            </w:r>
          </w:p>
        </w:tc>
        <w:tc>
          <w:tcPr>
            <w:tcW w:w="340" w:type="pct"/>
            <w:tcBorders>
              <w:top w:val="single" w:sz="4" w:space="0" w:color="auto"/>
              <w:left w:val="nil"/>
              <w:bottom w:val="single" w:sz="8" w:space="0" w:color="auto"/>
              <w:right w:val="single" w:sz="4" w:space="0" w:color="auto"/>
            </w:tcBorders>
            <w:shd w:val="clear" w:color="000000" w:fill="BDD7EE"/>
            <w:noWrap/>
            <w:vAlign w:val="center"/>
            <w:hideMark/>
          </w:tcPr>
          <w:p w14:paraId="31738DCE" w14:textId="77777777" w:rsidR="00D86FA8" w:rsidRPr="001F0C5A" w:rsidRDefault="00D86FA8" w:rsidP="00D86FA8">
            <w:pPr>
              <w:spacing w:after="0" w:line="240" w:lineRule="auto"/>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 </w:t>
            </w:r>
          </w:p>
        </w:tc>
        <w:tc>
          <w:tcPr>
            <w:tcW w:w="213" w:type="pct"/>
            <w:tcBorders>
              <w:top w:val="single" w:sz="4" w:space="0" w:color="auto"/>
              <w:left w:val="nil"/>
              <w:bottom w:val="single" w:sz="8" w:space="0" w:color="auto"/>
              <w:right w:val="single" w:sz="4" w:space="0" w:color="auto"/>
            </w:tcBorders>
            <w:shd w:val="clear" w:color="000000" w:fill="BDD7EE"/>
            <w:noWrap/>
            <w:vAlign w:val="center"/>
            <w:hideMark/>
          </w:tcPr>
          <w:p w14:paraId="3913E6F6" w14:textId="77777777" w:rsidR="00D86FA8" w:rsidRPr="001F0C5A" w:rsidRDefault="00D86FA8" w:rsidP="00D86FA8">
            <w:pPr>
              <w:spacing w:after="0" w:line="240" w:lineRule="auto"/>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 </w:t>
            </w:r>
          </w:p>
        </w:tc>
        <w:tc>
          <w:tcPr>
            <w:tcW w:w="255" w:type="pct"/>
            <w:tcBorders>
              <w:top w:val="single" w:sz="4" w:space="0" w:color="auto"/>
              <w:left w:val="nil"/>
              <w:bottom w:val="single" w:sz="8" w:space="0" w:color="auto"/>
              <w:right w:val="single" w:sz="4" w:space="0" w:color="auto"/>
            </w:tcBorders>
            <w:shd w:val="clear" w:color="000000" w:fill="BDD7EE"/>
            <w:noWrap/>
            <w:vAlign w:val="center"/>
            <w:hideMark/>
          </w:tcPr>
          <w:p w14:paraId="4B903E03" w14:textId="77777777" w:rsidR="00D86FA8" w:rsidRPr="001F0C5A" w:rsidRDefault="00D86FA8" w:rsidP="00D86FA8">
            <w:pPr>
              <w:spacing w:after="0" w:line="240" w:lineRule="auto"/>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 </w:t>
            </w:r>
          </w:p>
        </w:tc>
        <w:tc>
          <w:tcPr>
            <w:tcW w:w="330" w:type="pct"/>
            <w:tcBorders>
              <w:top w:val="single" w:sz="4" w:space="0" w:color="auto"/>
              <w:left w:val="nil"/>
              <w:bottom w:val="single" w:sz="8" w:space="0" w:color="auto"/>
              <w:right w:val="single" w:sz="4" w:space="0" w:color="auto"/>
            </w:tcBorders>
            <w:shd w:val="clear" w:color="000000" w:fill="BDD7EE"/>
            <w:noWrap/>
            <w:vAlign w:val="center"/>
            <w:hideMark/>
          </w:tcPr>
          <w:p w14:paraId="77A7E057"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2,029,245,277</w:t>
            </w:r>
          </w:p>
        </w:tc>
        <w:tc>
          <w:tcPr>
            <w:tcW w:w="330" w:type="pct"/>
            <w:tcBorders>
              <w:top w:val="single" w:sz="4" w:space="0" w:color="auto"/>
              <w:left w:val="nil"/>
              <w:bottom w:val="single" w:sz="8" w:space="0" w:color="auto"/>
              <w:right w:val="single" w:sz="4" w:space="0" w:color="auto"/>
            </w:tcBorders>
            <w:shd w:val="clear" w:color="000000" w:fill="BDD7EE"/>
            <w:noWrap/>
            <w:vAlign w:val="center"/>
            <w:hideMark/>
          </w:tcPr>
          <w:p w14:paraId="7E564EFB"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1,509,995,398</w:t>
            </w:r>
          </w:p>
        </w:tc>
        <w:tc>
          <w:tcPr>
            <w:tcW w:w="330" w:type="pct"/>
            <w:tcBorders>
              <w:top w:val="single" w:sz="4" w:space="0" w:color="auto"/>
              <w:left w:val="nil"/>
              <w:bottom w:val="single" w:sz="8" w:space="0" w:color="auto"/>
              <w:right w:val="single" w:sz="4" w:space="0" w:color="auto"/>
            </w:tcBorders>
            <w:shd w:val="clear" w:color="000000" w:fill="BDD7EE"/>
            <w:noWrap/>
            <w:vAlign w:val="center"/>
            <w:hideMark/>
          </w:tcPr>
          <w:p w14:paraId="5020EA3E"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3,539,240,675</w:t>
            </w:r>
          </w:p>
        </w:tc>
        <w:tc>
          <w:tcPr>
            <w:tcW w:w="420" w:type="pct"/>
            <w:tcBorders>
              <w:top w:val="single" w:sz="4" w:space="0" w:color="auto"/>
              <w:left w:val="nil"/>
              <w:bottom w:val="single" w:sz="8" w:space="0" w:color="auto"/>
              <w:right w:val="single" w:sz="4" w:space="0" w:color="auto"/>
            </w:tcBorders>
            <w:shd w:val="clear" w:color="000000" w:fill="BDD7EE"/>
            <w:noWrap/>
            <w:vAlign w:val="center"/>
            <w:hideMark/>
          </w:tcPr>
          <w:p w14:paraId="19C73E7E"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1,942,775,277</w:t>
            </w:r>
          </w:p>
        </w:tc>
        <w:tc>
          <w:tcPr>
            <w:tcW w:w="310" w:type="pct"/>
            <w:tcBorders>
              <w:top w:val="single" w:sz="4" w:space="0" w:color="auto"/>
              <w:left w:val="nil"/>
              <w:bottom w:val="single" w:sz="8" w:space="0" w:color="auto"/>
              <w:right w:val="single" w:sz="4" w:space="0" w:color="auto"/>
            </w:tcBorders>
            <w:shd w:val="clear" w:color="000000" w:fill="BDD7EE"/>
            <w:noWrap/>
            <w:vAlign w:val="center"/>
            <w:hideMark/>
          </w:tcPr>
          <w:p w14:paraId="0BB525D1"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833,915,398</w:t>
            </w:r>
          </w:p>
        </w:tc>
        <w:tc>
          <w:tcPr>
            <w:tcW w:w="330" w:type="pct"/>
            <w:tcBorders>
              <w:top w:val="single" w:sz="4" w:space="0" w:color="auto"/>
              <w:left w:val="nil"/>
              <w:bottom w:val="single" w:sz="8" w:space="0" w:color="auto"/>
              <w:right w:val="single" w:sz="4" w:space="0" w:color="auto"/>
            </w:tcBorders>
            <w:shd w:val="clear" w:color="000000" w:fill="BDD7EE"/>
            <w:noWrap/>
            <w:vAlign w:val="center"/>
            <w:hideMark/>
          </w:tcPr>
          <w:p w14:paraId="3F7885B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2,776,690,675</w:t>
            </w:r>
          </w:p>
        </w:tc>
        <w:tc>
          <w:tcPr>
            <w:tcW w:w="310" w:type="pct"/>
            <w:tcBorders>
              <w:top w:val="single" w:sz="4" w:space="0" w:color="auto"/>
              <w:left w:val="nil"/>
              <w:bottom w:val="single" w:sz="8" w:space="0" w:color="auto"/>
              <w:right w:val="single" w:sz="4" w:space="0" w:color="auto"/>
            </w:tcBorders>
            <w:shd w:val="clear" w:color="000000" w:fill="BDD7EE"/>
            <w:noWrap/>
            <w:vAlign w:val="center"/>
            <w:hideMark/>
          </w:tcPr>
          <w:p w14:paraId="0DAD84B6"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85,000,000</w:t>
            </w:r>
          </w:p>
        </w:tc>
        <w:tc>
          <w:tcPr>
            <w:tcW w:w="289" w:type="pct"/>
            <w:tcBorders>
              <w:top w:val="single" w:sz="4" w:space="0" w:color="auto"/>
              <w:left w:val="nil"/>
              <w:bottom w:val="single" w:sz="8" w:space="0" w:color="auto"/>
              <w:right w:val="single" w:sz="4" w:space="0" w:color="auto"/>
            </w:tcBorders>
            <w:shd w:val="clear" w:color="000000" w:fill="BDD7EE"/>
            <w:noWrap/>
            <w:vAlign w:val="center"/>
            <w:hideMark/>
          </w:tcPr>
          <w:p w14:paraId="54C8F07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676,080,000</w:t>
            </w:r>
          </w:p>
        </w:tc>
        <w:tc>
          <w:tcPr>
            <w:tcW w:w="289" w:type="pct"/>
            <w:tcBorders>
              <w:top w:val="single" w:sz="4" w:space="0" w:color="auto"/>
              <w:left w:val="nil"/>
              <w:bottom w:val="single" w:sz="8" w:space="0" w:color="auto"/>
              <w:right w:val="single" w:sz="4" w:space="0" w:color="auto"/>
            </w:tcBorders>
            <w:shd w:val="clear" w:color="000000" w:fill="BDD7EE"/>
            <w:noWrap/>
            <w:vAlign w:val="center"/>
            <w:hideMark/>
          </w:tcPr>
          <w:p w14:paraId="3BBCECFA"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761,080,000</w:t>
            </w:r>
          </w:p>
        </w:tc>
        <w:tc>
          <w:tcPr>
            <w:tcW w:w="258" w:type="pct"/>
            <w:tcBorders>
              <w:top w:val="single" w:sz="4" w:space="0" w:color="auto"/>
              <w:left w:val="nil"/>
              <w:bottom w:val="single" w:sz="8" w:space="0" w:color="auto"/>
              <w:right w:val="single" w:sz="4" w:space="0" w:color="auto"/>
            </w:tcBorders>
            <w:shd w:val="clear" w:color="000000" w:fill="BDD7EE"/>
            <w:noWrap/>
            <w:vAlign w:val="center"/>
            <w:hideMark/>
          </w:tcPr>
          <w:p w14:paraId="59DC091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1,470,000</w:t>
            </w:r>
          </w:p>
        </w:tc>
        <w:tc>
          <w:tcPr>
            <w:tcW w:w="272" w:type="pct"/>
            <w:tcBorders>
              <w:top w:val="single" w:sz="4" w:space="0" w:color="auto"/>
              <w:left w:val="nil"/>
              <w:bottom w:val="single" w:sz="8" w:space="0" w:color="auto"/>
              <w:right w:val="single" w:sz="4" w:space="0" w:color="auto"/>
            </w:tcBorders>
            <w:shd w:val="clear" w:color="000000" w:fill="BDD7EE"/>
            <w:noWrap/>
            <w:vAlign w:val="center"/>
            <w:hideMark/>
          </w:tcPr>
          <w:p w14:paraId="69548746"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30,555,612</w:t>
            </w:r>
          </w:p>
        </w:tc>
      </w:tr>
      <w:tr w:rsidR="00D86FA8" w:rsidRPr="001F0C5A" w14:paraId="6D46EE39" w14:textId="77777777" w:rsidTr="00D86FA8">
        <w:trPr>
          <w:trHeight w:val="20"/>
        </w:trPr>
        <w:tc>
          <w:tcPr>
            <w:tcW w:w="381" w:type="pct"/>
            <w:tcBorders>
              <w:top w:val="nil"/>
              <w:left w:val="nil"/>
              <w:bottom w:val="nil"/>
              <w:right w:val="nil"/>
            </w:tcBorders>
            <w:shd w:val="clear" w:color="auto" w:fill="auto"/>
            <w:noWrap/>
            <w:vAlign w:val="bottom"/>
            <w:hideMark/>
          </w:tcPr>
          <w:p w14:paraId="3E59792B"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p>
        </w:tc>
        <w:tc>
          <w:tcPr>
            <w:tcW w:w="341" w:type="pct"/>
            <w:tcBorders>
              <w:top w:val="nil"/>
              <w:left w:val="nil"/>
              <w:bottom w:val="nil"/>
              <w:right w:val="nil"/>
            </w:tcBorders>
            <w:shd w:val="clear" w:color="auto" w:fill="auto"/>
            <w:noWrap/>
            <w:vAlign w:val="bottom"/>
            <w:hideMark/>
          </w:tcPr>
          <w:p w14:paraId="098A41F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18113DF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68828D5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7374F1F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68733C69"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7E1847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11A316BB"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nil"/>
              <w:left w:val="nil"/>
              <w:bottom w:val="nil"/>
              <w:right w:val="nil"/>
            </w:tcBorders>
            <w:shd w:val="clear" w:color="auto" w:fill="auto"/>
            <w:noWrap/>
            <w:vAlign w:val="center"/>
            <w:hideMark/>
          </w:tcPr>
          <w:p w14:paraId="38ABCD7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31F522C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444AF2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7A00F44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11A7A0E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66D4B3C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0901CEC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2566A14E"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52F2D9CA" w14:textId="77777777" w:rsidTr="00D86FA8">
        <w:trPr>
          <w:trHeight w:val="20"/>
        </w:trPr>
        <w:tc>
          <w:tcPr>
            <w:tcW w:w="381" w:type="pct"/>
            <w:tcBorders>
              <w:top w:val="nil"/>
              <w:left w:val="nil"/>
              <w:bottom w:val="nil"/>
              <w:right w:val="nil"/>
            </w:tcBorders>
            <w:shd w:val="clear" w:color="auto" w:fill="auto"/>
            <w:noWrap/>
            <w:vAlign w:val="bottom"/>
            <w:hideMark/>
          </w:tcPr>
          <w:p w14:paraId="552DE61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5CE0AAB0"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320113D4"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6E62897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553FEE0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109B2FB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C82BA5A"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E33E8F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nil"/>
              <w:left w:val="nil"/>
              <w:bottom w:val="nil"/>
              <w:right w:val="nil"/>
            </w:tcBorders>
            <w:shd w:val="clear" w:color="auto" w:fill="auto"/>
            <w:noWrap/>
            <w:vAlign w:val="center"/>
            <w:hideMark/>
          </w:tcPr>
          <w:p w14:paraId="187DE0AB"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3020C0C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7390AF7D"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10A951C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4AB2695A"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39806E6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0F18FF1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4CFE4D9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1CA7F4A3" w14:textId="77777777" w:rsidTr="00D86FA8">
        <w:trPr>
          <w:trHeight w:val="20"/>
        </w:trPr>
        <w:tc>
          <w:tcPr>
            <w:tcW w:w="381" w:type="pct"/>
            <w:tcBorders>
              <w:top w:val="nil"/>
              <w:left w:val="nil"/>
              <w:bottom w:val="nil"/>
              <w:right w:val="nil"/>
            </w:tcBorders>
            <w:shd w:val="clear" w:color="auto" w:fill="auto"/>
            <w:noWrap/>
            <w:vAlign w:val="bottom"/>
            <w:hideMark/>
          </w:tcPr>
          <w:p w14:paraId="499A0EF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363D323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64BC0D98"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1D62611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6233F6F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7E96375F"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63D728F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504AF2C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nil"/>
              <w:left w:val="nil"/>
              <w:bottom w:val="nil"/>
              <w:right w:val="nil"/>
            </w:tcBorders>
            <w:shd w:val="clear" w:color="auto" w:fill="auto"/>
            <w:noWrap/>
            <w:vAlign w:val="center"/>
            <w:hideMark/>
          </w:tcPr>
          <w:p w14:paraId="6650A9D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3F90660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1A650D1"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04771F9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6903D08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5262A6E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2DA8BA31"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3CFBA2F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09C4A593" w14:textId="77777777" w:rsidTr="00D86FA8">
        <w:trPr>
          <w:trHeight w:val="20"/>
        </w:trPr>
        <w:tc>
          <w:tcPr>
            <w:tcW w:w="381" w:type="pct"/>
            <w:tcBorders>
              <w:top w:val="nil"/>
              <w:left w:val="nil"/>
              <w:bottom w:val="nil"/>
              <w:right w:val="nil"/>
            </w:tcBorders>
            <w:shd w:val="clear" w:color="auto" w:fill="auto"/>
            <w:noWrap/>
            <w:vAlign w:val="bottom"/>
            <w:hideMark/>
          </w:tcPr>
          <w:p w14:paraId="7260E44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0A239567"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122736B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056A90A1"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643B1FE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4B44536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173FCEB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05E9FC7B"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7C879E6C"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 </w:t>
            </w:r>
          </w:p>
        </w:tc>
        <w:tc>
          <w:tcPr>
            <w:tcW w:w="310" w:type="pct"/>
            <w:tcBorders>
              <w:top w:val="single" w:sz="4" w:space="0" w:color="auto"/>
              <w:left w:val="nil"/>
              <w:bottom w:val="single" w:sz="4" w:space="0" w:color="auto"/>
              <w:right w:val="single" w:sz="4" w:space="0" w:color="auto"/>
            </w:tcBorders>
            <w:shd w:val="clear" w:color="000000" w:fill="70AD47"/>
            <w:noWrap/>
            <w:vAlign w:val="center"/>
            <w:hideMark/>
          </w:tcPr>
          <w:p w14:paraId="79D587B9" w14:textId="122826CD"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Kosto</w:t>
            </w:r>
            <w:r w:rsidR="006B6F84">
              <w:rPr>
                <w:rFonts w:ascii="Garamond" w:eastAsia="Times New Roman" w:hAnsi="Garamond" w:cs="Times New Roman"/>
                <w:color w:val="FFFFFF"/>
                <w:sz w:val="8"/>
                <w:szCs w:val="8"/>
                <w:lang w:val="sq-AL"/>
              </w:rPr>
              <w:t>ja</w:t>
            </w:r>
            <w:r w:rsidRPr="001F0C5A">
              <w:rPr>
                <w:rFonts w:ascii="Garamond" w:eastAsia="Times New Roman" w:hAnsi="Garamond" w:cs="Times New Roman"/>
                <w:color w:val="FFFFFF"/>
                <w:sz w:val="8"/>
                <w:szCs w:val="8"/>
                <w:lang w:val="sq-AL"/>
              </w:rPr>
              <w:t xml:space="preserve"> </w:t>
            </w:r>
            <w:r w:rsidR="006B6F84" w:rsidRPr="001F0C5A">
              <w:rPr>
                <w:rFonts w:ascii="Garamond" w:eastAsia="Times New Roman" w:hAnsi="Garamond" w:cs="Times New Roman"/>
                <w:color w:val="FFFFFF"/>
                <w:sz w:val="8"/>
                <w:szCs w:val="8"/>
                <w:lang w:val="sq-AL"/>
              </w:rPr>
              <w:t>kor</w:t>
            </w:r>
            <w:r w:rsidR="006B6F84">
              <w:rPr>
                <w:rFonts w:ascii="Garamond" w:eastAsia="Times New Roman" w:hAnsi="Garamond" w:cs="Times New Roman"/>
                <w:color w:val="FFFFFF"/>
                <w:sz w:val="8"/>
                <w:szCs w:val="8"/>
                <w:lang w:val="sq-AL"/>
              </w:rPr>
              <w:t>r</w:t>
            </w:r>
            <w:r w:rsidR="006B6F84" w:rsidRPr="001F0C5A">
              <w:rPr>
                <w:rFonts w:ascii="Garamond" w:eastAsia="Times New Roman" w:hAnsi="Garamond" w:cs="Times New Roman"/>
                <w:color w:val="FFFFFF"/>
                <w:sz w:val="8"/>
                <w:szCs w:val="8"/>
                <w:lang w:val="sq-AL"/>
              </w:rPr>
              <w:t>ente</w:t>
            </w:r>
          </w:p>
        </w:tc>
        <w:tc>
          <w:tcPr>
            <w:tcW w:w="330" w:type="pct"/>
            <w:tcBorders>
              <w:top w:val="single" w:sz="4" w:space="0" w:color="auto"/>
              <w:left w:val="nil"/>
              <w:bottom w:val="single" w:sz="4" w:space="0" w:color="auto"/>
              <w:right w:val="single" w:sz="4" w:space="0" w:color="auto"/>
            </w:tcBorders>
            <w:shd w:val="clear" w:color="000000" w:fill="70AD47"/>
            <w:noWrap/>
            <w:vAlign w:val="center"/>
            <w:hideMark/>
          </w:tcPr>
          <w:p w14:paraId="0FC4B307" w14:textId="2D21DD4B"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Kosto</w:t>
            </w:r>
            <w:r w:rsidR="006B6F84">
              <w:rPr>
                <w:rFonts w:ascii="Garamond" w:eastAsia="Times New Roman" w:hAnsi="Garamond" w:cs="Times New Roman"/>
                <w:color w:val="FFFFFF"/>
                <w:sz w:val="8"/>
                <w:szCs w:val="8"/>
                <w:lang w:val="sq-AL"/>
              </w:rPr>
              <w:t>ja</w:t>
            </w:r>
            <w:r w:rsidRPr="001F0C5A">
              <w:rPr>
                <w:rFonts w:ascii="Garamond" w:eastAsia="Times New Roman" w:hAnsi="Garamond" w:cs="Times New Roman"/>
                <w:color w:val="FFFFFF"/>
                <w:sz w:val="8"/>
                <w:szCs w:val="8"/>
                <w:lang w:val="sq-AL"/>
              </w:rPr>
              <w:t xml:space="preserve"> </w:t>
            </w:r>
            <w:r w:rsidR="006B6F84" w:rsidRPr="001F0C5A">
              <w:rPr>
                <w:rFonts w:ascii="Garamond" w:eastAsia="Times New Roman" w:hAnsi="Garamond" w:cs="Times New Roman"/>
                <w:color w:val="FFFFFF"/>
                <w:sz w:val="8"/>
                <w:szCs w:val="8"/>
                <w:lang w:val="sq-AL"/>
              </w:rPr>
              <w:t>kapitale</w:t>
            </w:r>
          </w:p>
        </w:tc>
        <w:tc>
          <w:tcPr>
            <w:tcW w:w="310" w:type="pct"/>
            <w:tcBorders>
              <w:top w:val="single" w:sz="4" w:space="0" w:color="auto"/>
              <w:left w:val="nil"/>
              <w:bottom w:val="single" w:sz="4" w:space="0" w:color="auto"/>
              <w:right w:val="single" w:sz="4" w:space="0" w:color="auto"/>
            </w:tcBorders>
            <w:shd w:val="clear" w:color="000000" w:fill="70AD47"/>
            <w:noWrap/>
            <w:vAlign w:val="center"/>
            <w:hideMark/>
          </w:tcPr>
          <w:p w14:paraId="0814DFE6"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Totali</w:t>
            </w:r>
          </w:p>
        </w:tc>
        <w:tc>
          <w:tcPr>
            <w:tcW w:w="289" w:type="pct"/>
            <w:tcBorders>
              <w:top w:val="nil"/>
              <w:left w:val="nil"/>
              <w:bottom w:val="nil"/>
              <w:right w:val="nil"/>
            </w:tcBorders>
            <w:shd w:val="clear" w:color="auto" w:fill="auto"/>
            <w:noWrap/>
            <w:vAlign w:val="center"/>
            <w:hideMark/>
          </w:tcPr>
          <w:p w14:paraId="23DE318E"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289" w:type="pct"/>
            <w:tcBorders>
              <w:top w:val="nil"/>
              <w:left w:val="nil"/>
              <w:bottom w:val="nil"/>
              <w:right w:val="nil"/>
            </w:tcBorders>
            <w:shd w:val="clear" w:color="auto" w:fill="auto"/>
            <w:noWrap/>
            <w:vAlign w:val="center"/>
            <w:hideMark/>
          </w:tcPr>
          <w:p w14:paraId="1E1FD481"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46280A0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09151B4A"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2F8BF054" w14:textId="77777777" w:rsidTr="00D86FA8">
        <w:trPr>
          <w:trHeight w:val="20"/>
        </w:trPr>
        <w:tc>
          <w:tcPr>
            <w:tcW w:w="381" w:type="pct"/>
            <w:tcBorders>
              <w:top w:val="nil"/>
              <w:left w:val="nil"/>
              <w:bottom w:val="nil"/>
              <w:right w:val="nil"/>
            </w:tcBorders>
            <w:shd w:val="clear" w:color="auto" w:fill="auto"/>
            <w:noWrap/>
            <w:vAlign w:val="bottom"/>
            <w:hideMark/>
          </w:tcPr>
          <w:p w14:paraId="5810BB0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14E34E4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6F3F2B72"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6572A7F4"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7AA2191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single" w:sz="4" w:space="0" w:color="auto"/>
              <w:left w:val="single" w:sz="4" w:space="0" w:color="auto"/>
              <w:bottom w:val="single" w:sz="4" w:space="0" w:color="auto"/>
              <w:right w:val="single" w:sz="4" w:space="0" w:color="auto"/>
            </w:tcBorders>
            <w:shd w:val="clear" w:color="000000" w:fill="4472C4"/>
            <w:vAlign w:val="center"/>
            <w:hideMark/>
          </w:tcPr>
          <w:p w14:paraId="37A8DB26" w14:textId="662083B4"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Kosto</w:t>
            </w:r>
            <w:r w:rsidR="00C265DC">
              <w:rPr>
                <w:rFonts w:ascii="Garamond" w:eastAsia="Times New Roman" w:hAnsi="Garamond" w:cs="Times New Roman"/>
                <w:color w:val="FFFFFF"/>
                <w:sz w:val="8"/>
                <w:szCs w:val="8"/>
                <w:lang w:val="sq-AL"/>
              </w:rPr>
              <w:t>ja</w:t>
            </w:r>
            <w:r w:rsidRPr="001F0C5A">
              <w:rPr>
                <w:rFonts w:ascii="Garamond" w:eastAsia="Times New Roman" w:hAnsi="Garamond" w:cs="Times New Roman"/>
                <w:color w:val="FFFFFF"/>
                <w:sz w:val="8"/>
                <w:szCs w:val="8"/>
                <w:lang w:val="sq-AL"/>
              </w:rPr>
              <w:t xml:space="preserve"> totale e PV</w:t>
            </w:r>
            <w:r w:rsidR="00C265DC">
              <w:rPr>
                <w:rFonts w:ascii="Garamond" w:eastAsia="Times New Roman" w:hAnsi="Garamond" w:cs="Times New Roman"/>
                <w:color w:val="FFFFFF"/>
                <w:sz w:val="8"/>
                <w:szCs w:val="8"/>
                <w:lang w:val="sq-AL"/>
              </w:rPr>
              <w:t>-së</w:t>
            </w:r>
          </w:p>
        </w:tc>
        <w:tc>
          <w:tcPr>
            <w:tcW w:w="330" w:type="pct"/>
            <w:tcBorders>
              <w:top w:val="single" w:sz="4" w:space="0" w:color="auto"/>
              <w:left w:val="nil"/>
              <w:bottom w:val="single" w:sz="4" w:space="0" w:color="auto"/>
              <w:right w:val="single" w:sz="4" w:space="0" w:color="auto"/>
            </w:tcBorders>
            <w:shd w:val="clear" w:color="000000" w:fill="4472C4"/>
            <w:noWrap/>
            <w:vAlign w:val="center"/>
            <w:hideMark/>
          </w:tcPr>
          <w:p w14:paraId="63EC1459"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3,539,240,675</w:t>
            </w:r>
          </w:p>
        </w:tc>
        <w:tc>
          <w:tcPr>
            <w:tcW w:w="330" w:type="pct"/>
            <w:tcBorders>
              <w:top w:val="nil"/>
              <w:left w:val="nil"/>
              <w:bottom w:val="nil"/>
              <w:right w:val="nil"/>
            </w:tcBorders>
            <w:shd w:val="clear" w:color="auto" w:fill="auto"/>
            <w:noWrap/>
            <w:vAlign w:val="center"/>
            <w:hideMark/>
          </w:tcPr>
          <w:p w14:paraId="72D58879"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single" w:sz="4" w:space="0" w:color="auto"/>
              <w:bottom w:val="single" w:sz="4" w:space="0" w:color="auto"/>
              <w:right w:val="single" w:sz="4" w:space="0" w:color="auto"/>
            </w:tcBorders>
            <w:shd w:val="clear" w:color="000000" w:fill="70AD47"/>
            <w:noWrap/>
            <w:vAlign w:val="center"/>
            <w:hideMark/>
          </w:tcPr>
          <w:p w14:paraId="04E18A9D" w14:textId="582650AA"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 xml:space="preserve">Qëllimi i </w:t>
            </w:r>
            <w:r w:rsidR="00A91982" w:rsidRPr="001F0C5A">
              <w:rPr>
                <w:rFonts w:ascii="Garamond" w:eastAsia="Times New Roman" w:hAnsi="Garamond" w:cs="Times New Roman"/>
                <w:color w:val="FFFFFF"/>
                <w:sz w:val="8"/>
                <w:szCs w:val="8"/>
                <w:lang w:val="sq-AL"/>
              </w:rPr>
              <w:t xml:space="preserve">politikës </w:t>
            </w:r>
            <w:r w:rsidRPr="001F0C5A">
              <w:rPr>
                <w:rFonts w:ascii="Garamond" w:eastAsia="Times New Roman" w:hAnsi="Garamond" w:cs="Times New Roman"/>
                <w:color w:val="FFFFFF"/>
                <w:sz w:val="8"/>
                <w:szCs w:val="8"/>
                <w:lang w:val="sq-AL"/>
              </w:rPr>
              <w:t>I</w:t>
            </w:r>
          </w:p>
        </w:tc>
        <w:tc>
          <w:tcPr>
            <w:tcW w:w="310" w:type="pct"/>
            <w:tcBorders>
              <w:top w:val="nil"/>
              <w:left w:val="nil"/>
              <w:bottom w:val="single" w:sz="4" w:space="0" w:color="auto"/>
              <w:right w:val="single" w:sz="4" w:space="0" w:color="auto"/>
            </w:tcBorders>
            <w:shd w:val="clear" w:color="000000" w:fill="70AD47"/>
            <w:noWrap/>
            <w:vAlign w:val="center"/>
            <w:hideMark/>
          </w:tcPr>
          <w:p w14:paraId="5B8F57DD"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1,224,011,613</w:t>
            </w:r>
          </w:p>
        </w:tc>
        <w:tc>
          <w:tcPr>
            <w:tcW w:w="330" w:type="pct"/>
            <w:tcBorders>
              <w:top w:val="nil"/>
              <w:left w:val="nil"/>
              <w:bottom w:val="single" w:sz="4" w:space="0" w:color="auto"/>
              <w:right w:val="single" w:sz="4" w:space="0" w:color="auto"/>
            </w:tcBorders>
            <w:shd w:val="clear" w:color="000000" w:fill="70AD47"/>
            <w:noWrap/>
            <w:vAlign w:val="center"/>
            <w:hideMark/>
          </w:tcPr>
          <w:p w14:paraId="252AA748"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684,925,000</w:t>
            </w:r>
          </w:p>
        </w:tc>
        <w:tc>
          <w:tcPr>
            <w:tcW w:w="310" w:type="pct"/>
            <w:tcBorders>
              <w:top w:val="nil"/>
              <w:left w:val="nil"/>
              <w:bottom w:val="single" w:sz="4" w:space="0" w:color="auto"/>
              <w:right w:val="single" w:sz="4" w:space="0" w:color="auto"/>
            </w:tcBorders>
            <w:shd w:val="clear" w:color="000000" w:fill="70AD47"/>
            <w:noWrap/>
            <w:vAlign w:val="center"/>
            <w:hideMark/>
          </w:tcPr>
          <w:p w14:paraId="70604181"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1,908,936,613</w:t>
            </w:r>
          </w:p>
        </w:tc>
        <w:tc>
          <w:tcPr>
            <w:tcW w:w="289" w:type="pct"/>
            <w:tcBorders>
              <w:top w:val="nil"/>
              <w:left w:val="nil"/>
              <w:bottom w:val="nil"/>
              <w:right w:val="nil"/>
            </w:tcBorders>
            <w:shd w:val="clear" w:color="auto" w:fill="auto"/>
            <w:noWrap/>
            <w:vAlign w:val="center"/>
            <w:hideMark/>
          </w:tcPr>
          <w:p w14:paraId="37BDF597"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289" w:type="pct"/>
            <w:tcBorders>
              <w:top w:val="nil"/>
              <w:left w:val="nil"/>
              <w:bottom w:val="nil"/>
              <w:right w:val="nil"/>
            </w:tcBorders>
            <w:shd w:val="clear" w:color="auto" w:fill="auto"/>
            <w:noWrap/>
            <w:vAlign w:val="center"/>
            <w:hideMark/>
          </w:tcPr>
          <w:p w14:paraId="0D8361E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045059D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1992CB3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3C7EAD65" w14:textId="77777777" w:rsidTr="00D86FA8">
        <w:trPr>
          <w:trHeight w:val="20"/>
        </w:trPr>
        <w:tc>
          <w:tcPr>
            <w:tcW w:w="381" w:type="pct"/>
            <w:tcBorders>
              <w:top w:val="nil"/>
              <w:left w:val="nil"/>
              <w:bottom w:val="nil"/>
              <w:right w:val="nil"/>
            </w:tcBorders>
            <w:shd w:val="clear" w:color="auto" w:fill="auto"/>
            <w:noWrap/>
            <w:vAlign w:val="bottom"/>
            <w:hideMark/>
          </w:tcPr>
          <w:p w14:paraId="268F821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6A7E48F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09C28780"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06D4E377"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3026F4EB"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single" w:sz="4" w:space="0" w:color="auto"/>
              <w:bottom w:val="single" w:sz="4" w:space="0" w:color="auto"/>
              <w:right w:val="single" w:sz="4" w:space="0" w:color="auto"/>
            </w:tcBorders>
            <w:shd w:val="clear" w:color="000000" w:fill="4472C4"/>
            <w:vAlign w:val="center"/>
            <w:hideMark/>
          </w:tcPr>
          <w:p w14:paraId="618EA70C" w14:textId="71CEB804"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PBA 2024</w:t>
            </w:r>
            <w:r w:rsidR="00C265DC">
              <w:rPr>
                <w:rFonts w:ascii="Garamond" w:eastAsia="Times New Roman" w:hAnsi="Garamond" w:cs="Times New Roman"/>
                <w:color w:val="FFFFFF"/>
                <w:sz w:val="8"/>
                <w:szCs w:val="8"/>
                <w:lang w:val="sq-AL"/>
              </w:rPr>
              <w:t>–</w:t>
            </w:r>
            <w:r w:rsidRPr="001F0C5A">
              <w:rPr>
                <w:rFonts w:ascii="Garamond" w:eastAsia="Times New Roman" w:hAnsi="Garamond" w:cs="Times New Roman"/>
                <w:color w:val="FFFFFF"/>
                <w:sz w:val="8"/>
                <w:szCs w:val="8"/>
                <w:lang w:val="sq-AL"/>
              </w:rPr>
              <w:t>2026</w:t>
            </w:r>
          </w:p>
        </w:tc>
        <w:tc>
          <w:tcPr>
            <w:tcW w:w="330" w:type="pct"/>
            <w:tcBorders>
              <w:top w:val="nil"/>
              <w:left w:val="nil"/>
              <w:bottom w:val="single" w:sz="4" w:space="0" w:color="auto"/>
              <w:right w:val="single" w:sz="4" w:space="0" w:color="auto"/>
            </w:tcBorders>
            <w:shd w:val="clear" w:color="000000" w:fill="4472C4"/>
            <w:noWrap/>
            <w:vAlign w:val="center"/>
            <w:hideMark/>
          </w:tcPr>
          <w:p w14:paraId="38AB62BB"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2,776,690,675</w:t>
            </w:r>
          </w:p>
        </w:tc>
        <w:tc>
          <w:tcPr>
            <w:tcW w:w="330" w:type="pct"/>
            <w:tcBorders>
              <w:top w:val="nil"/>
              <w:left w:val="nil"/>
              <w:bottom w:val="nil"/>
              <w:right w:val="nil"/>
            </w:tcBorders>
            <w:shd w:val="clear" w:color="auto" w:fill="auto"/>
            <w:noWrap/>
            <w:vAlign w:val="center"/>
            <w:hideMark/>
          </w:tcPr>
          <w:p w14:paraId="21F784F0"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single" w:sz="4" w:space="0" w:color="auto"/>
              <w:bottom w:val="single" w:sz="4" w:space="0" w:color="auto"/>
              <w:right w:val="single" w:sz="4" w:space="0" w:color="auto"/>
            </w:tcBorders>
            <w:shd w:val="clear" w:color="000000" w:fill="70AD47"/>
            <w:noWrap/>
            <w:vAlign w:val="center"/>
            <w:hideMark/>
          </w:tcPr>
          <w:p w14:paraId="2FB3BF55" w14:textId="1F5C0AB2"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 xml:space="preserve">Qëllimi i </w:t>
            </w:r>
            <w:r w:rsidR="00A91982" w:rsidRPr="001F0C5A">
              <w:rPr>
                <w:rFonts w:ascii="Garamond" w:eastAsia="Times New Roman" w:hAnsi="Garamond" w:cs="Times New Roman"/>
                <w:color w:val="FFFFFF"/>
                <w:sz w:val="8"/>
                <w:szCs w:val="8"/>
                <w:lang w:val="sq-AL"/>
              </w:rPr>
              <w:t xml:space="preserve">politikës </w:t>
            </w:r>
            <w:r w:rsidRPr="001F0C5A">
              <w:rPr>
                <w:rFonts w:ascii="Garamond" w:eastAsia="Times New Roman" w:hAnsi="Garamond" w:cs="Times New Roman"/>
                <w:color w:val="FFFFFF"/>
                <w:sz w:val="8"/>
                <w:szCs w:val="8"/>
                <w:lang w:val="sq-AL"/>
              </w:rPr>
              <w:t>II</w:t>
            </w:r>
          </w:p>
        </w:tc>
        <w:tc>
          <w:tcPr>
            <w:tcW w:w="310" w:type="pct"/>
            <w:tcBorders>
              <w:top w:val="nil"/>
              <w:left w:val="nil"/>
              <w:bottom w:val="single" w:sz="4" w:space="0" w:color="auto"/>
              <w:right w:val="single" w:sz="4" w:space="0" w:color="auto"/>
            </w:tcBorders>
            <w:shd w:val="clear" w:color="000000" w:fill="70AD47"/>
            <w:noWrap/>
            <w:vAlign w:val="center"/>
            <w:hideMark/>
          </w:tcPr>
          <w:p w14:paraId="1DBFF90C"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799,450,000</w:t>
            </w:r>
          </w:p>
        </w:tc>
        <w:tc>
          <w:tcPr>
            <w:tcW w:w="330" w:type="pct"/>
            <w:tcBorders>
              <w:top w:val="nil"/>
              <w:left w:val="nil"/>
              <w:bottom w:val="single" w:sz="4" w:space="0" w:color="auto"/>
              <w:right w:val="single" w:sz="4" w:space="0" w:color="auto"/>
            </w:tcBorders>
            <w:shd w:val="clear" w:color="000000" w:fill="70AD47"/>
            <w:noWrap/>
            <w:vAlign w:val="center"/>
            <w:hideMark/>
          </w:tcPr>
          <w:p w14:paraId="68C1FAAD"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825,070,398</w:t>
            </w:r>
          </w:p>
        </w:tc>
        <w:tc>
          <w:tcPr>
            <w:tcW w:w="310" w:type="pct"/>
            <w:tcBorders>
              <w:top w:val="nil"/>
              <w:left w:val="nil"/>
              <w:bottom w:val="single" w:sz="4" w:space="0" w:color="auto"/>
              <w:right w:val="single" w:sz="4" w:space="0" w:color="auto"/>
            </w:tcBorders>
            <w:shd w:val="clear" w:color="000000" w:fill="70AD47"/>
            <w:noWrap/>
            <w:vAlign w:val="center"/>
            <w:hideMark/>
          </w:tcPr>
          <w:p w14:paraId="74BABD53"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1,624,520,398</w:t>
            </w:r>
          </w:p>
        </w:tc>
        <w:tc>
          <w:tcPr>
            <w:tcW w:w="289" w:type="pct"/>
            <w:tcBorders>
              <w:top w:val="nil"/>
              <w:left w:val="nil"/>
              <w:bottom w:val="nil"/>
              <w:right w:val="nil"/>
            </w:tcBorders>
            <w:shd w:val="clear" w:color="auto" w:fill="auto"/>
            <w:noWrap/>
            <w:vAlign w:val="center"/>
            <w:hideMark/>
          </w:tcPr>
          <w:p w14:paraId="3AFE0A5F"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289" w:type="pct"/>
            <w:tcBorders>
              <w:top w:val="nil"/>
              <w:left w:val="nil"/>
              <w:bottom w:val="nil"/>
              <w:right w:val="nil"/>
            </w:tcBorders>
            <w:shd w:val="clear" w:color="auto" w:fill="auto"/>
            <w:noWrap/>
            <w:vAlign w:val="center"/>
            <w:hideMark/>
          </w:tcPr>
          <w:p w14:paraId="3EE0A3A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4AF3CA1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059B93B8"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7CE4E850" w14:textId="77777777" w:rsidTr="00D86FA8">
        <w:trPr>
          <w:trHeight w:val="20"/>
        </w:trPr>
        <w:tc>
          <w:tcPr>
            <w:tcW w:w="381" w:type="pct"/>
            <w:tcBorders>
              <w:top w:val="nil"/>
              <w:left w:val="nil"/>
              <w:bottom w:val="nil"/>
              <w:right w:val="nil"/>
            </w:tcBorders>
            <w:shd w:val="clear" w:color="auto" w:fill="auto"/>
            <w:noWrap/>
            <w:vAlign w:val="bottom"/>
            <w:hideMark/>
          </w:tcPr>
          <w:p w14:paraId="62CED45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33B4962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31F0FE68"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055CA404"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4E0CE4D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single" w:sz="4" w:space="0" w:color="auto"/>
              <w:bottom w:val="single" w:sz="4" w:space="0" w:color="auto"/>
              <w:right w:val="single" w:sz="4" w:space="0" w:color="auto"/>
            </w:tcBorders>
            <w:shd w:val="clear" w:color="000000" w:fill="4472C4"/>
            <w:vAlign w:val="center"/>
            <w:hideMark/>
          </w:tcPr>
          <w:p w14:paraId="5FB35568"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 xml:space="preserve">Financim i huaj </w:t>
            </w:r>
          </w:p>
        </w:tc>
        <w:tc>
          <w:tcPr>
            <w:tcW w:w="330" w:type="pct"/>
            <w:tcBorders>
              <w:top w:val="nil"/>
              <w:left w:val="nil"/>
              <w:bottom w:val="single" w:sz="4" w:space="0" w:color="auto"/>
              <w:right w:val="single" w:sz="4" w:space="0" w:color="auto"/>
            </w:tcBorders>
            <w:shd w:val="clear" w:color="000000" w:fill="4472C4"/>
            <w:noWrap/>
            <w:vAlign w:val="center"/>
            <w:hideMark/>
          </w:tcPr>
          <w:p w14:paraId="7DE0600D"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761,080,000</w:t>
            </w:r>
          </w:p>
        </w:tc>
        <w:tc>
          <w:tcPr>
            <w:tcW w:w="330" w:type="pct"/>
            <w:tcBorders>
              <w:top w:val="nil"/>
              <w:left w:val="nil"/>
              <w:bottom w:val="nil"/>
              <w:right w:val="nil"/>
            </w:tcBorders>
            <w:shd w:val="clear" w:color="auto" w:fill="auto"/>
            <w:noWrap/>
            <w:vAlign w:val="center"/>
            <w:hideMark/>
          </w:tcPr>
          <w:p w14:paraId="23D1DACB"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single" w:sz="4" w:space="0" w:color="auto"/>
              <w:bottom w:val="single" w:sz="4" w:space="0" w:color="auto"/>
              <w:right w:val="single" w:sz="4" w:space="0" w:color="auto"/>
            </w:tcBorders>
            <w:shd w:val="clear" w:color="000000" w:fill="70AD47"/>
            <w:noWrap/>
            <w:vAlign w:val="center"/>
            <w:hideMark/>
          </w:tcPr>
          <w:p w14:paraId="44C37231" w14:textId="712E2CE2"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 xml:space="preserve">Qëllimi i </w:t>
            </w:r>
            <w:r w:rsidR="00A91982" w:rsidRPr="001F0C5A">
              <w:rPr>
                <w:rFonts w:ascii="Garamond" w:eastAsia="Times New Roman" w:hAnsi="Garamond" w:cs="Times New Roman"/>
                <w:color w:val="FFFFFF"/>
                <w:sz w:val="8"/>
                <w:szCs w:val="8"/>
                <w:lang w:val="sq-AL"/>
              </w:rPr>
              <w:t xml:space="preserve">politikës </w:t>
            </w:r>
            <w:r w:rsidRPr="001F0C5A">
              <w:rPr>
                <w:rFonts w:ascii="Garamond" w:eastAsia="Times New Roman" w:hAnsi="Garamond" w:cs="Times New Roman"/>
                <w:color w:val="FFFFFF"/>
                <w:sz w:val="8"/>
                <w:szCs w:val="8"/>
                <w:lang w:val="sq-AL"/>
              </w:rPr>
              <w:t>III</w:t>
            </w:r>
          </w:p>
        </w:tc>
        <w:tc>
          <w:tcPr>
            <w:tcW w:w="310" w:type="pct"/>
            <w:tcBorders>
              <w:top w:val="nil"/>
              <w:left w:val="nil"/>
              <w:bottom w:val="single" w:sz="4" w:space="0" w:color="auto"/>
              <w:right w:val="single" w:sz="4" w:space="0" w:color="auto"/>
            </w:tcBorders>
            <w:shd w:val="clear" w:color="000000" w:fill="70AD47"/>
            <w:noWrap/>
            <w:vAlign w:val="center"/>
            <w:hideMark/>
          </w:tcPr>
          <w:p w14:paraId="1900907A"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5,783,664</w:t>
            </w:r>
          </w:p>
        </w:tc>
        <w:tc>
          <w:tcPr>
            <w:tcW w:w="330" w:type="pct"/>
            <w:tcBorders>
              <w:top w:val="nil"/>
              <w:left w:val="nil"/>
              <w:bottom w:val="single" w:sz="4" w:space="0" w:color="auto"/>
              <w:right w:val="single" w:sz="4" w:space="0" w:color="auto"/>
            </w:tcBorders>
            <w:shd w:val="clear" w:color="000000" w:fill="70AD47"/>
            <w:noWrap/>
            <w:vAlign w:val="center"/>
            <w:hideMark/>
          </w:tcPr>
          <w:p w14:paraId="45B36785"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0</w:t>
            </w:r>
          </w:p>
        </w:tc>
        <w:tc>
          <w:tcPr>
            <w:tcW w:w="310" w:type="pct"/>
            <w:tcBorders>
              <w:top w:val="nil"/>
              <w:left w:val="nil"/>
              <w:bottom w:val="single" w:sz="4" w:space="0" w:color="auto"/>
              <w:right w:val="single" w:sz="4" w:space="0" w:color="auto"/>
            </w:tcBorders>
            <w:shd w:val="clear" w:color="000000" w:fill="70AD47"/>
            <w:noWrap/>
            <w:vAlign w:val="center"/>
            <w:hideMark/>
          </w:tcPr>
          <w:p w14:paraId="0E9732EF"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5,783,664</w:t>
            </w:r>
          </w:p>
        </w:tc>
        <w:tc>
          <w:tcPr>
            <w:tcW w:w="289" w:type="pct"/>
            <w:tcBorders>
              <w:top w:val="nil"/>
              <w:left w:val="nil"/>
              <w:bottom w:val="nil"/>
              <w:right w:val="nil"/>
            </w:tcBorders>
            <w:shd w:val="clear" w:color="auto" w:fill="auto"/>
            <w:noWrap/>
            <w:vAlign w:val="center"/>
            <w:hideMark/>
          </w:tcPr>
          <w:p w14:paraId="5989B797"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289" w:type="pct"/>
            <w:tcBorders>
              <w:top w:val="nil"/>
              <w:left w:val="nil"/>
              <w:bottom w:val="nil"/>
              <w:right w:val="nil"/>
            </w:tcBorders>
            <w:shd w:val="clear" w:color="auto" w:fill="auto"/>
            <w:noWrap/>
            <w:vAlign w:val="center"/>
            <w:hideMark/>
          </w:tcPr>
          <w:p w14:paraId="1355019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3F2B8AC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0477A44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53771C71" w14:textId="77777777" w:rsidTr="00D86FA8">
        <w:trPr>
          <w:trHeight w:val="20"/>
        </w:trPr>
        <w:tc>
          <w:tcPr>
            <w:tcW w:w="381" w:type="pct"/>
            <w:tcBorders>
              <w:top w:val="nil"/>
              <w:left w:val="nil"/>
              <w:bottom w:val="nil"/>
              <w:right w:val="nil"/>
            </w:tcBorders>
            <w:shd w:val="clear" w:color="auto" w:fill="auto"/>
            <w:noWrap/>
            <w:vAlign w:val="bottom"/>
            <w:hideMark/>
          </w:tcPr>
          <w:p w14:paraId="74B146B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4FF1B111"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0622BF02"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7E065D6E"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553B3D8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single" w:sz="4" w:space="0" w:color="auto"/>
              <w:bottom w:val="single" w:sz="4" w:space="0" w:color="auto"/>
              <w:right w:val="single" w:sz="4" w:space="0" w:color="auto"/>
            </w:tcBorders>
            <w:shd w:val="clear" w:color="000000" w:fill="4472C4"/>
            <w:vAlign w:val="center"/>
            <w:hideMark/>
          </w:tcPr>
          <w:p w14:paraId="5CB3FB32" w14:textId="369F291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Hendek financiar 2024</w:t>
            </w:r>
            <w:r w:rsidR="00C265DC">
              <w:rPr>
                <w:rFonts w:ascii="Garamond" w:eastAsia="Times New Roman" w:hAnsi="Garamond" w:cs="Times New Roman"/>
                <w:color w:val="FFFFFF"/>
                <w:sz w:val="8"/>
                <w:szCs w:val="8"/>
                <w:lang w:val="sq-AL"/>
              </w:rPr>
              <w:t>–</w:t>
            </w:r>
            <w:r w:rsidRPr="001F0C5A">
              <w:rPr>
                <w:rFonts w:ascii="Garamond" w:eastAsia="Times New Roman" w:hAnsi="Garamond" w:cs="Times New Roman"/>
                <w:color w:val="FFFFFF"/>
                <w:sz w:val="8"/>
                <w:szCs w:val="8"/>
                <w:lang w:val="sq-AL"/>
              </w:rPr>
              <w:t>2025</w:t>
            </w:r>
          </w:p>
        </w:tc>
        <w:tc>
          <w:tcPr>
            <w:tcW w:w="330" w:type="pct"/>
            <w:tcBorders>
              <w:top w:val="nil"/>
              <w:left w:val="nil"/>
              <w:bottom w:val="single" w:sz="4" w:space="0" w:color="auto"/>
              <w:right w:val="single" w:sz="4" w:space="0" w:color="auto"/>
            </w:tcBorders>
            <w:shd w:val="clear" w:color="000000" w:fill="4472C4"/>
            <w:noWrap/>
            <w:vAlign w:val="center"/>
            <w:hideMark/>
          </w:tcPr>
          <w:p w14:paraId="7FB88BDF"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1,470,000</w:t>
            </w:r>
          </w:p>
        </w:tc>
        <w:tc>
          <w:tcPr>
            <w:tcW w:w="330" w:type="pct"/>
            <w:tcBorders>
              <w:top w:val="nil"/>
              <w:left w:val="nil"/>
              <w:bottom w:val="nil"/>
              <w:right w:val="nil"/>
            </w:tcBorders>
            <w:shd w:val="clear" w:color="auto" w:fill="auto"/>
            <w:noWrap/>
            <w:vAlign w:val="center"/>
            <w:hideMark/>
          </w:tcPr>
          <w:p w14:paraId="65DADAA1"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nil"/>
              <w:bottom w:val="nil"/>
              <w:right w:val="nil"/>
            </w:tcBorders>
            <w:shd w:val="clear" w:color="auto" w:fill="auto"/>
            <w:noWrap/>
            <w:vAlign w:val="center"/>
            <w:hideMark/>
          </w:tcPr>
          <w:p w14:paraId="18022CA1"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2676E3A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3A09066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0746FA0E"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bottom"/>
            <w:hideMark/>
          </w:tcPr>
          <w:p w14:paraId="48F3A8C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bottom"/>
            <w:hideMark/>
          </w:tcPr>
          <w:p w14:paraId="469DBA6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bottom"/>
            <w:hideMark/>
          </w:tcPr>
          <w:p w14:paraId="2C049D11"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bottom"/>
            <w:hideMark/>
          </w:tcPr>
          <w:p w14:paraId="480A6FFD" w14:textId="77777777" w:rsidR="00D86FA8" w:rsidRPr="001F0C5A" w:rsidRDefault="00D86FA8" w:rsidP="00D86FA8">
            <w:pPr>
              <w:spacing w:after="0" w:line="240" w:lineRule="auto"/>
              <w:rPr>
                <w:rFonts w:ascii="Garamond" w:eastAsia="Times New Roman" w:hAnsi="Garamond" w:cs="Times New Roman"/>
                <w:sz w:val="8"/>
                <w:szCs w:val="8"/>
                <w:lang w:val="sq-AL"/>
              </w:rPr>
            </w:pPr>
          </w:p>
        </w:tc>
      </w:tr>
      <w:tr w:rsidR="00D86FA8" w:rsidRPr="001F0C5A" w14:paraId="1F293120" w14:textId="77777777" w:rsidTr="00D86FA8">
        <w:trPr>
          <w:trHeight w:val="20"/>
        </w:trPr>
        <w:tc>
          <w:tcPr>
            <w:tcW w:w="381" w:type="pct"/>
            <w:tcBorders>
              <w:top w:val="nil"/>
              <w:left w:val="nil"/>
              <w:bottom w:val="nil"/>
              <w:right w:val="nil"/>
            </w:tcBorders>
            <w:shd w:val="clear" w:color="auto" w:fill="auto"/>
            <w:noWrap/>
            <w:vAlign w:val="bottom"/>
            <w:hideMark/>
          </w:tcPr>
          <w:p w14:paraId="1B8B0B98"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40489951"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3C2E7CC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5E75117D"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4C2CE1A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70D94CBB"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5B61A14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4B764BC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nil"/>
              <w:left w:val="nil"/>
              <w:bottom w:val="nil"/>
              <w:right w:val="nil"/>
            </w:tcBorders>
            <w:shd w:val="clear" w:color="auto" w:fill="auto"/>
            <w:noWrap/>
            <w:vAlign w:val="center"/>
            <w:hideMark/>
          </w:tcPr>
          <w:p w14:paraId="1447248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08524C0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583C813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2435E37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42630BF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6CCED91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566C64A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175E7E8A"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45106344" w14:textId="77777777" w:rsidTr="00D86FA8">
        <w:trPr>
          <w:trHeight w:val="20"/>
        </w:trPr>
        <w:tc>
          <w:tcPr>
            <w:tcW w:w="381" w:type="pct"/>
            <w:tcBorders>
              <w:top w:val="nil"/>
              <w:left w:val="nil"/>
              <w:bottom w:val="nil"/>
              <w:right w:val="nil"/>
            </w:tcBorders>
            <w:shd w:val="clear" w:color="auto" w:fill="auto"/>
            <w:noWrap/>
            <w:vAlign w:val="bottom"/>
            <w:hideMark/>
          </w:tcPr>
          <w:p w14:paraId="0A4E6CE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7DB55A78"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315CAB6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4B2840FF"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6252416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08A463FE"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59CAAA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064B253B"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nil"/>
              <w:left w:val="nil"/>
              <w:bottom w:val="nil"/>
              <w:right w:val="nil"/>
            </w:tcBorders>
            <w:shd w:val="clear" w:color="auto" w:fill="auto"/>
            <w:noWrap/>
            <w:vAlign w:val="center"/>
            <w:hideMark/>
          </w:tcPr>
          <w:p w14:paraId="0BDFFF2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2B4B85C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0B57251E"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2937A7D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572FE3C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634284B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09E938A5"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532ECA3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573EBDD1" w14:textId="77777777" w:rsidTr="00D86FA8">
        <w:trPr>
          <w:trHeight w:val="20"/>
        </w:trPr>
        <w:tc>
          <w:tcPr>
            <w:tcW w:w="381" w:type="pct"/>
            <w:tcBorders>
              <w:top w:val="nil"/>
              <w:left w:val="nil"/>
              <w:bottom w:val="nil"/>
              <w:right w:val="nil"/>
            </w:tcBorders>
            <w:shd w:val="clear" w:color="auto" w:fill="auto"/>
            <w:noWrap/>
            <w:vAlign w:val="bottom"/>
            <w:hideMark/>
          </w:tcPr>
          <w:p w14:paraId="20BD05E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0E97BBAC"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6E075FAB"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2BEE0714"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659249B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8235F01" w14:textId="015576C1"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Kosto</w:t>
            </w:r>
            <w:r w:rsidR="00C265DC">
              <w:rPr>
                <w:rFonts w:ascii="Garamond" w:eastAsia="Times New Roman" w:hAnsi="Garamond" w:cs="Times New Roman"/>
                <w:color w:val="FFFFFF"/>
                <w:sz w:val="8"/>
                <w:szCs w:val="8"/>
                <w:lang w:val="sq-AL"/>
              </w:rPr>
              <w:t>ja</w:t>
            </w:r>
            <w:r w:rsidRPr="001F0C5A">
              <w:rPr>
                <w:rFonts w:ascii="Garamond" w:eastAsia="Times New Roman" w:hAnsi="Garamond" w:cs="Times New Roman"/>
                <w:color w:val="FFFFFF"/>
                <w:sz w:val="8"/>
                <w:szCs w:val="8"/>
                <w:lang w:val="sq-AL"/>
              </w:rPr>
              <w:t xml:space="preserve"> </w:t>
            </w:r>
            <w:r w:rsidR="00C265DC" w:rsidRPr="001F0C5A">
              <w:rPr>
                <w:rFonts w:ascii="Garamond" w:eastAsia="Times New Roman" w:hAnsi="Garamond" w:cs="Times New Roman"/>
                <w:color w:val="FFFFFF"/>
                <w:sz w:val="8"/>
                <w:szCs w:val="8"/>
                <w:lang w:val="sq-AL"/>
              </w:rPr>
              <w:t>kor</w:t>
            </w:r>
            <w:r w:rsidR="00C265DC">
              <w:rPr>
                <w:rFonts w:ascii="Garamond" w:eastAsia="Times New Roman" w:hAnsi="Garamond" w:cs="Times New Roman"/>
                <w:color w:val="FFFFFF"/>
                <w:sz w:val="8"/>
                <w:szCs w:val="8"/>
                <w:lang w:val="sq-AL"/>
              </w:rPr>
              <w:t>r</w:t>
            </w:r>
            <w:r w:rsidR="00C265DC" w:rsidRPr="001F0C5A">
              <w:rPr>
                <w:rFonts w:ascii="Garamond" w:eastAsia="Times New Roman" w:hAnsi="Garamond" w:cs="Times New Roman"/>
                <w:color w:val="FFFFFF"/>
                <w:sz w:val="8"/>
                <w:szCs w:val="8"/>
                <w:lang w:val="sq-AL"/>
              </w:rPr>
              <w:t xml:space="preserve">ente </w:t>
            </w:r>
          </w:p>
        </w:tc>
        <w:tc>
          <w:tcPr>
            <w:tcW w:w="330" w:type="pct"/>
            <w:tcBorders>
              <w:top w:val="single" w:sz="4" w:space="0" w:color="auto"/>
              <w:left w:val="nil"/>
              <w:bottom w:val="single" w:sz="4" w:space="0" w:color="auto"/>
              <w:right w:val="single" w:sz="4" w:space="0" w:color="auto"/>
            </w:tcBorders>
            <w:shd w:val="clear" w:color="000000" w:fill="ED7D31"/>
            <w:noWrap/>
            <w:vAlign w:val="center"/>
            <w:hideMark/>
          </w:tcPr>
          <w:p w14:paraId="40007B8F"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2,029,245,277</w:t>
            </w:r>
          </w:p>
        </w:tc>
        <w:tc>
          <w:tcPr>
            <w:tcW w:w="330" w:type="pct"/>
            <w:tcBorders>
              <w:top w:val="nil"/>
              <w:left w:val="nil"/>
              <w:bottom w:val="nil"/>
              <w:right w:val="nil"/>
            </w:tcBorders>
            <w:shd w:val="clear" w:color="auto" w:fill="auto"/>
            <w:noWrap/>
            <w:vAlign w:val="center"/>
            <w:hideMark/>
          </w:tcPr>
          <w:p w14:paraId="6D9100C0"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nil"/>
              <w:bottom w:val="nil"/>
              <w:right w:val="nil"/>
            </w:tcBorders>
            <w:shd w:val="clear" w:color="auto" w:fill="auto"/>
            <w:noWrap/>
            <w:vAlign w:val="center"/>
            <w:hideMark/>
          </w:tcPr>
          <w:p w14:paraId="6ED6C3DA"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4024770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51F66875"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75123D7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57CC42A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52263E2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202B92E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42AF398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4C742E2B" w14:textId="77777777" w:rsidTr="00D86FA8">
        <w:trPr>
          <w:trHeight w:val="20"/>
        </w:trPr>
        <w:tc>
          <w:tcPr>
            <w:tcW w:w="381" w:type="pct"/>
            <w:tcBorders>
              <w:top w:val="nil"/>
              <w:left w:val="nil"/>
              <w:bottom w:val="nil"/>
              <w:right w:val="nil"/>
            </w:tcBorders>
            <w:shd w:val="clear" w:color="auto" w:fill="auto"/>
            <w:noWrap/>
            <w:vAlign w:val="bottom"/>
            <w:hideMark/>
          </w:tcPr>
          <w:p w14:paraId="1D04E99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608250EC"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02674C5F"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4FE99BCC"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500ABF4C"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single" w:sz="4" w:space="0" w:color="auto"/>
              <w:bottom w:val="single" w:sz="4" w:space="0" w:color="auto"/>
              <w:right w:val="single" w:sz="4" w:space="0" w:color="auto"/>
            </w:tcBorders>
            <w:shd w:val="clear" w:color="000000" w:fill="ED7D31"/>
            <w:noWrap/>
            <w:vAlign w:val="center"/>
            <w:hideMark/>
          </w:tcPr>
          <w:p w14:paraId="47599D73" w14:textId="52EBF45C"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Kosto</w:t>
            </w:r>
            <w:r w:rsidR="00C265DC">
              <w:rPr>
                <w:rFonts w:ascii="Garamond" w:eastAsia="Times New Roman" w:hAnsi="Garamond" w:cs="Times New Roman"/>
                <w:color w:val="FFFFFF"/>
                <w:sz w:val="8"/>
                <w:szCs w:val="8"/>
                <w:lang w:val="sq-AL"/>
              </w:rPr>
              <w:t>ja</w:t>
            </w:r>
            <w:r w:rsidRPr="001F0C5A">
              <w:rPr>
                <w:rFonts w:ascii="Garamond" w:eastAsia="Times New Roman" w:hAnsi="Garamond" w:cs="Times New Roman"/>
                <w:color w:val="FFFFFF"/>
                <w:sz w:val="8"/>
                <w:szCs w:val="8"/>
                <w:lang w:val="sq-AL"/>
              </w:rPr>
              <w:t xml:space="preserve"> kapitale</w:t>
            </w:r>
          </w:p>
        </w:tc>
        <w:tc>
          <w:tcPr>
            <w:tcW w:w="330" w:type="pct"/>
            <w:tcBorders>
              <w:top w:val="nil"/>
              <w:left w:val="nil"/>
              <w:bottom w:val="single" w:sz="4" w:space="0" w:color="auto"/>
              <w:right w:val="single" w:sz="4" w:space="0" w:color="auto"/>
            </w:tcBorders>
            <w:shd w:val="clear" w:color="000000" w:fill="ED7D31"/>
            <w:noWrap/>
            <w:vAlign w:val="center"/>
            <w:hideMark/>
          </w:tcPr>
          <w:p w14:paraId="53FA329F"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1,509,995,398</w:t>
            </w:r>
          </w:p>
        </w:tc>
        <w:tc>
          <w:tcPr>
            <w:tcW w:w="330" w:type="pct"/>
            <w:tcBorders>
              <w:top w:val="nil"/>
              <w:left w:val="nil"/>
              <w:bottom w:val="nil"/>
              <w:right w:val="nil"/>
            </w:tcBorders>
            <w:shd w:val="clear" w:color="auto" w:fill="auto"/>
            <w:noWrap/>
            <w:vAlign w:val="center"/>
            <w:hideMark/>
          </w:tcPr>
          <w:p w14:paraId="4074E28A"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nil"/>
              <w:bottom w:val="nil"/>
              <w:right w:val="nil"/>
            </w:tcBorders>
            <w:shd w:val="clear" w:color="auto" w:fill="auto"/>
            <w:noWrap/>
            <w:vAlign w:val="center"/>
            <w:hideMark/>
          </w:tcPr>
          <w:p w14:paraId="5F23ADB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76CCEAD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E597F3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3A721D7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46E08EA8"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2FCDA09E"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7E97A23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1A37098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249FF432" w14:textId="77777777" w:rsidTr="00D86FA8">
        <w:trPr>
          <w:trHeight w:val="20"/>
        </w:trPr>
        <w:tc>
          <w:tcPr>
            <w:tcW w:w="381" w:type="pct"/>
            <w:tcBorders>
              <w:top w:val="nil"/>
              <w:left w:val="nil"/>
              <w:bottom w:val="nil"/>
              <w:right w:val="nil"/>
            </w:tcBorders>
            <w:shd w:val="clear" w:color="auto" w:fill="auto"/>
            <w:noWrap/>
            <w:vAlign w:val="bottom"/>
            <w:hideMark/>
          </w:tcPr>
          <w:p w14:paraId="201C0A1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6EBB6EA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279161F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0F677A3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0FC8B979"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single" w:sz="4" w:space="0" w:color="auto"/>
              <w:bottom w:val="single" w:sz="4" w:space="0" w:color="auto"/>
              <w:right w:val="single" w:sz="4" w:space="0" w:color="auto"/>
            </w:tcBorders>
            <w:shd w:val="clear" w:color="000000" w:fill="ED7D31"/>
            <w:noWrap/>
            <w:vAlign w:val="center"/>
            <w:hideMark/>
          </w:tcPr>
          <w:p w14:paraId="2280057D"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Total kosto</w:t>
            </w:r>
          </w:p>
        </w:tc>
        <w:tc>
          <w:tcPr>
            <w:tcW w:w="330" w:type="pct"/>
            <w:tcBorders>
              <w:top w:val="nil"/>
              <w:left w:val="nil"/>
              <w:bottom w:val="single" w:sz="4" w:space="0" w:color="auto"/>
              <w:right w:val="single" w:sz="4" w:space="0" w:color="auto"/>
            </w:tcBorders>
            <w:shd w:val="clear" w:color="000000" w:fill="ED7D31"/>
            <w:noWrap/>
            <w:vAlign w:val="center"/>
            <w:hideMark/>
          </w:tcPr>
          <w:p w14:paraId="245F5E89"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3,539,240,675</w:t>
            </w:r>
          </w:p>
        </w:tc>
        <w:tc>
          <w:tcPr>
            <w:tcW w:w="330" w:type="pct"/>
            <w:tcBorders>
              <w:top w:val="nil"/>
              <w:left w:val="nil"/>
              <w:bottom w:val="nil"/>
              <w:right w:val="nil"/>
            </w:tcBorders>
            <w:shd w:val="clear" w:color="auto" w:fill="auto"/>
            <w:noWrap/>
            <w:vAlign w:val="center"/>
            <w:hideMark/>
          </w:tcPr>
          <w:p w14:paraId="79BA643D"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nil"/>
              <w:bottom w:val="nil"/>
              <w:right w:val="nil"/>
            </w:tcBorders>
            <w:shd w:val="clear" w:color="auto" w:fill="auto"/>
            <w:noWrap/>
            <w:vAlign w:val="center"/>
            <w:hideMark/>
          </w:tcPr>
          <w:p w14:paraId="7EA47A6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06F7F61E"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71A9A1C1"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13AF668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4AFDBF08"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03967C4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3F29CE7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41E2609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bl>
    <w:p w14:paraId="298515E8" w14:textId="72189E64" w:rsidR="00D86FA8" w:rsidRPr="001F0C5A" w:rsidRDefault="00D86FA8" w:rsidP="00D86FA8">
      <w:pPr>
        <w:spacing w:after="0" w:line="240" w:lineRule="auto"/>
        <w:ind w:firstLine="284"/>
        <w:jc w:val="center"/>
        <w:rPr>
          <w:rFonts w:ascii="Garamond" w:hAnsi="Garamond" w:cs="Times New Roman"/>
          <w:b/>
          <w:sz w:val="24"/>
          <w:szCs w:val="24"/>
          <w:lang w:val="sq-AL"/>
        </w:rPr>
      </w:pPr>
    </w:p>
    <w:tbl>
      <w:tblPr>
        <w:tblW w:w="5000" w:type="pct"/>
        <w:tblLook w:val="04A0" w:firstRow="1" w:lastRow="0" w:firstColumn="1" w:lastColumn="0" w:noHBand="0" w:noVBand="1"/>
      </w:tblPr>
      <w:tblGrid>
        <w:gridCol w:w="3867"/>
        <w:gridCol w:w="2126"/>
        <w:gridCol w:w="2179"/>
        <w:gridCol w:w="2560"/>
        <w:gridCol w:w="3271"/>
      </w:tblGrid>
      <w:tr w:rsidR="00D86FA8" w:rsidRPr="001F0C5A" w14:paraId="70EFA5CA" w14:textId="77777777" w:rsidTr="00D86FA8">
        <w:trPr>
          <w:trHeight w:val="20"/>
        </w:trPr>
        <w:tc>
          <w:tcPr>
            <w:tcW w:w="5000" w:type="pct"/>
            <w:gridSpan w:val="5"/>
            <w:tcBorders>
              <w:top w:val="nil"/>
              <w:left w:val="nil"/>
              <w:bottom w:val="nil"/>
              <w:right w:val="nil"/>
            </w:tcBorders>
            <w:shd w:val="clear" w:color="auto" w:fill="auto"/>
            <w:noWrap/>
            <w:vAlign w:val="center"/>
            <w:hideMark/>
          </w:tcPr>
          <w:p w14:paraId="6D18F158" w14:textId="1ACB230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 xml:space="preserve">Kostoja financiare e SMIK (në </w:t>
            </w:r>
            <w:r w:rsidR="006B6F84" w:rsidRPr="001F0C5A">
              <w:rPr>
                <w:rFonts w:ascii="Garamond" w:eastAsia="Times New Roman" w:hAnsi="Garamond" w:cs="Arial"/>
                <w:b/>
                <w:bCs/>
                <w:color w:val="000000"/>
                <w:sz w:val="14"/>
                <w:szCs w:val="14"/>
                <w:lang w:val="sq-AL"/>
              </w:rPr>
              <w:t>lek</w:t>
            </w:r>
            <w:r w:rsidRPr="001F0C5A">
              <w:rPr>
                <w:rFonts w:ascii="Garamond" w:eastAsia="Times New Roman" w:hAnsi="Garamond" w:cs="Arial"/>
                <w:b/>
                <w:bCs/>
                <w:color w:val="000000"/>
                <w:sz w:val="14"/>
                <w:szCs w:val="14"/>
                <w:lang w:val="sq-AL"/>
              </w:rPr>
              <w:t>)</w:t>
            </w:r>
          </w:p>
        </w:tc>
      </w:tr>
      <w:tr w:rsidR="00D86FA8" w:rsidRPr="001F0C5A" w14:paraId="22892BA2" w14:textId="77777777" w:rsidTr="00D86FA8">
        <w:trPr>
          <w:trHeight w:val="20"/>
        </w:trPr>
        <w:tc>
          <w:tcPr>
            <w:tcW w:w="1381" w:type="pct"/>
            <w:vMerge w:val="restart"/>
            <w:tcBorders>
              <w:top w:val="single" w:sz="8" w:space="0" w:color="auto"/>
              <w:left w:val="single" w:sz="8" w:space="0" w:color="auto"/>
              <w:bottom w:val="single" w:sz="8" w:space="0" w:color="4472C4"/>
              <w:right w:val="nil"/>
            </w:tcBorders>
            <w:shd w:val="clear" w:color="000000" w:fill="4472C4"/>
            <w:vAlign w:val="center"/>
            <w:hideMark/>
          </w:tcPr>
          <w:p w14:paraId="34B83B15" w14:textId="6EDBDEC8"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 xml:space="preserve">Qëllimi i </w:t>
            </w:r>
            <w:r w:rsidR="00C265DC" w:rsidRPr="001F0C5A">
              <w:rPr>
                <w:rFonts w:ascii="Garamond" w:eastAsia="Times New Roman" w:hAnsi="Garamond" w:cs="Arial"/>
                <w:b/>
                <w:bCs/>
                <w:color w:val="FFFFFF"/>
                <w:sz w:val="14"/>
                <w:szCs w:val="14"/>
                <w:lang w:val="sq-AL"/>
              </w:rPr>
              <w:t>politikës</w:t>
            </w:r>
          </w:p>
        </w:tc>
        <w:tc>
          <w:tcPr>
            <w:tcW w:w="759" w:type="pct"/>
            <w:vMerge w:val="restart"/>
            <w:tcBorders>
              <w:top w:val="single" w:sz="8" w:space="0" w:color="auto"/>
              <w:left w:val="nil"/>
              <w:bottom w:val="single" w:sz="8" w:space="0" w:color="4472C4"/>
              <w:right w:val="nil"/>
            </w:tcBorders>
            <w:shd w:val="clear" w:color="000000" w:fill="4472C4"/>
            <w:vAlign w:val="center"/>
            <w:hideMark/>
          </w:tcPr>
          <w:p w14:paraId="1ABF627B" w14:textId="77777777"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Tipologjia e kostove</w:t>
            </w:r>
          </w:p>
        </w:tc>
        <w:tc>
          <w:tcPr>
            <w:tcW w:w="778" w:type="pct"/>
            <w:tcBorders>
              <w:top w:val="single" w:sz="8" w:space="0" w:color="auto"/>
              <w:left w:val="nil"/>
              <w:bottom w:val="nil"/>
              <w:right w:val="nil"/>
            </w:tcBorders>
            <w:shd w:val="clear" w:color="000000" w:fill="4472C4"/>
            <w:vAlign w:val="center"/>
            <w:hideMark/>
          </w:tcPr>
          <w:p w14:paraId="3B31D7F5" w14:textId="1A549BCF"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Kosto</w:t>
            </w:r>
            <w:r w:rsidR="006B6F84">
              <w:rPr>
                <w:rFonts w:ascii="Garamond" w:eastAsia="Times New Roman" w:hAnsi="Garamond" w:cs="Arial"/>
                <w:b/>
                <w:bCs/>
                <w:color w:val="FFFFFF"/>
                <w:sz w:val="14"/>
                <w:szCs w:val="14"/>
                <w:lang w:val="sq-AL"/>
              </w:rPr>
              <w:t>ja</w:t>
            </w:r>
            <w:r w:rsidRPr="001F0C5A">
              <w:rPr>
                <w:rFonts w:ascii="Garamond" w:eastAsia="Times New Roman" w:hAnsi="Garamond" w:cs="Arial"/>
                <w:b/>
                <w:bCs/>
                <w:color w:val="FFFFFF"/>
                <w:sz w:val="14"/>
                <w:szCs w:val="14"/>
                <w:lang w:val="sq-AL"/>
              </w:rPr>
              <w:t xml:space="preserve"> totale</w:t>
            </w:r>
          </w:p>
        </w:tc>
        <w:tc>
          <w:tcPr>
            <w:tcW w:w="914" w:type="pct"/>
            <w:tcBorders>
              <w:top w:val="single" w:sz="8" w:space="0" w:color="auto"/>
              <w:left w:val="nil"/>
              <w:bottom w:val="nil"/>
              <w:right w:val="nil"/>
            </w:tcBorders>
            <w:shd w:val="clear" w:color="000000" w:fill="4472C4"/>
            <w:vAlign w:val="center"/>
            <w:hideMark/>
          </w:tcPr>
          <w:p w14:paraId="0236B297" w14:textId="632B205E"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Kosto</w:t>
            </w:r>
            <w:r w:rsidR="006B6F84">
              <w:rPr>
                <w:rFonts w:ascii="Garamond" w:eastAsia="Times New Roman" w:hAnsi="Garamond" w:cs="Arial"/>
                <w:b/>
                <w:bCs/>
                <w:color w:val="FFFFFF"/>
                <w:sz w:val="14"/>
                <w:szCs w:val="14"/>
                <w:lang w:val="sq-AL"/>
              </w:rPr>
              <w:t xml:space="preserve">ja </w:t>
            </w:r>
            <w:r w:rsidRPr="001F0C5A">
              <w:rPr>
                <w:rFonts w:ascii="Garamond" w:eastAsia="Times New Roman" w:hAnsi="Garamond" w:cs="Arial"/>
                <w:b/>
                <w:bCs/>
                <w:color w:val="FFFFFF"/>
                <w:sz w:val="14"/>
                <w:szCs w:val="14"/>
                <w:lang w:val="sq-AL"/>
              </w:rPr>
              <w:t>e planifikuar n</w:t>
            </w:r>
            <w:r w:rsidR="006B6F84">
              <w:rPr>
                <w:rFonts w:ascii="Garamond" w:eastAsia="Times New Roman" w:hAnsi="Garamond" w:cs="Arial"/>
                <w:b/>
                <w:bCs/>
                <w:color w:val="FFFFFF"/>
                <w:sz w:val="14"/>
                <w:szCs w:val="14"/>
                <w:lang w:val="sq-AL"/>
              </w:rPr>
              <w:t>ë</w:t>
            </w:r>
          </w:p>
        </w:tc>
        <w:tc>
          <w:tcPr>
            <w:tcW w:w="1167" w:type="pct"/>
            <w:tcBorders>
              <w:top w:val="single" w:sz="8" w:space="0" w:color="auto"/>
              <w:left w:val="nil"/>
              <w:bottom w:val="nil"/>
              <w:right w:val="single" w:sz="8" w:space="0" w:color="auto"/>
            </w:tcBorders>
            <w:shd w:val="clear" w:color="000000" w:fill="4472C4"/>
            <w:vAlign w:val="center"/>
            <w:hideMark/>
          </w:tcPr>
          <w:p w14:paraId="076E0381" w14:textId="77777777"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Hendeku financiar</w:t>
            </w:r>
          </w:p>
        </w:tc>
      </w:tr>
      <w:tr w:rsidR="00D86FA8" w:rsidRPr="001F0C5A" w14:paraId="2BB8A4DB" w14:textId="77777777" w:rsidTr="00D86FA8">
        <w:trPr>
          <w:trHeight w:val="20"/>
        </w:trPr>
        <w:tc>
          <w:tcPr>
            <w:tcW w:w="1381" w:type="pct"/>
            <w:vMerge/>
            <w:tcBorders>
              <w:top w:val="single" w:sz="8" w:space="0" w:color="auto"/>
              <w:left w:val="single" w:sz="8" w:space="0" w:color="auto"/>
              <w:bottom w:val="single" w:sz="8" w:space="0" w:color="4472C4"/>
              <w:right w:val="nil"/>
            </w:tcBorders>
            <w:vAlign w:val="center"/>
            <w:hideMark/>
          </w:tcPr>
          <w:p w14:paraId="035BA011" w14:textId="77777777" w:rsidR="00D86FA8" w:rsidRPr="001F0C5A" w:rsidRDefault="00D86FA8" w:rsidP="00D86FA8">
            <w:pPr>
              <w:spacing w:after="0" w:line="240" w:lineRule="auto"/>
              <w:rPr>
                <w:rFonts w:ascii="Garamond" w:eastAsia="Times New Roman" w:hAnsi="Garamond" w:cs="Arial"/>
                <w:b/>
                <w:bCs/>
                <w:color w:val="FFFFFF"/>
                <w:sz w:val="14"/>
                <w:szCs w:val="14"/>
                <w:lang w:val="sq-AL"/>
              </w:rPr>
            </w:pPr>
          </w:p>
        </w:tc>
        <w:tc>
          <w:tcPr>
            <w:tcW w:w="759" w:type="pct"/>
            <w:vMerge/>
            <w:tcBorders>
              <w:top w:val="single" w:sz="8" w:space="0" w:color="auto"/>
              <w:left w:val="nil"/>
              <w:bottom w:val="single" w:sz="8" w:space="0" w:color="4472C4"/>
              <w:right w:val="nil"/>
            </w:tcBorders>
            <w:vAlign w:val="center"/>
            <w:hideMark/>
          </w:tcPr>
          <w:p w14:paraId="6D185592" w14:textId="77777777" w:rsidR="00D86FA8" w:rsidRPr="001F0C5A" w:rsidRDefault="00D86FA8" w:rsidP="00D86FA8">
            <w:pPr>
              <w:spacing w:after="0" w:line="240" w:lineRule="auto"/>
              <w:rPr>
                <w:rFonts w:ascii="Garamond" w:eastAsia="Times New Roman" w:hAnsi="Garamond" w:cs="Arial"/>
                <w:b/>
                <w:bCs/>
                <w:color w:val="FFFFFF"/>
                <w:sz w:val="14"/>
                <w:szCs w:val="14"/>
                <w:lang w:val="sq-AL"/>
              </w:rPr>
            </w:pPr>
          </w:p>
        </w:tc>
        <w:tc>
          <w:tcPr>
            <w:tcW w:w="778" w:type="pct"/>
            <w:tcBorders>
              <w:top w:val="nil"/>
              <w:left w:val="nil"/>
              <w:bottom w:val="nil"/>
              <w:right w:val="nil"/>
            </w:tcBorders>
            <w:shd w:val="clear" w:color="000000" w:fill="4472C4"/>
            <w:vAlign w:val="center"/>
            <w:hideMark/>
          </w:tcPr>
          <w:p w14:paraId="5997BCBC" w14:textId="4E996C79"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2024</w:t>
            </w:r>
            <w:r w:rsidR="006B6F84">
              <w:rPr>
                <w:rFonts w:ascii="Garamond" w:eastAsia="Times New Roman" w:hAnsi="Garamond" w:cs="Arial"/>
                <w:b/>
                <w:bCs/>
                <w:color w:val="FFFFFF"/>
                <w:sz w:val="14"/>
                <w:szCs w:val="14"/>
                <w:lang w:val="sq-AL"/>
              </w:rPr>
              <w:t>–</w:t>
            </w:r>
            <w:r w:rsidRPr="001F0C5A">
              <w:rPr>
                <w:rFonts w:ascii="Garamond" w:eastAsia="Times New Roman" w:hAnsi="Garamond" w:cs="Arial"/>
                <w:b/>
                <w:bCs/>
                <w:color w:val="FFFFFF"/>
                <w:sz w:val="14"/>
                <w:szCs w:val="14"/>
                <w:lang w:val="sq-AL"/>
              </w:rPr>
              <w:t>2025</w:t>
            </w:r>
          </w:p>
        </w:tc>
        <w:tc>
          <w:tcPr>
            <w:tcW w:w="914" w:type="pct"/>
            <w:tcBorders>
              <w:top w:val="nil"/>
              <w:left w:val="nil"/>
              <w:bottom w:val="nil"/>
              <w:right w:val="nil"/>
            </w:tcBorders>
            <w:shd w:val="clear" w:color="000000" w:fill="4472C4"/>
            <w:vAlign w:val="center"/>
            <w:hideMark/>
          </w:tcPr>
          <w:p w14:paraId="2D304FBD" w14:textId="5466A165"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PBA 2024</w:t>
            </w:r>
            <w:r w:rsidR="006B6F84">
              <w:rPr>
                <w:rFonts w:ascii="Garamond" w:eastAsia="Times New Roman" w:hAnsi="Garamond" w:cs="Arial"/>
                <w:b/>
                <w:bCs/>
                <w:color w:val="FFFFFF"/>
                <w:sz w:val="14"/>
                <w:szCs w:val="14"/>
                <w:lang w:val="sq-AL"/>
              </w:rPr>
              <w:t>–</w:t>
            </w:r>
            <w:r w:rsidRPr="001F0C5A">
              <w:rPr>
                <w:rFonts w:ascii="Garamond" w:eastAsia="Times New Roman" w:hAnsi="Garamond" w:cs="Arial"/>
                <w:b/>
                <w:bCs/>
                <w:color w:val="FFFFFF"/>
                <w:sz w:val="14"/>
                <w:szCs w:val="14"/>
                <w:lang w:val="sq-AL"/>
              </w:rPr>
              <w:t>2026</w:t>
            </w:r>
          </w:p>
        </w:tc>
        <w:tc>
          <w:tcPr>
            <w:tcW w:w="1167" w:type="pct"/>
            <w:tcBorders>
              <w:top w:val="nil"/>
              <w:left w:val="nil"/>
              <w:bottom w:val="nil"/>
              <w:right w:val="single" w:sz="8" w:space="0" w:color="auto"/>
            </w:tcBorders>
            <w:shd w:val="clear" w:color="000000" w:fill="4472C4"/>
            <w:vAlign w:val="center"/>
            <w:hideMark/>
          </w:tcPr>
          <w:p w14:paraId="316FDE87" w14:textId="77777777"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2024-2025</w:t>
            </w:r>
          </w:p>
        </w:tc>
      </w:tr>
      <w:tr w:rsidR="00D86FA8" w:rsidRPr="001F0C5A" w14:paraId="5E4A3AE7" w14:textId="77777777" w:rsidTr="00D86FA8">
        <w:trPr>
          <w:trHeight w:val="20"/>
        </w:trPr>
        <w:tc>
          <w:tcPr>
            <w:tcW w:w="1381" w:type="pct"/>
            <w:vMerge/>
            <w:tcBorders>
              <w:top w:val="single" w:sz="8" w:space="0" w:color="auto"/>
              <w:left w:val="single" w:sz="8" w:space="0" w:color="auto"/>
              <w:bottom w:val="single" w:sz="8" w:space="0" w:color="4472C4"/>
              <w:right w:val="nil"/>
            </w:tcBorders>
            <w:vAlign w:val="center"/>
            <w:hideMark/>
          </w:tcPr>
          <w:p w14:paraId="659927CB" w14:textId="77777777" w:rsidR="00D86FA8" w:rsidRPr="001F0C5A" w:rsidRDefault="00D86FA8" w:rsidP="00D86FA8">
            <w:pPr>
              <w:spacing w:after="0" w:line="240" w:lineRule="auto"/>
              <w:rPr>
                <w:rFonts w:ascii="Garamond" w:eastAsia="Times New Roman" w:hAnsi="Garamond" w:cs="Arial"/>
                <w:b/>
                <w:bCs/>
                <w:color w:val="FFFFFF"/>
                <w:sz w:val="14"/>
                <w:szCs w:val="14"/>
                <w:lang w:val="sq-AL"/>
              </w:rPr>
            </w:pPr>
          </w:p>
        </w:tc>
        <w:tc>
          <w:tcPr>
            <w:tcW w:w="759" w:type="pct"/>
            <w:vMerge/>
            <w:tcBorders>
              <w:top w:val="single" w:sz="8" w:space="0" w:color="auto"/>
              <w:left w:val="nil"/>
              <w:bottom w:val="single" w:sz="8" w:space="0" w:color="4472C4"/>
              <w:right w:val="nil"/>
            </w:tcBorders>
            <w:vAlign w:val="center"/>
            <w:hideMark/>
          </w:tcPr>
          <w:p w14:paraId="3F988677" w14:textId="77777777" w:rsidR="00D86FA8" w:rsidRPr="001F0C5A" w:rsidRDefault="00D86FA8" w:rsidP="00D86FA8">
            <w:pPr>
              <w:spacing w:after="0" w:line="240" w:lineRule="auto"/>
              <w:rPr>
                <w:rFonts w:ascii="Garamond" w:eastAsia="Times New Roman" w:hAnsi="Garamond" w:cs="Arial"/>
                <w:b/>
                <w:bCs/>
                <w:color w:val="FFFFFF"/>
                <w:sz w:val="14"/>
                <w:szCs w:val="14"/>
                <w:lang w:val="sq-AL"/>
              </w:rPr>
            </w:pPr>
          </w:p>
        </w:tc>
        <w:tc>
          <w:tcPr>
            <w:tcW w:w="778" w:type="pct"/>
            <w:tcBorders>
              <w:top w:val="nil"/>
              <w:left w:val="nil"/>
              <w:bottom w:val="single" w:sz="8" w:space="0" w:color="4472C4"/>
              <w:right w:val="nil"/>
            </w:tcBorders>
            <w:shd w:val="clear" w:color="000000" w:fill="4472C4"/>
            <w:vAlign w:val="center"/>
            <w:hideMark/>
          </w:tcPr>
          <w:p w14:paraId="596B5666" w14:textId="77777777" w:rsidR="00D86FA8" w:rsidRPr="001F0C5A" w:rsidRDefault="00D86FA8" w:rsidP="00D86FA8">
            <w:pPr>
              <w:spacing w:after="0" w:line="240" w:lineRule="auto"/>
              <w:rPr>
                <w:rFonts w:ascii="Garamond" w:eastAsia="Times New Roman" w:hAnsi="Garamond" w:cs="Calibri"/>
                <w:color w:val="000000"/>
                <w:sz w:val="14"/>
                <w:szCs w:val="14"/>
                <w:lang w:val="sq-AL"/>
              </w:rPr>
            </w:pPr>
            <w:r w:rsidRPr="001F0C5A">
              <w:rPr>
                <w:rFonts w:ascii="Garamond" w:eastAsia="Times New Roman" w:hAnsi="Garamond" w:cs="Calibri"/>
                <w:color w:val="000000"/>
                <w:sz w:val="14"/>
                <w:szCs w:val="14"/>
                <w:lang w:val="sq-AL"/>
              </w:rPr>
              <w:t> </w:t>
            </w:r>
          </w:p>
        </w:tc>
        <w:tc>
          <w:tcPr>
            <w:tcW w:w="914" w:type="pct"/>
            <w:tcBorders>
              <w:top w:val="nil"/>
              <w:left w:val="nil"/>
              <w:bottom w:val="single" w:sz="8" w:space="0" w:color="4472C4"/>
              <w:right w:val="nil"/>
            </w:tcBorders>
            <w:shd w:val="clear" w:color="000000" w:fill="4472C4"/>
            <w:vAlign w:val="center"/>
            <w:hideMark/>
          </w:tcPr>
          <w:p w14:paraId="05DE78BA" w14:textId="393A4309"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 xml:space="preserve">Buxheti dhe </w:t>
            </w:r>
            <w:r w:rsidR="006B6F84" w:rsidRPr="001F0C5A">
              <w:rPr>
                <w:rFonts w:ascii="Garamond" w:eastAsia="Times New Roman" w:hAnsi="Garamond" w:cs="Arial"/>
                <w:b/>
                <w:bCs/>
                <w:color w:val="FFFFFF"/>
                <w:sz w:val="14"/>
                <w:szCs w:val="14"/>
                <w:lang w:val="sq-AL"/>
              </w:rPr>
              <w:t>donator</w:t>
            </w:r>
            <w:r w:rsidR="006B6F84">
              <w:rPr>
                <w:rFonts w:ascii="Garamond" w:eastAsia="Times New Roman" w:hAnsi="Garamond" w:cs="Arial"/>
                <w:b/>
                <w:bCs/>
                <w:color w:val="FFFFFF"/>
                <w:sz w:val="14"/>
                <w:szCs w:val="14"/>
                <w:lang w:val="sq-AL"/>
              </w:rPr>
              <w:t>ë</w:t>
            </w:r>
            <w:r w:rsidR="006B6F84" w:rsidRPr="001F0C5A">
              <w:rPr>
                <w:rFonts w:ascii="Garamond" w:eastAsia="Times New Roman" w:hAnsi="Garamond" w:cs="Arial"/>
                <w:b/>
                <w:bCs/>
                <w:color w:val="FFFFFF"/>
                <w:sz w:val="14"/>
                <w:szCs w:val="14"/>
                <w:lang w:val="sq-AL"/>
              </w:rPr>
              <w:t>t</w:t>
            </w:r>
          </w:p>
        </w:tc>
        <w:tc>
          <w:tcPr>
            <w:tcW w:w="1167" w:type="pct"/>
            <w:tcBorders>
              <w:top w:val="nil"/>
              <w:left w:val="nil"/>
              <w:bottom w:val="single" w:sz="8" w:space="0" w:color="4472C4"/>
              <w:right w:val="single" w:sz="8" w:space="0" w:color="auto"/>
            </w:tcBorders>
            <w:shd w:val="clear" w:color="000000" w:fill="4472C4"/>
            <w:vAlign w:val="center"/>
            <w:hideMark/>
          </w:tcPr>
          <w:p w14:paraId="42CA19BD" w14:textId="77777777" w:rsidR="00D86FA8" w:rsidRPr="001F0C5A" w:rsidRDefault="00D86FA8" w:rsidP="00D86FA8">
            <w:pPr>
              <w:spacing w:after="0" w:line="240" w:lineRule="auto"/>
              <w:rPr>
                <w:rFonts w:ascii="Garamond" w:eastAsia="Times New Roman" w:hAnsi="Garamond" w:cs="Calibri"/>
                <w:color w:val="000000"/>
                <w:sz w:val="14"/>
                <w:szCs w:val="14"/>
                <w:lang w:val="sq-AL"/>
              </w:rPr>
            </w:pPr>
            <w:r w:rsidRPr="001F0C5A">
              <w:rPr>
                <w:rFonts w:ascii="Garamond" w:eastAsia="Times New Roman" w:hAnsi="Garamond" w:cs="Calibri"/>
                <w:color w:val="000000"/>
                <w:sz w:val="14"/>
                <w:szCs w:val="14"/>
                <w:lang w:val="sq-AL"/>
              </w:rPr>
              <w:t> </w:t>
            </w:r>
          </w:p>
        </w:tc>
      </w:tr>
      <w:tr w:rsidR="00D86FA8" w:rsidRPr="001F0C5A" w14:paraId="6EA96027" w14:textId="77777777" w:rsidTr="00D86FA8">
        <w:trPr>
          <w:trHeight w:val="20"/>
        </w:trPr>
        <w:tc>
          <w:tcPr>
            <w:tcW w:w="1381"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60C2A88D"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QP1:</w:t>
            </w:r>
            <w:r w:rsidRPr="001F0C5A">
              <w:rPr>
                <w:rFonts w:ascii="Garamond" w:eastAsia="Times New Roman" w:hAnsi="Garamond" w:cs="Arial"/>
                <w:color w:val="000000"/>
                <w:sz w:val="14"/>
                <w:szCs w:val="14"/>
                <w:lang w:val="sq-AL"/>
              </w:rPr>
              <w:t xml:space="preserve"> MBROJTJA E SIGURISË SË BRENDSHME DHE MENAXHIMI I FLUKSEVE MIGRATORE, ME QËLLIM PARANDALIMIN E MIGRACIONIT TË PARREGULLT, SI DHE PARANDALIMIN DHE GODITJEN E KRIMIT NDËRKUFITAR</w:t>
            </w:r>
          </w:p>
        </w:tc>
        <w:tc>
          <w:tcPr>
            <w:tcW w:w="759" w:type="pct"/>
            <w:tcBorders>
              <w:top w:val="nil"/>
              <w:left w:val="nil"/>
              <w:bottom w:val="single" w:sz="8" w:space="0" w:color="8EAADB"/>
              <w:right w:val="single" w:sz="8" w:space="0" w:color="8EAADB"/>
            </w:tcBorders>
            <w:shd w:val="clear" w:color="000000" w:fill="D9E2F3"/>
            <w:vAlign w:val="center"/>
            <w:hideMark/>
          </w:tcPr>
          <w:p w14:paraId="26C913FF" w14:textId="03FE95CC"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Kor</w:t>
            </w:r>
            <w:r w:rsidR="00C265DC">
              <w:rPr>
                <w:rFonts w:ascii="Garamond" w:eastAsia="Times New Roman" w:hAnsi="Garamond" w:cs="Arial"/>
                <w:color w:val="000000"/>
                <w:sz w:val="14"/>
                <w:szCs w:val="14"/>
                <w:lang w:val="sq-AL"/>
              </w:rPr>
              <w:t>r</w:t>
            </w:r>
            <w:r w:rsidRPr="001F0C5A">
              <w:rPr>
                <w:rFonts w:ascii="Garamond" w:eastAsia="Times New Roman" w:hAnsi="Garamond" w:cs="Arial"/>
                <w:color w:val="000000"/>
                <w:sz w:val="14"/>
                <w:szCs w:val="14"/>
                <w:lang w:val="sq-AL"/>
              </w:rPr>
              <w:t>ente</w:t>
            </w:r>
          </w:p>
        </w:tc>
        <w:tc>
          <w:tcPr>
            <w:tcW w:w="778" w:type="pct"/>
            <w:tcBorders>
              <w:top w:val="nil"/>
              <w:left w:val="nil"/>
              <w:bottom w:val="single" w:sz="8" w:space="0" w:color="8EAADB"/>
              <w:right w:val="single" w:sz="8" w:space="0" w:color="8EAADB"/>
            </w:tcBorders>
            <w:shd w:val="clear" w:color="000000" w:fill="D9E2F3"/>
            <w:vAlign w:val="center"/>
            <w:hideMark/>
          </w:tcPr>
          <w:p w14:paraId="0B10F143"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1,224,011,613</w:t>
            </w:r>
          </w:p>
        </w:tc>
        <w:tc>
          <w:tcPr>
            <w:tcW w:w="914" w:type="pct"/>
            <w:tcBorders>
              <w:top w:val="nil"/>
              <w:left w:val="nil"/>
              <w:bottom w:val="single" w:sz="8" w:space="0" w:color="8EAADB"/>
              <w:right w:val="single" w:sz="8" w:space="0" w:color="8EAADB"/>
            </w:tcBorders>
            <w:shd w:val="clear" w:color="000000" w:fill="D9E2F3"/>
            <w:vAlign w:val="center"/>
            <w:hideMark/>
          </w:tcPr>
          <w:p w14:paraId="24043FBA"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1,222,541,613</w:t>
            </w:r>
          </w:p>
        </w:tc>
        <w:tc>
          <w:tcPr>
            <w:tcW w:w="1167" w:type="pct"/>
            <w:vMerge w:val="restart"/>
            <w:tcBorders>
              <w:top w:val="nil"/>
              <w:left w:val="single" w:sz="8" w:space="0" w:color="8EAADB"/>
              <w:bottom w:val="single" w:sz="8" w:space="0" w:color="8EAADB"/>
              <w:right w:val="single" w:sz="8" w:space="0" w:color="auto"/>
            </w:tcBorders>
            <w:shd w:val="clear" w:color="000000" w:fill="D9E2F3"/>
            <w:vAlign w:val="center"/>
            <w:hideMark/>
          </w:tcPr>
          <w:p w14:paraId="520D98BD" w14:textId="77777777" w:rsidR="00D86FA8" w:rsidRPr="001F0C5A" w:rsidRDefault="00D86FA8" w:rsidP="00D86FA8">
            <w:pPr>
              <w:spacing w:after="0" w:line="240" w:lineRule="auto"/>
              <w:jc w:val="center"/>
              <w:rPr>
                <w:rFonts w:ascii="Garamond" w:eastAsia="Times New Roman" w:hAnsi="Garamond" w:cs="Arial"/>
                <w:b/>
                <w:bCs/>
                <w:i/>
                <w:iCs/>
                <w:color w:val="000000"/>
                <w:sz w:val="14"/>
                <w:szCs w:val="14"/>
                <w:lang w:val="sq-AL"/>
              </w:rPr>
            </w:pPr>
            <w:r w:rsidRPr="001F0C5A">
              <w:rPr>
                <w:rFonts w:ascii="Garamond" w:eastAsia="Times New Roman" w:hAnsi="Garamond" w:cs="Arial"/>
                <w:b/>
                <w:bCs/>
                <w:i/>
                <w:iCs/>
                <w:color w:val="000000"/>
                <w:sz w:val="14"/>
                <w:szCs w:val="14"/>
                <w:lang w:val="sq-AL"/>
              </w:rPr>
              <w:t>1,470,000</w:t>
            </w:r>
          </w:p>
        </w:tc>
      </w:tr>
      <w:tr w:rsidR="00D86FA8" w:rsidRPr="001F0C5A" w14:paraId="73245FCE" w14:textId="77777777" w:rsidTr="00D86FA8">
        <w:trPr>
          <w:trHeight w:val="20"/>
        </w:trPr>
        <w:tc>
          <w:tcPr>
            <w:tcW w:w="1381" w:type="pct"/>
            <w:vMerge/>
            <w:tcBorders>
              <w:top w:val="nil"/>
              <w:left w:val="single" w:sz="8" w:space="0" w:color="auto"/>
              <w:bottom w:val="single" w:sz="8" w:space="0" w:color="8EAADB"/>
              <w:right w:val="single" w:sz="8" w:space="0" w:color="8EAADB"/>
            </w:tcBorders>
            <w:vAlign w:val="center"/>
            <w:hideMark/>
          </w:tcPr>
          <w:p w14:paraId="72DA9BAC"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c>
          <w:tcPr>
            <w:tcW w:w="759" w:type="pct"/>
            <w:tcBorders>
              <w:top w:val="nil"/>
              <w:left w:val="nil"/>
              <w:bottom w:val="single" w:sz="8" w:space="0" w:color="8EAADB"/>
              <w:right w:val="single" w:sz="8" w:space="0" w:color="8EAADB"/>
            </w:tcBorders>
            <w:shd w:val="clear" w:color="auto" w:fill="auto"/>
            <w:vAlign w:val="center"/>
            <w:hideMark/>
          </w:tcPr>
          <w:p w14:paraId="4792F7B7"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Kapitale</w:t>
            </w:r>
          </w:p>
        </w:tc>
        <w:tc>
          <w:tcPr>
            <w:tcW w:w="778" w:type="pct"/>
            <w:tcBorders>
              <w:top w:val="nil"/>
              <w:left w:val="nil"/>
              <w:bottom w:val="single" w:sz="8" w:space="0" w:color="8EAADB"/>
              <w:right w:val="single" w:sz="8" w:space="0" w:color="8EAADB"/>
            </w:tcBorders>
            <w:shd w:val="clear" w:color="auto" w:fill="auto"/>
            <w:vAlign w:val="center"/>
            <w:hideMark/>
          </w:tcPr>
          <w:p w14:paraId="6C36066A"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684,925,000</w:t>
            </w:r>
          </w:p>
        </w:tc>
        <w:tc>
          <w:tcPr>
            <w:tcW w:w="914" w:type="pct"/>
            <w:tcBorders>
              <w:top w:val="nil"/>
              <w:left w:val="nil"/>
              <w:bottom w:val="single" w:sz="8" w:space="0" w:color="8EAADB"/>
              <w:right w:val="single" w:sz="8" w:space="0" w:color="8EAADB"/>
            </w:tcBorders>
            <w:shd w:val="clear" w:color="auto" w:fill="auto"/>
            <w:vAlign w:val="center"/>
            <w:hideMark/>
          </w:tcPr>
          <w:p w14:paraId="6FA0EFAA"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684,925,000</w:t>
            </w:r>
          </w:p>
        </w:tc>
        <w:tc>
          <w:tcPr>
            <w:tcW w:w="1167" w:type="pct"/>
            <w:vMerge/>
            <w:tcBorders>
              <w:top w:val="nil"/>
              <w:left w:val="single" w:sz="8" w:space="0" w:color="8EAADB"/>
              <w:bottom w:val="single" w:sz="8" w:space="0" w:color="8EAADB"/>
              <w:right w:val="single" w:sz="8" w:space="0" w:color="auto"/>
            </w:tcBorders>
            <w:vAlign w:val="center"/>
            <w:hideMark/>
          </w:tcPr>
          <w:p w14:paraId="0C1740FA" w14:textId="77777777" w:rsidR="00D86FA8" w:rsidRPr="001F0C5A" w:rsidRDefault="00D86FA8" w:rsidP="00D86FA8">
            <w:pPr>
              <w:spacing w:after="0" w:line="240" w:lineRule="auto"/>
              <w:rPr>
                <w:rFonts w:ascii="Garamond" w:eastAsia="Times New Roman" w:hAnsi="Garamond" w:cs="Arial"/>
                <w:b/>
                <w:bCs/>
                <w:i/>
                <w:iCs/>
                <w:color w:val="000000"/>
                <w:sz w:val="14"/>
                <w:szCs w:val="14"/>
                <w:lang w:val="sq-AL"/>
              </w:rPr>
            </w:pPr>
          </w:p>
        </w:tc>
      </w:tr>
      <w:tr w:rsidR="00D86FA8" w:rsidRPr="001F0C5A" w14:paraId="0823C2C9" w14:textId="77777777" w:rsidTr="00D86FA8">
        <w:trPr>
          <w:trHeight w:val="20"/>
        </w:trPr>
        <w:tc>
          <w:tcPr>
            <w:tcW w:w="1381"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557C4963"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QP2:</w:t>
            </w:r>
            <w:r w:rsidRPr="001F0C5A">
              <w:rPr>
                <w:rFonts w:ascii="Garamond" w:eastAsia="Times New Roman" w:hAnsi="Garamond" w:cs="Arial"/>
                <w:color w:val="000000"/>
                <w:sz w:val="14"/>
                <w:szCs w:val="14"/>
                <w:lang w:val="sq-AL"/>
              </w:rPr>
              <w:t xml:space="preserve"> LEHTËSIMI I QARKULLIMIT LEGAL TË SHTETASVE DHE MALLRAVE</w:t>
            </w:r>
          </w:p>
        </w:tc>
        <w:tc>
          <w:tcPr>
            <w:tcW w:w="759" w:type="pct"/>
            <w:tcBorders>
              <w:top w:val="nil"/>
              <w:left w:val="nil"/>
              <w:bottom w:val="single" w:sz="8" w:space="0" w:color="8EAADB"/>
              <w:right w:val="single" w:sz="8" w:space="0" w:color="8EAADB"/>
            </w:tcBorders>
            <w:shd w:val="clear" w:color="000000" w:fill="D9E2F3"/>
            <w:vAlign w:val="center"/>
            <w:hideMark/>
          </w:tcPr>
          <w:p w14:paraId="1C183601" w14:textId="58C55F64"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Kor</w:t>
            </w:r>
            <w:r w:rsidR="00C265DC">
              <w:rPr>
                <w:rFonts w:ascii="Garamond" w:eastAsia="Times New Roman" w:hAnsi="Garamond" w:cs="Arial"/>
                <w:color w:val="000000"/>
                <w:sz w:val="14"/>
                <w:szCs w:val="14"/>
                <w:lang w:val="sq-AL"/>
              </w:rPr>
              <w:t>r</w:t>
            </w:r>
            <w:r w:rsidRPr="001F0C5A">
              <w:rPr>
                <w:rFonts w:ascii="Garamond" w:eastAsia="Times New Roman" w:hAnsi="Garamond" w:cs="Arial"/>
                <w:color w:val="000000"/>
                <w:sz w:val="14"/>
                <w:szCs w:val="14"/>
                <w:lang w:val="sq-AL"/>
              </w:rPr>
              <w:t>ente</w:t>
            </w:r>
          </w:p>
        </w:tc>
        <w:tc>
          <w:tcPr>
            <w:tcW w:w="778" w:type="pct"/>
            <w:tcBorders>
              <w:top w:val="nil"/>
              <w:left w:val="nil"/>
              <w:bottom w:val="single" w:sz="8" w:space="0" w:color="8EAADB"/>
              <w:right w:val="single" w:sz="8" w:space="0" w:color="8EAADB"/>
            </w:tcBorders>
            <w:shd w:val="clear" w:color="000000" w:fill="D9E2F3"/>
            <w:vAlign w:val="center"/>
            <w:hideMark/>
          </w:tcPr>
          <w:p w14:paraId="67DC9270"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799,450,000</w:t>
            </w:r>
          </w:p>
        </w:tc>
        <w:tc>
          <w:tcPr>
            <w:tcW w:w="914" w:type="pct"/>
            <w:tcBorders>
              <w:top w:val="nil"/>
              <w:left w:val="nil"/>
              <w:bottom w:val="single" w:sz="8" w:space="0" w:color="8EAADB"/>
              <w:right w:val="single" w:sz="8" w:space="0" w:color="8EAADB"/>
            </w:tcBorders>
            <w:shd w:val="clear" w:color="000000" w:fill="D9E2F3"/>
            <w:vAlign w:val="center"/>
            <w:hideMark/>
          </w:tcPr>
          <w:p w14:paraId="13EAB6DF"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799,450,000</w:t>
            </w:r>
          </w:p>
        </w:tc>
        <w:tc>
          <w:tcPr>
            <w:tcW w:w="1167"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2E7636DF" w14:textId="77777777" w:rsidR="00D86FA8" w:rsidRPr="001F0C5A" w:rsidRDefault="00D86FA8" w:rsidP="00D86FA8">
            <w:pPr>
              <w:spacing w:after="0" w:line="240" w:lineRule="auto"/>
              <w:jc w:val="center"/>
              <w:rPr>
                <w:rFonts w:ascii="Garamond" w:eastAsia="Times New Roman" w:hAnsi="Garamond" w:cs="Arial"/>
                <w:b/>
                <w:bCs/>
                <w:i/>
                <w:iCs/>
                <w:color w:val="000000"/>
                <w:sz w:val="14"/>
                <w:szCs w:val="14"/>
                <w:lang w:val="sq-AL"/>
              </w:rPr>
            </w:pPr>
            <w:r w:rsidRPr="001F0C5A">
              <w:rPr>
                <w:rFonts w:ascii="Garamond" w:eastAsia="Times New Roman" w:hAnsi="Garamond" w:cs="Arial"/>
                <w:b/>
                <w:bCs/>
                <w:i/>
                <w:iCs/>
                <w:color w:val="000000"/>
                <w:sz w:val="14"/>
                <w:szCs w:val="14"/>
                <w:lang w:val="sq-AL"/>
              </w:rPr>
              <w:t>0</w:t>
            </w:r>
          </w:p>
        </w:tc>
      </w:tr>
      <w:tr w:rsidR="00D86FA8" w:rsidRPr="001F0C5A" w14:paraId="6C360D6D" w14:textId="77777777" w:rsidTr="00D86FA8">
        <w:trPr>
          <w:trHeight w:val="20"/>
        </w:trPr>
        <w:tc>
          <w:tcPr>
            <w:tcW w:w="1381" w:type="pct"/>
            <w:vMerge/>
            <w:tcBorders>
              <w:top w:val="nil"/>
              <w:left w:val="single" w:sz="8" w:space="0" w:color="auto"/>
              <w:bottom w:val="single" w:sz="8" w:space="0" w:color="8EAADB"/>
              <w:right w:val="single" w:sz="8" w:space="0" w:color="8EAADB"/>
            </w:tcBorders>
            <w:vAlign w:val="center"/>
            <w:hideMark/>
          </w:tcPr>
          <w:p w14:paraId="5EF44E38"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c>
          <w:tcPr>
            <w:tcW w:w="759" w:type="pct"/>
            <w:tcBorders>
              <w:top w:val="nil"/>
              <w:left w:val="nil"/>
              <w:bottom w:val="single" w:sz="8" w:space="0" w:color="8EAADB"/>
              <w:right w:val="single" w:sz="8" w:space="0" w:color="8EAADB"/>
            </w:tcBorders>
            <w:shd w:val="clear" w:color="auto" w:fill="auto"/>
            <w:vAlign w:val="center"/>
            <w:hideMark/>
          </w:tcPr>
          <w:p w14:paraId="5D6992D5"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Kapitale</w:t>
            </w:r>
          </w:p>
        </w:tc>
        <w:tc>
          <w:tcPr>
            <w:tcW w:w="778" w:type="pct"/>
            <w:tcBorders>
              <w:top w:val="nil"/>
              <w:left w:val="nil"/>
              <w:bottom w:val="single" w:sz="8" w:space="0" w:color="8EAADB"/>
              <w:right w:val="single" w:sz="8" w:space="0" w:color="8EAADB"/>
            </w:tcBorders>
            <w:shd w:val="clear" w:color="auto" w:fill="auto"/>
            <w:vAlign w:val="center"/>
            <w:hideMark/>
          </w:tcPr>
          <w:p w14:paraId="3632E313"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825,070,398</w:t>
            </w:r>
          </w:p>
        </w:tc>
        <w:tc>
          <w:tcPr>
            <w:tcW w:w="914" w:type="pct"/>
            <w:tcBorders>
              <w:top w:val="nil"/>
              <w:left w:val="nil"/>
              <w:bottom w:val="single" w:sz="8" w:space="0" w:color="8EAADB"/>
              <w:right w:val="single" w:sz="8" w:space="0" w:color="8EAADB"/>
            </w:tcBorders>
            <w:shd w:val="clear" w:color="000000" w:fill="D9E2F3"/>
            <w:vAlign w:val="center"/>
            <w:hideMark/>
          </w:tcPr>
          <w:p w14:paraId="593E26BE"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825,070,398</w:t>
            </w:r>
          </w:p>
        </w:tc>
        <w:tc>
          <w:tcPr>
            <w:tcW w:w="1167" w:type="pct"/>
            <w:vMerge/>
            <w:tcBorders>
              <w:top w:val="single" w:sz="8" w:space="0" w:color="4472C4"/>
              <w:left w:val="single" w:sz="8" w:space="0" w:color="8EAADB"/>
              <w:bottom w:val="single" w:sz="8" w:space="0" w:color="8EAADB"/>
              <w:right w:val="single" w:sz="8" w:space="0" w:color="auto"/>
            </w:tcBorders>
            <w:vAlign w:val="center"/>
            <w:hideMark/>
          </w:tcPr>
          <w:p w14:paraId="406134DE" w14:textId="77777777" w:rsidR="00D86FA8" w:rsidRPr="001F0C5A" w:rsidRDefault="00D86FA8" w:rsidP="00D86FA8">
            <w:pPr>
              <w:spacing w:after="0" w:line="240" w:lineRule="auto"/>
              <w:rPr>
                <w:rFonts w:ascii="Garamond" w:eastAsia="Times New Roman" w:hAnsi="Garamond" w:cs="Arial"/>
                <w:b/>
                <w:bCs/>
                <w:i/>
                <w:iCs/>
                <w:color w:val="000000"/>
                <w:sz w:val="14"/>
                <w:szCs w:val="14"/>
                <w:lang w:val="sq-AL"/>
              </w:rPr>
            </w:pPr>
          </w:p>
        </w:tc>
      </w:tr>
      <w:tr w:rsidR="00D86FA8" w:rsidRPr="001F0C5A" w14:paraId="3B377CF3" w14:textId="77777777" w:rsidTr="00D86FA8">
        <w:trPr>
          <w:trHeight w:val="20"/>
        </w:trPr>
        <w:tc>
          <w:tcPr>
            <w:tcW w:w="1381"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70ADF433" w14:textId="77777777" w:rsidR="00D86FA8" w:rsidRPr="001F0C5A" w:rsidRDefault="00D86FA8" w:rsidP="00D86FA8">
            <w:pPr>
              <w:spacing w:after="0" w:line="240" w:lineRule="auto"/>
              <w:rPr>
                <w:rFonts w:ascii="Garamond" w:eastAsia="Times New Roman" w:hAnsi="Garamond" w:cs="Arial"/>
                <w:color w:val="000000"/>
                <w:sz w:val="14"/>
                <w:szCs w:val="14"/>
                <w:lang w:val="sq-AL"/>
              </w:rPr>
            </w:pPr>
            <w:r w:rsidRPr="001F0C5A">
              <w:rPr>
                <w:rFonts w:ascii="Garamond" w:eastAsia="Times New Roman" w:hAnsi="Garamond" w:cs="Arial"/>
                <w:b/>
                <w:bCs/>
                <w:color w:val="000000"/>
                <w:sz w:val="14"/>
                <w:szCs w:val="14"/>
                <w:lang w:val="sq-AL"/>
              </w:rPr>
              <w:t>QP3:</w:t>
            </w:r>
            <w:r w:rsidRPr="001F0C5A">
              <w:rPr>
                <w:rFonts w:ascii="Garamond" w:eastAsia="Times New Roman" w:hAnsi="Garamond" w:cs="Arial"/>
                <w:color w:val="000000"/>
                <w:sz w:val="14"/>
                <w:szCs w:val="14"/>
                <w:lang w:val="sq-AL"/>
              </w:rPr>
              <w:t xml:space="preserve"> RESPEKTIMI I PLOTË I TË DREJTAVE THEMELORE, PËRFSHIRË TRAJTIMIN E ÇDO INDIVIDI </w:t>
            </w:r>
            <w:r w:rsidRPr="001F0C5A">
              <w:rPr>
                <w:rFonts w:ascii="Garamond" w:eastAsia="Times New Roman" w:hAnsi="Garamond" w:cs="Arial"/>
                <w:color w:val="000000"/>
                <w:sz w:val="14"/>
                <w:szCs w:val="14"/>
                <w:lang w:val="sq-AL"/>
              </w:rPr>
              <w:lastRenderedPageBreak/>
              <w:t>ME RESPEKT TË PLOTË PËR DINJITETIN DHE MUNDËSIMIN E QASJES NË MBROJTJEN NDËRKOMBËTARE TË ATYRE QË KANË NEVOJË</w:t>
            </w:r>
          </w:p>
        </w:tc>
        <w:tc>
          <w:tcPr>
            <w:tcW w:w="759" w:type="pct"/>
            <w:tcBorders>
              <w:top w:val="nil"/>
              <w:left w:val="nil"/>
              <w:bottom w:val="single" w:sz="8" w:space="0" w:color="8EAADB"/>
              <w:right w:val="single" w:sz="8" w:space="0" w:color="8EAADB"/>
            </w:tcBorders>
            <w:shd w:val="clear" w:color="000000" w:fill="D9E2F3"/>
            <w:vAlign w:val="center"/>
            <w:hideMark/>
          </w:tcPr>
          <w:p w14:paraId="5C7E2E0E" w14:textId="26E96695"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lastRenderedPageBreak/>
              <w:t>Kor</w:t>
            </w:r>
            <w:r w:rsidR="00C265DC">
              <w:rPr>
                <w:rFonts w:ascii="Garamond" w:eastAsia="Times New Roman" w:hAnsi="Garamond" w:cs="Arial"/>
                <w:color w:val="000000"/>
                <w:sz w:val="14"/>
                <w:szCs w:val="14"/>
                <w:lang w:val="sq-AL"/>
              </w:rPr>
              <w:t>r</w:t>
            </w:r>
            <w:r w:rsidRPr="001F0C5A">
              <w:rPr>
                <w:rFonts w:ascii="Garamond" w:eastAsia="Times New Roman" w:hAnsi="Garamond" w:cs="Arial"/>
                <w:color w:val="000000"/>
                <w:sz w:val="14"/>
                <w:szCs w:val="14"/>
                <w:lang w:val="sq-AL"/>
              </w:rPr>
              <w:t>ente</w:t>
            </w:r>
          </w:p>
        </w:tc>
        <w:tc>
          <w:tcPr>
            <w:tcW w:w="778" w:type="pct"/>
            <w:tcBorders>
              <w:top w:val="nil"/>
              <w:left w:val="nil"/>
              <w:bottom w:val="single" w:sz="8" w:space="0" w:color="8EAADB"/>
              <w:right w:val="single" w:sz="8" w:space="0" w:color="8EAADB"/>
            </w:tcBorders>
            <w:shd w:val="clear" w:color="000000" w:fill="D9E2F3"/>
            <w:vAlign w:val="center"/>
            <w:hideMark/>
          </w:tcPr>
          <w:p w14:paraId="6FB9ADB8"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5,783,664</w:t>
            </w:r>
          </w:p>
        </w:tc>
        <w:tc>
          <w:tcPr>
            <w:tcW w:w="914" w:type="pct"/>
            <w:tcBorders>
              <w:top w:val="nil"/>
              <w:left w:val="nil"/>
              <w:bottom w:val="single" w:sz="8" w:space="0" w:color="8EAADB"/>
              <w:right w:val="single" w:sz="8" w:space="0" w:color="8EAADB"/>
            </w:tcBorders>
            <w:shd w:val="clear" w:color="000000" w:fill="D9E2F3"/>
            <w:vAlign w:val="center"/>
            <w:hideMark/>
          </w:tcPr>
          <w:p w14:paraId="414A557E"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5,783,664</w:t>
            </w:r>
          </w:p>
        </w:tc>
        <w:tc>
          <w:tcPr>
            <w:tcW w:w="1167"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BBEA11B" w14:textId="77777777" w:rsidR="00D86FA8" w:rsidRPr="001F0C5A" w:rsidRDefault="00D86FA8" w:rsidP="00D86FA8">
            <w:pPr>
              <w:spacing w:after="0" w:line="240" w:lineRule="auto"/>
              <w:jc w:val="center"/>
              <w:rPr>
                <w:rFonts w:ascii="Garamond" w:eastAsia="Times New Roman" w:hAnsi="Garamond" w:cs="Arial"/>
                <w:b/>
                <w:bCs/>
                <w:i/>
                <w:iCs/>
                <w:color w:val="000000"/>
                <w:sz w:val="14"/>
                <w:szCs w:val="14"/>
                <w:lang w:val="sq-AL"/>
              </w:rPr>
            </w:pPr>
            <w:r w:rsidRPr="001F0C5A">
              <w:rPr>
                <w:rFonts w:ascii="Garamond" w:eastAsia="Times New Roman" w:hAnsi="Garamond" w:cs="Arial"/>
                <w:b/>
                <w:bCs/>
                <w:i/>
                <w:iCs/>
                <w:color w:val="000000"/>
                <w:sz w:val="14"/>
                <w:szCs w:val="14"/>
                <w:lang w:val="sq-AL"/>
              </w:rPr>
              <w:t>0</w:t>
            </w:r>
          </w:p>
        </w:tc>
      </w:tr>
      <w:tr w:rsidR="00D86FA8" w:rsidRPr="001F0C5A" w14:paraId="3E1400AC" w14:textId="77777777" w:rsidTr="00D86FA8">
        <w:trPr>
          <w:trHeight w:val="20"/>
        </w:trPr>
        <w:tc>
          <w:tcPr>
            <w:tcW w:w="1381" w:type="pct"/>
            <w:vMerge/>
            <w:tcBorders>
              <w:top w:val="nil"/>
              <w:left w:val="single" w:sz="8" w:space="0" w:color="auto"/>
              <w:bottom w:val="single" w:sz="8" w:space="0" w:color="8EAADB"/>
              <w:right w:val="single" w:sz="8" w:space="0" w:color="8EAADB"/>
            </w:tcBorders>
            <w:vAlign w:val="center"/>
            <w:hideMark/>
          </w:tcPr>
          <w:p w14:paraId="5AC13E95" w14:textId="77777777" w:rsidR="00D86FA8" w:rsidRPr="001F0C5A" w:rsidRDefault="00D86FA8" w:rsidP="00D86FA8">
            <w:pPr>
              <w:spacing w:after="0" w:line="240" w:lineRule="auto"/>
              <w:rPr>
                <w:rFonts w:ascii="Garamond" w:eastAsia="Times New Roman" w:hAnsi="Garamond" w:cs="Arial"/>
                <w:color w:val="000000"/>
                <w:sz w:val="14"/>
                <w:szCs w:val="14"/>
                <w:lang w:val="sq-AL"/>
              </w:rPr>
            </w:pPr>
          </w:p>
        </w:tc>
        <w:tc>
          <w:tcPr>
            <w:tcW w:w="759" w:type="pct"/>
            <w:tcBorders>
              <w:top w:val="nil"/>
              <w:left w:val="nil"/>
              <w:bottom w:val="single" w:sz="8" w:space="0" w:color="8EAADB"/>
              <w:right w:val="single" w:sz="8" w:space="0" w:color="8EAADB"/>
            </w:tcBorders>
            <w:shd w:val="clear" w:color="auto" w:fill="auto"/>
            <w:vAlign w:val="center"/>
            <w:hideMark/>
          </w:tcPr>
          <w:p w14:paraId="428ABED5"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Kapitale</w:t>
            </w:r>
          </w:p>
        </w:tc>
        <w:tc>
          <w:tcPr>
            <w:tcW w:w="778" w:type="pct"/>
            <w:tcBorders>
              <w:top w:val="nil"/>
              <w:left w:val="nil"/>
              <w:bottom w:val="single" w:sz="8" w:space="0" w:color="8EAADB"/>
              <w:right w:val="single" w:sz="8" w:space="0" w:color="8EAADB"/>
            </w:tcBorders>
            <w:shd w:val="clear" w:color="auto" w:fill="auto"/>
            <w:vAlign w:val="center"/>
            <w:hideMark/>
          </w:tcPr>
          <w:p w14:paraId="5FC7D003"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0</w:t>
            </w:r>
          </w:p>
        </w:tc>
        <w:tc>
          <w:tcPr>
            <w:tcW w:w="914" w:type="pct"/>
            <w:tcBorders>
              <w:top w:val="nil"/>
              <w:left w:val="nil"/>
              <w:bottom w:val="single" w:sz="8" w:space="0" w:color="8EAADB"/>
              <w:right w:val="single" w:sz="8" w:space="0" w:color="8EAADB"/>
            </w:tcBorders>
            <w:shd w:val="clear" w:color="000000" w:fill="D9E2F3"/>
            <w:vAlign w:val="center"/>
            <w:hideMark/>
          </w:tcPr>
          <w:p w14:paraId="0F83ECBE"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0</w:t>
            </w:r>
          </w:p>
        </w:tc>
        <w:tc>
          <w:tcPr>
            <w:tcW w:w="1167" w:type="pct"/>
            <w:vMerge/>
            <w:tcBorders>
              <w:top w:val="single" w:sz="8" w:space="0" w:color="4472C4"/>
              <w:left w:val="single" w:sz="8" w:space="0" w:color="8EAADB"/>
              <w:bottom w:val="single" w:sz="8" w:space="0" w:color="8EAADB"/>
              <w:right w:val="single" w:sz="8" w:space="0" w:color="auto"/>
            </w:tcBorders>
            <w:vAlign w:val="center"/>
            <w:hideMark/>
          </w:tcPr>
          <w:p w14:paraId="531DECD8" w14:textId="77777777" w:rsidR="00D86FA8" w:rsidRPr="001F0C5A" w:rsidRDefault="00D86FA8" w:rsidP="00D86FA8">
            <w:pPr>
              <w:spacing w:after="0" w:line="240" w:lineRule="auto"/>
              <w:rPr>
                <w:rFonts w:ascii="Garamond" w:eastAsia="Times New Roman" w:hAnsi="Garamond" w:cs="Arial"/>
                <w:b/>
                <w:bCs/>
                <w:i/>
                <w:iCs/>
                <w:color w:val="000000"/>
                <w:sz w:val="14"/>
                <w:szCs w:val="14"/>
                <w:lang w:val="sq-AL"/>
              </w:rPr>
            </w:pPr>
          </w:p>
        </w:tc>
      </w:tr>
      <w:tr w:rsidR="00D86FA8" w:rsidRPr="001F0C5A" w14:paraId="27B0ED73" w14:textId="77777777" w:rsidTr="00D86FA8">
        <w:trPr>
          <w:trHeight w:val="20"/>
        </w:trPr>
        <w:tc>
          <w:tcPr>
            <w:tcW w:w="1381" w:type="pct"/>
            <w:tcBorders>
              <w:top w:val="nil"/>
              <w:left w:val="single" w:sz="8" w:space="0" w:color="auto"/>
              <w:bottom w:val="single" w:sz="8" w:space="0" w:color="8EAADB"/>
              <w:right w:val="single" w:sz="8" w:space="0" w:color="8EAADB"/>
            </w:tcBorders>
            <w:shd w:val="clear" w:color="000000" w:fill="D9E2F3"/>
            <w:vAlign w:val="center"/>
            <w:hideMark/>
          </w:tcPr>
          <w:p w14:paraId="206A9709" w14:textId="63112124"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TOTALI [Lek]</w:t>
            </w:r>
          </w:p>
        </w:tc>
        <w:tc>
          <w:tcPr>
            <w:tcW w:w="759" w:type="pct"/>
            <w:tcBorders>
              <w:top w:val="nil"/>
              <w:left w:val="nil"/>
              <w:bottom w:val="single" w:sz="8" w:space="0" w:color="8EAADB"/>
              <w:right w:val="single" w:sz="8" w:space="0" w:color="8EAADB"/>
            </w:tcBorders>
            <w:shd w:val="clear" w:color="000000" w:fill="D9E2F3"/>
            <w:vAlign w:val="center"/>
            <w:hideMark/>
          </w:tcPr>
          <w:p w14:paraId="3430F1DD"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 </w:t>
            </w:r>
          </w:p>
        </w:tc>
        <w:tc>
          <w:tcPr>
            <w:tcW w:w="778" w:type="pct"/>
            <w:tcBorders>
              <w:top w:val="nil"/>
              <w:left w:val="nil"/>
              <w:bottom w:val="single" w:sz="8" w:space="0" w:color="8EAADB"/>
              <w:right w:val="single" w:sz="8" w:space="0" w:color="8EAADB"/>
            </w:tcBorders>
            <w:shd w:val="clear" w:color="000000" w:fill="D9E2F3"/>
            <w:vAlign w:val="center"/>
            <w:hideMark/>
          </w:tcPr>
          <w:p w14:paraId="54BB6A99"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3,539,240,675</w:t>
            </w:r>
          </w:p>
        </w:tc>
        <w:tc>
          <w:tcPr>
            <w:tcW w:w="914" w:type="pct"/>
            <w:tcBorders>
              <w:top w:val="nil"/>
              <w:left w:val="nil"/>
              <w:bottom w:val="single" w:sz="8" w:space="0" w:color="8EAADB"/>
              <w:right w:val="single" w:sz="8" w:space="0" w:color="8EAADB"/>
            </w:tcBorders>
            <w:shd w:val="clear" w:color="000000" w:fill="D9E2F3"/>
            <w:vAlign w:val="center"/>
            <w:hideMark/>
          </w:tcPr>
          <w:p w14:paraId="34F55C14"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3,537,770,675</w:t>
            </w:r>
          </w:p>
        </w:tc>
        <w:tc>
          <w:tcPr>
            <w:tcW w:w="1167" w:type="pct"/>
            <w:tcBorders>
              <w:top w:val="nil"/>
              <w:left w:val="nil"/>
              <w:bottom w:val="single" w:sz="8" w:space="0" w:color="8EAADB"/>
              <w:right w:val="single" w:sz="8" w:space="0" w:color="8EAADB"/>
            </w:tcBorders>
            <w:shd w:val="clear" w:color="000000" w:fill="D9E2F3"/>
            <w:vAlign w:val="center"/>
            <w:hideMark/>
          </w:tcPr>
          <w:p w14:paraId="43DA45B4"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1,470,000</w:t>
            </w:r>
          </w:p>
        </w:tc>
      </w:tr>
      <w:tr w:rsidR="00D86FA8" w:rsidRPr="001F0C5A" w14:paraId="029B0D4E" w14:textId="77777777" w:rsidTr="00D86FA8">
        <w:trPr>
          <w:trHeight w:val="20"/>
        </w:trPr>
        <w:tc>
          <w:tcPr>
            <w:tcW w:w="1381" w:type="pct"/>
            <w:tcBorders>
              <w:top w:val="nil"/>
              <w:left w:val="single" w:sz="8" w:space="0" w:color="auto"/>
              <w:bottom w:val="nil"/>
              <w:right w:val="single" w:sz="8" w:space="0" w:color="8EAADB"/>
            </w:tcBorders>
            <w:shd w:val="clear" w:color="auto" w:fill="auto"/>
            <w:vAlign w:val="center"/>
            <w:hideMark/>
          </w:tcPr>
          <w:p w14:paraId="49920D33"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TOTALI [Euro]</w:t>
            </w:r>
          </w:p>
        </w:tc>
        <w:tc>
          <w:tcPr>
            <w:tcW w:w="759"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03112EC1"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 </w:t>
            </w:r>
          </w:p>
        </w:tc>
        <w:tc>
          <w:tcPr>
            <w:tcW w:w="778"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453B51B1"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bookmarkStart w:id="4" w:name="RANGE!C12"/>
            <w:r w:rsidRPr="001F0C5A">
              <w:rPr>
                <w:rFonts w:ascii="Garamond" w:eastAsia="Times New Roman" w:hAnsi="Garamond" w:cs="Arial"/>
                <w:b/>
                <w:bCs/>
                <w:color w:val="000000"/>
                <w:sz w:val="14"/>
                <w:szCs w:val="14"/>
                <w:lang w:val="sq-AL"/>
              </w:rPr>
              <w:t>32,470,098</w:t>
            </w:r>
            <w:bookmarkEnd w:id="4"/>
          </w:p>
        </w:tc>
        <w:tc>
          <w:tcPr>
            <w:tcW w:w="914"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0FB9DA42"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32,456,612</w:t>
            </w:r>
          </w:p>
        </w:tc>
        <w:tc>
          <w:tcPr>
            <w:tcW w:w="1167"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67F6D01E"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13,486</w:t>
            </w:r>
          </w:p>
        </w:tc>
      </w:tr>
      <w:tr w:rsidR="00D86FA8" w:rsidRPr="001F0C5A" w14:paraId="6450CC53" w14:textId="77777777" w:rsidTr="00D86FA8">
        <w:trPr>
          <w:trHeight w:val="20"/>
        </w:trPr>
        <w:tc>
          <w:tcPr>
            <w:tcW w:w="1381" w:type="pct"/>
            <w:tcBorders>
              <w:top w:val="nil"/>
              <w:left w:val="single" w:sz="8" w:space="0" w:color="auto"/>
              <w:bottom w:val="single" w:sz="8" w:space="0" w:color="auto"/>
              <w:right w:val="single" w:sz="8" w:space="0" w:color="8EAADB"/>
            </w:tcBorders>
            <w:shd w:val="clear" w:color="auto" w:fill="auto"/>
            <w:vAlign w:val="center"/>
            <w:hideMark/>
          </w:tcPr>
          <w:p w14:paraId="115A2D39" w14:textId="020EAC2C" w:rsidR="00D86FA8" w:rsidRPr="001F0C5A" w:rsidRDefault="00D86FA8" w:rsidP="00D86FA8">
            <w:pPr>
              <w:spacing w:after="0" w:line="240" w:lineRule="auto"/>
              <w:jc w:val="center"/>
              <w:rPr>
                <w:rFonts w:ascii="Garamond" w:eastAsia="Times New Roman" w:hAnsi="Garamond" w:cs="Arial"/>
                <w:b/>
                <w:bCs/>
                <w:i/>
                <w:iCs/>
                <w:color w:val="FF0000"/>
                <w:sz w:val="14"/>
                <w:szCs w:val="14"/>
                <w:lang w:val="sq-AL"/>
              </w:rPr>
            </w:pPr>
            <w:r w:rsidRPr="001F0C5A">
              <w:rPr>
                <w:rFonts w:ascii="Garamond" w:eastAsia="Times New Roman" w:hAnsi="Garamond" w:cs="Arial"/>
                <w:b/>
                <w:bCs/>
                <w:i/>
                <w:iCs/>
                <w:color w:val="FF0000"/>
                <w:sz w:val="14"/>
                <w:szCs w:val="14"/>
                <w:lang w:val="sq-AL"/>
              </w:rPr>
              <w:t>1 euro 109</w:t>
            </w:r>
            <w:r w:rsidR="00C265DC">
              <w:rPr>
                <w:rFonts w:ascii="Garamond" w:eastAsia="Times New Roman" w:hAnsi="Garamond" w:cs="Arial"/>
                <w:b/>
                <w:bCs/>
                <w:i/>
                <w:iCs/>
                <w:color w:val="FF0000"/>
                <w:sz w:val="14"/>
                <w:szCs w:val="14"/>
                <w:lang w:val="sq-AL"/>
              </w:rPr>
              <w:t xml:space="preserve"> </w:t>
            </w:r>
            <w:r w:rsidR="00C265DC" w:rsidRPr="001F0C5A">
              <w:rPr>
                <w:rFonts w:ascii="Garamond" w:eastAsia="Times New Roman" w:hAnsi="Garamond" w:cs="Arial"/>
                <w:b/>
                <w:bCs/>
                <w:i/>
                <w:iCs/>
                <w:color w:val="FF0000"/>
                <w:sz w:val="14"/>
                <w:szCs w:val="14"/>
                <w:lang w:val="sq-AL"/>
              </w:rPr>
              <w:t>lek</w:t>
            </w:r>
          </w:p>
        </w:tc>
        <w:tc>
          <w:tcPr>
            <w:tcW w:w="759" w:type="pct"/>
            <w:vMerge/>
            <w:tcBorders>
              <w:top w:val="nil"/>
              <w:left w:val="single" w:sz="8" w:space="0" w:color="8EAADB"/>
              <w:bottom w:val="single" w:sz="8" w:space="0" w:color="000000"/>
              <w:right w:val="single" w:sz="8" w:space="0" w:color="8EAADB"/>
            </w:tcBorders>
            <w:vAlign w:val="center"/>
            <w:hideMark/>
          </w:tcPr>
          <w:p w14:paraId="4B85ACEA"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c>
          <w:tcPr>
            <w:tcW w:w="778" w:type="pct"/>
            <w:vMerge/>
            <w:tcBorders>
              <w:top w:val="nil"/>
              <w:left w:val="single" w:sz="8" w:space="0" w:color="8EAADB"/>
              <w:bottom w:val="single" w:sz="8" w:space="0" w:color="000000"/>
              <w:right w:val="single" w:sz="8" w:space="0" w:color="8EAADB"/>
            </w:tcBorders>
            <w:vAlign w:val="center"/>
            <w:hideMark/>
          </w:tcPr>
          <w:p w14:paraId="6247693E"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c>
          <w:tcPr>
            <w:tcW w:w="914" w:type="pct"/>
            <w:vMerge/>
            <w:tcBorders>
              <w:top w:val="nil"/>
              <w:left w:val="single" w:sz="8" w:space="0" w:color="8EAADB"/>
              <w:bottom w:val="single" w:sz="8" w:space="0" w:color="000000"/>
              <w:right w:val="single" w:sz="8" w:space="0" w:color="8EAADB"/>
            </w:tcBorders>
            <w:vAlign w:val="center"/>
            <w:hideMark/>
          </w:tcPr>
          <w:p w14:paraId="689D605D"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c>
          <w:tcPr>
            <w:tcW w:w="1167" w:type="pct"/>
            <w:vMerge/>
            <w:tcBorders>
              <w:top w:val="nil"/>
              <w:left w:val="single" w:sz="8" w:space="0" w:color="8EAADB"/>
              <w:bottom w:val="single" w:sz="8" w:space="0" w:color="000000"/>
              <w:right w:val="single" w:sz="8" w:space="0" w:color="8EAADB"/>
            </w:tcBorders>
            <w:vAlign w:val="center"/>
            <w:hideMark/>
          </w:tcPr>
          <w:p w14:paraId="7886BEC0"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r>
    </w:tbl>
    <w:p w14:paraId="3581696D" w14:textId="400F49C7" w:rsidR="00D86FA8" w:rsidRPr="001F0C5A" w:rsidRDefault="00D86FA8" w:rsidP="00D86FA8">
      <w:pPr>
        <w:spacing w:after="0" w:line="240" w:lineRule="auto"/>
        <w:ind w:firstLine="284"/>
        <w:jc w:val="center"/>
        <w:rPr>
          <w:rFonts w:ascii="Garamond" w:hAnsi="Garamond" w:cs="Times New Roman"/>
          <w:b/>
          <w:sz w:val="24"/>
          <w:szCs w:val="24"/>
          <w:lang w:val="sq-AL"/>
        </w:rPr>
      </w:pPr>
    </w:p>
    <w:p w14:paraId="2207DE2A" w14:textId="261D2C37" w:rsidR="00D86FA8" w:rsidRPr="001F0C5A" w:rsidRDefault="00D86FA8" w:rsidP="00D86FA8">
      <w:pPr>
        <w:spacing w:after="0" w:line="240" w:lineRule="auto"/>
        <w:ind w:firstLine="284"/>
        <w:jc w:val="center"/>
        <w:rPr>
          <w:rFonts w:ascii="Garamond" w:hAnsi="Garamond" w:cs="Times New Roman"/>
          <w:b/>
          <w:sz w:val="24"/>
          <w:szCs w:val="24"/>
          <w:lang w:val="sq-AL"/>
        </w:rPr>
      </w:pPr>
      <w:r w:rsidRPr="001F0C5A">
        <w:rPr>
          <w:rFonts w:ascii="Garamond" w:hAnsi="Garamond" w:cs="Times New Roman"/>
          <w:b/>
          <w:noProof/>
          <w:sz w:val="24"/>
          <w:szCs w:val="24"/>
          <w:lang w:val="sq-AL"/>
        </w:rPr>
        <w:drawing>
          <wp:inline distT="0" distB="0" distL="0" distR="0" wp14:anchorId="754D42FA" wp14:editId="12788CE6">
            <wp:extent cx="6120947" cy="444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7634" cy="4467569"/>
                    </a:xfrm>
                    <a:prstGeom prst="rect">
                      <a:avLst/>
                    </a:prstGeom>
                    <a:noFill/>
                  </pic:spPr>
                </pic:pic>
              </a:graphicData>
            </a:graphic>
          </wp:inline>
        </w:drawing>
      </w:r>
    </w:p>
    <w:p w14:paraId="4835FD44" w14:textId="1879DB95" w:rsidR="00D86FA8" w:rsidRPr="001F0C5A" w:rsidRDefault="00D86FA8" w:rsidP="00D86FA8">
      <w:pPr>
        <w:spacing w:after="0" w:line="240" w:lineRule="auto"/>
        <w:ind w:firstLine="284"/>
        <w:jc w:val="center"/>
        <w:rPr>
          <w:rFonts w:ascii="Garamond" w:hAnsi="Garamond" w:cs="Times New Roman"/>
          <w:b/>
          <w:sz w:val="24"/>
          <w:szCs w:val="24"/>
          <w:lang w:val="sq-AL"/>
        </w:rPr>
      </w:pPr>
    </w:p>
    <w:p w14:paraId="15E9A944" w14:textId="70617837" w:rsidR="00D86FA8" w:rsidRPr="001F0C5A" w:rsidRDefault="00D86FA8" w:rsidP="00D86FA8">
      <w:pPr>
        <w:spacing w:after="0" w:line="240" w:lineRule="auto"/>
        <w:ind w:firstLine="284"/>
        <w:jc w:val="center"/>
        <w:rPr>
          <w:rFonts w:ascii="Garamond" w:hAnsi="Garamond" w:cs="Times New Roman"/>
          <w:b/>
          <w:sz w:val="24"/>
          <w:szCs w:val="24"/>
          <w:lang w:val="sq-AL"/>
        </w:rPr>
      </w:pPr>
      <w:r w:rsidRPr="001F0C5A">
        <w:rPr>
          <w:rFonts w:ascii="Garamond" w:hAnsi="Garamond" w:cs="Times New Roman"/>
          <w:b/>
          <w:noProof/>
          <w:sz w:val="24"/>
          <w:szCs w:val="24"/>
          <w:lang w:val="sq-AL"/>
        </w:rPr>
        <w:lastRenderedPageBreak/>
        <w:drawing>
          <wp:inline distT="0" distB="0" distL="0" distR="0" wp14:anchorId="674DC88A" wp14:editId="7FED4B1F">
            <wp:extent cx="6023082" cy="43770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38435" cy="4388212"/>
                    </a:xfrm>
                    <a:prstGeom prst="rect">
                      <a:avLst/>
                    </a:prstGeom>
                    <a:noFill/>
                  </pic:spPr>
                </pic:pic>
              </a:graphicData>
            </a:graphic>
          </wp:inline>
        </w:drawing>
      </w:r>
    </w:p>
    <w:p w14:paraId="664DBCEE" w14:textId="7E4B5DC8" w:rsidR="00D86FA8" w:rsidRPr="001F0C5A" w:rsidRDefault="00D86FA8" w:rsidP="00D86FA8">
      <w:pPr>
        <w:spacing w:after="0" w:line="240" w:lineRule="auto"/>
        <w:ind w:firstLine="284"/>
        <w:jc w:val="center"/>
        <w:rPr>
          <w:rFonts w:ascii="Garamond" w:hAnsi="Garamond" w:cs="Times New Roman"/>
          <w:b/>
          <w:sz w:val="24"/>
          <w:szCs w:val="24"/>
          <w:lang w:val="sq-AL"/>
        </w:rPr>
      </w:pPr>
    </w:p>
    <w:p w14:paraId="2C59B499" w14:textId="17FC08D4" w:rsidR="00D86FA8" w:rsidRPr="001F0C5A" w:rsidRDefault="007F2D7E" w:rsidP="00D86FA8">
      <w:pPr>
        <w:spacing w:after="0" w:line="240" w:lineRule="auto"/>
        <w:ind w:firstLine="284"/>
        <w:jc w:val="center"/>
        <w:rPr>
          <w:rFonts w:ascii="Garamond" w:hAnsi="Garamond" w:cs="Times New Roman"/>
          <w:b/>
          <w:sz w:val="24"/>
          <w:szCs w:val="24"/>
          <w:lang w:val="sq-AL"/>
        </w:rPr>
      </w:pPr>
      <w:r w:rsidRPr="001F0C5A">
        <w:rPr>
          <w:rFonts w:ascii="Garamond" w:hAnsi="Garamond" w:cs="Times New Roman"/>
          <w:b/>
          <w:noProof/>
          <w:sz w:val="24"/>
          <w:szCs w:val="24"/>
          <w:lang w:val="sq-AL"/>
        </w:rPr>
        <w:lastRenderedPageBreak/>
        <w:drawing>
          <wp:inline distT="0" distB="0" distL="0" distR="0" wp14:anchorId="6CD96CB4" wp14:editId="4D47CD84">
            <wp:extent cx="7143289" cy="5191125"/>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8968" cy="5195252"/>
                    </a:xfrm>
                    <a:prstGeom prst="rect">
                      <a:avLst/>
                    </a:prstGeom>
                    <a:noFill/>
                  </pic:spPr>
                </pic:pic>
              </a:graphicData>
            </a:graphic>
          </wp:inline>
        </w:drawing>
      </w:r>
    </w:p>
    <w:sectPr w:rsidR="00D86FA8" w:rsidRPr="001F0C5A" w:rsidSect="00D86FA8">
      <w:pgSz w:w="16839" w:h="11907" w:orient="landscape" w:code="9"/>
      <w:pgMar w:top="1418" w:right="1418" w:bottom="1418" w:left="1418" w:header="720" w:footer="10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24027" w14:textId="77777777" w:rsidR="00351EC7" w:rsidRDefault="00351EC7" w:rsidP="00285632">
      <w:pPr>
        <w:spacing w:after="0" w:line="240" w:lineRule="auto"/>
      </w:pPr>
      <w:r>
        <w:separator/>
      </w:r>
    </w:p>
  </w:endnote>
  <w:endnote w:type="continuationSeparator" w:id="0">
    <w:p w14:paraId="52B8235B" w14:textId="77777777" w:rsidR="00351EC7" w:rsidRDefault="00351EC7" w:rsidP="00285632">
      <w:pPr>
        <w:spacing w:after="0" w:line="240" w:lineRule="auto"/>
      </w:pPr>
      <w:r>
        <w:continuationSeparator/>
      </w:r>
    </w:p>
  </w:endnote>
  <w:endnote w:type="continuationNotice" w:id="1">
    <w:p w14:paraId="6278BD8C" w14:textId="77777777" w:rsidR="00351EC7" w:rsidRDefault="00351E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287" w:usb1="00000000" w:usb2="00000000" w:usb3="00000000" w:csb0="0000009F" w:csb1="00000000"/>
  </w:font>
  <w:font w:name="Yu Mincho">
    <w:altName w:val="Arial Unicode MS"/>
    <w:charset w:val="80"/>
    <w:family w:val="roman"/>
    <w:pitch w:val="variable"/>
    <w:sig w:usb0="800002E7" w:usb1="2AC7FCFF" w:usb2="00000012" w:usb3="00000000" w:csb0="0002009F" w:csb1="00000000"/>
  </w:font>
  <w:font w:name="Open Sans Light">
    <w:altName w:val="Open Sans Light"/>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FC6F5" w14:textId="77777777" w:rsidR="00351EC7" w:rsidRDefault="00351EC7" w:rsidP="00285632">
      <w:pPr>
        <w:spacing w:after="0" w:line="240" w:lineRule="auto"/>
      </w:pPr>
      <w:r>
        <w:separator/>
      </w:r>
    </w:p>
  </w:footnote>
  <w:footnote w:type="continuationSeparator" w:id="0">
    <w:p w14:paraId="3E6D5FE6" w14:textId="77777777" w:rsidR="00351EC7" w:rsidRDefault="00351EC7" w:rsidP="00285632">
      <w:pPr>
        <w:spacing w:after="0" w:line="240" w:lineRule="auto"/>
      </w:pPr>
      <w:r>
        <w:continuationSeparator/>
      </w:r>
    </w:p>
  </w:footnote>
  <w:footnote w:type="continuationNotice" w:id="1">
    <w:p w14:paraId="22866429" w14:textId="77777777" w:rsidR="00351EC7" w:rsidRDefault="00351EC7">
      <w:pPr>
        <w:spacing w:after="0" w:line="240" w:lineRule="auto"/>
      </w:pPr>
    </w:p>
  </w:footnote>
  <w:footnote w:id="2">
    <w:p w14:paraId="58488CF1" w14:textId="77777777" w:rsidR="00F511C4" w:rsidRPr="00D24CB8" w:rsidRDefault="00F511C4" w:rsidP="00F511C4">
      <w:pPr>
        <w:pStyle w:val="ListParagraph"/>
        <w:spacing w:after="0" w:line="240" w:lineRule="auto"/>
        <w:ind w:left="0" w:firstLine="284"/>
        <w:jc w:val="both"/>
        <w:rPr>
          <w:rFonts w:ascii="Garamond" w:hAnsi="Garamond"/>
          <w:sz w:val="20"/>
          <w:szCs w:val="20"/>
        </w:rPr>
      </w:pPr>
      <w:r>
        <w:rPr>
          <w:rStyle w:val="FootnoteReference"/>
        </w:rPr>
        <w:footnoteRef/>
      </w:r>
      <w:r>
        <w:t xml:space="preserve"> </w:t>
      </w:r>
      <w:r w:rsidRPr="00D24CB8">
        <w:rPr>
          <w:rFonts w:ascii="Garamond" w:hAnsi="Garamond"/>
          <w:sz w:val="20"/>
          <w:szCs w:val="20"/>
        </w:rPr>
        <w:t>Vendimi nr. 487, dat</w:t>
      </w:r>
      <w:r>
        <w:rPr>
          <w:rFonts w:ascii="Garamond" w:hAnsi="Garamond"/>
          <w:sz w:val="20"/>
          <w:szCs w:val="20"/>
        </w:rPr>
        <w:t xml:space="preserve">ë </w:t>
      </w:r>
      <w:r w:rsidRPr="00D24CB8">
        <w:rPr>
          <w:rFonts w:ascii="Garamond" w:hAnsi="Garamond"/>
          <w:sz w:val="20"/>
          <w:szCs w:val="20"/>
        </w:rPr>
        <w:t>24.7.2024 botuar n</w:t>
      </w:r>
      <w:r>
        <w:rPr>
          <w:rFonts w:ascii="Garamond" w:hAnsi="Garamond"/>
          <w:sz w:val="20"/>
          <w:szCs w:val="20"/>
        </w:rPr>
        <w:t>ë</w:t>
      </w:r>
      <w:r w:rsidRPr="00D24CB8">
        <w:rPr>
          <w:rFonts w:ascii="Garamond" w:hAnsi="Garamond"/>
          <w:sz w:val="20"/>
          <w:szCs w:val="20"/>
        </w:rPr>
        <w:t xml:space="preserve"> F.Z nr. 127, datë 26.7.2024 në pi</w:t>
      </w:r>
      <w:r>
        <w:rPr>
          <w:rFonts w:ascii="Garamond" w:hAnsi="Garamond"/>
          <w:sz w:val="20"/>
          <w:szCs w:val="20"/>
        </w:rPr>
        <w:t>kën</w:t>
      </w:r>
      <w:r w:rsidRPr="00D24CB8">
        <w:rPr>
          <w:rFonts w:ascii="Garamond" w:hAnsi="Garamond"/>
          <w:sz w:val="20"/>
          <w:szCs w:val="20"/>
        </w:rPr>
        <w:t xml:space="preserve"> 1 t</w:t>
      </w:r>
      <w:r>
        <w:rPr>
          <w:rFonts w:ascii="Garamond" w:hAnsi="Garamond"/>
          <w:sz w:val="20"/>
          <w:szCs w:val="20"/>
        </w:rPr>
        <w:t>ë</w:t>
      </w:r>
      <w:r w:rsidRPr="00D24CB8">
        <w:rPr>
          <w:rFonts w:ascii="Garamond" w:hAnsi="Garamond"/>
          <w:sz w:val="20"/>
          <w:szCs w:val="20"/>
        </w:rPr>
        <w:t xml:space="preserve"> tij shprehet: “</w:t>
      </w:r>
      <w:r w:rsidRPr="00D24CB8">
        <w:rPr>
          <w:rFonts w:ascii="Garamond" w:hAnsi="Garamond"/>
          <w:i/>
          <w:sz w:val="20"/>
          <w:szCs w:val="20"/>
        </w:rPr>
        <w:t>1. Në titull dhe në pikën 1 të vendimit, periudha “2021–2023” zëvendësohet me “2024–2025”.</w:t>
      </w:r>
    </w:p>
    <w:p w14:paraId="7253E3B9" w14:textId="77777777" w:rsidR="00F511C4" w:rsidRPr="00D24CB8" w:rsidRDefault="00F511C4" w:rsidP="00F511C4">
      <w:pPr>
        <w:pStyle w:val="FootnoteText"/>
        <w:rPr>
          <w:lang w:val="en-US"/>
        </w:rPr>
      </w:pPr>
    </w:p>
  </w:footnote>
  <w:footnote w:id="3">
    <w:p w14:paraId="175418CF" w14:textId="77777777" w:rsidR="00F511C4" w:rsidRPr="00B22C87" w:rsidRDefault="00F511C4" w:rsidP="00F511C4">
      <w:pPr>
        <w:autoSpaceDE w:val="0"/>
        <w:autoSpaceDN w:val="0"/>
        <w:adjustRightInd w:val="0"/>
        <w:spacing w:after="0" w:line="240" w:lineRule="auto"/>
        <w:rPr>
          <w:rFonts w:ascii="Garamond" w:hAnsi="Garamond"/>
          <w:i/>
          <w:sz w:val="20"/>
          <w:szCs w:val="20"/>
        </w:rPr>
      </w:pPr>
      <w:r w:rsidRPr="00B22C87">
        <w:rPr>
          <w:rStyle w:val="FootnoteReference"/>
          <w:rFonts w:ascii="Garamond" w:hAnsi="Garamond"/>
          <w:i/>
          <w:sz w:val="20"/>
          <w:szCs w:val="20"/>
        </w:rPr>
        <w:footnoteRef/>
      </w:r>
      <w:r w:rsidRPr="00B22C87">
        <w:rPr>
          <w:rFonts w:ascii="Garamond" w:hAnsi="Garamond"/>
          <w:i/>
          <w:sz w:val="20"/>
          <w:szCs w:val="20"/>
        </w:rPr>
        <w:t xml:space="preserve">Technical and Operational Strategy forEuropean IntegratedBorder Management, </w:t>
      </w:r>
      <w:r w:rsidRPr="00B22C87">
        <w:rPr>
          <w:rFonts w:ascii="Garamond" w:hAnsi="Garamond"/>
          <w:sz w:val="20"/>
          <w:szCs w:val="20"/>
        </w:rPr>
        <w:t xml:space="preserve">miratuar me vendimin nr. 2/2019 të Bordit të Menaxhimit të Agjencinë Evropiane të Rojës Kufitare dhe Bregdetare </w:t>
      </w:r>
      <w:r w:rsidRPr="00B22C87">
        <w:rPr>
          <w:rFonts w:ascii="Garamond" w:hAnsi="Garamond"/>
          <w:i/>
          <w:sz w:val="20"/>
          <w:szCs w:val="20"/>
        </w:rPr>
        <w:t>(FRONTEX).</w:t>
      </w:r>
    </w:p>
  </w:footnote>
  <w:footnote w:id="4">
    <w:p w14:paraId="1048868F" w14:textId="77777777" w:rsidR="00F511C4" w:rsidRDefault="00F511C4" w:rsidP="00F511C4">
      <w:pPr>
        <w:autoSpaceDE w:val="0"/>
        <w:autoSpaceDN w:val="0"/>
        <w:adjustRightInd w:val="0"/>
        <w:spacing w:after="0" w:line="240" w:lineRule="auto"/>
        <w:rPr>
          <w:rFonts w:ascii="Times New Roman" w:hAnsi="Times New Roman"/>
          <w:sz w:val="20"/>
          <w:szCs w:val="20"/>
        </w:rPr>
      </w:pPr>
      <w:r w:rsidRPr="00B22C87">
        <w:rPr>
          <w:rStyle w:val="FootnoteReference"/>
          <w:rFonts w:ascii="Garamond" w:hAnsi="Garamond"/>
          <w:i/>
          <w:sz w:val="20"/>
          <w:szCs w:val="20"/>
        </w:rPr>
        <w:footnoteRef/>
      </w:r>
      <w:r w:rsidRPr="00B22C87">
        <w:rPr>
          <w:rFonts w:ascii="Garamond" w:hAnsi="Garamond"/>
          <w:i/>
          <w:sz w:val="20"/>
          <w:szCs w:val="20"/>
        </w:rPr>
        <w:t>Guidelines for Integrated BorderManagement in EuropeanCommission External Cooperation, November 2010</w:t>
      </w:r>
      <w:r>
        <w:rPr>
          <w:rFonts w:ascii="Garamond" w:hAnsi="Garamond"/>
          <w:sz w:val="20"/>
          <w:szCs w:val="20"/>
        </w:rPr>
        <w:t>.</w:t>
      </w:r>
    </w:p>
  </w:footnote>
  <w:footnote w:id="5">
    <w:p w14:paraId="495EC8C2" w14:textId="77777777" w:rsidR="00F511C4" w:rsidRPr="00B22C87" w:rsidRDefault="00F511C4" w:rsidP="00F511C4">
      <w:pPr>
        <w:spacing w:after="0" w:line="240" w:lineRule="auto"/>
        <w:jc w:val="both"/>
        <w:rPr>
          <w:rFonts w:ascii="Garamond" w:hAnsi="Garamond"/>
          <w:i/>
          <w:sz w:val="20"/>
          <w:szCs w:val="20"/>
        </w:rPr>
      </w:pPr>
      <w:r>
        <w:rPr>
          <w:rStyle w:val="FootnoteReference"/>
          <w:rFonts w:ascii="Garamond" w:hAnsi="Garamond"/>
          <w:sz w:val="20"/>
          <w:szCs w:val="20"/>
        </w:rPr>
        <w:footnoteRef/>
      </w:r>
      <w:r>
        <w:rPr>
          <w:rFonts w:ascii="Garamond" w:hAnsi="Garamond"/>
          <w:i/>
          <w:sz w:val="20"/>
          <w:szCs w:val="20"/>
        </w:rPr>
        <w:t xml:space="preserve">Commission staff </w:t>
      </w:r>
      <w:r w:rsidRPr="00B22C87">
        <w:rPr>
          <w:rFonts w:ascii="Garamond" w:hAnsi="Garamond"/>
          <w:i/>
          <w:sz w:val="20"/>
          <w:szCs w:val="20"/>
        </w:rPr>
        <w:t>working document Albania 2015 report, accompanying the document communication from the Commission to the European Parliament, the Council, the European Economic and Social Committw and the Committw of the Regions; http://integrimi-ne-be.punet</w:t>
      </w:r>
      <w:r>
        <w:rPr>
          <w:rFonts w:ascii="Garamond" w:hAnsi="Garamond"/>
          <w:i/>
          <w:sz w:val="20"/>
          <w:szCs w:val="20"/>
        </w:rPr>
        <w:t>ejashtme.gov.al/anetaresimi-ne-</w:t>
      </w:r>
      <w:r w:rsidRPr="00B22C87">
        <w:rPr>
          <w:rFonts w:ascii="Garamond" w:hAnsi="Garamond"/>
          <w:i/>
          <w:sz w:val="20"/>
          <w:szCs w:val="20"/>
        </w:rPr>
        <w:t>be/dokumente/dokumente-te-be/.</w:t>
      </w:r>
    </w:p>
  </w:footnote>
  <w:footnote w:id="6">
    <w:p w14:paraId="544885C7" w14:textId="77777777" w:rsidR="00F511C4" w:rsidRPr="00F114C6" w:rsidRDefault="00F511C4" w:rsidP="00F511C4">
      <w:pPr>
        <w:pStyle w:val="Default"/>
        <w:jc w:val="both"/>
        <w:rPr>
          <w:rFonts w:ascii="Garamond" w:hAnsi="Garamond"/>
          <w:sz w:val="20"/>
          <w:szCs w:val="20"/>
        </w:rPr>
      </w:pPr>
      <w:r w:rsidRPr="00F114C6">
        <w:rPr>
          <w:rStyle w:val="FootnoteReference"/>
          <w:rFonts w:ascii="Garamond" w:hAnsi="Garamond"/>
          <w:sz w:val="20"/>
          <w:szCs w:val="20"/>
        </w:rPr>
        <w:footnoteRef/>
      </w:r>
      <w:r w:rsidRPr="00F114C6">
        <w:rPr>
          <w:rFonts w:ascii="Garamond" w:hAnsi="Garamond"/>
          <w:sz w:val="20"/>
          <w:szCs w:val="20"/>
        </w:rPr>
        <w:t xml:space="preserve"> P</w:t>
      </w:r>
      <w:r w:rsidRPr="00F114C6">
        <w:rPr>
          <w:rFonts w:ascii="Garamond" w:hAnsi="Garamond"/>
          <w:iCs/>
          <w:sz w:val="20"/>
          <w:szCs w:val="20"/>
        </w:rPr>
        <w:t>ërafruar pjesërisht me rregulloren (BE) 2016/399, të Parlamentit Evropian dhe të Këshillit, datë 9 mars 2016, “Mbi Kodin e Bashkimit Evropian që përcakton rregullat e regjimit të lëvizjes së personave përmes kufijve (Kodi i Kufijve Schengen)”.</w:t>
      </w:r>
    </w:p>
  </w:footnote>
  <w:footnote w:id="7">
    <w:p w14:paraId="7D41122F" w14:textId="77777777" w:rsidR="00F511C4" w:rsidRPr="00F114C6" w:rsidRDefault="00F511C4" w:rsidP="00F511C4">
      <w:pPr>
        <w:spacing w:after="0" w:line="240" w:lineRule="auto"/>
        <w:jc w:val="both"/>
        <w:rPr>
          <w:rFonts w:ascii="Garamond" w:hAnsi="Garamond"/>
          <w:sz w:val="20"/>
          <w:szCs w:val="20"/>
        </w:rPr>
      </w:pPr>
      <w:r w:rsidRPr="00F114C6">
        <w:rPr>
          <w:rStyle w:val="FootnoteReference"/>
          <w:rFonts w:ascii="Garamond" w:hAnsi="Garamond"/>
          <w:sz w:val="20"/>
          <w:szCs w:val="20"/>
        </w:rPr>
        <w:footnoteRef/>
      </w:r>
      <w:r w:rsidRPr="00F114C6">
        <w:rPr>
          <w:rFonts w:ascii="Garamond" w:hAnsi="Garamond"/>
          <w:sz w:val="20"/>
          <w:szCs w:val="20"/>
        </w:rPr>
        <w:t xml:space="preserve"> Ky ligj është përafruar pjesërisht me direktivën 2004/82</w:t>
      </w:r>
      <w:r>
        <w:rPr>
          <w:rFonts w:ascii="Garamond" w:hAnsi="Garamond"/>
          <w:color w:val="000000"/>
          <w:sz w:val="20"/>
          <w:szCs w:val="20"/>
        </w:rPr>
        <w:t>/</w:t>
      </w:r>
      <w:r w:rsidRPr="00F114C6">
        <w:rPr>
          <w:rFonts w:ascii="Garamond" w:hAnsi="Garamond"/>
          <w:sz w:val="20"/>
          <w:szCs w:val="20"/>
        </w:rPr>
        <w:t>KE</w:t>
      </w:r>
      <w:r>
        <w:rPr>
          <w:rFonts w:ascii="Garamond" w:hAnsi="Garamond"/>
          <w:sz w:val="20"/>
          <w:szCs w:val="20"/>
        </w:rPr>
        <w:t>,</w:t>
      </w:r>
      <w:r w:rsidRPr="00F114C6">
        <w:rPr>
          <w:rFonts w:ascii="Garamond" w:hAnsi="Garamond"/>
          <w:sz w:val="20"/>
          <w:szCs w:val="20"/>
        </w:rPr>
        <w:t xml:space="preserve"> të Këshillit të Evropian</w:t>
      </w:r>
      <w:r>
        <w:rPr>
          <w:rFonts w:ascii="Garamond" w:hAnsi="Garamond"/>
          <w:sz w:val="20"/>
          <w:szCs w:val="20"/>
        </w:rPr>
        <w:t>,</w:t>
      </w:r>
      <w:r w:rsidRPr="00F114C6">
        <w:rPr>
          <w:rFonts w:ascii="Garamond" w:hAnsi="Garamond"/>
          <w:sz w:val="20"/>
          <w:szCs w:val="20"/>
        </w:rPr>
        <w:t xml:space="preserve"> të datës 29 prill 2004, mbi detyrimin e transmetimit të të dhënave të pasagjerit dhe </w:t>
      </w:r>
      <w:r>
        <w:rPr>
          <w:rFonts w:ascii="Garamond" w:hAnsi="Garamond"/>
          <w:sz w:val="20"/>
          <w:szCs w:val="20"/>
        </w:rPr>
        <w:t>d</w:t>
      </w:r>
      <w:r w:rsidRPr="00F114C6">
        <w:rPr>
          <w:rFonts w:ascii="Garamond" w:hAnsi="Garamond"/>
          <w:sz w:val="20"/>
          <w:szCs w:val="20"/>
        </w:rPr>
        <w:t>irektivën e BE-së 2016/681</w:t>
      </w:r>
      <w:r>
        <w:rPr>
          <w:rFonts w:ascii="Garamond" w:hAnsi="Garamond"/>
          <w:sz w:val="20"/>
          <w:szCs w:val="20"/>
        </w:rPr>
        <w:t>,</w:t>
      </w:r>
      <w:r w:rsidRPr="00F114C6">
        <w:rPr>
          <w:rFonts w:ascii="Garamond" w:hAnsi="Garamond"/>
          <w:sz w:val="20"/>
          <w:szCs w:val="20"/>
        </w:rPr>
        <w:t xml:space="preserve"> të Parlamentit dhe Këshillit, datë</w:t>
      </w:r>
      <w:r>
        <w:rPr>
          <w:rFonts w:ascii="Garamond" w:hAnsi="Garamond"/>
          <w:sz w:val="20"/>
          <w:szCs w:val="20"/>
        </w:rPr>
        <w:t xml:space="preserve"> </w:t>
      </w:r>
      <w:r w:rsidRPr="00F114C6">
        <w:rPr>
          <w:rFonts w:ascii="Garamond" w:hAnsi="Garamond"/>
          <w:sz w:val="20"/>
          <w:szCs w:val="20"/>
        </w:rPr>
        <w:t>27.4.2016,</w:t>
      </w:r>
      <w:r>
        <w:rPr>
          <w:rFonts w:ascii="Garamond" w:hAnsi="Garamond"/>
          <w:sz w:val="20"/>
          <w:szCs w:val="20"/>
        </w:rPr>
        <w:t xml:space="preserve"> </w:t>
      </w:r>
      <w:r w:rsidRPr="00F114C6">
        <w:rPr>
          <w:rFonts w:ascii="Garamond" w:hAnsi="Garamond"/>
          <w:sz w:val="20"/>
          <w:szCs w:val="20"/>
        </w:rPr>
        <w:t xml:space="preserve">mbi përdorimin e të dhënave të regjistrit të emrit të pasagjerit (PNR) me qëllim parandalimin, zbulimin, hetimin dhe ndjekjen penale veprave me qëllime terroriste dhe krimeve të rënda. </w:t>
      </w:r>
    </w:p>
  </w:footnote>
  <w:footnote w:id="8">
    <w:p w14:paraId="44638EAF" w14:textId="77777777" w:rsidR="00F511C4" w:rsidRPr="003B7942" w:rsidRDefault="00F511C4" w:rsidP="00F511C4">
      <w:pPr>
        <w:jc w:val="both"/>
        <w:rPr>
          <w:rFonts w:ascii="Garamond" w:eastAsia="Calibri" w:hAnsi="Garamond"/>
          <w:sz w:val="20"/>
          <w:szCs w:val="20"/>
        </w:rPr>
      </w:pPr>
      <w:r w:rsidRPr="00F114C6">
        <w:rPr>
          <w:rStyle w:val="FootnoteReference"/>
          <w:rFonts w:ascii="Garamond" w:hAnsi="Garamond"/>
          <w:sz w:val="20"/>
          <w:szCs w:val="20"/>
        </w:rPr>
        <w:footnoteRef/>
      </w:r>
      <w:r w:rsidRPr="00F114C6">
        <w:rPr>
          <w:rFonts w:ascii="Garamond" w:hAnsi="Garamond"/>
          <w:sz w:val="20"/>
          <w:szCs w:val="20"/>
        </w:rPr>
        <w:t xml:space="preserve"> Ky ligj është i përafruar pjesërisht me </w:t>
      </w:r>
      <w:r>
        <w:rPr>
          <w:rFonts w:ascii="Garamond" w:hAnsi="Garamond"/>
          <w:sz w:val="20"/>
          <w:szCs w:val="20"/>
        </w:rPr>
        <w:t>d</w:t>
      </w:r>
      <w:r w:rsidRPr="00F114C6">
        <w:rPr>
          <w:rFonts w:ascii="Garamond" w:hAnsi="Garamond"/>
          <w:sz w:val="20"/>
          <w:szCs w:val="20"/>
        </w:rPr>
        <w:t>irektivën2014/66/BE</w:t>
      </w:r>
      <w:r>
        <w:rPr>
          <w:rFonts w:ascii="Garamond" w:hAnsi="Garamond"/>
          <w:sz w:val="20"/>
          <w:szCs w:val="20"/>
        </w:rPr>
        <w:t>,</w:t>
      </w:r>
      <w:r w:rsidRPr="00F114C6">
        <w:rPr>
          <w:rFonts w:ascii="Garamond" w:hAnsi="Garamond"/>
          <w:sz w:val="20"/>
          <w:szCs w:val="20"/>
        </w:rPr>
        <w:t xml:space="preserve"> të Parlamentit Evropian dhe të Këshillit, datë 15 maj 2014,</w:t>
      </w:r>
      <w:r>
        <w:rPr>
          <w:rFonts w:ascii="Garamond" w:hAnsi="Garamond"/>
          <w:sz w:val="20"/>
          <w:szCs w:val="20"/>
        </w:rPr>
        <w:t xml:space="preserve"> </w:t>
      </w:r>
      <w:r w:rsidRPr="00F114C6">
        <w:rPr>
          <w:rFonts w:ascii="Garamond" w:hAnsi="Garamond"/>
          <w:sz w:val="20"/>
          <w:szCs w:val="20"/>
        </w:rPr>
        <w:t>“Mbi kushtet e hyrjes dhe të qëndrimit të shtetasve të vendeve të treta në kuadër të transferimit brenda ndërmarrjes”</w:t>
      </w:r>
      <w:r>
        <w:rPr>
          <w:rFonts w:ascii="Garamond" w:hAnsi="Garamond"/>
          <w:sz w:val="20"/>
          <w:szCs w:val="20"/>
        </w:rPr>
        <w:t>;</w:t>
      </w:r>
      <w:r w:rsidRPr="00F114C6">
        <w:rPr>
          <w:rFonts w:ascii="Garamond" w:hAnsi="Garamond"/>
          <w:sz w:val="20"/>
          <w:szCs w:val="20"/>
        </w:rPr>
        <w:t xml:space="preserve"> direktivën 2014/36/BE</w:t>
      </w:r>
      <w:r>
        <w:rPr>
          <w:rFonts w:ascii="Garamond" w:hAnsi="Garamond"/>
          <w:sz w:val="20"/>
          <w:szCs w:val="20"/>
        </w:rPr>
        <w:t>,</w:t>
      </w:r>
      <w:r w:rsidRPr="00F114C6">
        <w:rPr>
          <w:rFonts w:ascii="Garamond" w:hAnsi="Garamond"/>
          <w:sz w:val="20"/>
          <w:szCs w:val="20"/>
        </w:rPr>
        <w:t xml:space="preserve"> të Parlamentit Evropian dhe të Këshillit,</w:t>
      </w:r>
      <w:r>
        <w:rPr>
          <w:rFonts w:ascii="Garamond" w:hAnsi="Garamond"/>
          <w:sz w:val="20"/>
          <w:szCs w:val="20"/>
        </w:rPr>
        <w:t xml:space="preserve"> </w:t>
      </w:r>
      <w:r w:rsidRPr="00F114C6">
        <w:rPr>
          <w:rFonts w:ascii="Garamond" w:hAnsi="Garamond"/>
          <w:sz w:val="20"/>
          <w:szCs w:val="20"/>
        </w:rPr>
        <w:t>datë</w:t>
      </w:r>
      <w:r>
        <w:rPr>
          <w:rFonts w:ascii="Garamond" w:hAnsi="Garamond"/>
          <w:sz w:val="20"/>
          <w:szCs w:val="20"/>
        </w:rPr>
        <w:t xml:space="preserve"> </w:t>
      </w:r>
      <w:r w:rsidRPr="00F114C6">
        <w:rPr>
          <w:rFonts w:ascii="Garamond" w:hAnsi="Garamond"/>
          <w:sz w:val="20"/>
          <w:szCs w:val="20"/>
        </w:rPr>
        <w:t>26 shkurt</w:t>
      </w:r>
      <w:r>
        <w:rPr>
          <w:rFonts w:ascii="Garamond" w:hAnsi="Garamond"/>
          <w:sz w:val="20"/>
          <w:szCs w:val="20"/>
        </w:rPr>
        <w:t xml:space="preserve"> </w:t>
      </w:r>
      <w:r w:rsidRPr="00F114C6">
        <w:rPr>
          <w:rFonts w:ascii="Garamond" w:hAnsi="Garamond"/>
          <w:sz w:val="20"/>
          <w:szCs w:val="20"/>
        </w:rPr>
        <w:t xml:space="preserve">2014, “Mbi kushtet e hyrjes dhe të qëndrimit të shtetasve të vendeve të treta për qëllime punësimi si punonjës </w:t>
      </w:r>
      <w:r>
        <w:rPr>
          <w:rFonts w:ascii="Garamond" w:hAnsi="Garamond"/>
          <w:sz w:val="20"/>
          <w:szCs w:val="20"/>
        </w:rPr>
        <w:t>sezonal”;</w:t>
      </w:r>
      <w:r w:rsidRPr="00F114C6">
        <w:rPr>
          <w:rFonts w:ascii="Garamond" w:hAnsi="Garamond"/>
          <w:sz w:val="20"/>
          <w:szCs w:val="20"/>
        </w:rPr>
        <w:t xml:space="preserve"> </w:t>
      </w:r>
      <w:r>
        <w:rPr>
          <w:rFonts w:ascii="Garamond" w:hAnsi="Garamond"/>
          <w:sz w:val="20"/>
          <w:szCs w:val="20"/>
        </w:rPr>
        <w:t>d</w:t>
      </w:r>
      <w:r w:rsidRPr="00F114C6">
        <w:rPr>
          <w:rFonts w:ascii="Garamond" w:hAnsi="Garamond"/>
          <w:sz w:val="20"/>
          <w:szCs w:val="20"/>
        </w:rPr>
        <w:t>irektivën e Këshillit 2009/50/KE, datë 25 maj 2009, “Mbi kushtet e hyrjes dhe qëndrimit të shtetasve të vendeve të treta me</w:t>
      </w:r>
      <w:r w:rsidRPr="003B7942">
        <w:rPr>
          <w:rFonts w:ascii="Garamond" w:hAnsi="Garamond"/>
          <w:sz w:val="20"/>
          <w:szCs w:val="20"/>
        </w:rPr>
        <w:t xml:space="preserve"> qëllim pune tepër të kualifikuar”</w:t>
      </w:r>
      <w:r>
        <w:rPr>
          <w:rFonts w:ascii="Garamond" w:hAnsi="Garamond"/>
          <w:sz w:val="20"/>
          <w:szCs w:val="20"/>
        </w:rPr>
        <w:t>;</w:t>
      </w:r>
      <w:r w:rsidRPr="003B7942">
        <w:rPr>
          <w:rFonts w:ascii="Garamond" w:hAnsi="Garamond"/>
          <w:sz w:val="20"/>
          <w:szCs w:val="20"/>
        </w:rPr>
        <w:t xml:space="preserve"> </w:t>
      </w:r>
      <w:r>
        <w:rPr>
          <w:rFonts w:ascii="Garamond" w:hAnsi="Garamond"/>
          <w:sz w:val="20"/>
          <w:szCs w:val="20"/>
        </w:rPr>
        <w:t>d</w:t>
      </w:r>
      <w:r w:rsidRPr="003B7942">
        <w:rPr>
          <w:rFonts w:ascii="Garamond" w:hAnsi="Garamond"/>
          <w:sz w:val="20"/>
          <w:szCs w:val="20"/>
        </w:rPr>
        <w:t>irektivën 96/71/KE</w:t>
      </w:r>
      <w:r>
        <w:rPr>
          <w:rFonts w:ascii="Garamond" w:hAnsi="Garamond"/>
          <w:sz w:val="20"/>
          <w:szCs w:val="20"/>
        </w:rPr>
        <w:t>,</w:t>
      </w:r>
      <w:r w:rsidRPr="003B7942">
        <w:rPr>
          <w:rFonts w:ascii="Garamond" w:hAnsi="Garamond"/>
          <w:sz w:val="20"/>
          <w:szCs w:val="20"/>
        </w:rPr>
        <w:t xml:space="preserve"> të Parlamentit Evropian dhe të Këshillit, datë 16 dhjetori 1996, “Në lidhje me transferimin e punëtorëve në kuadër të ofrimit të shërbimeve”.</w:t>
      </w:r>
    </w:p>
  </w:footnote>
  <w:footnote w:id="9">
    <w:p w14:paraId="3A65A1EC" w14:textId="77777777" w:rsidR="00F511C4" w:rsidRPr="003B7942" w:rsidRDefault="00F511C4" w:rsidP="00F511C4">
      <w:pPr>
        <w:spacing w:after="0" w:line="240" w:lineRule="auto"/>
        <w:jc w:val="both"/>
        <w:rPr>
          <w:rFonts w:ascii="Times New Roman" w:hAnsi="Times New Roman"/>
          <w:sz w:val="20"/>
          <w:szCs w:val="20"/>
        </w:rPr>
      </w:pPr>
      <w:r w:rsidRPr="003B7942">
        <w:rPr>
          <w:rStyle w:val="FootnoteReference"/>
        </w:rPr>
        <w:footnoteRef/>
      </w:r>
      <w:r w:rsidRPr="003B7942">
        <w:rPr>
          <w:rFonts w:ascii="Times New Roman" w:hAnsi="Times New Roman"/>
          <w:sz w:val="20"/>
          <w:szCs w:val="20"/>
        </w:rPr>
        <w:t xml:space="preserve"> </w:t>
      </w:r>
      <w:r w:rsidRPr="00144CF5">
        <w:rPr>
          <w:rFonts w:ascii="Garamond" w:hAnsi="Garamond"/>
          <w:i/>
          <w:sz w:val="20"/>
          <w:szCs w:val="20"/>
        </w:rPr>
        <w:t>Commission Staff Working Document, Albania 2016 Report Accompanying the document Communication from the Commission to the European Parliament, the Council, the European Economic and Social Committë and the Committë of the Regions, 2016 Communication on EU Enlargement Policy, {COM (2016) 715 final};</w:t>
      </w:r>
      <w:r w:rsidRPr="003B7942">
        <w:rPr>
          <w:rFonts w:ascii="Garamond" w:hAnsi="Garamond"/>
          <w:sz w:val="20"/>
          <w:szCs w:val="20"/>
        </w:rPr>
        <w:t xml:space="preserve"> </w:t>
      </w:r>
      <w:hyperlink r:id="rId1" w:history="1">
        <w:r w:rsidRPr="003B7942">
          <w:rPr>
            <w:rStyle w:val="Hyperlink"/>
            <w:rFonts w:ascii="Garamond" w:hAnsi="Garamond"/>
            <w:sz w:val="20"/>
            <w:szCs w:val="20"/>
          </w:rPr>
          <w:t>https://ec.europa.eu/neighbourhood-nlargement/sites/near/files/pdf/key documents/2016/20161109_report_albania.pdf</w:t>
        </w:r>
      </w:hyperlink>
      <w:r>
        <w:rPr>
          <w:rFonts w:ascii="Garamond" w:hAnsi="Garamond"/>
          <w:sz w:val="20"/>
          <w:szCs w:val="20"/>
        </w:rPr>
        <w:t>; f</w:t>
      </w:r>
      <w:r w:rsidRPr="003B7942">
        <w:rPr>
          <w:rFonts w:ascii="Garamond" w:hAnsi="Garamond"/>
          <w:sz w:val="20"/>
          <w:szCs w:val="20"/>
        </w:rPr>
        <w:t>. 69</w:t>
      </w:r>
      <w:r w:rsidRPr="003B7942">
        <w:rPr>
          <w:rFonts w:ascii="Times New Roman" w:hAnsi="Times New Roman"/>
          <w:sz w:val="20"/>
          <w:szCs w:val="20"/>
        </w:rPr>
        <w:t>.</w:t>
      </w:r>
    </w:p>
  </w:footnote>
  <w:footnote w:id="10">
    <w:p w14:paraId="6801A61C" w14:textId="77777777" w:rsidR="00F511C4" w:rsidRPr="0010659B" w:rsidRDefault="00F511C4" w:rsidP="00F511C4">
      <w:pPr>
        <w:pStyle w:val="FootnoteText"/>
        <w:rPr>
          <w:rFonts w:ascii="Garamond" w:eastAsia="Calibri" w:hAnsi="Garamond"/>
        </w:rPr>
      </w:pPr>
      <w:r>
        <w:rPr>
          <w:rStyle w:val="FootnoteReference"/>
          <w:rFonts w:ascii="Times New Roman" w:hAnsi="Times New Roman"/>
        </w:rPr>
        <w:footnoteRef/>
      </w:r>
      <w:r>
        <w:rPr>
          <w:rFonts w:ascii="Garamond" w:hAnsi="Garamond"/>
        </w:rPr>
        <w:t xml:space="preserve"> </w:t>
      </w:r>
      <w:r w:rsidRPr="0010659B">
        <w:rPr>
          <w:rFonts w:ascii="Garamond" w:hAnsi="Garamond"/>
        </w:rPr>
        <w:t>Neni 5</w:t>
      </w:r>
      <w:r>
        <w:rPr>
          <w:rFonts w:ascii="Garamond" w:hAnsi="Garamond"/>
        </w:rPr>
        <w:t>,</w:t>
      </w:r>
      <w:r w:rsidRPr="0010659B">
        <w:rPr>
          <w:rFonts w:ascii="Garamond" w:hAnsi="Garamond"/>
        </w:rPr>
        <w:t xml:space="preserve"> i </w:t>
      </w:r>
      <w:r>
        <w:rPr>
          <w:rFonts w:ascii="Garamond" w:hAnsi="Garamond"/>
        </w:rPr>
        <w:t>l</w:t>
      </w:r>
      <w:r w:rsidRPr="0010659B">
        <w:rPr>
          <w:rFonts w:ascii="Garamond" w:hAnsi="Garamond"/>
        </w:rPr>
        <w:t xml:space="preserve">igjit </w:t>
      </w:r>
      <w:r>
        <w:rPr>
          <w:rFonts w:ascii="Garamond" w:hAnsi="Garamond"/>
        </w:rPr>
        <w:t xml:space="preserve">nr. </w:t>
      </w:r>
      <w:r w:rsidRPr="0010659B">
        <w:rPr>
          <w:rFonts w:ascii="Garamond" w:hAnsi="Garamond"/>
        </w:rPr>
        <w:t>108/2014</w:t>
      </w:r>
      <w:r>
        <w:rPr>
          <w:rFonts w:ascii="Garamond" w:hAnsi="Garamond"/>
        </w:rPr>
        <w:t>,</w:t>
      </w:r>
      <w:r w:rsidRPr="0010659B">
        <w:rPr>
          <w:rFonts w:ascii="Garamond" w:hAnsi="Garamond"/>
        </w:rPr>
        <w:t xml:space="preserve"> “Për Policinë e Shtetit”, i ndryshuar</w:t>
      </w:r>
      <w:r>
        <w:rPr>
          <w:rFonts w:ascii="Garamond" w:hAnsi="Garamond"/>
        </w:rPr>
        <w:t>.</w:t>
      </w:r>
    </w:p>
  </w:footnote>
  <w:footnote w:id="11">
    <w:p w14:paraId="224E7609" w14:textId="77777777" w:rsidR="00F511C4" w:rsidRPr="0010659B" w:rsidRDefault="00F511C4" w:rsidP="00F511C4">
      <w:pPr>
        <w:pStyle w:val="FootnoteText"/>
        <w:rPr>
          <w:rFonts w:ascii="Garamond" w:hAnsi="Garamond"/>
        </w:rPr>
      </w:pPr>
      <w:r w:rsidRPr="0010659B">
        <w:rPr>
          <w:rStyle w:val="FootnoteReference"/>
          <w:rFonts w:ascii="Garamond" w:hAnsi="Garamond"/>
        </w:rPr>
        <w:footnoteRef/>
      </w:r>
      <w:r>
        <w:rPr>
          <w:rFonts w:ascii="Garamond" w:hAnsi="Garamond"/>
        </w:rPr>
        <w:t xml:space="preserve"> </w:t>
      </w:r>
      <w:r w:rsidRPr="0010659B">
        <w:rPr>
          <w:rFonts w:ascii="Garamond" w:hAnsi="Garamond"/>
        </w:rPr>
        <w:t xml:space="preserve">Deklarata Universale e të Drejtave të Njeriut, </w:t>
      </w:r>
      <w:r>
        <w:rPr>
          <w:rFonts w:ascii="Garamond" w:hAnsi="Garamond"/>
        </w:rPr>
        <w:t>n</w:t>
      </w:r>
      <w:r w:rsidRPr="0010659B">
        <w:rPr>
          <w:rFonts w:ascii="Garamond" w:hAnsi="Garamond"/>
        </w:rPr>
        <w:t>eni 14/1.</w:t>
      </w:r>
    </w:p>
  </w:footnote>
  <w:footnote w:id="12">
    <w:p w14:paraId="37130665" w14:textId="77777777" w:rsidR="00F511C4" w:rsidRPr="0010659B" w:rsidRDefault="00F511C4" w:rsidP="00F511C4">
      <w:pPr>
        <w:pStyle w:val="FootnoteText"/>
        <w:rPr>
          <w:rFonts w:ascii="Garamond" w:hAnsi="Garamond"/>
        </w:rPr>
      </w:pPr>
      <w:r w:rsidRPr="0010659B">
        <w:rPr>
          <w:rStyle w:val="FootnoteReference"/>
          <w:rFonts w:ascii="Garamond" w:hAnsi="Garamond"/>
        </w:rPr>
        <w:footnoteRef/>
      </w:r>
      <w:r>
        <w:rPr>
          <w:rFonts w:ascii="Garamond" w:hAnsi="Garamond"/>
          <w:color w:val="000000"/>
        </w:rPr>
        <w:t xml:space="preserve"> </w:t>
      </w:r>
      <w:r w:rsidRPr="0010659B">
        <w:rPr>
          <w:rFonts w:ascii="Garamond" w:hAnsi="Garamond"/>
          <w:color w:val="000000"/>
        </w:rPr>
        <w:t xml:space="preserve">Ligji </w:t>
      </w:r>
      <w:r>
        <w:rPr>
          <w:rFonts w:ascii="Garamond" w:hAnsi="Garamond"/>
          <w:color w:val="000000"/>
        </w:rPr>
        <w:t xml:space="preserve">nr. </w:t>
      </w:r>
      <w:r w:rsidRPr="0010659B">
        <w:rPr>
          <w:rFonts w:ascii="Garamond" w:hAnsi="Garamond"/>
          <w:color w:val="000000"/>
        </w:rPr>
        <w:t xml:space="preserve">121/2014 “Për azilin në Republikën e Shqipërisë”, </w:t>
      </w:r>
      <w:r>
        <w:rPr>
          <w:rFonts w:ascii="Garamond" w:hAnsi="Garamond"/>
          <w:color w:val="000000"/>
        </w:rPr>
        <w:t>n</w:t>
      </w:r>
      <w:r w:rsidRPr="0010659B">
        <w:rPr>
          <w:rFonts w:ascii="Garamond" w:hAnsi="Garamond"/>
          <w:color w:val="000000"/>
        </w:rPr>
        <w:t>eni 4.</w:t>
      </w:r>
    </w:p>
  </w:footnote>
  <w:footnote w:id="13">
    <w:p w14:paraId="6FE92356" w14:textId="77777777" w:rsidR="00F511C4" w:rsidRPr="0010659B" w:rsidRDefault="00F511C4" w:rsidP="00F511C4">
      <w:pPr>
        <w:pStyle w:val="FootnoteText"/>
        <w:rPr>
          <w:rFonts w:ascii="Garamond" w:hAnsi="Garamond"/>
        </w:rPr>
      </w:pPr>
      <w:r w:rsidRPr="0010659B">
        <w:rPr>
          <w:rStyle w:val="FootnoteReference"/>
          <w:rFonts w:ascii="Garamond" w:hAnsi="Garamond"/>
        </w:rPr>
        <w:footnoteRef/>
      </w:r>
      <w:r>
        <w:rPr>
          <w:rFonts w:ascii="Garamond" w:hAnsi="Garamond"/>
        </w:rPr>
        <w:t xml:space="preserve"> </w:t>
      </w:r>
      <w:r w:rsidRPr="0010659B">
        <w:rPr>
          <w:rFonts w:ascii="Garamond" w:hAnsi="Garamond"/>
        </w:rPr>
        <w:t>Neni 6</w:t>
      </w:r>
      <w:r>
        <w:rPr>
          <w:rFonts w:ascii="Garamond" w:hAnsi="Garamond"/>
        </w:rPr>
        <w:t>,</w:t>
      </w:r>
      <w:r w:rsidRPr="0010659B">
        <w:rPr>
          <w:rFonts w:ascii="Garamond" w:hAnsi="Garamond"/>
        </w:rPr>
        <w:t xml:space="preserve"> i </w:t>
      </w:r>
      <w:r>
        <w:rPr>
          <w:rFonts w:ascii="Garamond" w:hAnsi="Garamond"/>
        </w:rPr>
        <w:t>l</w:t>
      </w:r>
      <w:r w:rsidRPr="0010659B">
        <w:rPr>
          <w:rFonts w:ascii="Garamond" w:hAnsi="Garamond"/>
        </w:rPr>
        <w:t xml:space="preserve">igjit </w:t>
      </w:r>
      <w:r>
        <w:rPr>
          <w:rFonts w:ascii="Garamond" w:hAnsi="Garamond"/>
        </w:rPr>
        <w:t xml:space="preserve">nr. </w:t>
      </w:r>
      <w:r w:rsidRPr="0010659B">
        <w:rPr>
          <w:rFonts w:ascii="Garamond" w:hAnsi="Garamond"/>
        </w:rPr>
        <w:t>121/2014</w:t>
      </w:r>
      <w:r>
        <w:rPr>
          <w:rFonts w:ascii="Garamond" w:hAnsi="Garamond"/>
        </w:rPr>
        <w:t>,</w:t>
      </w:r>
      <w:r w:rsidRPr="0010659B">
        <w:rPr>
          <w:rFonts w:ascii="Garamond" w:hAnsi="Garamond"/>
        </w:rPr>
        <w:t xml:space="preserve"> “Për azilin në Republikën e Shqipërisë</w:t>
      </w:r>
      <w:r>
        <w:rPr>
          <w:rFonts w:ascii="Garamond" w:hAnsi="Garamond"/>
        </w:rPr>
        <w:t>”</w:t>
      </w:r>
      <w:r w:rsidRPr="0010659B">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3253F"/>
    <w:multiLevelType w:val="hybridMultilevel"/>
    <w:tmpl w:val="7E1C79D2"/>
    <w:lvl w:ilvl="0" w:tplc="0D724C16">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 w15:restartNumberingAfterBreak="0">
    <w:nsid w:val="102C1E01"/>
    <w:multiLevelType w:val="hybridMultilevel"/>
    <w:tmpl w:val="042A3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94446"/>
    <w:multiLevelType w:val="hybridMultilevel"/>
    <w:tmpl w:val="E4B0EB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10E261B9"/>
    <w:multiLevelType w:val="hybridMultilevel"/>
    <w:tmpl w:val="1E0C31E6"/>
    <w:lvl w:ilvl="0" w:tplc="CB344504">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4" w15:restartNumberingAfterBreak="0">
    <w:nsid w:val="16420C10"/>
    <w:multiLevelType w:val="hybridMultilevel"/>
    <w:tmpl w:val="BF909056"/>
    <w:lvl w:ilvl="0" w:tplc="3B7E9E3A">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5" w15:restartNumberingAfterBreak="0">
    <w:nsid w:val="16FE5165"/>
    <w:multiLevelType w:val="hybridMultilevel"/>
    <w:tmpl w:val="9B766FB4"/>
    <w:lvl w:ilvl="0" w:tplc="1B26091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26AF9"/>
    <w:multiLevelType w:val="hybridMultilevel"/>
    <w:tmpl w:val="84D6A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651C10"/>
    <w:multiLevelType w:val="hybridMultilevel"/>
    <w:tmpl w:val="F5A09AC6"/>
    <w:lvl w:ilvl="0" w:tplc="EF9E053A">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8" w15:restartNumberingAfterBreak="0">
    <w:nsid w:val="21851A1D"/>
    <w:multiLevelType w:val="hybridMultilevel"/>
    <w:tmpl w:val="9BD0F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87C81"/>
    <w:multiLevelType w:val="hybridMultilevel"/>
    <w:tmpl w:val="9022F1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0B3761"/>
    <w:multiLevelType w:val="hybridMultilevel"/>
    <w:tmpl w:val="B3682F48"/>
    <w:lvl w:ilvl="0" w:tplc="EBF0F780">
      <w:start w:val="3"/>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1" w15:restartNumberingAfterBreak="0">
    <w:nsid w:val="2F242803"/>
    <w:multiLevelType w:val="hybridMultilevel"/>
    <w:tmpl w:val="D68A1C6A"/>
    <w:lvl w:ilvl="0" w:tplc="009009CA">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2" w15:restartNumberingAfterBreak="0">
    <w:nsid w:val="342D5BE8"/>
    <w:multiLevelType w:val="hybridMultilevel"/>
    <w:tmpl w:val="C920805A"/>
    <w:lvl w:ilvl="0" w:tplc="09B81DE8">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3" w15:restartNumberingAfterBreak="0">
    <w:nsid w:val="39467DA2"/>
    <w:multiLevelType w:val="hybridMultilevel"/>
    <w:tmpl w:val="28B87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403BA3"/>
    <w:multiLevelType w:val="hybridMultilevel"/>
    <w:tmpl w:val="E7AC58AE"/>
    <w:lvl w:ilvl="0" w:tplc="C19C37B8">
      <w:start w:val="1"/>
      <w:numFmt w:val="bullet"/>
      <w:lvlText w:val="-"/>
      <w:lvlJc w:val="left"/>
      <w:pPr>
        <w:ind w:left="473" w:hanging="360"/>
      </w:pPr>
      <w:rPr>
        <w:rFonts w:ascii="Garamond" w:eastAsia="Times New Roman" w:hAnsi="Garamond" w:cs="Times New Roman" w:hint="default"/>
      </w:rPr>
    </w:lvl>
    <w:lvl w:ilvl="1" w:tplc="04090003" w:tentative="1">
      <w:start w:val="1"/>
      <w:numFmt w:val="bullet"/>
      <w:lvlText w:val="o"/>
      <w:lvlJc w:val="left"/>
      <w:pPr>
        <w:ind w:left="1193" w:hanging="360"/>
      </w:pPr>
      <w:rPr>
        <w:rFonts w:ascii="Courier New" w:hAnsi="Courier New" w:cs="Courier New" w:hint="default"/>
      </w:rPr>
    </w:lvl>
    <w:lvl w:ilvl="2" w:tplc="04090005" w:tentative="1">
      <w:start w:val="1"/>
      <w:numFmt w:val="bullet"/>
      <w:lvlText w:val=""/>
      <w:lvlJc w:val="left"/>
      <w:pPr>
        <w:ind w:left="1913" w:hanging="360"/>
      </w:pPr>
      <w:rPr>
        <w:rFonts w:ascii="Wingdings" w:hAnsi="Wingdings" w:hint="default"/>
      </w:rPr>
    </w:lvl>
    <w:lvl w:ilvl="3" w:tplc="04090001" w:tentative="1">
      <w:start w:val="1"/>
      <w:numFmt w:val="bullet"/>
      <w:lvlText w:val=""/>
      <w:lvlJc w:val="left"/>
      <w:pPr>
        <w:ind w:left="2633" w:hanging="360"/>
      </w:pPr>
      <w:rPr>
        <w:rFonts w:ascii="Symbol" w:hAnsi="Symbol" w:hint="default"/>
      </w:rPr>
    </w:lvl>
    <w:lvl w:ilvl="4" w:tplc="04090003" w:tentative="1">
      <w:start w:val="1"/>
      <w:numFmt w:val="bullet"/>
      <w:lvlText w:val="o"/>
      <w:lvlJc w:val="left"/>
      <w:pPr>
        <w:ind w:left="3353" w:hanging="360"/>
      </w:pPr>
      <w:rPr>
        <w:rFonts w:ascii="Courier New" w:hAnsi="Courier New" w:cs="Courier New" w:hint="default"/>
      </w:rPr>
    </w:lvl>
    <w:lvl w:ilvl="5" w:tplc="04090005" w:tentative="1">
      <w:start w:val="1"/>
      <w:numFmt w:val="bullet"/>
      <w:lvlText w:val=""/>
      <w:lvlJc w:val="left"/>
      <w:pPr>
        <w:ind w:left="4073" w:hanging="360"/>
      </w:pPr>
      <w:rPr>
        <w:rFonts w:ascii="Wingdings" w:hAnsi="Wingdings" w:hint="default"/>
      </w:rPr>
    </w:lvl>
    <w:lvl w:ilvl="6" w:tplc="04090001" w:tentative="1">
      <w:start w:val="1"/>
      <w:numFmt w:val="bullet"/>
      <w:lvlText w:val=""/>
      <w:lvlJc w:val="left"/>
      <w:pPr>
        <w:ind w:left="4793" w:hanging="360"/>
      </w:pPr>
      <w:rPr>
        <w:rFonts w:ascii="Symbol" w:hAnsi="Symbol" w:hint="default"/>
      </w:rPr>
    </w:lvl>
    <w:lvl w:ilvl="7" w:tplc="04090003" w:tentative="1">
      <w:start w:val="1"/>
      <w:numFmt w:val="bullet"/>
      <w:lvlText w:val="o"/>
      <w:lvlJc w:val="left"/>
      <w:pPr>
        <w:ind w:left="5513" w:hanging="360"/>
      </w:pPr>
      <w:rPr>
        <w:rFonts w:ascii="Courier New" w:hAnsi="Courier New" w:cs="Courier New" w:hint="default"/>
      </w:rPr>
    </w:lvl>
    <w:lvl w:ilvl="8" w:tplc="04090005" w:tentative="1">
      <w:start w:val="1"/>
      <w:numFmt w:val="bullet"/>
      <w:lvlText w:val=""/>
      <w:lvlJc w:val="left"/>
      <w:pPr>
        <w:ind w:left="6233" w:hanging="360"/>
      </w:pPr>
      <w:rPr>
        <w:rFonts w:ascii="Wingdings" w:hAnsi="Wingdings" w:hint="default"/>
      </w:rPr>
    </w:lvl>
  </w:abstractNum>
  <w:abstractNum w:abstractNumId="15" w15:restartNumberingAfterBreak="0">
    <w:nsid w:val="40DE4DDB"/>
    <w:multiLevelType w:val="hybridMultilevel"/>
    <w:tmpl w:val="C8B0A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4D72A5"/>
    <w:multiLevelType w:val="hybridMultilevel"/>
    <w:tmpl w:val="675A7402"/>
    <w:lvl w:ilvl="0" w:tplc="8E4C9602">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15:restartNumberingAfterBreak="0">
    <w:nsid w:val="46EB7360"/>
    <w:multiLevelType w:val="hybridMultilevel"/>
    <w:tmpl w:val="1AC2D5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97C4D5E"/>
    <w:multiLevelType w:val="hybridMultilevel"/>
    <w:tmpl w:val="86A4AECA"/>
    <w:lvl w:ilvl="0" w:tplc="84122714">
      <w:start w:val="2"/>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E84E33"/>
    <w:multiLevelType w:val="hybridMultilevel"/>
    <w:tmpl w:val="EFFAD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E532F9"/>
    <w:multiLevelType w:val="hybridMultilevel"/>
    <w:tmpl w:val="E20EC374"/>
    <w:lvl w:ilvl="0" w:tplc="EF7893C2">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1" w15:restartNumberingAfterBreak="0">
    <w:nsid w:val="507855AD"/>
    <w:multiLevelType w:val="hybridMultilevel"/>
    <w:tmpl w:val="48207192"/>
    <w:lvl w:ilvl="0" w:tplc="68D4217E">
      <w:start w:val="3"/>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2" w15:restartNumberingAfterBreak="0">
    <w:nsid w:val="5B231EA4"/>
    <w:multiLevelType w:val="hybridMultilevel"/>
    <w:tmpl w:val="58787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DD5112"/>
    <w:multiLevelType w:val="hybridMultilevel"/>
    <w:tmpl w:val="D7C07A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E1142F5"/>
    <w:multiLevelType w:val="hybridMultilevel"/>
    <w:tmpl w:val="F4BC5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E3452B"/>
    <w:multiLevelType w:val="hybridMultilevel"/>
    <w:tmpl w:val="C7E2D094"/>
    <w:lvl w:ilvl="0" w:tplc="5C9650DE">
      <w:start w:val="3"/>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6" w15:restartNumberingAfterBreak="0">
    <w:nsid w:val="754E05ED"/>
    <w:multiLevelType w:val="hybridMultilevel"/>
    <w:tmpl w:val="2E6EB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444716"/>
    <w:multiLevelType w:val="hybridMultilevel"/>
    <w:tmpl w:val="BABAF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E131DC"/>
    <w:multiLevelType w:val="hybridMultilevel"/>
    <w:tmpl w:val="0F34C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2807F8"/>
    <w:multiLevelType w:val="hybridMultilevel"/>
    <w:tmpl w:val="0E645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7"/>
  </w:num>
  <w:num w:numId="3">
    <w:abstractNumId w:val="19"/>
  </w:num>
  <w:num w:numId="4">
    <w:abstractNumId w:val="23"/>
  </w:num>
  <w:num w:numId="5">
    <w:abstractNumId w:val="8"/>
  </w:num>
  <w:num w:numId="6">
    <w:abstractNumId w:val="17"/>
  </w:num>
  <w:num w:numId="7">
    <w:abstractNumId w:val="22"/>
  </w:num>
  <w:num w:numId="8">
    <w:abstractNumId w:val="6"/>
  </w:num>
  <w:num w:numId="9">
    <w:abstractNumId w:val="24"/>
  </w:num>
  <w:num w:numId="10">
    <w:abstractNumId w:val="13"/>
  </w:num>
  <w:num w:numId="11">
    <w:abstractNumId w:val="29"/>
  </w:num>
  <w:num w:numId="12">
    <w:abstractNumId w:val="15"/>
  </w:num>
  <w:num w:numId="13">
    <w:abstractNumId w:val="5"/>
  </w:num>
  <w:num w:numId="14">
    <w:abstractNumId w:val="28"/>
  </w:num>
  <w:num w:numId="15">
    <w:abstractNumId w:val="26"/>
  </w:num>
  <w:num w:numId="16">
    <w:abstractNumId w:val="1"/>
  </w:num>
  <w:num w:numId="17">
    <w:abstractNumId w:val="2"/>
  </w:num>
  <w:num w:numId="18">
    <w:abstractNumId w:val="18"/>
  </w:num>
  <w:num w:numId="19">
    <w:abstractNumId w:val="25"/>
  </w:num>
  <w:num w:numId="20">
    <w:abstractNumId w:val="10"/>
  </w:num>
  <w:num w:numId="21">
    <w:abstractNumId w:val="21"/>
  </w:num>
  <w:num w:numId="22">
    <w:abstractNumId w:val="12"/>
  </w:num>
  <w:num w:numId="23">
    <w:abstractNumId w:val="11"/>
  </w:num>
  <w:num w:numId="24">
    <w:abstractNumId w:val="0"/>
  </w:num>
  <w:num w:numId="25">
    <w:abstractNumId w:val="20"/>
  </w:num>
  <w:num w:numId="26">
    <w:abstractNumId w:val="4"/>
  </w:num>
  <w:num w:numId="27">
    <w:abstractNumId w:val="14"/>
  </w:num>
  <w:num w:numId="28">
    <w:abstractNumId w:val="7"/>
  </w:num>
  <w:num w:numId="29">
    <w:abstractNumId w:val="16"/>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632"/>
    <w:rsid w:val="000539C7"/>
    <w:rsid w:val="00064801"/>
    <w:rsid w:val="000762FF"/>
    <w:rsid w:val="000764CD"/>
    <w:rsid w:val="00080572"/>
    <w:rsid w:val="00081DBA"/>
    <w:rsid w:val="00086F59"/>
    <w:rsid w:val="000966BD"/>
    <w:rsid w:val="000A7DC9"/>
    <w:rsid w:val="000C6462"/>
    <w:rsid w:val="000D196C"/>
    <w:rsid w:val="000F2118"/>
    <w:rsid w:val="0010688E"/>
    <w:rsid w:val="00106A8C"/>
    <w:rsid w:val="00106FD8"/>
    <w:rsid w:val="0010791F"/>
    <w:rsid w:val="0012034D"/>
    <w:rsid w:val="00121478"/>
    <w:rsid w:val="0012790D"/>
    <w:rsid w:val="00132E02"/>
    <w:rsid w:val="00134E94"/>
    <w:rsid w:val="0014683C"/>
    <w:rsid w:val="00155036"/>
    <w:rsid w:val="00165DA3"/>
    <w:rsid w:val="00167504"/>
    <w:rsid w:val="00170C1E"/>
    <w:rsid w:val="0017388D"/>
    <w:rsid w:val="00192629"/>
    <w:rsid w:val="00193B1B"/>
    <w:rsid w:val="001A1F60"/>
    <w:rsid w:val="001A395D"/>
    <w:rsid w:val="001A3D5A"/>
    <w:rsid w:val="001B1EBF"/>
    <w:rsid w:val="001B46BF"/>
    <w:rsid w:val="001B4C36"/>
    <w:rsid w:val="001C5FCC"/>
    <w:rsid w:val="001D49A0"/>
    <w:rsid w:val="001E223B"/>
    <w:rsid w:val="001E40B4"/>
    <w:rsid w:val="001F0C5A"/>
    <w:rsid w:val="002033E1"/>
    <w:rsid w:val="00204E92"/>
    <w:rsid w:val="00211A6A"/>
    <w:rsid w:val="002374B8"/>
    <w:rsid w:val="00245D21"/>
    <w:rsid w:val="002475E3"/>
    <w:rsid w:val="0025608B"/>
    <w:rsid w:val="00275BC5"/>
    <w:rsid w:val="0028388E"/>
    <w:rsid w:val="00285632"/>
    <w:rsid w:val="00286C4C"/>
    <w:rsid w:val="00295434"/>
    <w:rsid w:val="002A1020"/>
    <w:rsid w:val="002A3926"/>
    <w:rsid w:val="002A3BBB"/>
    <w:rsid w:val="002B7C8B"/>
    <w:rsid w:val="002C0605"/>
    <w:rsid w:val="002C6F97"/>
    <w:rsid w:val="002D3A3B"/>
    <w:rsid w:val="002D4224"/>
    <w:rsid w:val="002D5B79"/>
    <w:rsid w:val="002F1C1D"/>
    <w:rsid w:val="002F3CBF"/>
    <w:rsid w:val="00311006"/>
    <w:rsid w:val="003110EB"/>
    <w:rsid w:val="003165C9"/>
    <w:rsid w:val="00321F8C"/>
    <w:rsid w:val="003269FD"/>
    <w:rsid w:val="00331FC9"/>
    <w:rsid w:val="00336FF2"/>
    <w:rsid w:val="00342258"/>
    <w:rsid w:val="003426AA"/>
    <w:rsid w:val="00351EC7"/>
    <w:rsid w:val="0035210B"/>
    <w:rsid w:val="0035734D"/>
    <w:rsid w:val="003613E4"/>
    <w:rsid w:val="0036778C"/>
    <w:rsid w:val="00390A2B"/>
    <w:rsid w:val="003947EC"/>
    <w:rsid w:val="003D501B"/>
    <w:rsid w:val="003E6B4F"/>
    <w:rsid w:val="003F5D27"/>
    <w:rsid w:val="003F6168"/>
    <w:rsid w:val="004015E2"/>
    <w:rsid w:val="004119B8"/>
    <w:rsid w:val="00450AE8"/>
    <w:rsid w:val="004573F8"/>
    <w:rsid w:val="0047532C"/>
    <w:rsid w:val="0049222F"/>
    <w:rsid w:val="004942FE"/>
    <w:rsid w:val="004A05DA"/>
    <w:rsid w:val="004A3D49"/>
    <w:rsid w:val="004A571E"/>
    <w:rsid w:val="004B45FD"/>
    <w:rsid w:val="004B6441"/>
    <w:rsid w:val="004C1551"/>
    <w:rsid w:val="004D0018"/>
    <w:rsid w:val="004D656D"/>
    <w:rsid w:val="004E654C"/>
    <w:rsid w:val="004F686B"/>
    <w:rsid w:val="004F76B0"/>
    <w:rsid w:val="00501420"/>
    <w:rsid w:val="00531328"/>
    <w:rsid w:val="005348F4"/>
    <w:rsid w:val="00555022"/>
    <w:rsid w:val="00561C5B"/>
    <w:rsid w:val="0056450B"/>
    <w:rsid w:val="00567BC4"/>
    <w:rsid w:val="005934B4"/>
    <w:rsid w:val="00596FC1"/>
    <w:rsid w:val="005A62EB"/>
    <w:rsid w:val="005C6219"/>
    <w:rsid w:val="005C78E1"/>
    <w:rsid w:val="005E3C0B"/>
    <w:rsid w:val="006044C6"/>
    <w:rsid w:val="00604C1D"/>
    <w:rsid w:val="00605640"/>
    <w:rsid w:val="006146E6"/>
    <w:rsid w:val="00632572"/>
    <w:rsid w:val="00637842"/>
    <w:rsid w:val="00646CA9"/>
    <w:rsid w:val="00652DFC"/>
    <w:rsid w:val="0065703E"/>
    <w:rsid w:val="006616A0"/>
    <w:rsid w:val="00663516"/>
    <w:rsid w:val="00676D72"/>
    <w:rsid w:val="006806CE"/>
    <w:rsid w:val="00691D3C"/>
    <w:rsid w:val="00693324"/>
    <w:rsid w:val="006A4187"/>
    <w:rsid w:val="006B03F6"/>
    <w:rsid w:val="006B6F84"/>
    <w:rsid w:val="006B7B39"/>
    <w:rsid w:val="006C2282"/>
    <w:rsid w:val="006D559F"/>
    <w:rsid w:val="006E6D24"/>
    <w:rsid w:val="006F39C8"/>
    <w:rsid w:val="006F4A63"/>
    <w:rsid w:val="006F7591"/>
    <w:rsid w:val="00702765"/>
    <w:rsid w:val="00702C6A"/>
    <w:rsid w:val="007050E0"/>
    <w:rsid w:val="0071227E"/>
    <w:rsid w:val="007217F3"/>
    <w:rsid w:val="0073516B"/>
    <w:rsid w:val="00747FA9"/>
    <w:rsid w:val="00772883"/>
    <w:rsid w:val="0077504E"/>
    <w:rsid w:val="007843B6"/>
    <w:rsid w:val="007856B8"/>
    <w:rsid w:val="007873A9"/>
    <w:rsid w:val="0079308A"/>
    <w:rsid w:val="0079721D"/>
    <w:rsid w:val="007A0437"/>
    <w:rsid w:val="007B2DA8"/>
    <w:rsid w:val="007B4F16"/>
    <w:rsid w:val="007C0AF2"/>
    <w:rsid w:val="007C50F5"/>
    <w:rsid w:val="007E0637"/>
    <w:rsid w:val="007E3239"/>
    <w:rsid w:val="007E4DA1"/>
    <w:rsid w:val="007F2D7E"/>
    <w:rsid w:val="007F3F44"/>
    <w:rsid w:val="007F5012"/>
    <w:rsid w:val="008261D6"/>
    <w:rsid w:val="00826F34"/>
    <w:rsid w:val="00836E9C"/>
    <w:rsid w:val="00837AEE"/>
    <w:rsid w:val="008412D3"/>
    <w:rsid w:val="0084164F"/>
    <w:rsid w:val="008536F5"/>
    <w:rsid w:val="00865B09"/>
    <w:rsid w:val="00870409"/>
    <w:rsid w:val="008841C1"/>
    <w:rsid w:val="0089093E"/>
    <w:rsid w:val="00896DC1"/>
    <w:rsid w:val="008A21C2"/>
    <w:rsid w:val="008B2198"/>
    <w:rsid w:val="008B4D62"/>
    <w:rsid w:val="008B7A59"/>
    <w:rsid w:val="008C45D3"/>
    <w:rsid w:val="008C643F"/>
    <w:rsid w:val="008F0905"/>
    <w:rsid w:val="008F6BC0"/>
    <w:rsid w:val="009012F3"/>
    <w:rsid w:val="00926380"/>
    <w:rsid w:val="00926C98"/>
    <w:rsid w:val="00930F01"/>
    <w:rsid w:val="0093118E"/>
    <w:rsid w:val="00932DB9"/>
    <w:rsid w:val="00936102"/>
    <w:rsid w:val="009458BA"/>
    <w:rsid w:val="009549F7"/>
    <w:rsid w:val="00961CC8"/>
    <w:rsid w:val="009639D5"/>
    <w:rsid w:val="00971705"/>
    <w:rsid w:val="00975190"/>
    <w:rsid w:val="0097671A"/>
    <w:rsid w:val="00980349"/>
    <w:rsid w:val="009A0A86"/>
    <w:rsid w:val="009A76AF"/>
    <w:rsid w:val="009B3AE9"/>
    <w:rsid w:val="009B7D9A"/>
    <w:rsid w:val="009C34E5"/>
    <w:rsid w:val="009D0A34"/>
    <w:rsid w:val="009D460A"/>
    <w:rsid w:val="009D5631"/>
    <w:rsid w:val="00A04724"/>
    <w:rsid w:val="00A22F38"/>
    <w:rsid w:val="00A24EE2"/>
    <w:rsid w:val="00A35666"/>
    <w:rsid w:val="00A4078D"/>
    <w:rsid w:val="00A91982"/>
    <w:rsid w:val="00A94C9C"/>
    <w:rsid w:val="00A96A19"/>
    <w:rsid w:val="00AA30F3"/>
    <w:rsid w:val="00AA36F5"/>
    <w:rsid w:val="00AA6DD2"/>
    <w:rsid w:val="00AB317F"/>
    <w:rsid w:val="00AB7A0F"/>
    <w:rsid w:val="00AC4685"/>
    <w:rsid w:val="00AC6960"/>
    <w:rsid w:val="00AD527D"/>
    <w:rsid w:val="00AE2595"/>
    <w:rsid w:val="00AE3D9B"/>
    <w:rsid w:val="00AF01AB"/>
    <w:rsid w:val="00AF0788"/>
    <w:rsid w:val="00AF23A2"/>
    <w:rsid w:val="00AF5059"/>
    <w:rsid w:val="00B06FC6"/>
    <w:rsid w:val="00B20C0C"/>
    <w:rsid w:val="00B26C15"/>
    <w:rsid w:val="00B3338C"/>
    <w:rsid w:val="00B529FB"/>
    <w:rsid w:val="00B707BF"/>
    <w:rsid w:val="00B76057"/>
    <w:rsid w:val="00B7720E"/>
    <w:rsid w:val="00B77280"/>
    <w:rsid w:val="00B84F69"/>
    <w:rsid w:val="00B9665D"/>
    <w:rsid w:val="00BA0194"/>
    <w:rsid w:val="00BA40BF"/>
    <w:rsid w:val="00BD0539"/>
    <w:rsid w:val="00BD49AB"/>
    <w:rsid w:val="00BD5801"/>
    <w:rsid w:val="00BE71D4"/>
    <w:rsid w:val="00BF777E"/>
    <w:rsid w:val="00C11901"/>
    <w:rsid w:val="00C2496A"/>
    <w:rsid w:val="00C265DC"/>
    <w:rsid w:val="00C265F5"/>
    <w:rsid w:val="00C3116E"/>
    <w:rsid w:val="00C32291"/>
    <w:rsid w:val="00C3724B"/>
    <w:rsid w:val="00C45C89"/>
    <w:rsid w:val="00C86EF9"/>
    <w:rsid w:val="00C94421"/>
    <w:rsid w:val="00CA2943"/>
    <w:rsid w:val="00CA3D47"/>
    <w:rsid w:val="00CB091A"/>
    <w:rsid w:val="00CB13C5"/>
    <w:rsid w:val="00CB3B98"/>
    <w:rsid w:val="00CB668D"/>
    <w:rsid w:val="00CC1872"/>
    <w:rsid w:val="00CC7356"/>
    <w:rsid w:val="00CE41FC"/>
    <w:rsid w:val="00CE7009"/>
    <w:rsid w:val="00D1280C"/>
    <w:rsid w:val="00D15714"/>
    <w:rsid w:val="00D200E5"/>
    <w:rsid w:val="00D349F7"/>
    <w:rsid w:val="00D40620"/>
    <w:rsid w:val="00D44E87"/>
    <w:rsid w:val="00D46617"/>
    <w:rsid w:val="00D50A98"/>
    <w:rsid w:val="00D51D95"/>
    <w:rsid w:val="00D55428"/>
    <w:rsid w:val="00D55DC2"/>
    <w:rsid w:val="00D70124"/>
    <w:rsid w:val="00D86FA8"/>
    <w:rsid w:val="00D87F00"/>
    <w:rsid w:val="00D94DB0"/>
    <w:rsid w:val="00DA13CC"/>
    <w:rsid w:val="00DA49C2"/>
    <w:rsid w:val="00DA5378"/>
    <w:rsid w:val="00DB2EBF"/>
    <w:rsid w:val="00DC4A3E"/>
    <w:rsid w:val="00DD245B"/>
    <w:rsid w:val="00DD5E90"/>
    <w:rsid w:val="00DD6559"/>
    <w:rsid w:val="00DE1237"/>
    <w:rsid w:val="00DE25FE"/>
    <w:rsid w:val="00DE4297"/>
    <w:rsid w:val="00DF4369"/>
    <w:rsid w:val="00DF638E"/>
    <w:rsid w:val="00E077ED"/>
    <w:rsid w:val="00E12029"/>
    <w:rsid w:val="00E22E66"/>
    <w:rsid w:val="00E24E6F"/>
    <w:rsid w:val="00E3744D"/>
    <w:rsid w:val="00E40AB9"/>
    <w:rsid w:val="00E471CD"/>
    <w:rsid w:val="00E519CE"/>
    <w:rsid w:val="00E51ADE"/>
    <w:rsid w:val="00E55061"/>
    <w:rsid w:val="00E60555"/>
    <w:rsid w:val="00E6116E"/>
    <w:rsid w:val="00E61F96"/>
    <w:rsid w:val="00E635D6"/>
    <w:rsid w:val="00E63F17"/>
    <w:rsid w:val="00E642DC"/>
    <w:rsid w:val="00E708D0"/>
    <w:rsid w:val="00E724C5"/>
    <w:rsid w:val="00E74DAB"/>
    <w:rsid w:val="00E769A3"/>
    <w:rsid w:val="00E8078C"/>
    <w:rsid w:val="00E846EC"/>
    <w:rsid w:val="00E9597F"/>
    <w:rsid w:val="00E968B8"/>
    <w:rsid w:val="00EA7773"/>
    <w:rsid w:val="00ED1223"/>
    <w:rsid w:val="00ED12D2"/>
    <w:rsid w:val="00EE1043"/>
    <w:rsid w:val="00F00B3B"/>
    <w:rsid w:val="00F01298"/>
    <w:rsid w:val="00F019B6"/>
    <w:rsid w:val="00F2168C"/>
    <w:rsid w:val="00F4589B"/>
    <w:rsid w:val="00F508DF"/>
    <w:rsid w:val="00F511C4"/>
    <w:rsid w:val="00F679FC"/>
    <w:rsid w:val="00F83347"/>
    <w:rsid w:val="00FA2353"/>
    <w:rsid w:val="00FA4D0C"/>
    <w:rsid w:val="00FA5250"/>
    <w:rsid w:val="00FA5762"/>
    <w:rsid w:val="00FA604D"/>
    <w:rsid w:val="00FB22A8"/>
    <w:rsid w:val="00FC3AEC"/>
    <w:rsid w:val="00FF401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CA8A8B"/>
  <w15:docId w15:val="{A9ACC0EB-889C-4C9C-98E5-1A40BE4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8E1"/>
  </w:style>
  <w:style w:type="paragraph" w:styleId="Heading1">
    <w:name w:val="heading 1"/>
    <w:basedOn w:val="Normal"/>
    <w:next w:val="Normal"/>
    <w:link w:val="Heading1Char"/>
    <w:uiPriority w:val="9"/>
    <w:qFormat/>
    <w:rsid w:val="00F511C4"/>
    <w:pPr>
      <w:keepNext/>
      <w:keepLines/>
      <w:spacing w:before="240" w:after="0"/>
      <w:outlineLvl w:val="0"/>
    </w:pPr>
    <w:rPr>
      <w:rFonts w:asciiTheme="majorHAnsi" w:eastAsiaTheme="majorEastAsia" w:hAnsiTheme="majorHAnsi" w:cstheme="majorBidi"/>
      <w:color w:val="365F91" w:themeColor="accent1" w:themeShade="BF"/>
      <w:sz w:val="32"/>
      <w:szCs w:val="32"/>
      <w:lang w:val="sq-AL"/>
    </w:rPr>
  </w:style>
  <w:style w:type="paragraph" w:styleId="Heading3">
    <w:name w:val="heading 3"/>
    <w:basedOn w:val="Normal"/>
    <w:link w:val="Heading3Char"/>
    <w:uiPriority w:val="9"/>
    <w:semiHidden/>
    <w:unhideWhenUsed/>
    <w:qFormat/>
    <w:rsid w:val="00F511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uiPriority w:val="99"/>
    <w:rsid w:val="00AF23A2"/>
    <w:rPr>
      <w:color w:val="0000FF"/>
      <w:u w:val="single"/>
    </w:rPr>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8841C1"/>
    <w:pPr>
      <w:ind w:left="720"/>
      <w:contextualSpacing/>
    </w:pPr>
  </w:style>
  <w:style w:type="paragraph" w:styleId="BalloonText">
    <w:name w:val="Balloon Text"/>
    <w:basedOn w:val="Normal"/>
    <w:link w:val="BalloonTextChar"/>
    <w:uiPriority w:val="99"/>
    <w:semiHidden/>
    <w:unhideWhenUsed/>
    <w:rsid w:val="00E95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7F"/>
    <w:rPr>
      <w:rFonts w:ascii="Tahoma" w:hAnsi="Tahoma" w:cs="Tahoma"/>
      <w:sz w:val="16"/>
      <w:szCs w:val="16"/>
    </w:rPr>
  </w:style>
  <w:style w:type="character" w:customStyle="1" w:styleId="UnresolvedMention1">
    <w:name w:val="Unresolved Mention1"/>
    <w:basedOn w:val="DefaultParagraphFont"/>
    <w:uiPriority w:val="99"/>
    <w:semiHidden/>
    <w:unhideWhenUsed/>
    <w:rsid w:val="00A24EE2"/>
    <w:rPr>
      <w:color w:val="605E5C"/>
      <w:shd w:val="clear" w:color="auto" w:fill="E1DFDD"/>
    </w:rPr>
  </w:style>
  <w:style w:type="paragraph" w:customStyle="1" w:styleId="Default">
    <w:name w:val="Default"/>
    <w:uiPriority w:val="99"/>
    <w:rsid w:val="00CA3D47"/>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D86FA8"/>
    <w:rPr>
      <w:color w:val="954F72"/>
      <w:u w:val="single"/>
    </w:rPr>
  </w:style>
  <w:style w:type="paragraph" w:customStyle="1" w:styleId="msonormal0">
    <w:name w:val="msonormal"/>
    <w:basedOn w:val="Normal"/>
    <w:rsid w:val="00D86F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D86FA8"/>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6">
    <w:name w:val="font6"/>
    <w:basedOn w:val="Normal"/>
    <w:rsid w:val="00D86FA8"/>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7">
    <w:name w:val="font7"/>
    <w:basedOn w:val="Normal"/>
    <w:rsid w:val="00D86FA8"/>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8">
    <w:name w:val="font8"/>
    <w:basedOn w:val="Normal"/>
    <w:rsid w:val="00D86FA8"/>
    <w:pPr>
      <w:spacing w:before="100" w:beforeAutospacing="1" w:after="100" w:afterAutospacing="1" w:line="240" w:lineRule="auto"/>
    </w:pPr>
    <w:rPr>
      <w:rFonts w:ascii="Times New Roman" w:eastAsia="Times New Roman" w:hAnsi="Times New Roman" w:cs="Times New Roman"/>
      <w:b/>
      <w:bCs/>
    </w:rPr>
  </w:style>
  <w:style w:type="paragraph" w:customStyle="1" w:styleId="font9">
    <w:name w:val="font9"/>
    <w:basedOn w:val="Normal"/>
    <w:rsid w:val="00D86FA8"/>
    <w:pPr>
      <w:spacing w:before="100" w:beforeAutospacing="1" w:after="100" w:afterAutospacing="1" w:line="240" w:lineRule="auto"/>
    </w:pPr>
    <w:rPr>
      <w:rFonts w:ascii="Times New Roman" w:eastAsia="Times New Roman" w:hAnsi="Times New Roman" w:cs="Times New Roman"/>
    </w:rPr>
  </w:style>
  <w:style w:type="paragraph" w:customStyle="1" w:styleId="xl72">
    <w:name w:val="xl72"/>
    <w:basedOn w:val="Normal"/>
    <w:rsid w:val="00D86FA8"/>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3">
    <w:name w:val="xl73"/>
    <w:basedOn w:val="Normal"/>
    <w:rsid w:val="00D86FA8"/>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74">
    <w:name w:val="xl74"/>
    <w:basedOn w:val="Normal"/>
    <w:rsid w:val="00D86FA8"/>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5">
    <w:name w:val="xl75"/>
    <w:basedOn w:val="Normal"/>
    <w:rsid w:val="00D86FA8"/>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6">
    <w:name w:val="xl76"/>
    <w:basedOn w:val="Normal"/>
    <w:rsid w:val="00D86FA8"/>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7">
    <w:name w:val="xl77"/>
    <w:basedOn w:val="Normal"/>
    <w:rsid w:val="00D86FA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8">
    <w:name w:val="xl78"/>
    <w:basedOn w:val="Normal"/>
    <w:rsid w:val="00D86FA8"/>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9">
    <w:name w:val="xl79"/>
    <w:basedOn w:val="Normal"/>
    <w:rsid w:val="00D86FA8"/>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80">
    <w:name w:val="xl80"/>
    <w:basedOn w:val="Normal"/>
    <w:rsid w:val="00D86FA8"/>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81">
    <w:name w:val="xl81"/>
    <w:basedOn w:val="Normal"/>
    <w:rsid w:val="00D86FA8"/>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82">
    <w:name w:val="xl82"/>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83">
    <w:name w:val="xl83"/>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4">
    <w:name w:val="xl84"/>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5">
    <w:name w:val="xl85"/>
    <w:basedOn w:val="Normal"/>
    <w:rsid w:val="00D86FA8"/>
    <w:pP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6">
    <w:name w:val="xl86"/>
    <w:basedOn w:val="Normal"/>
    <w:rsid w:val="00D86FA8"/>
    <w:pPr>
      <w:shd w:val="clear" w:color="000000" w:fill="FFFFFF"/>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7">
    <w:name w:val="xl87"/>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8">
    <w:name w:val="xl88"/>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9">
    <w:name w:val="xl89"/>
    <w:basedOn w:val="Normal"/>
    <w:rsid w:val="00D86FA8"/>
    <w:pP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90">
    <w:name w:val="xl90"/>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1">
    <w:name w:val="xl91"/>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2">
    <w:name w:val="xl92"/>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3">
    <w:name w:val="xl93"/>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24"/>
      <w:szCs w:val="24"/>
    </w:rPr>
  </w:style>
  <w:style w:type="paragraph" w:customStyle="1" w:styleId="xl95">
    <w:name w:val="xl95"/>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6">
    <w:name w:val="xl96"/>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7">
    <w:name w:val="xl97"/>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98">
    <w:name w:val="xl98"/>
    <w:basedOn w:val="Normal"/>
    <w:rsid w:val="00D86FA8"/>
    <w:pP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99">
    <w:name w:val="xl99"/>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00">
    <w:name w:val="xl100"/>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1">
    <w:name w:val="xl101"/>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2">
    <w:name w:val="xl102"/>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3">
    <w:name w:val="xl103"/>
    <w:basedOn w:val="Normal"/>
    <w:rsid w:val="00D86FA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05">
    <w:name w:val="xl105"/>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Normal"/>
    <w:rsid w:val="00D86FA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24"/>
      <w:szCs w:val="24"/>
    </w:rPr>
  </w:style>
  <w:style w:type="paragraph" w:customStyle="1" w:styleId="xl108">
    <w:name w:val="xl108"/>
    <w:basedOn w:val="Normal"/>
    <w:rsid w:val="00D86FA8"/>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9">
    <w:name w:val="xl109"/>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10">
    <w:name w:val="xl110"/>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1">
    <w:name w:val="xl111"/>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2">
    <w:name w:val="xl112"/>
    <w:basedOn w:val="Normal"/>
    <w:rsid w:val="00D86FA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FF0000"/>
      <w:sz w:val="24"/>
      <w:szCs w:val="24"/>
    </w:rPr>
  </w:style>
  <w:style w:type="paragraph" w:customStyle="1" w:styleId="xl113">
    <w:name w:val="xl113"/>
    <w:basedOn w:val="Normal"/>
    <w:rsid w:val="00D86F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15">
    <w:name w:val="xl115"/>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17">
    <w:name w:val="xl117"/>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8">
    <w:name w:val="xl118"/>
    <w:basedOn w:val="Normal"/>
    <w:rsid w:val="00D86FA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0">
    <w:name w:val="xl120"/>
    <w:basedOn w:val="Normal"/>
    <w:rsid w:val="00D86FA8"/>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1">
    <w:name w:val="xl121"/>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2">
    <w:name w:val="xl122"/>
    <w:basedOn w:val="Normal"/>
    <w:rsid w:val="00D86FA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3">
    <w:name w:val="xl123"/>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6">
    <w:name w:val="xl126"/>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8">
    <w:name w:val="xl128"/>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9">
    <w:name w:val="xl129"/>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0">
    <w:name w:val="xl130"/>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1">
    <w:name w:val="xl131"/>
    <w:basedOn w:val="Normal"/>
    <w:rsid w:val="00D86FA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32">
    <w:name w:val="xl132"/>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3">
    <w:name w:val="xl133"/>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34">
    <w:name w:val="xl134"/>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35">
    <w:name w:val="xl135"/>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6">
    <w:name w:val="xl136"/>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37">
    <w:name w:val="xl137"/>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38">
    <w:name w:val="xl138"/>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40">
    <w:name w:val="xl140"/>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41">
    <w:name w:val="xl141"/>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2">
    <w:name w:val="xl142"/>
    <w:basedOn w:val="Normal"/>
    <w:rsid w:val="00D86FA8"/>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3">
    <w:name w:val="xl143"/>
    <w:basedOn w:val="Normal"/>
    <w:rsid w:val="00D86FA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4">
    <w:name w:val="xl144"/>
    <w:basedOn w:val="Normal"/>
    <w:rsid w:val="00D86FA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6">
    <w:name w:val="xl146"/>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Normal"/>
    <w:rsid w:val="00D86FA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48">
    <w:name w:val="xl148"/>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9">
    <w:name w:val="xl149"/>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51">
    <w:name w:val="xl151"/>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Normal"/>
    <w:rsid w:val="00D86FA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3">
    <w:name w:val="xl153"/>
    <w:basedOn w:val="Normal"/>
    <w:rsid w:val="00D86FA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4">
    <w:name w:val="xl154"/>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6">
    <w:name w:val="xl156"/>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57">
    <w:name w:val="xl157"/>
    <w:basedOn w:val="Normal"/>
    <w:rsid w:val="00D86FA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0">
    <w:name w:val="xl160"/>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1">
    <w:name w:val="xl161"/>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2">
    <w:name w:val="xl162"/>
    <w:basedOn w:val="Normal"/>
    <w:rsid w:val="00D86FA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3">
    <w:name w:val="xl163"/>
    <w:basedOn w:val="Normal"/>
    <w:rsid w:val="00D86FA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4">
    <w:name w:val="xl164"/>
    <w:basedOn w:val="Normal"/>
    <w:rsid w:val="00D86FA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65">
    <w:name w:val="xl165"/>
    <w:basedOn w:val="Normal"/>
    <w:rsid w:val="00D86FA8"/>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6">
    <w:name w:val="xl166"/>
    <w:basedOn w:val="Normal"/>
    <w:rsid w:val="00D86FA8"/>
    <w:pPr>
      <w:pBdr>
        <w:top w:val="single" w:sz="4" w:space="0" w:color="auto"/>
        <w:left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67">
    <w:name w:val="xl167"/>
    <w:basedOn w:val="Normal"/>
    <w:rsid w:val="00D86FA8"/>
    <w:pPr>
      <w:pBdr>
        <w:top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68">
    <w:name w:val="xl168"/>
    <w:basedOn w:val="Normal"/>
    <w:rsid w:val="00D86FA8"/>
    <w:pPr>
      <w:pBdr>
        <w:top w:val="single" w:sz="4" w:space="0" w:color="auto"/>
        <w:lef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69">
    <w:name w:val="xl169"/>
    <w:basedOn w:val="Normal"/>
    <w:rsid w:val="00D86FA8"/>
    <w:pPr>
      <w:pBdr>
        <w:top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70">
    <w:name w:val="xl170"/>
    <w:basedOn w:val="Normal"/>
    <w:rsid w:val="00D86FA8"/>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1">
    <w:name w:val="xl171"/>
    <w:basedOn w:val="Normal"/>
    <w:rsid w:val="00D86FA8"/>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2">
    <w:name w:val="xl172"/>
    <w:basedOn w:val="Normal"/>
    <w:rsid w:val="00D86FA8"/>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3">
    <w:name w:val="xl173"/>
    <w:basedOn w:val="Normal"/>
    <w:rsid w:val="00D86FA8"/>
    <w:pPr>
      <w:pBdr>
        <w:top w:val="single" w:sz="8" w:space="0" w:color="auto"/>
        <w:left w:val="single" w:sz="8" w:space="0" w:color="auto"/>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4">
    <w:name w:val="xl174"/>
    <w:basedOn w:val="Normal"/>
    <w:rsid w:val="00D86FA8"/>
    <w:pPr>
      <w:pBdr>
        <w:top w:val="single" w:sz="8" w:space="0" w:color="auto"/>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5">
    <w:name w:val="xl175"/>
    <w:basedOn w:val="Normal"/>
    <w:rsid w:val="00D86FA8"/>
    <w:pPr>
      <w:pBdr>
        <w:top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6">
    <w:name w:val="xl176"/>
    <w:basedOn w:val="Normal"/>
    <w:rsid w:val="00D86FA8"/>
    <w:pPr>
      <w:pBdr>
        <w:top w:val="single" w:sz="8" w:space="0" w:color="auto"/>
        <w:left w:val="single" w:sz="8" w:space="0" w:color="auto"/>
        <w:bottom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7">
    <w:name w:val="xl177"/>
    <w:basedOn w:val="Normal"/>
    <w:rsid w:val="00D86FA8"/>
    <w:pPr>
      <w:pBdr>
        <w:top w:val="single" w:sz="8" w:space="0" w:color="auto"/>
        <w:bottom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8">
    <w:name w:val="xl178"/>
    <w:basedOn w:val="Normal"/>
    <w:rsid w:val="00D86FA8"/>
    <w:pPr>
      <w:pBdr>
        <w:top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9">
    <w:name w:val="xl179"/>
    <w:basedOn w:val="Normal"/>
    <w:rsid w:val="00D86FA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0">
    <w:name w:val="xl180"/>
    <w:basedOn w:val="Normal"/>
    <w:rsid w:val="00D86FA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1">
    <w:name w:val="xl181"/>
    <w:basedOn w:val="Normal"/>
    <w:rsid w:val="00D86FA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2">
    <w:name w:val="xl182"/>
    <w:basedOn w:val="Normal"/>
    <w:rsid w:val="00D86FA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3">
    <w:name w:val="xl183"/>
    <w:basedOn w:val="Normal"/>
    <w:rsid w:val="00D86FA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4">
    <w:name w:val="xl184"/>
    <w:basedOn w:val="Normal"/>
    <w:rsid w:val="00D86FA8"/>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5">
    <w:name w:val="xl185"/>
    <w:basedOn w:val="Normal"/>
    <w:rsid w:val="00D86FA8"/>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6">
    <w:name w:val="xl186"/>
    <w:basedOn w:val="Normal"/>
    <w:rsid w:val="00D86FA8"/>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7">
    <w:name w:val="xl187"/>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8">
    <w:name w:val="xl188"/>
    <w:basedOn w:val="Normal"/>
    <w:rsid w:val="00D86FA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89">
    <w:name w:val="xl189"/>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0">
    <w:name w:val="xl190"/>
    <w:basedOn w:val="Normal"/>
    <w:rsid w:val="00D86FA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1">
    <w:name w:val="xl191"/>
    <w:basedOn w:val="Normal"/>
    <w:rsid w:val="00D86FA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2">
    <w:name w:val="xl192"/>
    <w:basedOn w:val="Normal"/>
    <w:rsid w:val="00D86FA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3">
    <w:name w:val="xl193"/>
    <w:basedOn w:val="Normal"/>
    <w:rsid w:val="00D86FA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4">
    <w:name w:val="xl194"/>
    <w:basedOn w:val="Normal"/>
    <w:rsid w:val="00D86FA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95">
    <w:name w:val="xl195"/>
    <w:basedOn w:val="Normal"/>
    <w:rsid w:val="00D86F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96">
    <w:name w:val="xl196"/>
    <w:basedOn w:val="Normal"/>
    <w:rsid w:val="00D86FA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97">
    <w:name w:val="xl197"/>
    <w:basedOn w:val="Normal"/>
    <w:rsid w:val="00D86FA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98">
    <w:name w:val="xl198"/>
    <w:basedOn w:val="Normal"/>
    <w:rsid w:val="00D86FA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99">
    <w:name w:val="xl199"/>
    <w:basedOn w:val="Normal"/>
    <w:rsid w:val="00D86FA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0">
    <w:name w:val="xl200"/>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1">
    <w:name w:val="xl201"/>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02">
    <w:name w:val="xl202"/>
    <w:basedOn w:val="Normal"/>
    <w:rsid w:val="00D86FA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3">
    <w:name w:val="xl203"/>
    <w:basedOn w:val="Normal"/>
    <w:rsid w:val="00D86FA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4">
    <w:name w:val="xl204"/>
    <w:basedOn w:val="Normal"/>
    <w:rsid w:val="00D86FA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5">
    <w:name w:val="xl205"/>
    <w:basedOn w:val="Normal"/>
    <w:rsid w:val="00D86FA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6">
    <w:name w:val="xl206"/>
    <w:basedOn w:val="Normal"/>
    <w:rsid w:val="00D86FA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7">
    <w:name w:val="xl207"/>
    <w:basedOn w:val="Normal"/>
    <w:rsid w:val="00D86FA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8">
    <w:name w:val="xl208"/>
    <w:basedOn w:val="Normal"/>
    <w:rsid w:val="00D86FA8"/>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9">
    <w:name w:val="xl209"/>
    <w:basedOn w:val="Normal"/>
    <w:rsid w:val="00D86FA8"/>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10">
    <w:name w:val="xl210"/>
    <w:basedOn w:val="Normal"/>
    <w:rsid w:val="00D86FA8"/>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11">
    <w:name w:val="xl211"/>
    <w:basedOn w:val="Normal"/>
    <w:rsid w:val="00D86FA8"/>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2">
    <w:name w:val="xl212"/>
    <w:basedOn w:val="Normal"/>
    <w:rsid w:val="00D86FA8"/>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3">
    <w:name w:val="xl213"/>
    <w:basedOn w:val="Normal"/>
    <w:rsid w:val="00D86FA8"/>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4">
    <w:name w:val="xl214"/>
    <w:basedOn w:val="Normal"/>
    <w:rsid w:val="00D86FA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5">
    <w:name w:val="xl215"/>
    <w:basedOn w:val="Normal"/>
    <w:rsid w:val="00D86FA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6">
    <w:name w:val="xl216"/>
    <w:basedOn w:val="Normal"/>
    <w:rsid w:val="00D86FA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7">
    <w:name w:val="xl217"/>
    <w:basedOn w:val="Normal"/>
    <w:rsid w:val="00D86FA8"/>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character" w:customStyle="1" w:styleId="Heading1Char">
    <w:name w:val="Heading 1 Char"/>
    <w:basedOn w:val="DefaultParagraphFont"/>
    <w:link w:val="Heading1"/>
    <w:uiPriority w:val="9"/>
    <w:rsid w:val="00F511C4"/>
    <w:rPr>
      <w:rFonts w:asciiTheme="majorHAnsi" w:eastAsiaTheme="majorEastAsia" w:hAnsiTheme="majorHAnsi" w:cstheme="majorBidi"/>
      <w:color w:val="365F91" w:themeColor="accent1" w:themeShade="BF"/>
      <w:sz w:val="32"/>
      <w:szCs w:val="32"/>
      <w:lang w:val="sq-AL"/>
    </w:rPr>
  </w:style>
  <w:style w:type="character" w:customStyle="1" w:styleId="Heading3Char">
    <w:name w:val="Heading 3 Char"/>
    <w:basedOn w:val="DefaultParagraphFont"/>
    <w:link w:val="Heading3"/>
    <w:uiPriority w:val="9"/>
    <w:semiHidden/>
    <w:rsid w:val="00F511C4"/>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F511C4"/>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F511C4"/>
  </w:style>
  <w:style w:type="character" w:styleId="CommentReference">
    <w:name w:val="annotation reference"/>
    <w:basedOn w:val="DefaultParagraphFont"/>
    <w:uiPriority w:val="99"/>
    <w:semiHidden/>
    <w:unhideWhenUsed/>
    <w:rsid w:val="00F511C4"/>
    <w:rPr>
      <w:sz w:val="16"/>
      <w:szCs w:val="16"/>
    </w:rPr>
  </w:style>
  <w:style w:type="paragraph" w:styleId="CommentText">
    <w:name w:val="annotation text"/>
    <w:basedOn w:val="Normal"/>
    <w:link w:val="CommentTextChar"/>
    <w:uiPriority w:val="99"/>
    <w:semiHidden/>
    <w:unhideWhenUsed/>
    <w:rsid w:val="00F511C4"/>
    <w:pPr>
      <w:spacing w:line="240" w:lineRule="auto"/>
    </w:pPr>
    <w:rPr>
      <w:rFonts w:ascii="Calibri" w:eastAsia="Times New Roman" w:hAnsi="Calibri" w:cs="Times New Roman"/>
      <w:sz w:val="20"/>
      <w:szCs w:val="20"/>
      <w:lang w:val="sq-AL"/>
    </w:rPr>
  </w:style>
  <w:style w:type="character" w:customStyle="1" w:styleId="CommentTextChar">
    <w:name w:val="Comment Text Char"/>
    <w:basedOn w:val="DefaultParagraphFont"/>
    <w:link w:val="CommentText"/>
    <w:uiPriority w:val="99"/>
    <w:semiHidden/>
    <w:rsid w:val="00F511C4"/>
    <w:rPr>
      <w:rFonts w:ascii="Calibri" w:eastAsia="Times New Roman"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511C4"/>
    <w:rPr>
      <w:b/>
      <w:bCs/>
    </w:rPr>
  </w:style>
  <w:style w:type="character" w:customStyle="1" w:styleId="CommentSubjectChar">
    <w:name w:val="Comment Subject Char"/>
    <w:basedOn w:val="CommentTextChar"/>
    <w:link w:val="CommentSubject"/>
    <w:uiPriority w:val="99"/>
    <w:semiHidden/>
    <w:rsid w:val="00F511C4"/>
    <w:rPr>
      <w:rFonts w:ascii="Calibri" w:eastAsia="Times New Roman" w:hAnsi="Calibri" w:cs="Times New Roman"/>
      <w:b/>
      <w:bCs/>
      <w:sz w:val="20"/>
      <w:szCs w:val="20"/>
      <w:lang w:val="sq-AL"/>
    </w:rPr>
  </w:style>
  <w:style w:type="paragraph" w:styleId="NoSpacing">
    <w:name w:val="No Spacing"/>
    <w:link w:val="NoSpacingChar"/>
    <w:uiPriority w:val="1"/>
    <w:qFormat/>
    <w:rsid w:val="00F511C4"/>
    <w:pPr>
      <w:spacing w:after="0" w:line="240" w:lineRule="auto"/>
    </w:pPr>
    <w:rPr>
      <w:rFonts w:ascii="Calibri" w:eastAsia="Times New Roman" w:hAnsi="Calibri" w:cs="Times New Roman"/>
      <w:lang w:val="sq-AL"/>
    </w:rPr>
  </w:style>
  <w:style w:type="character" w:customStyle="1" w:styleId="NoSpacingChar">
    <w:name w:val="No Spacing Char"/>
    <w:link w:val="NoSpacing"/>
    <w:uiPriority w:val="1"/>
    <w:qFormat/>
    <w:locked/>
    <w:rsid w:val="00F511C4"/>
    <w:rPr>
      <w:rFonts w:ascii="Calibri" w:eastAsia="Times New Roman" w:hAnsi="Calibri" w:cs="Times New Roman"/>
      <w:lang w:val="sq-AL"/>
    </w:rPr>
  </w:style>
  <w:style w:type="paragraph" w:styleId="NormalWeb">
    <w:name w:val="Normal (Web)"/>
    <w:basedOn w:val="Normal"/>
    <w:uiPriority w:val="99"/>
    <w:unhideWhenUsed/>
    <w:rsid w:val="00F511C4"/>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
    <w:name w:val="Paragrafi"/>
    <w:link w:val="ParagrafiChar"/>
    <w:rsid w:val="00F511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511C4"/>
    <w:rPr>
      <w:rFonts w:ascii="Garamond" w:eastAsia="MS Mincho" w:hAnsi="Garamond" w:cs="CG Times"/>
      <w:sz w:val="24"/>
    </w:rPr>
  </w:style>
  <w:style w:type="paragraph" w:customStyle="1" w:styleId="TEKSTI">
    <w:name w:val="TEKSTI"/>
    <w:basedOn w:val="Normal"/>
    <w:qFormat/>
    <w:rsid w:val="00F511C4"/>
    <w:pPr>
      <w:autoSpaceDE w:val="0"/>
      <w:autoSpaceDN w:val="0"/>
      <w:adjustRightInd w:val="0"/>
      <w:spacing w:after="0" w:line="240" w:lineRule="auto"/>
      <w:ind w:firstLine="288"/>
      <w:jc w:val="both"/>
    </w:pPr>
    <w:rPr>
      <w:rFonts w:ascii="Garamond" w:eastAsia="Times New Roman" w:hAnsi="Garamond" w:cs="Times New Roman"/>
      <w:sz w:val="24"/>
      <w:szCs w:val="24"/>
      <w:lang w:val="sq-AL"/>
    </w:rPr>
  </w:style>
  <w:style w:type="character" w:customStyle="1" w:styleId="MediumGrid2Char">
    <w:name w:val="Medium Grid 2 Char"/>
    <w:link w:val="MediumGrid21"/>
    <w:uiPriority w:val="1"/>
    <w:locked/>
    <w:rsid w:val="00F511C4"/>
    <w:rPr>
      <w:rFonts w:ascii="Yu Mincho" w:eastAsia="Yu Mincho"/>
    </w:rPr>
  </w:style>
  <w:style w:type="paragraph" w:customStyle="1" w:styleId="MediumGrid21">
    <w:name w:val="Medium Grid 21"/>
    <w:link w:val="MediumGrid2Char"/>
    <w:uiPriority w:val="1"/>
    <w:qFormat/>
    <w:rsid w:val="00F511C4"/>
    <w:pPr>
      <w:spacing w:after="0" w:line="240" w:lineRule="auto"/>
    </w:pPr>
    <w:rPr>
      <w:rFonts w:ascii="Yu Mincho" w:eastAsia="Yu Mincho"/>
    </w:rPr>
  </w:style>
  <w:style w:type="character" w:customStyle="1" w:styleId="tlid-translation">
    <w:name w:val="tlid-translation"/>
    <w:basedOn w:val="DefaultParagraphFont"/>
    <w:rsid w:val="00F511C4"/>
  </w:style>
  <w:style w:type="paragraph" w:styleId="HTMLPreformatted">
    <w:name w:val="HTML Preformatted"/>
    <w:basedOn w:val="Normal"/>
    <w:link w:val="HTMLPreformattedChar"/>
    <w:uiPriority w:val="99"/>
    <w:semiHidden/>
    <w:unhideWhenUsed/>
    <w:rsid w:val="00F51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511C4"/>
    <w:rPr>
      <w:rFonts w:ascii="Courier New" w:eastAsia="Times New Roman" w:hAnsi="Courier New" w:cs="Courier New"/>
      <w:sz w:val="20"/>
      <w:szCs w:val="20"/>
    </w:rPr>
  </w:style>
  <w:style w:type="character" w:styleId="FootnoteReference">
    <w:name w:val="footnote reference"/>
    <w:aliases w:val="BVI fnr,Footnote symbol,Footnote Reference Arial,ftref,16 Point,Superscript 6 Point,Fußnotenzeichen DISS,Footnote,Char1 Char Char Char Char,Odwołanie przypisu,ftref Char Char,fr Char Char,BVI fnr Char Char"/>
    <w:link w:val="ftrefChar"/>
    <w:unhideWhenUsed/>
    <w:qFormat/>
    <w:rsid w:val="00F511C4"/>
    <w:rPr>
      <w:vertAlign w:val="superscript"/>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rsid w:val="00F511C4"/>
    <w:pPr>
      <w:spacing w:after="160" w:line="240" w:lineRule="exact"/>
    </w:pPr>
    <w:rPr>
      <w:vertAlign w:val="superscript"/>
    </w:rPr>
  </w:style>
  <w:style w:type="paragraph" w:customStyle="1" w:styleId="NoSpacing1">
    <w:name w:val="No Spacing1"/>
    <w:uiPriority w:val="99"/>
    <w:qFormat/>
    <w:rsid w:val="00F511C4"/>
    <w:pPr>
      <w:spacing w:after="0" w:line="240" w:lineRule="auto"/>
    </w:pPr>
    <w:rPr>
      <w:rFonts w:ascii="Calibri" w:eastAsia="Calibri" w:hAnsi="Calibri" w:cs="Times New Roman"/>
      <w:lang w:val="it-IT"/>
    </w:rPr>
  </w:style>
  <w:style w:type="paragraph" w:styleId="ListBullet">
    <w:name w:val="List Bullet"/>
    <w:basedOn w:val="Normal"/>
    <w:uiPriority w:val="99"/>
    <w:semiHidden/>
    <w:unhideWhenUsed/>
    <w:rsid w:val="00F511C4"/>
    <w:pPr>
      <w:spacing w:after="240" w:line="240" w:lineRule="auto"/>
      <w:jc w:val="both"/>
    </w:pPr>
    <w:rPr>
      <w:rFonts w:ascii="Times New Roman" w:eastAsia="Times New Roman" w:hAnsi="Times New Roman" w:cs="Times New Roman"/>
      <w:sz w:val="24"/>
      <w:szCs w:val="20"/>
      <w:lang w:val="en-GB" w:eastAsia="en-GB"/>
    </w:rPr>
  </w:style>
  <w:style w:type="character" w:customStyle="1" w:styleId="alt-edited">
    <w:name w:val="alt-edited"/>
    <w:basedOn w:val="DefaultParagraphFont"/>
    <w:rsid w:val="00F511C4"/>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semiHidden/>
    <w:locked/>
    <w:rsid w:val="00F511C4"/>
    <w:rPr>
      <w:lang w:val="sq-AL"/>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semiHidden/>
    <w:unhideWhenUsed/>
    <w:qFormat/>
    <w:rsid w:val="00F511C4"/>
    <w:pPr>
      <w:spacing w:after="0" w:line="240" w:lineRule="auto"/>
    </w:pPr>
    <w:rPr>
      <w:lang w:val="sq-AL"/>
    </w:rPr>
  </w:style>
  <w:style w:type="character" w:customStyle="1" w:styleId="FootnoteTextChar1">
    <w:name w:val="Footnote Text Char1"/>
    <w:basedOn w:val="DefaultParagraphFont"/>
    <w:uiPriority w:val="99"/>
    <w:semiHidden/>
    <w:rsid w:val="00F511C4"/>
    <w:rPr>
      <w:sz w:val="20"/>
      <w:szCs w:val="20"/>
    </w:rPr>
  </w:style>
  <w:style w:type="paragraph" w:customStyle="1" w:styleId="TableParagraph">
    <w:name w:val="Table Paragraph"/>
    <w:basedOn w:val="Normal"/>
    <w:uiPriority w:val="1"/>
    <w:qFormat/>
    <w:rsid w:val="00F511C4"/>
    <w:pPr>
      <w:widowControl w:val="0"/>
      <w:autoSpaceDE w:val="0"/>
      <w:autoSpaceDN w:val="0"/>
      <w:spacing w:after="0" w:line="240" w:lineRule="auto"/>
    </w:pPr>
    <w:rPr>
      <w:rFonts w:ascii="Times New Roman" w:eastAsia="Times New Roman" w:hAnsi="Times New Roman" w:cs="Times New Roman"/>
      <w:lang w:val="sq-AL"/>
    </w:rPr>
  </w:style>
  <w:style w:type="character" w:customStyle="1" w:styleId="A4">
    <w:name w:val="A4"/>
    <w:uiPriority w:val="99"/>
    <w:rsid w:val="00F511C4"/>
    <w:rPr>
      <w:rFonts w:ascii="Open Sans Light" w:hAnsi="Open Sans Light" w:cs="Open Sans Light" w:hint="default"/>
      <w:color w:val="000000"/>
      <w:sz w:val="20"/>
      <w:szCs w:val="20"/>
    </w:rPr>
  </w:style>
  <w:style w:type="paragraph" w:styleId="BodyText3">
    <w:name w:val="Body Text 3"/>
    <w:basedOn w:val="Normal"/>
    <w:link w:val="BodyText3Char"/>
    <w:uiPriority w:val="99"/>
    <w:semiHidden/>
    <w:unhideWhenUsed/>
    <w:rsid w:val="00F511C4"/>
    <w:pPr>
      <w:spacing w:after="120"/>
    </w:pPr>
    <w:rPr>
      <w:rFonts w:ascii="Calibri" w:eastAsia="Batang" w:hAnsi="Calibri" w:cs="Calibri"/>
      <w:sz w:val="16"/>
      <w:szCs w:val="16"/>
      <w:lang w:val="sq-AL"/>
    </w:rPr>
  </w:style>
  <w:style w:type="character" w:customStyle="1" w:styleId="BodyText3Char">
    <w:name w:val="Body Text 3 Char"/>
    <w:basedOn w:val="DefaultParagraphFont"/>
    <w:link w:val="BodyText3"/>
    <w:uiPriority w:val="99"/>
    <w:semiHidden/>
    <w:rsid w:val="00F511C4"/>
    <w:rPr>
      <w:rFonts w:ascii="Calibri" w:eastAsia="Batang" w:hAnsi="Calibri" w:cs="Calibri"/>
      <w:sz w:val="16"/>
      <w:szCs w:val="16"/>
      <w:lang w:val="sq-AL"/>
    </w:rPr>
  </w:style>
  <w:style w:type="character" w:styleId="SubtleEmphasis">
    <w:name w:val="Subtle Emphasis"/>
    <w:basedOn w:val="DefaultParagraphFont"/>
    <w:uiPriority w:val="19"/>
    <w:qFormat/>
    <w:rsid w:val="00F511C4"/>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04982">
      <w:bodyDiv w:val="1"/>
      <w:marLeft w:val="0"/>
      <w:marRight w:val="0"/>
      <w:marTop w:val="0"/>
      <w:marBottom w:val="0"/>
      <w:divBdr>
        <w:top w:val="none" w:sz="0" w:space="0" w:color="auto"/>
        <w:left w:val="none" w:sz="0" w:space="0" w:color="auto"/>
        <w:bottom w:val="none" w:sz="0" w:space="0" w:color="auto"/>
        <w:right w:val="none" w:sz="0" w:space="0" w:color="auto"/>
      </w:divBdr>
    </w:div>
    <w:div w:id="141311313">
      <w:bodyDiv w:val="1"/>
      <w:marLeft w:val="0"/>
      <w:marRight w:val="0"/>
      <w:marTop w:val="0"/>
      <w:marBottom w:val="0"/>
      <w:divBdr>
        <w:top w:val="none" w:sz="0" w:space="0" w:color="auto"/>
        <w:left w:val="none" w:sz="0" w:space="0" w:color="auto"/>
        <w:bottom w:val="none" w:sz="0" w:space="0" w:color="auto"/>
        <w:right w:val="none" w:sz="0" w:space="0" w:color="auto"/>
      </w:divBdr>
    </w:div>
    <w:div w:id="593704128">
      <w:bodyDiv w:val="1"/>
      <w:marLeft w:val="0"/>
      <w:marRight w:val="0"/>
      <w:marTop w:val="0"/>
      <w:marBottom w:val="0"/>
      <w:divBdr>
        <w:top w:val="none" w:sz="0" w:space="0" w:color="auto"/>
        <w:left w:val="none" w:sz="0" w:space="0" w:color="auto"/>
        <w:bottom w:val="none" w:sz="0" w:space="0" w:color="auto"/>
        <w:right w:val="none" w:sz="0" w:space="0" w:color="auto"/>
      </w:divBdr>
    </w:div>
    <w:div w:id="621230541">
      <w:bodyDiv w:val="1"/>
      <w:marLeft w:val="0"/>
      <w:marRight w:val="0"/>
      <w:marTop w:val="0"/>
      <w:marBottom w:val="0"/>
      <w:divBdr>
        <w:top w:val="none" w:sz="0" w:space="0" w:color="auto"/>
        <w:left w:val="none" w:sz="0" w:space="0" w:color="auto"/>
        <w:bottom w:val="none" w:sz="0" w:space="0" w:color="auto"/>
        <w:right w:val="none" w:sz="0" w:space="0" w:color="auto"/>
      </w:divBdr>
    </w:div>
    <w:div w:id="706222542">
      <w:bodyDiv w:val="1"/>
      <w:marLeft w:val="0"/>
      <w:marRight w:val="0"/>
      <w:marTop w:val="0"/>
      <w:marBottom w:val="0"/>
      <w:divBdr>
        <w:top w:val="none" w:sz="0" w:space="0" w:color="auto"/>
        <w:left w:val="none" w:sz="0" w:space="0" w:color="auto"/>
        <w:bottom w:val="none" w:sz="0" w:space="0" w:color="auto"/>
        <w:right w:val="none" w:sz="0" w:space="0" w:color="auto"/>
      </w:divBdr>
    </w:div>
    <w:div w:id="712534645">
      <w:bodyDiv w:val="1"/>
      <w:marLeft w:val="0"/>
      <w:marRight w:val="0"/>
      <w:marTop w:val="0"/>
      <w:marBottom w:val="0"/>
      <w:divBdr>
        <w:top w:val="none" w:sz="0" w:space="0" w:color="auto"/>
        <w:left w:val="none" w:sz="0" w:space="0" w:color="auto"/>
        <w:bottom w:val="none" w:sz="0" w:space="0" w:color="auto"/>
        <w:right w:val="none" w:sz="0" w:space="0" w:color="auto"/>
      </w:divBdr>
    </w:div>
    <w:div w:id="1219244444">
      <w:bodyDiv w:val="1"/>
      <w:marLeft w:val="0"/>
      <w:marRight w:val="0"/>
      <w:marTop w:val="0"/>
      <w:marBottom w:val="0"/>
      <w:divBdr>
        <w:top w:val="none" w:sz="0" w:space="0" w:color="auto"/>
        <w:left w:val="none" w:sz="0" w:space="0" w:color="auto"/>
        <w:bottom w:val="none" w:sz="0" w:space="0" w:color="auto"/>
        <w:right w:val="none" w:sz="0" w:space="0" w:color="auto"/>
      </w:divBdr>
    </w:div>
    <w:div w:id="1496872761">
      <w:bodyDiv w:val="1"/>
      <w:marLeft w:val="0"/>
      <w:marRight w:val="0"/>
      <w:marTop w:val="0"/>
      <w:marBottom w:val="0"/>
      <w:divBdr>
        <w:top w:val="none" w:sz="0" w:space="0" w:color="auto"/>
        <w:left w:val="none" w:sz="0" w:space="0" w:color="auto"/>
        <w:bottom w:val="none" w:sz="0" w:space="0" w:color="auto"/>
        <w:right w:val="none" w:sz="0" w:space="0" w:color="auto"/>
      </w:divBdr>
    </w:div>
    <w:div w:id="187380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chart" Target="charts/chart3.xml"/><Relationship Id="rId10" Type="http://schemas.openxmlformats.org/officeDocument/2006/relationships/webSettings" Target="webSettings.xml"/><Relationship Id="rId19" Type="http://schemas.openxmlformats.org/officeDocument/2006/relationships/image" Target="media/image6.png"/><Relationship Id="rId31" Type="http://schemas.openxmlformats.org/officeDocument/2006/relationships/image" Target="media/image15.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konsultimipublik.gov.al/Konsultime/Detaje/311" TargetMode="External"/><Relationship Id="rId22" Type="http://schemas.openxmlformats.org/officeDocument/2006/relationships/image" Target="media/image9.png"/><Relationship Id="rId27" Type="http://schemas.openxmlformats.org/officeDocument/2006/relationships/chart" Target="charts/chart2.xml"/><Relationship Id="rId30" Type="http://schemas.openxmlformats.org/officeDocument/2006/relationships/image" Target="media/image14.jpeg"/><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neighbourhood-nlargement/sites/near/files/pdf/key%20documents/2016/20161109_report_albania.pdf"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Kosto e PV - NDARJA E SHPENZIMEVE</a:t>
            </a:r>
          </a:p>
        </c:rich>
      </c:tx>
      <c:overlay val="0"/>
      <c:spPr>
        <a:noFill/>
        <a:ln>
          <a:noFill/>
        </a:ln>
        <a:effectLst/>
      </c:spPr>
    </c:title>
    <c:autoTitleDeleted val="0"/>
    <c:plotArea>
      <c:layout>
        <c:manualLayout>
          <c:layoutTarget val="inner"/>
          <c:xMode val="edge"/>
          <c:yMode val="edge"/>
          <c:x val="0.25440140845070419"/>
          <c:y val="0.18090452261306531"/>
          <c:w val="0.5166928715398923"/>
          <c:h val="0.71109854179128584"/>
        </c:manualLayout>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306F-4C07-B89C-979AB61C4322}"/>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306F-4C07-B89C-979AB61C4322}"/>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306F-4C07-B89C-979AB61C4322}"/>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306F-4C07-B89C-979AB61C432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'Qëllimi i Politikave'!$G$38:$G$41</c:f>
              <c:strCache>
                <c:ptCount val="4"/>
                <c:pt idx="0">
                  <c:v>PBA 2021-2023</c:v>
                </c:pt>
                <c:pt idx="1">
                  <c:v>Financim i huaj </c:v>
                </c:pt>
                <c:pt idx="2">
                  <c:v>Buxheti 2024-2027</c:v>
                </c:pt>
                <c:pt idx="3">
                  <c:v>Hendek financiar 2021-2027</c:v>
                </c:pt>
              </c:strCache>
            </c:strRef>
          </c:cat>
          <c:val>
            <c:numRef>
              <c:f>'Qëllimi i Politikave'!$H$38:$H$41</c:f>
              <c:numCache>
                <c:formatCode>#,##0</c:formatCode>
                <c:ptCount val="4"/>
                <c:pt idx="0">
                  <c:v>7259792000.8000002</c:v>
                </c:pt>
                <c:pt idx="1">
                  <c:v>2377632500</c:v>
                </c:pt>
                <c:pt idx="2">
                  <c:v>10122405501.6</c:v>
                </c:pt>
                <c:pt idx="3">
                  <c:v>376600000.00000191</c:v>
                </c:pt>
              </c:numCache>
            </c:numRef>
          </c:val>
          <c:extLst>
            <c:ext xmlns:c16="http://schemas.microsoft.com/office/drawing/2014/chart" uri="{C3380CC4-5D6E-409C-BE32-E72D297353CC}">
              <c16:uniqueId val="{00000008-306F-4C07-B89C-979AB61C4322}"/>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9.1549295774647974E-2"/>
          <c:y val="0.18718592964824118"/>
          <c:w val="0.80897887323943718"/>
          <c:h val="0.72110552763819191"/>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A5D-4F7C-8182-3B732E048CD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A5D-4F7C-8182-3B732E048CD2}"/>
              </c:ext>
            </c:extLst>
          </c:dPt>
          <c:dLbls>
            <c:dLbl>
              <c:idx val="0"/>
              <c:layout>
                <c:manualLayout>
                  <c:x val="-6.6031033940571512E-2"/>
                  <c:y val="0.10281793905944446"/>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A5D-4F7C-8182-3B732E048CD2}"/>
                </c:ext>
              </c:extLst>
            </c:dLbl>
            <c:dLbl>
              <c:idx val="1"/>
              <c:layout>
                <c:manualLayout>
                  <c:x val="0.17581037325300675"/>
                  <c:y val="-0.1097445328090212"/>
                </c:manualLayout>
              </c:layout>
              <c:spPr>
                <a:noFill/>
                <a:ln w="25400">
                  <a:noFill/>
                </a:ln>
              </c:spPr>
              <c:txPr>
                <a:bodyPr wrap="square" lIns="38100" tIns="19050" rIns="38100" bIns="19050" anchor="ctr">
                  <a:noAutofit/>
                </a:bodyPr>
                <a:lstStyle/>
                <a:p>
                  <a:pPr>
                    <a:defRPr sz="1200" b="1"/>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5468071110953166"/>
                      <c:h val="8.3288328851940305E-2"/>
                    </c:manualLayout>
                  </c15:layout>
                </c:ext>
                <c:ext xmlns:c16="http://schemas.microsoft.com/office/drawing/2014/chart" uri="{C3380CC4-5D6E-409C-BE32-E72D297353CC}">
                  <c16:uniqueId val="{00000003-AA5D-4F7C-8182-3B732E048CD2}"/>
                </c:ext>
              </c:extLst>
            </c:dLbl>
            <c:spPr>
              <a:noFill/>
              <a:ln w="25400">
                <a:noFill/>
              </a:ln>
            </c:spPr>
            <c:txPr>
              <a:bodyPr wrap="square" lIns="38100" tIns="19050" rIns="38100" bIns="19050" anchor="ctr">
                <a:spAutoFit/>
              </a:bodyPr>
              <a:lstStyle/>
              <a:p>
                <a:pPr>
                  <a:defRPr sz="1200" b="1"/>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'Qëllimi i Politikave'!$G$44:$G$45</c:f>
              <c:strCache>
                <c:ptCount val="2"/>
                <c:pt idx="0">
                  <c:v>Kosto Korente </c:v>
                </c:pt>
                <c:pt idx="1">
                  <c:v>Kosto kapitale</c:v>
                </c:pt>
              </c:strCache>
            </c:strRef>
          </c:cat>
          <c:val>
            <c:numRef>
              <c:f>'Qëllimi i Politikave'!$H$44:$H$45</c:f>
              <c:numCache>
                <c:formatCode>#,##0</c:formatCode>
                <c:ptCount val="2"/>
                <c:pt idx="0">
                  <c:v>17694866002.400002</c:v>
                </c:pt>
                <c:pt idx="1">
                  <c:v>2441564000</c:v>
                </c:pt>
              </c:numCache>
            </c:numRef>
          </c:val>
          <c:extLst>
            <c:ext xmlns:c16="http://schemas.microsoft.com/office/drawing/2014/chart" uri="{C3380CC4-5D6E-409C-BE32-E72D297353CC}">
              <c16:uniqueId val="{00000004-AA5D-4F7C-8182-3B732E048CD2}"/>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Black" panose="020B0A04020102020204" pitchFamily="34" charset="0"/>
              </a:rPr>
              <a:t>Kosto të</a:t>
            </a:r>
            <a:r>
              <a:rPr lang="en-US" baseline="0">
                <a:latin typeface="Arial Black" panose="020B0A04020102020204" pitchFamily="34" charset="0"/>
              </a:rPr>
              <a:t> lidhura me qëllimin e politikave</a:t>
            </a:r>
            <a:endParaRPr lang="en-US">
              <a:latin typeface="Arial Black" panose="020B0A04020102020204" pitchFamily="34" charset="0"/>
            </a:endParaRPr>
          </a:p>
        </c:rich>
      </c:tx>
      <c:overlay val="0"/>
      <c:spPr>
        <a:noFill/>
        <a:ln w="25400">
          <a:noFill/>
        </a:ln>
      </c:spPr>
    </c:title>
    <c:autoTitleDeleted val="0"/>
    <c:plotArea>
      <c:layout>
        <c:manualLayout>
          <c:layoutTarget val="inner"/>
          <c:xMode val="edge"/>
          <c:yMode val="edge"/>
          <c:x val="4.665492957746474E-2"/>
          <c:y val="8.9195979899497582E-2"/>
          <c:w val="0.8362676056338032"/>
          <c:h val="0.81106168601899065"/>
        </c:manualLayout>
      </c:layout>
      <c:barChart>
        <c:barDir val="col"/>
        <c:grouping val="percentStacked"/>
        <c:varyColors val="0"/>
        <c:ser>
          <c:idx val="0"/>
          <c:order val="0"/>
          <c:tx>
            <c:strRef>
              <c:f>'Qëllimi i Politikave'!$K$36</c:f>
              <c:strCache>
                <c:ptCount val="1"/>
                <c:pt idx="0">
                  <c:v>Kosto Korente</c:v>
                </c:pt>
              </c:strCache>
            </c:strRef>
          </c:tx>
          <c:spPr>
            <a:solidFill>
              <a:srgbClr val="5B9BD5"/>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'Qëllimi i Politikave'!$J$37:$J$39</c:f>
              <c:strCache>
                <c:ptCount val="3"/>
                <c:pt idx="0">
                  <c:v>Qëllimi i Politikës I</c:v>
                </c:pt>
                <c:pt idx="1">
                  <c:v>Qëllimi i Politikës II</c:v>
                </c:pt>
                <c:pt idx="2">
                  <c:v>Qëllimi i Politikës III</c:v>
                </c:pt>
              </c:strCache>
            </c:strRef>
          </c:cat>
          <c:val>
            <c:numRef>
              <c:f>'Qëllimi i Politikave'!$K$37:$K$39</c:f>
              <c:numCache>
                <c:formatCode>#,##0</c:formatCode>
                <c:ptCount val="3"/>
                <c:pt idx="0">
                  <c:v>15894166002.4</c:v>
                </c:pt>
                <c:pt idx="1">
                  <c:v>1793500000</c:v>
                </c:pt>
                <c:pt idx="2">
                  <c:v>7200000</c:v>
                </c:pt>
              </c:numCache>
            </c:numRef>
          </c:val>
          <c:extLst>
            <c:ext xmlns:c16="http://schemas.microsoft.com/office/drawing/2014/chart" uri="{C3380CC4-5D6E-409C-BE32-E72D297353CC}">
              <c16:uniqueId val="{00000000-8AAF-45CA-9FEF-0B7CB0D07EF4}"/>
            </c:ext>
          </c:extLst>
        </c:ser>
        <c:ser>
          <c:idx val="1"/>
          <c:order val="1"/>
          <c:tx>
            <c:strRef>
              <c:f>'Qëllimi i Politikave'!$L$36</c:f>
              <c:strCache>
                <c:ptCount val="1"/>
                <c:pt idx="0">
                  <c:v>Kosto Kapitale</c:v>
                </c:pt>
              </c:strCache>
            </c:strRef>
          </c:tx>
          <c:spPr>
            <a:solidFill>
              <a:srgbClr val="ED7D31"/>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'Qëllimi i Politikave'!$J$37:$J$39</c:f>
              <c:strCache>
                <c:ptCount val="3"/>
                <c:pt idx="0">
                  <c:v>Qëllimi i Politikës I</c:v>
                </c:pt>
                <c:pt idx="1">
                  <c:v>Qëllimi i Politikës II</c:v>
                </c:pt>
                <c:pt idx="2">
                  <c:v>Qëllimi i Politikës III</c:v>
                </c:pt>
              </c:strCache>
            </c:strRef>
          </c:cat>
          <c:val>
            <c:numRef>
              <c:f>'Qëllimi i Politikave'!$L$37:$L$39</c:f>
              <c:numCache>
                <c:formatCode>#,##0</c:formatCode>
                <c:ptCount val="3"/>
                <c:pt idx="0">
                  <c:v>1292406000</c:v>
                </c:pt>
                <c:pt idx="1">
                  <c:v>1149158000</c:v>
                </c:pt>
                <c:pt idx="2">
                  <c:v>0</c:v>
                </c:pt>
              </c:numCache>
            </c:numRef>
          </c:val>
          <c:extLst>
            <c:ext xmlns:c16="http://schemas.microsoft.com/office/drawing/2014/chart" uri="{C3380CC4-5D6E-409C-BE32-E72D297353CC}">
              <c16:uniqueId val="{00000001-8AAF-45CA-9FEF-0B7CB0D07EF4}"/>
            </c:ext>
          </c:extLst>
        </c:ser>
        <c:dLbls>
          <c:showLegendKey val="0"/>
          <c:showVal val="0"/>
          <c:showCatName val="0"/>
          <c:showSerName val="0"/>
          <c:showPercent val="0"/>
          <c:showBubbleSize val="0"/>
        </c:dLbls>
        <c:gapWidth val="55"/>
        <c:overlap val="100"/>
        <c:axId val="177026560"/>
        <c:axId val="155872064"/>
      </c:barChart>
      <c:catAx>
        <c:axId val="17702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5872064"/>
        <c:crosses val="autoZero"/>
        <c:auto val="1"/>
        <c:lblAlgn val="ctr"/>
        <c:lblOffset val="100"/>
        <c:noMultiLvlLbl val="0"/>
      </c:catAx>
      <c:valAx>
        <c:axId val="1558720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26560"/>
        <c:crosses val="autoZero"/>
        <c:crossBetween val="between"/>
      </c:valAx>
      <c:spPr>
        <a:noFill/>
        <a:ln w="25400">
          <a:noFill/>
        </a:ln>
      </c:spPr>
    </c:plotArea>
    <c:legend>
      <c:legendPos val="r"/>
      <c:layout>
        <c:manualLayout>
          <c:xMode val="edge"/>
          <c:yMode val="edge"/>
          <c:x val="0.89524647887323927"/>
          <c:y val="0.49748743718592997"/>
          <c:w val="9.9471830985915513E-2"/>
          <c:h val="7.0351758793969849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236A9097F554C06BD91E57A807A32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C236A9097F554C06BD91E57A807A32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487</Nr_x002e__x0020_akti>
    <Data_x0020_e_x0020_Krijimit xmlns="0e656187-b300-4fb0-8bf4-3a50f872073c">2024-07-26T07:19:33Z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2024-07-25T00:00:00Z</Date_x0020_protokolli>
    <Titulli xmlns="0e656187-b300-4fb0-8bf4-3a50f872073c">Për disa ndryshime në vendimin nr.1117, datë 16.12.2020, të Këshillit të Ministrave, “Për miratimin e Strategjisë Ndërsektoriale të Menaxhimit të Integruar të Kufirit 2021 – 2027 dhe të planit të veprimit 2021 – 2023”</Titulli>
    <Modifikuesi xmlns="0e656187-b300-4fb0-8bf4-3a50f872073c">nevila.samarxhi</Modifikuesi>
    <Nr_x002e__x0020_prot_x0020_QBZ xmlns="0e656187-b300-4fb0-8bf4-3a50f872073c">1</Nr_x002e__x0020_prot_x0020_QBZ>
    <Data_x0020_e_x0020_Modifikimit xmlns="0e656187-b300-4fb0-8bf4-3a50f872073c">2024-07-26T08:38:55Z</Data_x0020_e_x0020_Modifikimit>
    <Dekretuar xmlns="0e656187-b300-4fb0-8bf4-3a50f872073c">false</Dekretuar>
    <Data xmlns="0e656187-b300-4fb0-8bf4-3a50f872073c">2024-07-24T00:00:00Z</Data>
    <Nr_x002e__x0020_protokolli_x0020_i_x0020_aktit xmlns="0e656187-b300-4fb0-8bf4-3a50f872073c">4094/1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BAC1D-7DEA-43BC-9AE5-C768AC138C0F}">
  <ds:schemaRefs>
    <ds:schemaRef ds:uri="http://schemas.microsoft.com/sharepoint/v3/contenttype/forms"/>
  </ds:schemaRefs>
</ds:datastoreItem>
</file>

<file path=customXml/itemProps2.xml><?xml version="1.0" encoding="utf-8"?>
<ds:datastoreItem xmlns:ds="http://schemas.openxmlformats.org/officeDocument/2006/customXml" ds:itemID="{E7FE1499-67BC-4F5D-A3DB-AC383121C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22FBC11-E399-4813-8982-FCBF9BB7F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0FE642B-26C3-4B7A-800E-9DA8C61C2EA4}">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6112D138-F426-4521-BD00-503DCC84698A}">
  <ds:schemaRefs>
    <ds:schemaRef ds:uri="http://schemas.microsoft.com/sharepoint/v3/contenttype/forms"/>
  </ds:schemaRefs>
</ds:datastoreItem>
</file>

<file path=customXml/itemProps6.xml><?xml version="1.0" encoding="utf-8"?>
<ds:datastoreItem xmlns:ds="http://schemas.openxmlformats.org/officeDocument/2006/customXml" ds:itemID="{73E2A17F-65A7-484F-8503-E7C149FB9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68</Pages>
  <Words>35760</Words>
  <Characters>203832</Characters>
  <Application>Microsoft Office Word</Application>
  <DocSecurity>0</DocSecurity>
  <Lines>1698</Lines>
  <Paragraphs>478</Paragraphs>
  <ScaleCrop>false</ScaleCrop>
  <HeadingPairs>
    <vt:vector size="2" baseType="variant">
      <vt:variant>
        <vt:lpstr>Title</vt:lpstr>
      </vt:variant>
      <vt:variant>
        <vt:i4>1</vt:i4>
      </vt:variant>
    </vt:vector>
  </HeadingPairs>
  <TitlesOfParts>
    <vt:vector size="1" baseType="lpstr">
      <vt:lpstr>Për disa ndryshime në vendimin nr.1117, datë 16.12.2020, të Këshillit të Ministrave, “Për miratimin e Strategjisë Ndërsektoriale të Menaxhimit të Integruar të Kufirit 2021 – 2027 dhe të planit të veprimit 2021 – 2023”</vt:lpstr>
    </vt:vector>
  </TitlesOfParts>
  <Company>DPB</Company>
  <LinksUpToDate>false</LinksUpToDate>
  <CharactersWithSpaces>239114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nr.1117, datë 16.12.2020, të Këshillit të Ministrave, “Për miratimin e Strategjisë Ndërsektoriale të Menaxhimit të Integruar të Kufirit 2021 – 2027 dhe të planit të veprimit 2021 – 2023”</dc:title>
  <dc:creator>Egla Buzi</dc:creator>
  <cp:lastModifiedBy>Rovena Lipe</cp:lastModifiedBy>
  <cp:revision>4</cp:revision>
  <cp:lastPrinted>2024-07-23T14:59:00Z</cp:lastPrinted>
  <dcterms:created xsi:type="dcterms:W3CDTF">2024-08-07T10:21:00Z</dcterms:created>
  <dcterms:modified xsi:type="dcterms:W3CDTF">2024-08-07T10:29:00Z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d3ec3472fa4459ffc5a77509ae910637cff2a929d3c1816b7cdab6e3e2e8cea7</vt:lpwstr>
  </property>
</Properties>
</file>