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70F78" w14:textId="4D0C3DC2" w:rsidR="00663A7A" w:rsidRPr="007C7BB8" w:rsidRDefault="00663A7A" w:rsidP="007C7BB8">
      <w:pPr>
        <w:pStyle w:val="Neninr"/>
        <w:rPr>
          <w:b/>
        </w:rPr>
      </w:pPr>
      <w:r w:rsidRPr="007C7BB8">
        <w:rPr>
          <w:b/>
        </w:rPr>
        <w:t>VENDIM</w:t>
      </w:r>
    </w:p>
    <w:p w14:paraId="57370F7C" w14:textId="4DC273CE" w:rsidR="00663A7A" w:rsidRPr="007C7BB8" w:rsidRDefault="00663A7A" w:rsidP="007C7BB8">
      <w:pPr>
        <w:pStyle w:val="Neninr"/>
        <w:rPr>
          <w:b/>
        </w:rPr>
      </w:pPr>
      <w:r w:rsidRPr="007C7BB8">
        <w:rPr>
          <w:b/>
        </w:rPr>
        <w:t>Nr.</w:t>
      </w:r>
      <w:r w:rsidR="0037724B">
        <w:rPr>
          <w:b/>
        </w:rPr>
        <w:t xml:space="preserve"> </w:t>
      </w:r>
      <w:r w:rsidR="00A60DD4" w:rsidRPr="007C7BB8">
        <w:rPr>
          <w:b/>
        </w:rPr>
        <w:t>1170</w:t>
      </w:r>
      <w:r w:rsidRPr="007C7BB8">
        <w:rPr>
          <w:b/>
        </w:rPr>
        <w:t>, datë</w:t>
      </w:r>
      <w:r w:rsidR="00A60DD4" w:rsidRPr="007C7BB8">
        <w:rPr>
          <w:b/>
        </w:rPr>
        <w:t xml:space="preserve"> 24.12.2020</w:t>
      </w:r>
    </w:p>
    <w:p w14:paraId="57370F7D" w14:textId="77777777" w:rsidR="00B25BBB" w:rsidRPr="007C7BB8" w:rsidRDefault="00B25BBB" w:rsidP="007C7BB8">
      <w:pPr>
        <w:pStyle w:val="Neninr"/>
        <w:rPr>
          <w:b/>
        </w:rPr>
      </w:pPr>
    </w:p>
    <w:p w14:paraId="57370F82" w14:textId="3FD275E3" w:rsidR="00663A7A" w:rsidRPr="007C7BB8" w:rsidRDefault="007C7BB8" w:rsidP="007C7BB8">
      <w:pPr>
        <w:pStyle w:val="Neninr"/>
        <w:rPr>
          <w:b/>
        </w:rPr>
      </w:pPr>
      <w:r w:rsidRPr="007C7BB8">
        <w:rPr>
          <w:b/>
        </w:rPr>
        <w:t xml:space="preserve">PËR </w:t>
      </w:r>
      <w:r w:rsidR="00663A7A" w:rsidRPr="007C7BB8">
        <w:rPr>
          <w:b/>
        </w:rPr>
        <w:t>MIRATIMIN E RREGULLAVE TË PROKURIMIT NË FUSHËN E MBROJTJES DHE TË SIGURISË</w:t>
      </w:r>
      <w:r w:rsidR="00663A7A" w:rsidRPr="0037724B">
        <w:rPr>
          <w:b/>
          <w:vertAlign w:val="superscript"/>
        </w:rPr>
        <w:footnoteReference w:id="2"/>
      </w:r>
    </w:p>
    <w:p w14:paraId="57370F83" w14:textId="77777777" w:rsidR="00663A7A" w:rsidRPr="007C7BB8" w:rsidRDefault="00663A7A" w:rsidP="007C7BB8">
      <w:pPr>
        <w:spacing w:after="0" w:line="240" w:lineRule="auto"/>
        <w:ind w:firstLine="284"/>
        <w:jc w:val="both"/>
        <w:rPr>
          <w:rFonts w:ascii="Garamond" w:hAnsi="Garamond"/>
          <w:sz w:val="24"/>
          <w:szCs w:val="24"/>
        </w:rPr>
      </w:pPr>
    </w:p>
    <w:p w14:paraId="57370F84" w14:textId="37E1915C" w:rsidR="00A01C14" w:rsidRPr="007C7BB8" w:rsidRDefault="00663A7A" w:rsidP="007C7BB8">
      <w:pPr>
        <w:spacing w:after="0" w:line="240" w:lineRule="auto"/>
        <w:ind w:firstLine="284"/>
        <w:jc w:val="both"/>
        <w:rPr>
          <w:rFonts w:ascii="Garamond" w:hAnsi="Garamond"/>
          <w:sz w:val="24"/>
          <w:szCs w:val="24"/>
        </w:rPr>
      </w:pPr>
      <w:r w:rsidRPr="007C7BB8">
        <w:rPr>
          <w:rFonts w:ascii="Garamond" w:hAnsi="Garamond"/>
          <w:sz w:val="24"/>
          <w:szCs w:val="24"/>
        </w:rPr>
        <w:t>Në mbështetje të nenit 100 të Kushtetutës dhe të neneve 20, pika 2, 21, pika 6, 23, pika 2, 26, pika 4, 31, pika 2, 47, pika 2, e 61, pika 3, të ligjit nr.</w:t>
      </w:r>
      <w:r w:rsidR="0037724B">
        <w:rPr>
          <w:rFonts w:ascii="Garamond" w:hAnsi="Garamond"/>
          <w:sz w:val="24"/>
          <w:szCs w:val="24"/>
        </w:rPr>
        <w:t xml:space="preserve"> </w:t>
      </w:r>
      <w:r w:rsidRPr="007C7BB8">
        <w:rPr>
          <w:rFonts w:ascii="Garamond" w:hAnsi="Garamond"/>
          <w:sz w:val="24"/>
          <w:szCs w:val="24"/>
        </w:rPr>
        <w:t>36/2020, “Për prokurimet në fushën e mbrojtjes dhe të sigurisë”, me propozimin e ministrit të Mbrojtjes, Këshilli i Ministrave</w:t>
      </w:r>
    </w:p>
    <w:p w14:paraId="57370F85" w14:textId="77777777" w:rsidR="00B25BBB" w:rsidRPr="007C7BB8" w:rsidRDefault="00B25BBB" w:rsidP="007C7BB8">
      <w:pPr>
        <w:spacing w:after="0" w:line="240" w:lineRule="auto"/>
        <w:ind w:firstLine="284"/>
        <w:jc w:val="both"/>
        <w:rPr>
          <w:rFonts w:ascii="Garamond" w:hAnsi="Garamond"/>
          <w:sz w:val="24"/>
          <w:szCs w:val="24"/>
        </w:rPr>
      </w:pPr>
    </w:p>
    <w:p w14:paraId="57370F87" w14:textId="152619B6" w:rsidR="00663A7A" w:rsidRPr="007C7BB8" w:rsidRDefault="007C7BB8" w:rsidP="007C7BB8">
      <w:pPr>
        <w:pStyle w:val="Neninr"/>
      </w:pPr>
      <w:r>
        <w:t>VENDOS</w:t>
      </w:r>
      <w:r w:rsidR="00663A7A" w:rsidRPr="007C7BB8">
        <w:t>I:</w:t>
      </w:r>
    </w:p>
    <w:p w14:paraId="57370F89" w14:textId="77777777" w:rsidR="00A01C14" w:rsidRPr="007C7BB8" w:rsidRDefault="00A01C14" w:rsidP="007C7BB8">
      <w:pPr>
        <w:spacing w:after="0" w:line="240" w:lineRule="auto"/>
        <w:ind w:firstLine="284"/>
        <w:jc w:val="both"/>
        <w:rPr>
          <w:rFonts w:ascii="Garamond" w:hAnsi="Garamond"/>
          <w:sz w:val="24"/>
          <w:szCs w:val="24"/>
        </w:rPr>
      </w:pPr>
    </w:p>
    <w:p w14:paraId="57370F8A" w14:textId="593B6365" w:rsidR="00663A7A"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663A7A" w:rsidRPr="007C7BB8">
        <w:rPr>
          <w:rFonts w:ascii="Garamond" w:hAnsi="Garamond"/>
          <w:sz w:val="24"/>
          <w:szCs w:val="24"/>
        </w:rPr>
        <w:t>Miratimin e rregullave të prokurimit në fushën e mbrojtjes dhe të sigurisë, sipas tekstit</w:t>
      </w:r>
      <w:r w:rsidR="007F4570" w:rsidRPr="007C7BB8">
        <w:rPr>
          <w:rFonts w:ascii="Garamond" w:hAnsi="Garamond"/>
          <w:sz w:val="24"/>
          <w:szCs w:val="24"/>
        </w:rPr>
        <w:t>,</w:t>
      </w:r>
      <w:r w:rsidR="00663A7A" w:rsidRPr="007C7BB8">
        <w:rPr>
          <w:rFonts w:ascii="Garamond" w:hAnsi="Garamond"/>
          <w:sz w:val="24"/>
          <w:szCs w:val="24"/>
        </w:rPr>
        <w:t xml:space="preserve"> që i bashkëlidhet këtij vendimi dhe është pjesë përbërëse e tij. </w:t>
      </w:r>
    </w:p>
    <w:p w14:paraId="57370F8C" w14:textId="639242FF" w:rsidR="00663A7A"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2. </w:t>
      </w:r>
      <w:r w:rsidR="00663A7A" w:rsidRPr="007C7BB8">
        <w:rPr>
          <w:rFonts w:ascii="Garamond" w:hAnsi="Garamond"/>
          <w:sz w:val="24"/>
          <w:szCs w:val="24"/>
        </w:rPr>
        <w:t>Ngarkohen autoritetet kontraktore, të përcaktuara në nenin 12, të  ligjit nr.</w:t>
      </w:r>
      <w:r w:rsidR="0037724B">
        <w:rPr>
          <w:rFonts w:ascii="Garamond" w:hAnsi="Garamond"/>
          <w:sz w:val="24"/>
          <w:szCs w:val="24"/>
        </w:rPr>
        <w:t xml:space="preserve"> </w:t>
      </w:r>
      <w:r w:rsidR="00663A7A" w:rsidRPr="007C7BB8">
        <w:rPr>
          <w:rFonts w:ascii="Garamond" w:hAnsi="Garamond"/>
          <w:sz w:val="24"/>
          <w:szCs w:val="24"/>
        </w:rPr>
        <w:t>36/2020, “Për prokurimet në fushën e mbrojtjes dhe të sigurisë”, Agjencia e Prokurimit Publik dhe Komisioni i Prokurimit Publik për zbatimin e rregullave të miratuara në këtë vendim.</w:t>
      </w:r>
    </w:p>
    <w:p w14:paraId="57370F8E" w14:textId="16D27E36" w:rsidR="00663A7A"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3. </w:t>
      </w:r>
      <w:r w:rsidR="00663A7A" w:rsidRPr="007C7BB8">
        <w:rPr>
          <w:rFonts w:ascii="Garamond" w:hAnsi="Garamond"/>
          <w:sz w:val="24"/>
          <w:szCs w:val="24"/>
        </w:rPr>
        <w:t xml:space="preserve">Agjencia e Prokurimit Publik, në bashkëpunim me Ministrinë e Mbrojtjes, brenda 60 (gjashtëdhjetë) ditëve nga hyrja në fuqi e këtij vendimi, të hartojë dhe të miratojë dokumentet standarde të tenderit. </w:t>
      </w:r>
    </w:p>
    <w:p w14:paraId="57370F90" w14:textId="729EAD3C" w:rsidR="00663A7A" w:rsidRPr="007C7BB8" w:rsidRDefault="00663A7A" w:rsidP="007C7BB8">
      <w:pPr>
        <w:spacing w:after="0" w:line="240" w:lineRule="auto"/>
        <w:ind w:firstLine="284"/>
        <w:jc w:val="both"/>
        <w:rPr>
          <w:rFonts w:ascii="Garamond" w:hAnsi="Garamond"/>
          <w:sz w:val="24"/>
          <w:szCs w:val="24"/>
        </w:rPr>
      </w:pPr>
      <w:r w:rsidRPr="007C7BB8">
        <w:rPr>
          <w:rFonts w:ascii="Garamond" w:hAnsi="Garamond"/>
          <w:sz w:val="24"/>
          <w:szCs w:val="24"/>
        </w:rPr>
        <w:t>Ky ven</w:t>
      </w:r>
      <w:r w:rsidR="007C7BB8">
        <w:rPr>
          <w:rFonts w:ascii="Garamond" w:hAnsi="Garamond"/>
          <w:sz w:val="24"/>
          <w:szCs w:val="24"/>
        </w:rPr>
        <w:t>dim hyn në fuqi pas botimit në Fletoren Zyrtare</w:t>
      </w:r>
      <w:r w:rsidRPr="007C7BB8">
        <w:rPr>
          <w:rFonts w:ascii="Garamond" w:hAnsi="Garamond"/>
          <w:sz w:val="24"/>
          <w:szCs w:val="24"/>
        </w:rPr>
        <w:t>.</w:t>
      </w:r>
    </w:p>
    <w:p w14:paraId="57370F91" w14:textId="77777777" w:rsidR="00663A7A" w:rsidRPr="007C7BB8" w:rsidRDefault="00663A7A" w:rsidP="007C7BB8">
      <w:pPr>
        <w:spacing w:after="0" w:line="240" w:lineRule="auto"/>
        <w:ind w:firstLine="284"/>
        <w:jc w:val="both"/>
        <w:rPr>
          <w:rFonts w:ascii="Garamond" w:hAnsi="Garamond"/>
          <w:sz w:val="24"/>
          <w:szCs w:val="24"/>
        </w:rPr>
      </w:pPr>
    </w:p>
    <w:p w14:paraId="57370F99" w14:textId="2A365958" w:rsidR="00B25BBB" w:rsidRPr="007C7BB8" w:rsidRDefault="007C7BB8" w:rsidP="007C7BB8">
      <w:pPr>
        <w:spacing w:after="0" w:line="240" w:lineRule="auto"/>
        <w:ind w:firstLine="284"/>
        <w:jc w:val="right"/>
        <w:rPr>
          <w:rFonts w:ascii="Garamond" w:hAnsi="Garamond"/>
          <w:sz w:val="24"/>
          <w:szCs w:val="24"/>
        </w:rPr>
      </w:pPr>
      <w:r>
        <w:rPr>
          <w:rFonts w:ascii="Garamond" w:hAnsi="Garamond"/>
          <w:sz w:val="24"/>
          <w:szCs w:val="24"/>
        </w:rPr>
        <w:t>ZËVENDËSKRYEMINISTËR</w:t>
      </w:r>
    </w:p>
    <w:p w14:paraId="57370F9A" w14:textId="3FF5C28B" w:rsidR="00B25BBB" w:rsidRPr="007C7BB8" w:rsidRDefault="007C7BB8" w:rsidP="007C7BB8">
      <w:pPr>
        <w:spacing w:after="0" w:line="240" w:lineRule="auto"/>
        <w:ind w:firstLine="284"/>
        <w:jc w:val="right"/>
        <w:rPr>
          <w:rFonts w:ascii="Garamond" w:hAnsi="Garamond"/>
          <w:b/>
          <w:sz w:val="24"/>
          <w:szCs w:val="24"/>
        </w:rPr>
      </w:pPr>
      <w:r w:rsidRPr="007C7BB8">
        <w:rPr>
          <w:rFonts w:ascii="Garamond" w:hAnsi="Garamond"/>
          <w:b/>
          <w:sz w:val="24"/>
          <w:szCs w:val="24"/>
        </w:rPr>
        <w:t>Erion Braçe</w:t>
      </w:r>
    </w:p>
    <w:p w14:paraId="57370F9B" w14:textId="77777777" w:rsidR="00AB7A94" w:rsidRPr="007C7BB8" w:rsidRDefault="00AB7A94" w:rsidP="007C7BB8">
      <w:pPr>
        <w:spacing w:after="0" w:line="240" w:lineRule="auto"/>
        <w:ind w:firstLine="284"/>
        <w:jc w:val="both"/>
        <w:rPr>
          <w:rFonts w:ascii="Garamond" w:hAnsi="Garamond"/>
          <w:sz w:val="24"/>
          <w:szCs w:val="24"/>
        </w:rPr>
      </w:pPr>
    </w:p>
    <w:p w14:paraId="1E2B109F" w14:textId="77777777" w:rsidR="0037724B" w:rsidRDefault="007C7BB8" w:rsidP="007C7BB8">
      <w:pPr>
        <w:pStyle w:val="Neninr"/>
      </w:pPr>
      <w:r w:rsidRPr="0037724B">
        <w:rPr>
          <w:b/>
        </w:rPr>
        <w:t>RREGULLAT</w:t>
      </w:r>
      <w:r w:rsidRPr="007C7BB8">
        <w:t xml:space="preserve"> </w:t>
      </w:r>
    </w:p>
    <w:p w14:paraId="6AE1033F" w14:textId="75295583" w:rsidR="007C7BB8" w:rsidRPr="007C7BB8" w:rsidRDefault="007C7BB8" w:rsidP="007C7BB8">
      <w:pPr>
        <w:pStyle w:val="Neninr"/>
      </w:pPr>
      <w:r w:rsidRPr="007C7BB8">
        <w:t>E PROKURIMIT NË FUSHËN E MBROJTJES DHE TË SIGURISË</w:t>
      </w:r>
    </w:p>
    <w:p w14:paraId="5546871D" w14:textId="77777777" w:rsidR="007C7BB8" w:rsidRPr="007C7BB8" w:rsidRDefault="007C7BB8" w:rsidP="007C7BB8">
      <w:pPr>
        <w:pStyle w:val="Neninr"/>
      </w:pPr>
    </w:p>
    <w:p w14:paraId="0DBA4DDD" w14:textId="77777777" w:rsidR="007C7BB8" w:rsidRPr="007C7BB8" w:rsidRDefault="007C7BB8" w:rsidP="007C7BB8">
      <w:pPr>
        <w:pStyle w:val="Neninr"/>
      </w:pPr>
      <w:r w:rsidRPr="007C7BB8">
        <w:t>KREU I</w:t>
      </w:r>
    </w:p>
    <w:p w14:paraId="3F49C118" w14:textId="77777777" w:rsidR="007C7BB8" w:rsidRPr="007C7BB8" w:rsidRDefault="007C7BB8" w:rsidP="007C7BB8">
      <w:pPr>
        <w:pStyle w:val="Neninr"/>
      </w:pPr>
      <w:r w:rsidRPr="007C7BB8">
        <w:t>ORGANIZIMI I PROKURIMIT</w:t>
      </w:r>
    </w:p>
    <w:p w14:paraId="0B819D33" w14:textId="77777777" w:rsidR="007C7BB8" w:rsidRPr="007C7BB8" w:rsidRDefault="007C7BB8" w:rsidP="007C7BB8">
      <w:pPr>
        <w:pStyle w:val="Neninr"/>
      </w:pPr>
    </w:p>
    <w:p w14:paraId="06785B16" w14:textId="77777777" w:rsidR="007C7BB8" w:rsidRPr="007C7BB8" w:rsidRDefault="007C7BB8" w:rsidP="007C7BB8">
      <w:pPr>
        <w:pStyle w:val="Neninr"/>
      </w:pPr>
      <w:r w:rsidRPr="007C7BB8">
        <w:t>Neni 1</w:t>
      </w:r>
    </w:p>
    <w:p w14:paraId="524B1F40" w14:textId="77777777" w:rsidR="007C7BB8" w:rsidRPr="007C7BB8" w:rsidRDefault="007C7BB8" w:rsidP="007C7BB8">
      <w:pPr>
        <w:pStyle w:val="Neninr"/>
        <w:rPr>
          <w:b/>
        </w:rPr>
      </w:pPr>
      <w:r w:rsidRPr="007C7BB8">
        <w:rPr>
          <w:b/>
        </w:rPr>
        <w:t>Përgjegjësia e autoritetit kontraktor</w:t>
      </w:r>
    </w:p>
    <w:p w14:paraId="26FAC64C" w14:textId="77777777" w:rsidR="007C7BB8" w:rsidRPr="007C7BB8" w:rsidRDefault="007C7BB8" w:rsidP="007C7BB8">
      <w:pPr>
        <w:spacing w:after="0" w:line="240" w:lineRule="auto"/>
        <w:ind w:firstLine="284"/>
        <w:jc w:val="both"/>
        <w:rPr>
          <w:rFonts w:ascii="Garamond" w:hAnsi="Garamond"/>
          <w:sz w:val="24"/>
          <w:szCs w:val="24"/>
        </w:rPr>
      </w:pPr>
    </w:p>
    <w:p w14:paraId="7D962899" w14:textId="6C0A8A8B"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Autoriteti kontraktor është përgjegjës për prokurimet me fonde publike, në përputhje me dispozitat e ligjit nr.</w:t>
      </w:r>
      <w:r w:rsidR="0037724B">
        <w:rPr>
          <w:rFonts w:ascii="Garamond" w:hAnsi="Garamond"/>
          <w:sz w:val="24"/>
          <w:szCs w:val="24"/>
        </w:rPr>
        <w:t xml:space="preserve"> </w:t>
      </w:r>
      <w:r w:rsidRPr="007C7BB8">
        <w:rPr>
          <w:rFonts w:ascii="Garamond" w:hAnsi="Garamond"/>
          <w:sz w:val="24"/>
          <w:szCs w:val="24"/>
        </w:rPr>
        <w:t>36/2020, “Për  prokurimet në fushën e mbrojtjes dhe të sigurisë” (në vijim, LPFMS), të këtyre rregullave dhe udhëzimeve të dala në bazë dhe për zbatim të tyre.</w:t>
      </w:r>
    </w:p>
    <w:p w14:paraId="04A0715E" w14:textId="77777777" w:rsidR="007C7BB8" w:rsidRPr="007C7BB8" w:rsidRDefault="007C7BB8" w:rsidP="007C7BB8">
      <w:pPr>
        <w:spacing w:after="0" w:line="240" w:lineRule="auto"/>
        <w:ind w:firstLine="284"/>
        <w:jc w:val="both"/>
        <w:rPr>
          <w:rFonts w:ascii="Garamond" w:hAnsi="Garamond"/>
          <w:sz w:val="24"/>
          <w:szCs w:val="24"/>
        </w:rPr>
      </w:pPr>
    </w:p>
    <w:p w14:paraId="1A29D953" w14:textId="77777777" w:rsidR="007C7BB8" w:rsidRPr="007C7BB8" w:rsidRDefault="007C7BB8" w:rsidP="007C7BB8">
      <w:pPr>
        <w:pStyle w:val="Neninr"/>
      </w:pPr>
      <w:r w:rsidRPr="007C7BB8">
        <w:t>Neni 2</w:t>
      </w:r>
    </w:p>
    <w:p w14:paraId="52830524" w14:textId="77777777" w:rsidR="007C7BB8" w:rsidRPr="007C7BB8" w:rsidRDefault="007C7BB8" w:rsidP="007C7BB8">
      <w:pPr>
        <w:pStyle w:val="Neninr"/>
        <w:rPr>
          <w:b/>
        </w:rPr>
      </w:pPr>
      <w:r w:rsidRPr="007C7BB8">
        <w:rPr>
          <w:b/>
        </w:rPr>
        <w:t>Prokurimi i përqendruar dhe delegimi i prokurimit</w:t>
      </w:r>
    </w:p>
    <w:p w14:paraId="07691491" w14:textId="77777777" w:rsidR="007C7BB8" w:rsidRPr="007C7BB8" w:rsidRDefault="007C7BB8" w:rsidP="007C7BB8">
      <w:pPr>
        <w:spacing w:after="0" w:line="240" w:lineRule="auto"/>
        <w:ind w:firstLine="284"/>
        <w:jc w:val="both"/>
        <w:rPr>
          <w:rFonts w:ascii="Garamond" w:hAnsi="Garamond"/>
          <w:sz w:val="24"/>
          <w:szCs w:val="24"/>
        </w:rPr>
      </w:pPr>
    </w:p>
    <w:p w14:paraId="6546B406" w14:textId="523534B3"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Në përputhje me nenin 17 të LPFMS-së dhe me qëllim realizimin dhe përdorimin më të mirë të fondeve publike, Këshilli i Ministrave mund t’ia ngarkojë rolin e organit qendror blerës një autoriteti tjetër kontraktor për blerjen e mallrave, kryerjen e punëve ose të shërbimeve të </w:t>
      </w:r>
      <w:r w:rsidRPr="007C7BB8">
        <w:rPr>
          <w:rFonts w:ascii="Garamond" w:hAnsi="Garamond"/>
          <w:sz w:val="24"/>
          <w:szCs w:val="24"/>
        </w:rPr>
        <w:lastRenderedPageBreak/>
        <w:t xml:space="preserve">njëjta, si dhe/ose lidhjen e marrëveshjes kuadër për punë, furnizime ose shërbime të caktuara, në emër dhe për llogari të institucioneve në varësi të Kryeministrit dhe ministrave. Çdo autoritet tjetër kontraktor mund të kërkojë dhe, rrjedhimisht, të bjerë dakord me organin qendror blerës për kryerjen e prokurimit në emër të tij. </w:t>
      </w:r>
    </w:p>
    <w:p w14:paraId="7ED68FC2" w14:textId="3943E67B"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Nëse disa autoritete kontraktore kanë nevojë të prokurojnë të njëjtin mall, punë ose shërbim, ata mund të bien dakord t’i caktojnë njërit prej tyre rolin e organit qendror blerës për të prokuruar në emër të tyre. Ministritë ose institucionet e tjera, që kanë në varësi disa autoritete kontraktore, mund të prokurojnë në mënyrë të përqendruar për autoritetet kontraktore të varësisë. Në këtë rast, ministrat ose institucionet e tjera, që kanë në varësi disa autoritete kontraktore, mund të përdorin blerjen e përqendruar, duke nxjerrë udhëzimet e duhura për autoritetet kontraktore të varësisë. </w:t>
      </w:r>
    </w:p>
    <w:p w14:paraId="66CE79D6" w14:textId="7CEDD76B"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Nëse një ose disa autoritete kontraktore kanë nevojë të prokurojnë mall/punë ose shërbim, ata mund të bien dakord të delegojnë të drejtën e kryerjes së procedurës së prokurimit një autoriteti tjetër kontraktor,  për shkak të kapaciteteve që ky i fundit ka në fushën e objektit të prokurimit. </w:t>
      </w:r>
    </w:p>
    <w:p w14:paraId="160A4BC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Autoriteti kontraktor, të cilit i është deleguar e drejta e prokurimit, është plotësisht përgjegjës për kryerjen e të gjithë procedurës së prokurimit, që nga njoftimi i kontratës deri te njoftimi i shpalljes së fituesit, ndërsa nënshkrimi i kontratës bëhet nga vetë autoriteti/et kontraktor/e përfitues/e. </w:t>
      </w:r>
    </w:p>
    <w:p w14:paraId="5613FF44" w14:textId="4B6E22CD"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Prokurimi i përqendruar mund të përdoret kur: </w:t>
      </w:r>
    </w:p>
    <w:p w14:paraId="78FDD32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blerja e përqendruar mundëson përfitime ekonomike, për shkak të rritjes së sasisë së mallrave, punëve ose shërbimeve homogjene dhe që ofrohen në treg me kushte të ngjashme; </w:t>
      </w:r>
    </w:p>
    <w:p w14:paraId="3C99E5D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autoriteti kontraktor, që luan rolin e organit qendror blerës, ka njohuri të mjaftueshme për artikujt që do të prokurohen. </w:t>
      </w:r>
    </w:p>
    <w:p w14:paraId="3C7CE73D" w14:textId="5B39E0EC"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5. Në bazë të një marrëveshjeje të shkruar ose të udhëzimeve administrative, organi qendror blerës kryen procedurën e prokurimit në emër të çdo autoriteti kontraktor, ndërsa ky i fundit përcakton specifikimet teknike, sasitë e punëve/mallrave/shërbimeve, që do të prokurohen, si dhe fondet përkatëse. </w:t>
      </w:r>
    </w:p>
    <w:p w14:paraId="4058195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6. Organi qendror blerës shqyrton specifikimet teknike, të dërguara nga autoritetet kontraktore. Nëse organi qendror blerës vlerëson se specifikimet teknike nuk janë përgatitur në përputhje me LPFMS-në ose mund të shkaktojnë dështim të procedurës së prokurimit, kryen rishikimin dhe modifikimin e tyre dhe njofton për këtë autoritetin kontraktor. Për mallra dhe shërbime të të njëjtit lloj, organi qendror blerës bashkërendon punën me ekspertë të fushës, të institucioneve përgjegjëse, si dhe me ekspertë të jashtëm, vendas ose të huaj, për unifikimin e specifikimeve teknike, në përputhje me standardet. </w:t>
      </w:r>
    </w:p>
    <w:p w14:paraId="7510D24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Nëse autoritetet kontraktore, në përcaktimin e të dhënave sasiore kanë marrë për bazë çmime të ndryshme për mallra dhe shërbime të të njëjtit lloj, organi qendror blerës bashkërendon punën për testimin e tregut dhe përllogarit të dhënat sasiore, sipas fondit përkatës. </w:t>
      </w:r>
    </w:p>
    <w:p w14:paraId="57149F2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7. Organi qendror blerës mund të kërkojë ndihmën e autoritetit kontraktor, si dhe duhet t’i sigurojë këtij të fundit, sa herë që e kërkon, akses të plotë në çdo informacion për procedurën e prokurimit. </w:t>
      </w:r>
    </w:p>
    <w:p w14:paraId="4D2A7FB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8. Në rastin e përdorimit të marrëveshjes kuadër, procedura e prokurimit për nënshkrimin e kësaj marrëveshjeje bëhet nga organi qendror blerës, ndërsa procedura e minikonkurrimit për të lidhur kontratë brenda marrëveshjes kuadër bëhet nga vetë autoritetet kontraktore përfituese.</w:t>
      </w:r>
    </w:p>
    <w:p w14:paraId="7272ACE7" w14:textId="77777777" w:rsidR="007C7BB8" w:rsidRPr="007C7BB8" w:rsidRDefault="007C7BB8" w:rsidP="007C7BB8">
      <w:pPr>
        <w:spacing w:after="0" w:line="240" w:lineRule="auto"/>
        <w:ind w:firstLine="284"/>
        <w:jc w:val="both"/>
        <w:rPr>
          <w:rFonts w:ascii="Garamond" w:hAnsi="Garamond"/>
          <w:sz w:val="24"/>
          <w:szCs w:val="24"/>
        </w:rPr>
      </w:pPr>
    </w:p>
    <w:p w14:paraId="34600BCF" w14:textId="77777777" w:rsidR="007C7BB8" w:rsidRPr="007C7BB8" w:rsidRDefault="007C7BB8" w:rsidP="007C7BB8">
      <w:pPr>
        <w:pStyle w:val="Neninr"/>
      </w:pPr>
      <w:r w:rsidRPr="007C7BB8">
        <w:t>Neni 3</w:t>
      </w:r>
    </w:p>
    <w:p w14:paraId="63B1E1A2" w14:textId="77777777" w:rsidR="007C7BB8" w:rsidRPr="007C7BB8" w:rsidRDefault="007C7BB8" w:rsidP="007C7BB8">
      <w:pPr>
        <w:pStyle w:val="Neninr"/>
        <w:rPr>
          <w:b/>
        </w:rPr>
      </w:pPr>
      <w:r w:rsidRPr="007C7BB8">
        <w:rPr>
          <w:b/>
        </w:rPr>
        <w:t>Publikimi i njoftimeve</w:t>
      </w:r>
    </w:p>
    <w:p w14:paraId="3A29F119" w14:textId="77777777" w:rsidR="007C7BB8" w:rsidRPr="007C7BB8" w:rsidRDefault="007C7BB8" w:rsidP="007C7BB8">
      <w:pPr>
        <w:spacing w:after="0" w:line="240" w:lineRule="auto"/>
        <w:ind w:firstLine="284"/>
        <w:jc w:val="both"/>
        <w:rPr>
          <w:rFonts w:ascii="Garamond" w:hAnsi="Garamond"/>
          <w:sz w:val="24"/>
          <w:szCs w:val="24"/>
        </w:rPr>
      </w:pPr>
    </w:p>
    <w:p w14:paraId="76131F7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Njoftimet e prokurimeve në fushën e mbrojtjes dhe të sigurisë publikohen njëkohësisht në Buletinin e Njoftimeve Publike dhe në faqen zyrtare të internetit të secilit autoritet kontraktor që </w:t>
      </w:r>
      <w:r w:rsidRPr="007C7BB8">
        <w:rPr>
          <w:rFonts w:ascii="Garamond" w:hAnsi="Garamond"/>
          <w:sz w:val="24"/>
          <w:szCs w:val="24"/>
        </w:rPr>
        <w:lastRenderedPageBreak/>
        <w:t xml:space="preserve">zhvillon procedura prokurimi në fushën e mbrojtjes dhe të sigurisë. Në Buletin/faqen zyrtare, në përputhje me LPFMS-në dhe rregullat e prokurimit në fushën e mbrojtjes dhe të sigurisë publikohet: </w:t>
      </w:r>
    </w:p>
    <w:p w14:paraId="0948FC94" w14:textId="2B328BED"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a) </w:t>
      </w:r>
      <w:r w:rsidRPr="007C7BB8">
        <w:rPr>
          <w:rFonts w:ascii="Garamond" w:hAnsi="Garamond"/>
          <w:sz w:val="24"/>
          <w:szCs w:val="24"/>
        </w:rPr>
        <w:t xml:space="preserve">njoftimi i kontratës; </w:t>
      </w:r>
    </w:p>
    <w:p w14:paraId="500E67C5" w14:textId="15BCE474"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b) </w:t>
      </w:r>
      <w:r w:rsidRPr="007C7BB8">
        <w:rPr>
          <w:rFonts w:ascii="Garamond" w:hAnsi="Garamond"/>
          <w:sz w:val="24"/>
          <w:szCs w:val="24"/>
        </w:rPr>
        <w:t xml:space="preserve">njoftimi i fituesit, njoftimi i kontratës së lidhur dhe njoftimi i anulimit; </w:t>
      </w:r>
    </w:p>
    <w:p w14:paraId="53AFDEA3" w14:textId="0A94FD8D"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c) lista e operatorëve ekonomikë të përjashtuar nga pjesëmarrja në prokurimet në fushën mbrojtjes dhe të sigurisë, si dhe arsyet e këtij përjashtimi, në përputhje me përcaktimet e nenit 13 të LPFMS-së;</w:t>
      </w:r>
    </w:p>
    <w:p w14:paraId="1CFCE68A" w14:textId="441E919F"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ç) </w:t>
      </w:r>
      <w:r w:rsidRPr="007C7BB8">
        <w:rPr>
          <w:rFonts w:ascii="Garamond" w:hAnsi="Garamond"/>
          <w:sz w:val="24"/>
          <w:szCs w:val="24"/>
        </w:rPr>
        <w:t xml:space="preserve">çdo informacion apo akt tjetër që gjykohet të nevojshëm për publikim në përputhje me LPFMS-n, ligje të tjera apo rregullat e prokurimit në fushën e mbrojtjes dhe të sigurisë. </w:t>
      </w:r>
    </w:p>
    <w:p w14:paraId="2D24EF03" w14:textId="77777777" w:rsidR="007C7BB8" w:rsidRPr="007C7BB8" w:rsidRDefault="007C7BB8" w:rsidP="007C7BB8">
      <w:pPr>
        <w:spacing w:after="0" w:line="240" w:lineRule="auto"/>
        <w:ind w:firstLine="284"/>
        <w:jc w:val="both"/>
        <w:rPr>
          <w:rFonts w:ascii="Garamond" w:hAnsi="Garamond"/>
          <w:sz w:val="24"/>
          <w:szCs w:val="24"/>
        </w:rPr>
      </w:pPr>
    </w:p>
    <w:p w14:paraId="7CF20660" w14:textId="77777777" w:rsidR="007C7BB8" w:rsidRPr="007C7BB8" w:rsidRDefault="007C7BB8" w:rsidP="007C7BB8">
      <w:pPr>
        <w:pStyle w:val="Neninr"/>
      </w:pPr>
      <w:r w:rsidRPr="007C7BB8">
        <w:t>Neni 4</w:t>
      </w:r>
    </w:p>
    <w:p w14:paraId="6BEB8B3B" w14:textId="77777777" w:rsidR="007C7BB8" w:rsidRPr="007C7BB8" w:rsidRDefault="007C7BB8" w:rsidP="007C7BB8">
      <w:pPr>
        <w:pStyle w:val="Neninr"/>
        <w:rPr>
          <w:b/>
        </w:rPr>
      </w:pPr>
      <w:r w:rsidRPr="007C7BB8">
        <w:rPr>
          <w:b/>
        </w:rPr>
        <w:t>Publikimi i njoftimit të kontratës</w:t>
      </w:r>
    </w:p>
    <w:p w14:paraId="4649481A" w14:textId="77777777" w:rsidR="007C7BB8" w:rsidRPr="007C7BB8" w:rsidRDefault="007C7BB8" w:rsidP="007C7BB8">
      <w:pPr>
        <w:spacing w:after="0" w:line="240" w:lineRule="auto"/>
        <w:ind w:firstLine="284"/>
        <w:jc w:val="both"/>
        <w:rPr>
          <w:rFonts w:ascii="Garamond" w:hAnsi="Garamond"/>
          <w:sz w:val="24"/>
          <w:szCs w:val="24"/>
        </w:rPr>
      </w:pPr>
    </w:p>
    <w:p w14:paraId="045FD60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Njoftimi i kontratës përmban të gjithë informacionin e nevojshëm që i jep mundësi operatorëve ekonomikë të vendosin, nëse do të marrin pjesë ose jo në procedurat e prokurimit. Ky informacion përfshin: emrin dhe adresën e autoritetit kontraktor; adresën elektronike të autoritetit kontraktor; objektin; procedurën e prokurimit; vlerën limit të përllogaritur të kontratës dhe kohëzgjatjen e kontratës; një përshkrim të shkurtër të kontratës dhe/ose lotet, nëse përdoren; kriteret për kualifikim dhe kriteret për uljen e numrit të kandidatëve (nëse aplikohet), kriteret e shpalljes së fituesit; kushtet e marrëveshjes kuadër; vendin, mënyrat dhe tarifën për tërheqjen e dokumenteve të tenderit, nëse kërkohet; vendin, datën dhe orën për dorëzimin e ofertave dhe hapjen e tyre; gjuhën /gjuhët e ofertave dhe të dokumenteve; informacione të mëtejshme të vlerësuara të dobishme nga autoriteti kontraktor.</w:t>
      </w:r>
    </w:p>
    <w:p w14:paraId="6BA38AEF" w14:textId="77777777" w:rsidR="007C7BB8" w:rsidRPr="007C7BB8" w:rsidRDefault="007C7BB8" w:rsidP="007C7BB8">
      <w:pPr>
        <w:spacing w:after="0" w:line="240" w:lineRule="auto"/>
        <w:ind w:firstLine="284"/>
        <w:jc w:val="both"/>
        <w:rPr>
          <w:rFonts w:ascii="Garamond" w:hAnsi="Garamond"/>
          <w:sz w:val="24"/>
          <w:szCs w:val="24"/>
        </w:rPr>
      </w:pPr>
    </w:p>
    <w:p w14:paraId="7C15E756" w14:textId="77777777" w:rsidR="007C7BB8" w:rsidRPr="007C7BB8" w:rsidRDefault="007C7BB8" w:rsidP="007C7BB8">
      <w:pPr>
        <w:pStyle w:val="Neninr"/>
      </w:pPr>
      <w:r w:rsidRPr="007C7BB8">
        <w:t>Neni 5</w:t>
      </w:r>
    </w:p>
    <w:p w14:paraId="6F58B976" w14:textId="77777777" w:rsidR="007C7BB8" w:rsidRPr="007C7BB8" w:rsidRDefault="007C7BB8" w:rsidP="007C7BB8">
      <w:pPr>
        <w:pStyle w:val="Neninr"/>
        <w:rPr>
          <w:b/>
        </w:rPr>
      </w:pPr>
      <w:r w:rsidRPr="007C7BB8">
        <w:rPr>
          <w:b/>
        </w:rPr>
        <w:t>Kufijtë monetarë</w:t>
      </w:r>
    </w:p>
    <w:p w14:paraId="39CFE15F" w14:textId="77777777" w:rsidR="007C7BB8" w:rsidRPr="007C7BB8" w:rsidRDefault="007C7BB8" w:rsidP="007C7BB8">
      <w:pPr>
        <w:spacing w:after="0" w:line="240" w:lineRule="auto"/>
        <w:ind w:firstLine="284"/>
        <w:jc w:val="both"/>
        <w:rPr>
          <w:rFonts w:ascii="Garamond" w:hAnsi="Garamond"/>
          <w:sz w:val="24"/>
          <w:szCs w:val="24"/>
        </w:rPr>
      </w:pPr>
    </w:p>
    <w:p w14:paraId="7705DCF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Në përputhje me nenin 20 të LPFMS-së, kufijtë monetarë janë: </w:t>
      </w:r>
    </w:p>
    <w:p w14:paraId="2BCBE2B2" w14:textId="266DC965"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a) </w:t>
      </w:r>
      <w:r w:rsidRPr="007C7BB8">
        <w:rPr>
          <w:rFonts w:ascii="Garamond" w:hAnsi="Garamond"/>
          <w:sz w:val="24"/>
          <w:szCs w:val="24"/>
        </w:rPr>
        <w:t xml:space="preserve">kufiri për procedurat ndërkombëtare: </w:t>
      </w:r>
    </w:p>
    <w:p w14:paraId="59579430" w14:textId="5CD3E1C2"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i. </w:t>
      </w:r>
      <w:r w:rsidRPr="007C7BB8">
        <w:rPr>
          <w:rFonts w:ascii="Garamond" w:hAnsi="Garamond"/>
          <w:sz w:val="24"/>
          <w:szCs w:val="24"/>
        </w:rPr>
        <w:t>për kontratat e  furnizimit dhe shërbimit me vlerë jo më të ulët se 50,964,400 lekë;</w:t>
      </w:r>
    </w:p>
    <w:p w14:paraId="0FDCCBC2" w14:textId="4788C6EA"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ii. </w:t>
      </w:r>
      <w:r w:rsidRPr="007C7BB8">
        <w:rPr>
          <w:rFonts w:ascii="Garamond" w:hAnsi="Garamond"/>
          <w:sz w:val="24"/>
          <w:szCs w:val="24"/>
        </w:rPr>
        <w:t>për kontratat e punëve me vlerë jo më të ulët se 6,371,787 lekë.</w:t>
      </w:r>
    </w:p>
    <w:p w14:paraId="194645C3" w14:textId="7436AD48"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b)</w:t>
      </w:r>
      <w:r>
        <w:rPr>
          <w:rFonts w:ascii="Garamond" w:hAnsi="Garamond"/>
          <w:sz w:val="24"/>
          <w:szCs w:val="24"/>
        </w:rPr>
        <w:t xml:space="preserve"> </w:t>
      </w:r>
      <w:r w:rsidRPr="007C7BB8">
        <w:rPr>
          <w:rFonts w:ascii="Garamond" w:hAnsi="Garamond"/>
          <w:sz w:val="24"/>
          <w:szCs w:val="24"/>
        </w:rPr>
        <w:t>kufiri për procedurat kombëtare:</w:t>
      </w:r>
    </w:p>
    <w:p w14:paraId="37EF0675" w14:textId="70A29246"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për të gjitha llojet e kontratave me vlerë mbi 800 000 lekë deri në kufijtë e përcaktuar në shkronjën “a”, të pikës 1 të këtij neni.</w:t>
      </w:r>
    </w:p>
    <w:p w14:paraId="537BB52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 Pavarësisht kufijve të mësipërm, autoriteti kontraktor mund të përdorë procedurat ndërkombëtare për plotësimin e nevojave të veta, në rast se ato nuk mund të ofrohen nga operatorët ekonomikë vendas, duke zbatuar përcaktimet për njoftimet, sipas këtij vendimi, referuar llojit të procedurës.</w:t>
      </w:r>
    </w:p>
    <w:p w14:paraId="05A357D9" w14:textId="27D26FA8"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Për prokurimet, vlera e përllogaritur e të cilave, brenda një viti kalendarik, është deri në 800 000 (tetëqind mijë) lekë, autoriteti kontraktor mund të përdorë procedurën e prokurimit të thjeshtuar, sipas parashikimeve në nenin 56 të këtyre rregullave. </w:t>
      </w:r>
    </w:p>
    <w:p w14:paraId="666DD794" w14:textId="77777777" w:rsidR="007C7BB8" w:rsidRPr="007C7BB8" w:rsidRDefault="007C7BB8" w:rsidP="007C7BB8">
      <w:pPr>
        <w:spacing w:after="0" w:line="240" w:lineRule="auto"/>
        <w:ind w:firstLine="284"/>
        <w:jc w:val="both"/>
        <w:rPr>
          <w:rFonts w:ascii="Garamond" w:hAnsi="Garamond"/>
          <w:sz w:val="24"/>
          <w:szCs w:val="24"/>
        </w:rPr>
      </w:pPr>
    </w:p>
    <w:p w14:paraId="1EF42800" w14:textId="77777777" w:rsidR="007C7BB8" w:rsidRPr="007C7BB8" w:rsidRDefault="007C7BB8" w:rsidP="007C7BB8">
      <w:pPr>
        <w:pStyle w:val="Neninr"/>
      </w:pPr>
      <w:r w:rsidRPr="007C7BB8">
        <w:t>Neni 6</w:t>
      </w:r>
    </w:p>
    <w:p w14:paraId="17AF5CAC" w14:textId="77777777" w:rsidR="007C7BB8" w:rsidRPr="007C7BB8" w:rsidRDefault="007C7BB8" w:rsidP="007C7BB8">
      <w:pPr>
        <w:pStyle w:val="Neninr"/>
        <w:rPr>
          <w:b/>
        </w:rPr>
      </w:pPr>
      <w:r w:rsidRPr="007C7BB8">
        <w:rPr>
          <w:b/>
        </w:rPr>
        <w:t>Përllogaritja e vlerës së kontratës</w:t>
      </w:r>
    </w:p>
    <w:p w14:paraId="3D82EFB4" w14:textId="77777777" w:rsidR="007C7BB8" w:rsidRPr="007C7BB8" w:rsidRDefault="007C7BB8" w:rsidP="007C7BB8">
      <w:pPr>
        <w:spacing w:after="0" w:line="240" w:lineRule="auto"/>
        <w:ind w:firstLine="284"/>
        <w:jc w:val="both"/>
        <w:rPr>
          <w:rFonts w:ascii="Garamond" w:hAnsi="Garamond"/>
          <w:sz w:val="24"/>
          <w:szCs w:val="24"/>
        </w:rPr>
      </w:pPr>
    </w:p>
    <w:p w14:paraId="63328F3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Vlera limit e kontratës është shuma totale, pa TVSH, e llogaritur nga autoriteti kontraktor përpara nxjerrjes së urdhrit të prokurimit. Në llogaritjen e vlerës merret parasysh edhe shuma totale që duhet paguar në rast ripërtëritjeje/rinovimit të kontratës, kur një rast i tillë është parashikuar. Kjo vlerë ka për qëllim klasifikimin e kontratës sipas kufijve monetarë. Vlera e </w:t>
      </w:r>
      <w:r w:rsidRPr="007C7BB8">
        <w:rPr>
          <w:rFonts w:ascii="Garamond" w:hAnsi="Garamond"/>
          <w:sz w:val="24"/>
          <w:szCs w:val="24"/>
        </w:rPr>
        <w:lastRenderedPageBreak/>
        <w:t xml:space="preserve">TVSH-së llogaritet si zë më vete, por nuk përfshihet në vlerën limit të publikuar në njoftimin e kontratës. TVSH-ja, kur është e zbatueshme, i shtohet vlerës së ofertës fituese për llogaritjen e vlerës totale të kontratës që do të lidhet. </w:t>
      </w:r>
    </w:p>
    <w:p w14:paraId="0BE6A3C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 Për kontratat shumëvjeçare ose kontratat me mundësi ripërtëritjeje, autoriteti kontraktor duhet të parashikojë klauzola për rishikimin e vlerës, në përputhje me inflacionin e publikuar.</w:t>
      </w:r>
    </w:p>
    <w:p w14:paraId="778D7B9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 </w:t>
      </w:r>
    </w:p>
    <w:p w14:paraId="4999C4AA" w14:textId="62ECE1B1"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3.</w:t>
      </w:r>
      <w:r w:rsidR="00AE4AD6">
        <w:rPr>
          <w:rFonts w:ascii="Garamond" w:hAnsi="Garamond"/>
          <w:sz w:val="24"/>
          <w:szCs w:val="24"/>
        </w:rPr>
        <w:t xml:space="preserve"> </w:t>
      </w:r>
      <w:r w:rsidRPr="007C7BB8">
        <w:rPr>
          <w:rFonts w:ascii="Garamond" w:hAnsi="Garamond"/>
          <w:sz w:val="24"/>
          <w:szCs w:val="24"/>
        </w:rPr>
        <w:t xml:space="preserve">Në llogaritjen e vlerës limit të kontratës, në rastin e marrëveshjes kuadër, do të përfshihet vlera e të gjitha kontratave që mund të lidhen brenda afatit të kësaj marrëveshjeje. </w:t>
      </w:r>
    </w:p>
    <w:p w14:paraId="3388ED7D" w14:textId="48A89AC5"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Autoriteti kontraktor, në rastet e procedurave të prokurimit ndërkombëtare, mund të konvertojë vlerën limit të kontratës me një monedhë të huaj, të përzgjedhur prej tij, sipas kursit zyrtar të këmbimit të Bankës së Shqipërisë, në datën në të cilën dërgohet për publikim njoftimi i kontratës. </w:t>
      </w:r>
    </w:p>
    <w:p w14:paraId="270BA1B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5. Në përllogaritjen e vlerës limit të kontratës, autoriteti kontraktor duhet t’i referohet një ose më shumë alternativave të renditura, si më poshtë: çmime zyrtare, të njohura nga institucionet përkatëse (si për shembull, nga organet tatimore a doganore, dhomat e tregtisë, në manuale, etj.) dhe/ose:</w:t>
      </w:r>
    </w:p>
    <w:p w14:paraId="6F768961" w14:textId="2FC7B34A"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w:t>
      </w:r>
      <w:r>
        <w:rPr>
          <w:rFonts w:ascii="Garamond" w:hAnsi="Garamond"/>
          <w:sz w:val="24"/>
          <w:szCs w:val="24"/>
        </w:rPr>
        <w:t xml:space="preserve"> </w:t>
      </w:r>
      <w:r w:rsidRPr="007C7BB8">
        <w:rPr>
          <w:rFonts w:ascii="Garamond" w:hAnsi="Garamond"/>
          <w:sz w:val="24"/>
          <w:szCs w:val="24"/>
        </w:rPr>
        <w:t xml:space="preserve">çmimet e tregut; </w:t>
      </w:r>
    </w:p>
    <w:p w14:paraId="318150FD" w14:textId="1B35F88C"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çmimet e kontratave të mëparshme, të realizuara nga vetë apo nga autoritete të tjera kontraktore; </w:t>
      </w:r>
    </w:p>
    <w:p w14:paraId="490CD266" w14:textId="008CE476"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c) çmimet ndërkombëtare, të shpallura publikisht. </w:t>
      </w:r>
    </w:p>
    <w:p w14:paraId="24881C98" w14:textId="349B3FE8"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6.</w:t>
      </w:r>
      <w:r w:rsidR="00AE4AD6">
        <w:rPr>
          <w:rFonts w:ascii="Garamond" w:hAnsi="Garamond"/>
          <w:sz w:val="24"/>
          <w:szCs w:val="24"/>
        </w:rPr>
        <w:t xml:space="preserve"> </w:t>
      </w:r>
      <w:r w:rsidRPr="007C7BB8">
        <w:rPr>
          <w:rFonts w:ascii="Garamond" w:hAnsi="Garamond"/>
          <w:sz w:val="24"/>
          <w:szCs w:val="24"/>
        </w:rPr>
        <w:t>Autoriteti kontraktor, përpara nxjerrjes së urdhrit të prokurimit, duhet të:</w:t>
      </w:r>
    </w:p>
    <w:p w14:paraId="4DB049CE" w14:textId="7E751448"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a) </w:t>
      </w:r>
      <w:r w:rsidRPr="007C7BB8">
        <w:rPr>
          <w:rFonts w:ascii="Garamond" w:hAnsi="Garamond"/>
          <w:sz w:val="24"/>
          <w:szCs w:val="24"/>
        </w:rPr>
        <w:t>argumentojë dhe të dokumentojë përllogaritjen e vlerës së kontratës, bazuar në specifikimet teknike të objektit që prokurohet;</w:t>
      </w:r>
    </w:p>
    <w:p w14:paraId="7F0C496F" w14:textId="6C980AC2"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marrë konfirmim nga Ministria e Financave dhe Ekonomisë që fondet, të cilat synohen të prokurohen, janë brenda limitit të miratuar për angazhime. </w:t>
      </w:r>
    </w:p>
    <w:p w14:paraId="156A3338" w14:textId="77777777" w:rsidR="007C7BB8" w:rsidRPr="007C7BB8" w:rsidRDefault="007C7BB8" w:rsidP="007C7BB8">
      <w:pPr>
        <w:spacing w:after="0" w:line="240" w:lineRule="auto"/>
        <w:ind w:firstLine="284"/>
        <w:jc w:val="both"/>
        <w:rPr>
          <w:rFonts w:ascii="Garamond" w:hAnsi="Garamond"/>
          <w:sz w:val="24"/>
          <w:szCs w:val="24"/>
        </w:rPr>
      </w:pPr>
    </w:p>
    <w:p w14:paraId="263BA39E" w14:textId="77777777" w:rsidR="007C7BB8" w:rsidRPr="007C7BB8" w:rsidRDefault="007C7BB8" w:rsidP="007C7BB8">
      <w:pPr>
        <w:pStyle w:val="Neninr"/>
      </w:pPr>
      <w:r w:rsidRPr="007C7BB8">
        <w:t>KREU II</w:t>
      </w:r>
    </w:p>
    <w:p w14:paraId="5900A7AF" w14:textId="77777777" w:rsidR="007C7BB8" w:rsidRPr="007C7BB8" w:rsidRDefault="007C7BB8" w:rsidP="007C7BB8">
      <w:pPr>
        <w:pStyle w:val="Neninr"/>
      </w:pPr>
      <w:r w:rsidRPr="007C7BB8">
        <w:t>DOKUMENTET E TENDERIT</w:t>
      </w:r>
    </w:p>
    <w:p w14:paraId="092DC2C3" w14:textId="77777777" w:rsidR="007C7BB8" w:rsidRPr="007C7BB8" w:rsidRDefault="007C7BB8" w:rsidP="007C7BB8">
      <w:pPr>
        <w:pStyle w:val="Neninr"/>
      </w:pPr>
    </w:p>
    <w:p w14:paraId="3B9572AE" w14:textId="77777777" w:rsidR="007C7BB8" w:rsidRPr="007C7BB8" w:rsidRDefault="007C7BB8" w:rsidP="007C7BB8">
      <w:pPr>
        <w:pStyle w:val="Neninr"/>
      </w:pPr>
      <w:r w:rsidRPr="007C7BB8">
        <w:t>Neni 7</w:t>
      </w:r>
    </w:p>
    <w:p w14:paraId="6F5D4DC2" w14:textId="77777777" w:rsidR="007C7BB8" w:rsidRPr="007C7BB8" w:rsidRDefault="007C7BB8" w:rsidP="007C7BB8">
      <w:pPr>
        <w:pStyle w:val="Neninr"/>
        <w:rPr>
          <w:b/>
        </w:rPr>
      </w:pPr>
      <w:r w:rsidRPr="007C7BB8">
        <w:rPr>
          <w:b/>
        </w:rPr>
        <w:t>Dokumentet standarde të tenderit</w:t>
      </w:r>
    </w:p>
    <w:p w14:paraId="697CEF6E" w14:textId="77777777" w:rsidR="007C7BB8" w:rsidRPr="007C7BB8" w:rsidRDefault="007C7BB8" w:rsidP="007C7BB8">
      <w:pPr>
        <w:spacing w:after="0" w:line="240" w:lineRule="auto"/>
        <w:ind w:firstLine="284"/>
        <w:jc w:val="both"/>
        <w:rPr>
          <w:rFonts w:ascii="Garamond" w:hAnsi="Garamond"/>
          <w:b/>
          <w:sz w:val="24"/>
          <w:szCs w:val="24"/>
        </w:rPr>
      </w:pPr>
    </w:p>
    <w:p w14:paraId="78FA34C9" w14:textId="1FE1B761"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Pr="007C7BB8">
        <w:rPr>
          <w:rFonts w:ascii="Garamond" w:hAnsi="Garamond"/>
          <w:sz w:val="24"/>
          <w:szCs w:val="24"/>
        </w:rPr>
        <w:t>APP-ja, në bashkëpunim me Ministrinë e Mbrojtjes, përgatit formatin e dokumenteve standarde të tenderit, që do të përdoren gjatë procedurave të prokurimit në fushën e mbrojtjes dhe të sigurisë. Këto dokumente japin informacion që ka lidhje me objektin e kontratës dhe llojin e procedurës, i cili plotësohet, në çdo rast, nga autoritetet kontraktore. Dokumentet standarde të tenderit miratohen me vendim të drejtorit të Përgjithshëm të APP-së dhe publikohen në faqen e internetit të APP-së.</w:t>
      </w:r>
    </w:p>
    <w:p w14:paraId="60531D7C" w14:textId="37B157A3"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2. </w:t>
      </w:r>
      <w:r w:rsidRPr="007C7BB8">
        <w:rPr>
          <w:rFonts w:ascii="Garamond" w:hAnsi="Garamond"/>
          <w:sz w:val="24"/>
          <w:szCs w:val="24"/>
        </w:rPr>
        <w:t xml:space="preserve">Gjatë përgatitjes së dokumenteve të tenderit, autoriteti kontraktor përdor dokumentet standarde, sipas përcaktimit në këto rregulla prokurimi, dhe i vë në dispozicion falas në rrugë elektronike (nëpërmjet kërkesës dërguar nga operatori ekonomik në adresën elektronike të vënë në dispozicion nga autoriteti kontraktor ose nëpërmjet një kompakt disku, sipas kërkesës) ose kundrejt pagesës, në rastet kur vlerësohet nga autoriteti kontraktor. </w:t>
      </w:r>
    </w:p>
    <w:p w14:paraId="6F9F0FC9" w14:textId="77777777" w:rsidR="007C7BB8" w:rsidRPr="007C7BB8" w:rsidRDefault="007C7BB8" w:rsidP="007C7BB8">
      <w:pPr>
        <w:spacing w:after="0" w:line="240" w:lineRule="auto"/>
        <w:ind w:firstLine="284"/>
        <w:jc w:val="both"/>
        <w:rPr>
          <w:rFonts w:ascii="Garamond" w:hAnsi="Garamond"/>
          <w:sz w:val="24"/>
          <w:szCs w:val="24"/>
        </w:rPr>
      </w:pPr>
    </w:p>
    <w:p w14:paraId="442D87E2" w14:textId="77777777" w:rsidR="007C7BB8" w:rsidRPr="007C7BB8" w:rsidRDefault="007C7BB8" w:rsidP="007C7BB8">
      <w:pPr>
        <w:pStyle w:val="Neninr"/>
      </w:pPr>
      <w:r w:rsidRPr="007C7BB8">
        <w:t>Neni 8</w:t>
      </w:r>
    </w:p>
    <w:p w14:paraId="21C2B84E" w14:textId="77777777" w:rsidR="007C7BB8" w:rsidRPr="007C7BB8" w:rsidRDefault="007C7BB8" w:rsidP="007C7BB8">
      <w:pPr>
        <w:pStyle w:val="Neninr"/>
        <w:rPr>
          <w:b/>
        </w:rPr>
      </w:pPr>
      <w:r w:rsidRPr="007C7BB8">
        <w:rPr>
          <w:b/>
        </w:rPr>
        <w:t>Përmbajtja e dokumenteve standarde të tenderit</w:t>
      </w:r>
    </w:p>
    <w:p w14:paraId="46253B96" w14:textId="77777777" w:rsidR="007C7BB8" w:rsidRPr="007C7BB8" w:rsidRDefault="007C7BB8" w:rsidP="007C7BB8">
      <w:pPr>
        <w:spacing w:after="0" w:line="240" w:lineRule="auto"/>
        <w:ind w:firstLine="284"/>
        <w:jc w:val="both"/>
        <w:rPr>
          <w:rFonts w:ascii="Garamond" w:hAnsi="Garamond"/>
          <w:sz w:val="24"/>
          <w:szCs w:val="24"/>
        </w:rPr>
      </w:pPr>
    </w:p>
    <w:p w14:paraId="1D6BCCA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 xml:space="preserve">1. Dokumentet standarde të tenderit për procedurat e prokurimit në fushën e mbrojtjes dhe të sigurisë përmbajnë informacionin e përgjithshëm dhe informacionin specifik. </w:t>
      </w:r>
    </w:p>
    <w:p w14:paraId="4E2CF60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Informacioni i përgjithshëm përgatitet sipas formularëve përkatës, pjesë e dokumenteve standarde të tenderit. Ky informacion përfshin të paktën: </w:t>
      </w:r>
    </w:p>
    <w:p w14:paraId="43EE4BD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njoftimin e kontratës; </w:t>
      </w:r>
    </w:p>
    <w:p w14:paraId="27E09F1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b) ftesën për ofertë;</w:t>
      </w:r>
    </w:p>
    <w:p w14:paraId="6F443EB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c) deklaratën për ofertë të pavarur; </w:t>
      </w:r>
    </w:p>
    <w:p w14:paraId="282630D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ç) udhëzimet për kandidatët/ofertuesit; </w:t>
      </w:r>
    </w:p>
    <w:p w14:paraId="5C2CA3D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d) kriteret e përgjithshme të kualifikimit/pjesëmarrjes; </w:t>
      </w:r>
    </w:p>
    <w:p w14:paraId="3795382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dh) formularin për deklarimin e konfliktit të interesit;</w:t>
      </w:r>
    </w:p>
    <w:p w14:paraId="7297347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e) formularin e informacionit konfidencial; </w:t>
      </w:r>
    </w:p>
    <w:p w14:paraId="2DC470F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ë) deklaratën për zbatimin e kërkesave të legjislacionit të punës;</w:t>
      </w:r>
    </w:p>
    <w:p w14:paraId="642F060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f) ofertën ekonomike; </w:t>
      </w:r>
    </w:p>
    <w:p w14:paraId="7B081BC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g) sigurimin e ofertës; </w:t>
      </w:r>
    </w:p>
    <w:p w14:paraId="011D9EB2" w14:textId="03170CA2"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gj)</w:t>
      </w:r>
      <w:r w:rsidR="004868CD">
        <w:rPr>
          <w:rFonts w:ascii="Garamond" w:hAnsi="Garamond"/>
          <w:sz w:val="24"/>
          <w:szCs w:val="24"/>
        </w:rPr>
        <w:t xml:space="preserve"> </w:t>
      </w:r>
      <w:r w:rsidRPr="007C7BB8">
        <w:rPr>
          <w:rFonts w:ascii="Garamond" w:hAnsi="Garamond"/>
          <w:sz w:val="24"/>
          <w:szCs w:val="24"/>
        </w:rPr>
        <w:t xml:space="preserve">njoftimin e skualifikimit të ofertuesve/kandidatëve; </w:t>
      </w:r>
    </w:p>
    <w:p w14:paraId="685DD59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h) formularin e ankesës; </w:t>
      </w:r>
    </w:p>
    <w:p w14:paraId="72D74A1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i) njoftimin e fituesit; </w:t>
      </w:r>
    </w:p>
    <w:p w14:paraId="4842F41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j) kushtet e përgjithshme dhe kushtet e veçanta të kontratës. </w:t>
      </w:r>
    </w:p>
    <w:p w14:paraId="4B9A904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k) modelin e marrëveshjes kuadër;</w:t>
      </w:r>
    </w:p>
    <w:p w14:paraId="039E256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l) sigurimin e kontratës; </w:t>
      </w:r>
    </w:p>
    <w:p w14:paraId="650C9A15" w14:textId="0D7728F9"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ll)</w:t>
      </w:r>
      <w:r>
        <w:rPr>
          <w:rFonts w:ascii="Garamond" w:hAnsi="Garamond"/>
          <w:sz w:val="24"/>
          <w:szCs w:val="24"/>
        </w:rPr>
        <w:t xml:space="preserve"> </w:t>
      </w:r>
      <w:r w:rsidRPr="007C7BB8">
        <w:rPr>
          <w:rFonts w:ascii="Garamond" w:hAnsi="Garamond"/>
          <w:sz w:val="24"/>
          <w:szCs w:val="24"/>
        </w:rPr>
        <w:t>njoftimin e kontratës së lidhur;</w:t>
      </w:r>
    </w:p>
    <w:p w14:paraId="2F7FF909" w14:textId="4C45DD19"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m)</w:t>
      </w:r>
      <w:r>
        <w:rPr>
          <w:rFonts w:ascii="Garamond" w:hAnsi="Garamond"/>
          <w:sz w:val="24"/>
          <w:szCs w:val="24"/>
        </w:rPr>
        <w:t xml:space="preserve"> </w:t>
      </w:r>
      <w:r w:rsidRPr="007C7BB8">
        <w:rPr>
          <w:rFonts w:ascii="Garamond" w:hAnsi="Garamond"/>
          <w:sz w:val="24"/>
          <w:szCs w:val="24"/>
        </w:rPr>
        <w:t xml:space="preserve">njoftimin e anulimit të procedurës. </w:t>
      </w:r>
    </w:p>
    <w:p w14:paraId="18DE830D" w14:textId="4F526745"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w:t>
      </w:r>
      <w:r w:rsidR="00581160">
        <w:rPr>
          <w:rFonts w:ascii="Garamond" w:hAnsi="Garamond"/>
          <w:sz w:val="24"/>
          <w:szCs w:val="24"/>
        </w:rPr>
        <w:t>I</w:t>
      </w:r>
      <w:r w:rsidRPr="007C7BB8">
        <w:rPr>
          <w:rFonts w:ascii="Garamond" w:hAnsi="Garamond"/>
          <w:sz w:val="24"/>
          <w:szCs w:val="24"/>
        </w:rPr>
        <w:t>nformacioni specifik përmban informacion për kontratat e punëve, mallrave dhe shërbimeve:</w:t>
      </w:r>
    </w:p>
    <w:p w14:paraId="2A64B1F0" w14:textId="0FE9C5B1"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Informacioni specifik për kontratat e punëve përfshin të paktën: </w:t>
      </w:r>
    </w:p>
    <w:p w14:paraId="660AEC90" w14:textId="1651E11C"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i. </w:t>
      </w:r>
      <w:r w:rsidRPr="007C7BB8">
        <w:rPr>
          <w:rFonts w:ascii="Garamond" w:hAnsi="Garamond"/>
          <w:sz w:val="24"/>
          <w:szCs w:val="24"/>
        </w:rPr>
        <w:t xml:space="preserve">projektin dhe specifikimet; </w:t>
      </w:r>
    </w:p>
    <w:p w14:paraId="4C223DA2" w14:textId="4A31F18A"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ii. </w:t>
      </w:r>
      <w:r w:rsidRPr="007C7BB8">
        <w:rPr>
          <w:rFonts w:ascii="Garamond" w:hAnsi="Garamond"/>
          <w:sz w:val="24"/>
          <w:szCs w:val="24"/>
        </w:rPr>
        <w:t xml:space="preserve">preventivin e hollësishëm dhe kostot; </w:t>
      </w:r>
    </w:p>
    <w:p w14:paraId="58A34A37" w14:textId="790C05E8"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iii. </w:t>
      </w:r>
      <w:r w:rsidRPr="007C7BB8">
        <w:rPr>
          <w:rFonts w:ascii="Garamond" w:hAnsi="Garamond"/>
          <w:sz w:val="24"/>
          <w:szCs w:val="24"/>
        </w:rPr>
        <w:t xml:space="preserve">grafikun e zbatimit; </w:t>
      </w:r>
    </w:p>
    <w:p w14:paraId="0B62FC12" w14:textId="5D4BA01F"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iv. </w:t>
      </w:r>
      <w:r w:rsidRPr="007C7BB8">
        <w:rPr>
          <w:rFonts w:ascii="Garamond" w:hAnsi="Garamond"/>
          <w:sz w:val="24"/>
          <w:szCs w:val="24"/>
        </w:rPr>
        <w:t xml:space="preserve">kërkesat e veçanta për kualifikim dhe kriteret e shpalljes së fituesit. </w:t>
      </w:r>
    </w:p>
    <w:p w14:paraId="42E9257A" w14:textId="394AB56E"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Informacioni specifik për kontratat e mallrave përfshin të paktën: </w:t>
      </w:r>
    </w:p>
    <w:p w14:paraId="58C1DE15" w14:textId="021F1395"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i. </w:t>
      </w:r>
      <w:r w:rsidRPr="007C7BB8">
        <w:rPr>
          <w:rFonts w:ascii="Garamond" w:hAnsi="Garamond"/>
          <w:sz w:val="24"/>
          <w:szCs w:val="24"/>
        </w:rPr>
        <w:t xml:space="preserve">specifikimet teknike; </w:t>
      </w:r>
    </w:p>
    <w:p w14:paraId="2071B581" w14:textId="7D3EEDB4"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ii. </w:t>
      </w:r>
      <w:r w:rsidRPr="007C7BB8">
        <w:rPr>
          <w:rFonts w:ascii="Garamond" w:hAnsi="Garamond"/>
          <w:sz w:val="24"/>
          <w:szCs w:val="24"/>
        </w:rPr>
        <w:t xml:space="preserve">grafikun e lëvrimit; </w:t>
      </w:r>
    </w:p>
    <w:p w14:paraId="454CE297" w14:textId="72320388" w:rsidR="007C7BB8" w:rsidRPr="007C7BB8" w:rsidRDefault="007C7BB8" w:rsidP="007C7BB8">
      <w:pPr>
        <w:spacing w:after="0" w:line="240" w:lineRule="auto"/>
        <w:ind w:firstLine="284"/>
        <w:jc w:val="both"/>
        <w:rPr>
          <w:rFonts w:ascii="Garamond" w:hAnsi="Garamond"/>
          <w:sz w:val="24"/>
          <w:szCs w:val="24"/>
        </w:rPr>
      </w:pPr>
      <w:r>
        <w:rPr>
          <w:rFonts w:ascii="Garamond" w:hAnsi="Garamond"/>
          <w:sz w:val="24"/>
          <w:szCs w:val="24"/>
        </w:rPr>
        <w:t xml:space="preserve">iii. </w:t>
      </w:r>
      <w:r w:rsidRPr="007C7BB8">
        <w:rPr>
          <w:rFonts w:ascii="Garamond" w:hAnsi="Garamond"/>
          <w:sz w:val="24"/>
          <w:szCs w:val="24"/>
        </w:rPr>
        <w:t xml:space="preserve">kërkesat e veçanta për kualifikim dhe kriteret e shpalljes së fituesit. </w:t>
      </w:r>
    </w:p>
    <w:p w14:paraId="055E425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c) Informacioni specifik për kontratat e shërbimeve përfshin të paktën: </w:t>
      </w:r>
    </w:p>
    <w:p w14:paraId="0C23B6A3" w14:textId="3B33B162"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i. </w:t>
      </w:r>
      <w:r w:rsidR="007C7BB8" w:rsidRPr="007C7BB8">
        <w:rPr>
          <w:rFonts w:ascii="Garamond" w:hAnsi="Garamond"/>
          <w:sz w:val="24"/>
          <w:szCs w:val="24"/>
        </w:rPr>
        <w:t xml:space="preserve">termat e referencës; </w:t>
      </w:r>
    </w:p>
    <w:p w14:paraId="51223313" w14:textId="3DD748CF"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ii. </w:t>
      </w:r>
      <w:r w:rsidR="007C7BB8" w:rsidRPr="007C7BB8">
        <w:rPr>
          <w:rFonts w:ascii="Garamond" w:hAnsi="Garamond"/>
          <w:sz w:val="24"/>
          <w:szCs w:val="24"/>
        </w:rPr>
        <w:t xml:space="preserve">grafikun e ekzekutimit; </w:t>
      </w:r>
    </w:p>
    <w:p w14:paraId="280E5205" w14:textId="07111521"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iii. </w:t>
      </w:r>
      <w:r w:rsidR="007C7BB8" w:rsidRPr="007C7BB8">
        <w:rPr>
          <w:rFonts w:ascii="Garamond" w:hAnsi="Garamond"/>
          <w:sz w:val="24"/>
          <w:szCs w:val="24"/>
        </w:rPr>
        <w:t xml:space="preserve">kërkesat për personelin kryesor; </w:t>
      </w:r>
    </w:p>
    <w:p w14:paraId="486D55CB" w14:textId="356443FE"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iv. </w:t>
      </w:r>
      <w:r w:rsidR="007C7BB8" w:rsidRPr="007C7BB8">
        <w:rPr>
          <w:rFonts w:ascii="Garamond" w:hAnsi="Garamond"/>
          <w:sz w:val="24"/>
          <w:szCs w:val="24"/>
        </w:rPr>
        <w:t xml:space="preserve">kërkesat e veçanta për kualifikim dhe kriteret e shpalljes së fituesit. </w:t>
      </w:r>
    </w:p>
    <w:p w14:paraId="25812DA1" w14:textId="77777777" w:rsidR="007C7BB8" w:rsidRPr="007C7BB8" w:rsidRDefault="007C7BB8" w:rsidP="007C7BB8">
      <w:pPr>
        <w:spacing w:after="0" w:line="240" w:lineRule="auto"/>
        <w:ind w:firstLine="284"/>
        <w:jc w:val="both"/>
        <w:rPr>
          <w:rFonts w:ascii="Garamond" w:hAnsi="Garamond"/>
          <w:sz w:val="24"/>
          <w:szCs w:val="24"/>
        </w:rPr>
      </w:pPr>
    </w:p>
    <w:p w14:paraId="67C04E01" w14:textId="77777777" w:rsidR="007C7BB8" w:rsidRPr="007C7BB8" w:rsidRDefault="007C7BB8" w:rsidP="00C5117E">
      <w:pPr>
        <w:pStyle w:val="Neninr"/>
      </w:pPr>
      <w:r w:rsidRPr="007C7BB8">
        <w:t>SEKSIONI I</w:t>
      </w:r>
    </w:p>
    <w:p w14:paraId="577D785E" w14:textId="77777777" w:rsidR="007C7BB8" w:rsidRPr="007C7BB8" w:rsidRDefault="007C7BB8" w:rsidP="00C5117E">
      <w:pPr>
        <w:pStyle w:val="Neninr"/>
      </w:pPr>
      <w:r w:rsidRPr="007C7BB8">
        <w:t>INFORMACION I PËRGJITHSHËM</w:t>
      </w:r>
    </w:p>
    <w:p w14:paraId="037F9F98" w14:textId="77777777" w:rsidR="007C7BB8" w:rsidRPr="007C7BB8" w:rsidRDefault="007C7BB8" w:rsidP="00C5117E">
      <w:pPr>
        <w:pStyle w:val="Neninr"/>
      </w:pPr>
    </w:p>
    <w:p w14:paraId="521A3DD8" w14:textId="77777777" w:rsidR="007C7BB8" w:rsidRPr="007C7BB8" w:rsidRDefault="007C7BB8" w:rsidP="00C5117E">
      <w:pPr>
        <w:pStyle w:val="Neninr"/>
      </w:pPr>
      <w:r w:rsidRPr="007C7BB8">
        <w:t>Neni 9</w:t>
      </w:r>
    </w:p>
    <w:p w14:paraId="53C36714" w14:textId="77777777" w:rsidR="007C7BB8" w:rsidRPr="00C5117E" w:rsidRDefault="007C7BB8" w:rsidP="00C5117E">
      <w:pPr>
        <w:pStyle w:val="Neninr"/>
        <w:rPr>
          <w:b/>
        </w:rPr>
      </w:pPr>
      <w:r w:rsidRPr="00C5117E">
        <w:rPr>
          <w:b/>
        </w:rPr>
        <w:t xml:space="preserve">Ftesa për ofertë </w:t>
      </w:r>
    </w:p>
    <w:p w14:paraId="0A563B6B" w14:textId="77777777" w:rsidR="007C7BB8" w:rsidRPr="007C7BB8" w:rsidRDefault="007C7BB8" w:rsidP="007C7BB8">
      <w:pPr>
        <w:spacing w:after="0" w:line="240" w:lineRule="auto"/>
        <w:ind w:firstLine="284"/>
        <w:jc w:val="both"/>
        <w:rPr>
          <w:rFonts w:ascii="Garamond" w:hAnsi="Garamond"/>
          <w:sz w:val="24"/>
          <w:szCs w:val="24"/>
        </w:rPr>
      </w:pPr>
    </w:p>
    <w:p w14:paraId="2932207C" w14:textId="6291392B"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Ftesa për ofertë u dërgohet vetëm kandidatëve të përzgjedhur në fazën e parë të kualifikimit, përmes procedurës së prokurimit me faza, sipas parashikimeve të nenit 30 të LPFSM-së. Ajo përmban të gjithë informacionin e nevojshëm, në mënyrë që t’u mundësojë kandidatëve të përzgjedhur të dorëzojnë ofertat e tyre.</w:t>
      </w:r>
    </w:p>
    <w:p w14:paraId="56BE509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Ky informacion përfshin, përveç të tjerash, edhe: </w:t>
      </w:r>
    </w:p>
    <w:p w14:paraId="20409BDC" w14:textId="337D779B"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007C7BB8" w:rsidRPr="007C7BB8">
        <w:rPr>
          <w:rFonts w:ascii="Garamond" w:hAnsi="Garamond"/>
          <w:sz w:val="24"/>
          <w:szCs w:val="24"/>
        </w:rPr>
        <w:t xml:space="preserve">një referencë për njoftimin e kontratës; </w:t>
      </w:r>
    </w:p>
    <w:p w14:paraId="69A80543" w14:textId="32BA4A97"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b) </w:t>
      </w:r>
      <w:r w:rsidR="007C7BB8" w:rsidRPr="007C7BB8">
        <w:rPr>
          <w:rFonts w:ascii="Garamond" w:hAnsi="Garamond"/>
          <w:sz w:val="24"/>
          <w:szCs w:val="24"/>
        </w:rPr>
        <w:t>një referencë për akses të dokumenteve të tenderit dhe të dokumenteve të tjera, të përcaktuara më sipër me rrugë elektronike, si p.sh: adresa elektronike, tek e cila kandidatët mund të dërgojnë kërkesën për marrjen e këtyre dokumenteve ose mundësia e dërgimit të dokumenteve nëpërmjet kompakt disqeve;</w:t>
      </w:r>
    </w:p>
    <w:p w14:paraId="6DDEB9F9" w14:textId="2FCC416C"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c) </w:t>
      </w:r>
      <w:r w:rsidR="007C7BB8" w:rsidRPr="007C7BB8">
        <w:rPr>
          <w:rFonts w:ascii="Garamond" w:hAnsi="Garamond"/>
          <w:sz w:val="24"/>
          <w:szCs w:val="24"/>
        </w:rPr>
        <w:t>kriteret e shpalljes së fituesit;</w:t>
      </w:r>
    </w:p>
    <w:p w14:paraId="14916F1C" w14:textId="7BCA1144"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ç) </w:t>
      </w:r>
      <w:r w:rsidR="007C7BB8" w:rsidRPr="007C7BB8">
        <w:rPr>
          <w:rFonts w:ascii="Garamond" w:hAnsi="Garamond"/>
          <w:sz w:val="24"/>
          <w:szCs w:val="24"/>
        </w:rPr>
        <w:t xml:space="preserve">peshën dhe renditjen sipas përparësisë të kritereve të vendosura për përcaktimin e ofertës fituese, në rastin e ofertës ekonomikisht më të favorshme; </w:t>
      </w:r>
    </w:p>
    <w:p w14:paraId="2A603D25" w14:textId="12055FB5"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d) </w:t>
      </w:r>
      <w:r w:rsidR="007C7BB8" w:rsidRPr="007C7BB8">
        <w:rPr>
          <w:rFonts w:ascii="Garamond" w:hAnsi="Garamond"/>
          <w:sz w:val="24"/>
          <w:szCs w:val="24"/>
        </w:rPr>
        <w:t>kushtet e marrëveshjes kuadër, nëse është rasti;</w:t>
      </w:r>
    </w:p>
    <w:p w14:paraId="4916823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dh) afatin e fundit për pranimin e ofertave, adresën në të cilën duhet të dërgohen ofertat dhe gjuhën/gjuhët, në të cilat duhet të hartohet oferta;</w:t>
      </w:r>
    </w:p>
    <w:p w14:paraId="7F8E66A5" w14:textId="73355BEC"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e) </w:t>
      </w:r>
      <w:r w:rsidR="007C7BB8" w:rsidRPr="007C7BB8">
        <w:rPr>
          <w:rFonts w:ascii="Garamond" w:hAnsi="Garamond"/>
          <w:sz w:val="24"/>
          <w:szCs w:val="24"/>
        </w:rPr>
        <w:t xml:space="preserve">gjuhën/gjuhët e ofertave dhe të dokumenteve; </w:t>
      </w:r>
    </w:p>
    <w:p w14:paraId="1504D30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ë) informacione të mëtejshme që autoriteti kontraktor i vlerëson të nevojshme.</w:t>
      </w:r>
    </w:p>
    <w:p w14:paraId="60D5FD12" w14:textId="61145D46"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2. </w:t>
      </w:r>
      <w:r w:rsidR="007C7BB8" w:rsidRPr="007C7BB8">
        <w:rPr>
          <w:rFonts w:ascii="Garamond" w:hAnsi="Garamond"/>
          <w:sz w:val="24"/>
          <w:szCs w:val="24"/>
        </w:rPr>
        <w:t xml:space="preserve">Ftesës për ofertë i bashkëngjitet një kopje e dokumenteve të tenderit ose dokumente shpjeguese dhe çdo dokument tjetër mbështetës. </w:t>
      </w:r>
    </w:p>
    <w:p w14:paraId="0C5A79E1" w14:textId="77777777" w:rsidR="007C7BB8" w:rsidRPr="007C7BB8" w:rsidRDefault="007C7BB8" w:rsidP="007C7BB8">
      <w:pPr>
        <w:spacing w:after="0" w:line="240" w:lineRule="auto"/>
        <w:ind w:firstLine="284"/>
        <w:jc w:val="both"/>
        <w:rPr>
          <w:rFonts w:ascii="Garamond" w:hAnsi="Garamond"/>
          <w:sz w:val="24"/>
          <w:szCs w:val="24"/>
        </w:rPr>
      </w:pPr>
    </w:p>
    <w:p w14:paraId="06025428" w14:textId="77777777" w:rsidR="007C7BB8" w:rsidRPr="007C7BB8" w:rsidRDefault="007C7BB8" w:rsidP="00C5117E">
      <w:pPr>
        <w:pStyle w:val="Neninr"/>
      </w:pPr>
      <w:r w:rsidRPr="007C7BB8">
        <w:t>Neni 10</w:t>
      </w:r>
    </w:p>
    <w:p w14:paraId="2263247A" w14:textId="77777777" w:rsidR="007C7BB8" w:rsidRPr="00C5117E" w:rsidRDefault="007C7BB8" w:rsidP="00C5117E">
      <w:pPr>
        <w:pStyle w:val="Neninr"/>
        <w:rPr>
          <w:b/>
        </w:rPr>
      </w:pPr>
      <w:r w:rsidRPr="00C5117E">
        <w:rPr>
          <w:b/>
        </w:rPr>
        <w:t>Udhëzimet për ofertuesit/kandidatët</w:t>
      </w:r>
    </w:p>
    <w:p w14:paraId="507B1AA9" w14:textId="77777777" w:rsidR="007C7BB8" w:rsidRPr="007C7BB8" w:rsidRDefault="007C7BB8" w:rsidP="007C7BB8">
      <w:pPr>
        <w:spacing w:after="0" w:line="240" w:lineRule="auto"/>
        <w:ind w:firstLine="284"/>
        <w:jc w:val="both"/>
        <w:rPr>
          <w:rFonts w:ascii="Garamond" w:hAnsi="Garamond"/>
          <w:sz w:val="24"/>
          <w:szCs w:val="24"/>
        </w:rPr>
      </w:pPr>
    </w:p>
    <w:p w14:paraId="1DBAA408" w14:textId="654B4009"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për procedurat e prokurimit në fushën e mbrojtjes dhe të sigurisë, pa bërë asnjë ndryshim. </w:t>
      </w:r>
    </w:p>
    <w:p w14:paraId="004957FD" w14:textId="792C4CA6"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Në rastin e procedurave të prokurimit ndërkombëtare, dokumentet e tenderit duhet të hartohen në gjuhët shqip dhe anglisht. Operatorët ekonomikë mund të paraqesin ofertat e tyre në gjuhët shqip ose anglisht. Në procedurat e prokurimit kombëtare, gjuha e përdorur është gjuha shqipe. </w:t>
      </w:r>
    </w:p>
    <w:p w14:paraId="49774A4D" w14:textId="43E77EF7"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3. </w:t>
      </w:r>
      <w:r w:rsidR="007C7BB8" w:rsidRPr="007C7BB8">
        <w:rPr>
          <w:rFonts w:ascii="Garamond" w:hAnsi="Garamond"/>
          <w:sz w:val="24"/>
          <w:szCs w:val="24"/>
        </w:rPr>
        <w:t xml:space="preserve">Në udhëzime duhet të përcaktohet që, nëse autoriteti kontraktor vlerëson të nevojshme një vizitë në terren/objekt, atëherë të gjithë operatorët ekonomikë të interesuar për të marrë pjesë në tender duhet të kenë mundësi të barabarta për të vëzhguar terrenin e punës/ekzekutimit. Gjithashtu, jo më vonë se 7 (shtatë) ditë nga përfundimi i afatit për dorëzimin e ofertave, autoriteti kontraktor mund të organizojë një konferencë paraprake (edhe në rastin e mallrave), ku të gjithë kandidatët të mund të kërkojnë sqarime për paqartësitë që u lindin gjatë përgatitjes së dokumenteve. </w:t>
      </w:r>
    </w:p>
    <w:p w14:paraId="05F08E3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Kërkesat për sqarime duhet të paraqiten me shkrim dhe përgjigjet përkatëse të autoritetit kontraktor duhet t’u dërgohen, pa përjashtim, të gjithë operatorëve ekonomikë që kanë kërkuar dokumentet e tenderit. </w:t>
      </w:r>
    </w:p>
    <w:p w14:paraId="41D3B51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Çdo ndryshim në dokumentet e tenderit duhet t’i bëhet i njohur çdo operatori ekonomik të interesuar, në përputhje me nenin 30 të LPFMS-së dhe me këto rregulla. </w:t>
      </w:r>
    </w:p>
    <w:p w14:paraId="44609F8D" w14:textId="22FEA25F"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5. Gjatë përgatitjes së ofertave, kandidatët ose ofertuesit duhet të përfshijnë të gjitha detyrimet fiskale, që janë në fuqi deri në 28 (njëzet e tetë) ditë para hapjes së ofertave, me përjashtim të TVSH-së, e cila, nëse është e aplikueshme, do të llogaritet mbi vlerën e ofertës. </w:t>
      </w:r>
    </w:p>
    <w:p w14:paraId="25EF543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6. Ofertat ekonomike të dhëna nga ofertuesi duhet të jenë të fiksuara përgjatë ekzekutimit të kontratës dhe nuk duhet t’i nënshtrohen asnjë ndryshimi. </w:t>
      </w:r>
    </w:p>
    <w:p w14:paraId="668F4E3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Nëse, pas datës së dorëzimit të ofertave ose datës së nënshkrimit të kontratës, ndonjë ligj ose akt nënligjor në Republikën e Shqipërisë hyn në fuqi ose ndryshon dhe ndikon kushtet, duke përfshirë datën e dorëzimit ose çmimin e kontratës, kushtet ose çmimi i kontratës do të rregullohen në atë masë sa kontraktuesi është ndikuar në përmbushjen e detyrimeve të tij sipas kontratës. </w:t>
      </w:r>
    </w:p>
    <w:p w14:paraId="2862AA4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 xml:space="preserve">Oferta e paraqitur me çmim të ndryshueshëm do të refuzohet nga autoriteti kontraktor si e papranueshme. </w:t>
      </w:r>
    </w:p>
    <w:p w14:paraId="5B58D24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7. Periudha e vlefshmërisë së ofertës fillon që nga momenti i hapjes së ofertave. Në çdo rast, të paktën 5 (pesë) ditë përpara përfundimit të afatit kohor për vlefshmërinë e ofertave, autoriteti kontraktor mund t’i kërkojë ofertuesit, me shkrim, të zgjasë periudhën e vlefshmërisë, deri në një datë të caktuar. Ofertuesi mund ta refuzojë këtë kërkesë me shkrim pa humbur të drejtën për rimbursim të sigurimit të ofertës, kur ka një tillë. Ofertuesi që bie dakord të zgjasë periudhën e vlefshmërisë së ofertës njofton autoritetin kontraktor me shkrim dhe paraqet një sigurim oferte të zgjatur, nëse ka pasur një të tillë. Oferta nuk mund të modifikohet. Nëse ofertuesi nuk i përgjigjet kërkesës së autoritetit kontraktor, lidhur me zgjatjen e periudhës së vlefshmërisë së ofertës, ose nuk e pranon kërkesën në fjalë, ose nuk paraqet një sigurim të zgjatur të ofertës, kur kërkohet, atëherë autoriteti kontraktor do të refuzojë ofertën. </w:t>
      </w:r>
    </w:p>
    <w:p w14:paraId="43E90ED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Nëse procedura e prokurimit është e pezulluar, koha e pezullimit nuk llogaritet në periudhën e vlefshmërisë së ofertës. </w:t>
      </w:r>
    </w:p>
    <w:p w14:paraId="5EEA3E77" w14:textId="77777777" w:rsidR="007C7BB8" w:rsidRPr="007C7BB8" w:rsidRDefault="007C7BB8" w:rsidP="007C7BB8">
      <w:pPr>
        <w:spacing w:after="0" w:line="240" w:lineRule="auto"/>
        <w:ind w:firstLine="284"/>
        <w:jc w:val="both"/>
        <w:rPr>
          <w:rFonts w:ascii="Garamond" w:hAnsi="Garamond"/>
          <w:sz w:val="24"/>
          <w:szCs w:val="24"/>
        </w:rPr>
      </w:pPr>
    </w:p>
    <w:p w14:paraId="5B6B5390" w14:textId="77777777" w:rsidR="007C7BB8" w:rsidRPr="007C7BB8" w:rsidRDefault="007C7BB8" w:rsidP="00C5117E">
      <w:pPr>
        <w:pStyle w:val="Neninr"/>
      </w:pPr>
      <w:r w:rsidRPr="007C7BB8">
        <w:t>Neni 11</w:t>
      </w:r>
    </w:p>
    <w:p w14:paraId="3F71B093" w14:textId="77777777" w:rsidR="007C7BB8" w:rsidRPr="00C5117E" w:rsidRDefault="007C7BB8" w:rsidP="00C5117E">
      <w:pPr>
        <w:pStyle w:val="Neninr"/>
        <w:rPr>
          <w:b/>
        </w:rPr>
      </w:pPr>
      <w:r w:rsidRPr="00C5117E">
        <w:rPr>
          <w:b/>
        </w:rPr>
        <w:t>Kriteret e përgjithshme të kualifikimit/pjesëmarrjes</w:t>
      </w:r>
    </w:p>
    <w:p w14:paraId="078FDB83" w14:textId="77777777" w:rsidR="007C7BB8" w:rsidRPr="007C7BB8" w:rsidRDefault="007C7BB8" w:rsidP="007C7BB8">
      <w:pPr>
        <w:spacing w:after="0" w:line="240" w:lineRule="auto"/>
        <w:ind w:firstLine="284"/>
        <w:jc w:val="both"/>
        <w:rPr>
          <w:rFonts w:ascii="Garamond" w:hAnsi="Garamond"/>
          <w:sz w:val="24"/>
          <w:szCs w:val="24"/>
        </w:rPr>
      </w:pPr>
    </w:p>
    <w:p w14:paraId="34E4D77B" w14:textId="1DA7EBC8"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Përmbushja e një ose disa kritereve të kualifikimit/pjesëmarrjes, sipas parashikimeve të nenit 37 të LPFMS-së, mund të realizohet nëpërmjet paraqitjes së dokumenteve të kërkuara dhe/ose vetëdeklarimeve  me shkrim nga ana e kandidatit ose ofertuesit.</w:t>
      </w:r>
    </w:p>
    <w:p w14:paraId="7965AD96" w14:textId="2197186A"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2. </w:t>
      </w:r>
      <w:r w:rsidR="007C7BB8" w:rsidRPr="007C7BB8">
        <w:rPr>
          <w:rFonts w:ascii="Garamond" w:hAnsi="Garamond"/>
          <w:sz w:val="24"/>
          <w:szCs w:val="24"/>
        </w:rPr>
        <w:t>Në dokumentet e tenderit duhet të përcaktohen qartë kriteret e kualifikimit/pjesëmarrjes, të cilat do të plotësohen me vetëdeklarim. Vetëdeklarimi bëhet nën përgjegjësinë e plotë të kandidatit ose ofertuesit.</w:t>
      </w:r>
    </w:p>
    <w:p w14:paraId="30080196" w14:textId="3C906CB4"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3. </w:t>
      </w:r>
      <w:r w:rsidR="007C7BB8" w:rsidRPr="007C7BB8">
        <w:rPr>
          <w:rFonts w:ascii="Garamond" w:hAnsi="Garamond"/>
          <w:sz w:val="24"/>
          <w:szCs w:val="24"/>
        </w:rPr>
        <w:t xml:space="preserve">Në rast se ka dyshime për vërtetësinë e këtij deklarimi, autoriteti kontraktor ka të drejtë të kryejë verifikimet e nevojshme. </w:t>
      </w:r>
    </w:p>
    <w:p w14:paraId="3E31AC76" w14:textId="77777777" w:rsidR="007C7BB8" w:rsidRPr="007C7BB8" w:rsidRDefault="007C7BB8" w:rsidP="007C7BB8">
      <w:pPr>
        <w:spacing w:after="0" w:line="240" w:lineRule="auto"/>
        <w:ind w:firstLine="284"/>
        <w:jc w:val="both"/>
        <w:rPr>
          <w:rFonts w:ascii="Garamond" w:hAnsi="Garamond"/>
          <w:sz w:val="24"/>
          <w:szCs w:val="24"/>
        </w:rPr>
      </w:pPr>
    </w:p>
    <w:p w14:paraId="12B203F6" w14:textId="77777777" w:rsidR="007C7BB8" w:rsidRPr="007C7BB8" w:rsidRDefault="007C7BB8" w:rsidP="00C5117E">
      <w:pPr>
        <w:pStyle w:val="Neninr"/>
      </w:pPr>
      <w:r w:rsidRPr="007C7BB8">
        <w:t>Neni 12</w:t>
      </w:r>
    </w:p>
    <w:p w14:paraId="524EA6B8" w14:textId="77777777" w:rsidR="007C7BB8" w:rsidRPr="00C5117E" w:rsidRDefault="007C7BB8" w:rsidP="00C5117E">
      <w:pPr>
        <w:pStyle w:val="Neninr"/>
        <w:rPr>
          <w:b/>
        </w:rPr>
      </w:pPr>
      <w:r w:rsidRPr="00C5117E">
        <w:rPr>
          <w:b/>
        </w:rPr>
        <w:t>Deklarimi i konfliktit të interesit dhe informacioni konfidencial</w:t>
      </w:r>
    </w:p>
    <w:p w14:paraId="2E5EBD15" w14:textId="77777777" w:rsidR="007C7BB8" w:rsidRPr="007C7BB8" w:rsidRDefault="007C7BB8" w:rsidP="00C5117E">
      <w:pPr>
        <w:pStyle w:val="Neninr"/>
      </w:pPr>
    </w:p>
    <w:p w14:paraId="0388991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Ky deklarim garanton autoritetin kontraktor që ofertuesit/kandidatët nuk ndodhen në kushtet e konfliktit të interesit. Ai përmban të dhënat personale të ofertuesit/kandidatit dhe grupet e personave që konsiderohen si persona në konflikt interesi, sipas legjislacionit përkatës në fuqi. </w:t>
      </w:r>
    </w:p>
    <w:p w14:paraId="3BA69F8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Nëpërmjet listës së informacionit konfidencial, kandidati/ofertuesi deklaron informacionin tregtar që kërkon të mbahet konfidencial. </w:t>
      </w:r>
    </w:p>
    <w:p w14:paraId="02420C62" w14:textId="77777777" w:rsidR="007C7BB8" w:rsidRPr="007C7BB8" w:rsidRDefault="007C7BB8" w:rsidP="007C7BB8">
      <w:pPr>
        <w:spacing w:after="0" w:line="240" w:lineRule="auto"/>
        <w:ind w:firstLine="284"/>
        <w:jc w:val="both"/>
        <w:rPr>
          <w:rFonts w:ascii="Garamond" w:hAnsi="Garamond"/>
          <w:sz w:val="24"/>
          <w:szCs w:val="24"/>
        </w:rPr>
      </w:pPr>
    </w:p>
    <w:p w14:paraId="3AE1AA06" w14:textId="77777777" w:rsidR="007C7BB8" w:rsidRPr="007C7BB8" w:rsidRDefault="007C7BB8" w:rsidP="00C5117E">
      <w:pPr>
        <w:pStyle w:val="Neninr"/>
      </w:pPr>
      <w:r w:rsidRPr="007C7BB8">
        <w:t>Neni 13</w:t>
      </w:r>
    </w:p>
    <w:p w14:paraId="7E447847" w14:textId="77777777" w:rsidR="007C7BB8" w:rsidRPr="00C5117E" w:rsidRDefault="007C7BB8" w:rsidP="00C5117E">
      <w:pPr>
        <w:pStyle w:val="Neninr"/>
        <w:rPr>
          <w:b/>
        </w:rPr>
      </w:pPr>
      <w:r w:rsidRPr="00C5117E">
        <w:rPr>
          <w:b/>
        </w:rPr>
        <w:t>Oferta ekonomike</w:t>
      </w:r>
    </w:p>
    <w:p w14:paraId="23C7334E" w14:textId="77777777" w:rsidR="007C7BB8" w:rsidRPr="007C7BB8" w:rsidRDefault="007C7BB8" w:rsidP="007C7BB8">
      <w:pPr>
        <w:spacing w:after="0" w:line="240" w:lineRule="auto"/>
        <w:ind w:firstLine="284"/>
        <w:jc w:val="both"/>
        <w:rPr>
          <w:rFonts w:ascii="Garamond" w:hAnsi="Garamond"/>
          <w:sz w:val="24"/>
          <w:szCs w:val="24"/>
        </w:rPr>
      </w:pPr>
    </w:p>
    <w:p w14:paraId="2C08066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Oferta ekonomike përmban vlerën e ofertës. Kësaj oferte i bashkëlidhet një listë e hollësishme çmimesh. </w:t>
      </w:r>
    </w:p>
    <w:p w14:paraId="4AE9CFA4" w14:textId="77777777" w:rsidR="007C7BB8" w:rsidRPr="007C7BB8" w:rsidRDefault="007C7BB8" w:rsidP="007C7BB8">
      <w:pPr>
        <w:spacing w:after="0" w:line="240" w:lineRule="auto"/>
        <w:ind w:firstLine="284"/>
        <w:jc w:val="both"/>
        <w:rPr>
          <w:rFonts w:ascii="Garamond" w:hAnsi="Garamond"/>
          <w:sz w:val="24"/>
          <w:szCs w:val="24"/>
        </w:rPr>
      </w:pPr>
    </w:p>
    <w:p w14:paraId="06CFB1F4" w14:textId="77777777" w:rsidR="007C7BB8" w:rsidRPr="007C7BB8" w:rsidRDefault="007C7BB8" w:rsidP="00C5117E">
      <w:pPr>
        <w:pStyle w:val="Neninr"/>
      </w:pPr>
      <w:r w:rsidRPr="007C7BB8">
        <w:t>Neni 14</w:t>
      </w:r>
    </w:p>
    <w:p w14:paraId="68EA9C47" w14:textId="77777777" w:rsidR="007C7BB8" w:rsidRPr="00C5117E" w:rsidRDefault="007C7BB8" w:rsidP="00C5117E">
      <w:pPr>
        <w:pStyle w:val="Neninr"/>
        <w:rPr>
          <w:b/>
        </w:rPr>
      </w:pPr>
      <w:r w:rsidRPr="00C5117E">
        <w:rPr>
          <w:b/>
        </w:rPr>
        <w:t xml:space="preserve">Sigurimi i ofertës </w:t>
      </w:r>
    </w:p>
    <w:p w14:paraId="0B7A4A4E" w14:textId="77777777" w:rsidR="007C7BB8" w:rsidRPr="007C7BB8" w:rsidRDefault="007C7BB8" w:rsidP="007C7BB8">
      <w:pPr>
        <w:spacing w:after="0" w:line="240" w:lineRule="auto"/>
        <w:ind w:firstLine="284"/>
        <w:jc w:val="both"/>
        <w:rPr>
          <w:rFonts w:ascii="Garamond" w:hAnsi="Garamond"/>
          <w:sz w:val="24"/>
          <w:szCs w:val="24"/>
        </w:rPr>
      </w:pPr>
    </w:p>
    <w:p w14:paraId="6D814523" w14:textId="0BA71933"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Sigurimi i ofertës, i cili kërkohet në çdo rast, shërben si masë mbrojtëse për autoritetin kontraktor, në rastet e ofertave të papërgjegjshme apo të tërheqjes së ofertave në mënyrë të njëanshme, pas hapjes së tyre apo refuzimit të nënshkrimit të kontratës. </w:t>
      </w:r>
    </w:p>
    <w:p w14:paraId="0695344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 xml:space="preserve">2. Sigurimi i ofertës ka formën e një depozite apo garancie, të lëshuar nga një bankë ose një shoqëri sigurimi, e licencuar në përputhje me legjislacionin në fuqi. </w:t>
      </w:r>
    </w:p>
    <w:p w14:paraId="5E93D51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Ofertuesit ose kandidatët e kualifikuar duhet të paraqesin sigurimin e ofertës, në vlerën 2% të vlerës së përllogaritur të kontratës (fond limit), të përcaktuar në dokumentet e tenderit. Në dokumentet e tenderit duhet të parashikohet një periudhë vlefshmërie, bazuar në kohëzgjatjen e mundshme të procedurës. Sigurimi i ofertës duhet të jetë i vlefshëm gjatë gjithë kësaj periudhe. </w:t>
      </w:r>
    </w:p>
    <w:p w14:paraId="1E21EF8A" w14:textId="247E6AE8"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Lëshuesi i sigurimit të ofertës duhet: </w:t>
      </w:r>
    </w:p>
    <w:p w14:paraId="745FD835" w14:textId="20D814A9"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të mos vendosë asnjë kusht për pagimin; </w:t>
      </w:r>
    </w:p>
    <w:p w14:paraId="1BF667E3" w14:textId="1C9D4AB9"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të paguajë shumën brenda 15 ditëve nga data e marrjes së kërkesës zyrtare të autoritetit kontraktor. </w:t>
      </w:r>
    </w:p>
    <w:p w14:paraId="21B2CAC7" w14:textId="59485EF1"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5. Autoriteti kontraktor duhet t’ua kthejë apo t’ua lirojë ofertuesve sigurimin e ofertës, jo më vonë se 15 ditë nga data e nënshkrimit të kontratës. </w:t>
      </w:r>
    </w:p>
    <w:p w14:paraId="6319F268" w14:textId="77777777" w:rsidR="007C7BB8" w:rsidRPr="007C7BB8" w:rsidRDefault="007C7BB8" w:rsidP="007C7BB8">
      <w:pPr>
        <w:spacing w:after="0" w:line="240" w:lineRule="auto"/>
        <w:ind w:firstLine="284"/>
        <w:jc w:val="both"/>
        <w:rPr>
          <w:rFonts w:ascii="Garamond" w:hAnsi="Garamond"/>
          <w:sz w:val="24"/>
          <w:szCs w:val="24"/>
        </w:rPr>
      </w:pPr>
    </w:p>
    <w:p w14:paraId="75756FDF" w14:textId="77777777" w:rsidR="007C7BB8" w:rsidRPr="007C7BB8" w:rsidRDefault="007C7BB8" w:rsidP="00C5117E">
      <w:pPr>
        <w:pStyle w:val="Neninr"/>
      </w:pPr>
      <w:r w:rsidRPr="007C7BB8">
        <w:t>Neni 15</w:t>
      </w:r>
    </w:p>
    <w:p w14:paraId="3551B406" w14:textId="77777777" w:rsidR="007C7BB8" w:rsidRPr="00C5117E" w:rsidRDefault="007C7BB8" w:rsidP="00C5117E">
      <w:pPr>
        <w:pStyle w:val="Neninr"/>
        <w:rPr>
          <w:b/>
        </w:rPr>
      </w:pPr>
      <w:r w:rsidRPr="00C5117E">
        <w:rPr>
          <w:b/>
        </w:rPr>
        <w:t>Njoftimi i skualifikimit të ofertuesve/kandidatëve</w:t>
      </w:r>
    </w:p>
    <w:p w14:paraId="1A742751" w14:textId="77777777" w:rsidR="007C7BB8" w:rsidRPr="007C7BB8" w:rsidRDefault="007C7BB8" w:rsidP="007C7BB8">
      <w:pPr>
        <w:spacing w:after="0" w:line="240" w:lineRule="auto"/>
        <w:ind w:firstLine="284"/>
        <w:jc w:val="both"/>
        <w:rPr>
          <w:rFonts w:ascii="Garamond" w:hAnsi="Garamond"/>
          <w:sz w:val="24"/>
          <w:szCs w:val="24"/>
        </w:rPr>
      </w:pPr>
    </w:p>
    <w:p w14:paraId="75151FC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Ky njoftim përmban arsyet e skualifikimit të një ofertuesi apo kandidati në një procedurë prokurimi, në bazë të kërkesave të parashikuara në nenet 33 dhe 38 të LPFMS-së. </w:t>
      </w:r>
    </w:p>
    <w:p w14:paraId="4671B8FD" w14:textId="77777777" w:rsidR="007C7BB8" w:rsidRPr="007C7BB8" w:rsidRDefault="007C7BB8" w:rsidP="007C7BB8">
      <w:pPr>
        <w:spacing w:after="0" w:line="240" w:lineRule="auto"/>
        <w:ind w:firstLine="284"/>
        <w:jc w:val="both"/>
        <w:rPr>
          <w:rFonts w:ascii="Garamond" w:hAnsi="Garamond"/>
          <w:sz w:val="24"/>
          <w:szCs w:val="24"/>
        </w:rPr>
      </w:pPr>
    </w:p>
    <w:p w14:paraId="13D2A0B3" w14:textId="77777777" w:rsidR="007C7BB8" w:rsidRPr="007C7BB8" w:rsidRDefault="007C7BB8" w:rsidP="00C5117E">
      <w:pPr>
        <w:pStyle w:val="Neninr"/>
      </w:pPr>
      <w:r w:rsidRPr="007C7BB8">
        <w:t>Neni 16</w:t>
      </w:r>
    </w:p>
    <w:p w14:paraId="126B9DE4" w14:textId="77777777" w:rsidR="007C7BB8" w:rsidRPr="00C5117E" w:rsidRDefault="007C7BB8" w:rsidP="00C5117E">
      <w:pPr>
        <w:pStyle w:val="Neninr"/>
        <w:rPr>
          <w:b/>
        </w:rPr>
      </w:pPr>
      <w:r w:rsidRPr="00C5117E">
        <w:rPr>
          <w:b/>
        </w:rPr>
        <w:t>Njoftimi i fituesit</w:t>
      </w:r>
    </w:p>
    <w:p w14:paraId="4594E368" w14:textId="77777777" w:rsidR="007C7BB8" w:rsidRPr="007C7BB8" w:rsidRDefault="007C7BB8" w:rsidP="007C7BB8">
      <w:pPr>
        <w:spacing w:after="0" w:line="240" w:lineRule="auto"/>
        <w:ind w:firstLine="284"/>
        <w:jc w:val="both"/>
        <w:rPr>
          <w:rFonts w:ascii="Garamond" w:hAnsi="Garamond"/>
          <w:sz w:val="24"/>
          <w:szCs w:val="24"/>
        </w:rPr>
      </w:pPr>
    </w:p>
    <w:p w14:paraId="7BE4F3B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Njoftimi i fituesit duhet të përmbajë: </w:t>
      </w:r>
    </w:p>
    <w:p w14:paraId="289465A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emrin dhe adresën e ofertuesit të shpallur fitues; </w:t>
      </w:r>
    </w:p>
    <w:p w14:paraId="600CA80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përshkrimin e punëve/mallrave/shërbimeve; </w:t>
      </w:r>
    </w:p>
    <w:p w14:paraId="609832F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c) kohëzgjatjen e kontratës dhe çmimin/vlerën e kontratës; </w:t>
      </w:r>
    </w:p>
    <w:p w14:paraId="49E8470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ç) emrat dhe çmimet/vlerën e ofertuesve të tjerë; </w:t>
      </w:r>
    </w:p>
    <w:p w14:paraId="6EF9F02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d) emrat e ofertuesve të skualifikuar dhe arsyet e skualifikimit; </w:t>
      </w:r>
    </w:p>
    <w:p w14:paraId="057FA1E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dh) informacion, nëse ka pasur ankesa, si dhe </w:t>
      </w:r>
    </w:p>
    <w:p w14:paraId="0C72CD3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e) kërkesën që kontrata të nënshkruhet, me kusht që të jetë bërë sigurimi i saj. </w:t>
      </w:r>
    </w:p>
    <w:p w14:paraId="704D8CEC" w14:textId="486F252F"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Autoriteti kontraktor do të ftojë operatorin ekonomik të shpallur fitues që të lidhë kontratën, pas shqyrtimit të ankesave (nëse ka) dhe në çdo rast, pas përfundimit të afateve për ushtrimin e së drejtës së ankimit, sipas përcaktimeve të nenit 54 të LPFMS-së. Operatori ekonomik i shpallur fitues është i detyruar t’i përgjigjet kërkesës së autoritetit kontraktor për lidhjen e kontratës brenda 5 (pesë) ditëve nga data e marrjes së kërkesës. </w:t>
      </w:r>
    </w:p>
    <w:p w14:paraId="082BFC4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Njoftimi i fituesit për marrëveshjen kuadër duhet të përmbajë: </w:t>
      </w:r>
    </w:p>
    <w:p w14:paraId="2FE83DA4" w14:textId="6BFC7904"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w:t>
      </w:r>
      <w:r w:rsidR="00C5117E">
        <w:rPr>
          <w:rFonts w:ascii="Garamond" w:hAnsi="Garamond"/>
          <w:sz w:val="24"/>
          <w:szCs w:val="24"/>
        </w:rPr>
        <w:t xml:space="preserve"> </w:t>
      </w:r>
      <w:r w:rsidRPr="007C7BB8">
        <w:rPr>
          <w:rFonts w:ascii="Garamond" w:hAnsi="Garamond"/>
          <w:sz w:val="24"/>
          <w:szCs w:val="24"/>
        </w:rPr>
        <w:t xml:space="preserve">emrin dhe adresën e ofertuesit/ofertuesve të shpallur fitues; </w:t>
      </w:r>
    </w:p>
    <w:p w14:paraId="7B9177EB" w14:textId="67B8E7A8"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b)</w:t>
      </w:r>
      <w:r w:rsidR="00C5117E">
        <w:rPr>
          <w:rFonts w:ascii="Garamond" w:hAnsi="Garamond"/>
          <w:sz w:val="24"/>
          <w:szCs w:val="24"/>
        </w:rPr>
        <w:t xml:space="preserve"> </w:t>
      </w:r>
      <w:r w:rsidRPr="007C7BB8">
        <w:rPr>
          <w:rFonts w:ascii="Garamond" w:hAnsi="Garamond"/>
          <w:sz w:val="24"/>
          <w:szCs w:val="24"/>
        </w:rPr>
        <w:t xml:space="preserve">përshkrimin e punëve/mallrave/shërbimeve, si dhe kohëzgjatjen e marrëveshjes kuadër. </w:t>
      </w:r>
    </w:p>
    <w:p w14:paraId="16B26D2E" w14:textId="77777777" w:rsidR="007C7BB8" w:rsidRPr="007C7BB8" w:rsidRDefault="007C7BB8" w:rsidP="007C7BB8">
      <w:pPr>
        <w:spacing w:after="0" w:line="240" w:lineRule="auto"/>
        <w:ind w:firstLine="284"/>
        <w:jc w:val="both"/>
        <w:rPr>
          <w:rFonts w:ascii="Garamond" w:hAnsi="Garamond"/>
          <w:sz w:val="24"/>
          <w:szCs w:val="24"/>
        </w:rPr>
      </w:pPr>
    </w:p>
    <w:p w14:paraId="56134C76" w14:textId="77777777" w:rsidR="007C7BB8" w:rsidRPr="007C7BB8" w:rsidRDefault="007C7BB8" w:rsidP="00C5117E">
      <w:pPr>
        <w:pStyle w:val="Neninr"/>
      </w:pPr>
      <w:r w:rsidRPr="007C7BB8">
        <w:t>Neni 17</w:t>
      </w:r>
    </w:p>
    <w:p w14:paraId="3D692109" w14:textId="77777777" w:rsidR="007C7BB8" w:rsidRPr="00C5117E" w:rsidRDefault="007C7BB8" w:rsidP="00C5117E">
      <w:pPr>
        <w:pStyle w:val="Neninr"/>
        <w:rPr>
          <w:b/>
        </w:rPr>
      </w:pPr>
      <w:r w:rsidRPr="00C5117E">
        <w:rPr>
          <w:b/>
        </w:rPr>
        <w:t>Kushtet e përgjithshme dhe të veçanta të kontratës</w:t>
      </w:r>
    </w:p>
    <w:p w14:paraId="05252BC4" w14:textId="77777777" w:rsidR="007C7BB8" w:rsidRPr="007C7BB8" w:rsidRDefault="007C7BB8" w:rsidP="007C7BB8">
      <w:pPr>
        <w:spacing w:after="0" w:line="240" w:lineRule="auto"/>
        <w:ind w:firstLine="284"/>
        <w:jc w:val="both"/>
        <w:rPr>
          <w:rFonts w:ascii="Garamond" w:hAnsi="Garamond"/>
          <w:sz w:val="24"/>
          <w:szCs w:val="24"/>
        </w:rPr>
      </w:pPr>
    </w:p>
    <w:p w14:paraId="7E0CBB5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Kushtet e përgjithshme dhe të veçanta të kontratës përkufizojnë tërësinë e punëve që do të kryhen, të gjitha mallrat apo shërbimet që do të furnizohen, të drejtat dhe detyrimet ndërmjet autoritetit kontraktor dhe kontraktorit, si dhe detyrimet për përmbushjen, mbikëqyrjen dhe administrimin e kontratës, duke përfshirë edhe administrimin e informacionit të klasifikuar, sipas legjislacionit në fuqi. </w:t>
      </w:r>
    </w:p>
    <w:p w14:paraId="497C0133" w14:textId="77777777" w:rsidR="007C7BB8" w:rsidRPr="007C7BB8" w:rsidRDefault="007C7BB8" w:rsidP="007C7BB8">
      <w:pPr>
        <w:spacing w:after="0" w:line="240" w:lineRule="auto"/>
        <w:ind w:firstLine="284"/>
        <w:jc w:val="both"/>
        <w:rPr>
          <w:rFonts w:ascii="Garamond" w:hAnsi="Garamond"/>
          <w:sz w:val="24"/>
          <w:szCs w:val="24"/>
        </w:rPr>
      </w:pPr>
    </w:p>
    <w:p w14:paraId="3546E076" w14:textId="77777777" w:rsidR="007C7BB8" w:rsidRPr="007C7BB8" w:rsidRDefault="007C7BB8" w:rsidP="00C5117E">
      <w:pPr>
        <w:pStyle w:val="Neninr"/>
      </w:pPr>
      <w:r w:rsidRPr="007C7BB8">
        <w:t>Neni 18</w:t>
      </w:r>
    </w:p>
    <w:p w14:paraId="7B1DEE06" w14:textId="77777777" w:rsidR="007C7BB8" w:rsidRPr="00C5117E" w:rsidRDefault="007C7BB8" w:rsidP="00C5117E">
      <w:pPr>
        <w:pStyle w:val="Neninr"/>
        <w:rPr>
          <w:b/>
        </w:rPr>
      </w:pPr>
      <w:r w:rsidRPr="00C5117E">
        <w:rPr>
          <w:b/>
        </w:rPr>
        <w:t>Sigurimi i kontratës</w:t>
      </w:r>
    </w:p>
    <w:p w14:paraId="4641503E" w14:textId="77777777" w:rsidR="007C7BB8" w:rsidRPr="007C7BB8" w:rsidRDefault="007C7BB8" w:rsidP="007C7BB8">
      <w:pPr>
        <w:spacing w:after="0" w:line="240" w:lineRule="auto"/>
        <w:ind w:firstLine="284"/>
        <w:jc w:val="both"/>
        <w:rPr>
          <w:rFonts w:ascii="Garamond" w:hAnsi="Garamond"/>
          <w:sz w:val="24"/>
          <w:szCs w:val="24"/>
        </w:rPr>
      </w:pPr>
    </w:p>
    <w:p w14:paraId="52B0424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5A62428E" w14:textId="3B9C129D"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Gjatë ekzekutimit, nëse janë parashikuar pagesa periodike, sipas grafikut të zbatimit të kontratës, kontraktori mund të kërkojë reduktimin e përqindjes së vlerës së sigurimit në mënyrë përpjesëtimore, por jo më pak se 25% të vlerës korrespondouese të sigurimit të kontratës. </w:t>
      </w:r>
    </w:p>
    <w:p w14:paraId="4A3CF442" w14:textId="6D82F12A"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w:t>
      </w:r>
    </w:p>
    <w:p w14:paraId="1F7357B4" w14:textId="77777777" w:rsidR="007C7BB8" w:rsidRPr="007C7BB8" w:rsidRDefault="007C7BB8" w:rsidP="007C7BB8">
      <w:pPr>
        <w:spacing w:after="0" w:line="240" w:lineRule="auto"/>
        <w:ind w:firstLine="284"/>
        <w:jc w:val="both"/>
        <w:rPr>
          <w:rFonts w:ascii="Garamond" w:hAnsi="Garamond"/>
          <w:sz w:val="24"/>
          <w:szCs w:val="24"/>
        </w:rPr>
      </w:pPr>
    </w:p>
    <w:p w14:paraId="26F8520F" w14:textId="77777777" w:rsidR="007C7BB8" w:rsidRPr="007C7BB8" w:rsidRDefault="007C7BB8" w:rsidP="00C5117E">
      <w:pPr>
        <w:pStyle w:val="Neninr"/>
      </w:pPr>
      <w:r w:rsidRPr="007C7BB8">
        <w:t>Neni 19</w:t>
      </w:r>
    </w:p>
    <w:p w14:paraId="1F70CFBC" w14:textId="77777777" w:rsidR="007C7BB8" w:rsidRPr="00C075F5" w:rsidRDefault="007C7BB8" w:rsidP="00C5117E">
      <w:pPr>
        <w:pStyle w:val="Neninr"/>
        <w:rPr>
          <w:b/>
        </w:rPr>
      </w:pPr>
      <w:r w:rsidRPr="00C075F5">
        <w:rPr>
          <w:b/>
        </w:rPr>
        <w:t>Njoftimi i kontratës së lidhur</w:t>
      </w:r>
    </w:p>
    <w:p w14:paraId="45DE214F" w14:textId="77777777" w:rsidR="007C7BB8" w:rsidRPr="007C7BB8" w:rsidRDefault="007C7BB8" w:rsidP="00C5117E">
      <w:pPr>
        <w:pStyle w:val="Neninr"/>
      </w:pPr>
    </w:p>
    <w:p w14:paraId="75B0AE8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1. Autoriteti kontraktor publikon njoftimin e kontratës së lidhur në të njëjtën mënyrë sikurse është publikuar njoftimi i kontratës, brenda 5 ditëve nga lidhja e kontratës.</w:t>
      </w:r>
    </w:p>
    <w:p w14:paraId="733510E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Njoftimi duhet të përmbajë: </w:t>
      </w:r>
    </w:p>
    <w:p w14:paraId="7615DC3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emrin e autoritetit kontraktor; </w:t>
      </w:r>
    </w:p>
    <w:p w14:paraId="3FAD6B7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b) të dhënat për operatorin ekonomik të shpallur fitues;</w:t>
      </w:r>
    </w:p>
    <w:p w14:paraId="7B01880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c) përshkrimin e punëve/mallrave/shërbimeve, çmimin dhe kohëzgjatjen e kontratës. </w:t>
      </w:r>
    </w:p>
    <w:p w14:paraId="04CC6AC9" w14:textId="77777777" w:rsidR="007C7BB8" w:rsidRPr="007C7BB8" w:rsidRDefault="007C7BB8" w:rsidP="007C7BB8">
      <w:pPr>
        <w:spacing w:after="0" w:line="240" w:lineRule="auto"/>
        <w:ind w:firstLine="284"/>
        <w:jc w:val="both"/>
        <w:rPr>
          <w:rFonts w:ascii="Garamond" w:hAnsi="Garamond"/>
          <w:sz w:val="24"/>
          <w:szCs w:val="24"/>
        </w:rPr>
      </w:pPr>
    </w:p>
    <w:p w14:paraId="31294669" w14:textId="77777777" w:rsidR="007C7BB8" w:rsidRPr="007C7BB8" w:rsidRDefault="007C7BB8" w:rsidP="00C5117E">
      <w:pPr>
        <w:pStyle w:val="Neninr"/>
      </w:pPr>
      <w:r w:rsidRPr="007C7BB8">
        <w:t>Neni 20</w:t>
      </w:r>
    </w:p>
    <w:p w14:paraId="177EF620" w14:textId="77777777" w:rsidR="007C7BB8" w:rsidRPr="00C075F5" w:rsidRDefault="007C7BB8" w:rsidP="00C5117E">
      <w:pPr>
        <w:pStyle w:val="Neninr"/>
        <w:rPr>
          <w:b/>
        </w:rPr>
      </w:pPr>
      <w:r w:rsidRPr="00C075F5">
        <w:rPr>
          <w:b/>
        </w:rPr>
        <w:t>Njoftimi i anulimit</w:t>
      </w:r>
    </w:p>
    <w:p w14:paraId="7CB4E424" w14:textId="77777777" w:rsidR="007C7BB8" w:rsidRPr="007C7BB8" w:rsidRDefault="007C7BB8" w:rsidP="007C7BB8">
      <w:pPr>
        <w:spacing w:after="0" w:line="240" w:lineRule="auto"/>
        <w:ind w:firstLine="284"/>
        <w:jc w:val="both"/>
        <w:rPr>
          <w:rFonts w:ascii="Garamond" w:hAnsi="Garamond"/>
          <w:sz w:val="24"/>
          <w:szCs w:val="24"/>
        </w:rPr>
      </w:pPr>
    </w:p>
    <w:p w14:paraId="42A133F6"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Autoriteti kontraktor publikon njoftimin e anulimit në të njëjtën mënyrë sikurse është publikuar njoftimi i kontratës, brenda 5 (pesë) ditëve nga data e marrjes së vendimit të anulimit. </w:t>
      </w:r>
    </w:p>
    <w:p w14:paraId="3CE5502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Njoftimi duhet të përmbajë: </w:t>
      </w:r>
    </w:p>
    <w:p w14:paraId="1A644F4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objektin e procedurës dhe emrin e autoritetit kontraktor; </w:t>
      </w:r>
    </w:p>
    <w:p w14:paraId="15424E4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përshkrimin e punëve/mallrave/shërbimeve; </w:t>
      </w:r>
    </w:p>
    <w:p w14:paraId="2BC2D550" w14:textId="536ADA2F"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c) arsyet e anulimit të procedurës, sipas përcaktimeve të nenit 36 të LPFMS-së. </w:t>
      </w:r>
    </w:p>
    <w:p w14:paraId="6C7E22C5" w14:textId="77777777" w:rsidR="007C7BB8" w:rsidRPr="007C7BB8" w:rsidRDefault="007C7BB8" w:rsidP="007C7BB8">
      <w:pPr>
        <w:spacing w:after="0" w:line="240" w:lineRule="auto"/>
        <w:ind w:firstLine="284"/>
        <w:jc w:val="both"/>
        <w:rPr>
          <w:rFonts w:ascii="Garamond" w:hAnsi="Garamond"/>
          <w:sz w:val="24"/>
          <w:szCs w:val="24"/>
        </w:rPr>
      </w:pPr>
    </w:p>
    <w:p w14:paraId="3E08CF0F" w14:textId="77777777" w:rsidR="007C7BB8" w:rsidRPr="007C7BB8" w:rsidRDefault="007C7BB8" w:rsidP="00C5117E">
      <w:pPr>
        <w:pStyle w:val="Neninr"/>
      </w:pPr>
      <w:r w:rsidRPr="007C7BB8">
        <w:t>SEKSIONI II</w:t>
      </w:r>
    </w:p>
    <w:p w14:paraId="72FC5713" w14:textId="77777777" w:rsidR="007C7BB8" w:rsidRPr="007C7BB8" w:rsidRDefault="007C7BB8" w:rsidP="00C5117E">
      <w:pPr>
        <w:pStyle w:val="Neninr"/>
      </w:pPr>
      <w:r w:rsidRPr="007C7BB8">
        <w:t>INFORMACIONE TË VEÇANTA PËR KONTRATAT</w:t>
      </w:r>
    </w:p>
    <w:p w14:paraId="55A571EE" w14:textId="77777777" w:rsidR="007C7BB8" w:rsidRPr="007C7BB8" w:rsidRDefault="007C7BB8" w:rsidP="00C5117E">
      <w:pPr>
        <w:pStyle w:val="Neninr"/>
      </w:pPr>
    </w:p>
    <w:p w14:paraId="4710A561" w14:textId="77777777" w:rsidR="007C7BB8" w:rsidRPr="007C7BB8" w:rsidRDefault="007C7BB8" w:rsidP="00C5117E">
      <w:pPr>
        <w:pStyle w:val="Neninr"/>
      </w:pPr>
      <w:r w:rsidRPr="007C7BB8">
        <w:t>Neni 21</w:t>
      </w:r>
    </w:p>
    <w:p w14:paraId="64A565FC" w14:textId="77777777" w:rsidR="007C7BB8" w:rsidRPr="00C5117E" w:rsidRDefault="007C7BB8" w:rsidP="00C5117E">
      <w:pPr>
        <w:pStyle w:val="Neninr"/>
        <w:rPr>
          <w:b/>
        </w:rPr>
      </w:pPr>
      <w:r w:rsidRPr="00C5117E">
        <w:rPr>
          <w:b/>
        </w:rPr>
        <w:t xml:space="preserve">Kontratat për punë </w:t>
      </w:r>
    </w:p>
    <w:p w14:paraId="38465608" w14:textId="77777777" w:rsidR="007C7BB8" w:rsidRPr="007C7BB8" w:rsidRDefault="007C7BB8" w:rsidP="007C7BB8">
      <w:pPr>
        <w:spacing w:after="0" w:line="240" w:lineRule="auto"/>
        <w:ind w:firstLine="284"/>
        <w:jc w:val="both"/>
        <w:rPr>
          <w:rFonts w:ascii="Garamond" w:hAnsi="Garamond"/>
          <w:sz w:val="24"/>
          <w:szCs w:val="24"/>
        </w:rPr>
      </w:pPr>
    </w:p>
    <w:p w14:paraId="7D5F3071" w14:textId="454115B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Në dokumentet e tenderit për kontratat e punëve, projekti duhet të plotësohet me hollësi, duke dhënë çmimet për njësi, vëllimin dhe llojet e punëve. </w:t>
      </w:r>
    </w:p>
    <w:p w14:paraId="6CCB104A" w14:textId="6CEAE2BF"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Punët, sipas parashikimeve të LPFMS-së, mund të prokurohen: </w:t>
      </w:r>
    </w:p>
    <w:p w14:paraId="49524D2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Kur punët prokurohen me anë të punimeve me matje, vëllimi i punëve jepet me hollësi dhe përmban të gjitha çmimet dhe përqindjet që autoriteti kontraktor i vlerëson të nevojshme (si për shembull: fondi rezervë, të ardhurat minimale, shpenzimet minimale). </w:t>
      </w:r>
    </w:p>
    <w:p w14:paraId="7566BF9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me kontratë me çelësa në dorë, ku vëllimi i punëve i parashikuar në projekt, mund të shërbejë vetëm si një orientim dhe ofertuesi kryen një studim të hollësishëm të projektit, pa asnjë </w:t>
      </w:r>
      <w:r w:rsidRPr="007C7BB8">
        <w:rPr>
          <w:rFonts w:ascii="Garamond" w:hAnsi="Garamond"/>
          <w:sz w:val="24"/>
          <w:szCs w:val="24"/>
        </w:rPr>
        <w:lastRenderedPageBreak/>
        <w:t xml:space="preserve">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65D30B7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Specifikimet teknike shprehin qartë kërkesat e autoritetit kontraktor për cilësinë e të gjitha punimeve dhe të materialeve që do të përdoren, si dhe kërkesa të tjera që lidhen ngushtë me natyrën dhe përbërësit e projektit të punës. </w:t>
      </w:r>
    </w:p>
    <w:p w14:paraId="664194B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Autoriteti kontraktor në dokumentet e tenderit parashikon me grafik, fazat dhe afatet e realizimit të punëve. </w:t>
      </w:r>
    </w:p>
    <w:p w14:paraId="7A375975" w14:textId="035EB2D5"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5. Kërkesat e veçanta të kualifikimit duhet të përfshijnë të gjitha kriteret specifike në përputhje me nenin 37 të LPFMS-së.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w:t>
      </w:r>
    </w:p>
    <w:p w14:paraId="35F841B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6. Për të provuar përvojën e mëparshme, autoriteti kontraktor kërkon: </w:t>
      </w:r>
    </w:p>
    <w:p w14:paraId="4355D6A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punë të ngjashme për një objekt të vetëm në një vlerë jo më të madhe se 50% e vlerës së përllogaritur të kontratës që prokurohet dhe që është realizuar gjatë tri viteve të fundit. </w:t>
      </w:r>
    </w:p>
    <w:p w14:paraId="4F19560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punë të ngjashme deri në një kufi, ku vlera monetare totale e punëve të kryera, e marrë së bashku gjatë tri viteve të fundit, është jo më e madhe se dyfishi i vlerës limit të kontratës që prokurohet. </w:t>
      </w:r>
    </w:p>
    <w:p w14:paraId="59C7F92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Plotësimi i njërit prej dy kushteve të sipërpërmendura e bën ofertën të kualifikueshme. </w:t>
      </w:r>
    </w:p>
    <w:p w14:paraId="45205380" w14:textId="62FF4D33"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Autoriteti kontraktor, si dëshmi për përvojën e mëparshme, kërkon vërtetime të lëshuara nga një ent publik, ku të shënohen vlera, koha dhe natyra e punës së bërë dhe çdo lloj dokumenti tjetër, që parashikohet në legjislacionin në fuqi, për të vërtetuar përmbushjen e suksesshme të punëve. </w:t>
      </w:r>
    </w:p>
    <w:p w14:paraId="49105D3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 rastin e përvojës së mëparshme të realizuar me sektorin privat, autoriteti kontraktor kërkon si dëshmi vërtetime, ku të shënohen vlera, koha dhe natyra e punës së bërë, e shoqëruar me fatura tatimore dhe çdolloj dokumenti tjetër, që parashikohet në legjislacionin në fuqi, për të vërtetuar përmbushjen e suksesshme të punëve. </w:t>
      </w:r>
    </w:p>
    <w:p w14:paraId="5C287B10" w14:textId="774183BA"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7. Për të provuar përmbushjen e kriterit për kapacitetet ekonomike dhe financiare, autoriteti kontraktor mund të kërkojë: </w:t>
      </w:r>
    </w:p>
    <w:p w14:paraId="39982C33" w14:textId="27676D7C"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kopje të certifikuara të një ose më shumë bilanceve ose të pjesëve të shkëputura nga bilancet, të paraqitura në autoritetet përkatëse; </w:t>
      </w:r>
    </w:p>
    <w:p w14:paraId="1DE46C22" w14:textId="727ECE36"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b) </w:t>
      </w:r>
      <w:r w:rsidR="007C7BB8" w:rsidRPr="007C7BB8">
        <w:rPr>
          <w:rFonts w:ascii="Garamond" w:hAnsi="Garamond"/>
          <w:sz w:val="24"/>
          <w:szCs w:val="24"/>
        </w:rPr>
        <w:t xml:space="preserve">kopje të deklaratave të xhiros vjetore, vlera e të cilave nuk mund të tejkalojë 50 % të vlerës limit të kontratës që prokurohet; </w:t>
      </w:r>
    </w:p>
    <w:p w14:paraId="466F6F7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14:paraId="54782F5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8. Për të provuar kapacitetet teknike dhe profesionale, autoriteti kontraktor kërkon: </w:t>
      </w:r>
    </w:p>
    <w:p w14:paraId="5BFEBE14" w14:textId="3CA5B156"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a) </w:t>
      </w:r>
      <w:r w:rsidR="007C7BB8" w:rsidRPr="007C7BB8">
        <w:rPr>
          <w:rFonts w:ascii="Garamond" w:hAnsi="Garamond"/>
          <w:sz w:val="24"/>
          <w:szCs w:val="24"/>
        </w:rPr>
        <w:t xml:space="preserve">licenca profesionale të shoqërisë për realizimin e punimeve, objekt i kontratës, të lëshuara nga autoritetet kompetente shtetërore; dhe/ose </w:t>
      </w:r>
    </w:p>
    <w:p w14:paraId="56CEE1BA" w14:textId="5910BE34"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b) </w:t>
      </w:r>
      <w:r w:rsidR="007C7BB8" w:rsidRPr="007C7BB8">
        <w:rPr>
          <w:rFonts w:ascii="Garamond" w:hAnsi="Garamond"/>
          <w:sz w:val="24"/>
          <w:szCs w:val="24"/>
        </w:rPr>
        <w:t xml:space="preserve">dëshmi për fuqinë punëtore të operatorit ekonomik të nevojshëm për ekzekutimin e objektit të prokurimit; dhe/ose </w:t>
      </w:r>
    </w:p>
    <w:p w14:paraId="59B67BF4" w14:textId="415C30F1"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c) </w:t>
      </w:r>
      <w:r w:rsidR="007C7BB8" w:rsidRPr="007C7BB8">
        <w:rPr>
          <w:rFonts w:ascii="Garamond" w:hAnsi="Garamond"/>
          <w:sz w:val="24"/>
          <w:szCs w:val="24"/>
        </w:rPr>
        <w:t xml:space="preserve">dëshmi për mjetet, materialet e pajisjet teknike, që ka në dispozicion apo që mund t’i vihen në dispozicion operatorit ekonomik për të përmbushur kontratën. </w:t>
      </w:r>
    </w:p>
    <w:p w14:paraId="48BE223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b/>
      </w:r>
    </w:p>
    <w:p w14:paraId="4134A639" w14:textId="77777777" w:rsidR="007C7BB8" w:rsidRPr="007C7BB8" w:rsidRDefault="007C7BB8" w:rsidP="00C5117E">
      <w:pPr>
        <w:pStyle w:val="Neninr"/>
      </w:pPr>
      <w:r w:rsidRPr="007C7BB8">
        <w:t>Neni 22</w:t>
      </w:r>
    </w:p>
    <w:p w14:paraId="1BD9C2A8" w14:textId="77777777" w:rsidR="007C7BB8" w:rsidRPr="00C5117E" w:rsidRDefault="007C7BB8" w:rsidP="00C5117E">
      <w:pPr>
        <w:pStyle w:val="Neninr"/>
        <w:rPr>
          <w:b/>
        </w:rPr>
      </w:pPr>
      <w:r w:rsidRPr="00C5117E">
        <w:rPr>
          <w:b/>
        </w:rPr>
        <w:t>Kontratat e mallrave</w:t>
      </w:r>
    </w:p>
    <w:p w14:paraId="0C0D7AB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 </w:t>
      </w:r>
    </w:p>
    <w:p w14:paraId="7C2A0749" w14:textId="43B45A08"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7C7BB8" w:rsidRPr="007C7BB8">
        <w:rPr>
          <w:rFonts w:ascii="Garamond" w:hAnsi="Garamond"/>
          <w:sz w:val="24"/>
          <w:szCs w:val="24"/>
        </w:rPr>
        <w:t xml:space="preserve">Specifikimet teknike duhet të përshkruajnë minimumin ose tërësinë e elementeve më të rëndësishme përbërëse, që garantojnë cilësinë e kërkuar, në përputhje me nenin 18 të LPFMS-së dhe që i vlerëson mallrat si të pranueshme për funksionet e kërkuara. </w:t>
      </w:r>
    </w:p>
    <w:p w14:paraId="3C7A476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Autoriteti kontraktor në dokumentet e tenderit parashikon sasinë e mallrave që do të lëvrojë, si dhe grafikun e lëvrimit të mallrave. </w:t>
      </w:r>
    </w:p>
    <w:p w14:paraId="6499E2E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Kërkesat e veçanta të kualifikimit duhet të përfshijnë të gjitha kriteret specifike, në përputhje me nenin 37 të LPFMS-së.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 </w:t>
      </w:r>
    </w:p>
    <w:p w14:paraId="2738549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Për të provuar përvojën e mëparshme, autoriteti kontraktor kërkon dëshmi për furnizimet e mëparshme, të ngjashme, të kryera gjatë tri viteve të fundit. Në çdo rast, vlera e kërkuar duhet të jetë jo më e madhe se 40% të vlerës së përllogaritur të kontratës, që prokurohet dhe që është realizuar gjatë tri viteve të fundit. Autoriteti kontraktor, si dëshmi për përvojën e mëparshme kërkon vërtetime të lëshuara nga një ent publik ose/dhe fatura tatimore të shitjes, ku shënohen datat, shumat dhe sasitë e mallrave të furnizuara. Në rastin e përvojës së mëparshme të realizuar me sektorin privat, si dëshmi pranohen vetëm fatura tatimore të shitjes, ku shënohen datat, shumat dhe sasitë e mallrave të furnizuara. </w:t>
      </w:r>
    </w:p>
    <w:p w14:paraId="34232DA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5. Për të provuar kapacitetet financiare dhe ekonomike, autoriteti kontraktor mund të kërkojë: </w:t>
      </w:r>
    </w:p>
    <w:p w14:paraId="7F731748" w14:textId="2FF3FBBD"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 kopje të certifikuara të një ose më shumë bilanceve ose të pjesëve të shkëputura nga bilancet, të paraqitura në autoritetet përkatëse; dhe/ose</w:t>
      </w:r>
    </w:p>
    <w:p w14:paraId="7D512E59" w14:textId="35ED5C51"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b) </w:t>
      </w:r>
      <w:r w:rsidR="007C7BB8" w:rsidRPr="007C7BB8">
        <w:rPr>
          <w:rFonts w:ascii="Garamond" w:hAnsi="Garamond"/>
          <w:sz w:val="24"/>
          <w:szCs w:val="24"/>
        </w:rPr>
        <w:t>kopje të deklaratave të xhiros vjetore, vlera e të cilave nuk mund të tejkalojë 40% të vlerës limit të kontratës që prokurohet.</w:t>
      </w:r>
    </w:p>
    <w:p w14:paraId="7FC850E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14:paraId="1C138155" w14:textId="6DFB4EBD"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6. Autoriteti kontraktor mund t’u kërkojë operatorëve ekonomikë të dorëzojnë dëshmi, që tregojnë se ata i plotësojnë kërkesat minimale, të përcaktuara në dokumentet e tenderit, si: </w:t>
      </w:r>
    </w:p>
    <w:p w14:paraId="6D346ED2" w14:textId="49D88226"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mostra të mallit, kur e gjykon se kjo ka rëndësi për vlerësimin e ofertës teknike. Mostrat duhet të trajtohen si informacion konfidencial tregtar dhe duhet të jenë në kontroll të autoritetit kontraktor. Ato i kthehen ofertuesit, me kërkesën e tij, 30 (tridhjetë) ditë pas nënshkrimit të kontratës, me kusht që kontrata në fjalë të mos jetë objekt i shqyrtimit administrativ apo gjyqësor. Në rastin kur procedura e prokurimit anulohet, mostrat i kthehen ofertuesit, me kërkesën e tij, brenda 30 (tridhjetë) ditëve nga data e marrjes së vendimit përfundimtar të anulimit; dhe/ose </w:t>
      </w:r>
    </w:p>
    <w:p w14:paraId="0F8C543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dëshmi e origjinalitetit të mostrave, përshkrimi dhe/ose fotografitë apo katalogët teknike; dhe/ose </w:t>
      </w:r>
    </w:p>
    <w:p w14:paraId="1586B6D7" w14:textId="5C89D935"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c) </w:t>
      </w:r>
      <w:r w:rsidR="007C7BB8" w:rsidRPr="007C7BB8">
        <w:rPr>
          <w:rFonts w:ascii="Garamond" w:hAnsi="Garamond"/>
          <w:sz w:val="24"/>
          <w:szCs w:val="24"/>
        </w:rPr>
        <w:t>dëshmi për rezultatet e testimeve zyrtare, të lëshuara nga institucione të autorizuara, që vërtetojnë pajtueshmërinë e produkteve me specifikimet teknike.</w:t>
      </w:r>
    </w:p>
    <w:p w14:paraId="2F5EAD36" w14:textId="77777777" w:rsidR="00C5117E" w:rsidRDefault="00C5117E" w:rsidP="007C7BB8">
      <w:pPr>
        <w:spacing w:after="0" w:line="240" w:lineRule="auto"/>
        <w:ind w:firstLine="284"/>
        <w:jc w:val="both"/>
        <w:rPr>
          <w:rFonts w:ascii="Garamond" w:hAnsi="Garamond"/>
          <w:sz w:val="24"/>
          <w:szCs w:val="24"/>
        </w:rPr>
      </w:pPr>
    </w:p>
    <w:p w14:paraId="6C21242E" w14:textId="77777777" w:rsidR="007C7BB8" w:rsidRPr="007C7BB8" w:rsidRDefault="007C7BB8" w:rsidP="00C5117E">
      <w:pPr>
        <w:pStyle w:val="Neninr"/>
      </w:pPr>
      <w:r w:rsidRPr="007C7BB8">
        <w:t>Neni 23</w:t>
      </w:r>
    </w:p>
    <w:p w14:paraId="4E75DCE4" w14:textId="77777777" w:rsidR="007C7BB8" w:rsidRPr="00C5117E" w:rsidRDefault="007C7BB8" w:rsidP="00C5117E">
      <w:pPr>
        <w:pStyle w:val="Neninr"/>
        <w:rPr>
          <w:b/>
        </w:rPr>
      </w:pPr>
      <w:r w:rsidRPr="00C5117E">
        <w:rPr>
          <w:b/>
        </w:rPr>
        <w:t>Kontratat e shërbimeve</w:t>
      </w:r>
    </w:p>
    <w:p w14:paraId="1AA7EB20" w14:textId="77777777" w:rsidR="007C7BB8" w:rsidRPr="007C7BB8" w:rsidRDefault="007C7BB8" w:rsidP="007C7BB8">
      <w:pPr>
        <w:spacing w:after="0" w:line="240" w:lineRule="auto"/>
        <w:ind w:firstLine="284"/>
        <w:jc w:val="both"/>
        <w:rPr>
          <w:rFonts w:ascii="Garamond" w:hAnsi="Garamond"/>
          <w:sz w:val="24"/>
          <w:szCs w:val="24"/>
        </w:rPr>
      </w:pPr>
    </w:p>
    <w:p w14:paraId="36F3EB5D" w14:textId="5E27AAC3"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Natyra e shërbimeve duhet të shprehet qartë në termat e referencës, ku përfshihen objekti, qëllimi, specifikimet teknike dhe afatet kohore të shërbimit që do të kryhet. </w:t>
      </w:r>
    </w:p>
    <w:p w14:paraId="7C5C57E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Kërkesat e veçanta të kualifikimit duhet të përfshijnë të gjitha kriteret specifike, në përputhje me nenin 37 të LPFMS-së.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 </w:t>
      </w:r>
    </w:p>
    <w:p w14:paraId="713E004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3. Për të provuar përvojën e mëparshme, autoriteti kontraktor kërkon dëshmi për shërbimet e mëparshme, të ngjashme, të kryera gjatë tri viteve të fundit. Në çdo rast, vlera e kërkuar duhet të jetë në një vlerë jo më të madhe se 40% të vlerës së përllogaritur të kontratës që prokurohet dhe që është realizuar gjatë tri viteve të fundit. Autoriteti kontraktor, si dëshmi për përvojën e mëparshme, kërkon vërtetime të lëshuara nga një ent publik ose/dhe fatura tatimore të shitjes, ku shënohen datat, shumat dhe shërbimet e realizuara. Në rastin e përvojës së mëparshme të realizuar me sektorin privat, si dëshmi pranohen vetëm fatura tatimore të shitjes, ku shënohen datat, shumat dhe shërbimet e realizuara.</w:t>
      </w:r>
    </w:p>
    <w:p w14:paraId="513CFDF6"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4. Për të provuar kapacitetet financiare dhe ekonomike, autoriteti kontraktor kërkon:</w:t>
      </w:r>
    </w:p>
    <w:p w14:paraId="6E4AB652" w14:textId="437CEBFD"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w:t>
      </w:r>
      <w:r w:rsidR="00C5117E">
        <w:rPr>
          <w:rFonts w:ascii="Garamond" w:hAnsi="Garamond"/>
          <w:sz w:val="24"/>
          <w:szCs w:val="24"/>
        </w:rPr>
        <w:t xml:space="preserve"> </w:t>
      </w:r>
      <w:r w:rsidRPr="007C7BB8">
        <w:rPr>
          <w:rFonts w:ascii="Garamond" w:hAnsi="Garamond"/>
          <w:sz w:val="24"/>
          <w:szCs w:val="24"/>
        </w:rPr>
        <w:t xml:space="preserve">kopje të certifikuara të një ose më shumë bilanceve ose të pjesëve të shkëputura nga bilancet, të paraqitura në autoritetet përkatëse; </w:t>
      </w:r>
    </w:p>
    <w:p w14:paraId="43416BE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b) kopje të deklaratave të xhiros vjetore, vlera e të cilave nuk mund të tejkalojë 40 % të vlerës limit të kontratës që prokurohet.</w:t>
      </w:r>
    </w:p>
    <w:p w14:paraId="60C81B7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14:paraId="04497676" w14:textId="706DC1E5"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5. </w:t>
      </w:r>
      <w:r w:rsidR="007C7BB8" w:rsidRPr="007C7BB8">
        <w:rPr>
          <w:rFonts w:ascii="Garamond" w:hAnsi="Garamond"/>
          <w:sz w:val="24"/>
          <w:szCs w:val="24"/>
        </w:rPr>
        <w:t xml:space="preserve">Për të provuar kapacitetet teknike dhe profesionale, autoriteti kontraktor kërkon: </w:t>
      </w:r>
    </w:p>
    <w:p w14:paraId="1947DAFE" w14:textId="0416DB45"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w:t>
      </w:r>
      <w:r w:rsidR="00C5117E">
        <w:rPr>
          <w:rFonts w:ascii="Garamond" w:hAnsi="Garamond"/>
          <w:sz w:val="24"/>
          <w:szCs w:val="24"/>
        </w:rPr>
        <w:t xml:space="preserve">) </w:t>
      </w:r>
      <w:r w:rsidRPr="007C7BB8">
        <w:rPr>
          <w:rFonts w:ascii="Garamond" w:hAnsi="Garamond"/>
          <w:sz w:val="24"/>
          <w:szCs w:val="24"/>
        </w:rPr>
        <w:t xml:space="preserve">licencat profesionale për realizimin e shërbimeve, objekt i kontratës, të lëshuara nga autoritetet kompetente shtetërore; dhe /ose </w:t>
      </w:r>
    </w:p>
    <w:p w14:paraId="74A8F765" w14:textId="111B06CC"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b) </w:t>
      </w:r>
      <w:r w:rsidR="007C7BB8" w:rsidRPr="007C7BB8">
        <w:rPr>
          <w:rFonts w:ascii="Garamond" w:hAnsi="Garamond"/>
          <w:sz w:val="24"/>
          <w:szCs w:val="24"/>
        </w:rPr>
        <w:t xml:space="preserve">një listë të personelit kryesor, të nevojshëm për të zbatuar objektin e prokurimit dhe/ose komponentët e saj. Lista e personelit kryesor duhet të përfshijë CV-të e tyre dhe licencat profesionale, kur kanë të tilla; dhe/ose </w:t>
      </w:r>
    </w:p>
    <w:p w14:paraId="1127D594" w14:textId="43B61C88"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c)</w:t>
      </w:r>
      <w:r w:rsidR="00C5117E">
        <w:rPr>
          <w:rFonts w:ascii="Garamond" w:hAnsi="Garamond"/>
          <w:sz w:val="24"/>
          <w:szCs w:val="24"/>
        </w:rPr>
        <w:t xml:space="preserve"> </w:t>
      </w:r>
      <w:r w:rsidRPr="007C7BB8">
        <w:rPr>
          <w:rFonts w:ascii="Garamond" w:hAnsi="Garamond"/>
          <w:sz w:val="24"/>
          <w:szCs w:val="24"/>
        </w:rPr>
        <w:t xml:space="preserve">dëshmi për fuqinë punëtore të operatorit ekonomik të nevojshëm për ekzekutimin e objektit të prokurimit; dhe/ose </w:t>
      </w:r>
    </w:p>
    <w:p w14:paraId="40395A38" w14:textId="66A98103"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ç)</w:t>
      </w:r>
      <w:r w:rsidR="00C5117E">
        <w:rPr>
          <w:rFonts w:ascii="Garamond" w:hAnsi="Garamond"/>
          <w:sz w:val="24"/>
          <w:szCs w:val="24"/>
        </w:rPr>
        <w:t xml:space="preserve"> </w:t>
      </w:r>
      <w:r w:rsidRPr="007C7BB8">
        <w:rPr>
          <w:rFonts w:ascii="Garamond" w:hAnsi="Garamond"/>
          <w:sz w:val="24"/>
          <w:szCs w:val="24"/>
        </w:rPr>
        <w:t xml:space="preserve">dëshmi për mjetet dhe pajisjet teknike që ka në dispozicion apo që mund t’i vihen në dispozicion operatorit ekonomik për të përmbushur kontratën. </w:t>
      </w:r>
    </w:p>
    <w:p w14:paraId="7346ECCF" w14:textId="77777777" w:rsidR="007C7BB8" w:rsidRPr="007C7BB8" w:rsidRDefault="007C7BB8" w:rsidP="007C7BB8">
      <w:pPr>
        <w:spacing w:after="0" w:line="240" w:lineRule="auto"/>
        <w:ind w:firstLine="284"/>
        <w:jc w:val="both"/>
        <w:rPr>
          <w:rFonts w:ascii="Garamond" w:hAnsi="Garamond"/>
          <w:sz w:val="24"/>
          <w:szCs w:val="24"/>
        </w:rPr>
      </w:pPr>
    </w:p>
    <w:p w14:paraId="02F7B292" w14:textId="77777777" w:rsidR="007C7BB8" w:rsidRPr="007C7BB8" w:rsidRDefault="007C7BB8" w:rsidP="00C5117E">
      <w:pPr>
        <w:pStyle w:val="Neninr"/>
      </w:pPr>
      <w:r w:rsidRPr="007C7BB8">
        <w:t>Neni 24</w:t>
      </w:r>
    </w:p>
    <w:p w14:paraId="738A37C5" w14:textId="77777777" w:rsidR="007C7BB8" w:rsidRPr="00C5117E" w:rsidRDefault="007C7BB8" w:rsidP="00C5117E">
      <w:pPr>
        <w:pStyle w:val="Neninr"/>
        <w:rPr>
          <w:b/>
        </w:rPr>
      </w:pPr>
      <w:r w:rsidRPr="00C5117E">
        <w:rPr>
          <w:b/>
        </w:rPr>
        <w:t>Kontrata për punë/mall/shërbim e ndarë në lote</w:t>
      </w:r>
    </w:p>
    <w:p w14:paraId="188A6B45" w14:textId="77777777" w:rsidR="007C7BB8" w:rsidRPr="007C7BB8" w:rsidRDefault="007C7BB8" w:rsidP="007C7BB8">
      <w:pPr>
        <w:spacing w:after="0" w:line="240" w:lineRule="auto"/>
        <w:ind w:firstLine="284"/>
        <w:jc w:val="both"/>
        <w:rPr>
          <w:rFonts w:ascii="Garamond" w:hAnsi="Garamond"/>
          <w:sz w:val="24"/>
          <w:szCs w:val="24"/>
        </w:rPr>
      </w:pPr>
    </w:p>
    <w:p w14:paraId="1141F37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Kur kontratat për punë/mall/shërbim ndahet në lote, autoriteti kontraktor duhet të hartojë kërkesat e veçanta të kualifikimit për secilin lot. Kërkesat duhet të jenë në përpjesëtim dhe të lidhura ngushtë me objektin, natyrën dhe vlerën e lotit. Në çdo rast, lotet janë të organizuara si procedura të veçanta brenda një procedure. Fillimi dhe përfundimi i njërit lot nuk ndikon në lotin tjetër të procedurës. </w:t>
      </w:r>
    </w:p>
    <w:p w14:paraId="2A24BA19" w14:textId="77777777" w:rsidR="007C7BB8" w:rsidRPr="007C7BB8" w:rsidRDefault="007C7BB8" w:rsidP="007C7BB8">
      <w:pPr>
        <w:spacing w:after="0" w:line="240" w:lineRule="auto"/>
        <w:ind w:firstLine="284"/>
        <w:jc w:val="both"/>
        <w:rPr>
          <w:rFonts w:ascii="Garamond" w:hAnsi="Garamond"/>
          <w:sz w:val="24"/>
          <w:szCs w:val="24"/>
        </w:rPr>
      </w:pPr>
    </w:p>
    <w:p w14:paraId="5E042394" w14:textId="77777777" w:rsidR="007C7BB8" w:rsidRPr="007C7BB8" w:rsidRDefault="007C7BB8" w:rsidP="00C5117E">
      <w:pPr>
        <w:pStyle w:val="Neninr"/>
      </w:pPr>
      <w:r w:rsidRPr="007C7BB8">
        <w:t>Neni 25</w:t>
      </w:r>
    </w:p>
    <w:p w14:paraId="5FD5BE14" w14:textId="77777777" w:rsidR="007C7BB8" w:rsidRPr="00C5117E" w:rsidRDefault="007C7BB8" w:rsidP="00C5117E">
      <w:pPr>
        <w:pStyle w:val="Neninr"/>
        <w:rPr>
          <w:b/>
        </w:rPr>
      </w:pPr>
      <w:r w:rsidRPr="00C5117E">
        <w:rPr>
          <w:b/>
        </w:rPr>
        <w:t>Kërkesat e cilësisë</w:t>
      </w:r>
    </w:p>
    <w:p w14:paraId="25E9F2E3" w14:textId="77777777" w:rsidR="007C7BB8" w:rsidRPr="007C7BB8" w:rsidRDefault="007C7BB8" w:rsidP="007C7BB8">
      <w:pPr>
        <w:spacing w:after="0" w:line="240" w:lineRule="auto"/>
        <w:ind w:firstLine="284"/>
        <w:jc w:val="both"/>
        <w:rPr>
          <w:rFonts w:ascii="Garamond" w:hAnsi="Garamond"/>
          <w:sz w:val="24"/>
          <w:szCs w:val="24"/>
        </w:rPr>
      </w:pPr>
    </w:p>
    <w:p w14:paraId="1B17BE5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Autoriteti kontraktor, për të vërtetuar se punët, mallrat ose shërbimet, objekt prokurimi, i plotësojnë kërkesat e cilësisë, mund t’u kërkojë ofertuesve të paraqesin certifikata të lëshuara  nga organizma të akredituar e të pavarur dhe dëshmi të sistemeve të ngjashme me certifikimet CE dhe NATO, si dhe dokumente për standarde të menaxhimit të  mjedisit, sipas nenit 41 të               LPFMS-së. </w:t>
      </w:r>
    </w:p>
    <w:p w14:paraId="57FF64A8" w14:textId="0FC73FBC"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Certifikatat e kërkuara duhet të jenë në përpjesëtim dhe të lidhura ngushtë me objektin e kontratës, duke respektuar edhe parimin e mosdiskriminimit. </w:t>
      </w:r>
    </w:p>
    <w:p w14:paraId="7BC56A27" w14:textId="77777777" w:rsidR="007C7BB8" w:rsidRPr="007C7BB8" w:rsidRDefault="007C7BB8" w:rsidP="007C7BB8">
      <w:pPr>
        <w:spacing w:after="0" w:line="240" w:lineRule="auto"/>
        <w:ind w:firstLine="284"/>
        <w:jc w:val="both"/>
        <w:rPr>
          <w:rFonts w:ascii="Garamond" w:hAnsi="Garamond"/>
          <w:sz w:val="24"/>
          <w:szCs w:val="24"/>
        </w:rPr>
      </w:pPr>
    </w:p>
    <w:p w14:paraId="5F86544D" w14:textId="77777777" w:rsidR="007C7BB8" w:rsidRPr="007C7BB8" w:rsidRDefault="007C7BB8" w:rsidP="00C5117E">
      <w:pPr>
        <w:pStyle w:val="Neninr"/>
      </w:pPr>
      <w:r w:rsidRPr="007C7BB8">
        <w:t>Neni 26</w:t>
      </w:r>
    </w:p>
    <w:p w14:paraId="3F5CEACF" w14:textId="77777777" w:rsidR="007C7BB8" w:rsidRPr="00C5117E" w:rsidRDefault="007C7BB8" w:rsidP="00C5117E">
      <w:pPr>
        <w:pStyle w:val="Neninr"/>
        <w:rPr>
          <w:b/>
        </w:rPr>
      </w:pPr>
      <w:r w:rsidRPr="00C5117E">
        <w:rPr>
          <w:b/>
        </w:rPr>
        <w:t>Kriteret për vlerësimin e ofertës</w:t>
      </w:r>
    </w:p>
    <w:p w14:paraId="6AA8E30F" w14:textId="77777777" w:rsidR="007C7BB8" w:rsidRPr="007C7BB8" w:rsidRDefault="007C7BB8" w:rsidP="007C7BB8">
      <w:pPr>
        <w:spacing w:after="0" w:line="240" w:lineRule="auto"/>
        <w:ind w:firstLine="284"/>
        <w:jc w:val="both"/>
        <w:rPr>
          <w:rFonts w:ascii="Garamond" w:hAnsi="Garamond"/>
          <w:sz w:val="24"/>
          <w:szCs w:val="24"/>
        </w:rPr>
      </w:pPr>
    </w:p>
    <w:p w14:paraId="6C1BAACF" w14:textId="31611C62"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7C7BB8" w:rsidRPr="007C7BB8">
        <w:rPr>
          <w:rFonts w:ascii="Garamond" w:hAnsi="Garamond"/>
          <w:sz w:val="24"/>
          <w:szCs w:val="24"/>
        </w:rPr>
        <w:t>Për punët/mallrat/shërbimet që kanë specifikime të thjeshta ose standarde teknike të mirënjohura, kriter vlerësimi do të jetë oferta me çmimin më të ulët.</w:t>
      </w:r>
    </w:p>
    <w:p w14:paraId="2793E646" w14:textId="34BC2841"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Kriteri i ofertës ekonomikisht më të favorshme do të përdoret në kontrata komplekse dhe të një natyre të veçantë që, përveç çmimit për punën/mallin/shërbimin, objekt i kontratës, përmbajnë dhe elemente të tjera, që kanë vlerë ekonomike dhe i ngarkojnë autoritetit kontraktor shpenzime të tilla, si: cilësitë teknike, karakteristikat estetike, funksionale, mjedisore, kostot e funksionimit, efektshmëria ekonomike, shërbimi pas shitjes dhe asistenca teknike, data dhe periudha e lëvrimit ose periudha e ekzekutimit, cikli jetësor i produktit, me kusht që këto kritere të jenë objektive dhe jodiskriminuese dhe të shprehen në shifra. Në çdo rast, kur kriteret janë më shumë se një, pesha e kriterit të çmimit nuk do të jetë më pak se 50 pikë. Pikët maksimale që do të marrë një ofertë do të jenë 100 pikë. </w:t>
      </w:r>
    </w:p>
    <w:p w14:paraId="428F919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Për kriteret vlerësuese duhet përcaktuar pesha specifike e secilit kriter dhe konkretisht pikët që do të ketë çdo kriter dhe mënyra e llogaritjes së pikëve për ofertuesit e njëpasnjëshëm. Formula që zbatohet në këtë rast parashikohet në dokumentet e tenderit.</w:t>
      </w:r>
    </w:p>
    <w:p w14:paraId="4436061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Vlerësimi i ofertave bëhet vetëm në baza teknike dhe ekonomike. Autoriteti kontraktor duhet të përgatisë një procesverbal për të pasqyruar procesin e vlerësimit të ofertave. </w:t>
      </w:r>
    </w:p>
    <w:p w14:paraId="6794A367" w14:textId="77777777" w:rsidR="007C7BB8" w:rsidRPr="007C7BB8" w:rsidRDefault="007C7BB8" w:rsidP="007C7BB8">
      <w:pPr>
        <w:spacing w:after="0" w:line="240" w:lineRule="auto"/>
        <w:ind w:firstLine="284"/>
        <w:jc w:val="both"/>
        <w:rPr>
          <w:rFonts w:ascii="Garamond" w:hAnsi="Garamond"/>
          <w:sz w:val="24"/>
          <w:szCs w:val="24"/>
        </w:rPr>
      </w:pPr>
    </w:p>
    <w:p w14:paraId="4C4D9AB5" w14:textId="77777777" w:rsidR="007C7BB8" w:rsidRPr="007C7BB8" w:rsidRDefault="007C7BB8" w:rsidP="00C5117E">
      <w:pPr>
        <w:pStyle w:val="Neninr"/>
      </w:pPr>
      <w:r w:rsidRPr="007C7BB8">
        <w:t>KREU III</w:t>
      </w:r>
    </w:p>
    <w:p w14:paraId="5834E7FF" w14:textId="77777777" w:rsidR="007C7BB8" w:rsidRPr="007C7BB8" w:rsidRDefault="007C7BB8" w:rsidP="00C5117E">
      <w:pPr>
        <w:pStyle w:val="Neninr"/>
      </w:pPr>
      <w:r w:rsidRPr="007C7BB8">
        <w:t>LLOJET DHE PËRZGJEDHJA E PROCEDURËS</w:t>
      </w:r>
    </w:p>
    <w:p w14:paraId="00B4FE1A" w14:textId="77777777" w:rsidR="007C7BB8" w:rsidRPr="007C7BB8" w:rsidRDefault="007C7BB8" w:rsidP="00C5117E">
      <w:pPr>
        <w:pStyle w:val="Neninr"/>
      </w:pPr>
    </w:p>
    <w:p w14:paraId="3A84E477" w14:textId="77777777" w:rsidR="007C7BB8" w:rsidRPr="007C7BB8" w:rsidRDefault="007C7BB8" w:rsidP="00C5117E">
      <w:pPr>
        <w:pStyle w:val="Neninr"/>
      </w:pPr>
      <w:r w:rsidRPr="007C7BB8">
        <w:t>Neni 27</w:t>
      </w:r>
    </w:p>
    <w:p w14:paraId="173D8BD7" w14:textId="77777777" w:rsidR="007C7BB8" w:rsidRPr="00C5117E" w:rsidRDefault="007C7BB8" w:rsidP="00C5117E">
      <w:pPr>
        <w:pStyle w:val="Neninr"/>
        <w:rPr>
          <w:b/>
        </w:rPr>
      </w:pPr>
      <w:r w:rsidRPr="00C5117E">
        <w:rPr>
          <w:b/>
        </w:rPr>
        <w:t>Llojet e procedurave të prokurimit</w:t>
      </w:r>
    </w:p>
    <w:p w14:paraId="2F2A778C" w14:textId="77777777" w:rsidR="007C7BB8" w:rsidRPr="007C7BB8" w:rsidRDefault="007C7BB8" w:rsidP="00C5117E">
      <w:pPr>
        <w:pStyle w:val="Neninr"/>
      </w:pPr>
    </w:p>
    <w:p w14:paraId="0B38F16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Në përzgjedhjen e kontratave të prokurimit në fushën e mbrojtjes dhe/ose të sigurisë, autoriteti kontraktor zbaton procedurat e prokurimit të përcaktuara në ligjin për prokurimet në fushën e mbrojtjes dhe të sigurisë. </w:t>
      </w:r>
    </w:p>
    <w:p w14:paraId="74A6EB96" w14:textId="0308A08E"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w:t>
      </w:r>
      <w:r w:rsidR="00C5117E">
        <w:rPr>
          <w:rFonts w:ascii="Garamond" w:hAnsi="Garamond"/>
          <w:sz w:val="24"/>
          <w:szCs w:val="24"/>
        </w:rPr>
        <w:t xml:space="preserve">. </w:t>
      </w:r>
      <w:r w:rsidRPr="007C7BB8">
        <w:rPr>
          <w:rFonts w:ascii="Garamond" w:hAnsi="Garamond"/>
          <w:sz w:val="24"/>
          <w:szCs w:val="24"/>
        </w:rPr>
        <w:t xml:space="preserve">Llojet e procedurave që duhen përdorur në përzgjedhjen e kontratave të prokurimit në fushën e mbrojtjes dhe/ose të sigurisë janë: </w:t>
      </w:r>
    </w:p>
    <w:p w14:paraId="42A8D02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 procedurë e kufizuar;</w:t>
      </w:r>
    </w:p>
    <w:p w14:paraId="614743C2" w14:textId="730E4E9E"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procedurë me </w:t>
      </w:r>
      <w:r w:rsidR="00C075F5">
        <w:rPr>
          <w:rFonts w:ascii="Garamond" w:hAnsi="Garamond"/>
          <w:sz w:val="24"/>
          <w:szCs w:val="24"/>
        </w:rPr>
        <w:t>negocim</w:t>
      </w:r>
      <w:r w:rsidRPr="007C7BB8">
        <w:rPr>
          <w:rFonts w:ascii="Garamond" w:hAnsi="Garamond"/>
          <w:sz w:val="24"/>
          <w:szCs w:val="24"/>
        </w:rPr>
        <w:t>, me shpallje paraprake të njoftimit të kontratës;</w:t>
      </w:r>
    </w:p>
    <w:p w14:paraId="05FF5B85" w14:textId="7D35E7E2"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c) procedurë me </w:t>
      </w:r>
      <w:r w:rsidR="00C075F5">
        <w:rPr>
          <w:rFonts w:ascii="Garamond" w:hAnsi="Garamond"/>
          <w:sz w:val="24"/>
          <w:szCs w:val="24"/>
        </w:rPr>
        <w:t>negocim</w:t>
      </w:r>
      <w:r w:rsidRPr="007C7BB8">
        <w:rPr>
          <w:rFonts w:ascii="Garamond" w:hAnsi="Garamond"/>
          <w:sz w:val="24"/>
          <w:szCs w:val="24"/>
        </w:rPr>
        <w:t>, pa shpallje paraprake të njoftimit të kontratës;</w:t>
      </w:r>
    </w:p>
    <w:p w14:paraId="3066C25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ç) dialogu konkurrues.</w:t>
      </w:r>
    </w:p>
    <w:p w14:paraId="7139CF27" w14:textId="77777777" w:rsidR="007C7BB8" w:rsidRPr="007C7BB8" w:rsidRDefault="007C7BB8" w:rsidP="007C7BB8">
      <w:pPr>
        <w:spacing w:after="0" w:line="240" w:lineRule="auto"/>
        <w:ind w:firstLine="284"/>
        <w:jc w:val="both"/>
        <w:rPr>
          <w:rFonts w:ascii="Garamond" w:hAnsi="Garamond"/>
          <w:sz w:val="24"/>
          <w:szCs w:val="24"/>
        </w:rPr>
      </w:pPr>
    </w:p>
    <w:p w14:paraId="51CD05AD" w14:textId="77777777" w:rsidR="007C7BB8" w:rsidRPr="007C7BB8" w:rsidRDefault="007C7BB8" w:rsidP="00C5117E">
      <w:pPr>
        <w:pStyle w:val="Neninr"/>
      </w:pPr>
      <w:r w:rsidRPr="007C7BB8">
        <w:t>Neni 28</w:t>
      </w:r>
    </w:p>
    <w:p w14:paraId="415F9716" w14:textId="77777777" w:rsidR="007C7BB8" w:rsidRPr="00C5117E" w:rsidRDefault="007C7BB8" w:rsidP="00C5117E">
      <w:pPr>
        <w:pStyle w:val="Neninr"/>
        <w:rPr>
          <w:b/>
        </w:rPr>
      </w:pPr>
      <w:r w:rsidRPr="00C5117E">
        <w:rPr>
          <w:b/>
        </w:rPr>
        <w:t>Procedura e kufizuar</w:t>
      </w:r>
    </w:p>
    <w:p w14:paraId="0B340DA6" w14:textId="77777777" w:rsidR="007C7BB8" w:rsidRPr="007C7BB8" w:rsidRDefault="007C7BB8" w:rsidP="007C7BB8">
      <w:pPr>
        <w:spacing w:after="0" w:line="240" w:lineRule="auto"/>
        <w:ind w:firstLine="284"/>
        <w:jc w:val="both"/>
        <w:rPr>
          <w:rFonts w:ascii="Garamond" w:hAnsi="Garamond"/>
          <w:sz w:val="24"/>
          <w:szCs w:val="24"/>
        </w:rPr>
      </w:pPr>
    </w:p>
    <w:p w14:paraId="66FC46EF" w14:textId="78CEAB3E"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 xml:space="preserve">Procedura e kufizuar, sipas nenit 25 të ligjit për prokurimet në fushën e mbrojtjes dhe të sigurisë, është një procedurë prokurimi me faza, që mund të përdoret nga çdo autoritet kontraktor që prokuron punë/shërbime/mallra, në të cilën mund të kërkojë të marrë pjesë çdo operator ekonomik, fizik ose juridik, por të drejtën për të paraqitur një ofertë e kanë vetëm ata operatorë ekonomikë, të cilët përzgjidhen dhe ftohen për këtë qëllim nga autoriteti kontraktor. </w:t>
      </w:r>
    </w:p>
    <w:p w14:paraId="0E603A7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Faza e parë (parakualifikimi) ka të bëjë me përzgjedhjen e kandidatëve përpara dërgimit të ftesës për ofertë nga AK-ja. Parakualifikimi i ofertuesve është një proces i ndryshëm nga procedura e vlerësimit të ofertave, e cila përqendrohet në çmimin dhe kriteret e përcaktuara në dokumentet e tenderit. </w:t>
      </w:r>
    </w:p>
    <w:p w14:paraId="6F34B71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Procesi i parakualifikimit do të bëhet duke u përqendruar në vlerësimin e përvojës dhe aftësinë e kandidatëve për të zbatuar në mënyrë të kënaqshme kontratën konkrete. Qëllimi kryesor i parakualifikimit është përzgjedhja e atyre kontraktorëve/furnitorëve, kualifikimet dhe përvoja e të cilëve minimizon rrezikun e mosekzekutimit, sipas projektit/kontratës së propozuar.</w:t>
      </w:r>
    </w:p>
    <w:p w14:paraId="7FBACC0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Në njoftimin e kontratës së publikuar do të përcaktohen edhe kriteret për përzgjedhjen e kandidatëve.</w:t>
      </w:r>
    </w:p>
    <w:p w14:paraId="476676C6"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Autoriteti kontraktor fton jo më pak se 3 (tre) kandidatë, duke garantuar konkurrencë dhe barazi ndërmjet tyre, përveç rasteve kur numri i ofertuesve që kanë shprehur interes është më i ulët se minimumi i kërkuar.</w:t>
      </w:r>
    </w:p>
    <w:p w14:paraId="05CC06A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Faza e dytë ka të bëjë me paraqitjen e ofertës dhe dokumenteve të kërkuara nga ofertuesit e kualifikuar në fazën I. Pas mbylljes së fazës së parakualifikimit dhe në përfundim të afateve të ankimit, autoriteti kontraktor fton kandidatët e përzgjedhur të njihen me dokumentet konkrete të tenderit dhe do të dorëzojnë ofertat sipas përcaktimeve në DT dhe të specifikimeve të përcaktuara në ftesën për ofertë. </w:t>
      </w:r>
    </w:p>
    <w:p w14:paraId="68ABE01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 Autoriteti kontraktor mund të kufizojë numrin e kandidatëve të përshtatshëm për t’u ftuar që të marrin pjesë në procedurë, në përputhje me nenin 34 të LPFMS-së. Aplikimi i këtij kufizimi bëhet i ditur që në njoftimin e kontratës.</w:t>
      </w:r>
    </w:p>
    <w:p w14:paraId="424178F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3. Pas mbylljes së fazës së parakualifikimit dhe në përfundim të afateve të ankimit, autoriteti kontraktor fton kandidatët e përzgjedhur të dorëzojnë ofertat, në bazë të specifikimeve teknike të përcaktuara në ftesën për ofertë.</w:t>
      </w:r>
    </w:p>
    <w:p w14:paraId="1CEECD4E" w14:textId="127F2ED3"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4</w:t>
      </w:r>
      <w:r w:rsidR="00C5117E">
        <w:rPr>
          <w:rFonts w:ascii="Garamond" w:hAnsi="Garamond"/>
          <w:sz w:val="24"/>
          <w:szCs w:val="24"/>
        </w:rPr>
        <w:t xml:space="preserve">. </w:t>
      </w:r>
      <w:r w:rsidRPr="007C7BB8">
        <w:rPr>
          <w:rFonts w:ascii="Garamond" w:hAnsi="Garamond"/>
          <w:sz w:val="24"/>
          <w:szCs w:val="24"/>
        </w:rPr>
        <w:t xml:space="preserve">Afatet kohore për dorëzimin e kërkesave për pjesëmarrje dhe dorëzimin e ofertave për këtë procedurë janë sipas përcaktimeve të nenit  32 të LPFMS-së, në përputhje me kufijtë monetarë të detajuar në këto rregulla. </w:t>
      </w:r>
    </w:p>
    <w:p w14:paraId="1046EAE7" w14:textId="77777777" w:rsidR="007C7BB8" w:rsidRPr="007C7BB8" w:rsidRDefault="007C7BB8" w:rsidP="007C7BB8">
      <w:pPr>
        <w:spacing w:after="0" w:line="240" w:lineRule="auto"/>
        <w:ind w:firstLine="284"/>
        <w:jc w:val="both"/>
        <w:rPr>
          <w:rFonts w:ascii="Garamond" w:hAnsi="Garamond"/>
          <w:sz w:val="24"/>
          <w:szCs w:val="24"/>
        </w:rPr>
      </w:pPr>
    </w:p>
    <w:p w14:paraId="0BAE50ED" w14:textId="77777777" w:rsidR="007C7BB8" w:rsidRPr="007C7BB8" w:rsidRDefault="007C7BB8" w:rsidP="00C5117E">
      <w:pPr>
        <w:pStyle w:val="Neninr"/>
      </w:pPr>
      <w:r w:rsidRPr="007C7BB8">
        <w:t>Neni 29</w:t>
      </w:r>
    </w:p>
    <w:p w14:paraId="39633FA2" w14:textId="643863C6" w:rsidR="007C7BB8" w:rsidRPr="00C5117E" w:rsidRDefault="007C7BB8" w:rsidP="00C5117E">
      <w:pPr>
        <w:pStyle w:val="Neninr"/>
        <w:rPr>
          <w:b/>
        </w:rPr>
      </w:pPr>
      <w:r w:rsidRPr="00C5117E">
        <w:rPr>
          <w:b/>
        </w:rPr>
        <w:t xml:space="preserve">Procedura me </w:t>
      </w:r>
      <w:r w:rsidR="00C075F5">
        <w:rPr>
          <w:b/>
        </w:rPr>
        <w:t>negocim</w:t>
      </w:r>
      <w:r w:rsidRPr="00C5117E">
        <w:rPr>
          <w:b/>
        </w:rPr>
        <w:t>, me shpallje paraprake të njoftimit</w:t>
      </w:r>
    </w:p>
    <w:p w14:paraId="2F8CF1C9" w14:textId="77777777" w:rsidR="007C7BB8" w:rsidRPr="007C7BB8" w:rsidRDefault="007C7BB8" w:rsidP="007C7BB8">
      <w:pPr>
        <w:spacing w:after="0" w:line="240" w:lineRule="auto"/>
        <w:ind w:firstLine="284"/>
        <w:jc w:val="both"/>
        <w:rPr>
          <w:rFonts w:ascii="Garamond" w:hAnsi="Garamond"/>
          <w:sz w:val="24"/>
          <w:szCs w:val="24"/>
        </w:rPr>
      </w:pPr>
    </w:p>
    <w:p w14:paraId="4D246DE2" w14:textId="7974EF31"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Procedura me </w:t>
      </w:r>
      <w:r w:rsidR="00C075F5">
        <w:rPr>
          <w:rFonts w:ascii="Garamond" w:hAnsi="Garamond"/>
          <w:sz w:val="24"/>
          <w:szCs w:val="24"/>
        </w:rPr>
        <w:t>negocim</w:t>
      </w:r>
      <w:r w:rsidRPr="007C7BB8">
        <w:rPr>
          <w:rFonts w:ascii="Garamond" w:hAnsi="Garamond"/>
          <w:sz w:val="24"/>
          <w:szCs w:val="24"/>
        </w:rPr>
        <w:t>, me shpallje paraprake të njoftimit është një procedurë prokurimi, e cila përdoret në ato raste kur autoriteti kontraktor negocion me ofertuesit, me qëllim përshtatjen e ofertave të tyre me kërkesat e përcaktuara në njoftimin e kontratës, me specifikimet dhe dokumentet mbështetëse, nëse ka të tilla, për të përzgjedhur ofertën më të mirë.</w:t>
      </w:r>
    </w:p>
    <w:p w14:paraId="3174B59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Njoftimi i kontratës hartohet dhe publikohet njëkohësisht në Buletinin e Njoftimeve Publike dhe në faqen e internetit të AK-së, në përputhje me ligjin dhe me këto rregulla. </w:t>
      </w:r>
    </w:p>
    <w:p w14:paraId="4D73E53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Afati kohor për pjesëmarrje në këtë procedurë, i parashikuar në nenin 32 të ligjit, është, si më poshtë vijon: </w:t>
      </w:r>
    </w:p>
    <w:p w14:paraId="6282A94D" w14:textId="74F522E0"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Në procedurën me </w:t>
      </w:r>
      <w:r w:rsidR="00C075F5">
        <w:rPr>
          <w:rFonts w:ascii="Garamond" w:hAnsi="Garamond"/>
          <w:sz w:val="24"/>
          <w:szCs w:val="24"/>
        </w:rPr>
        <w:t>negocim</w:t>
      </w:r>
      <w:r w:rsidRPr="007C7BB8">
        <w:rPr>
          <w:rFonts w:ascii="Garamond" w:hAnsi="Garamond"/>
          <w:sz w:val="24"/>
          <w:szCs w:val="24"/>
        </w:rPr>
        <w:t xml:space="preserve">, me shpallje paraprake të njoftimit të kontratës, me vlerë më të lartë se kufiri monetar, afati kohor për dorëzimin e kërkesave për pjesëmarrje do të jetë jo më pak se 37 ditë kalendarike, nga data e dërgimit të njoftimit të kontratës; </w:t>
      </w:r>
    </w:p>
    <w:p w14:paraId="49A5E522" w14:textId="0DB8A609"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Në procedurën me </w:t>
      </w:r>
      <w:r w:rsidR="00C075F5">
        <w:rPr>
          <w:rFonts w:ascii="Garamond" w:hAnsi="Garamond"/>
          <w:sz w:val="24"/>
          <w:szCs w:val="24"/>
        </w:rPr>
        <w:t>negocim</w:t>
      </w:r>
      <w:r w:rsidRPr="007C7BB8">
        <w:rPr>
          <w:rFonts w:ascii="Garamond" w:hAnsi="Garamond"/>
          <w:sz w:val="24"/>
          <w:szCs w:val="24"/>
        </w:rPr>
        <w:t xml:space="preserve">, me shpallje paraprake të njoftimit të kontratës, me vlerë më të ulët se kufiri monetar, afati kohor për pranimin e kërkesave për pjesëmarrje do të jetë jo në pak se 25 ditë kalendarike nga data e dërgimit të njoftimit të kontratës; </w:t>
      </w:r>
    </w:p>
    <w:p w14:paraId="7C54345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c) Kur njoftimet dhe dokumentet e tenderit janë hartuar dhe publikuar me mjete elektronike, sipas parashikimeve në këtë vendim, afatet kohore të parashikuara në shkronjën “a” mund të shkurtohen me 7 (shtatë) ditë kalendarike dhe në shkronjën “b” mund të shkurtohen 5 (pesë) ditë. </w:t>
      </w:r>
    </w:p>
    <w:p w14:paraId="6D6B1461" w14:textId="78409B4C"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Autoriteti kontraktor mund të marrë masa që procedura me </w:t>
      </w:r>
      <w:r w:rsidR="00C075F5">
        <w:rPr>
          <w:rFonts w:ascii="Garamond" w:hAnsi="Garamond"/>
          <w:sz w:val="24"/>
          <w:szCs w:val="24"/>
        </w:rPr>
        <w:t>negocim</w:t>
      </w:r>
      <w:r w:rsidRPr="007C7BB8">
        <w:rPr>
          <w:rFonts w:ascii="Garamond" w:hAnsi="Garamond"/>
          <w:sz w:val="24"/>
          <w:szCs w:val="24"/>
        </w:rPr>
        <w:t xml:space="preserve"> të kryhet në faza të ndryshme, duke zbatuar kriteret e vlerësimit, të shpallura në njoftimin e kontratës apo në specifikime, me qëllim reduktimin e numrit të ofertave që duhen negociuar. Njoftimi i kontratës apo dokumentet e kontratës tregojnë nëse ky opsion do të përdoret. </w:t>
      </w:r>
    </w:p>
    <w:p w14:paraId="6DF4D23D" w14:textId="5147C550"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5. Autoriteti kontraktor mund të negociojë individualisht me secilin nga ofertuesit e përzgjedhur deri në përcaktimin e ofertës fituese. Në çdo rast, </w:t>
      </w:r>
      <w:r w:rsidR="00C075F5">
        <w:rPr>
          <w:rFonts w:ascii="Garamond" w:hAnsi="Garamond"/>
          <w:sz w:val="24"/>
          <w:szCs w:val="24"/>
        </w:rPr>
        <w:t>negocim</w:t>
      </w:r>
      <w:r w:rsidRPr="007C7BB8">
        <w:rPr>
          <w:rFonts w:ascii="Garamond" w:hAnsi="Garamond"/>
          <w:sz w:val="24"/>
          <w:szCs w:val="24"/>
        </w:rPr>
        <w:t>i duhet të bëhet në përputhje me parimet e trajtimit të barabartë, mosdiskriminimit dhe konkurrencës.</w:t>
      </w:r>
    </w:p>
    <w:p w14:paraId="64326EE3" w14:textId="77777777" w:rsidR="007C7BB8" w:rsidRPr="007C7BB8" w:rsidRDefault="007C7BB8" w:rsidP="007C7BB8">
      <w:pPr>
        <w:spacing w:after="0" w:line="240" w:lineRule="auto"/>
        <w:ind w:firstLine="284"/>
        <w:jc w:val="both"/>
        <w:rPr>
          <w:rFonts w:ascii="Garamond" w:hAnsi="Garamond"/>
          <w:sz w:val="24"/>
          <w:szCs w:val="24"/>
        </w:rPr>
      </w:pPr>
    </w:p>
    <w:p w14:paraId="7DD4D6B3" w14:textId="77777777" w:rsidR="007C7BB8" w:rsidRPr="007C7BB8" w:rsidRDefault="007C7BB8" w:rsidP="00C5117E">
      <w:pPr>
        <w:pStyle w:val="Neninr"/>
      </w:pPr>
      <w:r w:rsidRPr="007C7BB8">
        <w:t>Neni 30</w:t>
      </w:r>
    </w:p>
    <w:p w14:paraId="693D81DE" w14:textId="6C4AF482" w:rsidR="007C7BB8" w:rsidRPr="00C5117E" w:rsidRDefault="007C7BB8" w:rsidP="00C5117E">
      <w:pPr>
        <w:pStyle w:val="Neninr"/>
        <w:rPr>
          <w:b/>
        </w:rPr>
      </w:pPr>
      <w:r w:rsidRPr="00C5117E">
        <w:rPr>
          <w:b/>
        </w:rPr>
        <w:lastRenderedPageBreak/>
        <w:t xml:space="preserve">Procedura me </w:t>
      </w:r>
      <w:r w:rsidR="00C075F5">
        <w:rPr>
          <w:b/>
        </w:rPr>
        <w:t>negocim</w:t>
      </w:r>
      <w:r w:rsidRPr="00C5117E">
        <w:rPr>
          <w:b/>
        </w:rPr>
        <w:t>, pa shpallje paraprake të njoftimit të kontratës</w:t>
      </w:r>
    </w:p>
    <w:p w14:paraId="77AC10C4" w14:textId="77777777" w:rsidR="007C7BB8" w:rsidRPr="007C7BB8" w:rsidRDefault="007C7BB8" w:rsidP="007C7BB8">
      <w:pPr>
        <w:spacing w:after="0" w:line="240" w:lineRule="auto"/>
        <w:ind w:firstLine="284"/>
        <w:jc w:val="both"/>
        <w:rPr>
          <w:rFonts w:ascii="Garamond" w:hAnsi="Garamond"/>
          <w:sz w:val="24"/>
          <w:szCs w:val="24"/>
        </w:rPr>
      </w:pPr>
    </w:p>
    <w:p w14:paraId="1F0C175B" w14:textId="30D074A5"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Procedura me </w:t>
      </w:r>
      <w:r w:rsidR="00C075F5">
        <w:rPr>
          <w:rFonts w:ascii="Garamond" w:hAnsi="Garamond"/>
          <w:sz w:val="24"/>
          <w:szCs w:val="24"/>
        </w:rPr>
        <w:t>negocim</w:t>
      </w:r>
      <w:r w:rsidRPr="007C7BB8">
        <w:rPr>
          <w:rFonts w:ascii="Garamond" w:hAnsi="Garamond"/>
          <w:sz w:val="24"/>
          <w:szCs w:val="24"/>
        </w:rPr>
        <w:t>, pa shpallje paraprake të njoftimit, është një procedurë prokurimi, e cila përdoret në rastet e parashikuara në nenin 28 të LPFMS-së.</w:t>
      </w:r>
    </w:p>
    <w:p w14:paraId="55B8865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Urdhri për prokurim, siç parashikohet në nenin 44 të këtyre rregullave, duhet të paraqesë arsyet e përdorimit të kësaj procedure. </w:t>
      </w:r>
    </w:p>
    <w:p w14:paraId="78446D8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Me përjashtim të rrethanave të parashikuara në pikat 2, shkronja “b”, 3, shkronja “b”, dhe 4, të nenit 28, të ligjit, autoriteti kontraktor fton jo më pak se 3 (tre) kandidatë, duke garantuar konkurrencë dhe barazi ndërmjet tyre. </w:t>
      </w:r>
    </w:p>
    <w:p w14:paraId="5757BDB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 çdo rast, autoriteti kontraktor duhet të argumentojë dhe të dokumentojë përzgjedhjen e kandidatëve që do të ftojë. </w:t>
      </w:r>
    </w:p>
    <w:p w14:paraId="47C8D356" w14:textId="4D071276"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Kur autoriteti kontraktor përdor procedurën e prokurimit me </w:t>
      </w:r>
      <w:r w:rsidR="00C075F5">
        <w:rPr>
          <w:rFonts w:ascii="Garamond" w:hAnsi="Garamond"/>
          <w:sz w:val="24"/>
          <w:szCs w:val="24"/>
        </w:rPr>
        <w:t>negocim</w:t>
      </w:r>
      <w:r w:rsidRPr="007C7BB8">
        <w:rPr>
          <w:rFonts w:ascii="Garamond" w:hAnsi="Garamond"/>
          <w:sz w:val="24"/>
          <w:szCs w:val="24"/>
        </w:rPr>
        <w:t xml:space="preserve">, pa shpallje paraprake të njoftimit të kontratës, sipas kushteve të parashikuara në këtë nen, duhet të provojë se kandidatët plotësojnë minimalisht kërkesat e nenit 37 të ligjit. </w:t>
      </w:r>
    </w:p>
    <w:p w14:paraId="51A49A0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 varësi të natyrës dhe përmasave të kontratës që prokurohet, autoriteti kontraktor përcakton kritere të veçanta për kualifikim, në lidhje me përzgjedhjen e ofertuesve. </w:t>
      </w:r>
    </w:p>
    <w:p w14:paraId="1D92E0E6" w14:textId="2106BBBE"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 rastin kur autoriteti kontraktor përdor procedurën e prokurimit me </w:t>
      </w:r>
      <w:r w:rsidR="00C075F5">
        <w:rPr>
          <w:rFonts w:ascii="Garamond" w:hAnsi="Garamond"/>
          <w:sz w:val="24"/>
          <w:szCs w:val="24"/>
        </w:rPr>
        <w:t>negocim</w:t>
      </w:r>
      <w:r w:rsidRPr="007C7BB8">
        <w:rPr>
          <w:rFonts w:ascii="Garamond" w:hAnsi="Garamond"/>
          <w:sz w:val="24"/>
          <w:szCs w:val="24"/>
        </w:rPr>
        <w:t xml:space="preserve"> pa shpallje paraprake, sipas parashikimeve të pikave 3, shkronja “a”, dhe 4, shkronjat “a” dhe “b”, të këtij neni, kur kontraktori i fundit është bashkim operatorësh ekonomikë, autoriteti kontraktor duhet të sigurohet që ky bashkim është i vlefshëm nëpërmjet paraqitjes së një vetëdeklarimi nga anëtarët e këtij bashkimi. </w:t>
      </w:r>
    </w:p>
    <w:p w14:paraId="43D43D1D" w14:textId="04CEC2D1"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5. Në rastin e procedurës së prokurimit me </w:t>
      </w:r>
      <w:r w:rsidR="00C075F5">
        <w:rPr>
          <w:rFonts w:ascii="Garamond" w:hAnsi="Garamond"/>
          <w:sz w:val="24"/>
          <w:szCs w:val="24"/>
        </w:rPr>
        <w:t>negocim</w:t>
      </w:r>
      <w:r w:rsidRPr="007C7BB8">
        <w:rPr>
          <w:rFonts w:ascii="Garamond" w:hAnsi="Garamond"/>
          <w:sz w:val="24"/>
          <w:szCs w:val="24"/>
        </w:rPr>
        <w:t>, pa shpallje paraprake të njoftimit të kontratës, sipas kushteve të parashikuara në këtë nen, afatet kohore parashikohen nga vetë autoriteti kontraktor, në varësi të objektit të prokurimit dhe rrethanave.</w:t>
      </w:r>
    </w:p>
    <w:p w14:paraId="40394CB0" w14:textId="77777777" w:rsidR="007C7BB8" w:rsidRPr="007C7BB8" w:rsidRDefault="007C7BB8" w:rsidP="007C7BB8">
      <w:pPr>
        <w:spacing w:after="0" w:line="240" w:lineRule="auto"/>
        <w:ind w:firstLine="284"/>
        <w:jc w:val="both"/>
        <w:rPr>
          <w:rFonts w:ascii="Garamond" w:hAnsi="Garamond"/>
          <w:sz w:val="24"/>
          <w:szCs w:val="24"/>
        </w:rPr>
      </w:pPr>
    </w:p>
    <w:p w14:paraId="713FDCE4" w14:textId="77777777" w:rsidR="007C7BB8" w:rsidRPr="007C7BB8" w:rsidRDefault="007C7BB8" w:rsidP="00C5117E">
      <w:pPr>
        <w:pStyle w:val="Neninr"/>
      </w:pPr>
      <w:r w:rsidRPr="007C7BB8">
        <w:t>Neni 31</w:t>
      </w:r>
    </w:p>
    <w:p w14:paraId="3A0A18AE" w14:textId="77777777" w:rsidR="007C7BB8" w:rsidRPr="00C5117E" w:rsidRDefault="007C7BB8" w:rsidP="00C5117E">
      <w:pPr>
        <w:pStyle w:val="Neninr"/>
        <w:rPr>
          <w:b/>
        </w:rPr>
      </w:pPr>
      <w:r w:rsidRPr="00C5117E">
        <w:rPr>
          <w:b/>
        </w:rPr>
        <w:t>Dialogu konkurrues</w:t>
      </w:r>
    </w:p>
    <w:p w14:paraId="30619CCF" w14:textId="77777777" w:rsidR="007C7BB8" w:rsidRPr="007C7BB8" w:rsidRDefault="007C7BB8" w:rsidP="00C5117E">
      <w:pPr>
        <w:pStyle w:val="Neninr"/>
      </w:pPr>
      <w:r w:rsidRPr="007C7BB8">
        <w:t xml:space="preserve">  </w:t>
      </w:r>
    </w:p>
    <w:p w14:paraId="2BC9839F" w14:textId="2D3A3AA7"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 xml:space="preserve">Dialogu konkurrues është një procedurë prokurimi, e cila përdoret kur kontratat janë veçanërisht komplekse dhe kur autoritetet kontraktore mendojnë se përdorimi i procedurës së kufizuar apo procedurës me </w:t>
      </w:r>
      <w:r w:rsidR="00C075F5">
        <w:rPr>
          <w:rFonts w:ascii="Garamond" w:hAnsi="Garamond"/>
          <w:sz w:val="24"/>
          <w:szCs w:val="24"/>
        </w:rPr>
        <w:t>negocim</w:t>
      </w:r>
      <w:r w:rsidR="007C7BB8" w:rsidRPr="007C7BB8">
        <w:rPr>
          <w:rFonts w:ascii="Garamond" w:hAnsi="Garamond"/>
          <w:sz w:val="24"/>
          <w:szCs w:val="24"/>
        </w:rPr>
        <w:t>, me shpallje paraprake të njoftimit të kontratës nuk mundësojnë prokurimin, ato mund të përdorin dialogun konkurrues dhe:</w:t>
      </w:r>
    </w:p>
    <w:p w14:paraId="4BF4268D" w14:textId="398E645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w:t>
      </w:r>
      <w:r w:rsidR="00C5117E">
        <w:rPr>
          <w:rFonts w:ascii="Garamond" w:hAnsi="Garamond"/>
          <w:sz w:val="24"/>
          <w:szCs w:val="24"/>
        </w:rPr>
        <w:t xml:space="preserve"> </w:t>
      </w:r>
      <w:r w:rsidRPr="007C7BB8">
        <w:rPr>
          <w:rFonts w:ascii="Garamond" w:hAnsi="Garamond"/>
          <w:sz w:val="24"/>
          <w:szCs w:val="24"/>
        </w:rPr>
        <w:t>autoriteti kontraktor nuk është objektivisht i aftë të përcaktojë specifikimet/mjetet teknike për të kënaqur nevojat ose objektivat e tij; dhe/ose</w:t>
      </w:r>
    </w:p>
    <w:p w14:paraId="7077BEDE" w14:textId="11D3C1C1"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b) </w:t>
      </w:r>
      <w:r w:rsidR="007C7BB8" w:rsidRPr="007C7BB8">
        <w:rPr>
          <w:rFonts w:ascii="Garamond" w:hAnsi="Garamond"/>
          <w:sz w:val="24"/>
          <w:szCs w:val="24"/>
        </w:rPr>
        <w:t>nuk është objektivisht i aftë të specifikojë strukturën ligjore dhe/ose financiare të një projekti.</w:t>
      </w:r>
    </w:p>
    <w:p w14:paraId="50D9F97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Autoriteti kontraktor duhet të justifikojë përdorimin e kësaj procedure. </w:t>
      </w:r>
    </w:p>
    <w:p w14:paraId="5543CD14" w14:textId="77777777" w:rsidR="007C7BB8" w:rsidRPr="007C7BB8" w:rsidRDefault="007C7BB8" w:rsidP="007C7BB8">
      <w:pPr>
        <w:spacing w:after="0" w:line="240" w:lineRule="auto"/>
        <w:ind w:firstLine="284"/>
        <w:jc w:val="both"/>
        <w:rPr>
          <w:rFonts w:ascii="Garamond" w:hAnsi="Garamond"/>
          <w:sz w:val="24"/>
          <w:szCs w:val="24"/>
        </w:rPr>
      </w:pPr>
    </w:p>
    <w:p w14:paraId="251F4E5C" w14:textId="77777777" w:rsidR="007C7BB8" w:rsidRPr="007C7BB8" w:rsidRDefault="007C7BB8" w:rsidP="00C5117E">
      <w:pPr>
        <w:pStyle w:val="Neninr"/>
      </w:pPr>
      <w:r w:rsidRPr="007C7BB8">
        <w:t>Neni 32</w:t>
      </w:r>
    </w:p>
    <w:p w14:paraId="3D0DEDF2" w14:textId="77777777" w:rsidR="007C7BB8" w:rsidRPr="00C5117E" w:rsidRDefault="007C7BB8" w:rsidP="00C5117E">
      <w:pPr>
        <w:pStyle w:val="Neninr"/>
        <w:rPr>
          <w:b/>
        </w:rPr>
      </w:pPr>
      <w:r w:rsidRPr="00C5117E">
        <w:rPr>
          <w:b/>
        </w:rPr>
        <w:t xml:space="preserve">Zvogëlimi i numrit të kandidatëve të përshtatshëm </w:t>
      </w:r>
    </w:p>
    <w:p w14:paraId="5A6E448A" w14:textId="77777777" w:rsidR="007C7BB8" w:rsidRPr="007C7BB8" w:rsidRDefault="007C7BB8" w:rsidP="007C7BB8">
      <w:pPr>
        <w:spacing w:after="0" w:line="240" w:lineRule="auto"/>
        <w:ind w:firstLine="284"/>
        <w:jc w:val="both"/>
        <w:rPr>
          <w:rFonts w:ascii="Garamond" w:hAnsi="Garamond"/>
          <w:sz w:val="24"/>
          <w:szCs w:val="24"/>
        </w:rPr>
      </w:pPr>
    </w:p>
    <w:p w14:paraId="534843FD" w14:textId="57C40F6A"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Në rastin e procedurës së kufizuar, me </w:t>
      </w:r>
      <w:r w:rsidR="00C075F5">
        <w:rPr>
          <w:rFonts w:ascii="Garamond" w:hAnsi="Garamond"/>
          <w:sz w:val="24"/>
          <w:szCs w:val="24"/>
        </w:rPr>
        <w:t>negocim</w:t>
      </w:r>
      <w:r w:rsidRPr="007C7BB8">
        <w:rPr>
          <w:rFonts w:ascii="Garamond" w:hAnsi="Garamond"/>
          <w:sz w:val="24"/>
          <w:szCs w:val="24"/>
        </w:rPr>
        <w:t>, me shpallje paraprake, dhe dialogut konkurrues, autoriteti kontraktor mund të përdorë opsionin e zvogëlimit të numrit të kandidatëve të përshtatshëm, për të cilët ajo do të paraqesë një ftesë për ofertë, për të negociuar ose për të marrë pjesë në dialog.</w:t>
      </w:r>
    </w:p>
    <w:p w14:paraId="4107BAAE" w14:textId="41E31943"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w:t>
      </w:r>
      <w:r w:rsidR="00C5117E">
        <w:rPr>
          <w:rFonts w:ascii="Garamond" w:hAnsi="Garamond"/>
          <w:sz w:val="24"/>
          <w:szCs w:val="24"/>
        </w:rPr>
        <w:t xml:space="preserve">. </w:t>
      </w:r>
      <w:r w:rsidRPr="007C7BB8">
        <w:rPr>
          <w:rFonts w:ascii="Garamond" w:hAnsi="Garamond"/>
          <w:sz w:val="24"/>
          <w:szCs w:val="24"/>
        </w:rPr>
        <w:t xml:space="preserve">Në këtë rast, autoriteti kontraktor, në njoftimin e kontratës në fushën e mbrojtjes dhe të sigurisë, duhet të tregojë kushtet ose rregullat që synon për të aplikuar në zvogëlimin e numrit të kandidatëve të përshtatshëm. Numri minimal i kandidatëve të përshtatshëm, që ka për qëllim të ftojë, nuk duhet të jetë më pak se 3. </w:t>
      </w:r>
    </w:p>
    <w:p w14:paraId="4748787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 xml:space="preserve">3. Termat ose rregullat e përmendura në pikën 2, të këtij neni, duhet të jenë objektivë dhe jodiskriminues. Autoriteti kontraktor mund të përcaktojë kushtet ose rregullat në lidhje me vlerat relative, që u atribuohen atyre. </w:t>
      </w:r>
    </w:p>
    <w:p w14:paraId="04A4841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Në rast të numrit të mjaftueshëm të kandidatëve të përshtatshëm, autoriteti kontraktor duhet të ftojë, të paktën, numrin e kandidatëve që është i barabartë me numrin minimal të paracaktuar të kandidatëve. </w:t>
      </w:r>
    </w:p>
    <w:p w14:paraId="7077A06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5. Në rast se numri i kandidatëve që plotësojnë nivelet minimale të aftësisë është më i vogël se numri minimal, autoriteti kontraktor mund të vazhdojë me procedurën, duke ftuar një ose më shumë kandidatë që kanë aftësitë e kërkuara.</w:t>
      </w:r>
    </w:p>
    <w:p w14:paraId="137F72B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6. Kur autoriteti kontraktor merr parasysh se numri i kandidatëve të përshtatshëm është i pamjaftueshëm për të siguruar konkurrencë të vërtetë, ai mund të pezullojë procedurën dhe të botojë përsëri njoftimin fillestar të kontratës në fushën e mbrojtjes e të sigurisë dhe të vendosë afatin e ri për dorëzimin e kërkesës për të marrë pjesë. Në këtë rast, ata kandidatë, të cilët janë përzgjedhur në procedurën e pezulluar, si dhe ata të zgjedhur në vijim të njoftimit të dytë të kontratës në fushën e mbrojtjes dhe të sigurisë, duhet të ftohen që të dorëzojnë ofertën për të negociuar ose për të marrë pjesë në dialog. </w:t>
      </w:r>
    </w:p>
    <w:p w14:paraId="4DD9112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7. Në çdo rast, autoritetit kontraktor mund të anulojë procedurën e prokurimit publik, që është në proces, për të filluar një të ri. </w:t>
      </w:r>
    </w:p>
    <w:p w14:paraId="526B40B8" w14:textId="11109F89"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8. Autoriteti kontraktor nuk duhet të ftojë operatorë ekonomikë shtesë, që nuk e kishin dorëzuar kërkesën për të marrë pjesë ose kandidatët, të cilët dështuan për të provuar përshtatshmërinë e tyre për fazën e dytë të procedurës së kufizuar, procedurën me </w:t>
      </w:r>
      <w:r w:rsidR="00C075F5">
        <w:rPr>
          <w:rFonts w:ascii="Garamond" w:hAnsi="Garamond"/>
          <w:sz w:val="24"/>
          <w:szCs w:val="24"/>
        </w:rPr>
        <w:t>negocim</w:t>
      </w:r>
      <w:r w:rsidRPr="007C7BB8">
        <w:rPr>
          <w:rFonts w:ascii="Garamond" w:hAnsi="Garamond"/>
          <w:sz w:val="24"/>
          <w:szCs w:val="24"/>
        </w:rPr>
        <w:t>, me shpallje paraprake, dhe të dialogut konkurrues.</w:t>
      </w:r>
    </w:p>
    <w:p w14:paraId="779EB0A7" w14:textId="77777777" w:rsidR="007C7BB8" w:rsidRPr="007C7BB8" w:rsidRDefault="007C7BB8" w:rsidP="007C7BB8">
      <w:pPr>
        <w:spacing w:after="0" w:line="240" w:lineRule="auto"/>
        <w:ind w:firstLine="284"/>
        <w:jc w:val="both"/>
        <w:rPr>
          <w:rFonts w:ascii="Garamond" w:hAnsi="Garamond"/>
          <w:sz w:val="24"/>
          <w:szCs w:val="24"/>
        </w:rPr>
      </w:pPr>
    </w:p>
    <w:p w14:paraId="1DEBE065" w14:textId="77777777" w:rsidR="007C7BB8" w:rsidRPr="007C7BB8" w:rsidRDefault="007C7BB8" w:rsidP="00C5117E">
      <w:pPr>
        <w:pStyle w:val="Neninr"/>
      </w:pPr>
      <w:r w:rsidRPr="007C7BB8">
        <w:t>KREU IV</w:t>
      </w:r>
    </w:p>
    <w:p w14:paraId="7D0C418E" w14:textId="77777777" w:rsidR="007C7BB8" w:rsidRPr="007C7BB8" w:rsidRDefault="007C7BB8" w:rsidP="00C5117E">
      <w:pPr>
        <w:pStyle w:val="Neninr"/>
      </w:pPr>
      <w:r w:rsidRPr="007C7BB8">
        <w:t>MARRËVESHJA KUADËR</w:t>
      </w:r>
    </w:p>
    <w:p w14:paraId="5A3BCDA2" w14:textId="77777777" w:rsidR="007C7BB8" w:rsidRPr="007C7BB8" w:rsidRDefault="007C7BB8" w:rsidP="00C5117E">
      <w:pPr>
        <w:pStyle w:val="Neninr"/>
      </w:pPr>
    </w:p>
    <w:p w14:paraId="434CB32B" w14:textId="77777777" w:rsidR="007C7BB8" w:rsidRPr="007C7BB8" w:rsidRDefault="007C7BB8" w:rsidP="00C5117E">
      <w:pPr>
        <w:pStyle w:val="Neninr"/>
      </w:pPr>
      <w:r w:rsidRPr="007C7BB8">
        <w:t>Neni 33</w:t>
      </w:r>
    </w:p>
    <w:p w14:paraId="70824100" w14:textId="77777777" w:rsidR="007C7BB8" w:rsidRPr="00C5117E" w:rsidRDefault="007C7BB8" w:rsidP="00C5117E">
      <w:pPr>
        <w:pStyle w:val="Neninr"/>
        <w:rPr>
          <w:b/>
        </w:rPr>
      </w:pPr>
      <w:r w:rsidRPr="00C5117E">
        <w:rPr>
          <w:b/>
        </w:rPr>
        <w:t>Qëllimi</w:t>
      </w:r>
    </w:p>
    <w:p w14:paraId="500488AC" w14:textId="77777777" w:rsidR="007C7BB8" w:rsidRPr="007C7BB8" w:rsidRDefault="007C7BB8" w:rsidP="007C7BB8">
      <w:pPr>
        <w:spacing w:after="0" w:line="240" w:lineRule="auto"/>
        <w:ind w:firstLine="284"/>
        <w:jc w:val="both"/>
        <w:rPr>
          <w:rFonts w:ascii="Garamond" w:hAnsi="Garamond"/>
          <w:sz w:val="24"/>
          <w:szCs w:val="24"/>
        </w:rPr>
      </w:pPr>
    </w:p>
    <w:p w14:paraId="58FC091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Një marrëveshje kuadër është e përshtatshme për mallra dhe shërbime të përdorura zakonisht me natyrë të përsëritur dhe/ose kur është e vështirë ose e pamundur për të përcaktuar paraprakisht volumet që duhet të prokurohen dhe nuk ka siguri për kohën e dorëzimeve/realizimeve e të ekzekutimit të kontratave. </w:t>
      </w:r>
    </w:p>
    <w:p w14:paraId="69897FF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Kushtet e mallrave/shërbimeve/punëve, që do të prokurohen, nuk janë të përcaktuara në marrëveshjen kuadër. Autoritetet kontraktore mund të blejnë vetëm për të plotësuar nevojat e tyre dhe jo për nevoja të autoriteteve kontraktore që nuk janë pjesë në marrëveshjen kuadër. </w:t>
      </w:r>
    </w:p>
    <w:p w14:paraId="5AFE5F3F" w14:textId="77777777" w:rsidR="007C7BB8" w:rsidRPr="007C7BB8" w:rsidRDefault="007C7BB8" w:rsidP="007C7BB8">
      <w:pPr>
        <w:spacing w:after="0" w:line="240" w:lineRule="auto"/>
        <w:ind w:firstLine="284"/>
        <w:jc w:val="both"/>
        <w:rPr>
          <w:rFonts w:ascii="Garamond" w:hAnsi="Garamond"/>
          <w:sz w:val="24"/>
          <w:szCs w:val="24"/>
        </w:rPr>
      </w:pPr>
    </w:p>
    <w:p w14:paraId="6B98E926" w14:textId="77777777" w:rsidR="007C7BB8" w:rsidRPr="007C7BB8" w:rsidRDefault="007C7BB8" w:rsidP="00C5117E">
      <w:pPr>
        <w:pStyle w:val="Neninr"/>
      </w:pPr>
      <w:r w:rsidRPr="007C7BB8">
        <w:t>Neni 34</w:t>
      </w:r>
    </w:p>
    <w:p w14:paraId="64353AE8" w14:textId="77777777" w:rsidR="007C7BB8" w:rsidRPr="00C5117E" w:rsidRDefault="007C7BB8" w:rsidP="00C5117E">
      <w:pPr>
        <w:pStyle w:val="Neninr"/>
        <w:rPr>
          <w:b/>
        </w:rPr>
      </w:pPr>
      <w:r w:rsidRPr="00C5117E">
        <w:rPr>
          <w:b/>
        </w:rPr>
        <w:t>Palët në marrëveshjen kuadër</w:t>
      </w:r>
    </w:p>
    <w:p w14:paraId="6921C9E5" w14:textId="77777777" w:rsidR="007C7BB8" w:rsidRPr="007C7BB8" w:rsidRDefault="007C7BB8" w:rsidP="007C7BB8">
      <w:pPr>
        <w:spacing w:after="0" w:line="240" w:lineRule="auto"/>
        <w:ind w:firstLine="284"/>
        <w:jc w:val="both"/>
        <w:rPr>
          <w:rFonts w:ascii="Garamond" w:hAnsi="Garamond"/>
          <w:sz w:val="24"/>
          <w:szCs w:val="24"/>
        </w:rPr>
      </w:pPr>
    </w:p>
    <w:p w14:paraId="504B3A7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Një marrëveshje kuadër mund të lidhet ndërmjet: </w:t>
      </w:r>
    </w:p>
    <w:p w14:paraId="4186A9F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disa autoriteteve kontraktore dhe disa operatorëve ekonomikë; </w:t>
      </w:r>
    </w:p>
    <w:p w14:paraId="6632F7F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disa autoriteteve kontraktore dhe një operatori ekonomik; </w:t>
      </w:r>
    </w:p>
    <w:p w14:paraId="4C5EAD8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c) një autoriteti kontraktor dhe disa operatorëve ekonomikë. </w:t>
      </w:r>
    </w:p>
    <w:p w14:paraId="6733A06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ç) një autoriteti kontraktor dhe një operatori ekonomik. </w:t>
      </w:r>
    </w:p>
    <w:p w14:paraId="31707A6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Autoritetet kontraktore që kanë për qëllim të lidhin një marrëveshje kuadër duhet të përcaktohen në njoftimin e kontratës. Nuk është e lejueshme të përdorin një marrëveshje kuadër autoritetet kontraktore, të cilat nuk janë palë e marrëveshjes kuadër. </w:t>
      </w:r>
    </w:p>
    <w:p w14:paraId="5E098EA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 xml:space="preserve">Të gjithë operatorët ekonomikë, që janë pjesë e marrëveshjes, duhet të listohen në marrëveshje dhe nuk është e lejueshme të pranohen operatorë ekonomikë të tjerë në marrëveshje, pas përfundimit të procesit të prokurimit. </w:t>
      </w:r>
    </w:p>
    <w:p w14:paraId="2FB2E9F9" w14:textId="77777777" w:rsidR="007C7BB8" w:rsidRPr="007C7BB8" w:rsidRDefault="007C7BB8" w:rsidP="007C7BB8">
      <w:pPr>
        <w:spacing w:after="0" w:line="240" w:lineRule="auto"/>
        <w:ind w:firstLine="284"/>
        <w:jc w:val="both"/>
        <w:rPr>
          <w:rFonts w:ascii="Garamond" w:hAnsi="Garamond"/>
          <w:sz w:val="24"/>
          <w:szCs w:val="24"/>
        </w:rPr>
      </w:pPr>
    </w:p>
    <w:p w14:paraId="7DC6C39B" w14:textId="77777777" w:rsidR="007C7BB8" w:rsidRPr="007C7BB8" w:rsidRDefault="007C7BB8" w:rsidP="00C5117E">
      <w:pPr>
        <w:pStyle w:val="Neninr"/>
      </w:pPr>
      <w:r w:rsidRPr="007C7BB8">
        <w:t>Neni 35</w:t>
      </w:r>
    </w:p>
    <w:p w14:paraId="4D4AFC75" w14:textId="77777777" w:rsidR="007C7BB8" w:rsidRPr="00C5117E" w:rsidRDefault="007C7BB8" w:rsidP="00C5117E">
      <w:pPr>
        <w:pStyle w:val="Neninr"/>
        <w:rPr>
          <w:b/>
        </w:rPr>
      </w:pPr>
      <w:r w:rsidRPr="00C5117E">
        <w:rPr>
          <w:b/>
        </w:rPr>
        <w:t>Detyrimet që rrjedhin nga marrëveshja kuadër</w:t>
      </w:r>
    </w:p>
    <w:p w14:paraId="50C3E4C0" w14:textId="77777777" w:rsidR="007C7BB8" w:rsidRPr="007C7BB8" w:rsidRDefault="007C7BB8" w:rsidP="007C7BB8">
      <w:pPr>
        <w:spacing w:after="0" w:line="240" w:lineRule="auto"/>
        <w:ind w:firstLine="284"/>
        <w:jc w:val="both"/>
        <w:rPr>
          <w:rFonts w:ascii="Garamond" w:hAnsi="Garamond"/>
          <w:sz w:val="24"/>
          <w:szCs w:val="24"/>
        </w:rPr>
      </w:pPr>
    </w:p>
    <w:p w14:paraId="062B883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Një marrëveshje kuadër është ligjërisht e detyrueshme për të dyja palët. Autoritetet kontraktore nuk janë të detyruara të prokurojnë një sasi të caktuar mallrash/shërbimesh/punësh të përfshira në marrëveshje. Por, në çdo rast gjatë kohëzgjatjes së marrëveshjes kuadër, autoritetet kontraktore nuk lejohen të blejnë nga asnjë operator ekonomik tjetër të njëjtat mallra/shërbime/punë të mbuluara nga një marrëveshje kuadër, pasi kjo do të konsiderohej një shkelje e marrëveshjes. </w:t>
      </w:r>
    </w:p>
    <w:p w14:paraId="6895895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Operatorët ekonomikë janë të detyruar të zbatojnë kontratën sipas cilësisë dhe çmimit të ofertuar, në kohën e kërkuar prej autoriteteve kontraktore.</w:t>
      </w:r>
    </w:p>
    <w:p w14:paraId="4BC39D4F" w14:textId="77777777" w:rsidR="007C7BB8" w:rsidRPr="007C7BB8" w:rsidRDefault="007C7BB8" w:rsidP="007C7BB8">
      <w:pPr>
        <w:spacing w:after="0" w:line="240" w:lineRule="auto"/>
        <w:ind w:firstLine="284"/>
        <w:jc w:val="both"/>
        <w:rPr>
          <w:rFonts w:ascii="Garamond" w:hAnsi="Garamond"/>
          <w:sz w:val="24"/>
          <w:szCs w:val="24"/>
        </w:rPr>
      </w:pPr>
    </w:p>
    <w:p w14:paraId="2A76C873" w14:textId="77777777" w:rsidR="007C7BB8" w:rsidRPr="007C7BB8" w:rsidRDefault="007C7BB8" w:rsidP="00C5117E">
      <w:pPr>
        <w:pStyle w:val="Neninr"/>
      </w:pPr>
      <w:r w:rsidRPr="007C7BB8">
        <w:t>Neni 36</w:t>
      </w:r>
    </w:p>
    <w:p w14:paraId="29F4BB12" w14:textId="77777777" w:rsidR="007C7BB8" w:rsidRPr="00C5117E" w:rsidRDefault="007C7BB8" w:rsidP="00C5117E">
      <w:pPr>
        <w:pStyle w:val="Neninr"/>
        <w:rPr>
          <w:b/>
        </w:rPr>
      </w:pPr>
      <w:r w:rsidRPr="00C5117E">
        <w:rPr>
          <w:b/>
        </w:rPr>
        <w:t>Prokurimi i marrëveshjes kuadër</w:t>
      </w:r>
    </w:p>
    <w:p w14:paraId="2CB96C78" w14:textId="77777777" w:rsidR="007C7BB8" w:rsidRPr="007C7BB8" w:rsidRDefault="007C7BB8" w:rsidP="007C7BB8">
      <w:pPr>
        <w:spacing w:after="0" w:line="240" w:lineRule="auto"/>
        <w:ind w:firstLine="284"/>
        <w:jc w:val="both"/>
        <w:rPr>
          <w:rFonts w:ascii="Garamond" w:hAnsi="Garamond"/>
          <w:sz w:val="24"/>
          <w:szCs w:val="24"/>
        </w:rPr>
      </w:pPr>
    </w:p>
    <w:p w14:paraId="608303A5" w14:textId="2FE7B93E"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1.</w:t>
      </w:r>
      <w:r w:rsidR="00C5117E">
        <w:rPr>
          <w:rFonts w:ascii="Garamond" w:hAnsi="Garamond"/>
          <w:sz w:val="24"/>
          <w:szCs w:val="24"/>
        </w:rPr>
        <w:t xml:space="preserve"> </w:t>
      </w:r>
      <w:r w:rsidRPr="007C7BB8">
        <w:rPr>
          <w:rFonts w:ascii="Garamond" w:hAnsi="Garamond"/>
          <w:sz w:val="24"/>
          <w:szCs w:val="24"/>
        </w:rPr>
        <w:t xml:space="preserve">Marrëveshja kuadër prokurohet sipas këtyre rregullave. Ajo mund të lidhet vetëm pasi autoritetet kontraktore të kenë kryer një procedurë të kufizuar, me </w:t>
      </w:r>
      <w:r w:rsidR="00C075F5">
        <w:rPr>
          <w:rFonts w:ascii="Garamond" w:hAnsi="Garamond"/>
          <w:sz w:val="24"/>
          <w:szCs w:val="24"/>
        </w:rPr>
        <w:t>negocim</w:t>
      </w:r>
      <w:r w:rsidRPr="007C7BB8">
        <w:rPr>
          <w:rFonts w:ascii="Garamond" w:hAnsi="Garamond"/>
          <w:sz w:val="24"/>
          <w:szCs w:val="24"/>
        </w:rPr>
        <w:t xml:space="preserve">, me shpallje paraprake të njoftimit të kontratës ose dialog konkurrues. </w:t>
      </w:r>
    </w:p>
    <w:p w14:paraId="4AD11425" w14:textId="35D030AE"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w:t>
      </w:r>
      <w:r w:rsidR="00C5117E">
        <w:rPr>
          <w:rFonts w:ascii="Garamond" w:hAnsi="Garamond"/>
          <w:sz w:val="24"/>
          <w:szCs w:val="24"/>
        </w:rPr>
        <w:t xml:space="preserve"> </w:t>
      </w:r>
      <w:r w:rsidRPr="007C7BB8">
        <w:rPr>
          <w:rFonts w:ascii="Garamond" w:hAnsi="Garamond"/>
          <w:sz w:val="24"/>
          <w:szCs w:val="24"/>
        </w:rPr>
        <w:t xml:space="preserve">Operatorët ekonomikë përzgjidhen si palë të marrëveshjes kuadër, duke zbatuar kriteret e përcaktimit të ofertës fituese, sipas përcaktimeve të nenit 45 të LPFMS-së. Në çdo rast, autoriteti kontraktor mund të vendosë të vlerësojë ofertën/ofertat fituese, duke u bazuar në çmimin për njësi. </w:t>
      </w:r>
    </w:p>
    <w:p w14:paraId="311E676D" w14:textId="015DE362"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3.</w:t>
      </w:r>
      <w:r w:rsidR="00C5117E">
        <w:rPr>
          <w:rFonts w:ascii="Garamond" w:hAnsi="Garamond"/>
          <w:sz w:val="24"/>
          <w:szCs w:val="24"/>
        </w:rPr>
        <w:t xml:space="preserve"> </w:t>
      </w:r>
      <w:r w:rsidRPr="007C7BB8">
        <w:rPr>
          <w:rFonts w:ascii="Garamond" w:hAnsi="Garamond"/>
          <w:sz w:val="24"/>
          <w:szCs w:val="24"/>
        </w:rPr>
        <w:t>Autoriteti kontraktor harton dhe publikon njoftimin e fituesit për një marrëveshje kuadër në përputhje me LPFMS-në dhe këto rregulla.</w:t>
      </w:r>
    </w:p>
    <w:p w14:paraId="767285FA" w14:textId="77777777" w:rsidR="007C7BB8" w:rsidRPr="007C7BB8" w:rsidRDefault="007C7BB8" w:rsidP="007C7BB8">
      <w:pPr>
        <w:spacing w:after="0" w:line="240" w:lineRule="auto"/>
        <w:ind w:firstLine="284"/>
        <w:jc w:val="both"/>
        <w:rPr>
          <w:rFonts w:ascii="Garamond" w:hAnsi="Garamond"/>
          <w:sz w:val="24"/>
          <w:szCs w:val="24"/>
        </w:rPr>
      </w:pPr>
    </w:p>
    <w:p w14:paraId="228ACFAB" w14:textId="77777777" w:rsidR="007C7BB8" w:rsidRPr="007C7BB8" w:rsidRDefault="007C7BB8" w:rsidP="00C5117E">
      <w:pPr>
        <w:pStyle w:val="Neninr"/>
      </w:pPr>
      <w:r w:rsidRPr="007C7BB8">
        <w:t>Neni 37</w:t>
      </w:r>
    </w:p>
    <w:p w14:paraId="424D92BC" w14:textId="77777777" w:rsidR="007C7BB8" w:rsidRPr="00C5117E" w:rsidRDefault="007C7BB8" w:rsidP="00C5117E">
      <w:pPr>
        <w:pStyle w:val="Neninr"/>
        <w:rPr>
          <w:b/>
        </w:rPr>
      </w:pPr>
      <w:r w:rsidRPr="00C5117E">
        <w:rPr>
          <w:b/>
        </w:rPr>
        <w:t>Përllogaritja e vlerës së marrëveshjes kuadër</w:t>
      </w:r>
    </w:p>
    <w:p w14:paraId="3503184E" w14:textId="77777777" w:rsidR="007C7BB8" w:rsidRPr="007C7BB8" w:rsidRDefault="007C7BB8" w:rsidP="007C7BB8">
      <w:pPr>
        <w:spacing w:after="0" w:line="240" w:lineRule="auto"/>
        <w:ind w:firstLine="284"/>
        <w:jc w:val="both"/>
        <w:rPr>
          <w:rFonts w:ascii="Garamond" w:hAnsi="Garamond"/>
          <w:sz w:val="24"/>
          <w:szCs w:val="24"/>
        </w:rPr>
      </w:pPr>
    </w:p>
    <w:p w14:paraId="52C8324A" w14:textId="4672F263"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1.</w:t>
      </w:r>
      <w:r w:rsidR="00C5117E">
        <w:rPr>
          <w:rFonts w:ascii="Garamond" w:hAnsi="Garamond"/>
          <w:sz w:val="24"/>
          <w:szCs w:val="24"/>
        </w:rPr>
        <w:t xml:space="preserve"> </w:t>
      </w:r>
      <w:r w:rsidRPr="007C7BB8">
        <w:rPr>
          <w:rFonts w:ascii="Garamond" w:hAnsi="Garamond"/>
          <w:sz w:val="24"/>
          <w:szCs w:val="24"/>
        </w:rPr>
        <w:t xml:space="preserve">Vlera e parashikuar e një marrëveshjeje kuadër duhet të përfshijë shumën e përllogaritur të të gjitha vlerave të kontratave që parashikohen të jepen gjatë kohës së vlefshmërisë së marrëveshjes kuadër. </w:t>
      </w:r>
    </w:p>
    <w:p w14:paraId="1C2F0A63" w14:textId="29F80A5B"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w:t>
      </w:r>
      <w:r w:rsidR="00C5117E">
        <w:rPr>
          <w:rFonts w:ascii="Garamond" w:hAnsi="Garamond"/>
          <w:sz w:val="24"/>
          <w:szCs w:val="24"/>
        </w:rPr>
        <w:t xml:space="preserve"> </w:t>
      </w:r>
      <w:r w:rsidRPr="007C7BB8">
        <w:rPr>
          <w:rFonts w:ascii="Garamond" w:hAnsi="Garamond"/>
          <w:sz w:val="24"/>
          <w:szCs w:val="24"/>
        </w:rPr>
        <w:t xml:space="preserve">Në rastin kur autoriteti kontraktor e ka të pamundur të përcaktojë sasinë e objektit të prokurimit, për efekt të përllogaritjes së vlerës së marrëveshjes kuadër, duhet t’u referohet, për aq sa është e mundur, nevojave të planifikuara dhe/ose nevojave të mëparshme për këtë objekt. Në çdo rast, përllogaritja e nevojave duhet të jetë sa më e plotë dhe gjithëpërfshirëse, me qëllim shmangien e situatave kur dalin nevoja të reja, për të njëjtin objekt, të papërfshira në marrëveshjen kuadër. </w:t>
      </w:r>
    </w:p>
    <w:p w14:paraId="53AE437E" w14:textId="77777777" w:rsidR="007C7BB8" w:rsidRPr="007C7BB8" w:rsidRDefault="007C7BB8" w:rsidP="007C7BB8">
      <w:pPr>
        <w:spacing w:after="0" w:line="240" w:lineRule="auto"/>
        <w:ind w:firstLine="284"/>
        <w:jc w:val="both"/>
        <w:rPr>
          <w:rFonts w:ascii="Garamond" w:hAnsi="Garamond"/>
          <w:sz w:val="24"/>
          <w:szCs w:val="24"/>
        </w:rPr>
      </w:pPr>
    </w:p>
    <w:p w14:paraId="5F601635" w14:textId="77777777" w:rsidR="007C7BB8" w:rsidRPr="007C7BB8" w:rsidRDefault="007C7BB8" w:rsidP="00C5117E">
      <w:pPr>
        <w:pStyle w:val="Neninr"/>
      </w:pPr>
      <w:r w:rsidRPr="007C7BB8">
        <w:t>Neni 38</w:t>
      </w:r>
    </w:p>
    <w:p w14:paraId="0440DC81" w14:textId="77777777" w:rsidR="007C7BB8" w:rsidRPr="00C5117E" w:rsidRDefault="007C7BB8" w:rsidP="00C5117E">
      <w:pPr>
        <w:pStyle w:val="Neninr"/>
        <w:rPr>
          <w:b/>
        </w:rPr>
      </w:pPr>
      <w:r w:rsidRPr="00C5117E">
        <w:rPr>
          <w:b/>
        </w:rPr>
        <w:t>Llojet e marrëveshjes kuadër</w:t>
      </w:r>
    </w:p>
    <w:p w14:paraId="4757EDE5" w14:textId="77777777" w:rsidR="007C7BB8" w:rsidRPr="007C7BB8" w:rsidRDefault="007C7BB8" w:rsidP="007C7BB8">
      <w:pPr>
        <w:spacing w:after="0" w:line="240" w:lineRule="auto"/>
        <w:ind w:firstLine="284"/>
        <w:jc w:val="both"/>
        <w:rPr>
          <w:rFonts w:ascii="Garamond" w:hAnsi="Garamond"/>
          <w:sz w:val="24"/>
          <w:szCs w:val="24"/>
        </w:rPr>
      </w:pPr>
    </w:p>
    <w:p w14:paraId="134E4A6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Marrëveshja kuadër mund të lidhet me: </w:t>
      </w:r>
    </w:p>
    <w:p w14:paraId="4DDB07D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një operator ekonomik, ku të gjitha kushtet janë të përcaktuara; </w:t>
      </w:r>
    </w:p>
    <w:p w14:paraId="66C970F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disa operatorë ekonomikë kur: </w:t>
      </w:r>
    </w:p>
    <w:p w14:paraId="062B0776" w14:textId="2BB21D53"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i. </w:t>
      </w:r>
      <w:r w:rsidR="007C7BB8" w:rsidRPr="007C7BB8">
        <w:rPr>
          <w:rFonts w:ascii="Garamond" w:hAnsi="Garamond"/>
          <w:sz w:val="24"/>
          <w:szCs w:val="24"/>
        </w:rPr>
        <w:t xml:space="preserve">të gjitha kushtet janë të përcaktuara; </w:t>
      </w:r>
    </w:p>
    <w:p w14:paraId="3BC9FA28" w14:textId="6B1BD1F1"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ii. </w:t>
      </w:r>
      <w:r w:rsidR="007C7BB8" w:rsidRPr="007C7BB8">
        <w:rPr>
          <w:rFonts w:ascii="Garamond" w:hAnsi="Garamond"/>
          <w:sz w:val="24"/>
          <w:szCs w:val="24"/>
        </w:rPr>
        <w:t xml:space="preserve">jo të gjitha kushtet janë të përcaktuara. </w:t>
      </w:r>
    </w:p>
    <w:p w14:paraId="514A9A45" w14:textId="4BBC67B9"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2</w:t>
      </w:r>
      <w:r w:rsidR="00C5117E">
        <w:rPr>
          <w:rFonts w:ascii="Garamond" w:hAnsi="Garamond"/>
          <w:sz w:val="24"/>
          <w:szCs w:val="24"/>
        </w:rPr>
        <w:t xml:space="preserve">. </w:t>
      </w:r>
      <w:r w:rsidRPr="007C7BB8">
        <w:rPr>
          <w:rFonts w:ascii="Garamond" w:hAnsi="Garamond"/>
          <w:sz w:val="24"/>
          <w:szCs w:val="24"/>
        </w:rPr>
        <w:t>Kontratat e bazuara në marrëveshjet kuadër të lidhura me një operator ekonomik, ku të gjitha kushtet janë të përcaktuara, duhet të akordohen brenda kufijve dhe kushteve të parashikuara në marrëveshjen kuadër. Në kontratat e bazuara në marrëveshjen kuadër nuk mund të bëhen ndryshime të kushteve për të cilat është lidhur marrëveshja, pasi kjo do të konsiderohej shkelje e marrëveshjes kuadër. Nëse nevojat e autoritetit kontraktor ndryshojnë, atëherë autoriteti kontraktor duhet të prokurojë një marrëveshje kuadër të re. Një operatori ekonomik i kërkohet të përgatitë ofertën e tij vetëm në lidhje me kushtet për të cilat është rënë dakord paraprakisht në marrëveshjen kuadër. Autoriteti kontraktor harton dhe publikon njoftimin e fituesit për një kontratë bazuar në marrëveshjen kuadër në përputhje me LPFMS-në dhe këto rregulla.</w:t>
      </w:r>
    </w:p>
    <w:p w14:paraId="331D57A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Kontratat e bazuara në marrëveshjet kuadër, të lidhura me disa operatorë ekonomikë ku të gjitha kushtet janë të përcaktuara, duhet të akordohen brenda kufijve dhe kushteve të parashikuara në marrëveshjen kuadër. Meqenëse këto marrëveshje kuadër vlerësohen si kontrata, nuk lejohet të bëhen ndryshime të kushteve të tyre, pasi kjo do të konsiderohej shkelje e kontratës. Nëse nevojat e autoritetit kontraktor ndryshojnë, atëherë autoriteti kontraktor duhet të prokurojë një marrëveshje kuadër të re. </w:t>
      </w:r>
    </w:p>
    <w:p w14:paraId="38F7104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 rast të përdorimit të kësaj lloj marrëveshjeje, autoriteti kontraktor duhet të përcaktojë në dokumentet e tenderit kushtet që do të zbatohen për dhënien e kontratave brenda marrëveshjes kuadër. Në çdo rast, dhënia e kontratave do të bëhet pa rihapur konkurrimin, duke u bazuar në kushtet e përcaktuara në marrëveshjen kuadër. </w:t>
      </w:r>
    </w:p>
    <w:p w14:paraId="59F0C83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Kjo lloj marrëveshjeje përdoret në rastin e ndarjes së objektit të prokurimit në lote, ku për çdo lot do të përcaktohet një operator ekonomik fitues. </w:t>
      </w:r>
    </w:p>
    <w:p w14:paraId="12525FB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Marrëveshjet kuadër me disa operatorë ekonomikë duhet të lidhen me të paktën tre operatorë ekonomikë, nëse të tre operatorët ekonomikë i kanë përmbushur të gjitha kriteret e përzgjedhjes. Në rast të kundërt, autoritetet kontraktore mund të lidhin marrëveshje kuadër me ato operatorë ekonomikë që i kanë përmbushur të gjitha kriteret, me kusht që të jenë të paktën dy. </w:t>
      </w:r>
    </w:p>
    <w:p w14:paraId="113CE9B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Në përfundim të afateve të ankimit, operatorët ekonomikë të kualifikuar në marrëveshjen kuadër renditen sipas kriterit të vlerësimit.</w:t>
      </w:r>
    </w:p>
    <w:p w14:paraId="6F9CD45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Autoriteti kontraktor harton dhe publikon njoftimin e fituesit për një kontratë, bazuar në marrëveshjen kuadër, në përputhje me LPFMS-në dhe këto rregulla. </w:t>
      </w:r>
    </w:p>
    <w:p w14:paraId="63F47A1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Marrëveshjet kuadër me disa operatorë ekonomikë, ku jo të gjitha kushtet janë të përcaktuara, nuk konsiderohen kontrata. </w:t>
      </w:r>
    </w:p>
    <w:p w14:paraId="7266604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 rast të përdorimit të kësaj lloj marrëveshjeje, autoriteti kontraktor për të lidhur kontratë brenda marrëveshjes kuadër duhet të rihapë konkurrimin. </w:t>
      </w:r>
    </w:p>
    <w:p w14:paraId="1BA1B5C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Autoriteti kontraktor përgatit një ftesë për ofertë dhe ia dërgon vetëm operatorëve ekonomikë palë të marrëveshjes kuadër, pa bërë njoftim publik. Ftesa për ofertë drejtuar operatorëve ekonomikë duhet të përcaktojë afatin kohor për dorëzimin e ofertave, kriteret e përcaktimit të ofertës fituese për kontratën e bazuar në marrëveshjen kuadër dhe çdo informacion të nevojshëm për përgatitjen e ofertave.</w:t>
      </w:r>
    </w:p>
    <w:p w14:paraId="7EE6686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Kriteret e përcaktimit të ofertës fituese gjatë rihapjes së konkurrimit mund të jenë të njëjta si ato të marrëveshjes kuadër ose autoriteti kontraktor mund të përdorë kritere të tjera, me kusht që ato të jenë të përcaktuara në dokumentet fillestare të marrëveshjes kuadër. Këto kritere mund të jenë çmimet për volume të caktuara, informacion për konsulencat për një shërbim intelektual, koha e nevojshme për dorëzim ose orët e nevojshme për kryerjen e punimeve specifike. </w:t>
      </w:r>
    </w:p>
    <w:p w14:paraId="028301D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Komunikimi ndërmjet autoritetit kontraktor dhe operatorëve ekonomikë, palë të marrëveshjes kuadër, për përzgjedhjen e fituesit për kontratat bëhet në formë të shkruar ose elektronike (e-mail, faks etj.) dhe, në çdo rast, duhet të dokumentohet e të bëhet pjesë e dosjes së procedurës. </w:t>
      </w:r>
    </w:p>
    <w:p w14:paraId="32A8177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Forma e komunikimit përzgjidhet nga autoriteti kontraktor, në varësi të kohës në dispozicion për përmbushjen e nevojës. Autoriteti kontraktor është përgjegjës për të ruajtur konfidencialitetin e përmbajtjes së ofertave, deri në vlerësimin përfundimtar të tyre. </w:t>
      </w:r>
    </w:p>
    <w:p w14:paraId="1DC7CF8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 xml:space="preserve">Në çdo rast, autoriteti kontraktor duhet t’u dërgojë, në të njëjtën kohë, ftesën për ofertë të gjithë operatorëve ekonomikë, palë të marrëveshjes kuadër. </w:t>
      </w:r>
    </w:p>
    <w:p w14:paraId="39BC4E49" w14:textId="15E3FAE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Autoriteti kontraktor harton e publikon njoftimin e fituesit për një kontratë bazuar në marrëveshjen kuadër në përputhje me LPFMS-në dhe këto rregulla. </w:t>
      </w:r>
    </w:p>
    <w:p w14:paraId="081421B6" w14:textId="77777777" w:rsidR="007C7BB8" w:rsidRPr="007C7BB8" w:rsidRDefault="007C7BB8" w:rsidP="007C7BB8">
      <w:pPr>
        <w:spacing w:after="0" w:line="240" w:lineRule="auto"/>
        <w:ind w:firstLine="284"/>
        <w:jc w:val="both"/>
        <w:rPr>
          <w:rFonts w:ascii="Garamond" w:hAnsi="Garamond"/>
          <w:sz w:val="24"/>
          <w:szCs w:val="24"/>
        </w:rPr>
      </w:pPr>
    </w:p>
    <w:p w14:paraId="075DF8C5" w14:textId="77777777" w:rsidR="007C7BB8" w:rsidRPr="007C7BB8" w:rsidRDefault="007C7BB8" w:rsidP="00C5117E">
      <w:pPr>
        <w:pStyle w:val="Neninr"/>
      </w:pPr>
      <w:r w:rsidRPr="007C7BB8">
        <w:t>Neni  39</w:t>
      </w:r>
    </w:p>
    <w:p w14:paraId="3B1D5324" w14:textId="77777777" w:rsidR="007C7BB8" w:rsidRPr="00C5117E" w:rsidRDefault="007C7BB8" w:rsidP="00C5117E">
      <w:pPr>
        <w:pStyle w:val="Neninr"/>
        <w:rPr>
          <w:b/>
        </w:rPr>
      </w:pPr>
      <w:r w:rsidRPr="00C5117E">
        <w:rPr>
          <w:b/>
        </w:rPr>
        <w:t>Dhënia e kontratave sipas marrëveshjes kuadër</w:t>
      </w:r>
    </w:p>
    <w:p w14:paraId="6F0B610B" w14:textId="77777777" w:rsidR="007C7BB8" w:rsidRPr="007C7BB8" w:rsidRDefault="007C7BB8" w:rsidP="007C7BB8">
      <w:pPr>
        <w:spacing w:after="0" w:line="240" w:lineRule="auto"/>
        <w:ind w:firstLine="284"/>
        <w:jc w:val="both"/>
        <w:rPr>
          <w:rFonts w:ascii="Garamond" w:hAnsi="Garamond"/>
          <w:sz w:val="24"/>
          <w:szCs w:val="24"/>
        </w:rPr>
      </w:pPr>
    </w:p>
    <w:p w14:paraId="2296E27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Kontratat mund të jepen mbi bazën e marrëveshjes kuadër përgjatë gjithë kohës së vlefshmërisë së saj. Periudha e vlefshmërisë së kontratave të lidhura mbi bazën e një marrëveshjeje kuadër mund të kalojë periudhën e vlefshmërisë së marrëveshjes kuadër. </w:t>
      </w:r>
    </w:p>
    <w:p w14:paraId="175953E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Në rastin e marrëveshjes kuadër, ku jo të gjitha kushtet janë të përcaktuara, gjatë rihapjes së konkurrimit, autoriteti kontraktor është i detyruar të krijojë një komision vlerësimi për dhënien e një kontrate në bazë të marrëveshjes kuadër. </w:t>
      </w:r>
    </w:p>
    <w:p w14:paraId="1BD136D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Nuk është e nevojshme që përbërja e komisionit të jetë e njëjtë me atë të Komisionit të Vlerësimit të Ofertave, të përcaktuar për kryerjen e procedurës së prokurimit për marrëveshjen kuadër. </w:t>
      </w:r>
    </w:p>
    <w:p w14:paraId="4C3E6996"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Dhënia e kontratave në bazë të një marrëveshjeje kuadër të realizuar nga një autoritet kontraktor në cilësinë e organit qendror blerës do të bëhet nga vetë autoritetet kontraktore përfituese. </w:t>
      </w:r>
    </w:p>
    <w:p w14:paraId="7FCC6271" w14:textId="661D2976"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i. </w:t>
      </w:r>
      <w:r w:rsidR="007C7BB8" w:rsidRPr="007C7BB8">
        <w:rPr>
          <w:rFonts w:ascii="Garamond" w:hAnsi="Garamond"/>
          <w:sz w:val="24"/>
          <w:szCs w:val="24"/>
        </w:rPr>
        <w:t xml:space="preserve">Në rastin e marrëveshjeve kuadër, të realizuara nga një autoritet kontraktor, njoftimi i kontratave të lidhura gjatë një viti kalendarik do të dërgohet për publikim në Buletinin e Njoftimeve Publike. </w:t>
      </w:r>
    </w:p>
    <w:p w14:paraId="5EE9759F" w14:textId="07CC80E4" w:rsidR="007C7BB8" w:rsidRPr="007C7BB8" w:rsidRDefault="00C5117E" w:rsidP="007C7BB8">
      <w:pPr>
        <w:spacing w:after="0" w:line="240" w:lineRule="auto"/>
        <w:ind w:firstLine="284"/>
        <w:jc w:val="both"/>
        <w:rPr>
          <w:rFonts w:ascii="Garamond" w:hAnsi="Garamond"/>
          <w:sz w:val="24"/>
          <w:szCs w:val="24"/>
        </w:rPr>
      </w:pPr>
      <w:r>
        <w:rPr>
          <w:rFonts w:ascii="Garamond" w:hAnsi="Garamond"/>
          <w:sz w:val="24"/>
          <w:szCs w:val="24"/>
        </w:rPr>
        <w:t xml:space="preserve">ii. </w:t>
      </w:r>
      <w:r w:rsidR="007C7BB8" w:rsidRPr="007C7BB8">
        <w:rPr>
          <w:rFonts w:ascii="Garamond" w:hAnsi="Garamond"/>
          <w:sz w:val="24"/>
          <w:szCs w:val="24"/>
        </w:rPr>
        <w:t xml:space="preserve">Në rastin e marrëveshjeve kuadër, të realizuara nga një autoritet kontraktor në cilësinë e organit qendror blerës, njoftimi i kontratave të lidhura gjatë një viti kalendarik do të dërgohet për publikim në Buletinin e Njoftimeve Publike nga autoriteti kontraktor, në cilësinë e organit qendror blerës. </w:t>
      </w:r>
    </w:p>
    <w:p w14:paraId="15F7CE6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Sasitë e parashikuara janë vetëm “sasi orientuese”. Autoriteti kontraktor mund të blejë më pak ose më shumë se sasitë e parashikuara (por, në çdo rast, brenda vlerës së përllogaritur të marrëveshjes kuadër). </w:t>
      </w:r>
    </w:p>
    <w:p w14:paraId="2E86694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5. Operatori ekonomik, që është palë në një marrëveshje kuadër, nuk mund të formojë një bashkim operatorësh ekonomikë dhe të paraqesë ofertë për një kontratë, pasi është bërë palë e kësaj marrëveshjeje kuadër. </w:t>
      </w:r>
    </w:p>
    <w:p w14:paraId="1C14DA0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6. Operatori ekonomik, që është palë në një marrëveshje kuadër, nuk mund të caktohet si nënkontraktor i një operatori ekonomik tjetër, që i është dhënë kontrata sipas së njëjtës marrëveshje kuadër.</w:t>
      </w:r>
    </w:p>
    <w:p w14:paraId="1D4E6C3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7. Nëse një operator ekonomik, palë në marrëveshjen kuadër, nuk përmbush më kriteret e kualifikimit, për të cilat është shpallur fitues në këtë marrëveshje, është i detyruar të njoftojë autoritetin kontraktor menjëherë, por jo më vonë se 15 (pesëmbëdhjetë) ditë nga momenti i ndodhjes së një ndryshimi të tillë. </w:t>
      </w:r>
    </w:p>
    <w:p w14:paraId="649992A7" w14:textId="77777777" w:rsidR="007C7BB8" w:rsidRPr="007C7BB8" w:rsidRDefault="007C7BB8" w:rsidP="007C7BB8">
      <w:pPr>
        <w:spacing w:after="0" w:line="240" w:lineRule="auto"/>
        <w:ind w:firstLine="284"/>
        <w:jc w:val="both"/>
        <w:rPr>
          <w:rFonts w:ascii="Garamond" w:hAnsi="Garamond"/>
          <w:sz w:val="24"/>
          <w:szCs w:val="24"/>
        </w:rPr>
      </w:pPr>
    </w:p>
    <w:p w14:paraId="729BFE5C" w14:textId="77777777" w:rsidR="007C7BB8" w:rsidRPr="007C7BB8" w:rsidRDefault="007C7BB8" w:rsidP="00C5117E">
      <w:pPr>
        <w:pStyle w:val="Neninr"/>
      </w:pPr>
      <w:r w:rsidRPr="007C7BB8">
        <w:t>Neni 40</w:t>
      </w:r>
    </w:p>
    <w:p w14:paraId="657A0CA0" w14:textId="77777777" w:rsidR="007C7BB8" w:rsidRPr="00C5117E" w:rsidRDefault="007C7BB8" w:rsidP="00C5117E">
      <w:pPr>
        <w:pStyle w:val="Neninr"/>
        <w:rPr>
          <w:b/>
        </w:rPr>
      </w:pPr>
      <w:r w:rsidRPr="00C5117E">
        <w:rPr>
          <w:b/>
        </w:rPr>
        <w:t>Ndryshimi në numër i palëve të marrëveshjes kuadër</w:t>
      </w:r>
    </w:p>
    <w:p w14:paraId="1643440C" w14:textId="77777777" w:rsidR="007C7BB8" w:rsidRPr="007C7BB8" w:rsidRDefault="007C7BB8" w:rsidP="007C7BB8">
      <w:pPr>
        <w:spacing w:after="0" w:line="240" w:lineRule="auto"/>
        <w:ind w:firstLine="284"/>
        <w:jc w:val="both"/>
        <w:rPr>
          <w:rFonts w:ascii="Garamond" w:hAnsi="Garamond"/>
          <w:sz w:val="24"/>
          <w:szCs w:val="24"/>
        </w:rPr>
      </w:pPr>
    </w:p>
    <w:p w14:paraId="2D9645B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Nëse para mbarimit të marrëveshjes kuadër, të nënshkruar me disa operatorë ekonomikë, palë në marrëveshjen kuadër, mbetet vetëm një operator ekonomik, autoriteti kontraktor nuk duhet të japë kontrata sipas kësaj marrëveshjeje kuadër. </w:t>
      </w:r>
    </w:p>
    <w:p w14:paraId="536F19C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Kur lind një situatë e tillë, autoriteti kontraktor është i detyruar të njoftojë menjëherë operatorin ekonomik të mbetur në marrëveshjen kuadër. Vlefshmëria dhe efektiviteti i marrëveshjes kuadër pushojnë së ekzistuari me këtë njoftim. </w:t>
      </w:r>
    </w:p>
    <w:p w14:paraId="6CB8CB9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 xml:space="preserve">Në rast se një operator ekonomik nuk i përgjigjet dy herë radhazi ftesës së autoritetit kontraktor gjatë rihapjes së konkurrimit, ky operator nuk do të jetë më palë e marrëveshjes kuadër. </w:t>
      </w:r>
    </w:p>
    <w:p w14:paraId="086790C4" w14:textId="77777777" w:rsidR="007C7BB8" w:rsidRPr="007C7BB8" w:rsidRDefault="007C7BB8" w:rsidP="007C7BB8">
      <w:pPr>
        <w:spacing w:after="0" w:line="240" w:lineRule="auto"/>
        <w:ind w:firstLine="284"/>
        <w:jc w:val="both"/>
        <w:rPr>
          <w:rFonts w:ascii="Garamond" w:hAnsi="Garamond"/>
          <w:sz w:val="24"/>
          <w:szCs w:val="24"/>
        </w:rPr>
      </w:pPr>
    </w:p>
    <w:p w14:paraId="08295D23" w14:textId="77777777" w:rsidR="007C7BB8" w:rsidRPr="007C7BB8" w:rsidRDefault="007C7BB8" w:rsidP="00780BCA">
      <w:pPr>
        <w:pStyle w:val="Neninr"/>
      </w:pPr>
      <w:r w:rsidRPr="007C7BB8">
        <w:t>KREU V</w:t>
      </w:r>
    </w:p>
    <w:p w14:paraId="35E6C874" w14:textId="77777777" w:rsidR="007C7BB8" w:rsidRPr="007C7BB8" w:rsidRDefault="007C7BB8" w:rsidP="00780BCA">
      <w:pPr>
        <w:pStyle w:val="Neninr"/>
      </w:pPr>
      <w:r w:rsidRPr="007C7BB8">
        <w:t>ZYRTARËT E PROKURIMIT DHE ZHVILLIMI I PROCEDURAVE</w:t>
      </w:r>
    </w:p>
    <w:p w14:paraId="71A4E194" w14:textId="77777777" w:rsidR="007C7BB8" w:rsidRPr="007C7BB8" w:rsidRDefault="007C7BB8" w:rsidP="00780BCA">
      <w:pPr>
        <w:pStyle w:val="Neninr"/>
      </w:pPr>
    </w:p>
    <w:p w14:paraId="5D6EE9FE" w14:textId="77777777" w:rsidR="007C7BB8" w:rsidRPr="007C7BB8" w:rsidRDefault="007C7BB8" w:rsidP="00780BCA">
      <w:pPr>
        <w:pStyle w:val="Neninr"/>
      </w:pPr>
      <w:r w:rsidRPr="007C7BB8">
        <w:t>Neni 41</w:t>
      </w:r>
    </w:p>
    <w:p w14:paraId="03139F9A" w14:textId="77777777" w:rsidR="007C7BB8" w:rsidRPr="00780BCA" w:rsidRDefault="007C7BB8" w:rsidP="00780BCA">
      <w:pPr>
        <w:pStyle w:val="Neninr"/>
        <w:rPr>
          <w:b/>
        </w:rPr>
      </w:pPr>
      <w:r w:rsidRPr="00780BCA">
        <w:rPr>
          <w:b/>
        </w:rPr>
        <w:t>Titullari i autoritetit kontraktor ose zyrtari i autorizuar</w:t>
      </w:r>
    </w:p>
    <w:p w14:paraId="22DE80C2" w14:textId="77777777" w:rsidR="007C7BB8" w:rsidRPr="007C7BB8" w:rsidRDefault="007C7BB8" w:rsidP="007C7BB8">
      <w:pPr>
        <w:spacing w:after="0" w:line="240" w:lineRule="auto"/>
        <w:ind w:firstLine="284"/>
        <w:jc w:val="both"/>
        <w:rPr>
          <w:rFonts w:ascii="Garamond" w:hAnsi="Garamond"/>
          <w:sz w:val="24"/>
          <w:szCs w:val="24"/>
        </w:rPr>
      </w:pPr>
    </w:p>
    <w:p w14:paraId="4CFE539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Titullari i autoritetit kontraktor ose zyrtari i autorizuar prej tij është përgjegjës për ngritjen e  grupeve të punës, komisioneve të përfshira në procesin e prokurimit dhe nxjerrjen e urdhrit të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w:t>
      </w:r>
    </w:p>
    <w:p w14:paraId="61AC5DD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Kërkesat ligjore për parandalimin e konfliktit të interesit, sipas legjislacionit në fuqi, duhet të mbahen parasysh në emërimin e një nëpunësi prokurimi. Çdo nëpunës, që merr pjesë në procesin e prokurimit, nënshkruan një deklaratë, përmes së cilës deklaron se nuk ndodhet në kushtet e konfliktit të interesit. </w:t>
      </w:r>
    </w:p>
    <w:p w14:paraId="0D6DE25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Nuk lejohet që titullari i autoritetit kontraktor apo zyrtari i autorizuar të drejtojë një komision ose të marrë pjesë në fazën e procedurës së përzgjedhjes së fituesit, në përputhje me LPFMS-në dhe me këto rregulla. </w:t>
      </w:r>
    </w:p>
    <w:p w14:paraId="4B8FBF26" w14:textId="77777777" w:rsidR="007C7BB8" w:rsidRPr="007C7BB8" w:rsidRDefault="007C7BB8" w:rsidP="007C7BB8">
      <w:pPr>
        <w:spacing w:after="0" w:line="240" w:lineRule="auto"/>
        <w:ind w:firstLine="284"/>
        <w:jc w:val="both"/>
        <w:rPr>
          <w:rFonts w:ascii="Garamond" w:hAnsi="Garamond"/>
          <w:sz w:val="24"/>
          <w:szCs w:val="24"/>
        </w:rPr>
      </w:pPr>
    </w:p>
    <w:p w14:paraId="64A4F576" w14:textId="77777777" w:rsidR="007C7BB8" w:rsidRPr="007C7BB8" w:rsidRDefault="007C7BB8" w:rsidP="00780BCA">
      <w:pPr>
        <w:pStyle w:val="Neninr"/>
      </w:pPr>
      <w:r w:rsidRPr="007C7BB8">
        <w:t>Neni 42</w:t>
      </w:r>
    </w:p>
    <w:p w14:paraId="276995D9" w14:textId="77777777" w:rsidR="007C7BB8" w:rsidRPr="00780BCA" w:rsidRDefault="007C7BB8" w:rsidP="00780BCA">
      <w:pPr>
        <w:pStyle w:val="Neninr"/>
        <w:rPr>
          <w:b/>
        </w:rPr>
      </w:pPr>
      <w:r w:rsidRPr="00780BCA">
        <w:rPr>
          <w:b/>
        </w:rPr>
        <w:t>Njësia e prokurimit</w:t>
      </w:r>
    </w:p>
    <w:p w14:paraId="18A6617A" w14:textId="77777777" w:rsidR="007C7BB8" w:rsidRPr="007C7BB8" w:rsidRDefault="007C7BB8" w:rsidP="007C7BB8">
      <w:pPr>
        <w:spacing w:after="0" w:line="240" w:lineRule="auto"/>
        <w:ind w:firstLine="284"/>
        <w:jc w:val="both"/>
        <w:rPr>
          <w:rFonts w:ascii="Garamond" w:hAnsi="Garamond"/>
          <w:sz w:val="24"/>
          <w:szCs w:val="24"/>
        </w:rPr>
      </w:pPr>
    </w:p>
    <w:p w14:paraId="41F64F46" w14:textId="2277599F"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Për çdo procedurë prokurimi, njësia e prokurimit caktohet me urdhër të veçantë të titullarit të autoritetit kontraktor dhe përbëhet nga jo më pak se 3 persona me arsim të lartë, ku të paktën njëri është specialist fushe. Njësia e prokurimit duhet të administrojë në mënyrë të vazhdueshme procesin e prokurimit.</w:t>
      </w:r>
    </w:p>
    <w:p w14:paraId="7ECDD83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 rast mungese personeli, autoriteti kontraktor mund të kërkojë staf të specializuar nga autoritete të tjera kontraktore ose të punësojë ekspertë të jashtëm. </w:t>
      </w:r>
    </w:p>
    <w:p w14:paraId="6F2F23F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Përveç sa më sipër, autoriteti kontraktor mund të krijojë një njësi të përbashkët prokurimi me një apo më shumë autoritete kontraktore. </w:t>
      </w:r>
    </w:p>
    <w:p w14:paraId="795182A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Njësia e prokurimit kryen detyrat e mëposhtme: </w:t>
      </w:r>
    </w:p>
    <w:p w14:paraId="06299BC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a) sigurimin e të dhënave të nevojshme nga strukturat përkatëse në institucion;</w:t>
      </w:r>
    </w:p>
    <w:p w14:paraId="054AB91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përzgjedhjen e llojit të procedurës së prokurimit (dhe justifikimin, kur është rasti), kur kjo nuk bëhet nga struktura të tjera të posaçme; </w:t>
      </w:r>
    </w:p>
    <w:p w14:paraId="1EAAF12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c) hartimin e urdhrit të prokurimit; </w:t>
      </w:r>
    </w:p>
    <w:p w14:paraId="1EF3656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ç) përgatitjen e dokumenteve të tenderit dhe mbledhjen e të gjitha materialeve të nevojshme, që u bashkëlidhen atyre; </w:t>
      </w:r>
    </w:p>
    <w:p w14:paraId="7A85E546"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d) hartimin dhe dërgimin e njoftimeve, brenda afateve kohore; </w:t>
      </w:r>
    </w:p>
    <w:p w14:paraId="7DB9ABD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dh) hartimin dhe dërgimin e ftesave për pjesëmarrje kandidatëve të ftuar në një procedurë   prokurimi; </w:t>
      </w:r>
    </w:p>
    <w:p w14:paraId="5702F37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e) administrimin e të gjitha procesverbaleve për dokumentet e tenderit dhe çdo dokument tjetër, që lidhet me procedurat e përcaktimit të fituesit, duke përfshirë edhe procesverbalet e mbledhjeve, kur është rasti; </w:t>
      </w:r>
    </w:p>
    <w:p w14:paraId="2742B5E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ë) llogaritjen e çmimeve të shitjes së dokumenteve të tenderit që u jepen operatorëve ekonomikë me kërkesë të tyre, kur është rasti; </w:t>
      </w:r>
    </w:p>
    <w:p w14:paraId="454A50E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f) administrimin e dokumentacionit në formë të shkruar, origjinal ose fotokopje të noterizuar të operatorit ekonomik fitues, përpara lidhjes së kontratës nga autoriteti kontraktor.</w:t>
      </w:r>
    </w:p>
    <w:p w14:paraId="0C63EC6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3. Specialisti i fushës, anëtar i njësisë së prokurimit, kryen detyrat e mëposhtme:</w:t>
      </w:r>
    </w:p>
    <w:p w14:paraId="1F5B43C2" w14:textId="70F7C91F"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a) </w:t>
      </w:r>
      <w:r w:rsidR="007C7BB8" w:rsidRPr="007C7BB8">
        <w:rPr>
          <w:rFonts w:ascii="Garamond" w:hAnsi="Garamond"/>
          <w:sz w:val="24"/>
          <w:szCs w:val="24"/>
        </w:rPr>
        <w:t xml:space="preserve">hartimin e specifikimeve teknike, në rast se nuk janë hartuar nga struktura të tjera; </w:t>
      </w:r>
    </w:p>
    <w:p w14:paraId="0B432BF1" w14:textId="65A72647"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b) </w:t>
      </w:r>
      <w:r w:rsidR="007C7BB8" w:rsidRPr="007C7BB8">
        <w:rPr>
          <w:rFonts w:ascii="Garamond" w:hAnsi="Garamond"/>
          <w:sz w:val="24"/>
          <w:szCs w:val="24"/>
        </w:rPr>
        <w:t xml:space="preserve">përllogaritjen e fondit limit, nëse kjo detyrë nuk i është ngarkuar një strukture të posaçme; </w:t>
      </w:r>
    </w:p>
    <w:p w14:paraId="2AF97473" w14:textId="2D05D706"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c) </w:t>
      </w:r>
      <w:r w:rsidR="007C7BB8" w:rsidRPr="007C7BB8">
        <w:rPr>
          <w:rFonts w:ascii="Garamond" w:hAnsi="Garamond"/>
          <w:sz w:val="24"/>
          <w:szCs w:val="24"/>
        </w:rPr>
        <w:t xml:space="preserve">hartimin e kritereve të veçanta të pranimit, lidhur me kapacitetin teknik; </w:t>
      </w:r>
    </w:p>
    <w:p w14:paraId="3EF52696" w14:textId="2B2DD9A2"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ç) </w:t>
      </w:r>
      <w:r w:rsidR="007C7BB8" w:rsidRPr="007C7BB8">
        <w:rPr>
          <w:rFonts w:ascii="Garamond" w:hAnsi="Garamond"/>
          <w:sz w:val="24"/>
          <w:szCs w:val="24"/>
        </w:rPr>
        <w:t>hartimin e kritereve të vlerësimit, nëse është rasti;</w:t>
      </w:r>
    </w:p>
    <w:p w14:paraId="5DD614EB" w14:textId="69E5041D"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d) </w:t>
      </w:r>
      <w:r w:rsidR="007C7BB8" w:rsidRPr="007C7BB8">
        <w:rPr>
          <w:rFonts w:ascii="Garamond" w:hAnsi="Garamond"/>
          <w:sz w:val="24"/>
          <w:szCs w:val="24"/>
        </w:rPr>
        <w:t>përcaktimin e çdo informacioni tjetër specifik të nevojshëm për objektin e prokurimit (si p.sh.</w:t>
      </w:r>
      <w:r w:rsidR="00B91CE0">
        <w:rPr>
          <w:rFonts w:ascii="Garamond" w:hAnsi="Garamond"/>
          <w:sz w:val="24"/>
          <w:szCs w:val="24"/>
        </w:rPr>
        <w:t>:</w:t>
      </w:r>
      <w:r w:rsidR="007C7BB8" w:rsidRPr="007C7BB8">
        <w:rPr>
          <w:rFonts w:ascii="Garamond" w:hAnsi="Garamond"/>
          <w:sz w:val="24"/>
          <w:szCs w:val="24"/>
        </w:rPr>
        <w:t xml:space="preserve"> grafiku i livrimit). </w:t>
      </w:r>
    </w:p>
    <w:p w14:paraId="78ED5FB2" w14:textId="77777777" w:rsidR="007C7BB8" w:rsidRPr="007C7BB8" w:rsidRDefault="007C7BB8" w:rsidP="007C7BB8">
      <w:pPr>
        <w:spacing w:after="0" w:line="240" w:lineRule="auto"/>
        <w:ind w:firstLine="284"/>
        <w:jc w:val="both"/>
        <w:rPr>
          <w:rFonts w:ascii="Garamond" w:hAnsi="Garamond"/>
          <w:sz w:val="24"/>
          <w:szCs w:val="24"/>
        </w:rPr>
      </w:pPr>
    </w:p>
    <w:p w14:paraId="457D382F" w14:textId="77777777" w:rsidR="007C7BB8" w:rsidRPr="007C7BB8" w:rsidRDefault="007C7BB8" w:rsidP="00780BCA">
      <w:pPr>
        <w:pStyle w:val="Neninr"/>
      </w:pPr>
      <w:r w:rsidRPr="007C7BB8">
        <w:t>Neni 43</w:t>
      </w:r>
    </w:p>
    <w:p w14:paraId="6FE13B1D" w14:textId="77777777" w:rsidR="007C7BB8" w:rsidRPr="00780BCA" w:rsidRDefault="007C7BB8" w:rsidP="00780BCA">
      <w:pPr>
        <w:pStyle w:val="Neninr"/>
        <w:rPr>
          <w:b/>
        </w:rPr>
      </w:pPr>
      <w:r w:rsidRPr="00780BCA">
        <w:rPr>
          <w:b/>
        </w:rPr>
        <w:t>Komisioni i vlerësimit të ofertave</w:t>
      </w:r>
    </w:p>
    <w:p w14:paraId="2EA5B1C9" w14:textId="77777777" w:rsidR="007C7BB8" w:rsidRPr="007C7BB8" w:rsidRDefault="007C7BB8" w:rsidP="007C7BB8">
      <w:pPr>
        <w:spacing w:after="0" w:line="240" w:lineRule="auto"/>
        <w:ind w:firstLine="284"/>
        <w:jc w:val="both"/>
        <w:rPr>
          <w:rFonts w:ascii="Garamond" w:hAnsi="Garamond"/>
          <w:sz w:val="24"/>
          <w:szCs w:val="24"/>
        </w:rPr>
      </w:pPr>
    </w:p>
    <w:p w14:paraId="25A2356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Komisioni i vlerësimit të ofertave emërohet me urdhër të veçantë të titullarit të autoritetit kontraktor dhe përbëhet nga jo më pak se 3 persona me arsim të lartë, ku të paktën njëri është ekspert i fushës. 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Në çdo rast, numri i anëtarëve duhet të jetë tek. Në rastin e mungesës së personelit, autoriteti kontraktor mund të punësojë me kontratë ekspertë të jashtëm, si anëtarë të komisionit të vlerësimit të ofertave.</w:t>
      </w:r>
    </w:p>
    <w:p w14:paraId="5671D2A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Komisioni është përgjegjës për përzgjedhjen e kandidatëve, shqyrtimin dhe vlerësimin e ofertave. </w:t>
      </w:r>
    </w:p>
    <w:p w14:paraId="3B31C62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Komisioni duhet të zbatojë detyrat në pavarësi të plotë dhe nëse kërkohen sqarime për dokumentet e tenderit, këto merren nga njësia e prokurimit. Komisioni nuk kryen asnjë veprim tjetër, përveç atyre të përcaktuara shprehimisht në këto rregulla. </w:t>
      </w:r>
    </w:p>
    <w:p w14:paraId="7F8AB242" w14:textId="77777777" w:rsidR="007C7BB8" w:rsidRPr="007C7BB8" w:rsidRDefault="007C7BB8" w:rsidP="007C7BB8">
      <w:pPr>
        <w:spacing w:after="0" w:line="240" w:lineRule="auto"/>
        <w:ind w:firstLine="284"/>
        <w:jc w:val="both"/>
        <w:rPr>
          <w:rFonts w:ascii="Garamond" w:hAnsi="Garamond"/>
          <w:sz w:val="24"/>
          <w:szCs w:val="24"/>
        </w:rPr>
      </w:pPr>
    </w:p>
    <w:p w14:paraId="06E578C1" w14:textId="77777777" w:rsidR="007C7BB8" w:rsidRPr="007C7BB8" w:rsidRDefault="007C7BB8" w:rsidP="00780BCA">
      <w:pPr>
        <w:pStyle w:val="Neninr"/>
      </w:pPr>
      <w:r w:rsidRPr="007C7BB8">
        <w:t>Neni 44</w:t>
      </w:r>
    </w:p>
    <w:p w14:paraId="2C563172" w14:textId="77777777" w:rsidR="007C7BB8" w:rsidRPr="00780BCA" w:rsidRDefault="007C7BB8" w:rsidP="00780BCA">
      <w:pPr>
        <w:pStyle w:val="Neninr"/>
        <w:rPr>
          <w:b/>
        </w:rPr>
      </w:pPr>
      <w:r w:rsidRPr="00780BCA">
        <w:rPr>
          <w:b/>
        </w:rPr>
        <w:t>Urdhri i prokurimit</w:t>
      </w:r>
    </w:p>
    <w:p w14:paraId="01B3B823" w14:textId="77777777" w:rsidR="007C7BB8" w:rsidRPr="007C7BB8" w:rsidRDefault="007C7BB8" w:rsidP="007C7BB8">
      <w:pPr>
        <w:spacing w:after="0" w:line="240" w:lineRule="auto"/>
        <w:ind w:firstLine="284"/>
        <w:jc w:val="both"/>
        <w:rPr>
          <w:rFonts w:ascii="Garamond" w:hAnsi="Garamond"/>
          <w:sz w:val="24"/>
          <w:szCs w:val="24"/>
        </w:rPr>
      </w:pPr>
    </w:p>
    <w:p w14:paraId="66ABC26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Pas përllogaritjes së fondit limit, sipas nenit 6 të këtyre rregullave, titullari i autoritetit kontraktor apo zyrtari i autorizuar nxjerr menjëherë urdhrin e prokurimit, i cili duhet të përmbajë: </w:t>
      </w:r>
    </w:p>
    <w:p w14:paraId="49F08CB8" w14:textId="117B09C5"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a) </w:t>
      </w:r>
      <w:r w:rsidR="007C7BB8" w:rsidRPr="007C7BB8">
        <w:rPr>
          <w:rFonts w:ascii="Garamond" w:hAnsi="Garamond"/>
          <w:sz w:val="24"/>
          <w:szCs w:val="24"/>
        </w:rPr>
        <w:t xml:space="preserve">objektin e prokurimit; </w:t>
      </w:r>
    </w:p>
    <w:p w14:paraId="2C5359C5" w14:textId="1E8F7136"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b) </w:t>
      </w:r>
      <w:r w:rsidR="007C7BB8" w:rsidRPr="007C7BB8">
        <w:rPr>
          <w:rFonts w:ascii="Garamond" w:hAnsi="Garamond"/>
          <w:sz w:val="24"/>
          <w:szCs w:val="24"/>
        </w:rPr>
        <w:t xml:space="preserve">fondin e përllogaritur të vitit buxhetor, si dhe fondin total të përllogaritur, në rastin e kontratave shumëvjeçare dhe marrëveshjes kuadër; </w:t>
      </w:r>
    </w:p>
    <w:p w14:paraId="14A795C3" w14:textId="2C597E13"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c) </w:t>
      </w:r>
      <w:r w:rsidR="007C7BB8" w:rsidRPr="007C7BB8">
        <w:rPr>
          <w:rFonts w:ascii="Garamond" w:hAnsi="Garamond"/>
          <w:sz w:val="24"/>
          <w:szCs w:val="24"/>
        </w:rPr>
        <w:t xml:space="preserve">llojin e procedurës së prokurimit, arsyet e përdorimit të saj ose mënyrën e prokurimit (nëse është rasti); </w:t>
      </w:r>
    </w:p>
    <w:p w14:paraId="7C292058" w14:textId="7DAF02F9"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ç) </w:t>
      </w:r>
      <w:r w:rsidR="007C7BB8" w:rsidRPr="007C7BB8">
        <w:rPr>
          <w:rFonts w:ascii="Garamond" w:hAnsi="Garamond"/>
          <w:sz w:val="24"/>
          <w:szCs w:val="24"/>
        </w:rPr>
        <w:t xml:space="preserve">emrat e anëtarëve të njësisë së prokurimit. </w:t>
      </w:r>
    </w:p>
    <w:p w14:paraId="50CACD40" w14:textId="77777777" w:rsidR="007C7BB8" w:rsidRPr="007C7BB8" w:rsidRDefault="007C7BB8" w:rsidP="007C7BB8">
      <w:pPr>
        <w:spacing w:after="0" w:line="240" w:lineRule="auto"/>
        <w:ind w:firstLine="284"/>
        <w:jc w:val="both"/>
        <w:rPr>
          <w:rFonts w:ascii="Garamond" w:hAnsi="Garamond"/>
          <w:sz w:val="24"/>
          <w:szCs w:val="24"/>
        </w:rPr>
      </w:pPr>
    </w:p>
    <w:p w14:paraId="0F30DEB4" w14:textId="77777777" w:rsidR="007C7BB8" w:rsidRPr="007C7BB8" w:rsidRDefault="007C7BB8" w:rsidP="00780BCA">
      <w:pPr>
        <w:pStyle w:val="Neninr"/>
      </w:pPr>
      <w:r w:rsidRPr="007C7BB8">
        <w:t>Neni 45</w:t>
      </w:r>
    </w:p>
    <w:p w14:paraId="60DC59AF" w14:textId="77777777" w:rsidR="007C7BB8" w:rsidRPr="00780BCA" w:rsidRDefault="007C7BB8" w:rsidP="00780BCA">
      <w:pPr>
        <w:pStyle w:val="Neninr"/>
        <w:rPr>
          <w:b/>
        </w:rPr>
      </w:pPr>
      <w:r w:rsidRPr="00780BCA">
        <w:rPr>
          <w:b/>
        </w:rPr>
        <w:t>Hartimi i dokumenteve të tenderit</w:t>
      </w:r>
    </w:p>
    <w:p w14:paraId="0069748E" w14:textId="77777777" w:rsidR="007C7BB8" w:rsidRPr="007C7BB8" w:rsidRDefault="007C7BB8" w:rsidP="007C7BB8">
      <w:pPr>
        <w:spacing w:after="0" w:line="240" w:lineRule="auto"/>
        <w:ind w:firstLine="284"/>
        <w:jc w:val="both"/>
        <w:rPr>
          <w:rFonts w:ascii="Garamond" w:hAnsi="Garamond"/>
          <w:sz w:val="24"/>
          <w:szCs w:val="24"/>
        </w:rPr>
      </w:pPr>
    </w:p>
    <w:p w14:paraId="68A9273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Dokumentet e tenderit hartohen nga Njësia e Prokurimit në përputhje me këto rregulla dhe me legjislacionin në fuqi. Në hartimin e dokumenteve të tenderit, Njësia e Prokurimit shfrytëzon dokumentet standarde të tenderit duke bërë modifikimet e nevojshme, në mbështetje të kritereve të përcaktuara në këtë rregullore. </w:t>
      </w:r>
    </w:p>
    <w:p w14:paraId="4F77E4E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Hartimi i kërkesave të veçanta për kualifikim, që lidhen me kapacitetin teknik, specifikimet teknike, kriteret e vlerësimit (nëse është rasti) dhe çdo informacion tjetër specifik i nevojshëm bëhen nga specialisti i fushës, anëtar i njësisë së prokurimit. </w:t>
      </w:r>
    </w:p>
    <w:p w14:paraId="0F3138F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 xml:space="preserve">Në çdo rast, hartimi i tyre duhet të argumentohet teknikisht dhe ligjërisht, si dhe të dokumentohet në një procesverbal të mbajtur nga personat e ngarkuar për përgatitjen e tyre. Ky procesverbal i vihet në dispozicion njësisë së prokurimit, e cila e bën pjesë të dosjes së tenderit. </w:t>
      </w:r>
    </w:p>
    <w:p w14:paraId="115B687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Seti përfundimtar i dokumenteve të tenderit nënshkruhet në çdo faqe nga njësia e prokurimit. </w:t>
      </w:r>
    </w:p>
    <w:p w14:paraId="5E5082D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Autoriteti kontraktor duhet t’i japë çdo operatori ekonomik të interesuar, kundrejt kërkesës, një kopje të dokumenteve të tenderit në përputhje me këto rregulla. </w:t>
      </w:r>
    </w:p>
    <w:p w14:paraId="51B89479" w14:textId="77777777" w:rsidR="007C7BB8" w:rsidRPr="007C7BB8" w:rsidRDefault="007C7BB8" w:rsidP="007C7BB8">
      <w:pPr>
        <w:spacing w:after="0" w:line="240" w:lineRule="auto"/>
        <w:ind w:firstLine="284"/>
        <w:jc w:val="both"/>
        <w:rPr>
          <w:rFonts w:ascii="Garamond" w:hAnsi="Garamond"/>
          <w:sz w:val="24"/>
          <w:szCs w:val="24"/>
        </w:rPr>
      </w:pPr>
    </w:p>
    <w:p w14:paraId="3124D766" w14:textId="77777777" w:rsidR="007C7BB8" w:rsidRPr="007C7BB8" w:rsidRDefault="007C7BB8" w:rsidP="00780BCA">
      <w:pPr>
        <w:pStyle w:val="Neninr"/>
      </w:pPr>
      <w:r w:rsidRPr="007C7BB8">
        <w:t>Neni 46</w:t>
      </w:r>
    </w:p>
    <w:p w14:paraId="6D683E0B" w14:textId="77777777" w:rsidR="007C7BB8" w:rsidRPr="00780BCA" w:rsidRDefault="007C7BB8" w:rsidP="00780BCA">
      <w:pPr>
        <w:pStyle w:val="Neninr"/>
        <w:rPr>
          <w:b/>
        </w:rPr>
      </w:pPr>
      <w:r w:rsidRPr="00780BCA">
        <w:rPr>
          <w:b/>
        </w:rPr>
        <w:t>Ndryshimi i dokumenteve të tenderit</w:t>
      </w:r>
    </w:p>
    <w:p w14:paraId="53210B9B" w14:textId="77777777" w:rsidR="007C7BB8" w:rsidRPr="007C7BB8" w:rsidRDefault="007C7BB8" w:rsidP="007C7BB8">
      <w:pPr>
        <w:spacing w:after="0" w:line="240" w:lineRule="auto"/>
        <w:ind w:firstLine="284"/>
        <w:jc w:val="both"/>
        <w:rPr>
          <w:rFonts w:ascii="Garamond" w:hAnsi="Garamond"/>
          <w:sz w:val="24"/>
          <w:szCs w:val="24"/>
        </w:rPr>
      </w:pPr>
    </w:p>
    <w:p w14:paraId="35C70A7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Në çdo rast, kur ndryshohen dokumentet e tenderit, autoriteti kontraktor zgjat afatin kohor për dorëzimin e ofertës jo më pak se 5 (pesë) ditë për prokurimet kombëtare dhe jo më pak se 10 (dhjetë) ditë për prokurimet ndërkombëtare, në përputhje me nenin 20 të LPFMS-së. </w:t>
      </w:r>
    </w:p>
    <w:p w14:paraId="17B7A86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Autoriteti kontraktor, në çdo kohë, përpara mbarimit të afatit të fundit për dorëzimin e ofertave dhe për çfarëdolloj arsyeje, me nismën e vet ose me kërkesë për sqarim nga një operator ekonomik, mund të bëjë ndryshime në dokumentet e tenderit, nëpërmjet hartimit të një shtojce. Çdo shtojcë u komunikohet menjëherë të gjithë operatorëve ekonomikë, që janë njohur me dokumentet e tenderit, dhe bëhet detyruese për ta. </w:t>
      </w:r>
    </w:p>
    <w:p w14:paraId="7BC3F3D1" w14:textId="77777777" w:rsidR="007C7BB8" w:rsidRPr="007C7BB8" w:rsidRDefault="007C7BB8" w:rsidP="007C7BB8">
      <w:pPr>
        <w:spacing w:after="0" w:line="240" w:lineRule="auto"/>
        <w:ind w:firstLine="284"/>
        <w:jc w:val="both"/>
        <w:rPr>
          <w:rFonts w:ascii="Garamond" w:hAnsi="Garamond"/>
          <w:sz w:val="24"/>
          <w:szCs w:val="24"/>
        </w:rPr>
      </w:pPr>
    </w:p>
    <w:p w14:paraId="276DA3EB" w14:textId="77777777" w:rsidR="007C7BB8" w:rsidRPr="007C7BB8" w:rsidRDefault="007C7BB8" w:rsidP="00780BCA">
      <w:pPr>
        <w:pStyle w:val="Neninr"/>
      </w:pPr>
      <w:r w:rsidRPr="007C7BB8">
        <w:t>Neni 47</w:t>
      </w:r>
    </w:p>
    <w:p w14:paraId="3436461D" w14:textId="77777777" w:rsidR="007C7BB8" w:rsidRPr="00780BCA" w:rsidRDefault="007C7BB8" w:rsidP="00780BCA">
      <w:pPr>
        <w:pStyle w:val="Neninr"/>
        <w:rPr>
          <w:b/>
        </w:rPr>
      </w:pPr>
      <w:r w:rsidRPr="00780BCA">
        <w:rPr>
          <w:b/>
        </w:rPr>
        <w:t xml:space="preserve">Dorëzimi i ofertave </w:t>
      </w:r>
    </w:p>
    <w:p w14:paraId="212C94EA" w14:textId="77777777" w:rsidR="007C7BB8" w:rsidRPr="007C7BB8" w:rsidRDefault="007C7BB8" w:rsidP="007C7BB8">
      <w:pPr>
        <w:spacing w:after="0" w:line="240" w:lineRule="auto"/>
        <w:ind w:firstLine="284"/>
        <w:jc w:val="both"/>
        <w:rPr>
          <w:rFonts w:ascii="Garamond" w:hAnsi="Garamond"/>
          <w:sz w:val="24"/>
          <w:szCs w:val="24"/>
        </w:rPr>
      </w:pPr>
    </w:p>
    <w:p w14:paraId="4659885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Ofertat duhet të dorëzohen në adresën e përcaktuar në dokumentet e tenderit brenda afatit kohor të përcaktuar në këto dokumente si afati i fundit për dorëzimin e tyre. Çdo ofertë e dorëzuar pas afatit të përcaktuar në njoftimin e autoritetit kontraktor nuk shqyrtohet nga komisioni i vlerësimit të ofertave dhe i kthehet e pahapur kandidatit/ofertuesit. </w:t>
      </w:r>
    </w:p>
    <w:p w14:paraId="0FDB6E7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Përveç sa më sipër, operatorët ekonomikë mund të jenë të pranishëm, nëse e kërkojnë, në procesin e hapjes së ofertave.</w:t>
      </w:r>
    </w:p>
    <w:p w14:paraId="7597D11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Në fazën e parë të kualifikimit, zarfi duhet të përmbajë vetëm dokumentet e kualifikimit, siç parashikohet në njoftimin e kontratës. Në fazën e dytë e në vijim, operatori ekonomik duhet të dorëzojë zarfin me çdo dokumentacion tjetër të kërkuar për këtë fazë (nëse është rasti), ofertën teknike dhe zarfin me ofertën ekonomike. </w:t>
      </w:r>
    </w:p>
    <w:p w14:paraId="0F0AAC1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Operatorët ekonomikë duhet të paraqesin vetëm një ofertë, me përjashtim të rasteve kur kërkohen oferta alternative. </w:t>
      </w:r>
    </w:p>
    <w:p w14:paraId="2777D4C1" w14:textId="77777777" w:rsidR="007C7BB8" w:rsidRPr="007C7BB8" w:rsidRDefault="007C7BB8" w:rsidP="007C7BB8">
      <w:pPr>
        <w:spacing w:after="0" w:line="240" w:lineRule="auto"/>
        <w:ind w:firstLine="284"/>
        <w:jc w:val="both"/>
        <w:rPr>
          <w:rFonts w:ascii="Garamond" w:hAnsi="Garamond"/>
          <w:sz w:val="24"/>
          <w:szCs w:val="24"/>
        </w:rPr>
      </w:pPr>
    </w:p>
    <w:p w14:paraId="3B29BC04" w14:textId="77777777" w:rsidR="007C7BB8" w:rsidRPr="007C7BB8" w:rsidRDefault="007C7BB8" w:rsidP="00780BCA">
      <w:pPr>
        <w:pStyle w:val="Neninr"/>
      </w:pPr>
      <w:r w:rsidRPr="007C7BB8">
        <w:t>Neni 48</w:t>
      </w:r>
    </w:p>
    <w:p w14:paraId="4B1EBF5E" w14:textId="77777777" w:rsidR="007C7BB8" w:rsidRPr="00780BCA" w:rsidRDefault="007C7BB8" w:rsidP="00780BCA">
      <w:pPr>
        <w:pStyle w:val="Neninr"/>
        <w:rPr>
          <w:b/>
        </w:rPr>
      </w:pPr>
      <w:r w:rsidRPr="00780BCA">
        <w:rPr>
          <w:b/>
        </w:rPr>
        <w:t xml:space="preserve">Hapja e ofertave </w:t>
      </w:r>
    </w:p>
    <w:p w14:paraId="75A051C9" w14:textId="77777777" w:rsidR="007C7BB8" w:rsidRPr="007C7BB8" w:rsidRDefault="007C7BB8" w:rsidP="007C7BB8">
      <w:pPr>
        <w:spacing w:after="0" w:line="240" w:lineRule="auto"/>
        <w:ind w:firstLine="284"/>
        <w:jc w:val="both"/>
        <w:rPr>
          <w:rFonts w:ascii="Garamond" w:hAnsi="Garamond"/>
          <w:sz w:val="24"/>
          <w:szCs w:val="24"/>
        </w:rPr>
      </w:pPr>
    </w:p>
    <w:p w14:paraId="226E87A7" w14:textId="2941CCFE"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1. Komisioni i vlerësimit të ofertave hap dhe</w:t>
      </w:r>
      <w:r w:rsidR="00780BCA">
        <w:rPr>
          <w:rFonts w:ascii="Garamond" w:hAnsi="Garamond"/>
          <w:sz w:val="24"/>
          <w:szCs w:val="24"/>
        </w:rPr>
        <w:t xml:space="preserve"> lexon ofertat, në përputhje me</w:t>
      </w:r>
      <w:r w:rsidRPr="007C7BB8">
        <w:rPr>
          <w:rFonts w:ascii="Garamond" w:hAnsi="Garamond"/>
          <w:sz w:val="24"/>
          <w:szCs w:val="24"/>
        </w:rPr>
        <w:t xml:space="preserve"> nenin 43 të LPFMS-së dhe me përcaktimet në këto rregulla. </w:t>
      </w:r>
    </w:p>
    <w:p w14:paraId="70EC3F0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Në momentin e hapjes së ofertave, zyrtarët e përfshirë në procesin e vlerësimit të ofertave nënshkruajnë një deklaratë përmes së cilës deklarojnë se nuk ndodhen në kushtet e konfliktit të interesit me ofertuesit pjesëmarrës. </w:t>
      </w:r>
    </w:p>
    <w:p w14:paraId="24E5073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Nëse evidentohet se një ose disa prej operatorëve ekonomikë ndodhen në kushtet e konfliktit të interesit me një ose me disa prej zyrtarëve të caktuar për vlerësimin e ofertave dhe kjo situatë konflikti nuk mund të evidentohej përpara këtij momenti, atëherë duhet të zëvendësohet zyrtari/zyrtarët në fjalë dhe më pas të vazhdojë procesi i prokurimit. </w:t>
      </w:r>
    </w:p>
    <w:p w14:paraId="4B4B301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Anëtarët e njësisë së prokurimit, që kanë marrë pjesë në hartimin e dokumenteve të tenderit, mund të jenë të pranishëm gjatë fazës së hapjes dhe të vlerësimit, por nuk kanë të drejtë të votojnë ose të ndikojnë në procesin e shqyrtimit. Ata mund të japim mendime vetëm kur u </w:t>
      </w:r>
      <w:r w:rsidRPr="007C7BB8">
        <w:rPr>
          <w:rFonts w:ascii="Garamond" w:hAnsi="Garamond"/>
          <w:sz w:val="24"/>
          <w:szCs w:val="24"/>
        </w:rPr>
        <w:lastRenderedPageBreak/>
        <w:t xml:space="preserve">kërkohet, si dhe të kryejnë funksione të karakterit ndihmës, si mbajtja e procesverbalit, sistemimi dhe ruajtja e dokumenteve. </w:t>
      </w:r>
    </w:p>
    <w:p w14:paraId="514F874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Komisioni i vlerësimit të ofertave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në dispozicion në bazë të kërkesës çdo ofertuesi, ndërsa ofertuesve që kanë paraqitur ofertë, por që nuk janë të pranishëm ose të përfaqësuar në hapjen e ofertave, duhet t’u dërgohet njoftim për hapjen e procedurës. </w:t>
      </w:r>
    </w:p>
    <w:p w14:paraId="3F92563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Oferta ekonomike nënshkruhet në pjesën e pasme të fletës nga të gjithë anëtarët e komisionit.</w:t>
      </w:r>
    </w:p>
    <w:p w14:paraId="3496FD7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5. Çdo hap i procedurës së prokurimit duhet të regjistrohet dhe të pasqyrohet në procesverbal. Njëri nga anëtarët e njësisë së prokurimit është gjithmonë përgjegjës për regjistrimin e çdo faze të procesit dhe teksti përfundimtar i tij duhet të nënshkruhet nga të gjithë anëtarët e komisionit të vlerësimit të ofertave. Nëse anëtarët e komisionit të vlerësimit të ofertave kanë mendime të ndryshme ose nëse komisioni vendos me votim, kjo gjë duhet të pasqyrohet në procesverbal. Dokumentet që shoqërojnë ofertën nuk u kthehen ofertuesve, por mbeten pjesë e dosjes së procedurës dhe administrohen nga njësia e prokurimit në përputhje me këto rregulla. </w:t>
      </w:r>
    </w:p>
    <w:p w14:paraId="1F85926C" w14:textId="77777777" w:rsidR="007C7BB8" w:rsidRPr="007C7BB8" w:rsidRDefault="007C7BB8" w:rsidP="007C7BB8">
      <w:pPr>
        <w:spacing w:after="0" w:line="240" w:lineRule="auto"/>
        <w:ind w:firstLine="284"/>
        <w:jc w:val="both"/>
        <w:rPr>
          <w:rFonts w:ascii="Garamond" w:hAnsi="Garamond"/>
          <w:sz w:val="24"/>
          <w:szCs w:val="24"/>
        </w:rPr>
      </w:pPr>
    </w:p>
    <w:p w14:paraId="624EFFD1" w14:textId="77777777" w:rsidR="007C7BB8" w:rsidRPr="007C7BB8" w:rsidRDefault="007C7BB8" w:rsidP="00780BCA">
      <w:pPr>
        <w:pStyle w:val="Neninr"/>
      </w:pPr>
      <w:r w:rsidRPr="007C7BB8">
        <w:t>Neni 49</w:t>
      </w:r>
    </w:p>
    <w:p w14:paraId="0BB8D2D0" w14:textId="77777777" w:rsidR="007C7BB8" w:rsidRPr="00780BCA" w:rsidRDefault="007C7BB8" w:rsidP="00780BCA">
      <w:pPr>
        <w:pStyle w:val="Neninr"/>
        <w:rPr>
          <w:b/>
        </w:rPr>
      </w:pPr>
      <w:r w:rsidRPr="00780BCA">
        <w:rPr>
          <w:b/>
        </w:rPr>
        <w:t>Ndërhyrja në ofertë</w:t>
      </w:r>
    </w:p>
    <w:p w14:paraId="4C7C3FE4" w14:textId="77777777" w:rsidR="007C7BB8" w:rsidRPr="007C7BB8" w:rsidRDefault="007C7BB8" w:rsidP="00780BCA">
      <w:pPr>
        <w:pStyle w:val="Neninr"/>
      </w:pPr>
    </w:p>
    <w:p w14:paraId="55ABEED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Asnjë ofertues nuk mund të marrë pjesë në ofertën e dikujt tjetër për të njëjtën procedurë prokurimi. Pjesëmarrja nga  një ofertues në më shumë se një ofertë, tek e tek ose me një ofertues tjetër, do të rezultojë në përjashtimin nga procesi të të gjitha ofertave, në të cilat është përfshirë ofertuesi. </w:t>
      </w:r>
    </w:p>
    <w:p w14:paraId="3FF75061" w14:textId="77777777" w:rsidR="007C7BB8" w:rsidRPr="007C7BB8" w:rsidRDefault="007C7BB8" w:rsidP="007C7BB8">
      <w:pPr>
        <w:spacing w:after="0" w:line="240" w:lineRule="auto"/>
        <w:ind w:firstLine="284"/>
        <w:jc w:val="both"/>
        <w:rPr>
          <w:rFonts w:ascii="Garamond" w:hAnsi="Garamond"/>
          <w:sz w:val="24"/>
          <w:szCs w:val="24"/>
        </w:rPr>
      </w:pPr>
    </w:p>
    <w:p w14:paraId="0DD366A5" w14:textId="77777777" w:rsidR="007C7BB8" w:rsidRPr="007C7BB8" w:rsidRDefault="007C7BB8" w:rsidP="00780BCA">
      <w:pPr>
        <w:pStyle w:val="Neninr"/>
      </w:pPr>
      <w:r w:rsidRPr="007C7BB8">
        <w:t>Neni 50</w:t>
      </w:r>
    </w:p>
    <w:p w14:paraId="02156D69" w14:textId="77777777" w:rsidR="007C7BB8" w:rsidRPr="00780BCA" w:rsidRDefault="007C7BB8" w:rsidP="00780BCA">
      <w:pPr>
        <w:pStyle w:val="Neninr"/>
        <w:rPr>
          <w:b/>
        </w:rPr>
      </w:pPr>
      <w:r w:rsidRPr="00780BCA">
        <w:rPr>
          <w:b/>
        </w:rPr>
        <w:t>Shqyrtimi dhe vlerësimi i ofertave</w:t>
      </w:r>
    </w:p>
    <w:p w14:paraId="0B1301BB" w14:textId="77777777" w:rsidR="007C7BB8" w:rsidRPr="007C7BB8" w:rsidRDefault="007C7BB8" w:rsidP="007C7BB8">
      <w:pPr>
        <w:spacing w:after="0" w:line="240" w:lineRule="auto"/>
        <w:ind w:firstLine="284"/>
        <w:jc w:val="both"/>
        <w:rPr>
          <w:rFonts w:ascii="Garamond" w:hAnsi="Garamond"/>
          <w:sz w:val="24"/>
          <w:szCs w:val="24"/>
        </w:rPr>
      </w:pPr>
    </w:p>
    <w:p w14:paraId="73361955" w14:textId="1749A46C"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 xml:space="preserve">Pas hapjes dhe leximit të ofertës, siç përcaktohet më lart, komisioni i vlerësimit të ofertave vë në dijeni përfaqësuesit për orën dhe datën kur ofertuesve do t’u komunikohet rezultati i vlerësimit të ofertës, që përfshin atë teknike, nëse ka të tillë, ekonomike, si dhe klasifikimin përfundimtar. </w:t>
      </w:r>
    </w:p>
    <w:p w14:paraId="4F5AE87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Kohëzgjatja e procedurës së vlerësimit nuk duhet të kalojë 10 (dhjetë) ditë për fazën e parakualifikimit dhe 15 (pesëmbëdhjetë) ditë, për fazën e dytë të vlerësimit të ofertës teknike-ekonomike, përveç rasteve të tjera të cilësuara ndryshe në këto rregulla. </w:t>
      </w:r>
    </w:p>
    <w:p w14:paraId="25F198F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 rast se komisionit të vlerësimit të ofertave i lind nevoja për verifikime ose ndryshime të një apo më shumë anëtarëve, afati i vlerësimit pezullohet në momentin e paraqitjes së kërkesës për verifikim apo ndryshim dhe rifillon aty ku është pezulluar me marrjen e përgjigjes apo zyrtarizimit të anëtarit/anëtarëve. </w:t>
      </w:r>
    </w:p>
    <w:p w14:paraId="06ADF09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Pas mbylljes së seancës publike, komisioni i vlerësimit të ofertave verifikon dhe vlerëson ofertat e dorëzuara, duke kualifikuar vetëm ato oferta, që përmbushin kriteret për kualifikim, të përcaktuara në dokumentet e tenderit. </w:t>
      </w:r>
    </w:p>
    <w:p w14:paraId="1871DB8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Nëse është e nevojshme, komisioni i vlerësimit të ofertave kërkon sqarime nga ofertuesit, të cilat duhet të jenë me shkrim ose të reflektuara në procesverbal. </w:t>
      </w:r>
    </w:p>
    <w:p w14:paraId="6A0414E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4. Ofertat e kualifikuara verifikohen nëse kanë apo jo gabime aritmetike. Nëse ofertat rezultojnë me gabime aritmetike, korrigjohen në mënyrën e mëposhtme:</w:t>
      </w:r>
    </w:p>
    <w:p w14:paraId="101E255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nëse ka ndonjë mospërputhje, ndërmjet çmimit për njësi dhe çmimit total, që del nga shumëzimi i çmimit të njësisë me sasinë, çmimi i njësisë mbizotëron dhe çmimi total korrigjohet </w:t>
      </w:r>
      <w:r w:rsidRPr="007C7BB8">
        <w:rPr>
          <w:rFonts w:ascii="Garamond" w:hAnsi="Garamond"/>
          <w:sz w:val="24"/>
          <w:szCs w:val="24"/>
        </w:rPr>
        <w:lastRenderedPageBreak/>
        <w:t xml:space="preserve">në bazë të tij. Ofertat me gabime aritmetike refuzohen, kur shumat absolute të të gjitha korrigjimeve janë më të larta se 2% e vlerës së ofertës ekonomike të ofruar; </w:t>
      </w:r>
    </w:p>
    <w:p w14:paraId="6F8BCA3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nëse ka ndonjë mospërputhje ndërmjet fjalëve dhe shifrave, mbizotëron shuma në fjalë. </w:t>
      </w:r>
    </w:p>
    <w:p w14:paraId="2B0240A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5. Pas korrigjimit të gabimeve aritmetike, komisioni i vlerësimit të ofertave verifikon nëse ofertat e vlefshme janë ose jo me çmim anomalisht të ulët, sipas formulës së përcaktuar në dokumentet standarde të tenderit.</w:t>
      </w:r>
    </w:p>
    <w:p w14:paraId="4785719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Përllogaritja e ofertës anomalisht të ulët bëhet në mënyrat e mëposhtme: </w:t>
      </w:r>
    </w:p>
    <w:p w14:paraId="54F288E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 në rastin kur janë të vlefshme dy ose më pak oferta, në përputhje me nenin 46 të LPFMS-së, oferta vlerësohet anomalisht e ulët, kur ajo është ulur më shumë se 25% e fondit limit të përllogaritur; </w:t>
      </w:r>
    </w:p>
    <w:p w14:paraId="777BA9B0" w14:textId="77ED8980"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b) në rastin kur janë të vlefshme tri ose më shumë oferta, në përputhje me nenin 46 të LPFMS -së, oferta vlerësohet anomalisht e ulët, nëse vlera e saj do të jetë më e vogël se 85% e mesatares së ofertave të vlefshme. </w:t>
      </w:r>
    </w:p>
    <w:p w14:paraId="7F83359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Nëse një apo disa oferta vlerësohen si anomalisht të ulëta, komisioni i vlerësimit të ofertave duhet të kërkojë sqarime nga ofertuesit, përpara se të marrë vendim për kualifikimin ose jo të tyre, në përputhje me nenin 46 të LPFMS-së. </w:t>
      </w:r>
    </w:p>
    <w:p w14:paraId="5A6DB76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 çdo rast ofertuesi ka detyrimin të argumentojë dhe të dokumentojë me prova shkresore sqarimet për elementin/elementet e veçanta të ofertës, në përputhje me kërkesat e nenit 44 të LPFMS-së. </w:t>
      </w:r>
    </w:p>
    <w:p w14:paraId="427E39D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6. Në fazën e parë, komisioni i vlerësimit të ofertave lexon emrin e adresën e kandidatit dhe listën e të gjitha dokumenteve të kualifikimit, të paraqitura prej tij. Komisioni i vlerësimit të ofertave përcakton listën përfundimtare të kandidatëve të kualifikuar, që do të vlerësohen për t’u ftuar në fazën e dytë. Kandidatëve të kualifikuar, në përfundim të afateve të ankimit, u dërgohet një ftesë për ofertë, në përputhje me nenin 30 të LPFMS -së. </w:t>
      </w:r>
    </w:p>
    <w:p w14:paraId="7C9B16BB"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Komisioni i vlerësimit të ofertave vazhdon vlerësimin e ofertave të fazës së dytë, të cilat përfshijnë dokumentet për plotësimin e kritereve të kualifikimit të fazës së dytë dhe/ose ofertën teknike. Komisioni i vlerësimit të ofertave kalon në shqyrtimin e ofertës ekonomike dhe verifikon nëse ka gabime aritmetike apo çmim anomalisht të ulët, sipas përcaktimeve në pikat 4 dhe 5, të këtij neni. </w:t>
      </w:r>
    </w:p>
    <w:p w14:paraId="4F8BFCB4"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Nëse është e nevojshme, komisioni i vlerësimit të ofertave kërkon sqarime nga ofertuesit, të cilat duhet të jenë vetëm me shkrim ose të pasqyruara në procesverbal. Në bazë të ofertave të pranuara, komisioni i vlerësimit të ofertave harton renditjen përfundimtare. </w:t>
      </w:r>
    </w:p>
    <w:p w14:paraId="323EDE5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7. Nëse dy ose më shumë oferta kanë të njëjtin çmim më të ulët ose kanë pikë të njëjta, atëherë fituesi do të përcaktohet me short, në prani të ofertuesve. Mospjesëmarrja e ofertuesve gjatë procesit të hedhjes së shortit nuk përbën shkak për skualifikim. </w:t>
      </w:r>
    </w:p>
    <w:p w14:paraId="4B40032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8. Në bazë të ofertave të pranuara dhe të renditura sipas kritereve të vlerësimit, komisioni i vlerësimit të ofertave bën klasifikimin e ofertave, sipas pikës 6, të nenit 31 të LPFMS-së.</w:t>
      </w:r>
    </w:p>
    <w:p w14:paraId="71C62BD6" w14:textId="77777777" w:rsidR="007C7BB8" w:rsidRPr="007C7BB8" w:rsidRDefault="007C7BB8" w:rsidP="007C7BB8">
      <w:pPr>
        <w:spacing w:after="0" w:line="240" w:lineRule="auto"/>
        <w:ind w:firstLine="284"/>
        <w:jc w:val="both"/>
        <w:rPr>
          <w:rFonts w:ascii="Garamond" w:hAnsi="Garamond"/>
          <w:sz w:val="24"/>
          <w:szCs w:val="24"/>
        </w:rPr>
      </w:pPr>
    </w:p>
    <w:p w14:paraId="5A8C98D1" w14:textId="77777777" w:rsidR="007C7BB8" w:rsidRPr="007C7BB8" w:rsidRDefault="007C7BB8" w:rsidP="00780BCA">
      <w:pPr>
        <w:pStyle w:val="Neninr"/>
      </w:pPr>
      <w:r w:rsidRPr="007C7BB8">
        <w:t>Neni 51</w:t>
      </w:r>
    </w:p>
    <w:p w14:paraId="5ECF6F4D" w14:textId="77777777" w:rsidR="007C7BB8" w:rsidRPr="00780BCA" w:rsidRDefault="007C7BB8" w:rsidP="00780BCA">
      <w:pPr>
        <w:pStyle w:val="Neninr"/>
        <w:rPr>
          <w:b/>
        </w:rPr>
      </w:pPr>
      <w:r w:rsidRPr="00780BCA">
        <w:rPr>
          <w:b/>
        </w:rPr>
        <w:t>Hartimi dhe publikimi i njoftimit të fituesit</w:t>
      </w:r>
    </w:p>
    <w:p w14:paraId="56EDD3F5" w14:textId="77777777" w:rsidR="007C7BB8" w:rsidRPr="007C7BB8" w:rsidRDefault="007C7BB8" w:rsidP="00780BCA">
      <w:pPr>
        <w:pStyle w:val="Neninr"/>
      </w:pPr>
      <w:r w:rsidRPr="007C7BB8">
        <w:t xml:space="preserve"> </w:t>
      </w:r>
    </w:p>
    <w:p w14:paraId="7CE948EC"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Autoriteti kontraktor harton dhe publikon njoftimin e fituesit njëkohësisht në Buletinin e Njoftimeve Publike dhe faqen e internetit të autoritetit në përputhje me nenin 16 të këtyre rregullave. </w:t>
      </w:r>
    </w:p>
    <w:p w14:paraId="1C9F8DA8" w14:textId="77777777" w:rsidR="007C7BB8" w:rsidRPr="007C7BB8" w:rsidRDefault="007C7BB8" w:rsidP="007C7BB8">
      <w:pPr>
        <w:spacing w:after="0" w:line="240" w:lineRule="auto"/>
        <w:ind w:firstLine="284"/>
        <w:jc w:val="both"/>
        <w:rPr>
          <w:rFonts w:ascii="Garamond" w:hAnsi="Garamond"/>
          <w:sz w:val="24"/>
          <w:szCs w:val="24"/>
        </w:rPr>
      </w:pPr>
    </w:p>
    <w:p w14:paraId="300A2CB1" w14:textId="77777777" w:rsidR="007C7BB8" w:rsidRPr="007C7BB8" w:rsidRDefault="007C7BB8" w:rsidP="00780BCA">
      <w:pPr>
        <w:pStyle w:val="Neninr"/>
      </w:pPr>
      <w:r w:rsidRPr="007C7BB8">
        <w:t>Neni 52</w:t>
      </w:r>
    </w:p>
    <w:p w14:paraId="116140CB" w14:textId="77777777" w:rsidR="007C7BB8" w:rsidRPr="00780BCA" w:rsidRDefault="007C7BB8" w:rsidP="00780BCA">
      <w:pPr>
        <w:pStyle w:val="Neninr"/>
        <w:rPr>
          <w:b/>
        </w:rPr>
      </w:pPr>
      <w:r w:rsidRPr="00780BCA">
        <w:rPr>
          <w:b/>
        </w:rPr>
        <w:t>Raporti përmbledhës</w:t>
      </w:r>
    </w:p>
    <w:p w14:paraId="5AFF71F4" w14:textId="77777777" w:rsidR="007C7BB8" w:rsidRPr="007C7BB8" w:rsidRDefault="007C7BB8" w:rsidP="007C7BB8">
      <w:pPr>
        <w:spacing w:after="0" w:line="240" w:lineRule="auto"/>
        <w:ind w:firstLine="284"/>
        <w:jc w:val="both"/>
        <w:rPr>
          <w:rFonts w:ascii="Garamond" w:hAnsi="Garamond"/>
          <w:sz w:val="24"/>
          <w:szCs w:val="24"/>
        </w:rPr>
      </w:pPr>
    </w:p>
    <w:p w14:paraId="14C37F0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Komisioni i vlerësimit të ofertave, pas përfundimit të periudhës së pritjes për të drejtën e ankimit ose përfundimit të shqyrtimit të ankesës/ankesave, përgatit një raport përmbledhës për </w:t>
      </w:r>
      <w:r w:rsidRPr="007C7BB8">
        <w:rPr>
          <w:rFonts w:ascii="Garamond" w:hAnsi="Garamond"/>
          <w:sz w:val="24"/>
          <w:szCs w:val="24"/>
        </w:rPr>
        <w:lastRenderedPageBreak/>
        <w:t xml:space="preserve">procesin e shqyrtimit e të vlerësimit të ofertave dhe ia dërgon për miratim titullarit të autoritetit kontraktor. </w:t>
      </w:r>
    </w:p>
    <w:p w14:paraId="000FF26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Raporti përmbledhës duhet të përmbajë: objektin e prokurimit; përshkrimin e punëve/mallrave/shërbimeve; respektimin e kërkesave ligjore në procesin e përzgjedhjes së kandidatëve/hapjes së ofertave; çmimet/vlerën e ofertuesve pjesëmarrës; korrigjimin e gabimeve aritmetike dhe ofertat anomalisht të ulëta (nëse ka pasur të tilla); ofertuesit e skualifikuar dhe arsyet e skualifikimit; ofertuesit e kualifikuar; procesin e hedhjes së shortit (nëse ka pasur); ofertuesin e renditur të parin; informacion nëse ka pasur ankesa dhe vendimmarrjen në lidhje me to, si dhe çdo informacion tjetër apo korrespondencë që lidhet me vlerësimin e ofertave. </w:t>
      </w:r>
    </w:p>
    <w:p w14:paraId="7ED34D7A" w14:textId="77777777" w:rsidR="007C7BB8" w:rsidRPr="007C7BB8" w:rsidRDefault="007C7BB8" w:rsidP="007C7BB8">
      <w:pPr>
        <w:spacing w:after="0" w:line="240" w:lineRule="auto"/>
        <w:ind w:firstLine="284"/>
        <w:jc w:val="both"/>
        <w:rPr>
          <w:rFonts w:ascii="Garamond" w:hAnsi="Garamond"/>
          <w:sz w:val="24"/>
          <w:szCs w:val="24"/>
        </w:rPr>
      </w:pPr>
    </w:p>
    <w:p w14:paraId="0B504F64" w14:textId="77777777" w:rsidR="007C7BB8" w:rsidRPr="007C7BB8" w:rsidRDefault="007C7BB8" w:rsidP="00780BCA">
      <w:pPr>
        <w:pStyle w:val="Neninr"/>
      </w:pPr>
      <w:r w:rsidRPr="007C7BB8">
        <w:t>Neni 53</w:t>
      </w:r>
    </w:p>
    <w:p w14:paraId="23025937" w14:textId="77777777" w:rsidR="007C7BB8" w:rsidRPr="00780BCA" w:rsidRDefault="007C7BB8" w:rsidP="00780BCA">
      <w:pPr>
        <w:pStyle w:val="Neninr"/>
        <w:rPr>
          <w:b/>
        </w:rPr>
      </w:pPr>
      <w:r w:rsidRPr="00780BCA">
        <w:rPr>
          <w:b/>
        </w:rPr>
        <w:t>Lidhja e kontratës</w:t>
      </w:r>
    </w:p>
    <w:p w14:paraId="2C255B1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 </w:t>
      </w:r>
    </w:p>
    <w:p w14:paraId="3023449D" w14:textId="6FA11C85"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Në përfundim të procedurës së prokurimit, sipas përcaktimeve në këto rregulla, autoriteti kontraktor lidh kontratën me ofertuesin fitues, në përputhje me afatet e përcaktuara në pikën 2, të nenit 16, të këtyre rregullave.</w:t>
      </w:r>
    </w:p>
    <w:p w14:paraId="6B5C2BA5" w14:textId="557947EC"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2. </w:t>
      </w:r>
      <w:r w:rsidR="007C7BB8" w:rsidRPr="007C7BB8">
        <w:rPr>
          <w:rFonts w:ascii="Garamond" w:hAnsi="Garamond"/>
          <w:sz w:val="24"/>
          <w:szCs w:val="24"/>
        </w:rPr>
        <w:t xml:space="preserve">Në çdo rast, kontrata do të lidhet vetëm pasi fondi do të jetë në dispozicion (në llogarinë përkatëse) të autoritetit kontraktor. </w:t>
      </w:r>
    </w:p>
    <w:p w14:paraId="4A0341B1" w14:textId="77777777" w:rsidR="007C7BB8" w:rsidRPr="007C7BB8" w:rsidRDefault="007C7BB8" w:rsidP="007C7BB8">
      <w:pPr>
        <w:spacing w:after="0" w:line="240" w:lineRule="auto"/>
        <w:ind w:firstLine="284"/>
        <w:jc w:val="both"/>
        <w:rPr>
          <w:rFonts w:ascii="Garamond" w:hAnsi="Garamond"/>
          <w:sz w:val="24"/>
          <w:szCs w:val="24"/>
        </w:rPr>
      </w:pPr>
    </w:p>
    <w:p w14:paraId="79FBFABD" w14:textId="77777777" w:rsidR="007C7BB8" w:rsidRPr="007C7BB8" w:rsidRDefault="007C7BB8" w:rsidP="00780BCA">
      <w:pPr>
        <w:pStyle w:val="Neninr"/>
      </w:pPr>
      <w:r w:rsidRPr="007C7BB8">
        <w:t>Neni 54</w:t>
      </w:r>
    </w:p>
    <w:p w14:paraId="52CF23E3" w14:textId="77777777" w:rsidR="007C7BB8" w:rsidRPr="00780BCA" w:rsidRDefault="007C7BB8" w:rsidP="00780BCA">
      <w:pPr>
        <w:pStyle w:val="Neninr"/>
        <w:rPr>
          <w:b/>
        </w:rPr>
      </w:pPr>
      <w:r w:rsidRPr="00780BCA">
        <w:rPr>
          <w:b/>
        </w:rPr>
        <w:t>Publikimi i njoftimit të kontratës së nënshkruar</w:t>
      </w:r>
    </w:p>
    <w:p w14:paraId="6FA0A5C9" w14:textId="77777777" w:rsidR="007C7BB8" w:rsidRPr="007C7BB8" w:rsidRDefault="007C7BB8" w:rsidP="007C7BB8">
      <w:pPr>
        <w:spacing w:after="0" w:line="240" w:lineRule="auto"/>
        <w:ind w:firstLine="284"/>
        <w:jc w:val="both"/>
        <w:rPr>
          <w:rFonts w:ascii="Garamond" w:hAnsi="Garamond"/>
          <w:sz w:val="24"/>
          <w:szCs w:val="24"/>
        </w:rPr>
      </w:pPr>
    </w:p>
    <w:p w14:paraId="0105068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Pas nënshkrimit të kontratës, brenda 5 (pesë) ditëve, autoriteti kontraktor dërgon njëkohësisht për publikim në Buletinin e Njoftimeve Publike dhe në faqen e internetit të AK-së njoftimin e kontratës së nënshkruar. </w:t>
      </w:r>
    </w:p>
    <w:p w14:paraId="38D95D36" w14:textId="77777777" w:rsidR="007C7BB8" w:rsidRPr="007C7BB8" w:rsidRDefault="007C7BB8" w:rsidP="007C7BB8">
      <w:pPr>
        <w:spacing w:after="0" w:line="240" w:lineRule="auto"/>
        <w:ind w:firstLine="284"/>
        <w:jc w:val="both"/>
        <w:rPr>
          <w:rFonts w:ascii="Garamond" w:hAnsi="Garamond"/>
          <w:sz w:val="24"/>
          <w:szCs w:val="24"/>
        </w:rPr>
      </w:pPr>
    </w:p>
    <w:p w14:paraId="05D9C27B" w14:textId="77777777" w:rsidR="007C7BB8" w:rsidRPr="00780BCA" w:rsidRDefault="007C7BB8" w:rsidP="00780BCA">
      <w:pPr>
        <w:pStyle w:val="Neninr"/>
      </w:pPr>
      <w:r w:rsidRPr="00780BCA">
        <w:t>Neni 55</w:t>
      </w:r>
    </w:p>
    <w:p w14:paraId="0E0689CE" w14:textId="77777777" w:rsidR="007C7BB8" w:rsidRPr="00780BCA" w:rsidRDefault="007C7BB8" w:rsidP="00780BCA">
      <w:pPr>
        <w:pStyle w:val="Neninr"/>
        <w:rPr>
          <w:b/>
        </w:rPr>
      </w:pPr>
      <w:r w:rsidRPr="00780BCA">
        <w:rPr>
          <w:b/>
        </w:rPr>
        <w:t>Rregullat për komunikimet elektronike</w:t>
      </w:r>
    </w:p>
    <w:p w14:paraId="2BE16241" w14:textId="77777777" w:rsidR="007C7BB8" w:rsidRPr="007C7BB8" w:rsidRDefault="007C7BB8" w:rsidP="007C7BB8">
      <w:pPr>
        <w:spacing w:after="0" w:line="240" w:lineRule="auto"/>
        <w:ind w:firstLine="284"/>
        <w:jc w:val="both"/>
        <w:rPr>
          <w:rFonts w:ascii="Garamond" w:hAnsi="Garamond"/>
          <w:sz w:val="24"/>
          <w:szCs w:val="24"/>
        </w:rPr>
      </w:pPr>
    </w:p>
    <w:p w14:paraId="008316DB" w14:textId="4E34FF30"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Pa cenuar parimin e përgjithshëm të mosdiskriminimit, rregullat e mëposhtme janë të zbatueshme për marrjen e ofertave dhe kërkesave për pjesëmarrje nëpërmjet mjeteve të transmetimit elektronik, si më poshtë vijon:</w:t>
      </w:r>
    </w:p>
    <w:p w14:paraId="56402DC4" w14:textId="5D0D3749"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a) </w:t>
      </w:r>
      <w:r w:rsidR="007C7BB8" w:rsidRPr="007C7BB8">
        <w:rPr>
          <w:rFonts w:ascii="Garamond" w:hAnsi="Garamond"/>
          <w:sz w:val="24"/>
          <w:szCs w:val="24"/>
        </w:rPr>
        <w:t>informacionet, që lidhen me specifikimet e nevojshme për paraqitjen elektronike të ofertave dhe kërkesave për pjesëmarrje, përfshirë enkriptimin, janë në dispozicion të palëve të interesuara. Mjetet për marrjen elektronike të ofertave dhe kërkesave për pjesëmarrje duhet të jenë në përputhje me kërkesat e përcaktuara në LPFMS dhe me legjislacionin përkatës;</w:t>
      </w:r>
    </w:p>
    <w:p w14:paraId="7728A65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b) ofertat elektronike duhet të jenë në përputhje me legjislacionin përkatës në fuqi për nënshkrimin elektronik, dokumentin elektronik, si dhe për bazat e të dhënave shtetërore;</w:t>
      </w:r>
    </w:p>
    <w:p w14:paraId="6D827E9E" w14:textId="5429526E"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c) përpara përfundimit të afatit kohor, të përcaktuar për dorëzimin e ofertave ose të kërkesave për pjesëmarrje, ofertuesit marrin përsipër të paraqesin dokumentet, certifikatat dhe dëshmitë, të përmendura në nenet 37 e 38 të LPFMS-së, nëse këto të fundit nuk ekzistojnë në format elektronik.</w:t>
      </w:r>
    </w:p>
    <w:p w14:paraId="3CED74B6"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 Pa paragjykuar parimin e mosdiskriminimit, rregullat e mëposhtme zbatohen për nënshkrimin në formë elektronike për gjithçka që ka të bëjë me paraqitjen dhe pranimin e ofertave dhe dokumenteve të lidhura me to:</w:t>
      </w:r>
    </w:p>
    <w:p w14:paraId="1D78CAEE" w14:textId="618239BA"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a) </w:t>
      </w:r>
      <w:r w:rsidR="007C7BB8" w:rsidRPr="007C7BB8">
        <w:rPr>
          <w:rFonts w:ascii="Garamond" w:hAnsi="Garamond"/>
          <w:sz w:val="24"/>
          <w:szCs w:val="24"/>
        </w:rPr>
        <w:t>kur LPFMS-ja parashikon nënshkrimin nga ana e një personi, kjo kërkesë quhet e përmbushur për të gjitha dokumentet e tenderit, nëse nënshkrimi elektronik i përdorur është i besueshëm dhe i përshtatshëm për qëllime, për të cilat dokumenti elektronik është krijuar ose është komunikuar, duke marrë parasysh të gjitha rrethanat konkrete ose në përputhje me ligjet dhe rregullat me aplikim të përgjithshëm për tregtinë në formë elektronike;</w:t>
      </w:r>
    </w:p>
    <w:p w14:paraId="3E0DCCD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b) nënshkrimi në formë elektronike do të konsiderohet i besueshëm dhe në përputhje me këtë ligj, nëse:</w:t>
      </w:r>
    </w:p>
    <w:p w14:paraId="30B39582" w14:textId="5BED6CC2"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i. </w:t>
      </w:r>
      <w:r w:rsidR="007C7BB8" w:rsidRPr="007C7BB8">
        <w:rPr>
          <w:rFonts w:ascii="Garamond" w:hAnsi="Garamond"/>
          <w:sz w:val="24"/>
          <w:szCs w:val="24"/>
        </w:rPr>
        <w:t>nënshkrimi është i dukshëm dhe brenda materialit për të cilin prezantohet, i lidhur logjikisht me personin që firmos dhe jo me ndonjë person tjetër;</w:t>
      </w:r>
    </w:p>
    <w:p w14:paraId="747B5E29" w14:textId="3E7246A9"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ii. </w:t>
      </w:r>
      <w:r w:rsidR="007C7BB8" w:rsidRPr="007C7BB8">
        <w:rPr>
          <w:rFonts w:ascii="Garamond" w:hAnsi="Garamond"/>
          <w:sz w:val="24"/>
          <w:szCs w:val="24"/>
        </w:rPr>
        <w:t>dokumentet origjinale ose të dhënat e përdorura për nënshkrimin në mënyrë elektronike në momentin e firmosjes kanë qenë nën kontrollin ekskluziv të personit që nënshkruan dhe mbeten të tilla gjatë procesit të prokurimeve dhe për një kohë të arsyeshme pas përfundimit të procesit të prokurimit dhe siç parashikohet nga LPFMS-ja;</w:t>
      </w:r>
    </w:p>
    <w:p w14:paraId="3BD8451A" w14:textId="410DA8B9"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iii. </w:t>
      </w:r>
      <w:r w:rsidR="007C7BB8" w:rsidRPr="007C7BB8">
        <w:rPr>
          <w:rFonts w:ascii="Garamond" w:hAnsi="Garamond"/>
          <w:sz w:val="24"/>
          <w:szCs w:val="24"/>
        </w:rPr>
        <w:t>çdo ndryshim në nënshkrimin elektronik, i bërë pas kohës së firmosjes, mund të dallohet me një kujdes të arsyeshëm;</w:t>
      </w:r>
    </w:p>
    <w:p w14:paraId="72DFDA2C" w14:textId="440E8731"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iv. </w:t>
      </w:r>
      <w:r w:rsidR="007C7BB8" w:rsidRPr="007C7BB8">
        <w:rPr>
          <w:rFonts w:ascii="Garamond" w:hAnsi="Garamond"/>
          <w:sz w:val="24"/>
          <w:szCs w:val="24"/>
        </w:rPr>
        <w:t>asnjë nga parashikimet në këtë nen nuk ka për qëllim të kufizojë mundësinë e çdo personi ose operatori ekonomik që, në çdo mënyrë të lejuar nga legjislacioni në fuqi, të provojë apo të kundërshtojë besueshmërinë e nënshkrimit elektronik.</w:t>
      </w:r>
    </w:p>
    <w:p w14:paraId="10C1C120" w14:textId="77777777" w:rsidR="007C7BB8" w:rsidRPr="007C7BB8" w:rsidRDefault="007C7BB8" w:rsidP="007C7BB8">
      <w:pPr>
        <w:spacing w:after="0" w:line="240" w:lineRule="auto"/>
        <w:ind w:firstLine="284"/>
        <w:jc w:val="both"/>
        <w:rPr>
          <w:rFonts w:ascii="Garamond" w:hAnsi="Garamond"/>
          <w:sz w:val="24"/>
          <w:szCs w:val="24"/>
        </w:rPr>
      </w:pPr>
    </w:p>
    <w:p w14:paraId="741A94E8" w14:textId="77777777" w:rsidR="007C7BB8" w:rsidRPr="007C7BB8" w:rsidRDefault="007C7BB8" w:rsidP="00780BCA">
      <w:pPr>
        <w:pStyle w:val="Neninr"/>
      </w:pPr>
      <w:r w:rsidRPr="007C7BB8">
        <w:t>Neni 56</w:t>
      </w:r>
    </w:p>
    <w:p w14:paraId="3ACF6F88" w14:textId="77777777" w:rsidR="007C7BB8" w:rsidRPr="00780BCA" w:rsidRDefault="007C7BB8" w:rsidP="00780BCA">
      <w:pPr>
        <w:pStyle w:val="Neninr"/>
        <w:rPr>
          <w:b/>
        </w:rPr>
      </w:pPr>
      <w:r w:rsidRPr="00780BCA">
        <w:rPr>
          <w:b/>
        </w:rPr>
        <w:t>Procedura e thjeshtuar e prokurimit</w:t>
      </w:r>
    </w:p>
    <w:p w14:paraId="42F699EF" w14:textId="77777777" w:rsidR="007C7BB8" w:rsidRPr="007C7BB8" w:rsidRDefault="007C7BB8" w:rsidP="007C7BB8">
      <w:pPr>
        <w:spacing w:after="0" w:line="240" w:lineRule="auto"/>
        <w:ind w:firstLine="284"/>
        <w:jc w:val="both"/>
        <w:rPr>
          <w:rFonts w:ascii="Garamond" w:hAnsi="Garamond"/>
          <w:sz w:val="24"/>
          <w:szCs w:val="24"/>
        </w:rPr>
      </w:pPr>
    </w:p>
    <w:p w14:paraId="097C4463" w14:textId="7C652F4D"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Autoriteti kontraktor përdor procedurën e thjeshtuar të prokurimit për punë/mallra/shërbim objekt i LPFMS-së, kur vlera e përllogaritur e tyre është më e ulët se 800.000 (tetëqind mijë) lekë në vit. Autoriteti kontraktor planifikon natyrën, sasitë dhe llojet e kontratave, që do të prokurohen me këtë procedurë prokurimi.</w:t>
      </w:r>
    </w:p>
    <w:p w14:paraId="788D1A76" w14:textId="5463D65A"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2. </w:t>
      </w:r>
      <w:r w:rsidR="007C7BB8" w:rsidRPr="007C7BB8">
        <w:rPr>
          <w:rFonts w:ascii="Garamond" w:hAnsi="Garamond"/>
          <w:sz w:val="24"/>
          <w:szCs w:val="24"/>
        </w:rPr>
        <w:t xml:space="preserve">Titullari i autoritetit kontraktor ose personi i autorizuar prej tij, në fillim të vitit kalendarik, ngre një komision të veçantë, të përbërë prej 3 (tre) anëtarësh, nga të cilët njëri është kryetar. </w:t>
      </w:r>
    </w:p>
    <w:p w14:paraId="3836AECF" w14:textId="152310B7"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3. </w:t>
      </w:r>
      <w:r w:rsidR="007C7BB8" w:rsidRPr="007C7BB8">
        <w:rPr>
          <w:rFonts w:ascii="Garamond" w:hAnsi="Garamond"/>
          <w:sz w:val="24"/>
          <w:szCs w:val="24"/>
        </w:rPr>
        <w:t>Kur lind nevoja për punë, mallra ose shërbime, titullari i autoritetit kontraktor ose një zyrtar tjetër i autorizuar nxjerr urdhrin e prokurimit ku përcaktohen objekti i prokurimit dhe sasia e tyre. Në çdo rast, përpara nxjerrjes së urdhrit të prokurimit nga titullari i autoritetit kontraktor ose personi i autorizuar prej tij, komisioni i prokurimit me vlerë të vogël, pasi të ketë siguruar apo hartuar specifikimet teknike/termat e referencës, duhet të përllogarisë fondin për sasinë e mallrave, shërbimeve, punëve që do të prokurojë, në përputhje me parashikimet e këtyre rregullave, nëse kjo detyrë nuk i është ngarkuar paraprakisht një strukture të posaçme. Urdhri i prokurimit duhet të shoqërohet me ftesën për ofertë, që u drejtohet operatorëve ekonomikë, në të cilën përcaktohen të gjitha të dhënat e nevojshme që lidhen me objektin e prokurimit.</w:t>
      </w:r>
    </w:p>
    <w:p w14:paraId="50631378" w14:textId="7D450409"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4. </w:t>
      </w:r>
      <w:r w:rsidR="007C7BB8" w:rsidRPr="007C7BB8">
        <w:rPr>
          <w:rFonts w:ascii="Garamond" w:hAnsi="Garamond"/>
          <w:sz w:val="24"/>
          <w:szCs w:val="24"/>
        </w:rPr>
        <w:t>Në çdo rast, anëtarët e komisionit ftojnë të paktën 3 (tre) operatorë ekonomikë, kur është e mundur, si dhe publikojnë ftesën për ofertë për çdo të interesuar njëkohësisht në Buletinin e Njoftimeve Publike dhe faqen e internetit të autoritetit. Në çdo rast, ofertuesi i renditur në vend të parë duhet t’i përgjigjet autoritetit kontraktor, brenda afatit të përcaktuar nga ky i fundit në ftesën për ofertë. Kur ofertuesi i renditur në vend të parë tërhiqet nga oferta e tij ose nuk plotëson kërkesat e autoritetit kontraktor, ky i fundit përzgjedh ofertuesin e renditur i dyti në listën e ofertave dhe kështu me radhë, deri në ofertuesin e renditur në vend të fundit. Këto veprime duhet të dokumentohen nga komisioni i prokurimit të thjeshtuar nëpërmjet një procesverbali të mbajtur për këtë qëllim. Afati i fundit për pranimin dhe hapjen e ofertave nuk duhet të jetë ditë pushimi (e shtunë, e diel, festa zyrtare). Për procedurat e thjeshtuara të prokurimit nuk zbatohen përcaktimet për ofertat anomalisht të ulëta dhe përcaktimet për ankimin administrativ.</w:t>
      </w:r>
    </w:p>
    <w:p w14:paraId="787DA2F8" w14:textId="5BB8B904"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5.  </w:t>
      </w:r>
      <w:r w:rsidR="007C7BB8" w:rsidRPr="007C7BB8">
        <w:rPr>
          <w:rFonts w:ascii="Garamond" w:hAnsi="Garamond"/>
          <w:sz w:val="24"/>
          <w:szCs w:val="24"/>
        </w:rPr>
        <w:t>Në asnjë rast, procedura e thjeshtuar e prokurimit nuk duhet të përdoret si mundësi për të pjesëtuar vlerën e kontratës për shmangien nga procedurat konkurruese të prokurimit.</w:t>
      </w:r>
    </w:p>
    <w:p w14:paraId="06E1EF8B" w14:textId="77777777" w:rsidR="007C7BB8" w:rsidRPr="007C7BB8" w:rsidRDefault="007C7BB8" w:rsidP="007C7BB8">
      <w:pPr>
        <w:spacing w:after="0" w:line="240" w:lineRule="auto"/>
        <w:ind w:firstLine="284"/>
        <w:jc w:val="both"/>
        <w:rPr>
          <w:rFonts w:ascii="Garamond" w:hAnsi="Garamond"/>
          <w:sz w:val="24"/>
          <w:szCs w:val="24"/>
        </w:rPr>
      </w:pPr>
    </w:p>
    <w:p w14:paraId="24AF6D42" w14:textId="77777777" w:rsidR="007C7BB8" w:rsidRPr="007C7BB8" w:rsidRDefault="007C7BB8" w:rsidP="00780BCA">
      <w:pPr>
        <w:pStyle w:val="Neninr"/>
      </w:pPr>
      <w:r w:rsidRPr="007C7BB8">
        <w:t>KREU VI</w:t>
      </w:r>
    </w:p>
    <w:p w14:paraId="78FF3492" w14:textId="77777777" w:rsidR="007C7BB8" w:rsidRPr="007C7BB8" w:rsidRDefault="007C7BB8" w:rsidP="00780BCA">
      <w:pPr>
        <w:pStyle w:val="Neninr"/>
      </w:pPr>
      <w:r w:rsidRPr="007C7BB8">
        <w:t>KUSHTE TË PËRGJITHSHME PËR ZBATIM</w:t>
      </w:r>
    </w:p>
    <w:p w14:paraId="7190BCB2" w14:textId="77777777" w:rsidR="007C7BB8" w:rsidRPr="007C7BB8" w:rsidRDefault="007C7BB8" w:rsidP="00780BCA">
      <w:pPr>
        <w:pStyle w:val="Neninr"/>
      </w:pPr>
    </w:p>
    <w:p w14:paraId="58A3FC03" w14:textId="77777777" w:rsidR="007C7BB8" w:rsidRPr="007C7BB8" w:rsidRDefault="007C7BB8" w:rsidP="00780BCA">
      <w:pPr>
        <w:pStyle w:val="Neninr"/>
      </w:pPr>
      <w:r w:rsidRPr="007C7BB8">
        <w:lastRenderedPageBreak/>
        <w:t>Neni 57</w:t>
      </w:r>
    </w:p>
    <w:p w14:paraId="2607E8F7" w14:textId="77777777" w:rsidR="007C7BB8" w:rsidRPr="00780BCA" w:rsidRDefault="007C7BB8" w:rsidP="00780BCA">
      <w:pPr>
        <w:pStyle w:val="Neninr"/>
        <w:rPr>
          <w:b/>
        </w:rPr>
      </w:pPr>
      <w:r w:rsidRPr="00780BCA">
        <w:rPr>
          <w:b/>
        </w:rPr>
        <w:t>Mungesa e konkurrencës</w:t>
      </w:r>
    </w:p>
    <w:p w14:paraId="18811876" w14:textId="77777777" w:rsidR="007C7BB8" w:rsidRPr="007C7BB8" w:rsidRDefault="007C7BB8" w:rsidP="007C7BB8">
      <w:pPr>
        <w:spacing w:after="0" w:line="240" w:lineRule="auto"/>
        <w:ind w:firstLine="284"/>
        <w:jc w:val="both"/>
        <w:rPr>
          <w:rFonts w:ascii="Garamond" w:hAnsi="Garamond"/>
          <w:sz w:val="24"/>
          <w:szCs w:val="24"/>
        </w:rPr>
      </w:pPr>
    </w:p>
    <w:p w14:paraId="2B941A58" w14:textId="60361363"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 xml:space="preserve">Që të vazhdojë procesi i përzgjedhjes së fituesit në një procedurë prokurimi, duhet të pranohet të paktën 1 (një) ofertë e vlefshme. Në të kundërt, autoriteti kontraktor anulon procedurën e prokurimit. </w:t>
      </w:r>
    </w:p>
    <w:p w14:paraId="443833F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Autoriteti kontraktor, përpara se të fillojë një procedurë të re, analizon shkaqet që shkaktuan dështimin e procedurës dhe, nëse është rasti, i korrigjon ato në mënyrë që të bëjë të mundur rritjen e konkurrencës. Ky proces dokumentohet në një procesverbal të mbajtur për këtë qëllim nga njësia e prokurimit. </w:t>
      </w:r>
    </w:p>
    <w:p w14:paraId="3B2E7F65" w14:textId="77777777" w:rsidR="007C7BB8" w:rsidRPr="007C7BB8" w:rsidRDefault="007C7BB8" w:rsidP="007C7BB8">
      <w:pPr>
        <w:spacing w:after="0" w:line="240" w:lineRule="auto"/>
        <w:ind w:firstLine="284"/>
        <w:jc w:val="both"/>
        <w:rPr>
          <w:rFonts w:ascii="Garamond" w:hAnsi="Garamond"/>
          <w:sz w:val="24"/>
          <w:szCs w:val="24"/>
        </w:rPr>
      </w:pPr>
    </w:p>
    <w:p w14:paraId="01DA186B" w14:textId="77777777" w:rsidR="007C7BB8" w:rsidRPr="007C7BB8" w:rsidRDefault="007C7BB8" w:rsidP="00780BCA">
      <w:pPr>
        <w:pStyle w:val="Neninr"/>
      </w:pPr>
      <w:r w:rsidRPr="007C7BB8">
        <w:t>Neni 58</w:t>
      </w:r>
    </w:p>
    <w:p w14:paraId="26E7625E" w14:textId="77777777" w:rsidR="007C7BB8" w:rsidRPr="00780BCA" w:rsidRDefault="007C7BB8" w:rsidP="00780BCA">
      <w:pPr>
        <w:pStyle w:val="Neninr"/>
        <w:rPr>
          <w:b/>
        </w:rPr>
      </w:pPr>
      <w:r w:rsidRPr="00780BCA">
        <w:rPr>
          <w:b/>
        </w:rPr>
        <w:t>Bashkimi i operatorëve ekonomikë</w:t>
      </w:r>
    </w:p>
    <w:p w14:paraId="15B56B0C" w14:textId="77777777" w:rsidR="007C7BB8" w:rsidRPr="007C7BB8" w:rsidRDefault="007C7BB8" w:rsidP="007C7BB8">
      <w:pPr>
        <w:spacing w:after="0" w:line="240" w:lineRule="auto"/>
        <w:ind w:firstLine="284"/>
        <w:jc w:val="both"/>
        <w:rPr>
          <w:rFonts w:ascii="Garamond" w:hAnsi="Garamond"/>
          <w:sz w:val="24"/>
          <w:szCs w:val="24"/>
        </w:rPr>
      </w:pPr>
    </w:p>
    <w:p w14:paraId="6BD86CF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Oferta mund të paraqitet nga një bashkim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bashkimi. </w:t>
      </w:r>
    </w:p>
    <w:p w14:paraId="1A612E4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2. Secili prej anëtarëve të këtij bashkimi duhet të përmbushë kërkesat ligjore, të parashikuara në nenin 37 të LPFMS-së dhe ato të përcaktuara në dokumentet e tenderit. Kërkesat ekonomike, financiare, profesionale dhe ato teknike duhet të përmbushen nga i gjithë bashkimi, në përputhje me përqindjen e pjesëmarrjes në punë, shërbim apo furnizim, të përcaktuara në aktmarrëveshje. </w:t>
      </w:r>
    </w:p>
    <w:p w14:paraId="62E7400A" w14:textId="4B080271"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3. </w:t>
      </w:r>
      <w:r w:rsidR="007C7BB8" w:rsidRPr="007C7BB8">
        <w:rPr>
          <w:rFonts w:ascii="Garamond" w:hAnsi="Garamond"/>
          <w:sz w:val="24"/>
          <w:szCs w:val="24"/>
        </w:rPr>
        <w:t xml:space="preserve">Kur oferta paraqitet nga një bashkim operatorësh, kushti i përcaktuar në shkronjën “a”, të pikës 6, të nenit 21, të këtyre rregullave, plotësohet nga anëtari, i cili ka përqindjen më të madhe të pjesëmarrjes në bashkim. Anëtarët e tjerë të bashkimit do të paraqesin kontrata të ngjashme, në raport me përqindjen e pjesëmarrjes së tyre në bashkim. </w:t>
      </w:r>
    </w:p>
    <w:p w14:paraId="3322DFB5" w14:textId="0D52921B"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4. </w:t>
      </w:r>
      <w:r w:rsidR="007C7BB8" w:rsidRPr="007C7BB8">
        <w:rPr>
          <w:rFonts w:ascii="Garamond" w:hAnsi="Garamond"/>
          <w:sz w:val="24"/>
          <w:szCs w:val="24"/>
        </w:rPr>
        <w:t xml:space="preserve">Operatori ekonomik, pjesëtar i një bashkimi, nuk mund të paraqesë njëkohësisht dhe oferta individuale. Bashkimi i operatorëve ekonomikë nuk ndryshon pas dorëzimit të ofertës, në të kundërt oferta e tij refuzohet. </w:t>
      </w:r>
    </w:p>
    <w:p w14:paraId="2B3360F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5. Në rast falimentimi të përfaqësuesit të bashkimit të operatorëve ekonomikë ose në rrethana të tjera, që ndërpresin veprimtarinë e tij gjatë zbatimit të kontratës, autoriteti kontraktor mund të vazhdojë kontratën me një operator tjetër ekonomik, anëtar të bashkimit, me kusht që ai të zotërojë kapacitetet ligjore, ekonomike, financiare dhe teknike për të zbatuar kontratën. Përndryshe, autoriteti kontraktor zgjidh kontratën. Në rast se këto rrethana i ndodhin operatorit tjetër ekonomik, atëherë detyrimet e operatorit të dështuar ekonomik mund të merren përsipër nga përfaqësuesi ose nga një anëtar tjetër i bashkimit, me kusht që ky të plotësojë kërkesat. </w:t>
      </w:r>
    </w:p>
    <w:p w14:paraId="6D1B55F1" w14:textId="77777777" w:rsidR="007C7BB8" w:rsidRPr="007C7BB8" w:rsidRDefault="007C7BB8" w:rsidP="007C7BB8">
      <w:pPr>
        <w:spacing w:after="0" w:line="240" w:lineRule="auto"/>
        <w:ind w:firstLine="284"/>
        <w:jc w:val="both"/>
        <w:rPr>
          <w:rFonts w:ascii="Garamond" w:hAnsi="Garamond"/>
          <w:sz w:val="24"/>
          <w:szCs w:val="24"/>
        </w:rPr>
      </w:pPr>
    </w:p>
    <w:p w14:paraId="4CBCEE91" w14:textId="77777777" w:rsidR="007C7BB8" w:rsidRPr="007C7BB8" w:rsidRDefault="007C7BB8" w:rsidP="00780BCA">
      <w:pPr>
        <w:pStyle w:val="Neninr"/>
      </w:pPr>
      <w:r w:rsidRPr="007C7BB8">
        <w:t>Neni 59</w:t>
      </w:r>
    </w:p>
    <w:p w14:paraId="07191FCC" w14:textId="77777777" w:rsidR="007C7BB8" w:rsidRPr="00780BCA" w:rsidRDefault="007C7BB8" w:rsidP="00780BCA">
      <w:pPr>
        <w:pStyle w:val="Neninr"/>
        <w:rPr>
          <w:b/>
        </w:rPr>
      </w:pPr>
      <w:r w:rsidRPr="00780BCA">
        <w:rPr>
          <w:b/>
        </w:rPr>
        <w:t xml:space="preserve">Nënkontraktimi </w:t>
      </w:r>
    </w:p>
    <w:p w14:paraId="69E596E5" w14:textId="77777777" w:rsidR="007C7BB8" w:rsidRPr="007C7BB8" w:rsidRDefault="007C7BB8" w:rsidP="00780BCA">
      <w:pPr>
        <w:pStyle w:val="Neninr"/>
      </w:pPr>
    </w:p>
    <w:p w14:paraId="27DABB77" w14:textId="44319DB2"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 xml:space="preserve">Autoriteti kontraktor mund të lejojë nënkontraktimin për realizimin e një pjese të kontratës. Në asnjë rast, kontraktorët nuk mund t’ua transferojnë kontratën palëve të treta. Autoriteti kontraktor lejon në veçanti nënkontraktimin për të nxitur pjesëmarrjen e operatorëve të vegjël e të mesëm ekonomikë. </w:t>
      </w:r>
    </w:p>
    <w:p w14:paraId="4BEFED4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 Në njoftimin e kontratës ose në dokumentet e tenderit duhet të përcaktohet qartë, nëse lejohet ose jo nënkontraktimi.</w:t>
      </w:r>
    </w:p>
    <w:p w14:paraId="67697B0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Në asnjë rast nënkontraktimi nuk duhet të tejkalojë 30 (tridhjetë) % të vlerës së kontratës. </w:t>
      </w:r>
    </w:p>
    <w:p w14:paraId="309CB006"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Me dorëzimin e ofertave, ofertuesit duhet të deklarojnë punët/shërbimet/mallrat ose një pjesë të tyre që ata kanë qëllim të nënkontraktojnë, në rast se shpallen fitues, si dhe emrin e nënkontraktorit. </w:t>
      </w:r>
    </w:p>
    <w:p w14:paraId="223AA4B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lastRenderedPageBreak/>
        <w:t xml:space="preserve">5. Përpara lidhjes së kontratës, ofertuesi i shpallur fitues duhet t’i dorëzojë autoritetit kontraktor një kopje të marrëveshjes së nënkontraktimit dhe dëshminë e kualifikimeve e të kërkesave teknike të nënkontraktorit, në mënyrë të tillë që autoriteti kontraktor të mund të miratojë nënkontraktimin. Komisioni i vlerësimit të ofertave vlerëson nëse nënkontraktori plotëson kërkesat e nenit 37 të LPFMS-së, si dhe zotëron kualifikimet teknike për pjesën e punës e të shërbimeve që do të kryejë ose për mallrat që do të furnizojë. </w:t>
      </w:r>
    </w:p>
    <w:p w14:paraId="03DCBEA2"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6. Ofertuesi fitues do të veprojë në mënyrë transparente dhe do të trajtojë nënkontraktorët në mënyrë të barabartë dhe jo diskriminuese.</w:t>
      </w:r>
    </w:p>
    <w:p w14:paraId="36D10CF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7. Në rast të mosplotësimit nga nënkontraktori të kritereve të kërkuara, autoriteti kontraktor vijon me lidhjen e kontratës me operatorin ekonomik të shpallur fitues. </w:t>
      </w:r>
    </w:p>
    <w:p w14:paraId="425545B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8. Gjatë ekzekutimit të kontratës autoriteti kontraktor duhet të kontrollojë nëse pjesa e kontratës, e marrë përsipër për t’u realizuar nga nënkontraktori, po realizohet nga ky i fundit. Në rast se autoriteti kontraktor konstaton se nënkontraktori nuk po realizon pjesën e kontratës së marrë përsipër, i kërkon kontraktorit kryesor të ndërpresë nënkontraktimin dhe të vijojë me zbatimin e kontratës.</w:t>
      </w:r>
    </w:p>
    <w:p w14:paraId="5C613E9F" w14:textId="77777777" w:rsidR="007C7BB8" w:rsidRPr="007C7BB8" w:rsidRDefault="007C7BB8" w:rsidP="007C7BB8">
      <w:pPr>
        <w:spacing w:after="0" w:line="240" w:lineRule="auto"/>
        <w:ind w:firstLine="284"/>
        <w:jc w:val="both"/>
        <w:rPr>
          <w:rFonts w:ascii="Garamond" w:hAnsi="Garamond"/>
          <w:sz w:val="24"/>
          <w:szCs w:val="24"/>
        </w:rPr>
      </w:pPr>
    </w:p>
    <w:p w14:paraId="19AC473C" w14:textId="77777777" w:rsidR="007C7BB8" w:rsidRPr="007C7BB8" w:rsidRDefault="007C7BB8" w:rsidP="00780BCA">
      <w:pPr>
        <w:pStyle w:val="Neninr"/>
      </w:pPr>
      <w:r w:rsidRPr="007C7BB8">
        <w:t>KREU VII</w:t>
      </w:r>
    </w:p>
    <w:p w14:paraId="01358ABD" w14:textId="77777777" w:rsidR="007C7BB8" w:rsidRPr="007C7BB8" w:rsidRDefault="007C7BB8" w:rsidP="00780BCA">
      <w:pPr>
        <w:pStyle w:val="Neninr"/>
      </w:pPr>
      <w:r w:rsidRPr="007C7BB8">
        <w:t>KOHËZGJATJA DHE MBIKËQYRJA E KONTRATËS</w:t>
      </w:r>
    </w:p>
    <w:p w14:paraId="7E182223" w14:textId="77777777" w:rsidR="007C7BB8" w:rsidRPr="007C7BB8" w:rsidRDefault="007C7BB8" w:rsidP="00780BCA">
      <w:pPr>
        <w:pStyle w:val="Neninr"/>
      </w:pPr>
    </w:p>
    <w:p w14:paraId="7EE2A2BB" w14:textId="77777777" w:rsidR="007C7BB8" w:rsidRPr="007C7BB8" w:rsidRDefault="007C7BB8" w:rsidP="00780BCA">
      <w:pPr>
        <w:pStyle w:val="Neninr"/>
      </w:pPr>
      <w:r w:rsidRPr="007C7BB8">
        <w:t>Neni 60</w:t>
      </w:r>
    </w:p>
    <w:p w14:paraId="5789DBA4" w14:textId="77777777" w:rsidR="007C7BB8" w:rsidRPr="00780BCA" w:rsidRDefault="007C7BB8" w:rsidP="00780BCA">
      <w:pPr>
        <w:pStyle w:val="Neninr"/>
        <w:rPr>
          <w:b/>
        </w:rPr>
      </w:pPr>
      <w:r w:rsidRPr="00780BCA">
        <w:rPr>
          <w:b/>
        </w:rPr>
        <w:t>Kohëzgjatja e kontratës</w:t>
      </w:r>
    </w:p>
    <w:p w14:paraId="5EBBF838" w14:textId="77777777" w:rsidR="007C7BB8" w:rsidRPr="007C7BB8" w:rsidRDefault="007C7BB8" w:rsidP="00780BCA">
      <w:pPr>
        <w:pStyle w:val="Neninr"/>
      </w:pPr>
    </w:p>
    <w:p w14:paraId="6C2E6DC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Autoriteti kontraktor, për fondet buxhetore, prokuron kontratat për një periudhë deri në mbylljen e vitit buxhetor, përveç rasteve kur lidhen kontrata që kërkojnë financim nga fonde të më shumë se një viti buxhetor. Në çdo rast, financimi i kontratave të prokurimit bëhet në përputhje me parashikimet e legjislacionit përkatës për menaxhimin e sistemit buxhetor në Republikën e Shqipërisë. </w:t>
      </w:r>
    </w:p>
    <w:p w14:paraId="648C366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 Autoriteti kontraktor nuk lidh kontrata që kërkojnë financim nga fonde të më shumë se një viti buxhetor për punë, mallra ose shërbime, për të cilat bëhen planifikim dhe përdorime vjetore që gjenden lehtësisht në treg dhe mund të prokurohen normalisht.</w:t>
      </w:r>
    </w:p>
    <w:p w14:paraId="7264FF3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Vetëm në rrethana të argumentuara, të shpallura në njoftimin e kontratës, që lidhen ngushtësisht me natyrën, kompleksitetin dhe financimin e saj, autoriteti kontraktor mund të lidhë një kontratë kërkon financim nga fonde të më shumë se një viti buxhetor, sipas përcaktimeve në këto rregulla. </w:t>
      </w:r>
    </w:p>
    <w:p w14:paraId="15F6CACF"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Autoritetet kontraktore, për plotësimin e nevojave me mallra dhe shërbime të vazhdueshme, lejohen të zgjasin afatin e kontratës, nëpërmjet nënshkrimit të një kontrate shtesë me të njëjtin kontraktues, deri sa të kryhen procedurat e prokurimit. Në çdo rast, autoriteti kontraktor duhet të argumentojë në mënyrë të detajuar nevojën për zgjatjen e kontratës. </w:t>
      </w:r>
    </w:p>
    <w:p w14:paraId="1E33DC8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5. Kontrata shtesë për mallrat apo shërbimet e vazhdueshme duhet të nënshkruhet brenda 3 (tre) muajve nga përfundimi i kontratës fillestare me një vlerë maksimumi 20% të kontratës së fundit. Fondet për kontratën shtesë do të përballohen nga fondet e vëna në dispozicion të autoritetit kontraktor në buxhetin e atij viti. </w:t>
      </w:r>
    </w:p>
    <w:p w14:paraId="46A0BFE0" w14:textId="77777777" w:rsidR="007C7BB8" w:rsidRPr="007C7BB8" w:rsidRDefault="007C7BB8" w:rsidP="007C7BB8">
      <w:pPr>
        <w:spacing w:after="0" w:line="240" w:lineRule="auto"/>
        <w:ind w:firstLine="284"/>
        <w:jc w:val="both"/>
        <w:rPr>
          <w:rFonts w:ascii="Garamond" w:hAnsi="Garamond"/>
          <w:sz w:val="24"/>
          <w:szCs w:val="24"/>
        </w:rPr>
      </w:pPr>
    </w:p>
    <w:p w14:paraId="1FEDC620" w14:textId="77777777" w:rsidR="007C7BB8" w:rsidRPr="007C7BB8" w:rsidRDefault="007C7BB8" w:rsidP="00780BCA">
      <w:pPr>
        <w:pStyle w:val="Neninr"/>
      </w:pPr>
      <w:r w:rsidRPr="007C7BB8">
        <w:t>Neni 61</w:t>
      </w:r>
    </w:p>
    <w:p w14:paraId="7FD6739E" w14:textId="77777777" w:rsidR="007C7BB8" w:rsidRPr="00780BCA" w:rsidRDefault="007C7BB8" w:rsidP="00780BCA">
      <w:pPr>
        <w:pStyle w:val="Neninr"/>
        <w:rPr>
          <w:b/>
        </w:rPr>
      </w:pPr>
      <w:r w:rsidRPr="00780BCA">
        <w:rPr>
          <w:b/>
        </w:rPr>
        <w:t>Mbikëqyrja e kontratës</w:t>
      </w:r>
    </w:p>
    <w:p w14:paraId="611E64DD" w14:textId="77777777" w:rsidR="007C7BB8" w:rsidRPr="007C7BB8" w:rsidRDefault="007C7BB8" w:rsidP="00780BCA">
      <w:pPr>
        <w:pStyle w:val="Neninr"/>
      </w:pPr>
    </w:p>
    <w:p w14:paraId="661064D9" w14:textId="3E7B8337"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 xml:space="preserve">Mospërmbushja e detyrimeve të kontratës nga ana e kontraktorit përbën shkak për përjashtimin e këtij kontraktori nga pjesëmarrja në prokurimet në fushën e mbrojtjes dhe të sigurisë. </w:t>
      </w:r>
    </w:p>
    <w:p w14:paraId="137871EC" w14:textId="282945AB"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7C7BB8" w:rsidRPr="007C7BB8">
        <w:rPr>
          <w:rFonts w:ascii="Garamond" w:hAnsi="Garamond"/>
          <w:sz w:val="24"/>
          <w:szCs w:val="24"/>
        </w:rPr>
        <w:t xml:space="preserve">Pas vendimit për përjashtimin, autoriteti kontraktor njofton APP-në për përjashtimin e këtij kontraktori nga pjesëmarrja në prokurime, brenda 30 (tridhjetë) ditëve nga marrja e vendimit. </w:t>
      </w:r>
    </w:p>
    <w:p w14:paraId="2198F49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3. Për t’u siguruar nëse cilësia e punëve, shërbimeve ose e mallrave është e njëjtë me cilësinë për të cilën është shpallur fitues kontraktori, autoriteti kontraktor duhet të mbikëqyrë zbatimin e kontratës dhe në rast të shkeljes së kushteve të kërkuara zbaton penalitetet e parashikuara në kontratë. Autoriteti kontraktor, gjatë kryerjes së kontrolleve mban procesverbal me shkrim në prani të kontraktorit, sipas përcaktimeve në legjislacionin në fuqi. </w:t>
      </w:r>
    </w:p>
    <w:p w14:paraId="16A42A58"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Autoriteti kontraktor merr informacion në mënyrë të vazhdueshme për ecurinë e zbatimit të kontratës nga struktura/sektori i ngritur pranë autoritetit kontraktor për këtë qëllim. </w:t>
      </w:r>
    </w:p>
    <w:p w14:paraId="32F934A8" w14:textId="77777777" w:rsidR="007C7BB8" w:rsidRPr="007C7BB8" w:rsidRDefault="007C7BB8" w:rsidP="007C7BB8">
      <w:pPr>
        <w:spacing w:after="0" w:line="240" w:lineRule="auto"/>
        <w:ind w:firstLine="284"/>
        <w:jc w:val="both"/>
        <w:rPr>
          <w:rFonts w:ascii="Garamond" w:hAnsi="Garamond"/>
          <w:sz w:val="24"/>
          <w:szCs w:val="24"/>
        </w:rPr>
      </w:pPr>
    </w:p>
    <w:p w14:paraId="1D65DDD6" w14:textId="77777777" w:rsidR="007C7BB8" w:rsidRPr="007C7BB8" w:rsidRDefault="007C7BB8" w:rsidP="00780BCA">
      <w:pPr>
        <w:pStyle w:val="Neninr"/>
      </w:pPr>
      <w:r w:rsidRPr="007C7BB8">
        <w:t>KREU VIII</w:t>
      </w:r>
    </w:p>
    <w:p w14:paraId="67FC152F" w14:textId="77777777" w:rsidR="007C7BB8" w:rsidRPr="007C7BB8" w:rsidRDefault="007C7BB8" w:rsidP="00780BCA">
      <w:pPr>
        <w:pStyle w:val="Neninr"/>
      </w:pPr>
      <w:r w:rsidRPr="007C7BB8">
        <w:t>SHQYRTIMI I ANKESAVE</w:t>
      </w:r>
    </w:p>
    <w:p w14:paraId="4CC59FFD" w14:textId="77777777" w:rsidR="007C7BB8" w:rsidRPr="007C7BB8" w:rsidRDefault="007C7BB8" w:rsidP="00780BCA">
      <w:pPr>
        <w:pStyle w:val="Neninr"/>
      </w:pPr>
    </w:p>
    <w:p w14:paraId="549786AC" w14:textId="77777777" w:rsidR="007C7BB8" w:rsidRPr="007C7BB8" w:rsidRDefault="007C7BB8" w:rsidP="00780BCA">
      <w:pPr>
        <w:pStyle w:val="Neninr"/>
      </w:pPr>
      <w:r w:rsidRPr="007C7BB8">
        <w:t>Neni 62</w:t>
      </w:r>
    </w:p>
    <w:p w14:paraId="5416658D" w14:textId="77777777" w:rsidR="007C7BB8" w:rsidRPr="00780BCA" w:rsidRDefault="007C7BB8" w:rsidP="00780BCA">
      <w:pPr>
        <w:pStyle w:val="Neninr"/>
        <w:rPr>
          <w:b/>
        </w:rPr>
      </w:pPr>
      <w:r w:rsidRPr="00780BCA">
        <w:rPr>
          <w:b/>
        </w:rPr>
        <w:t>Paraqitja dhe shqyrtimi i ankesave</w:t>
      </w:r>
    </w:p>
    <w:p w14:paraId="7A42AFBB" w14:textId="77777777" w:rsidR="007C7BB8" w:rsidRPr="007C7BB8" w:rsidRDefault="007C7BB8" w:rsidP="007C7BB8">
      <w:pPr>
        <w:spacing w:after="0" w:line="240" w:lineRule="auto"/>
        <w:ind w:firstLine="284"/>
        <w:jc w:val="both"/>
        <w:rPr>
          <w:rFonts w:ascii="Garamond" w:hAnsi="Garamond"/>
          <w:sz w:val="24"/>
          <w:szCs w:val="24"/>
        </w:rPr>
      </w:pPr>
    </w:p>
    <w:p w14:paraId="6B5C8D25"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 Çdo person, që ka ose ka pasur interes në një procedurë prokurimi dhe kur është dëmtuar ose rrezikohet të dëmtohet nga një vendim i autoritetit kontraktor, mund ta kundërshtojë këtë vendim.  </w:t>
      </w:r>
    </w:p>
    <w:p w14:paraId="02B551CC" w14:textId="02E44998"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2. </w:t>
      </w:r>
      <w:r w:rsidR="007C7BB8" w:rsidRPr="007C7BB8">
        <w:rPr>
          <w:rFonts w:ascii="Garamond" w:hAnsi="Garamond"/>
          <w:sz w:val="24"/>
          <w:szCs w:val="24"/>
        </w:rPr>
        <w:t xml:space="preserve">Ankesa, si për dokumentet e procedurës, ashtu edhe për vendimin e vlerësimit/klasifikimit përfundimtar paraqitet me shkrim në Komisionin e Prokurimit Publik, sipas formularit përkatës, ku shënohen emri, adresa e ankuesit, referimi për procedurën konkrete dhe baza ligjore, ku ankuesi pretendon për shkeljet, duke e shoqëruar atë me dokumentacionin dhe provat përkatëse, për të cilat ai mendon se mbështesin ankimin e tij. Elementet e mësipërme janë të domosdoshme për shqyrtimin e ankesës. </w:t>
      </w:r>
    </w:p>
    <w:p w14:paraId="53768854" w14:textId="0AE7F429"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3. </w:t>
      </w:r>
      <w:r w:rsidR="007C7BB8" w:rsidRPr="007C7BB8">
        <w:rPr>
          <w:rFonts w:ascii="Garamond" w:hAnsi="Garamond"/>
          <w:sz w:val="24"/>
          <w:szCs w:val="24"/>
        </w:rPr>
        <w:t>Një kopje me shkrim e ankesës i dërgohet, detyrimisht, për dijeni, edhe autoritetit kontraktor. Me marrjen e dijenisë në lidhje me ankesën e paraqitur, autoriteti kontraktor pezullon vazhdimin e procedurës së prokurimit deri në shqyrtimin plotësisht të ankesës, përfshirë dhe nxjerrjen e një vendimi nga Komisioni i Prokurimit Publik.</w:t>
      </w:r>
    </w:p>
    <w:p w14:paraId="3CFAAD0E"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4. Në rastin e ankesave për dokumentet e procedurës, operatorët ekonomikë kanë të drejtë të ankohen brenda 10 ditëve, nga dita e nesërme e marrjes së njoftimit të kontratës, sipas përcaktimeve të Kodit të Procedurës Administrative. </w:t>
      </w:r>
    </w:p>
    <w:p w14:paraId="2A4954F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5. Në rastin e ankesave për vendimin e vlerësimit/klasifikimit përfundimtar, operatorët ekonomikë kanë të drejtë të ankohen brenda 10 (dhjetë) ditëve, nga dita e nesërme e marrjes dijeni të njoftimit të fituesit, sipas përcaktimeve të Kodit të Procedurës Administrative.</w:t>
      </w:r>
    </w:p>
    <w:p w14:paraId="6FA33C9C" w14:textId="6D57A556"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6. Afatet e parashikuara në pikat 2 dhe 3</w:t>
      </w:r>
      <w:r w:rsidR="00780BCA">
        <w:rPr>
          <w:rFonts w:ascii="Garamond" w:hAnsi="Garamond"/>
          <w:sz w:val="24"/>
          <w:szCs w:val="24"/>
        </w:rPr>
        <w:t xml:space="preserve">, të këtij neni, shkurtohen me </w:t>
      </w:r>
      <w:r w:rsidRPr="007C7BB8">
        <w:rPr>
          <w:rFonts w:ascii="Garamond" w:hAnsi="Garamond"/>
          <w:sz w:val="24"/>
          <w:szCs w:val="24"/>
        </w:rPr>
        <w:t>5 (pesë) ditë në rastet e zhvillimit të procedurës së prokurimit me mjete elektronike.</w:t>
      </w:r>
    </w:p>
    <w:p w14:paraId="488F07FD"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7. Me marrjen e ankesës me shkrim të ankuesit, Komisioni i Prokurimit Publik përgjigjet me shkrim lidhur me përmbushjen e elementeve formale të ankimit, brenda 5 (pesë) ditëve, duke filluar nga dita e nesërme e punës. Brenda 5 (pesë) ditëve nga vendimi për plotësimin e elementeve formale, Komisioni i Prokurimit Publik i kërkon informacion apo dokumentacion autoritetit kontraktor. Ky i fundit ka detyrimin t’i përgjigjet kërkesës së Komisionit të Prokurimit Publik brenda 5 (pesë) ditëve nga marrja e saj.</w:t>
      </w:r>
    </w:p>
    <w:p w14:paraId="4FAD85CA"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Komisioni i Prokurimit Publik merr vendim jo më vonë se 20 (njëzet) ditë pas marrjes së informacionit apo dokumentacionit të kërkuar. </w:t>
      </w:r>
    </w:p>
    <w:p w14:paraId="49854150"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Përjashtimisht, nëse Komisioni i Prokurimit Publik, për shkaqe të ligjshme, nuk arrin të marrë një vendim brenda afatit 20-ditor, ai duhet t’u bëjë të ditur palëve në proces arsyet e mosmarrjes së këtij vendimi. Nga ky moment, brenda 15 (pesëmbëdhjetë) ditëve, Komisioni i Prokurimit Publik ka detyrimin të dalë me vendimin përfundimtar për shqyrtimin e ankesës.</w:t>
      </w:r>
    </w:p>
    <w:p w14:paraId="3DD5483C" w14:textId="6BB82749"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lastRenderedPageBreak/>
        <w:t xml:space="preserve">8. </w:t>
      </w:r>
      <w:r w:rsidR="007C7BB8" w:rsidRPr="007C7BB8">
        <w:rPr>
          <w:rFonts w:ascii="Garamond" w:hAnsi="Garamond"/>
          <w:sz w:val="24"/>
          <w:szCs w:val="24"/>
        </w:rPr>
        <w:t xml:space="preserve">Procedura e rishikimit administrativ dhe vendimmarrja e Komisionit të Prokurimit Publik, në përfundim të shqyrtimit të ankesës, bëhen në përputhje me parashikimet përkatëse në këtë vendim, në LPFSM dhe legjislacionin përkatës në fushën e mbrojtjes dhe sigurisë. </w:t>
      </w:r>
    </w:p>
    <w:p w14:paraId="6AFABD9E" w14:textId="08A9F647"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9. </w:t>
      </w:r>
      <w:r w:rsidR="007C7BB8" w:rsidRPr="007C7BB8">
        <w:rPr>
          <w:rFonts w:ascii="Garamond" w:hAnsi="Garamond"/>
          <w:sz w:val="24"/>
          <w:szCs w:val="24"/>
        </w:rPr>
        <w:t>Në çdo rast, gjatë procedurës së rishikimit administrativ, Komisioni i Prokurimit Publik duhet të mbajë në konsideratë detyrimet ligjore për trajtimin e informacionit të klasifikuar.</w:t>
      </w:r>
    </w:p>
    <w:p w14:paraId="0558E8A1"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10. Ndaj vendimit të Komisionit të Prokurimit Publik, palët në proces dhe personat e interesuar kanë të drejtë të ankohen në gjykatën përkatëse, që shqyrton mosmarrëveshjet administrative. Ankimi në gjykatë nuk pezullon procedurat konkurruese, lidhjen e kontratës apo ekzekutimin e detyrimeve mes palëve.</w:t>
      </w:r>
    </w:p>
    <w:p w14:paraId="5CC9C699"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11. Çdo ankesë në Komisionin e Prokurimit Publik bëhet kundrejt pagesës. </w:t>
      </w:r>
    </w:p>
    <w:p w14:paraId="43D4D4AB" w14:textId="77777777" w:rsidR="007C7BB8" w:rsidRPr="007C7BB8" w:rsidRDefault="007C7BB8" w:rsidP="007C7BB8">
      <w:pPr>
        <w:spacing w:after="0" w:line="240" w:lineRule="auto"/>
        <w:ind w:firstLine="284"/>
        <w:jc w:val="both"/>
        <w:rPr>
          <w:rFonts w:ascii="Garamond" w:hAnsi="Garamond"/>
          <w:sz w:val="24"/>
          <w:szCs w:val="24"/>
        </w:rPr>
      </w:pPr>
    </w:p>
    <w:p w14:paraId="56EF6BFA" w14:textId="77777777" w:rsidR="007C7BB8" w:rsidRPr="007C7BB8" w:rsidRDefault="007C7BB8" w:rsidP="00780BCA">
      <w:pPr>
        <w:pStyle w:val="Neninr"/>
      </w:pPr>
      <w:r w:rsidRPr="007C7BB8">
        <w:t>Neni 63</w:t>
      </w:r>
    </w:p>
    <w:p w14:paraId="3A0E3714" w14:textId="77777777" w:rsidR="007C7BB8" w:rsidRPr="00780BCA" w:rsidRDefault="007C7BB8" w:rsidP="00780BCA">
      <w:pPr>
        <w:pStyle w:val="Neninr"/>
        <w:rPr>
          <w:b/>
        </w:rPr>
      </w:pPr>
      <w:r w:rsidRPr="00780BCA">
        <w:rPr>
          <w:b/>
        </w:rPr>
        <w:t>Sanksionet administrative</w:t>
      </w:r>
    </w:p>
    <w:p w14:paraId="4E63CB43" w14:textId="77777777" w:rsidR="007C7BB8" w:rsidRPr="007C7BB8" w:rsidRDefault="007C7BB8" w:rsidP="00780BCA">
      <w:pPr>
        <w:pStyle w:val="Neninr"/>
      </w:pPr>
    </w:p>
    <w:p w14:paraId="6579B0BD" w14:textId="3B6F2B08" w:rsidR="007C7BB8" w:rsidRPr="007C7BB8" w:rsidRDefault="00780BCA" w:rsidP="007C7BB8">
      <w:pPr>
        <w:spacing w:after="0" w:line="240" w:lineRule="auto"/>
        <w:ind w:firstLine="284"/>
        <w:jc w:val="both"/>
        <w:rPr>
          <w:rFonts w:ascii="Garamond" w:hAnsi="Garamond"/>
          <w:sz w:val="24"/>
          <w:szCs w:val="24"/>
        </w:rPr>
      </w:pPr>
      <w:r>
        <w:rPr>
          <w:rFonts w:ascii="Garamond" w:hAnsi="Garamond"/>
          <w:sz w:val="24"/>
          <w:szCs w:val="24"/>
        </w:rPr>
        <w:t xml:space="preserve">1. </w:t>
      </w:r>
      <w:r w:rsidR="007C7BB8" w:rsidRPr="007C7BB8">
        <w:rPr>
          <w:rFonts w:ascii="Garamond" w:hAnsi="Garamond"/>
          <w:sz w:val="24"/>
          <w:szCs w:val="24"/>
        </w:rPr>
        <w:t>Në përfundim të procedurës së hetimit administrativ të kryer nga APP-ja, sipas kompetencave të përcaktuara në nenin 14 të LPFMS-së, vendosen masa për kundërvajtjet administrative, sipas parashikimeve të nenit 61 të LPFMS-së.</w:t>
      </w:r>
    </w:p>
    <w:p w14:paraId="6CE98033"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2. Në dhënien e masës administrative duhet të mbahen parasysh rrethanat, pasoja dhe roli i zyrtarit në shkelje dhe, në çdo rast, zbatohen dispozitat e Kodit të Procedurave Administrative.</w:t>
      </w:r>
    </w:p>
    <w:p w14:paraId="54E81033" w14:textId="77777777" w:rsidR="007C7BB8" w:rsidRPr="007C7BB8" w:rsidRDefault="007C7BB8" w:rsidP="007C7BB8">
      <w:pPr>
        <w:spacing w:after="0" w:line="240" w:lineRule="auto"/>
        <w:ind w:firstLine="284"/>
        <w:jc w:val="both"/>
        <w:rPr>
          <w:rFonts w:ascii="Garamond" w:hAnsi="Garamond"/>
          <w:sz w:val="24"/>
          <w:szCs w:val="24"/>
        </w:rPr>
      </w:pPr>
    </w:p>
    <w:p w14:paraId="65C24F1D" w14:textId="77777777" w:rsidR="007C7BB8" w:rsidRPr="007C7BB8" w:rsidRDefault="007C7BB8" w:rsidP="00780BCA">
      <w:pPr>
        <w:pStyle w:val="Neninr"/>
      </w:pPr>
      <w:r w:rsidRPr="007C7BB8">
        <w:t>Neni 64</w:t>
      </w:r>
    </w:p>
    <w:p w14:paraId="6A61FC86" w14:textId="77777777" w:rsidR="007C7BB8" w:rsidRPr="00780BCA" w:rsidRDefault="007C7BB8" w:rsidP="00780BCA">
      <w:pPr>
        <w:pStyle w:val="Neninr"/>
        <w:rPr>
          <w:b/>
        </w:rPr>
      </w:pPr>
      <w:r w:rsidRPr="00780BCA">
        <w:rPr>
          <w:b/>
        </w:rPr>
        <w:t xml:space="preserve">Dispozita tranzitore </w:t>
      </w:r>
    </w:p>
    <w:p w14:paraId="4C219D96" w14:textId="77777777" w:rsidR="007C7BB8" w:rsidRPr="007C7BB8" w:rsidRDefault="007C7BB8" w:rsidP="007C7BB8">
      <w:pPr>
        <w:spacing w:after="0" w:line="240" w:lineRule="auto"/>
        <w:ind w:firstLine="284"/>
        <w:jc w:val="both"/>
        <w:rPr>
          <w:rFonts w:ascii="Garamond" w:hAnsi="Garamond"/>
          <w:sz w:val="24"/>
          <w:szCs w:val="24"/>
        </w:rPr>
      </w:pPr>
    </w:p>
    <w:p w14:paraId="40A75577" w14:textId="77777777" w:rsidR="007C7BB8" w:rsidRPr="007C7BB8" w:rsidRDefault="007C7BB8" w:rsidP="007C7BB8">
      <w:pPr>
        <w:spacing w:after="0" w:line="240" w:lineRule="auto"/>
        <w:ind w:firstLine="284"/>
        <w:jc w:val="both"/>
        <w:rPr>
          <w:rFonts w:ascii="Garamond" w:hAnsi="Garamond"/>
          <w:sz w:val="24"/>
          <w:szCs w:val="24"/>
        </w:rPr>
      </w:pPr>
      <w:r w:rsidRPr="007C7BB8">
        <w:rPr>
          <w:rFonts w:ascii="Garamond" w:hAnsi="Garamond"/>
          <w:sz w:val="24"/>
          <w:szCs w:val="24"/>
        </w:rPr>
        <w:t xml:space="preserve">Procedurat e prokurimit të filluara para hyrjes në fuqi të këtij vendimi të vazhdojnë sipas rregullave të prokurimit publik, në bazë të të cilave ato kanë filluar. </w:t>
      </w:r>
    </w:p>
    <w:p w14:paraId="57370FA1" w14:textId="77777777" w:rsidR="00B25BBB" w:rsidRPr="007C7BB8" w:rsidRDefault="00B25BBB" w:rsidP="007C7BB8">
      <w:pPr>
        <w:spacing w:after="0" w:line="240" w:lineRule="auto"/>
        <w:ind w:firstLine="284"/>
        <w:jc w:val="both"/>
        <w:rPr>
          <w:rFonts w:ascii="Garamond" w:hAnsi="Garamond"/>
          <w:sz w:val="24"/>
          <w:szCs w:val="24"/>
        </w:rPr>
      </w:pPr>
    </w:p>
    <w:p w14:paraId="57370FA2" w14:textId="77777777" w:rsidR="00B25BBB" w:rsidRPr="007C7BB8" w:rsidRDefault="00B25BBB" w:rsidP="007C7BB8">
      <w:pPr>
        <w:spacing w:after="0" w:line="240" w:lineRule="auto"/>
        <w:ind w:firstLine="284"/>
        <w:jc w:val="both"/>
        <w:rPr>
          <w:rFonts w:ascii="Garamond" w:hAnsi="Garamond"/>
          <w:sz w:val="24"/>
          <w:szCs w:val="24"/>
        </w:rPr>
      </w:pPr>
    </w:p>
    <w:p w14:paraId="57370FA3" w14:textId="77777777" w:rsidR="00B25BBB" w:rsidRPr="007C7BB8" w:rsidRDefault="00B25BBB" w:rsidP="007C7BB8">
      <w:pPr>
        <w:spacing w:after="0" w:line="240" w:lineRule="auto"/>
        <w:ind w:firstLine="284"/>
        <w:jc w:val="both"/>
        <w:rPr>
          <w:rFonts w:ascii="Garamond" w:hAnsi="Garamond"/>
          <w:sz w:val="24"/>
          <w:szCs w:val="24"/>
        </w:rPr>
      </w:pPr>
    </w:p>
    <w:p w14:paraId="57370FA4" w14:textId="77777777" w:rsidR="00B25BBB" w:rsidRPr="007C7BB8" w:rsidRDefault="00B25BBB" w:rsidP="007C7BB8">
      <w:pPr>
        <w:spacing w:after="0" w:line="240" w:lineRule="auto"/>
        <w:ind w:firstLine="284"/>
        <w:jc w:val="both"/>
        <w:rPr>
          <w:rFonts w:ascii="Garamond" w:hAnsi="Garamond"/>
          <w:sz w:val="24"/>
          <w:szCs w:val="24"/>
        </w:rPr>
      </w:pPr>
    </w:p>
    <w:p w14:paraId="57370FA5" w14:textId="77777777" w:rsidR="00B25BBB" w:rsidRPr="007C7BB8" w:rsidRDefault="00B25BBB" w:rsidP="007C7BB8">
      <w:pPr>
        <w:spacing w:after="0" w:line="240" w:lineRule="auto"/>
        <w:ind w:firstLine="284"/>
        <w:jc w:val="both"/>
        <w:rPr>
          <w:rFonts w:ascii="Garamond" w:hAnsi="Garamond"/>
          <w:sz w:val="24"/>
          <w:szCs w:val="24"/>
        </w:rPr>
      </w:pPr>
    </w:p>
    <w:p w14:paraId="57370FA6" w14:textId="77777777" w:rsidR="00B25BBB" w:rsidRPr="007C7BB8" w:rsidRDefault="00B25BBB" w:rsidP="007C7BB8">
      <w:pPr>
        <w:spacing w:after="0" w:line="240" w:lineRule="auto"/>
        <w:ind w:firstLine="284"/>
        <w:jc w:val="both"/>
        <w:rPr>
          <w:rFonts w:ascii="Garamond" w:hAnsi="Garamond"/>
          <w:sz w:val="24"/>
          <w:szCs w:val="24"/>
        </w:rPr>
      </w:pPr>
    </w:p>
    <w:p w14:paraId="57370FA7" w14:textId="77777777" w:rsidR="00B25BBB" w:rsidRPr="007C7BB8" w:rsidRDefault="00B25BBB" w:rsidP="007C7BB8">
      <w:pPr>
        <w:spacing w:after="0" w:line="240" w:lineRule="auto"/>
        <w:ind w:firstLine="284"/>
        <w:jc w:val="both"/>
        <w:rPr>
          <w:rFonts w:ascii="Garamond" w:hAnsi="Garamond"/>
          <w:sz w:val="24"/>
          <w:szCs w:val="24"/>
        </w:rPr>
      </w:pPr>
    </w:p>
    <w:p w14:paraId="57370FA8" w14:textId="77777777" w:rsidR="00B25BBB" w:rsidRPr="007C7BB8" w:rsidRDefault="00B25BBB" w:rsidP="007C7BB8">
      <w:pPr>
        <w:spacing w:after="0" w:line="240" w:lineRule="auto"/>
        <w:ind w:firstLine="284"/>
        <w:jc w:val="both"/>
        <w:rPr>
          <w:rFonts w:ascii="Garamond" w:hAnsi="Garamond"/>
          <w:sz w:val="24"/>
          <w:szCs w:val="24"/>
        </w:rPr>
      </w:pPr>
    </w:p>
    <w:p w14:paraId="57370FA9" w14:textId="77777777" w:rsidR="00B25BBB" w:rsidRPr="007C7BB8" w:rsidRDefault="00B25BBB" w:rsidP="007C7BB8">
      <w:pPr>
        <w:spacing w:after="0" w:line="240" w:lineRule="auto"/>
        <w:ind w:firstLine="284"/>
        <w:jc w:val="both"/>
        <w:rPr>
          <w:rFonts w:ascii="Garamond" w:hAnsi="Garamond"/>
          <w:sz w:val="24"/>
          <w:szCs w:val="24"/>
        </w:rPr>
      </w:pPr>
    </w:p>
    <w:p w14:paraId="57370FAA" w14:textId="77777777" w:rsidR="00B25BBB" w:rsidRPr="007C7BB8" w:rsidRDefault="00B25BBB" w:rsidP="007C7BB8">
      <w:pPr>
        <w:spacing w:after="0" w:line="240" w:lineRule="auto"/>
        <w:ind w:firstLine="284"/>
        <w:jc w:val="both"/>
        <w:rPr>
          <w:rFonts w:ascii="Garamond" w:hAnsi="Garamond"/>
          <w:sz w:val="24"/>
          <w:szCs w:val="24"/>
        </w:rPr>
      </w:pPr>
    </w:p>
    <w:p w14:paraId="57370FAB" w14:textId="77777777" w:rsidR="00B25BBB" w:rsidRPr="007C7BB8" w:rsidRDefault="00B25BBB" w:rsidP="007C7BB8">
      <w:pPr>
        <w:spacing w:after="0" w:line="240" w:lineRule="auto"/>
        <w:ind w:firstLine="284"/>
        <w:jc w:val="both"/>
        <w:rPr>
          <w:rFonts w:ascii="Garamond" w:hAnsi="Garamond"/>
          <w:sz w:val="24"/>
          <w:szCs w:val="24"/>
        </w:rPr>
      </w:pPr>
    </w:p>
    <w:p w14:paraId="57370FB1" w14:textId="77777777" w:rsidR="00102FC8" w:rsidRPr="007C7BB8" w:rsidRDefault="00102FC8" w:rsidP="00780BCA">
      <w:pPr>
        <w:spacing w:after="0" w:line="240" w:lineRule="auto"/>
        <w:jc w:val="both"/>
        <w:rPr>
          <w:rFonts w:ascii="Garamond" w:hAnsi="Garamond"/>
          <w:sz w:val="24"/>
          <w:szCs w:val="24"/>
        </w:rPr>
      </w:pPr>
      <w:bookmarkStart w:id="0" w:name="_GoBack"/>
      <w:bookmarkEnd w:id="0"/>
    </w:p>
    <w:sectPr w:rsidR="00102FC8" w:rsidRPr="007C7BB8" w:rsidSect="00B25BBB">
      <w:headerReference w:type="default" r:id="rId15"/>
      <w:footerReference w:type="default" r:id="rId16"/>
      <w:pgSz w:w="11907" w:h="16839" w:code="9"/>
      <w:pgMar w:top="1440" w:right="1440" w:bottom="180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DD0875" w14:textId="77777777" w:rsidR="00AE4AD6" w:rsidRDefault="00AE4AD6" w:rsidP="00B10F23">
      <w:pPr>
        <w:spacing w:after="0" w:line="240" w:lineRule="auto"/>
      </w:pPr>
      <w:r>
        <w:separator/>
      </w:r>
    </w:p>
  </w:endnote>
  <w:endnote w:type="continuationSeparator" w:id="0">
    <w:p w14:paraId="78A1B4F8" w14:textId="77777777" w:rsidR="00AE4AD6" w:rsidRDefault="00AE4AD6" w:rsidP="00B10F23">
      <w:pPr>
        <w:spacing w:after="0" w:line="240" w:lineRule="auto"/>
      </w:pPr>
      <w:r>
        <w:continuationSeparator/>
      </w:r>
    </w:p>
  </w:endnote>
  <w:endnote w:type="continuationNotice" w:id="1">
    <w:p w14:paraId="4FDB7439" w14:textId="77777777" w:rsidR="00AE4AD6" w:rsidRDefault="00AE4A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9062423"/>
      <w:docPartObj>
        <w:docPartGallery w:val="Page Numbers (Bottom of Page)"/>
        <w:docPartUnique/>
      </w:docPartObj>
    </w:sdtPr>
    <w:sdtEndPr>
      <w:rPr>
        <w:rFonts w:ascii="Times New Roman" w:hAnsi="Times New Roman" w:cs="Times New Roman"/>
        <w:noProof/>
        <w:sz w:val="24"/>
        <w:szCs w:val="24"/>
      </w:rPr>
    </w:sdtEndPr>
    <w:sdtContent>
      <w:p w14:paraId="57370FB8" w14:textId="77777777" w:rsidR="00AE4AD6" w:rsidRPr="00CE222A" w:rsidRDefault="00AE4AD6">
        <w:pPr>
          <w:pStyle w:val="Footer"/>
          <w:jc w:val="right"/>
          <w:rPr>
            <w:rFonts w:ascii="Times New Roman" w:hAnsi="Times New Roman" w:cs="Times New Roman"/>
            <w:sz w:val="24"/>
            <w:szCs w:val="24"/>
          </w:rPr>
        </w:pPr>
        <w:r w:rsidRPr="00CE222A">
          <w:rPr>
            <w:rFonts w:ascii="Times New Roman" w:hAnsi="Times New Roman" w:cs="Times New Roman"/>
            <w:sz w:val="24"/>
            <w:szCs w:val="24"/>
          </w:rPr>
          <w:fldChar w:fldCharType="begin"/>
        </w:r>
        <w:r w:rsidRPr="00CE222A">
          <w:rPr>
            <w:rFonts w:ascii="Times New Roman" w:hAnsi="Times New Roman" w:cs="Times New Roman"/>
            <w:sz w:val="24"/>
            <w:szCs w:val="24"/>
          </w:rPr>
          <w:instrText xml:space="preserve"> PAGE   \* MERGEFORMAT </w:instrText>
        </w:r>
        <w:r w:rsidRPr="00CE222A">
          <w:rPr>
            <w:rFonts w:ascii="Times New Roman" w:hAnsi="Times New Roman" w:cs="Times New Roman"/>
            <w:sz w:val="24"/>
            <w:szCs w:val="24"/>
          </w:rPr>
          <w:fldChar w:fldCharType="separate"/>
        </w:r>
        <w:r w:rsidR="00274249">
          <w:rPr>
            <w:rFonts w:ascii="Times New Roman" w:hAnsi="Times New Roman" w:cs="Times New Roman"/>
            <w:noProof/>
            <w:sz w:val="24"/>
            <w:szCs w:val="24"/>
          </w:rPr>
          <w:t>30</w:t>
        </w:r>
        <w:r w:rsidRPr="00CE222A">
          <w:rPr>
            <w:rFonts w:ascii="Times New Roman" w:hAnsi="Times New Roman" w:cs="Times New Roman"/>
            <w:noProof/>
            <w:sz w:val="24"/>
            <w:szCs w:val="24"/>
          </w:rPr>
          <w:fldChar w:fldCharType="end"/>
        </w:r>
      </w:p>
    </w:sdtContent>
  </w:sdt>
  <w:p w14:paraId="57370FB9" w14:textId="77777777" w:rsidR="00AE4AD6" w:rsidRDefault="00AE4AD6">
    <w:pPr>
      <w:pStyle w:val="Footer"/>
    </w:pPr>
  </w:p>
  <w:p w14:paraId="57370FBA" w14:textId="77777777" w:rsidR="00AE4AD6" w:rsidRDefault="00AE4AD6"/>
  <w:p w14:paraId="57370FBB" w14:textId="77777777" w:rsidR="00AE4AD6" w:rsidRDefault="00AE4AD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2B167" w14:textId="77777777" w:rsidR="00AE4AD6" w:rsidRDefault="00AE4AD6" w:rsidP="00B10F23">
      <w:pPr>
        <w:spacing w:after="0" w:line="240" w:lineRule="auto"/>
      </w:pPr>
      <w:r>
        <w:separator/>
      </w:r>
    </w:p>
  </w:footnote>
  <w:footnote w:type="continuationSeparator" w:id="0">
    <w:p w14:paraId="27D1C4B9" w14:textId="77777777" w:rsidR="00AE4AD6" w:rsidRDefault="00AE4AD6" w:rsidP="00B10F23">
      <w:pPr>
        <w:spacing w:after="0" w:line="240" w:lineRule="auto"/>
      </w:pPr>
      <w:r>
        <w:continuationSeparator/>
      </w:r>
    </w:p>
  </w:footnote>
  <w:footnote w:type="continuationNotice" w:id="1">
    <w:p w14:paraId="573C601F" w14:textId="77777777" w:rsidR="00AE4AD6" w:rsidRDefault="00AE4AD6">
      <w:pPr>
        <w:spacing w:after="0" w:line="240" w:lineRule="auto"/>
      </w:pPr>
    </w:p>
  </w:footnote>
  <w:footnote w:id="2">
    <w:p w14:paraId="57370FBC" w14:textId="4ABC6C2A" w:rsidR="00AE4AD6" w:rsidRPr="007C7BB8" w:rsidRDefault="00AE4AD6" w:rsidP="00904B0C">
      <w:pPr>
        <w:pStyle w:val="FootnoteText"/>
        <w:jc w:val="both"/>
        <w:rPr>
          <w:rFonts w:ascii="Garamond" w:hAnsi="Garamond"/>
          <w:lang w:val="it-IT"/>
        </w:rPr>
      </w:pPr>
      <w:r w:rsidRPr="007C7BB8">
        <w:rPr>
          <w:rStyle w:val="FootnoteReference"/>
          <w:rFonts w:ascii="Garamond" w:hAnsi="Garamond"/>
        </w:rPr>
        <w:footnoteRef/>
      </w:r>
      <w:r w:rsidRPr="007C7BB8">
        <w:rPr>
          <w:rFonts w:ascii="Garamond" w:hAnsi="Garamond"/>
        </w:rPr>
        <w:t xml:space="preserve"> </w:t>
      </w:r>
      <w:r w:rsidRPr="007C7BB8">
        <w:rPr>
          <w:rFonts w:ascii="Garamond" w:hAnsi="Garamond" w:cs="Times New Roman"/>
          <w:bCs/>
          <w:iCs/>
        </w:rPr>
        <w:t xml:space="preserve">Ky vendim është përafruar pjesërisht me </w:t>
      </w:r>
      <w:r>
        <w:rPr>
          <w:rFonts w:ascii="Garamond" w:hAnsi="Garamond" w:cs="Times New Roman"/>
        </w:rPr>
        <w:t>d</w:t>
      </w:r>
      <w:r w:rsidRPr="007C7BB8">
        <w:rPr>
          <w:rFonts w:ascii="Garamond" w:hAnsi="Garamond" w:cs="Times New Roman"/>
        </w:rPr>
        <w:t>irektivën 2009/81/KE</w:t>
      </w:r>
      <w:r>
        <w:rPr>
          <w:rFonts w:ascii="Garamond" w:hAnsi="Garamond" w:cs="Times New Roman"/>
        </w:rPr>
        <w:t>,</w:t>
      </w:r>
      <w:r w:rsidRPr="007C7BB8">
        <w:rPr>
          <w:rFonts w:ascii="Garamond" w:hAnsi="Garamond" w:cs="Times New Roman"/>
        </w:rPr>
        <w:t xml:space="preserve"> të Parlamentit Evropian dhe të Këshillit, datë 13 korrik 2009, “Mbi koordinimin e procedurave për dhënien e disa kontratave për punë, furnizime dhe shërbime nga autoritete kontraktore apo ente në fushat e mbrojtjes dhe sigurisë, dhe që ndryshon direktivat 2004/17/KE dhe 2004/18/KE”, tё ndryshuar”. Numri CELEX 32009L0081, Fletorja Zyrtare e Bashkimit Evropian, seria L, nr.216, datë 20.8.2009, faqe 76–136.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63257" w14:textId="77777777" w:rsidR="00AE4AD6" w:rsidRDefault="00AE4A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64D23"/>
    <w:multiLevelType w:val="hybridMultilevel"/>
    <w:tmpl w:val="3DD47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A23A79"/>
    <w:multiLevelType w:val="hybridMultilevel"/>
    <w:tmpl w:val="2EBEBC3C"/>
    <w:lvl w:ilvl="0" w:tplc="F72C0C08">
      <w:start w:val="1"/>
      <w:numFmt w:val="decimal"/>
      <w:lvlText w:val="%1."/>
      <w:lvlJc w:val="left"/>
      <w:pPr>
        <w:ind w:left="361" w:hanging="360"/>
      </w:pPr>
      <w:rPr>
        <w:rFonts w:ascii="Times New Roman" w:eastAsiaTheme="minorHAnsi" w:hAnsi="Times New Roman" w:cs="Times New Roman"/>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2">
    <w:nsid w:val="1E153CAA"/>
    <w:multiLevelType w:val="hybridMultilevel"/>
    <w:tmpl w:val="FD682748"/>
    <w:lvl w:ilvl="0" w:tplc="3E3A8514">
      <w:start w:val="1"/>
      <w:numFmt w:val="decimal"/>
      <w:lvlText w:val="%1."/>
      <w:lvlJc w:val="left"/>
      <w:pPr>
        <w:ind w:left="500" w:hanging="360"/>
      </w:pPr>
      <w:rPr>
        <w:rFonts w:ascii="Georgia" w:eastAsia="Georgia" w:hAnsi="Georgia" w:cs="Georgia" w:hint="default"/>
        <w:w w:val="108"/>
        <w:sz w:val="20"/>
        <w:szCs w:val="20"/>
        <w:lang w:val="sq-AL" w:eastAsia="en-US" w:bidi="ar-SA"/>
      </w:rPr>
    </w:lvl>
    <w:lvl w:ilvl="1" w:tplc="EE92F48C">
      <w:start w:val="1"/>
      <w:numFmt w:val="lowerLetter"/>
      <w:lvlText w:val="(%2)"/>
      <w:lvlJc w:val="left"/>
      <w:pPr>
        <w:ind w:left="860" w:hanging="404"/>
      </w:pPr>
      <w:rPr>
        <w:rFonts w:ascii="Georgia" w:eastAsia="Georgia" w:hAnsi="Georgia" w:cs="Georgia" w:hint="default"/>
        <w:w w:val="96"/>
        <w:sz w:val="20"/>
        <w:szCs w:val="20"/>
        <w:lang w:val="sq-AL" w:eastAsia="en-US" w:bidi="ar-SA"/>
      </w:rPr>
    </w:lvl>
    <w:lvl w:ilvl="2" w:tplc="583A198C">
      <w:numFmt w:val="bullet"/>
      <w:lvlText w:val="•"/>
      <w:lvlJc w:val="left"/>
      <w:pPr>
        <w:ind w:left="1332" w:hanging="404"/>
      </w:pPr>
      <w:rPr>
        <w:rFonts w:hint="default"/>
        <w:lang w:val="sq-AL" w:eastAsia="en-US" w:bidi="ar-SA"/>
      </w:rPr>
    </w:lvl>
    <w:lvl w:ilvl="3" w:tplc="76088BA0">
      <w:numFmt w:val="bullet"/>
      <w:lvlText w:val="•"/>
      <w:lvlJc w:val="left"/>
      <w:pPr>
        <w:ind w:left="1805" w:hanging="404"/>
      </w:pPr>
      <w:rPr>
        <w:rFonts w:hint="default"/>
        <w:lang w:val="sq-AL" w:eastAsia="en-US" w:bidi="ar-SA"/>
      </w:rPr>
    </w:lvl>
    <w:lvl w:ilvl="4" w:tplc="E0B41C1A">
      <w:numFmt w:val="bullet"/>
      <w:lvlText w:val="•"/>
      <w:lvlJc w:val="left"/>
      <w:pPr>
        <w:ind w:left="2277" w:hanging="404"/>
      </w:pPr>
      <w:rPr>
        <w:rFonts w:hint="default"/>
        <w:lang w:val="sq-AL" w:eastAsia="en-US" w:bidi="ar-SA"/>
      </w:rPr>
    </w:lvl>
    <w:lvl w:ilvl="5" w:tplc="9BA8EC3A">
      <w:numFmt w:val="bullet"/>
      <w:lvlText w:val="•"/>
      <w:lvlJc w:val="left"/>
      <w:pPr>
        <w:ind w:left="2750" w:hanging="404"/>
      </w:pPr>
      <w:rPr>
        <w:rFonts w:hint="default"/>
        <w:lang w:val="sq-AL" w:eastAsia="en-US" w:bidi="ar-SA"/>
      </w:rPr>
    </w:lvl>
    <w:lvl w:ilvl="6" w:tplc="0254B458">
      <w:numFmt w:val="bullet"/>
      <w:lvlText w:val="•"/>
      <w:lvlJc w:val="left"/>
      <w:pPr>
        <w:ind w:left="3223" w:hanging="404"/>
      </w:pPr>
      <w:rPr>
        <w:rFonts w:hint="default"/>
        <w:lang w:val="sq-AL" w:eastAsia="en-US" w:bidi="ar-SA"/>
      </w:rPr>
    </w:lvl>
    <w:lvl w:ilvl="7" w:tplc="00A8809C">
      <w:numFmt w:val="bullet"/>
      <w:lvlText w:val="•"/>
      <w:lvlJc w:val="left"/>
      <w:pPr>
        <w:ind w:left="3695" w:hanging="404"/>
      </w:pPr>
      <w:rPr>
        <w:rFonts w:hint="default"/>
        <w:lang w:val="sq-AL" w:eastAsia="en-US" w:bidi="ar-SA"/>
      </w:rPr>
    </w:lvl>
    <w:lvl w:ilvl="8" w:tplc="7D9665E6">
      <w:numFmt w:val="bullet"/>
      <w:lvlText w:val="•"/>
      <w:lvlJc w:val="left"/>
      <w:pPr>
        <w:ind w:left="4168" w:hanging="404"/>
      </w:pPr>
      <w:rPr>
        <w:rFonts w:hint="default"/>
        <w:lang w:val="sq-AL" w:eastAsia="en-US" w:bidi="ar-SA"/>
      </w:rPr>
    </w:lvl>
  </w:abstractNum>
  <w:abstractNum w:abstractNumId="3">
    <w:nsid w:val="24F80A3B"/>
    <w:multiLevelType w:val="hybridMultilevel"/>
    <w:tmpl w:val="4B34786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6BC227C"/>
    <w:multiLevelType w:val="hybridMultilevel"/>
    <w:tmpl w:val="AEBC148A"/>
    <w:lvl w:ilvl="0" w:tplc="D1E036E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4F4D75"/>
    <w:multiLevelType w:val="hybridMultilevel"/>
    <w:tmpl w:val="F7AE65EE"/>
    <w:lvl w:ilvl="0" w:tplc="5E4CF678">
      <w:start w:val="7"/>
      <w:numFmt w:val="bullet"/>
      <w:lvlText w:val="-"/>
      <w:lvlJc w:val="left"/>
      <w:pPr>
        <w:ind w:left="720" w:hanging="360"/>
      </w:pPr>
      <w:rPr>
        <w:rFonts w:ascii="Times New Roman" w:eastAsia="Calibr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131D98"/>
    <w:multiLevelType w:val="hybridMultilevel"/>
    <w:tmpl w:val="1A0CC6BC"/>
    <w:lvl w:ilvl="0" w:tplc="0409001B">
      <w:start w:val="1"/>
      <w:numFmt w:val="lowerRoman"/>
      <w:lvlText w:val="%1."/>
      <w:lvlJc w:val="right"/>
      <w:pPr>
        <w:ind w:left="1571" w:hanging="360"/>
      </w:pPr>
    </w:lvl>
    <w:lvl w:ilvl="1" w:tplc="0409001B">
      <w:start w:val="1"/>
      <w:numFmt w:val="lowerRoman"/>
      <w:lvlText w:val="%2."/>
      <w:lvlJc w:val="righ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7">
    <w:nsid w:val="281A1D8E"/>
    <w:multiLevelType w:val="hybridMultilevel"/>
    <w:tmpl w:val="3EB2AECA"/>
    <w:lvl w:ilvl="0" w:tplc="D4B8180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29D74C4"/>
    <w:multiLevelType w:val="hybridMultilevel"/>
    <w:tmpl w:val="95380FFC"/>
    <w:lvl w:ilvl="0" w:tplc="0409001B">
      <w:start w:val="1"/>
      <w:numFmt w:val="lowerRoman"/>
      <w:lvlText w:val="%1."/>
      <w:lvlJc w:val="righ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70D3F01"/>
    <w:multiLevelType w:val="hybridMultilevel"/>
    <w:tmpl w:val="98C432B0"/>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nsid w:val="3A3A7F8C"/>
    <w:multiLevelType w:val="hybridMultilevel"/>
    <w:tmpl w:val="D57C97D8"/>
    <w:lvl w:ilvl="0" w:tplc="0409001B">
      <w:start w:val="1"/>
      <w:numFmt w:val="lowerRoman"/>
      <w:lvlText w:val="%1."/>
      <w:lvlJc w:val="righ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nsid w:val="3E9D5FE8"/>
    <w:multiLevelType w:val="hybridMultilevel"/>
    <w:tmpl w:val="13784C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F381BAB"/>
    <w:multiLevelType w:val="hybridMultilevel"/>
    <w:tmpl w:val="82C64704"/>
    <w:lvl w:ilvl="0" w:tplc="0410000B">
      <w:start w:val="1"/>
      <w:numFmt w:val="bullet"/>
      <w:lvlText w:val=""/>
      <w:lvlJc w:val="left"/>
      <w:pPr>
        <w:ind w:left="720" w:hanging="360"/>
      </w:pPr>
      <w:rPr>
        <w:rFonts w:ascii="Wingdings" w:hAnsi="Wingdings" w:hint="default"/>
      </w:rPr>
    </w:lvl>
    <w:lvl w:ilvl="1" w:tplc="ECD0AA84">
      <w:start w:val="2"/>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7A13E93"/>
    <w:multiLevelType w:val="hybridMultilevel"/>
    <w:tmpl w:val="B0C29C98"/>
    <w:lvl w:ilvl="0" w:tplc="0409001B">
      <w:start w:val="1"/>
      <w:numFmt w:val="lowerRoman"/>
      <w:lvlText w:val="%1."/>
      <w:lvlJc w:val="right"/>
      <w:pPr>
        <w:ind w:left="1571" w:hanging="360"/>
      </w:pPr>
    </w:lvl>
    <w:lvl w:ilvl="1" w:tplc="08090019">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4">
    <w:nsid w:val="4C1740A0"/>
    <w:multiLevelType w:val="hybridMultilevel"/>
    <w:tmpl w:val="8BDE62F6"/>
    <w:lvl w:ilvl="0" w:tplc="B3762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2A323F"/>
    <w:multiLevelType w:val="hybridMultilevel"/>
    <w:tmpl w:val="B386CE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CC6820"/>
    <w:multiLevelType w:val="hybridMultilevel"/>
    <w:tmpl w:val="B3E4D61C"/>
    <w:lvl w:ilvl="0" w:tplc="759C3D74">
      <w:start w:val="1"/>
      <w:numFmt w:val="decimal"/>
      <w:lvlText w:val="%1."/>
      <w:lvlJc w:val="left"/>
      <w:pPr>
        <w:ind w:left="360" w:hanging="360"/>
      </w:pPr>
      <w:rPr>
        <w:rFonts w:ascii="Times New Roman" w:eastAsia="Times New Roman" w:hAnsi="Times New Roman" w:cs="Times New Roman" w:hint="default"/>
        <w:spacing w:val="0"/>
        <w:w w:val="100"/>
        <w:sz w:val="28"/>
        <w:szCs w:val="28"/>
      </w:rPr>
    </w:lvl>
    <w:lvl w:ilvl="1" w:tplc="FD4E5878">
      <w:numFmt w:val="bullet"/>
      <w:lvlText w:val="•"/>
      <w:lvlJc w:val="left"/>
      <w:pPr>
        <w:ind w:left="1996" w:hanging="360"/>
      </w:pPr>
      <w:rPr>
        <w:rFonts w:hint="default"/>
      </w:rPr>
    </w:lvl>
    <w:lvl w:ilvl="2" w:tplc="5FA4A81A">
      <w:numFmt w:val="bullet"/>
      <w:lvlText w:val="•"/>
      <w:lvlJc w:val="left"/>
      <w:pPr>
        <w:ind w:left="2933" w:hanging="360"/>
      </w:pPr>
      <w:rPr>
        <w:rFonts w:hint="default"/>
      </w:rPr>
    </w:lvl>
    <w:lvl w:ilvl="3" w:tplc="6194C6DA">
      <w:numFmt w:val="bullet"/>
      <w:lvlText w:val="•"/>
      <w:lvlJc w:val="left"/>
      <w:pPr>
        <w:ind w:left="3869" w:hanging="360"/>
      </w:pPr>
      <w:rPr>
        <w:rFonts w:hint="default"/>
      </w:rPr>
    </w:lvl>
    <w:lvl w:ilvl="4" w:tplc="3748505E">
      <w:numFmt w:val="bullet"/>
      <w:lvlText w:val="•"/>
      <w:lvlJc w:val="left"/>
      <w:pPr>
        <w:ind w:left="4806" w:hanging="360"/>
      </w:pPr>
      <w:rPr>
        <w:rFonts w:hint="default"/>
      </w:rPr>
    </w:lvl>
    <w:lvl w:ilvl="5" w:tplc="7ED0850C">
      <w:numFmt w:val="bullet"/>
      <w:lvlText w:val="•"/>
      <w:lvlJc w:val="left"/>
      <w:pPr>
        <w:ind w:left="5743" w:hanging="360"/>
      </w:pPr>
      <w:rPr>
        <w:rFonts w:hint="default"/>
      </w:rPr>
    </w:lvl>
    <w:lvl w:ilvl="6" w:tplc="B032E3E8">
      <w:numFmt w:val="bullet"/>
      <w:lvlText w:val="•"/>
      <w:lvlJc w:val="left"/>
      <w:pPr>
        <w:ind w:left="6679" w:hanging="360"/>
      </w:pPr>
      <w:rPr>
        <w:rFonts w:hint="default"/>
      </w:rPr>
    </w:lvl>
    <w:lvl w:ilvl="7" w:tplc="009814FA">
      <w:numFmt w:val="bullet"/>
      <w:lvlText w:val="•"/>
      <w:lvlJc w:val="left"/>
      <w:pPr>
        <w:ind w:left="7616" w:hanging="360"/>
      </w:pPr>
      <w:rPr>
        <w:rFonts w:hint="default"/>
      </w:rPr>
    </w:lvl>
    <w:lvl w:ilvl="8" w:tplc="32F65584">
      <w:numFmt w:val="bullet"/>
      <w:lvlText w:val="•"/>
      <w:lvlJc w:val="left"/>
      <w:pPr>
        <w:ind w:left="8553" w:hanging="360"/>
      </w:pPr>
      <w:rPr>
        <w:rFonts w:hint="default"/>
      </w:rPr>
    </w:lvl>
  </w:abstractNum>
  <w:abstractNum w:abstractNumId="17">
    <w:nsid w:val="59E62666"/>
    <w:multiLevelType w:val="hybridMultilevel"/>
    <w:tmpl w:val="C90E9AA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EAD58B3"/>
    <w:multiLevelType w:val="hybridMultilevel"/>
    <w:tmpl w:val="456E1B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EBD3A5B"/>
    <w:multiLevelType w:val="hybridMultilevel"/>
    <w:tmpl w:val="01965284"/>
    <w:lvl w:ilvl="0" w:tplc="48789D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28332B"/>
    <w:multiLevelType w:val="hybridMultilevel"/>
    <w:tmpl w:val="7896B7A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577459A"/>
    <w:multiLevelType w:val="hybridMultilevel"/>
    <w:tmpl w:val="DC6EE06E"/>
    <w:lvl w:ilvl="0" w:tplc="8530EDB4">
      <w:start w:val="1"/>
      <w:numFmt w:val="decimal"/>
      <w:lvlText w:val="%1."/>
      <w:lvlJc w:val="left"/>
      <w:pPr>
        <w:ind w:left="360" w:hanging="360"/>
      </w:pPr>
      <w:rPr>
        <w:rFonts w:ascii="Garamond" w:eastAsiaTheme="minorHAnsi" w:hAnsi="Garamond" w:cs="Garamond"/>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9F36326"/>
    <w:multiLevelType w:val="hybridMultilevel"/>
    <w:tmpl w:val="21449C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FF34F9"/>
    <w:multiLevelType w:val="hybridMultilevel"/>
    <w:tmpl w:val="D138D34E"/>
    <w:lvl w:ilvl="0" w:tplc="8AAEE098">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24">
    <w:nsid w:val="751750DC"/>
    <w:multiLevelType w:val="hybridMultilevel"/>
    <w:tmpl w:val="65027EB2"/>
    <w:lvl w:ilvl="0" w:tplc="A7782B6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5EF1666"/>
    <w:multiLevelType w:val="hybridMultilevel"/>
    <w:tmpl w:val="F014D5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6DC1BFE"/>
    <w:multiLevelType w:val="hybridMultilevel"/>
    <w:tmpl w:val="3536A3C2"/>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21"/>
  </w:num>
  <w:num w:numId="3">
    <w:abstractNumId w:val="17"/>
  </w:num>
  <w:num w:numId="4">
    <w:abstractNumId w:val="3"/>
  </w:num>
  <w:num w:numId="5">
    <w:abstractNumId w:val="20"/>
  </w:num>
  <w:num w:numId="6">
    <w:abstractNumId w:val="26"/>
  </w:num>
  <w:num w:numId="7">
    <w:abstractNumId w:val="25"/>
  </w:num>
  <w:num w:numId="8">
    <w:abstractNumId w:val="9"/>
  </w:num>
  <w:num w:numId="9">
    <w:abstractNumId w:val="10"/>
  </w:num>
  <w:num w:numId="10">
    <w:abstractNumId w:val="12"/>
  </w:num>
  <w:num w:numId="11">
    <w:abstractNumId w:val="5"/>
  </w:num>
  <w:num w:numId="12">
    <w:abstractNumId w:val="11"/>
  </w:num>
  <w:num w:numId="13">
    <w:abstractNumId w:val="4"/>
  </w:num>
  <w:num w:numId="14">
    <w:abstractNumId w:val="16"/>
  </w:num>
  <w:num w:numId="15">
    <w:abstractNumId w:val="2"/>
  </w:num>
  <w:num w:numId="16">
    <w:abstractNumId w:val="23"/>
  </w:num>
  <w:num w:numId="17">
    <w:abstractNumId w:val="15"/>
  </w:num>
  <w:num w:numId="18">
    <w:abstractNumId w:val="19"/>
  </w:num>
  <w:num w:numId="19">
    <w:abstractNumId w:val="1"/>
  </w:num>
  <w:num w:numId="20">
    <w:abstractNumId w:val="24"/>
  </w:num>
  <w:num w:numId="21">
    <w:abstractNumId w:val="22"/>
  </w:num>
  <w:num w:numId="22">
    <w:abstractNumId w:val="7"/>
  </w:num>
  <w:num w:numId="23">
    <w:abstractNumId w:val="8"/>
  </w:num>
  <w:num w:numId="24">
    <w:abstractNumId w:val="14"/>
  </w:num>
  <w:num w:numId="25">
    <w:abstractNumId w:val="13"/>
  </w:num>
  <w:num w:numId="26">
    <w:abstractNumId w:val="6"/>
  </w:num>
  <w:num w:numId="27">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FA1"/>
    <w:rsid w:val="00001789"/>
    <w:rsid w:val="000020AE"/>
    <w:rsid w:val="00002ECC"/>
    <w:rsid w:val="000038FC"/>
    <w:rsid w:val="00007743"/>
    <w:rsid w:val="000115B4"/>
    <w:rsid w:val="0001381A"/>
    <w:rsid w:val="00014E02"/>
    <w:rsid w:val="000162A7"/>
    <w:rsid w:val="00017FD7"/>
    <w:rsid w:val="00030577"/>
    <w:rsid w:val="00031D0F"/>
    <w:rsid w:val="00033ED7"/>
    <w:rsid w:val="00035B17"/>
    <w:rsid w:val="00040599"/>
    <w:rsid w:val="00043D1E"/>
    <w:rsid w:val="00043E57"/>
    <w:rsid w:val="00046C67"/>
    <w:rsid w:val="00046DB1"/>
    <w:rsid w:val="00047BCF"/>
    <w:rsid w:val="000524CA"/>
    <w:rsid w:val="0005286D"/>
    <w:rsid w:val="000529A1"/>
    <w:rsid w:val="00055C0B"/>
    <w:rsid w:val="0006061B"/>
    <w:rsid w:val="0006113C"/>
    <w:rsid w:val="0006317D"/>
    <w:rsid w:val="00063222"/>
    <w:rsid w:val="00067618"/>
    <w:rsid w:val="000700AF"/>
    <w:rsid w:val="00072A86"/>
    <w:rsid w:val="000759ED"/>
    <w:rsid w:val="00075CDB"/>
    <w:rsid w:val="00077090"/>
    <w:rsid w:val="000779A9"/>
    <w:rsid w:val="000848AC"/>
    <w:rsid w:val="00085669"/>
    <w:rsid w:val="000859BA"/>
    <w:rsid w:val="000901C7"/>
    <w:rsid w:val="00090A44"/>
    <w:rsid w:val="00092B9A"/>
    <w:rsid w:val="00094B61"/>
    <w:rsid w:val="0009602B"/>
    <w:rsid w:val="0009669E"/>
    <w:rsid w:val="00097DCD"/>
    <w:rsid w:val="000A0D41"/>
    <w:rsid w:val="000B1F71"/>
    <w:rsid w:val="000B2346"/>
    <w:rsid w:val="000B50AA"/>
    <w:rsid w:val="000B6604"/>
    <w:rsid w:val="000C0782"/>
    <w:rsid w:val="000C2879"/>
    <w:rsid w:val="000D008D"/>
    <w:rsid w:val="000D3C8E"/>
    <w:rsid w:val="000D63F8"/>
    <w:rsid w:val="000E0DEA"/>
    <w:rsid w:val="000E0E3E"/>
    <w:rsid w:val="000E447C"/>
    <w:rsid w:val="000E4DF3"/>
    <w:rsid w:val="000F31CE"/>
    <w:rsid w:val="000F515E"/>
    <w:rsid w:val="00102FC8"/>
    <w:rsid w:val="001047D3"/>
    <w:rsid w:val="0010563B"/>
    <w:rsid w:val="0010702F"/>
    <w:rsid w:val="0011014C"/>
    <w:rsid w:val="00110543"/>
    <w:rsid w:val="00110FF6"/>
    <w:rsid w:val="00113C76"/>
    <w:rsid w:val="00114D6D"/>
    <w:rsid w:val="00116680"/>
    <w:rsid w:val="00116BAD"/>
    <w:rsid w:val="00120B32"/>
    <w:rsid w:val="00121556"/>
    <w:rsid w:val="00121E4F"/>
    <w:rsid w:val="00123B49"/>
    <w:rsid w:val="00123B75"/>
    <w:rsid w:val="00123EEF"/>
    <w:rsid w:val="00125A62"/>
    <w:rsid w:val="001313CC"/>
    <w:rsid w:val="00134A82"/>
    <w:rsid w:val="00135774"/>
    <w:rsid w:val="0013619A"/>
    <w:rsid w:val="00142A75"/>
    <w:rsid w:val="0014487C"/>
    <w:rsid w:val="00153575"/>
    <w:rsid w:val="001552B0"/>
    <w:rsid w:val="0015569C"/>
    <w:rsid w:val="0016079F"/>
    <w:rsid w:val="00162A94"/>
    <w:rsid w:val="001655C4"/>
    <w:rsid w:val="00167E74"/>
    <w:rsid w:val="00171138"/>
    <w:rsid w:val="00172343"/>
    <w:rsid w:val="00174897"/>
    <w:rsid w:val="001775E0"/>
    <w:rsid w:val="00182C5B"/>
    <w:rsid w:val="001832EB"/>
    <w:rsid w:val="001841CF"/>
    <w:rsid w:val="00186C17"/>
    <w:rsid w:val="00186EAE"/>
    <w:rsid w:val="00190A33"/>
    <w:rsid w:val="001937BB"/>
    <w:rsid w:val="00196242"/>
    <w:rsid w:val="001A0B92"/>
    <w:rsid w:val="001A1C70"/>
    <w:rsid w:val="001A2C73"/>
    <w:rsid w:val="001A3293"/>
    <w:rsid w:val="001A595C"/>
    <w:rsid w:val="001B2668"/>
    <w:rsid w:val="001B37FF"/>
    <w:rsid w:val="001B40BD"/>
    <w:rsid w:val="001B41B6"/>
    <w:rsid w:val="001B42E0"/>
    <w:rsid w:val="001B51C0"/>
    <w:rsid w:val="001C62EC"/>
    <w:rsid w:val="001C6AB4"/>
    <w:rsid w:val="001C7186"/>
    <w:rsid w:val="001C7F10"/>
    <w:rsid w:val="001D3A05"/>
    <w:rsid w:val="001D4531"/>
    <w:rsid w:val="001D4A8B"/>
    <w:rsid w:val="001D5043"/>
    <w:rsid w:val="001D59E1"/>
    <w:rsid w:val="001E14C1"/>
    <w:rsid w:val="001F4BB6"/>
    <w:rsid w:val="001F4BB8"/>
    <w:rsid w:val="00202DC6"/>
    <w:rsid w:val="00203CA7"/>
    <w:rsid w:val="00206F5A"/>
    <w:rsid w:val="002114D5"/>
    <w:rsid w:val="00217360"/>
    <w:rsid w:val="00222701"/>
    <w:rsid w:val="00222A38"/>
    <w:rsid w:val="00224C89"/>
    <w:rsid w:val="002259B6"/>
    <w:rsid w:val="002264B5"/>
    <w:rsid w:val="0022676F"/>
    <w:rsid w:val="00232C39"/>
    <w:rsid w:val="00240A5D"/>
    <w:rsid w:val="00241DE6"/>
    <w:rsid w:val="00242493"/>
    <w:rsid w:val="002425E9"/>
    <w:rsid w:val="00242EA5"/>
    <w:rsid w:val="002458D5"/>
    <w:rsid w:val="002541C6"/>
    <w:rsid w:val="00256E05"/>
    <w:rsid w:val="00260935"/>
    <w:rsid w:val="00263727"/>
    <w:rsid w:val="002701C2"/>
    <w:rsid w:val="0027154D"/>
    <w:rsid w:val="00274249"/>
    <w:rsid w:val="00274CF1"/>
    <w:rsid w:val="0027761F"/>
    <w:rsid w:val="002820D3"/>
    <w:rsid w:val="002827A2"/>
    <w:rsid w:val="00283144"/>
    <w:rsid w:val="00290B7C"/>
    <w:rsid w:val="00292E20"/>
    <w:rsid w:val="0029470C"/>
    <w:rsid w:val="00294AAA"/>
    <w:rsid w:val="0029611F"/>
    <w:rsid w:val="002978F7"/>
    <w:rsid w:val="002A069C"/>
    <w:rsid w:val="002A1106"/>
    <w:rsid w:val="002A176F"/>
    <w:rsid w:val="002A208B"/>
    <w:rsid w:val="002A289E"/>
    <w:rsid w:val="002A3E70"/>
    <w:rsid w:val="002B4472"/>
    <w:rsid w:val="002B7850"/>
    <w:rsid w:val="002C57A7"/>
    <w:rsid w:val="002D3DA7"/>
    <w:rsid w:val="002D7894"/>
    <w:rsid w:val="002E003A"/>
    <w:rsid w:val="002E064C"/>
    <w:rsid w:val="002E3440"/>
    <w:rsid w:val="002E4485"/>
    <w:rsid w:val="002E4F43"/>
    <w:rsid w:val="002E5742"/>
    <w:rsid w:val="002E6848"/>
    <w:rsid w:val="002F2786"/>
    <w:rsid w:val="002F3CC6"/>
    <w:rsid w:val="002F5BA2"/>
    <w:rsid w:val="002F703A"/>
    <w:rsid w:val="00303E4E"/>
    <w:rsid w:val="003061EF"/>
    <w:rsid w:val="00306C45"/>
    <w:rsid w:val="00306E81"/>
    <w:rsid w:val="00307CE1"/>
    <w:rsid w:val="003126C5"/>
    <w:rsid w:val="00312775"/>
    <w:rsid w:val="00314B42"/>
    <w:rsid w:val="00321B1B"/>
    <w:rsid w:val="00326DE4"/>
    <w:rsid w:val="00327540"/>
    <w:rsid w:val="00327744"/>
    <w:rsid w:val="00330428"/>
    <w:rsid w:val="00330E23"/>
    <w:rsid w:val="0033226D"/>
    <w:rsid w:val="003327A6"/>
    <w:rsid w:val="00336F55"/>
    <w:rsid w:val="003411E5"/>
    <w:rsid w:val="00342D84"/>
    <w:rsid w:val="00343A34"/>
    <w:rsid w:val="00346C43"/>
    <w:rsid w:val="0034723F"/>
    <w:rsid w:val="003511AC"/>
    <w:rsid w:val="00351612"/>
    <w:rsid w:val="00351E70"/>
    <w:rsid w:val="0035246D"/>
    <w:rsid w:val="00357B24"/>
    <w:rsid w:val="0036117A"/>
    <w:rsid w:val="003614D6"/>
    <w:rsid w:val="00364D29"/>
    <w:rsid w:val="00365835"/>
    <w:rsid w:val="00367E92"/>
    <w:rsid w:val="003719B9"/>
    <w:rsid w:val="00374950"/>
    <w:rsid w:val="00375332"/>
    <w:rsid w:val="00375AA6"/>
    <w:rsid w:val="0037724B"/>
    <w:rsid w:val="00377CF1"/>
    <w:rsid w:val="003810E7"/>
    <w:rsid w:val="00390350"/>
    <w:rsid w:val="00390FDA"/>
    <w:rsid w:val="00392F48"/>
    <w:rsid w:val="003939DC"/>
    <w:rsid w:val="00394DF3"/>
    <w:rsid w:val="00395F64"/>
    <w:rsid w:val="003A1FA3"/>
    <w:rsid w:val="003A2CF6"/>
    <w:rsid w:val="003A55DE"/>
    <w:rsid w:val="003A6BFE"/>
    <w:rsid w:val="003A6CE8"/>
    <w:rsid w:val="003A6DCE"/>
    <w:rsid w:val="003A7A6F"/>
    <w:rsid w:val="003B0D89"/>
    <w:rsid w:val="003B0E82"/>
    <w:rsid w:val="003C1B5D"/>
    <w:rsid w:val="003C1FFD"/>
    <w:rsid w:val="003C6088"/>
    <w:rsid w:val="003C6329"/>
    <w:rsid w:val="003D7F86"/>
    <w:rsid w:val="003E00D5"/>
    <w:rsid w:val="003E014C"/>
    <w:rsid w:val="003E4737"/>
    <w:rsid w:val="003E6D25"/>
    <w:rsid w:val="003E7FE4"/>
    <w:rsid w:val="003F0EBC"/>
    <w:rsid w:val="003F2FE4"/>
    <w:rsid w:val="00400609"/>
    <w:rsid w:val="004029C0"/>
    <w:rsid w:val="00402EF4"/>
    <w:rsid w:val="00404316"/>
    <w:rsid w:val="00406CCF"/>
    <w:rsid w:val="004111C4"/>
    <w:rsid w:val="00414CCB"/>
    <w:rsid w:val="004157AF"/>
    <w:rsid w:val="00420BEF"/>
    <w:rsid w:val="00423A0F"/>
    <w:rsid w:val="00424E62"/>
    <w:rsid w:val="00427397"/>
    <w:rsid w:val="00430A12"/>
    <w:rsid w:val="0043148D"/>
    <w:rsid w:val="00435C9C"/>
    <w:rsid w:val="004403F2"/>
    <w:rsid w:val="00443C52"/>
    <w:rsid w:val="00446DF7"/>
    <w:rsid w:val="00451632"/>
    <w:rsid w:val="00456602"/>
    <w:rsid w:val="00457ACA"/>
    <w:rsid w:val="00462781"/>
    <w:rsid w:val="00463040"/>
    <w:rsid w:val="00466F36"/>
    <w:rsid w:val="004711D8"/>
    <w:rsid w:val="0047167B"/>
    <w:rsid w:val="00472C0B"/>
    <w:rsid w:val="00473600"/>
    <w:rsid w:val="004868CD"/>
    <w:rsid w:val="00487C3C"/>
    <w:rsid w:val="00487D92"/>
    <w:rsid w:val="00490A0C"/>
    <w:rsid w:val="00492387"/>
    <w:rsid w:val="0049573E"/>
    <w:rsid w:val="00496B7D"/>
    <w:rsid w:val="004A47C8"/>
    <w:rsid w:val="004B15F2"/>
    <w:rsid w:val="004B181B"/>
    <w:rsid w:val="004B3151"/>
    <w:rsid w:val="004B4497"/>
    <w:rsid w:val="004B4A00"/>
    <w:rsid w:val="004C14F2"/>
    <w:rsid w:val="004C589C"/>
    <w:rsid w:val="004C5C58"/>
    <w:rsid w:val="004C73AE"/>
    <w:rsid w:val="004C7E5C"/>
    <w:rsid w:val="004D2002"/>
    <w:rsid w:val="004D349E"/>
    <w:rsid w:val="004D4F17"/>
    <w:rsid w:val="004D5A99"/>
    <w:rsid w:val="004D68AD"/>
    <w:rsid w:val="004D7BE6"/>
    <w:rsid w:val="004E00A9"/>
    <w:rsid w:val="004E1592"/>
    <w:rsid w:val="004E2E61"/>
    <w:rsid w:val="004E3DF5"/>
    <w:rsid w:val="004E4CE1"/>
    <w:rsid w:val="004E5F10"/>
    <w:rsid w:val="004E7C70"/>
    <w:rsid w:val="004E7E9D"/>
    <w:rsid w:val="004F301E"/>
    <w:rsid w:val="004F43A6"/>
    <w:rsid w:val="005021A4"/>
    <w:rsid w:val="005064F6"/>
    <w:rsid w:val="0050698F"/>
    <w:rsid w:val="00506C48"/>
    <w:rsid w:val="00507166"/>
    <w:rsid w:val="00507F72"/>
    <w:rsid w:val="00510DBF"/>
    <w:rsid w:val="00511682"/>
    <w:rsid w:val="00512CCD"/>
    <w:rsid w:val="005141F9"/>
    <w:rsid w:val="00514DC2"/>
    <w:rsid w:val="00517747"/>
    <w:rsid w:val="005266B6"/>
    <w:rsid w:val="0053359C"/>
    <w:rsid w:val="00533E59"/>
    <w:rsid w:val="005345A1"/>
    <w:rsid w:val="00535931"/>
    <w:rsid w:val="00535EF0"/>
    <w:rsid w:val="005360DC"/>
    <w:rsid w:val="005363F6"/>
    <w:rsid w:val="00537A7A"/>
    <w:rsid w:val="005422D8"/>
    <w:rsid w:val="00545377"/>
    <w:rsid w:val="00547017"/>
    <w:rsid w:val="00551197"/>
    <w:rsid w:val="00551B39"/>
    <w:rsid w:val="005549E2"/>
    <w:rsid w:val="0056102E"/>
    <w:rsid w:val="00563D09"/>
    <w:rsid w:val="005655F6"/>
    <w:rsid w:val="00571CEB"/>
    <w:rsid w:val="0057203D"/>
    <w:rsid w:val="0057613F"/>
    <w:rsid w:val="00576D58"/>
    <w:rsid w:val="00577604"/>
    <w:rsid w:val="00581160"/>
    <w:rsid w:val="005815E8"/>
    <w:rsid w:val="00582A87"/>
    <w:rsid w:val="005853B4"/>
    <w:rsid w:val="00590186"/>
    <w:rsid w:val="00591408"/>
    <w:rsid w:val="00592DD6"/>
    <w:rsid w:val="005930CD"/>
    <w:rsid w:val="005939A6"/>
    <w:rsid w:val="00593E7F"/>
    <w:rsid w:val="00596432"/>
    <w:rsid w:val="005977D8"/>
    <w:rsid w:val="005A052E"/>
    <w:rsid w:val="005A2AE6"/>
    <w:rsid w:val="005A38B3"/>
    <w:rsid w:val="005A5097"/>
    <w:rsid w:val="005B46D7"/>
    <w:rsid w:val="005B5812"/>
    <w:rsid w:val="005C06E4"/>
    <w:rsid w:val="005C40FB"/>
    <w:rsid w:val="005C4ACC"/>
    <w:rsid w:val="005C5841"/>
    <w:rsid w:val="005C74AF"/>
    <w:rsid w:val="005D24FE"/>
    <w:rsid w:val="005E0556"/>
    <w:rsid w:val="005E114B"/>
    <w:rsid w:val="005E1FC5"/>
    <w:rsid w:val="005E2412"/>
    <w:rsid w:val="005E2999"/>
    <w:rsid w:val="005E3C53"/>
    <w:rsid w:val="005E42A8"/>
    <w:rsid w:val="005E5BC1"/>
    <w:rsid w:val="005E5C42"/>
    <w:rsid w:val="005F24F6"/>
    <w:rsid w:val="005F588E"/>
    <w:rsid w:val="005F6CBC"/>
    <w:rsid w:val="006001C1"/>
    <w:rsid w:val="006041C2"/>
    <w:rsid w:val="00604C19"/>
    <w:rsid w:val="00607860"/>
    <w:rsid w:val="00614ABF"/>
    <w:rsid w:val="00622CC3"/>
    <w:rsid w:val="00623A9A"/>
    <w:rsid w:val="00626DAD"/>
    <w:rsid w:val="00627327"/>
    <w:rsid w:val="00627B63"/>
    <w:rsid w:val="006317C4"/>
    <w:rsid w:val="00632FBD"/>
    <w:rsid w:val="00635289"/>
    <w:rsid w:val="00635EA6"/>
    <w:rsid w:val="00637A27"/>
    <w:rsid w:val="006419E0"/>
    <w:rsid w:val="00643A58"/>
    <w:rsid w:val="00644F83"/>
    <w:rsid w:val="00645998"/>
    <w:rsid w:val="00647339"/>
    <w:rsid w:val="0065201F"/>
    <w:rsid w:val="00654877"/>
    <w:rsid w:val="00663A7A"/>
    <w:rsid w:val="00663DE5"/>
    <w:rsid w:val="00665C35"/>
    <w:rsid w:val="00665FD6"/>
    <w:rsid w:val="00674300"/>
    <w:rsid w:val="00675EAE"/>
    <w:rsid w:val="00675F09"/>
    <w:rsid w:val="00680FF3"/>
    <w:rsid w:val="00681107"/>
    <w:rsid w:val="00682A69"/>
    <w:rsid w:val="00683897"/>
    <w:rsid w:val="006838D8"/>
    <w:rsid w:val="00684DF7"/>
    <w:rsid w:val="00684E97"/>
    <w:rsid w:val="006872C0"/>
    <w:rsid w:val="006924A1"/>
    <w:rsid w:val="00693F59"/>
    <w:rsid w:val="00694215"/>
    <w:rsid w:val="00696D71"/>
    <w:rsid w:val="00696EF8"/>
    <w:rsid w:val="006B04D6"/>
    <w:rsid w:val="006B16F2"/>
    <w:rsid w:val="006B1728"/>
    <w:rsid w:val="006B456F"/>
    <w:rsid w:val="006C1E1C"/>
    <w:rsid w:val="006D5D66"/>
    <w:rsid w:val="006D7802"/>
    <w:rsid w:val="006E18E2"/>
    <w:rsid w:val="006E391D"/>
    <w:rsid w:val="006E49B3"/>
    <w:rsid w:val="006F17FD"/>
    <w:rsid w:val="006F25CC"/>
    <w:rsid w:val="006F31AB"/>
    <w:rsid w:val="006F408D"/>
    <w:rsid w:val="006F68EF"/>
    <w:rsid w:val="00701236"/>
    <w:rsid w:val="007032FF"/>
    <w:rsid w:val="00712756"/>
    <w:rsid w:val="00712941"/>
    <w:rsid w:val="00713378"/>
    <w:rsid w:val="00720472"/>
    <w:rsid w:val="007246D6"/>
    <w:rsid w:val="00727A53"/>
    <w:rsid w:val="00730894"/>
    <w:rsid w:val="007320DD"/>
    <w:rsid w:val="00736697"/>
    <w:rsid w:val="00742DC4"/>
    <w:rsid w:val="00750348"/>
    <w:rsid w:val="0075182A"/>
    <w:rsid w:val="00752B5C"/>
    <w:rsid w:val="00752B75"/>
    <w:rsid w:val="007534A5"/>
    <w:rsid w:val="00753F68"/>
    <w:rsid w:val="007601C1"/>
    <w:rsid w:val="007629AD"/>
    <w:rsid w:val="00764618"/>
    <w:rsid w:val="00764677"/>
    <w:rsid w:val="00765948"/>
    <w:rsid w:val="00774424"/>
    <w:rsid w:val="0077759F"/>
    <w:rsid w:val="00780BCA"/>
    <w:rsid w:val="00781A41"/>
    <w:rsid w:val="0078323B"/>
    <w:rsid w:val="00786072"/>
    <w:rsid w:val="0079072C"/>
    <w:rsid w:val="007911E8"/>
    <w:rsid w:val="007917D7"/>
    <w:rsid w:val="007A308B"/>
    <w:rsid w:val="007B1690"/>
    <w:rsid w:val="007B188E"/>
    <w:rsid w:val="007B6518"/>
    <w:rsid w:val="007C0620"/>
    <w:rsid w:val="007C0A32"/>
    <w:rsid w:val="007C20C9"/>
    <w:rsid w:val="007C4070"/>
    <w:rsid w:val="007C49CE"/>
    <w:rsid w:val="007C6E23"/>
    <w:rsid w:val="007C6E5A"/>
    <w:rsid w:val="007C7BB8"/>
    <w:rsid w:val="007D4542"/>
    <w:rsid w:val="007F3B4C"/>
    <w:rsid w:val="007F4570"/>
    <w:rsid w:val="00803717"/>
    <w:rsid w:val="00803796"/>
    <w:rsid w:val="0080564F"/>
    <w:rsid w:val="008056A1"/>
    <w:rsid w:val="00806589"/>
    <w:rsid w:val="008074A0"/>
    <w:rsid w:val="0081192D"/>
    <w:rsid w:val="008124FE"/>
    <w:rsid w:val="00814CA9"/>
    <w:rsid w:val="00815925"/>
    <w:rsid w:val="00815996"/>
    <w:rsid w:val="0081687E"/>
    <w:rsid w:val="00816E8A"/>
    <w:rsid w:val="008229F3"/>
    <w:rsid w:val="00822BEE"/>
    <w:rsid w:val="00823BD3"/>
    <w:rsid w:val="0082402F"/>
    <w:rsid w:val="00826BD3"/>
    <w:rsid w:val="00827328"/>
    <w:rsid w:val="00830CBF"/>
    <w:rsid w:val="0083358C"/>
    <w:rsid w:val="00835024"/>
    <w:rsid w:val="00835DF3"/>
    <w:rsid w:val="00836291"/>
    <w:rsid w:val="00840AD1"/>
    <w:rsid w:val="00841DF5"/>
    <w:rsid w:val="00844B5B"/>
    <w:rsid w:val="00845443"/>
    <w:rsid w:val="00845471"/>
    <w:rsid w:val="00852D6B"/>
    <w:rsid w:val="0085407D"/>
    <w:rsid w:val="008571FC"/>
    <w:rsid w:val="0085768B"/>
    <w:rsid w:val="0086123D"/>
    <w:rsid w:val="00861CC9"/>
    <w:rsid w:val="008621F4"/>
    <w:rsid w:val="00862606"/>
    <w:rsid w:val="00862D28"/>
    <w:rsid w:val="008655B5"/>
    <w:rsid w:val="00866879"/>
    <w:rsid w:val="00870BDA"/>
    <w:rsid w:val="008757E2"/>
    <w:rsid w:val="00876EE5"/>
    <w:rsid w:val="0088094F"/>
    <w:rsid w:val="00881358"/>
    <w:rsid w:val="00881C89"/>
    <w:rsid w:val="00882845"/>
    <w:rsid w:val="00882A9F"/>
    <w:rsid w:val="00894B35"/>
    <w:rsid w:val="008A0336"/>
    <w:rsid w:val="008A1518"/>
    <w:rsid w:val="008A599D"/>
    <w:rsid w:val="008A7A4C"/>
    <w:rsid w:val="008B02EE"/>
    <w:rsid w:val="008C1B24"/>
    <w:rsid w:val="008C1E1E"/>
    <w:rsid w:val="008C204E"/>
    <w:rsid w:val="008D013E"/>
    <w:rsid w:val="008D0F18"/>
    <w:rsid w:val="008D1986"/>
    <w:rsid w:val="008D2E74"/>
    <w:rsid w:val="008D4195"/>
    <w:rsid w:val="008D6E6C"/>
    <w:rsid w:val="008E0FF7"/>
    <w:rsid w:val="008E52EF"/>
    <w:rsid w:val="008E6E94"/>
    <w:rsid w:val="008F169D"/>
    <w:rsid w:val="008F3C3C"/>
    <w:rsid w:val="008F3DFA"/>
    <w:rsid w:val="00901447"/>
    <w:rsid w:val="00904B0C"/>
    <w:rsid w:val="0091274A"/>
    <w:rsid w:val="00912BA7"/>
    <w:rsid w:val="00914DFE"/>
    <w:rsid w:val="009254B7"/>
    <w:rsid w:val="00926022"/>
    <w:rsid w:val="0092603C"/>
    <w:rsid w:val="009268E2"/>
    <w:rsid w:val="0092703B"/>
    <w:rsid w:val="009335D1"/>
    <w:rsid w:val="00935B65"/>
    <w:rsid w:val="00940EAF"/>
    <w:rsid w:val="00941846"/>
    <w:rsid w:val="00950D3C"/>
    <w:rsid w:val="009547D5"/>
    <w:rsid w:val="0095684C"/>
    <w:rsid w:val="00956C45"/>
    <w:rsid w:val="009578EA"/>
    <w:rsid w:val="009603DC"/>
    <w:rsid w:val="00964069"/>
    <w:rsid w:val="00970840"/>
    <w:rsid w:val="00973876"/>
    <w:rsid w:val="0097637C"/>
    <w:rsid w:val="009763F1"/>
    <w:rsid w:val="009774B0"/>
    <w:rsid w:val="0098142A"/>
    <w:rsid w:val="00984AAA"/>
    <w:rsid w:val="009854A2"/>
    <w:rsid w:val="00986989"/>
    <w:rsid w:val="00990AF0"/>
    <w:rsid w:val="00991C18"/>
    <w:rsid w:val="009A00FA"/>
    <w:rsid w:val="009A0970"/>
    <w:rsid w:val="009A7E7B"/>
    <w:rsid w:val="009B5C5A"/>
    <w:rsid w:val="009B6235"/>
    <w:rsid w:val="009C18F6"/>
    <w:rsid w:val="009C273D"/>
    <w:rsid w:val="009C60F4"/>
    <w:rsid w:val="009D21CE"/>
    <w:rsid w:val="009D2788"/>
    <w:rsid w:val="009D2B13"/>
    <w:rsid w:val="009E0784"/>
    <w:rsid w:val="009E3729"/>
    <w:rsid w:val="009E4381"/>
    <w:rsid w:val="009E6025"/>
    <w:rsid w:val="009E73BA"/>
    <w:rsid w:val="009F335E"/>
    <w:rsid w:val="009F6532"/>
    <w:rsid w:val="00A01C14"/>
    <w:rsid w:val="00A023C6"/>
    <w:rsid w:val="00A027A5"/>
    <w:rsid w:val="00A02E1D"/>
    <w:rsid w:val="00A06F4D"/>
    <w:rsid w:val="00A10411"/>
    <w:rsid w:val="00A12021"/>
    <w:rsid w:val="00A21BC8"/>
    <w:rsid w:val="00A22115"/>
    <w:rsid w:val="00A22660"/>
    <w:rsid w:val="00A2622D"/>
    <w:rsid w:val="00A26F45"/>
    <w:rsid w:val="00A27B15"/>
    <w:rsid w:val="00A3053F"/>
    <w:rsid w:val="00A31EA9"/>
    <w:rsid w:val="00A333B6"/>
    <w:rsid w:val="00A371E9"/>
    <w:rsid w:val="00A414B3"/>
    <w:rsid w:val="00A4283D"/>
    <w:rsid w:val="00A42BCF"/>
    <w:rsid w:val="00A461A5"/>
    <w:rsid w:val="00A46C55"/>
    <w:rsid w:val="00A46FF0"/>
    <w:rsid w:val="00A502BD"/>
    <w:rsid w:val="00A51523"/>
    <w:rsid w:val="00A56660"/>
    <w:rsid w:val="00A60DD4"/>
    <w:rsid w:val="00A614D2"/>
    <w:rsid w:val="00A72615"/>
    <w:rsid w:val="00A7334D"/>
    <w:rsid w:val="00A81C1B"/>
    <w:rsid w:val="00A82CAD"/>
    <w:rsid w:val="00A82D5A"/>
    <w:rsid w:val="00A84AAD"/>
    <w:rsid w:val="00A859EC"/>
    <w:rsid w:val="00A867FF"/>
    <w:rsid w:val="00A86DC1"/>
    <w:rsid w:val="00A902E9"/>
    <w:rsid w:val="00A90D8E"/>
    <w:rsid w:val="00A91295"/>
    <w:rsid w:val="00A93967"/>
    <w:rsid w:val="00A93A97"/>
    <w:rsid w:val="00A972C7"/>
    <w:rsid w:val="00A97386"/>
    <w:rsid w:val="00AA0B03"/>
    <w:rsid w:val="00AA0B9B"/>
    <w:rsid w:val="00AA3969"/>
    <w:rsid w:val="00AA77E5"/>
    <w:rsid w:val="00AA7F1F"/>
    <w:rsid w:val="00AB209E"/>
    <w:rsid w:val="00AB2866"/>
    <w:rsid w:val="00AB74E5"/>
    <w:rsid w:val="00AB7A94"/>
    <w:rsid w:val="00AC0028"/>
    <w:rsid w:val="00AC0402"/>
    <w:rsid w:val="00AC2B8A"/>
    <w:rsid w:val="00AC7B87"/>
    <w:rsid w:val="00AC7F69"/>
    <w:rsid w:val="00AD0AEF"/>
    <w:rsid w:val="00AD1608"/>
    <w:rsid w:val="00AD16F9"/>
    <w:rsid w:val="00AD2897"/>
    <w:rsid w:val="00AD4656"/>
    <w:rsid w:val="00AD5179"/>
    <w:rsid w:val="00AE3CFF"/>
    <w:rsid w:val="00AE4AD6"/>
    <w:rsid w:val="00AF08DC"/>
    <w:rsid w:val="00AF2383"/>
    <w:rsid w:val="00AF32C3"/>
    <w:rsid w:val="00AF3F00"/>
    <w:rsid w:val="00AF6A74"/>
    <w:rsid w:val="00AF7CC3"/>
    <w:rsid w:val="00B00A80"/>
    <w:rsid w:val="00B0653A"/>
    <w:rsid w:val="00B07EEE"/>
    <w:rsid w:val="00B10B87"/>
    <w:rsid w:val="00B10F23"/>
    <w:rsid w:val="00B154F8"/>
    <w:rsid w:val="00B201D6"/>
    <w:rsid w:val="00B2182F"/>
    <w:rsid w:val="00B21887"/>
    <w:rsid w:val="00B22643"/>
    <w:rsid w:val="00B23E81"/>
    <w:rsid w:val="00B25BBB"/>
    <w:rsid w:val="00B26FE7"/>
    <w:rsid w:val="00B27395"/>
    <w:rsid w:val="00B306C9"/>
    <w:rsid w:val="00B30EAF"/>
    <w:rsid w:val="00B343AC"/>
    <w:rsid w:val="00B34D64"/>
    <w:rsid w:val="00B35F45"/>
    <w:rsid w:val="00B37F17"/>
    <w:rsid w:val="00B4230F"/>
    <w:rsid w:val="00B43E84"/>
    <w:rsid w:val="00B4480E"/>
    <w:rsid w:val="00B4586F"/>
    <w:rsid w:val="00B45AF2"/>
    <w:rsid w:val="00B46179"/>
    <w:rsid w:val="00B554D3"/>
    <w:rsid w:val="00B55CE5"/>
    <w:rsid w:val="00B603C8"/>
    <w:rsid w:val="00B63762"/>
    <w:rsid w:val="00B642A3"/>
    <w:rsid w:val="00B65E5B"/>
    <w:rsid w:val="00B72DDE"/>
    <w:rsid w:val="00B74A4D"/>
    <w:rsid w:val="00B74D00"/>
    <w:rsid w:val="00B76101"/>
    <w:rsid w:val="00B77BEB"/>
    <w:rsid w:val="00B77F41"/>
    <w:rsid w:val="00B85CD9"/>
    <w:rsid w:val="00B903ED"/>
    <w:rsid w:val="00B91CE0"/>
    <w:rsid w:val="00B97B3D"/>
    <w:rsid w:val="00BA0AE4"/>
    <w:rsid w:val="00BA7859"/>
    <w:rsid w:val="00BB096F"/>
    <w:rsid w:val="00BB30C8"/>
    <w:rsid w:val="00BB390F"/>
    <w:rsid w:val="00BB4945"/>
    <w:rsid w:val="00BC125E"/>
    <w:rsid w:val="00BC237F"/>
    <w:rsid w:val="00BC6B1F"/>
    <w:rsid w:val="00BD21F3"/>
    <w:rsid w:val="00BD73A2"/>
    <w:rsid w:val="00BE1974"/>
    <w:rsid w:val="00BE3FD9"/>
    <w:rsid w:val="00BE7071"/>
    <w:rsid w:val="00BF0209"/>
    <w:rsid w:val="00BF1198"/>
    <w:rsid w:val="00BF1B4A"/>
    <w:rsid w:val="00BF60EC"/>
    <w:rsid w:val="00C00BAD"/>
    <w:rsid w:val="00C04084"/>
    <w:rsid w:val="00C058E8"/>
    <w:rsid w:val="00C075F5"/>
    <w:rsid w:val="00C11764"/>
    <w:rsid w:val="00C21243"/>
    <w:rsid w:val="00C241A0"/>
    <w:rsid w:val="00C256F8"/>
    <w:rsid w:val="00C27E72"/>
    <w:rsid w:val="00C3059F"/>
    <w:rsid w:val="00C328A5"/>
    <w:rsid w:val="00C33490"/>
    <w:rsid w:val="00C373C2"/>
    <w:rsid w:val="00C413D1"/>
    <w:rsid w:val="00C4475F"/>
    <w:rsid w:val="00C45F3F"/>
    <w:rsid w:val="00C5117E"/>
    <w:rsid w:val="00C52A3F"/>
    <w:rsid w:val="00C53AE9"/>
    <w:rsid w:val="00C54073"/>
    <w:rsid w:val="00C5445D"/>
    <w:rsid w:val="00C55CB6"/>
    <w:rsid w:val="00C574B4"/>
    <w:rsid w:val="00C61A62"/>
    <w:rsid w:val="00C630DF"/>
    <w:rsid w:val="00C631A9"/>
    <w:rsid w:val="00C65CFB"/>
    <w:rsid w:val="00C671BA"/>
    <w:rsid w:val="00C707E2"/>
    <w:rsid w:val="00C708E2"/>
    <w:rsid w:val="00C7407C"/>
    <w:rsid w:val="00C74B48"/>
    <w:rsid w:val="00C770B7"/>
    <w:rsid w:val="00C77287"/>
    <w:rsid w:val="00C7783F"/>
    <w:rsid w:val="00C813F4"/>
    <w:rsid w:val="00C81E5D"/>
    <w:rsid w:val="00C8304F"/>
    <w:rsid w:val="00C87762"/>
    <w:rsid w:val="00C90533"/>
    <w:rsid w:val="00C96F75"/>
    <w:rsid w:val="00CA2FF7"/>
    <w:rsid w:val="00CA4B3B"/>
    <w:rsid w:val="00CB2660"/>
    <w:rsid w:val="00CB26AF"/>
    <w:rsid w:val="00CB4139"/>
    <w:rsid w:val="00CB7807"/>
    <w:rsid w:val="00CC16C3"/>
    <w:rsid w:val="00CC2AA9"/>
    <w:rsid w:val="00CC5FE7"/>
    <w:rsid w:val="00CD0786"/>
    <w:rsid w:val="00CD09E5"/>
    <w:rsid w:val="00CD2358"/>
    <w:rsid w:val="00CD48D9"/>
    <w:rsid w:val="00CD5CD7"/>
    <w:rsid w:val="00CD7A27"/>
    <w:rsid w:val="00CE1CF4"/>
    <w:rsid w:val="00CE222A"/>
    <w:rsid w:val="00CE4190"/>
    <w:rsid w:val="00CE6297"/>
    <w:rsid w:val="00CF31AC"/>
    <w:rsid w:val="00D02BB7"/>
    <w:rsid w:val="00D03321"/>
    <w:rsid w:val="00D03CE6"/>
    <w:rsid w:val="00D05446"/>
    <w:rsid w:val="00D066C5"/>
    <w:rsid w:val="00D110B0"/>
    <w:rsid w:val="00D16024"/>
    <w:rsid w:val="00D17DEC"/>
    <w:rsid w:val="00D21D6B"/>
    <w:rsid w:val="00D23600"/>
    <w:rsid w:val="00D23EF8"/>
    <w:rsid w:val="00D2510F"/>
    <w:rsid w:val="00D30285"/>
    <w:rsid w:val="00D35272"/>
    <w:rsid w:val="00D357EA"/>
    <w:rsid w:val="00D36BFA"/>
    <w:rsid w:val="00D37D7B"/>
    <w:rsid w:val="00D41089"/>
    <w:rsid w:val="00D422D7"/>
    <w:rsid w:val="00D42566"/>
    <w:rsid w:val="00D46E1E"/>
    <w:rsid w:val="00D56672"/>
    <w:rsid w:val="00D56DC6"/>
    <w:rsid w:val="00D5703A"/>
    <w:rsid w:val="00D6326B"/>
    <w:rsid w:val="00D632AB"/>
    <w:rsid w:val="00D679D4"/>
    <w:rsid w:val="00D71FAA"/>
    <w:rsid w:val="00D729FE"/>
    <w:rsid w:val="00D733A1"/>
    <w:rsid w:val="00D84DBA"/>
    <w:rsid w:val="00D85469"/>
    <w:rsid w:val="00D91CD8"/>
    <w:rsid w:val="00D951B8"/>
    <w:rsid w:val="00D97FC7"/>
    <w:rsid w:val="00DA0E41"/>
    <w:rsid w:val="00DA2582"/>
    <w:rsid w:val="00DA2DEB"/>
    <w:rsid w:val="00DA4055"/>
    <w:rsid w:val="00DA4989"/>
    <w:rsid w:val="00DB593D"/>
    <w:rsid w:val="00DC16F5"/>
    <w:rsid w:val="00DC257E"/>
    <w:rsid w:val="00DC3BF5"/>
    <w:rsid w:val="00DD10FC"/>
    <w:rsid w:val="00DD3E80"/>
    <w:rsid w:val="00DD6BF7"/>
    <w:rsid w:val="00DE1E49"/>
    <w:rsid w:val="00DE27FC"/>
    <w:rsid w:val="00DE2C48"/>
    <w:rsid w:val="00E00136"/>
    <w:rsid w:val="00E10F68"/>
    <w:rsid w:val="00E17697"/>
    <w:rsid w:val="00E21DCF"/>
    <w:rsid w:val="00E22F58"/>
    <w:rsid w:val="00E2513D"/>
    <w:rsid w:val="00E2753A"/>
    <w:rsid w:val="00E3109A"/>
    <w:rsid w:val="00E3438F"/>
    <w:rsid w:val="00E351BC"/>
    <w:rsid w:val="00E35335"/>
    <w:rsid w:val="00E37AE1"/>
    <w:rsid w:val="00E456D7"/>
    <w:rsid w:val="00E45750"/>
    <w:rsid w:val="00E47A27"/>
    <w:rsid w:val="00E530E8"/>
    <w:rsid w:val="00E536C2"/>
    <w:rsid w:val="00E54534"/>
    <w:rsid w:val="00E63B12"/>
    <w:rsid w:val="00E643B4"/>
    <w:rsid w:val="00E65563"/>
    <w:rsid w:val="00E66934"/>
    <w:rsid w:val="00E70176"/>
    <w:rsid w:val="00E71008"/>
    <w:rsid w:val="00E74D94"/>
    <w:rsid w:val="00E75088"/>
    <w:rsid w:val="00E765A3"/>
    <w:rsid w:val="00E77236"/>
    <w:rsid w:val="00E80F8E"/>
    <w:rsid w:val="00E82F97"/>
    <w:rsid w:val="00E90F29"/>
    <w:rsid w:val="00E9144F"/>
    <w:rsid w:val="00E93748"/>
    <w:rsid w:val="00E93FA1"/>
    <w:rsid w:val="00E942EF"/>
    <w:rsid w:val="00E95663"/>
    <w:rsid w:val="00E95AE9"/>
    <w:rsid w:val="00E9778A"/>
    <w:rsid w:val="00EA01DA"/>
    <w:rsid w:val="00EA3DB2"/>
    <w:rsid w:val="00EA7008"/>
    <w:rsid w:val="00EA7D05"/>
    <w:rsid w:val="00EB24B0"/>
    <w:rsid w:val="00EB40C0"/>
    <w:rsid w:val="00EC0B58"/>
    <w:rsid w:val="00EC14A0"/>
    <w:rsid w:val="00EC3084"/>
    <w:rsid w:val="00EC46E0"/>
    <w:rsid w:val="00EC4718"/>
    <w:rsid w:val="00EC525B"/>
    <w:rsid w:val="00ED23EC"/>
    <w:rsid w:val="00ED45B1"/>
    <w:rsid w:val="00EE04BA"/>
    <w:rsid w:val="00EE2221"/>
    <w:rsid w:val="00EE3F7E"/>
    <w:rsid w:val="00EE4CB1"/>
    <w:rsid w:val="00EE6A79"/>
    <w:rsid w:val="00EF20B1"/>
    <w:rsid w:val="00EF2F9C"/>
    <w:rsid w:val="00EF3BC7"/>
    <w:rsid w:val="00F03DF9"/>
    <w:rsid w:val="00F065DA"/>
    <w:rsid w:val="00F076AB"/>
    <w:rsid w:val="00F1473F"/>
    <w:rsid w:val="00F15CCB"/>
    <w:rsid w:val="00F23569"/>
    <w:rsid w:val="00F2446A"/>
    <w:rsid w:val="00F24A66"/>
    <w:rsid w:val="00F31AF9"/>
    <w:rsid w:val="00F47FFC"/>
    <w:rsid w:val="00F5538F"/>
    <w:rsid w:val="00F607E8"/>
    <w:rsid w:val="00F61726"/>
    <w:rsid w:val="00F6386E"/>
    <w:rsid w:val="00F7033E"/>
    <w:rsid w:val="00F70F81"/>
    <w:rsid w:val="00F713C8"/>
    <w:rsid w:val="00F73581"/>
    <w:rsid w:val="00F7551E"/>
    <w:rsid w:val="00F75944"/>
    <w:rsid w:val="00F778B8"/>
    <w:rsid w:val="00F808C8"/>
    <w:rsid w:val="00F832A3"/>
    <w:rsid w:val="00F85295"/>
    <w:rsid w:val="00F87805"/>
    <w:rsid w:val="00F948D4"/>
    <w:rsid w:val="00F9658B"/>
    <w:rsid w:val="00FA20DB"/>
    <w:rsid w:val="00FA6443"/>
    <w:rsid w:val="00FB2253"/>
    <w:rsid w:val="00FB4197"/>
    <w:rsid w:val="00FB4675"/>
    <w:rsid w:val="00FB5797"/>
    <w:rsid w:val="00FB5FD9"/>
    <w:rsid w:val="00FD08BD"/>
    <w:rsid w:val="00FD0988"/>
    <w:rsid w:val="00FD1D42"/>
    <w:rsid w:val="00FD3B5B"/>
    <w:rsid w:val="00FD6E88"/>
    <w:rsid w:val="00FD7551"/>
    <w:rsid w:val="00FE0E57"/>
    <w:rsid w:val="00FE320E"/>
    <w:rsid w:val="00FF2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37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FA1"/>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3FA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Normal 1,List Paragraph1"/>
    <w:basedOn w:val="Normal"/>
    <w:link w:val="ListParagraphChar"/>
    <w:uiPriority w:val="1"/>
    <w:qFormat/>
    <w:rsid w:val="00E93FA1"/>
    <w:pPr>
      <w:ind w:left="720"/>
      <w:contextualSpacing/>
    </w:pPr>
  </w:style>
  <w:style w:type="paragraph" w:styleId="BalloonText">
    <w:name w:val="Balloon Text"/>
    <w:basedOn w:val="Normal"/>
    <w:link w:val="BalloonTextChar"/>
    <w:uiPriority w:val="99"/>
    <w:semiHidden/>
    <w:unhideWhenUsed/>
    <w:rsid w:val="00E93F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FA1"/>
    <w:rPr>
      <w:rFonts w:ascii="Tahoma" w:hAnsi="Tahoma" w:cs="Tahoma"/>
      <w:sz w:val="16"/>
      <w:szCs w:val="16"/>
    </w:rPr>
  </w:style>
  <w:style w:type="character" w:customStyle="1" w:styleId="ListParagraphChar">
    <w:name w:val="List Paragraph Char"/>
    <w:aliases w:val="Normal 1 Char,List Paragraph1 Char"/>
    <w:link w:val="ListParagraph"/>
    <w:uiPriority w:val="1"/>
    <w:locked/>
    <w:rsid w:val="00E93FA1"/>
  </w:style>
  <w:style w:type="character" w:styleId="CommentReference">
    <w:name w:val="annotation reference"/>
    <w:basedOn w:val="DefaultParagraphFont"/>
    <w:uiPriority w:val="99"/>
    <w:semiHidden/>
    <w:unhideWhenUsed/>
    <w:rsid w:val="00E93FA1"/>
    <w:rPr>
      <w:sz w:val="16"/>
      <w:szCs w:val="16"/>
    </w:rPr>
  </w:style>
  <w:style w:type="paragraph" w:styleId="CommentText">
    <w:name w:val="annotation text"/>
    <w:basedOn w:val="Normal"/>
    <w:link w:val="CommentTextChar"/>
    <w:uiPriority w:val="99"/>
    <w:unhideWhenUsed/>
    <w:rsid w:val="00E93FA1"/>
    <w:pPr>
      <w:spacing w:line="240" w:lineRule="auto"/>
    </w:pPr>
    <w:rPr>
      <w:sz w:val="20"/>
      <w:szCs w:val="20"/>
    </w:rPr>
  </w:style>
  <w:style w:type="character" w:customStyle="1" w:styleId="CommentTextChar">
    <w:name w:val="Comment Text Char"/>
    <w:basedOn w:val="DefaultParagraphFont"/>
    <w:link w:val="CommentText"/>
    <w:uiPriority w:val="99"/>
    <w:rsid w:val="00E93FA1"/>
    <w:rPr>
      <w:sz w:val="20"/>
      <w:szCs w:val="20"/>
    </w:rPr>
  </w:style>
  <w:style w:type="paragraph" w:styleId="CommentSubject">
    <w:name w:val="annotation subject"/>
    <w:basedOn w:val="CommentText"/>
    <w:next w:val="CommentText"/>
    <w:link w:val="CommentSubjectChar"/>
    <w:uiPriority w:val="99"/>
    <w:semiHidden/>
    <w:unhideWhenUsed/>
    <w:rsid w:val="00E93FA1"/>
    <w:rPr>
      <w:b/>
      <w:bCs/>
    </w:rPr>
  </w:style>
  <w:style w:type="character" w:customStyle="1" w:styleId="CommentSubjectChar">
    <w:name w:val="Comment Subject Char"/>
    <w:basedOn w:val="CommentTextChar"/>
    <w:link w:val="CommentSubject"/>
    <w:uiPriority w:val="99"/>
    <w:semiHidden/>
    <w:rsid w:val="00E93FA1"/>
    <w:rPr>
      <w:b/>
      <w:bCs/>
      <w:sz w:val="20"/>
      <w:szCs w:val="20"/>
    </w:rPr>
  </w:style>
  <w:style w:type="paragraph" w:styleId="NoSpacing">
    <w:name w:val="No Spacing"/>
    <w:uiPriority w:val="1"/>
    <w:qFormat/>
    <w:rsid w:val="00E93FA1"/>
    <w:pPr>
      <w:spacing w:after="0" w:line="240" w:lineRule="auto"/>
    </w:pPr>
  </w:style>
  <w:style w:type="paragraph" w:styleId="Header">
    <w:name w:val="header"/>
    <w:basedOn w:val="Normal"/>
    <w:link w:val="HeaderChar"/>
    <w:uiPriority w:val="99"/>
    <w:unhideWhenUsed/>
    <w:rsid w:val="00B10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F23"/>
    <w:rPr>
      <w:lang w:val="sq-AL"/>
    </w:rPr>
  </w:style>
  <w:style w:type="paragraph" w:styleId="Footer">
    <w:name w:val="footer"/>
    <w:basedOn w:val="Normal"/>
    <w:link w:val="FooterChar"/>
    <w:uiPriority w:val="99"/>
    <w:unhideWhenUsed/>
    <w:rsid w:val="00B10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F23"/>
    <w:rPr>
      <w:lang w:val="sq-AL"/>
    </w:rPr>
  </w:style>
  <w:style w:type="paragraph" w:styleId="Revision">
    <w:name w:val="Revision"/>
    <w:hidden/>
    <w:uiPriority w:val="99"/>
    <w:semiHidden/>
    <w:rsid w:val="0005286D"/>
    <w:pPr>
      <w:spacing w:after="0" w:line="240" w:lineRule="auto"/>
    </w:pPr>
    <w:rPr>
      <w:lang w:val="sq-AL"/>
    </w:rPr>
  </w:style>
  <w:style w:type="paragraph" w:styleId="BodyText">
    <w:name w:val="Body Text"/>
    <w:basedOn w:val="Normal"/>
    <w:link w:val="BodyTextChar"/>
    <w:uiPriority w:val="1"/>
    <w:qFormat/>
    <w:rsid w:val="000759ED"/>
    <w:pPr>
      <w:widowControl w:val="0"/>
      <w:autoSpaceDE w:val="0"/>
      <w:autoSpaceDN w:val="0"/>
      <w:spacing w:after="0" w:line="240" w:lineRule="auto"/>
    </w:pPr>
    <w:rPr>
      <w:rFonts w:ascii="Georgia" w:eastAsia="Georgia" w:hAnsi="Georgia" w:cs="Georgia"/>
      <w:sz w:val="20"/>
      <w:szCs w:val="20"/>
    </w:rPr>
  </w:style>
  <w:style w:type="character" w:customStyle="1" w:styleId="BodyTextChar">
    <w:name w:val="Body Text Char"/>
    <w:basedOn w:val="DefaultParagraphFont"/>
    <w:link w:val="BodyText"/>
    <w:uiPriority w:val="1"/>
    <w:rsid w:val="000759ED"/>
    <w:rPr>
      <w:rFonts w:ascii="Georgia" w:eastAsia="Georgia" w:hAnsi="Georgia" w:cs="Georgia"/>
      <w:sz w:val="20"/>
      <w:szCs w:val="20"/>
      <w:lang w:val="sq-AL"/>
    </w:rPr>
  </w:style>
  <w:style w:type="paragraph" w:customStyle="1" w:styleId="Default">
    <w:name w:val="Default"/>
    <w:rsid w:val="00377CF1"/>
    <w:pPr>
      <w:autoSpaceDE w:val="0"/>
      <w:autoSpaceDN w:val="0"/>
      <w:adjustRightInd w:val="0"/>
      <w:spacing w:after="0" w:line="240" w:lineRule="auto"/>
    </w:pPr>
    <w:rPr>
      <w:rFonts w:ascii="Cambria" w:hAnsi="Cambria" w:cs="Cambria"/>
      <w:color w:val="000000"/>
      <w:sz w:val="24"/>
      <w:szCs w:val="24"/>
    </w:rPr>
  </w:style>
  <w:style w:type="paragraph" w:styleId="FootnoteText">
    <w:name w:val="footnote text"/>
    <w:basedOn w:val="Normal"/>
    <w:link w:val="FootnoteTextChar"/>
    <w:uiPriority w:val="99"/>
    <w:semiHidden/>
    <w:unhideWhenUsed/>
    <w:rsid w:val="00094B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4B61"/>
    <w:rPr>
      <w:sz w:val="20"/>
      <w:szCs w:val="20"/>
      <w:lang w:val="sq-AL"/>
    </w:rPr>
  </w:style>
  <w:style w:type="character" w:styleId="FootnoteReference">
    <w:name w:val="footnote reference"/>
    <w:basedOn w:val="DefaultParagraphFont"/>
    <w:uiPriority w:val="99"/>
    <w:semiHidden/>
    <w:unhideWhenUsed/>
    <w:rsid w:val="00094B61"/>
    <w:rPr>
      <w:vertAlign w:val="superscript"/>
    </w:rPr>
  </w:style>
  <w:style w:type="paragraph" w:customStyle="1" w:styleId="Neninr">
    <w:name w:val="Neni nr."/>
    <w:basedOn w:val="Normal"/>
    <w:qFormat/>
    <w:rsid w:val="007C7BB8"/>
    <w:pPr>
      <w:spacing w:after="0" w:line="240" w:lineRule="auto"/>
      <w:jc w:val="center"/>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FA1"/>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3FA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Normal 1,List Paragraph1"/>
    <w:basedOn w:val="Normal"/>
    <w:link w:val="ListParagraphChar"/>
    <w:uiPriority w:val="1"/>
    <w:qFormat/>
    <w:rsid w:val="00E93FA1"/>
    <w:pPr>
      <w:ind w:left="720"/>
      <w:contextualSpacing/>
    </w:pPr>
  </w:style>
  <w:style w:type="paragraph" w:styleId="BalloonText">
    <w:name w:val="Balloon Text"/>
    <w:basedOn w:val="Normal"/>
    <w:link w:val="BalloonTextChar"/>
    <w:uiPriority w:val="99"/>
    <w:semiHidden/>
    <w:unhideWhenUsed/>
    <w:rsid w:val="00E93F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FA1"/>
    <w:rPr>
      <w:rFonts w:ascii="Tahoma" w:hAnsi="Tahoma" w:cs="Tahoma"/>
      <w:sz w:val="16"/>
      <w:szCs w:val="16"/>
    </w:rPr>
  </w:style>
  <w:style w:type="character" w:customStyle="1" w:styleId="ListParagraphChar">
    <w:name w:val="List Paragraph Char"/>
    <w:aliases w:val="Normal 1 Char,List Paragraph1 Char"/>
    <w:link w:val="ListParagraph"/>
    <w:uiPriority w:val="1"/>
    <w:locked/>
    <w:rsid w:val="00E93FA1"/>
  </w:style>
  <w:style w:type="character" w:styleId="CommentReference">
    <w:name w:val="annotation reference"/>
    <w:basedOn w:val="DefaultParagraphFont"/>
    <w:uiPriority w:val="99"/>
    <w:semiHidden/>
    <w:unhideWhenUsed/>
    <w:rsid w:val="00E93FA1"/>
    <w:rPr>
      <w:sz w:val="16"/>
      <w:szCs w:val="16"/>
    </w:rPr>
  </w:style>
  <w:style w:type="paragraph" w:styleId="CommentText">
    <w:name w:val="annotation text"/>
    <w:basedOn w:val="Normal"/>
    <w:link w:val="CommentTextChar"/>
    <w:uiPriority w:val="99"/>
    <w:unhideWhenUsed/>
    <w:rsid w:val="00E93FA1"/>
    <w:pPr>
      <w:spacing w:line="240" w:lineRule="auto"/>
    </w:pPr>
    <w:rPr>
      <w:sz w:val="20"/>
      <w:szCs w:val="20"/>
    </w:rPr>
  </w:style>
  <w:style w:type="character" w:customStyle="1" w:styleId="CommentTextChar">
    <w:name w:val="Comment Text Char"/>
    <w:basedOn w:val="DefaultParagraphFont"/>
    <w:link w:val="CommentText"/>
    <w:uiPriority w:val="99"/>
    <w:rsid w:val="00E93FA1"/>
    <w:rPr>
      <w:sz w:val="20"/>
      <w:szCs w:val="20"/>
    </w:rPr>
  </w:style>
  <w:style w:type="paragraph" w:styleId="CommentSubject">
    <w:name w:val="annotation subject"/>
    <w:basedOn w:val="CommentText"/>
    <w:next w:val="CommentText"/>
    <w:link w:val="CommentSubjectChar"/>
    <w:uiPriority w:val="99"/>
    <w:semiHidden/>
    <w:unhideWhenUsed/>
    <w:rsid w:val="00E93FA1"/>
    <w:rPr>
      <w:b/>
      <w:bCs/>
    </w:rPr>
  </w:style>
  <w:style w:type="character" w:customStyle="1" w:styleId="CommentSubjectChar">
    <w:name w:val="Comment Subject Char"/>
    <w:basedOn w:val="CommentTextChar"/>
    <w:link w:val="CommentSubject"/>
    <w:uiPriority w:val="99"/>
    <w:semiHidden/>
    <w:rsid w:val="00E93FA1"/>
    <w:rPr>
      <w:b/>
      <w:bCs/>
      <w:sz w:val="20"/>
      <w:szCs w:val="20"/>
    </w:rPr>
  </w:style>
  <w:style w:type="paragraph" w:styleId="NoSpacing">
    <w:name w:val="No Spacing"/>
    <w:uiPriority w:val="1"/>
    <w:qFormat/>
    <w:rsid w:val="00E93FA1"/>
    <w:pPr>
      <w:spacing w:after="0" w:line="240" w:lineRule="auto"/>
    </w:pPr>
  </w:style>
  <w:style w:type="paragraph" w:styleId="Header">
    <w:name w:val="header"/>
    <w:basedOn w:val="Normal"/>
    <w:link w:val="HeaderChar"/>
    <w:uiPriority w:val="99"/>
    <w:unhideWhenUsed/>
    <w:rsid w:val="00B10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F23"/>
    <w:rPr>
      <w:lang w:val="sq-AL"/>
    </w:rPr>
  </w:style>
  <w:style w:type="paragraph" w:styleId="Footer">
    <w:name w:val="footer"/>
    <w:basedOn w:val="Normal"/>
    <w:link w:val="FooterChar"/>
    <w:uiPriority w:val="99"/>
    <w:unhideWhenUsed/>
    <w:rsid w:val="00B10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F23"/>
    <w:rPr>
      <w:lang w:val="sq-AL"/>
    </w:rPr>
  </w:style>
  <w:style w:type="paragraph" w:styleId="Revision">
    <w:name w:val="Revision"/>
    <w:hidden/>
    <w:uiPriority w:val="99"/>
    <w:semiHidden/>
    <w:rsid w:val="0005286D"/>
    <w:pPr>
      <w:spacing w:after="0" w:line="240" w:lineRule="auto"/>
    </w:pPr>
    <w:rPr>
      <w:lang w:val="sq-AL"/>
    </w:rPr>
  </w:style>
  <w:style w:type="paragraph" w:styleId="BodyText">
    <w:name w:val="Body Text"/>
    <w:basedOn w:val="Normal"/>
    <w:link w:val="BodyTextChar"/>
    <w:uiPriority w:val="1"/>
    <w:qFormat/>
    <w:rsid w:val="000759ED"/>
    <w:pPr>
      <w:widowControl w:val="0"/>
      <w:autoSpaceDE w:val="0"/>
      <w:autoSpaceDN w:val="0"/>
      <w:spacing w:after="0" w:line="240" w:lineRule="auto"/>
    </w:pPr>
    <w:rPr>
      <w:rFonts w:ascii="Georgia" w:eastAsia="Georgia" w:hAnsi="Georgia" w:cs="Georgia"/>
      <w:sz w:val="20"/>
      <w:szCs w:val="20"/>
    </w:rPr>
  </w:style>
  <w:style w:type="character" w:customStyle="1" w:styleId="BodyTextChar">
    <w:name w:val="Body Text Char"/>
    <w:basedOn w:val="DefaultParagraphFont"/>
    <w:link w:val="BodyText"/>
    <w:uiPriority w:val="1"/>
    <w:rsid w:val="000759ED"/>
    <w:rPr>
      <w:rFonts w:ascii="Georgia" w:eastAsia="Georgia" w:hAnsi="Georgia" w:cs="Georgia"/>
      <w:sz w:val="20"/>
      <w:szCs w:val="20"/>
      <w:lang w:val="sq-AL"/>
    </w:rPr>
  </w:style>
  <w:style w:type="paragraph" w:customStyle="1" w:styleId="Default">
    <w:name w:val="Default"/>
    <w:rsid w:val="00377CF1"/>
    <w:pPr>
      <w:autoSpaceDE w:val="0"/>
      <w:autoSpaceDN w:val="0"/>
      <w:adjustRightInd w:val="0"/>
      <w:spacing w:after="0" w:line="240" w:lineRule="auto"/>
    </w:pPr>
    <w:rPr>
      <w:rFonts w:ascii="Cambria" w:hAnsi="Cambria" w:cs="Cambria"/>
      <w:color w:val="000000"/>
      <w:sz w:val="24"/>
      <w:szCs w:val="24"/>
    </w:rPr>
  </w:style>
  <w:style w:type="paragraph" w:styleId="FootnoteText">
    <w:name w:val="footnote text"/>
    <w:basedOn w:val="Normal"/>
    <w:link w:val="FootnoteTextChar"/>
    <w:uiPriority w:val="99"/>
    <w:semiHidden/>
    <w:unhideWhenUsed/>
    <w:rsid w:val="00094B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4B61"/>
    <w:rPr>
      <w:sz w:val="20"/>
      <w:szCs w:val="20"/>
      <w:lang w:val="sq-AL"/>
    </w:rPr>
  </w:style>
  <w:style w:type="character" w:styleId="FootnoteReference">
    <w:name w:val="footnote reference"/>
    <w:basedOn w:val="DefaultParagraphFont"/>
    <w:uiPriority w:val="99"/>
    <w:semiHidden/>
    <w:unhideWhenUsed/>
    <w:rsid w:val="00094B61"/>
    <w:rPr>
      <w:vertAlign w:val="superscript"/>
    </w:rPr>
  </w:style>
  <w:style w:type="paragraph" w:customStyle="1" w:styleId="Neninr">
    <w:name w:val="Neni nr."/>
    <w:basedOn w:val="Normal"/>
    <w:qFormat/>
    <w:rsid w:val="007C7BB8"/>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2834">
      <w:bodyDiv w:val="1"/>
      <w:marLeft w:val="0"/>
      <w:marRight w:val="0"/>
      <w:marTop w:val="0"/>
      <w:marBottom w:val="0"/>
      <w:divBdr>
        <w:top w:val="none" w:sz="0" w:space="0" w:color="auto"/>
        <w:left w:val="none" w:sz="0" w:space="0" w:color="auto"/>
        <w:bottom w:val="none" w:sz="0" w:space="0" w:color="auto"/>
        <w:right w:val="none" w:sz="0" w:space="0" w:color="auto"/>
      </w:divBdr>
    </w:div>
    <w:div w:id="64570971">
      <w:bodyDiv w:val="1"/>
      <w:marLeft w:val="0"/>
      <w:marRight w:val="0"/>
      <w:marTop w:val="0"/>
      <w:marBottom w:val="0"/>
      <w:divBdr>
        <w:top w:val="none" w:sz="0" w:space="0" w:color="auto"/>
        <w:left w:val="none" w:sz="0" w:space="0" w:color="auto"/>
        <w:bottom w:val="none" w:sz="0" w:space="0" w:color="auto"/>
        <w:right w:val="none" w:sz="0" w:space="0" w:color="auto"/>
      </w:divBdr>
    </w:div>
    <w:div w:id="112945235">
      <w:bodyDiv w:val="1"/>
      <w:marLeft w:val="0"/>
      <w:marRight w:val="0"/>
      <w:marTop w:val="0"/>
      <w:marBottom w:val="0"/>
      <w:divBdr>
        <w:top w:val="none" w:sz="0" w:space="0" w:color="auto"/>
        <w:left w:val="none" w:sz="0" w:space="0" w:color="auto"/>
        <w:bottom w:val="none" w:sz="0" w:space="0" w:color="auto"/>
        <w:right w:val="none" w:sz="0" w:space="0" w:color="auto"/>
      </w:divBdr>
    </w:div>
    <w:div w:id="219829214">
      <w:bodyDiv w:val="1"/>
      <w:marLeft w:val="0"/>
      <w:marRight w:val="0"/>
      <w:marTop w:val="0"/>
      <w:marBottom w:val="0"/>
      <w:divBdr>
        <w:top w:val="none" w:sz="0" w:space="0" w:color="auto"/>
        <w:left w:val="none" w:sz="0" w:space="0" w:color="auto"/>
        <w:bottom w:val="none" w:sz="0" w:space="0" w:color="auto"/>
        <w:right w:val="none" w:sz="0" w:space="0" w:color="auto"/>
      </w:divBdr>
    </w:div>
    <w:div w:id="260072259">
      <w:bodyDiv w:val="1"/>
      <w:marLeft w:val="0"/>
      <w:marRight w:val="0"/>
      <w:marTop w:val="0"/>
      <w:marBottom w:val="0"/>
      <w:divBdr>
        <w:top w:val="none" w:sz="0" w:space="0" w:color="auto"/>
        <w:left w:val="none" w:sz="0" w:space="0" w:color="auto"/>
        <w:bottom w:val="none" w:sz="0" w:space="0" w:color="auto"/>
        <w:right w:val="none" w:sz="0" w:space="0" w:color="auto"/>
      </w:divBdr>
    </w:div>
    <w:div w:id="303776675">
      <w:bodyDiv w:val="1"/>
      <w:marLeft w:val="0"/>
      <w:marRight w:val="0"/>
      <w:marTop w:val="0"/>
      <w:marBottom w:val="0"/>
      <w:divBdr>
        <w:top w:val="none" w:sz="0" w:space="0" w:color="auto"/>
        <w:left w:val="none" w:sz="0" w:space="0" w:color="auto"/>
        <w:bottom w:val="none" w:sz="0" w:space="0" w:color="auto"/>
        <w:right w:val="none" w:sz="0" w:space="0" w:color="auto"/>
      </w:divBdr>
    </w:div>
    <w:div w:id="325977503">
      <w:bodyDiv w:val="1"/>
      <w:marLeft w:val="0"/>
      <w:marRight w:val="0"/>
      <w:marTop w:val="0"/>
      <w:marBottom w:val="0"/>
      <w:divBdr>
        <w:top w:val="none" w:sz="0" w:space="0" w:color="auto"/>
        <w:left w:val="none" w:sz="0" w:space="0" w:color="auto"/>
        <w:bottom w:val="none" w:sz="0" w:space="0" w:color="auto"/>
        <w:right w:val="none" w:sz="0" w:space="0" w:color="auto"/>
      </w:divBdr>
    </w:div>
    <w:div w:id="331375035">
      <w:bodyDiv w:val="1"/>
      <w:marLeft w:val="0"/>
      <w:marRight w:val="0"/>
      <w:marTop w:val="0"/>
      <w:marBottom w:val="0"/>
      <w:divBdr>
        <w:top w:val="none" w:sz="0" w:space="0" w:color="auto"/>
        <w:left w:val="none" w:sz="0" w:space="0" w:color="auto"/>
        <w:bottom w:val="none" w:sz="0" w:space="0" w:color="auto"/>
        <w:right w:val="none" w:sz="0" w:space="0" w:color="auto"/>
      </w:divBdr>
    </w:div>
    <w:div w:id="335815718">
      <w:bodyDiv w:val="1"/>
      <w:marLeft w:val="0"/>
      <w:marRight w:val="0"/>
      <w:marTop w:val="0"/>
      <w:marBottom w:val="0"/>
      <w:divBdr>
        <w:top w:val="none" w:sz="0" w:space="0" w:color="auto"/>
        <w:left w:val="none" w:sz="0" w:space="0" w:color="auto"/>
        <w:bottom w:val="none" w:sz="0" w:space="0" w:color="auto"/>
        <w:right w:val="none" w:sz="0" w:space="0" w:color="auto"/>
      </w:divBdr>
    </w:div>
    <w:div w:id="417753480">
      <w:bodyDiv w:val="1"/>
      <w:marLeft w:val="0"/>
      <w:marRight w:val="0"/>
      <w:marTop w:val="0"/>
      <w:marBottom w:val="0"/>
      <w:divBdr>
        <w:top w:val="none" w:sz="0" w:space="0" w:color="auto"/>
        <w:left w:val="none" w:sz="0" w:space="0" w:color="auto"/>
        <w:bottom w:val="none" w:sz="0" w:space="0" w:color="auto"/>
        <w:right w:val="none" w:sz="0" w:space="0" w:color="auto"/>
      </w:divBdr>
    </w:div>
    <w:div w:id="481047490">
      <w:bodyDiv w:val="1"/>
      <w:marLeft w:val="0"/>
      <w:marRight w:val="0"/>
      <w:marTop w:val="0"/>
      <w:marBottom w:val="0"/>
      <w:divBdr>
        <w:top w:val="none" w:sz="0" w:space="0" w:color="auto"/>
        <w:left w:val="none" w:sz="0" w:space="0" w:color="auto"/>
        <w:bottom w:val="none" w:sz="0" w:space="0" w:color="auto"/>
        <w:right w:val="none" w:sz="0" w:space="0" w:color="auto"/>
      </w:divBdr>
    </w:div>
    <w:div w:id="483396983">
      <w:bodyDiv w:val="1"/>
      <w:marLeft w:val="0"/>
      <w:marRight w:val="0"/>
      <w:marTop w:val="0"/>
      <w:marBottom w:val="0"/>
      <w:divBdr>
        <w:top w:val="none" w:sz="0" w:space="0" w:color="auto"/>
        <w:left w:val="none" w:sz="0" w:space="0" w:color="auto"/>
        <w:bottom w:val="none" w:sz="0" w:space="0" w:color="auto"/>
        <w:right w:val="none" w:sz="0" w:space="0" w:color="auto"/>
      </w:divBdr>
    </w:div>
    <w:div w:id="515585178">
      <w:bodyDiv w:val="1"/>
      <w:marLeft w:val="0"/>
      <w:marRight w:val="0"/>
      <w:marTop w:val="0"/>
      <w:marBottom w:val="0"/>
      <w:divBdr>
        <w:top w:val="none" w:sz="0" w:space="0" w:color="auto"/>
        <w:left w:val="none" w:sz="0" w:space="0" w:color="auto"/>
        <w:bottom w:val="none" w:sz="0" w:space="0" w:color="auto"/>
        <w:right w:val="none" w:sz="0" w:space="0" w:color="auto"/>
      </w:divBdr>
    </w:div>
    <w:div w:id="536088387">
      <w:bodyDiv w:val="1"/>
      <w:marLeft w:val="0"/>
      <w:marRight w:val="0"/>
      <w:marTop w:val="0"/>
      <w:marBottom w:val="0"/>
      <w:divBdr>
        <w:top w:val="none" w:sz="0" w:space="0" w:color="auto"/>
        <w:left w:val="none" w:sz="0" w:space="0" w:color="auto"/>
        <w:bottom w:val="none" w:sz="0" w:space="0" w:color="auto"/>
        <w:right w:val="none" w:sz="0" w:space="0" w:color="auto"/>
      </w:divBdr>
    </w:div>
    <w:div w:id="554971104">
      <w:bodyDiv w:val="1"/>
      <w:marLeft w:val="0"/>
      <w:marRight w:val="0"/>
      <w:marTop w:val="0"/>
      <w:marBottom w:val="0"/>
      <w:divBdr>
        <w:top w:val="none" w:sz="0" w:space="0" w:color="auto"/>
        <w:left w:val="none" w:sz="0" w:space="0" w:color="auto"/>
        <w:bottom w:val="none" w:sz="0" w:space="0" w:color="auto"/>
        <w:right w:val="none" w:sz="0" w:space="0" w:color="auto"/>
      </w:divBdr>
    </w:div>
    <w:div w:id="571936884">
      <w:bodyDiv w:val="1"/>
      <w:marLeft w:val="0"/>
      <w:marRight w:val="0"/>
      <w:marTop w:val="0"/>
      <w:marBottom w:val="0"/>
      <w:divBdr>
        <w:top w:val="none" w:sz="0" w:space="0" w:color="auto"/>
        <w:left w:val="none" w:sz="0" w:space="0" w:color="auto"/>
        <w:bottom w:val="none" w:sz="0" w:space="0" w:color="auto"/>
        <w:right w:val="none" w:sz="0" w:space="0" w:color="auto"/>
      </w:divBdr>
    </w:div>
    <w:div w:id="590548490">
      <w:bodyDiv w:val="1"/>
      <w:marLeft w:val="0"/>
      <w:marRight w:val="0"/>
      <w:marTop w:val="0"/>
      <w:marBottom w:val="0"/>
      <w:divBdr>
        <w:top w:val="none" w:sz="0" w:space="0" w:color="auto"/>
        <w:left w:val="none" w:sz="0" w:space="0" w:color="auto"/>
        <w:bottom w:val="none" w:sz="0" w:space="0" w:color="auto"/>
        <w:right w:val="none" w:sz="0" w:space="0" w:color="auto"/>
      </w:divBdr>
    </w:div>
    <w:div w:id="695544709">
      <w:bodyDiv w:val="1"/>
      <w:marLeft w:val="0"/>
      <w:marRight w:val="0"/>
      <w:marTop w:val="0"/>
      <w:marBottom w:val="0"/>
      <w:divBdr>
        <w:top w:val="none" w:sz="0" w:space="0" w:color="auto"/>
        <w:left w:val="none" w:sz="0" w:space="0" w:color="auto"/>
        <w:bottom w:val="none" w:sz="0" w:space="0" w:color="auto"/>
        <w:right w:val="none" w:sz="0" w:space="0" w:color="auto"/>
      </w:divBdr>
    </w:div>
    <w:div w:id="725296764">
      <w:bodyDiv w:val="1"/>
      <w:marLeft w:val="0"/>
      <w:marRight w:val="0"/>
      <w:marTop w:val="0"/>
      <w:marBottom w:val="0"/>
      <w:divBdr>
        <w:top w:val="none" w:sz="0" w:space="0" w:color="auto"/>
        <w:left w:val="none" w:sz="0" w:space="0" w:color="auto"/>
        <w:bottom w:val="none" w:sz="0" w:space="0" w:color="auto"/>
        <w:right w:val="none" w:sz="0" w:space="0" w:color="auto"/>
      </w:divBdr>
    </w:div>
    <w:div w:id="801311866">
      <w:bodyDiv w:val="1"/>
      <w:marLeft w:val="0"/>
      <w:marRight w:val="0"/>
      <w:marTop w:val="0"/>
      <w:marBottom w:val="0"/>
      <w:divBdr>
        <w:top w:val="none" w:sz="0" w:space="0" w:color="auto"/>
        <w:left w:val="none" w:sz="0" w:space="0" w:color="auto"/>
        <w:bottom w:val="none" w:sz="0" w:space="0" w:color="auto"/>
        <w:right w:val="none" w:sz="0" w:space="0" w:color="auto"/>
      </w:divBdr>
    </w:div>
    <w:div w:id="877006534">
      <w:bodyDiv w:val="1"/>
      <w:marLeft w:val="0"/>
      <w:marRight w:val="0"/>
      <w:marTop w:val="0"/>
      <w:marBottom w:val="0"/>
      <w:divBdr>
        <w:top w:val="none" w:sz="0" w:space="0" w:color="auto"/>
        <w:left w:val="none" w:sz="0" w:space="0" w:color="auto"/>
        <w:bottom w:val="none" w:sz="0" w:space="0" w:color="auto"/>
        <w:right w:val="none" w:sz="0" w:space="0" w:color="auto"/>
      </w:divBdr>
    </w:div>
    <w:div w:id="879971836">
      <w:bodyDiv w:val="1"/>
      <w:marLeft w:val="0"/>
      <w:marRight w:val="0"/>
      <w:marTop w:val="0"/>
      <w:marBottom w:val="0"/>
      <w:divBdr>
        <w:top w:val="none" w:sz="0" w:space="0" w:color="auto"/>
        <w:left w:val="none" w:sz="0" w:space="0" w:color="auto"/>
        <w:bottom w:val="none" w:sz="0" w:space="0" w:color="auto"/>
        <w:right w:val="none" w:sz="0" w:space="0" w:color="auto"/>
      </w:divBdr>
    </w:div>
    <w:div w:id="952134677">
      <w:bodyDiv w:val="1"/>
      <w:marLeft w:val="0"/>
      <w:marRight w:val="0"/>
      <w:marTop w:val="0"/>
      <w:marBottom w:val="0"/>
      <w:divBdr>
        <w:top w:val="none" w:sz="0" w:space="0" w:color="auto"/>
        <w:left w:val="none" w:sz="0" w:space="0" w:color="auto"/>
        <w:bottom w:val="none" w:sz="0" w:space="0" w:color="auto"/>
        <w:right w:val="none" w:sz="0" w:space="0" w:color="auto"/>
      </w:divBdr>
    </w:div>
    <w:div w:id="980229756">
      <w:bodyDiv w:val="1"/>
      <w:marLeft w:val="0"/>
      <w:marRight w:val="0"/>
      <w:marTop w:val="0"/>
      <w:marBottom w:val="0"/>
      <w:divBdr>
        <w:top w:val="none" w:sz="0" w:space="0" w:color="auto"/>
        <w:left w:val="none" w:sz="0" w:space="0" w:color="auto"/>
        <w:bottom w:val="none" w:sz="0" w:space="0" w:color="auto"/>
        <w:right w:val="none" w:sz="0" w:space="0" w:color="auto"/>
      </w:divBdr>
    </w:div>
    <w:div w:id="1037656900">
      <w:bodyDiv w:val="1"/>
      <w:marLeft w:val="0"/>
      <w:marRight w:val="0"/>
      <w:marTop w:val="0"/>
      <w:marBottom w:val="0"/>
      <w:divBdr>
        <w:top w:val="none" w:sz="0" w:space="0" w:color="auto"/>
        <w:left w:val="none" w:sz="0" w:space="0" w:color="auto"/>
        <w:bottom w:val="none" w:sz="0" w:space="0" w:color="auto"/>
        <w:right w:val="none" w:sz="0" w:space="0" w:color="auto"/>
      </w:divBdr>
    </w:div>
    <w:div w:id="1085735009">
      <w:bodyDiv w:val="1"/>
      <w:marLeft w:val="0"/>
      <w:marRight w:val="0"/>
      <w:marTop w:val="0"/>
      <w:marBottom w:val="0"/>
      <w:divBdr>
        <w:top w:val="none" w:sz="0" w:space="0" w:color="auto"/>
        <w:left w:val="none" w:sz="0" w:space="0" w:color="auto"/>
        <w:bottom w:val="none" w:sz="0" w:space="0" w:color="auto"/>
        <w:right w:val="none" w:sz="0" w:space="0" w:color="auto"/>
      </w:divBdr>
    </w:div>
    <w:div w:id="1179544717">
      <w:bodyDiv w:val="1"/>
      <w:marLeft w:val="0"/>
      <w:marRight w:val="0"/>
      <w:marTop w:val="0"/>
      <w:marBottom w:val="0"/>
      <w:divBdr>
        <w:top w:val="none" w:sz="0" w:space="0" w:color="auto"/>
        <w:left w:val="none" w:sz="0" w:space="0" w:color="auto"/>
        <w:bottom w:val="none" w:sz="0" w:space="0" w:color="auto"/>
        <w:right w:val="none" w:sz="0" w:space="0" w:color="auto"/>
      </w:divBdr>
    </w:div>
    <w:div w:id="1191575717">
      <w:bodyDiv w:val="1"/>
      <w:marLeft w:val="0"/>
      <w:marRight w:val="0"/>
      <w:marTop w:val="0"/>
      <w:marBottom w:val="0"/>
      <w:divBdr>
        <w:top w:val="none" w:sz="0" w:space="0" w:color="auto"/>
        <w:left w:val="none" w:sz="0" w:space="0" w:color="auto"/>
        <w:bottom w:val="none" w:sz="0" w:space="0" w:color="auto"/>
        <w:right w:val="none" w:sz="0" w:space="0" w:color="auto"/>
      </w:divBdr>
    </w:div>
    <w:div w:id="1234122973">
      <w:bodyDiv w:val="1"/>
      <w:marLeft w:val="0"/>
      <w:marRight w:val="0"/>
      <w:marTop w:val="0"/>
      <w:marBottom w:val="0"/>
      <w:divBdr>
        <w:top w:val="none" w:sz="0" w:space="0" w:color="auto"/>
        <w:left w:val="none" w:sz="0" w:space="0" w:color="auto"/>
        <w:bottom w:val="none" w:sz="0" w:space="0" w:color="auto"/>
        <w:right w:val="none" w:sz="0" w:space="0" w:color="auto"/>
      </w:divBdr>
    </w:div>
    <w:div w:id="1413433624">
      <w:bodyDiv w:val="1"/>
      <w:marLeft w:val="0"/>
      <w:marRight w:val="0"/>
      <w:marTop w:val="0"/>
      <w:marBottom w:val="0"/>
      <w:divBdr>
        <w:top w:val="none" w:sz="0" w:space="0" w:color="auto"/>
        <w:left w:val="none" w:sz="0" w:space="0" w:color="auto"/>
        <w:bottom w:val="none" w:sz="0" w:space="0" w:color="auto"/>
        <w:right w:val="none" w:sz="0" w:space="0" w:color="auto"/>
      </w:divBdr>
    </w:div>
    <w:div w:id="1535650410">
      <w:bodyDiv w:val="1"/>
      <w:marLeft w:val="0"/>
      <w:marRight w:val="0"/>
      <w:marTop w:val="0"/>
      <w:marBottom w:val="0"/>
      <w:divBdr>
        <w:top w:val="none" w:sz="0" w:space="0" w:color="auto"/>
        <w:left w:val="none" w:sz="0" w:space="0" w:color="auto"/>
        <w:bottom w:val="none" w:sz="0" w:space="0" w:color="auto"/>
        <w:right w:val="none" w:sz="0" w:space="0" w:color="auto"/>
      </w:divBdr>
    </w:div>
    <w:div w:id="1550263201">
      <w:bodyDiv w:val="1"/>
      <w:marLeft w:val="0"/>
      <w:marRight w:val="0"/>
      <w:marTop w:val="0"/>
      <w:marBottom w:val="0"/>
      <w:divBdr>
        <w:top w:val="none" w:sz="0" w:space="0" w:color="auto"/>
        <w:left w:val="none" w:sz="0" w:space="0" w:color="auto"/>
        <w:bottom w:val="none" w:sz="0" w:space="0" w:color="auto"/>
        <w:right w:val="none" w:sz="0" w:space="0" w:color="auto"/>
      </w:divBdr>
    </w:div>
    <w:div w:id="1637907130">
      <w:bodyDiv w:val="1"/>
      <w:marLeft w:val="0"/>
      <w:marRight w:val="0"/>
      <w:marTop w:val="0"/>
      <w:marBottom w:val="0"/>
      <w:divBdr>
        <w:top w:val="none" w:sz="0" w:space="0" w:color="auto"/>
        <w:left w:val="none" w:sz="0" w:space="0" w:color="auto"/>
        <w:bottom w:val="none" w:sz="0" w:space="0" w:color="auto"/>
        <w:right w:val="none" w:sz="0" w:space="0" w:color="auto"/>
      </w:divBdr>
    </w:div>
    <w:div w:id="1721242881">
      <w:bodyDiv w:val="1"/>
      <w:marLeft w:val="0"/>
      <w:marRight w:val="0"/>
      <w:marTop w:val="0"/>
      <w:marBottom w:val="0"/>
      <w:divBdr>
        <w:top w:val="none" w:sz="0" w:space="0" w:color="auto"/>
        <w:left w:val="none" w:sz="0" w:space="0" w:color="auto"/>
        <w:bottom w:val="none" w:sz="0" w:space="0" w:color="auto"/>
        <w:right w:val="none" w:sz="0" w:space="0" w:color="auto"/>
      </w:divBdr>
    </w:div>
    <w:div w:id="1747650563">
      <w:bodyDiv w:val="1"/>
      <w:marLeft w:val="0"/>
      <w:marRight w:val="0"/>
      <w:marTop w:val="0"/>
      <w:marBottom w:val="0"/>
      <w:divBdr>
        <w:top w:val="none" w:sz="0" w:space="0" w:color="auto"/>
        <w:left w:val="none" w:sz="0" w:space="0" w:color="auto"/>
        <w:bottom w:val="none" w:sz="0" w:space="0" w:color="auto"/>
        <w:right w:val="none" w:sz="0" w:space="0" w:color="auto"/>
      </w:divBdr>
    </w:div>
    <w:div w:id="207974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1170</Nr_x002e__x0020_akti>
    <Data_x0020_e_x0020_Krijimit xmlns="0e656187-b300-4fb0-8bf4-3a50f872073c">2021-02-01T08:38:43Z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2021-01-28T23:00:00Z</Date_x0020_protokolli>
    <Titulli xmlns="0e656187-b300-4fb0-8bf4-3a50f872073c">Për miratimin e rregullave të prokurimit në fushën e mbrojtjes dhe sigurisë</Titulli>
    <Modifikuesi xmlns="0e656187-b300-4fb0-8bf4-3a50f872073c">jorina.kryeziu</Modifikuesi>
    <Nr_x002e__x0020_prot_x0020_QBZ xmlns="0e656187-b300-4fb0-8bf4-3a50f872073c">172</Nr_x002e__x0020_prot_x0020_QBZ>
    <Data_x0020_e_x0020_Modifikimit xmlns="0e656187-b300-4fb0-8bf4-3a50f872073c">2021-02-02T08:39:30Z</Data_x0020_e_x0020_Modifikimit>
    <Dekretuar xmlns="0e656187-b300-4fb0-8bf4-3a50f872073c">false</Dekretuar>
    <Data xmlns="0e656187-b300-4fb0-8bf4-3a50f872073c">2020-12-23T23:00:00Z</Data>
    <Nr_x002e__x0020_protokolli_x0020_i_x0020_aktit xmlns="0e656187-b300-4fb0-8bf4-3a50f872073c">6122/1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7D7E227A1A34C01AA8317756901C6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7D7E227A1A34C01AA8317756901C6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F7A53-4DB4-46FC-A774-13F571FFEA7C}">
  <ds:schemaRefs>
    <ds:schemaRef ds:uri="0e656187-b300-4fb0-8bf4-3a50f872073c"/>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8E25C575-4A7C-4E0C-A8FB-692938A3B17F}">
  <ds:schemaRefs>
    <ds:schemaRef ds:uri="http://schemas.microsoft.com/sharepoint/v3/contenttype/forms"/>
  </ds:schemaRefs>
</ds:datastoreItem>
</file>

<file path=customXml/itemProps3.xml><?xml version="1.0" encoding="utf-8"?>
<ds:datastoreItem xmlns:ds="http://schemas.openxmlformats.org/officeDocument/2006/customXml" ds:itemID="{8FE11E37-4146-40E2-B3FF-828387571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5B0EB8B-D0C8-4E01-9717-F6E6058677F2}">
  <ds:schemaRefs>
    <ds:schemaRef ds:uri="http://schemas.microsoft.com/sharepoint/v3/contenttype/forms"/>
  </ds:schemaRefs>
</ds:datastoreItem>
</file>

<file path=customXml/itemProps5.xml><?xml version="1.0" encoding="utf-8"?>
<ds:datastoreItem xmlns:ds="http://schemas.openxmlformats.org/officeDocument/2006/customXml" ds:itemID="{C50FDF9B-3671-47F5-AF7B-06EDFEDE8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AEEBB04-B6D5-434F-9AA2-83E24F21AB0C}">
  <ds:schemaRefs>
    <ds:schemaRef ds:uri="http://schemas.openxmlformats.org/officeDocument/2006/bibliography"/>
  </ds:schemaRefs>
</ds:datastoreItem>
</file>

<file path=customXml/itemProps7.xml><?xml version="1.0" encoding="utf-8"?>
<ds:datastoreItem xmlns:ds="http://schemas.openxmlformats.org/officeDocument/2006/customXml" ds:itemID="{92E649B4-0D25-4C45-82BF-546E90EE6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30</Pages>
  <Words>13971</Words>
  <Characters>79636</Characters>
  <Application>Microsoft Office Word</Application>
  <DocSecurity>0</DocSecurity>
  <Lines>663</Lines>
  <Paragraphs>186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miratimin e rregullave të prokurimit në fushën e mbrojtjes dhe sigurisë</vt:lpstr>
      <vt:lpstr>Projektvendim</vt:lpstr>
    </vt:vector>
  </TitlesOfParts>
  <Company>Microsoft</Company>
  <LinksUpToDate>false</LinksUpToDate>
  <CharactersWithSpaces>93421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prokurimit në fushën e mbrojtjes dhe sigurisë</dc:title>
  <dc:creator>Ledion</dc:creator>
  <cp:lastModifiedBy>Amarilda Muja</cp:lastModifiedBy>
  <cp:revision>28</cp:revision>
  <cp:lastPrinted>2021-01-27T15:55:00Z</cp:lastPrinted>
  <dcterms:created xsi:type="dcterms:W3CDTF">2021-02-01T08:32:00Z</dcterms:created>
  <dcterms:modified xsi:type="dcterms:W3CDTF">2021-02-02T09:21:00Z</dcterms:modified>
</cp:coreProperties>
</file>