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3B7C2" w14:textId="77777777" w:rsidR="008B3748" w:rsidRPr="00EC6AB6" w:rsidRDefault="008B3748" w:rsidP="008B3748">
      <w:pPr>
        <w:spacing w:after="0" w:line="240" w:lineRule="auto"/>
        <w:ind w:firstLine="0"/>
        <w:jc w:val="center"/>
        <w:rPr>
          <w:rFonts w:ascii="Garamond" w:eastAsia="Times New Roman" w:hAnsi="Garamond"/>
          <w:b/>
          <w:sz w:val="24"/>
          <w:szCs w:val="24"/>
          <w:lang w:val="sq-AL"/>
        </w:rPr>
      </w:pPr>
      <w:bookmarkStart w:id="0" w:name="_Toc491954316"/>
      <w:bookmarkStart w:id="1" w:name="_Toc491861003"/>
      <w:bookmarkStart w:id="2" w:name="_Toc449351160"/>
      <w:r w:rsidRPr="00EC6AB6">
        <w:rPr>
          <w:rFonts w:ascii="Garamond" w:eastAsia="Times New Roman" w:hAnsi="Garamond"/>
          <w:b/>
          <w:sz w:val="24"/>
          <w:szCs w:val="24"/>
          <w:lang w:val="sq-AL"/>
        </w:rPr>
        <w:t>VENDIM</w:t>
      </w:r>
    </w:p>
    <w:p w14:paraId="4333B7C3" w14:textId="0CE2D78A" w:rsidR="008B3748" w:rsidRPr="00EC6AB6" w:rsidRDefault="008B3748" w:rsidP="008B3748">
      <w:pPr>
        <w:spacing w:after="0" w:line="240" w:lineRule="auto"/>
        <w:ind w:firstLine="0"/>
        <w:jc w:val="center"/>
        <w:rPr>
          <w:rFonts w:ascii="Garamond" w:eastAsia="Times New Roman" w:hAnsi="Garamond"/>
          <w:b/>
          <w:sz w:val="24"/>
          <w:szCs w:val="24"/>
          <w:lang w:val="sq-AL"/>
        </w:rPr>
      </w:pPr>
      <w:r w:rsidRPr="00EC6AB6">
        <w:rPr>
          <w:rFonts w:ascii="Garamond" w:eastAsia="Times New Roman" w:hAnsi="Garamond"/>
          <w:b/>
          <w:sz w:val="24"/>
          <w:szCs w:val="24"/>
          <w:lang w:val="sq-AL"/>
        </w:rPr>
        <w:t>Nr.</w:t>
      </w:r>
      <w:r w:rsidR="00AF3B42" w:rsidRPr="00EC6AB6">
        <w:rPr>
          <w:rFonts w:ascii="Garamond" w:eastAsia="Times New Roman" w:hAnsi="Garamond"/>
          <w:b/>
          <w:sz w:val="24"/>
          <w:szCs w:val="24"/>
          <w:lang w:val="sq-AL"/>
        </w:rPr>
        <w:t xml:space="preserve"> </w:t>
      </w:r>
      <w:r w:rsidRPr="00EC6AB6">
        <w:rPr>
          <w:rFonts w:ascii="Garamond" w:eastAsia="Times New Roman" w:hAnsi="Garamond"/>
          <w:b/>
          <w:sz w:val="24"/>
          <w:szCs w:val="24"/>
          <w:lang w:val="sq-AL"/>
        </w:rPr>
        <w:t>38, datë 27.1.2021</w:t>
      </w:r>
    </w:p>
    <w:p w14:paraId="4333B7C4" w14:textId="77777777" w:rsidR="008B3748" w:rsidRPr="00EC6AB6" w:rsidRDefault="008B3748" w:rsidP="008B3748">
      <w:pPr>
        <w:spacing w:after="0" w:line="240" w:lineRule="auto"/>
        <w:ind w:firstLine="0"/>
        <w:jc w:val="center"/>
        <w:rPr>
          <w:rFonts w:ascii="Garamond" w:eastAsia="Times New Roman" w:hAnsi="Garamond"/>
          <w:b/>
          <w:sz w:val="24"/>
          <w:szCs w:val="24"/>
          <w:lang w:val="sq-AL"/>
        </w:rPr>
      </w:pPr>
    </w:p>
    <w:p w14:paraId="4333B7C5" w14:textId="5A0D4168" w:rsidR="008B3748" w:rsidRPr="00EC6AB6" w:rsidRDefault="00F833AA" w:rsidP="008B3748">
      <w:pPr>
        <w:spacing w:after="0" w:line="240" w:lineRule="auto"/>
        <w:ind w:firstLine="0"/>
        <w:jc w:val="center"/>
        <w:rPr>
          <w:rFonts w:ascii="Garamond" w:eastAsia="Times New Roman" w:hAnsi="Garamond"/>
          <w:b/>
          <w:sz w:val="24"/>
          <w:szCs w:val="24"/>
          <w:lang w:val="sq-AL"/>
        </w:rPr>
      </w:pPr>
      <w:r w:rsidRPr="00EC6AB6">
        <w:rPr>
          <w:rFonts w:ascii="Garamond" w:eastAsia="Times New Roman" w:hAnsi="Garamond"/>
          <w:b/>
          <w:sz w:val="24"/>
          <w:szCs w:val="24"/>
          <w:lang w:val="sq-AL"/>
        </w:rPr>
        <w:t>PËR MIRATIMIN E STRATEGJISË AFATMESME TË MENAXHIMIT TË BORXHIT</w:t>
      </w:r>
      <w:r w:rsidR="00336B9B">
        <w:rPr>
          <w:rFonts w:ascii="Garamond" w:eastAsia="Times New Roman" w:hAnsi="Garamond"/>
          <w:b/>
          <w:sz w:val="24"/>
          <w:szCs w:val="24"/>
          <w:lang w:val="sq-AL"/>
        </w:rPr>
        <w:t>,</w:t>
      </w:r>
      <w:r w:rsidRPr="00EC6AB6">
        <w:rPr>
          <w:rFonts w:ascii="Garamond" w:eastAsia="Times New Roman" w:hAnsi="Garamond"/>
          <w:b/>
          <w:sz w:val="24"/>
          <w:szCs w:val="24"/>
          <w:lang w:val="sq-AL"/>
        </w:rPr>
        <w:t xml:space="preserve"> 2021</w:t>
      </w:r>
      <w:r w:rsidR="00AF3B42" w:rsidRPr="00EC6AB6">
        <w:rPr>
          <w:rFonts w:ascii="Garamond" w:eastAsia="Times New Roman" w:hAnsi="Garamond"/>
          <w:b/>
          <w:sz w:val="24"/>
          <w:szCs w:val="24"/>
          <w:lang w:val="sq-AL"/>
        </w:rPr>
        <w:t>–</w:t>
      </w:r>
      <w:r w:rsidRPr="00EC6AB6">
        <w:rPr>
          <w:rFonts w:ascii="Garamond" w:eastAsia="Times New Roman" w:hAnsi="Garamond"/>
          <w:b/>
          <w:sz w:val="24"/>
          <w:szCs w:val="24"/>
          <w:lang w:val="sq-AL"/>
        </w:rPr>
        <w:t>2023</w:t>
      </w:r>
    </w:p>
    <w:p w14:paraId="4333B7C6" w14:textId="77777777" w:rsidR="008B3748" w:rsidRPr="00EC6AB6" w:rsidRDefault="008B3748" w:rsidP="008B3748">
      <w:pPr>
        <w:spacing w:after="0" w:line="240" w:lineRule="auto"/>
        <w:rPr>
          <w:rFonts w:ascii="Garamond" w:eastAsia="Times New Roman" w:hAnsi="Garamond"/>
          <w:sz w:val="24"/>
          <w:szCs w:val="24"/>
          <w:lang w:val="sq-AL"/>
        </w:rPr>
      </w:pPr>
    </w:p>
    <w:p w14:paraId="4333B7C7" w14:textId="757385D2" w:rsidR="008B3748" w:rsidRPr="00EC6AB6" w:rsidRDefault="008B3748" w:rsidP="008B3748">
      <w:pPr>
        <w:spacing w:after="0" w:line="240" w:lineRule="auto"/>
        <w:rPr>
          <w:rFonts w:ascii="Garamond" w:eastAsia="Times New Roman" w:hAnsi="Garamond"/>
          <w:sz w:val="24"/>
          <w:szCs w:val="24"/>
          <w:lang w:val="sq-AL"/>
        </w:rPr>
      </w:pPr>
      <w:r w:rsidRPr="00EC6AB6">
        <w:rPr>
          <w:rFonts w:ascii="Garamond" w:eastAsia="Times New Roman" w:hAnsi="Garamond"/>
          <w:sz w:val="24"/>
          <w:szCs w:val="24"/>
          <w:lang w:val="sq-AL"/>
        </w:rPr>
        <w:t>Në mbështetje të nenit 100 të Kushtetutës dhe të nenit 6, të ligjit nr.</w:t>
      </w:r>
      <w:r w:rsidR="00AF3B42" w:rsidRPr="00EC6AB6">
        <w:rPr>
          <w:rFonts w:ascii="Garamond" w:eastAsia="Times New Roman" w:hAnsi="Garamond"/>
          <w:sz w:val="24"/>
          <w:szCs w:val="24"/>
          <w:lang w:val="sq-AL"/>
        </w:rPr>
        <w:t xml:space="preserve"> </w:t>
      </w:r>
      <w:r w:rsidRPr="00EC6AB6">
        <w:rPr>
          <w:rFonts w:ascii="Garamond" w:eastAsia="Times New Roman" w:hAnsi="Garamond"/>
          <w:sz w:val="24"/>
          <w:szCs w:val="24"/>
          <w:lang w:val="sq-AL"/>
        </w:rPr>
        <w:t>9665, datë 18.12.2006, “Për huamarrjen shtetërore, borxhin shtetëror dhe garancitë shtetërore të huas në Republikën e Shqipërisë”, të ndryshuar, me propozimin e ministrit të Financave dhe Ekonomisë, Këshilli i Ministrave</w:t>
      </w:r>
    </w:p>
    <w:p w14:paraId="4333B7C8" w14:textId="77777777" w:rsidR="00F833AA" w:rsidRPr="00EC6AB6" w:rsidRDefault="00F833AA" w:rsidP="008B3748">
      <w:pPr>
        <w:spacing w:after="0" w:line="240" w:lineRule="auto"/>
        <w:rPr>
          <w:rFonts w:ascii="Garamond" w:eastAsia="Times New Roman" w:hAnsi="Garamond"/>
          <w:sz w:val="24"/>
          <w:szCs w:val="24"/>
          <w:lang w:val="sq-AL"/>
        </w:rPr>
      </w:pPr>
    </w:p>
    <w:p w14:paraId="4333B7C9" w14:textId="77777777" w:rsidR="00F833AA" w:rsidRPr="00EC6AB6" w:rsidRDefault="00F833AA" w:rsidP="008B3748">
      <w:pPr>
        <w:spacing w:after="0" w:line="240" w:lineRule="auto"/>
        <w:ind w:firstLine="0"/>
        <w:jc w:val="center"/>
        <w:rPr>
          <w:rFonts w:ascii="Garamond" w:eastAsia="Times New Roman" w:hAnsi="Garamond"/>
          <w:sz w:val="24"/>
          <w:szCs w:val="24"/>
          <w:lang w:val="sq-AL"/>
        </w:rPr>
      </w:pPr>
      <w:r w:rsidRPr="00EC6AB6">
        <w:rPr>
          <w:rFonts w:ascii="Garamond" w:eastAsia="Times New Roman" w:hAnsi="Garamond"/>
          <w:sz w:val="24"/>
          <w:szCs w:val="24"/>
          <w:lang w:val="sq-AL"/>
        </w:rPr>
        <w:t>VENDOSI:</w:t>
      </w:r>
    </w:p>
    <w:p w14:paraId="4333B7CA" w14:textId="77777777" w:rsidR="00F833AA" w:rsidRPr="00EC6AB6" w:rsidRDefault="00F833AA" w:rsidP="008B3748">
      <w:pPr>
        <w:spacing w:after="0" w:line="240" w:lineRule="auto"/>
        <w:rPr>
          <w:rFonts w:ascii="Garamond" w:eastAsia="Times New Roman" w:hAnsi="Garamond"/>
          <w:sz w:val="24"/>
          <w:szCs w:val="24"/>
          <w:lang w:val="sq-AL"/>
        </w:rPr>
      </w:pPr>
    </w:p>
    <w:p w14:paraId="4333B7CB" w14:textId="49932B31" w:rsidR="008B3748" w:rsidRPr="00EC6AB6" w:rsidRDefault="008B3748" w:rsidP="008B3748">
      <w:pPr>
        <w:spacing w:after="0" w:line="240" w:lineRule="auto"/>
        <w:rPr>
          <w:rFonts w:ascii="Garamond" w:eastAsia="Times New Roman" w:hAnsi="Garamond"/>
          <w:sz w:val="24"/>
          <w:szCs w:val="24"/>
          <w:lang w:val="sq-AL"/>
        </w:rPr>
      </w:pPr>
      <w:r w:rsidRPr="00EC6AB6">
        <w:rPr>
          <w:rFonts w:ascii="Garamond" w:eastAsia="Times New Roman" w:hAnsi="Garamond"/>
          <w:sz w:val="24"/>
          <w:szCs w:val="24"/>
          <w:lang w:val="sq-AL"/>
        </w:rPr>
        <w:t>1. Miratimin e Strategjisë Afatmesme të Menaxhimit të Borxhit</w:t>
      </w:r>
      <w:r w:rsidR="00336B9B">
        <w:rPr>
          <w:rFonts w:ascii="Garamond" w:eastAsia="Times New Roman" w:hAnsi="Garamond"/>
          <w:sz w:val="24"/>
          <w:szCs w:val="24"/>
          <w:lang w:val="sq-AL"/>
        </w:rPr>
        <w:t>,</w:t>
      </w:r>
      <w:r w:rsidRPr="00EC6AB6">
        <w:rPr>
          <w:rFonts w:ascii="Garamond" w:eastAsia="Times New Roman" w:hAnsi="Garamond"/>
          <w:sz w:val="24"/>
          <w:szCs w:val="24"/>
          <w:lang w:val="sq-AL"/>
        </w:rPr>
        <w:t xml:space="preserve"> </w:t>
      </w:r>
      <w:r w:rsidR="008B6AF9" w:rsidRPr="00EC6AB6">
        <w:rPr>
          <w:rFonts w:ascii="Garamond" w:eastAsia="Times New Roman" w:hAnsi="Garamond"/>
          <w:sz w:val="24"/>
          <w:szCs w:val="24"/>
          <w:lang w:val="sq-AL"/>
        </w:rPr>
        <w:t>2021–2023</w:t>
      </w:r>
      <w:r w:rsidRPr="00EC6AB6">
        <w:rPr>
          <w:rFonts w:ascii="Garamond" w:eastAsia="Times New Roman" w:hAnsi="Garamond"/>
          <w:sz w:val="24"/>
          <w:szCs w:val="24"/>
          <w:lang w:val="sq-AL"/>
        </w:rPr>
        <w:t>, sipas tekstit bashkëlidhur këtij vendimi.</w:t>
      </w:r>
    </w:p>
    <w:p w14:paraId="4333B7CC" w14:textId="77777777" w:rsidR="008B3748" w:rsidRPr="00EC6AB6" w:rsidRDefault="008B3748" w:rsidP="008B3748">
      <w:pPr>
        <w:spacing w:after="0" w:line="240" w:lineRule="auto"/>
        <w:rPr>
          <w:rFonts w:ascii="Garamond" w:eastAsia="Times New Roman" w:hAnsi="Garamond"/>
          <w:sz w:val="24"/>
          <w:szCs w:val="24"/>
          <w:lang w:val="sq-AL"/>
        </w:rPr>
      </w:pPr>
      <w:r w:rsidRPr="00EC6AB6">
        <w:rPr>
          <w:rFonts w:ascii="Garamond" w:eastAsia="Times New Roman" w:hAnsi="Garamond"/>
          <w:sz w:val="24"/>
          <w:szCs w:val="24"/>
          <w:lang w:val="sq-AL"/>
        </w:rPr>
        <w:t>2. Ngarkohet Ministria e Financave dhe Ekonomisë për zbatimin e këtij vendimi.</w:t>
      </w:r>
    </w:p>
    <w:p w14:paraId="4333B7CD" w14:textId="77777777" w:rsidR="008B3748" w:rsidRPr="00EC6AB6" w:rsidRDefault="008B3748" w:rsidP="008B3748">
      <w:pPr>
        <w:spacing w:after="0" w:line="240" w:lineRule="auto"/>
        <w:rPr>
          <w:rFonts w:ascii="Garamond" w:eastAsia="Times New Roman" w:hAnsi="Garamond"/>
          <w:sz w:val="24"/>
          <w:szCs w:val="24"/>
          <w:lang w:val="sq-AL"/>
        </w:rPr>
      </w:pPr>
      <w:r w:rsidRPr="00EC6AB6">
        <w:rPr>
          <w:rFonts w:ascii="Garamond" w:eastAsia="Times New Roman" w:hAnsi="Garamond"/>
          <w:sz w:val="24"/>
          <w:szCs w:val="24"/>
          <w:lang w:val="sq-AL"/>
        </w:rPr>
        <w:t>Ky vendim hyn në fuqi pas botimit në Fletoren Zyrtare.</w:t>
      </w:r>
    </w:p>
    <w:p w14:paraId="4333B7CE" w14:textId="77777777" w:rsidR="008B3748" w:rsidRPr="00EC6AB6" w:rsidRDefault="008B3748" w:rsidP="008B3748">
      <w:pPr>
        <w:spacing w:after="0" w:line="240" w:lineRule="auto"/>
        <w:rPr>
          <w:rFonts w:ascii="Garamond" w:eastAsia="Times New Roman" w:hAnsi="Garamond"/>
          <w:sz w:val="24"/>
          <w:szCs w:val="24"/>
          <w:lang w:val="sq-AL"/>
        </w:rPr>
      </w:pPr>
    </w:p>
    <w:p w14:paraId="4333B7CF" w14:textId="6B2EEE77" w:rsidR="008B3748" w:rsidRPr="00EC6AB6" w:rsidRDefault="008B3748" w:rsidP="008B3748">
      <w:pPr>
        <w:spacing w:after="0" w:line="240" w:lineRule="auto"/>
        <w:jc w:val="right"/>
        <w:rPr>
          <w:rFonts w:ascii="Garamond" w:eastAsia="Times New Roman" w:hAnsi="Garamond"/>
          <w:sz w:val="24"/>
          <w:szCs w:val="24"/>
          <w:lang w:val="sq-AL"/>
        </w:rPr>
      </w:pPr>
      <w:r w:rsidRPr="00EC6AB6">
        <w:rPr>
          <w:rFonts w:ascii="Garamond" w:eastAsia="Times New Roman" w:hAnsi="Garamond"/>
          <w:sz w:val="24"/>
          <w:szCs w:val="24"/>
          <w:lang w:val="sq-AL"/>
        </w:rPr>
        <w:t>KRYEMINIST</w:t>
      </w:r>
      <w:r w:rsidR="00AF3B42" w:rsidRPr="00EC6AB6">
        <w:rPr>
          <w:rFonts w:ascii="Garamond" w:eastAsia="Times New Roman" w:hAnsi="Garamond"/>
          <w:sz w:val="24"/>
          <w:szCs w:val="24"/>
          <w:lang w:val="sq-AL"/>
        </w:rPr>
        <w:t>Ë</w:t>
      </w:r>
      <w:r w:rsidRPr="00EC6AB6">
        <w:rPr>
          <w:rFonts w:ascii="Garamond" w:eastAsia="Times New Roman" w:hAnsi="Garamond"/>
          <w:sz w:val="24"/>
          <w:szCs w:val="24"/>
          <w:lang w:val="sq-AL"/>
        </w:rPr>
        <w:t>R</w:t>
      </w:r>
    </w:p>
    <w:p w14:paraId="4333B7D0" w14:textId="77777777" w:rsidR="008B3748" w:rsidRPr="00EC6AB6" w:rsidRDefault="008B3748" w:rsidP="008B3748">
      <w:pPr>
        <w:spacing w:after="0" w:line="240" w:lineRule="auto"/>
        <w:jc w:val="right"/>
        <w:rPr>
          <w:rFonts w:ascii="Garamond" w:eastAsia="Times New Roman" w:hAnsi="Garamond"/>
          <w:b/>
          <w:sz w:val="24"/>
          <w:szCs w:val="24"/>
          <w:lang w:val="sq-AL"/>
        </w:rPr>
      </w:pPr>
      <w:r w:rsidRPr="00EC6AB6">
        <w:rPr>
          <w:rFonts w:ascii="Garamond" w:eastAsia="Times New Roman" w:hAnsi="Garamond"/>
          <w:b/>
          <w:sz w:val="24"/>
          <w:szCs w:val="24"/>
          <w:lang w:val="sq-AL"/>
        </w:rPr>
        <w:t>Edi Rama</w:t>
      </w:r>
    </w:p>
    <w:p w14:paraId="4333B7D1" w14:textId="77777777" w:rsidR="008B3748" w:rsidRPr="00EC6AB6" w:rsidRDefault="008B3748" w:rsidP="008B3748">
      <w:pPr>
        <w:spacing w:after="0" w:line="240" w:lineRule="auto"/>
        <w:rPr>
          <w:rFonts w:ascii="Garamond" w:hAnsi="Garamond"/>
          <w:sz w:val="24"/>
          <w:szCs w:val="24"/>
          <w:lang w:val="sq-AL"/>
        </w:rPr>
      </w:pPr>
    </w:p>
    <w:p w14:paraId="4333B7D4" w14:textId="689A71C7" w:rsidR="008B3748" w:rsidRPr="00EC6AB6" w:rsidRDefault="008B3748" w:rsidP="008B3748">
      <w:pPr>
        <w:spacing w:after="0" w:line="240" w:lineRule="auto"/>
        <w:ind w:firstLine="0"/>
        <w:jc w:val="center"/>
        <w:rPr>
          <w:rFonts w:ascii="Garamond" w:hAnsi="Garamond"/>
          <w:sz w:val="24"/>
          <w:szCs w:val="24"/>
          <w:lang w:val="sq-AL"/>
        </w:rPr>
      </w:pPr>
      <w:r w:rsidRPr="00EC6AB6">
        <w:rPr>
          <w:rFonts w:ascii="Garamond" w:hAnsi="Garamond"/>
          <w:b/>
          <w:sz w:val="24"/>
          <w:szCs w:val="24"/>
          <w:lang w:val="sq-AL"/>
        </w:rPr>
        <w:t>STRATEGJIA AFATMESME</w:t>
      </w:r>
      <w:r w:rsidR="00AF3B42" w:rsidRPr="00EC6AB6">
        <w:rPr>
          <w:rFonts w:ascii="Garamond" w:hAnsi="Garamond"/>
          <w:b/>
          <w:sz w:val="24"/>
          <w:szCs w:val="24"/>
          <w:lang w:val="sq-AL"/>
        </w:rPr>
        <w:t xml:space="preserve"> </w:t>
      </w:r>
      <w:r w:rsidRPr="00EC6AB6">
        <w:rPr>
          <w:rFonts w:ascii="Garamond" w:hAnsi="Garamond"/>
          <w:b/>
          <w:sz w:val="24"/>
          <w:szCs w:val="24"/>
          <w:lang w:val="sq-AL"/>
        </w:rPr>
        <w:t>E</w:t>
      </w:r>
      <w:r w:rsidR="001A5AB2" w:rsidRPr="00EC6AB6">
        <w:rPr>
          <w:rFonts w:ascii="Garamond" w:hAnsi="Garamond"/>
          <w:b/>
          <w:sz w:val="24"/>
          <w:szCs w:val="24"/>
          <w:lang w:val="sq-AL"/>
        </w:rPr>
        <w:t xml:space="preserve"> </w:t>
      </w:r>
      <w:r w:rsidRPr="00EC6AB6">
        <w:rPr>
          <w:rFonts w:ascii="Garamond" w:hAnsi="Garamond"/>
          <w:b/>
          <w:sz w:val="24"/>
          <w:szCs w:val="24"/>
          <w:lang w:val="sq-AL"/>
        </w:rPr>
        <w:t>MENAXHIMIT TË BORXHIT</w:t>
      </w:r>
    </w:p>
    <w:p w14:paraId="4333B7D5" w14:textId="4512387B" w:rsidR="008B3748" w:rsidRPr="00336B9B" w:rsidRDefault="008B3748" w:rsidP="008B3748">
      <w:pPr>
        <w:spacing w:after="0" w:line="240" w:lineRule="auto"/>
        <w:ind w:firstLine="0"/>
        <w:jc w:val="center"/>
        <w:rPr>
          <w:rFonts w:ascii="Garamond" w:hAnsi="Garamond"/>
          <w:b/>
          <w:sz w:val="24"/>
          <w:szCs w:val="24"/>
          <w:lang w:val="sq-AL"/>
        </w:rPr>
      </w:pPr>
      <w:r w:rsidRPr="00336B9B">
        <w:rPr>
          <w:rFonts w:ascii="Garamond" w:hAnsi="Garamond"/>
          <w:b/>
          <w:sz w:val="24"/>
          <w:szCs w:val="24"/>
          <w:lang w:val="sq-AL"/>
        </w:rPr>
        <w:t>2021</w:t>
      </w:r>
      <w:r w:rsidR="001A5AB2" w:rsidRPr="00336B9B">
        <w:rPr>
          <w:rFonts w:ascii="Garamond" w:hAnsi="Garamond"/>
          <w:b/>
          <w:sz w:val="24"/>
          <w:szCs w:val="24"/>
          <w:lang w:val="sq-AL"/>
        </w:rPr>
        <w:t>–</w:t>
      </w:r>
      <w:r w:rsidRPr="00336B9B">
        <w:rPr>
          <w:rFonts w:ascii="Garamond" w:hAnsi="Garamond"/>
          <w:b/>
          <w:sz w:val="24"/>
          <w:szCs w:val="24"/>
          <w:lang w:val="sq-AL"/>
        </w:rPr>
        <w:t>2023</w:t>
      </w:r>
    </w:p>
    <w:p w14:paraId="4333B7D7" w14:textId="37C276CA" w:rsidR="008B3748" w:rsidRPr="00EC6AB6" w:rsidRDefault="00751044" w:rsidP="008B3748">
      <w:pPr>
        <w:spacing w:after="0" w:line="240" w:lineRule="auto"/>
        <w:ind w:firstLine="0"/>
        <w:jc w:val="center"/>
        <w:rPr>
          <w:rFonts w:ascii="Garamond" w:hAnsi="Garamond"/>
          <w:sz w:val="24"/>
          <w:szCs w:val="24"/>
          <w:lang w:val="sq-AL"/>
        </w:rPr>
      </w:pPr>
      <w:r w:rsidRPr="00EC6AB6">
        <w:rPr>
          <w:rFonts w:ascii="Garamond" w:hAnsi="Garamond"/>
          <w:sz w:val="24"/>
          <w:szCs w:val="24"/>
          <w:lang w:val="sq-AL"/>
        </w:rPr>
        <w:t xml:space="preserve">Janar </w:t>
      </w:r>
      <w:r w:rsidR="008B3748" w:rsidRPr="00EC6AB6">
        <w:rPr>
          <w:rFonts w:ascii="Garamond" w:hAnsi="Garamond"/>
          <w:sz w:val="24"/>
          <w:szCs w:val="24"/>
          <w:lang w:val="sq-AL"/>
        </w:rPr>
        <w:t>2021</w:t>
      </w:r>
    </w:p>
    <w:p w14:paraId="4333B7D8" w14:textId="77777777" w:rsidR="008B3748" w:rsidRPr="00EC6AB6" w:rsidRDefault="008B3748" w:rsidP="008B3748">
      <w:pPr>
        <w:spacing w:after="0" w:line="240" w:lineRule="auto"/>
        <w:rPr>
          <w:rFonts w:ascii="Garamond" w:hAnsi="Garamond"/>
          <w:sz w:val="24"/>
          <w:szCs w:val="24"/>
          <w:lang w:val="sq-AL"/>
        </w:rPr>
      </w:pPr>
    </w:p>
    <w:p w14:paraId="4333B7D9"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PËRMBAJTJA</w:t>
      </w:r>
    </w:p>
    <w:p w14:paraId="4333B7DA" w14:textId="7777777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PËRMBLEDHJE</w:t>
      </w:r>
      <w:r w:rsidRPr="00EC6AB6">
        <w:rPr>
          <w:rFonts w:ascii="Garamond" w:hAnsi="Garamond"/>
          <w:sz w:val="24"/>
          <w:szCs w:val="24"/>
          <w:lang w:val="sq-AL"/>
        </w:rPr>
        <w:tab/>
      </w:r>
    </w:p>
    <w:p w14:paraId="4333B7DB" w14:textId="7777777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MENAXHIMI I BORXHIT</w:t>
      </w:r>
      <w:r w:rsidRPr="00EC6AB6">
        <w:rPr>
          <w:rFonts w:ascii="Garamond" w:hAnsi="Garamond"/>
          <w:sz w:val="24"/>
          <w:szCs w:val="24"/>
          <w:lang w:val="sq-AL"/>
        </w:rPr>
        <w:tab/>
      </w:r>
    </w:p>
    <w:p w14:paraId="4333B7DC" w14:textId="7777777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I.</w:t>
      </w:r>
      <w:r w:rsidRPr="00EC6AB6">
        <w:rPr>
          <w:rFonts w:ascii="Garamond" w:hAnsi="Garamond"/>
          <w:sz w:val="24"/>
          <w:szCs w:val="24"/>
          <w:lang w:val="sq-AL"/>
        </w:rPr>
        <w:tab/>
        <w:t>SITUATA E BORXHIT TË QEVERISJES QENDRORE</w:t>
      </w:r>
      <w:r w:rsidRPr="00EC6AB6">
        <w:rPr>
          <w:rFonts w:ascii="Garamond" w:hAnsi="Garamond"/>
          <w:sz w:val="24"/>
          <w:szCs w:val="24"/>
          <w:lang w:val="sq-AL"/>
        </w:rPr>
        <w:tab/>
      </w:r>
    </w:p>
    <w:p w14:paraId="4333B7DD" w14:textId="361CBFA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w:t>
      </w:r>
      <w:r w:rsidRPr="00EC6AB6">
        <w:rPr>
          <w:rFonts w:ascii="Garamond" w:hAnsi="Garamond"/>
          <w:sz w:val="24"/>
          <w:szCs w:val="24"/>
          <w:lang w:val="sq-AL"/>
        </w:rPr>
        <w:tab/>
        <w:t xml:space="preserve">Ecuria e </w:t>
      </w:r>
      <w:r w:rsidR="00AF3B42" w:rsidRPr="00EC6AB6">
        <w:rPr>
          <w:rFonts w:ascii="Garamond" w:hAnsi="Garamond"/>
          <w:sz w:val="24"/>
          <w:szCs w:val="24"/>
          <w:lang w:val="sq-AL"/>
        </w:rPr>
        <w:t>borxhit të qeverisjes qendrore</w:t>
      </w:r>
      <w:r w:rsidRPr="00EC6AB6">
        <w:rPr>
          <w:rFonts w:ascii="Garamond" w:hAnsi="Garamond"/>
          <w:sz w:val="24"/>
          <w:szCs w:val="24"/>
          <w:lang w:val="sq-AL"/>
        </w:rPr>
        <w:tab/>
      </w:r>
    </w:p>
    <w:p w14:paraId="4333B7DE" w14:textId="1BEA63D9"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w:t>
      </w:r>
      <w:r w:rsidRPr="00EC6AB6">
        <w:rPr>
          <w:rFonts w:ascii="Garamond" w:hAnsi="Garamond"/>
          <w:sz w:val="24"/>
          <w:szCs w:val="24"/>
          <w:lang w:val="sq-AL"/>
        </w:rPr>
        <w:tab/>
        <w:t xml:space="preserve">Realizimi i </w:t>
      </w:r>
      <w:r w:rsidR="00AF3B42" w:rsidRPr="00EC6AB6">
        <w:rPr>
          <w:rFonts w:ascii="Garamond" w:hAnsi="Garamond"/>
          <w:sz w:val="24"/>
          <w:szCs w:val="24"/>
          <w:lang w:val="sq-AL"/>
        </w:rPr>
        <w:t>huamarrjes</w:t>
      </w:r>
      <w:r w:rsidRPr="00EC6AB6">
        <w:rPr>
          <w:rFonts w:ascii="Garamond" w:hAnsi="Garamond"/>
          <w:sz w:val="24"/>
          <w:szCs w:val="24"/>
          <w:lang w:val="sq-AL"/>
        </w:rPr>
        <w:tab/>
      </w:r>
    </w:p>
    <w:p w14:paraId="4333B7DF" w14:textId="5AF888B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2.1</w:t>
      </w:r>
      <w:r w:rsidR="00F31626" w:rsidRPr="00EC6AB6">
        <w:rPr>
          <w:rFonts w:ascii="Garamond" w:hAnsi="Garamond"/>
          <w:sz w:val="24"/>
          <w:szCs w:val="24"/>
          <w:lang w:val="sq-AL"/>
        </w:rPr>
        <w:t xml:space="preserve"> </w:t>
      </w:r>
      <w:r w:rsidRPr="00EC6AB6">
        <w:rPr>
          <w:rFonts w:ascii="Garamond" w:hAnsi="Garamond"/>
          <w:sz w:val="24"/>
          <w:szCs w:val="24"/>
          <w:lang w:val="sq-AL"/>
        </w:rPr>
        <w:t>H</w:t>
      </w:r>
      <w:r w:rsidR="00F31626" w:rsidRPr="00EC6AB6">
        <w:rPr>
          <w:rFonts w:ascii="Garamond" w:hAnsi="Garamond"/>
          <w:sz w:val="24"/>
          <w:szCs w:val="24"/>
          <w:lang w:val="sq-AL"/>
        </w:rPr>
        <w:t xml:space="preserve">uamarrja e </w:t>
      </w:r>
      <w:r w:rsidR="00AF3B42" w:rsidRPr="00EC6AB6">
        <w:rPr>
          <w:rFonts w:ascii="Garamond" w:hAnsi="Garamond"/>
          <w:sz w:val="24"/>
          <w:szCs w:val="24"/>
          <w:lang w:val="sq-AL"/>
        </w:rPr>
        <w:t>brendshme</w:t>
      </w:r>
    </w:p>
    <w:p w14:paraId="4333B7E0" w14:textId="38B5888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2.2</w:t>
      </w:r>
      <w:r w:rsidR="002A3781" w:rsidRPr="00EC6AB6">
        <w:rPr>
          <w:rFonts w:ascii="Garamond" w:hAnsi="Garamond"/>
          <w:sz w:val="24"/>
          <w:szCs w:val="24"/>
          <w:lang w:val="sq-AL"/>
        </w:rPr>
        <w:t xml:space="preserve"> </w:t>
      </w:r>
      <w:r w:rsidRPr="00EC6AB6">
        <w:rPr>
          <w:rFonts w:ascii="Garamond" w:hAnsi="Garamond"/>
          <w:sz w:val="24"/>
          <w:szCs w:val="24"/>
          <w:lang w:val="sq-AL"/>
        </w:rPr>
        <w:t xml:space="preserve">Huamarrja e </w:t>
      </w:r>
      <w:r w:rsidR="00AF3B42" w:rsidRPr="00EC6AB6">
        <w:rPr>
          <w:rFonts w:ascii="Garamond" w:hAnsi="Garamond"/>
          <w:sz w:val="24"/>
          <w:szCs w:val="24"/>
          <w:lang w:val="sq-AL"/>
        </w:rPr>
        <w:t>huaj</w:t>
      </w:r>
    </w:p>
    <w:p w14:paraId="4333B7E1" w14:textId="6DD01E38"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3.</w:t>
      </w:r>
      <w:r w:rsidRPr="00EC6AB6">
        <w:rPr>
          <w:rFonts w:ascii="Garamond" w:hAnsi="Garamond"/>
          <w:sz w:val="24"/>
          <w:szCs w:val="24"/>
          <w:lang w:val="sq-AL"/>
        </w:rPr>
        <w:tab/>
        <w:t xml:space="preserve">Portofoli i </w:t>
      </w:r>
      <w:r w:rsidR="00AF3B42" w:rsidRPr="00EC6AB6">
        <w:rPr>
          <w:rFonts w:ascii="Garamond" w:hAnsi="Garamond"/>
          <w:sz w:val="24"/>
          <w:szCs w:val="24"/>
          <w:lang w:val="sq-AL"/>
        </w:rPr>
        <w:t>borxhit shtetëror</w:t>
      </w:r>
      <w:r w:rsidRPr="00EC6AB6">
        <w:rPr>
          <w:rFonts w:ascii="Garamond" w:hAnsi="Garamond"/>
          <w:sz w:val="24"/>
          <w:szCs w:val="24"/>
          <w:lang w:val="sq-AL"/>
        </w:rPr>
        <w:tab/>
      </w:r>
    </w:p>
    <w:p w14:paraId="4333B7E2" w14:textId="57B39BEA"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4.</w:t>
      </w:r>
      <w:r w:rsidRPr="00EC6AB6">
        <w:rPr>
          <w:rFonts w:ascii="Garamond" w:hAnsi="Garamond"/>
          <w:sz w:val="24"/>
          <w:szCs w:val="24"/>
          <w:lang w:val="sq-AL"/>
        </w:rPr>
        <w:tab/>
        <w:t xml:space="preserve">Portofoli i </w:t>
      </w:r>
      <w:r w:rsidR="00AF3B42" w:rsidRPr="00EC6AB6">
        <w:rPr>
          <w:rFonts w:ascii="Garamond" w:hAnsi="Garamond"/>
          <w:sz w:val="24"/>
          <w:szCs w:val="24"/>
          <w:lang w:val="sq-AL"/>
        </w:rPr>
        <w:t>borxhit shtetëror të garantuar</w:t>
      </w:r>
      <w:r w:rsidR="00AF3B42" w:rsidRPr="00EC6AB6">
        <w:rPr>
          <w:rFonts w:ascii="Garamond" w:hAnsi="Garamond"/>
          <w:sz w:val="24"/>
          <w:szCs w:val="24"/>
          <w:lang w:val="sq-AL"/>
        </w:rPr>
        <w:tab/>
      </w:r>
    </w:p>
    <w:p w14:paraId="4333B7E3" w14:textId="58F05528"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5.</w:t>
      </w:r>
      <w:r w:rsidRPr="00EC6AB6">
        <w:rPr>
          <w:rFonts w:ascii="Garamond" w:hAnsi="Garamond"/>
          <w:sz w:val="24"/>
          <w:szCs w:val="24"/>
          <w:lang w:val="sq-AL"/>
        </w:rPr>
        <w:tab/>
        <w:t xml:space="preserve">Menaxhimi i </w:t>
      </w:r>
      <w:r w:rsidR="002A3781" w:rsidRPr="00EC6AB6">
        <w:rPr>
          <w:rFonts w:ascii="Garamond" w:hAnsi="Garamond"/>
          <w:sz w:val="24"/>
          <w:szCs w:val="24"/>
          <w:lang w:val="sq-AL"/>
        </w:rPr>
        <w:t>kostove dhe i risqeve</w:t>
      </w:r>
      <w:r w:rsidRPr="00EC6AB6">
        <w:rPr>
          <w:rFonts w:ascii="Garamond" w:hAnsi="Garamond"/>
          <w:sz w:val="24"/>
          <w:szCs w:val="24"/>
          <w:lang w:val="sq-AL"/>
        </w:rPr>
        <w:tab/>
      </w:r>
    </w:p>
    <w:p w14:paraId="4333B7E4" w14:textId="2608BD15"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5.1</w:t>
      </w:r>
      <w:r w:rsidR="001A5AB2" w:rsidRPr="00EC6AB6">
        <w:rPr>
          <w:rFonts w:ascii="Garamond" w:hAnsi="Garamond"/>
          <w:sz w:val="24"/>
          <w:szCs w:val="24"/>
          <w:lang w:val="sq-AL"/>
        </w:rPr>
        <w:t xml:space="preserve"> </w:t>
      </w:r>
      <w:r w:rsidRPr="00EC6AB6">
        <w:rPr>
          <w:rFonts w:ascii="Garamond" w:hAnsi="Garamond"/>
          <w:sz w:val="24"/>
          <w:szCs w:val="24"/>
          <w:lang w:val="sq-AL"/>
        </w:rPr>
        <w:t>Kostot</w:t>
      </w:r>
    </w:p>
    <w:p w14:paraId="4333B7E5" w14:textId="6CCD963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5.2</w:t>
      </w:r>
      <w:r w:rsidR="001A5AB2" w:rsidRPr="00EC6AB6">
        <w:rPr>
          <w:rFonts w:ascii="Garamond" w:hAnsi="Garamond"/>
          <w:sz w:val="24"/>
          <w:szCs w:val="24"/>
          <w:lang w:val="sq-AL"/>
        </w:rPr>
        <w:t xml:space="preserve"> </w:t>
      </w:r>
      <w:r w:rsidRPr="00EC6AB6">
        <w:rPr>
          <w:rFonts w:ascii="Garamond" w:hAnsi="Garamond"/>
          <w:sz w:val="24"/>
          <w:szCs w:val="24"/>
          <w:lang w:val="sq-AL"/>
        </w:rPr>
        <w:t>Risqet</w:t>
      </w:r>
    </w:p>
    <w:p w14:paraId="4333B7E6" w14:textId="1759E5A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6.</w:t>
      </w:r>
      <w:r w:rsidRPr="00EC6AB6">
        <w:rPr>
          <w:rFonts w:ascii="Garamond" w:hAnsi="Garamond"/>
          <w:sz w:val="24"/>
          <w:szCs w:val="24"/>
          <w:lang w:val="sq-AL"/>
        </w:rPr>
        <w:tab/>
        <w:t xml:space="preserve">Zhvillimet e </w:t>
      </w:r>
      <w:r w:rsidR="002A3781" w:rsidRPr="00EC6AB6">
        <w:rPr>
          <w:rFonts w:ascii="Garamond" w:hAnsi="Garamond"/>
          <w:sz w:val="24"/>
          <w:szCs w:val="24"/>
          <w:lang w:val="sq-AL"/>
        </w:rPr>
        <w:t>tregut primar të titujve shtetërorë</w:t>
      </w:r>
      <w:r w:rsidRPr="00EC6AB6">
        <w:rPr>
          <w:rFonts w:ascii="Garamond" w:hAnsi="Garamond"/>
          <w:sz w:val="24"/>
          <w:szCs w:val="24"/>
          <w:lang w:val="sq-AL"/>
        </w:rPr>
        <w:tab/>
      </w:r>
    </w:p>
    <w:p w14:paraId="4333B7E7" w14:textId="4327E6C9"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6.1</w:t>
      </w:r>
      <w:r w:rsidR="001A5AB2" w:rsidRPr="00EC6AB6">
        <w:rPr>
          <w:rFonts w:ascii="Garamond" w:hAnsi="Garamond"/>
          <w:sz w:val="24"/>
          <w:szCs w:val="24"/>
          <w:lang w:val="sq-AL"/>
        </w:rPr>
        <w:t xml:space="preserve"> </w:t>
      </w:r>
      <w:r w:rsidRPr="00EC6AB6">
        <w:rPr>
          <w:rFonts w:ascii="Garamond" w:hAnsi="Garamond"/>
          <w:sz w:val="24"/>
          <w:szCs w:val="24"/>
          <w:lang w:val="sq-AL"/>
        </w:rPr>
        <w:t>Ecuria e ankandeve dhe kërkesa për tituj shtetërorë</w:t>
      </w:r>
    </w:p>
    <w:p w14:paraId="4333B7E8" w14:textId="3433D2BA"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6.2</w:t>
      </w:r>
      <w:r w:rsidR="001A5AB2" w:rsidRPr="00EC6AB6">
        <w:rPr>
          <w:rFonts w:ascii="Garamond" w:hAnsi="Garamond"/>
          <w:sz w:val="24"/>
          <w:szCs w:val="24"/>
          <w:lang w:val="sq-AL"/>
        </w:rPr>
        <w:t xml:space="preserve"> </w:t>
      </w:r>
      <w:r w:rsidRPr="00EC6AB6">
        <w:rPr>
          <w:rFonts w:ascii="Garamond" w:hAnsi="Garamond"/>
          <w:sz w:val="24"/>
          <w:szCs w:val="24"/>
          <w:lang w:val="sq-AL"/>
        </w:rPr>
        <w:t>Ecuria e normave të interesit</w:t>
      </w:r>
    </w:p>
    <w:p w14:paraId="4333B7E9" w14:textId="7777777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II.</w:t>
      </w:r>
      <w:r w:rsidRPr="00EC6AB6">
        <w:rPr>
          <w:rFonts w:ascii="Garamond" w:hAnsi="Garamond"/>
          <w:sz w:val="24"/>
          <w:szCs w:val="24"/>
          <w:lang w:val="sq-AL"/>
        </w:rPr>
        <w:tab/>
        <w:t>STRATEGJIA E MENAXHIMIT TË BORXHIT</w:t>
      </w:r>
      <w:r w:rsidRPr="00EC6AB6">
        <w:rPr>
          <w:rFonts w:ascii="Garamond" w:hAnsi="Garamond"/>
          <w:sz w:val="24"/>
          <w:szCs w:val="24"/>
          <w:lang w:val="sq-AL"/>
        </w:rPr>
        <w:tab/>
      </w:r>
    </w:p>
    <w:p w14:paraId="4333B7EA" w14:textId="2ACD356E"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w:t>
      </w:r>
      <w:r w:rsidRPr="00EC6AB6">
        <w:rPr>
          <w:rFonts w:ascii="Garamond" w:hAnsi="Garamond"/>
          <w:sz w:val="24"/>
          <w:szCs w:val="24"/>
          <w:lang w:val="sq-AL"/>
        </w:rPr>
        <w:tab/>
        <w:t xml:space="preserve">Supozimet </w:t>
      </w:r>
      <w:r w:rsidR="00AF3B42" w:rsidRPr="00EC6AB6">
        <w:rPr>
          <w:rFonts w:ascii="Garamond" w:hAnsi="Garamond"/>
          <w:sz w:val="24"/>
          <w:szCs w:val="24"/>
          <w:lang w:val="sq-AL"/>
        </w:rPr>
        <w:t>bazë</w:t>
      </w:r>
      <w:r w:rsidRPr="00EC6AB6">
        <w:rPr>
          <w:rFonts w:ascii="Garamond" w:hAnsi="Garamond"/>
          <w:sz w:val="24"/>
          <w:szCs w:val="24"/>
          <w:lang w:val="sq-AL"/>
        </w:rPr>
        <w:tab/>
      </w:r>
    </w:p>
    <w:p w14:paraId="4333B7EB" w14:textId="0FF1396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1.1</w:t>
      </w:r>
      <w:r w:rsidR="001A5AB2" w:rsidRPr="00EC6AB6">
        <w:rPr>
          <w:rFonts w:ascii="Garamond" w:hAnsi="Garamond"/>
          <w:sz w:val="24"/>
          <w:szCs w:val="24"/>
          <w:lang w:val="sq-AL"/>
        </w:rPr>
        <w:t xml:space="preserve"> </w:t>
      </w:r>
      <w:r w:rsidRPr="00EC6AB6">
        <w:rPr>
          <w:rFonts w:ascii="Garamond" w:hAnsi="Garamond"/>
          <w:sz w:val="24"/>
          <w:szCs w:val="24"/>
          <w:lang w:val="sq-AL"/>
        </w:rPr>
        <w:t>Zhvillimet aktuale dhe pritshmëritë në sektorin real, sektorin e jashtëm, atë financiar dhe sektorin fiskal</w:t>
      </w:r>
    </w:p>
    <w:p w14:paraId="4333B7EC" w14:textId="5D4A8C3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1.2</w:t>
      </w:r>
      <w:r w:rsidR="001A5AB2" w:rsidRPr="00EC6AB6">
        <w:rPr>
          <w:rFonts w:ascii="Garamond" w:hAnsi="Garamond"/>
          <w:sz w:val="24"/>
          <w:szCs w:val="24"/>
          <w:lang w:val="sq-AL"/>
        </w:rPr>
        <w:t xml:space="preserve"> </w:t>
      </w:r>
      <w:r w:rsidRPr="00EC6AB6">
        <w:rPr>
          <w:rFonts w:ascii="Garamond" w:hAnsi="Garamond"/>
          <w:sz w:val="24"/>
          <w:szCs w:val="24"/>
          <w:lang w:val="sq-AL"/>
        </w:rPr>
        <w:t>Vlerësime referuar borxhit ekzistues, tregjeve të instrumenteve financiare dhe faktorëve makroekonomikë</w:t>
      </w:r>
    </w:p>
    <w:p w14:paraId="4333B7ED" w14:textId="47A6990E"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1.3</w:t>
      </w:r>
      <w:r w:rsidR="001A5AB2" w:rsidRPr="00EC6AB6">
        <w:rPr>
          <w:rFonts w:ascii="Garamond" w:hAnsi="Garamond"/>
          <w:sz w:val="24"/>
          <w:szCs w:val="24"/>
          <w:lang w:val="sq-AL"/>
        </w:rPr>
        <w:t xml:space="preserve"> </w:t>
      </w:r>
      <w:r w:rsidRPr="00EC6AB6">
        <w:rPr>
          <w:rFonts w:ascii="Garamond" w:hAnsi="Garamond"/>
          <w:sz w:val="24"/>
          <w:szCs w:val="24"/>
          <w:lang w:val="sq-AL"/>
        </w:rPr>
        <w:t>Burimet e financimit</w:t>
      </w:r>
    </w:p>
    <w:p w14:paraId="4333B7EE" w14:textId="1ABFB59A"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1.3.1</w:t>
      </w:r>
      <w:r w:rsidR="001A5AB2" w:rsidRPr="00EC6AB6">
        <w:rPr>
          <w:rFonts w:ascii="Garamond" w:hAnsi="Garamond"/>
          <w:sz w:val="24"/>
          <w:szCs w:val="24"/>
          <w:lang w:val="sq-AL"/>
        </w:rPr>
        <w:t xml:space="preserve"> </w:t>
      </w:r>
      <w:r w:rsidRPr="00EC6AB6">
        <w:rPr>
          <w:rFonts w:ascii="Garamond" w:hAnsi="Garamond"/>
          <w:sz w:val="24"/>
          <w:szCs w:val="24"/>
          <w:lang w:val="sq-AL"/>
        </w:rPr>
        <w:t>Burimet e brendshme</w:t>
      </w:r>
    </w:p>
    <w:p w14:paraId="4333B7EF" w14:textId="7D755EB8"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1.3.2</w:t>
      </w:r>
      <w:r w:rsidR="001A5AB2" w:rsidRPr="00EC6AB6">
        <w:rPr>
          <w:rFonts w:ascii="Garamond" w:hAnsi="Garamond"/>
          <w:sz w:val="24"/>
          <w:szCs w:val="24"/>
          <w:lang w:val="sq-AL"/>
        </w:rPr>
        <w:t xml:space="preserve"> </w:t>
      </w:r>
      <w:r w:rsidRPr="00EC6AB6">
        <w:rPr>
          <w:rFonts w:ascii="Garamond" w:hAnsi="Garamond"/>
          <w:sz w:val="24"/>
          <w:szCs w:val="24"/>
          <w:lang w:val="sq-AL"/>
        </w:rPr>
        <w:tab/>
        <w:t>Burimet e huaja</w:t>
      </w:r>
    </w:p>
    <w:p w14:paraId="4333B7F0" w14:textId="69056911"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w:t>
      </w:r>
      <w:r w:rsidRPr="00EC6AB6">
        <w:rPr>
          <w:rFonts w:ascii="Garamond" w:hAnsi="Garamond"/>
          <w:sz w:val="24"/>
          <w:szCs w:val="24"/>
          <w:lang w:val="sq-AL"/>
        </w:rPr>
        <w:tab/>
        <w:t xml:space="preserve">Strategjia </w:t>
      </w:r>
      <w:r w:rsidR="00AF3B42" w:rsidRPr="00EC6AB6">
        <w:rPr>
          <w:rFonts w:ascii="Garamond" w:hAnsi="Garamond"/>
          <w:sz w:val="24"/>
          <w:szCs w:val="24"/>
          <w:lang w:val="sq-AL"/>
        </w:rPr>
        <w:t>afatmesme</w:t>
      </w:r>
      <w:r w:rsidRPr="00EC6AB6">
        <w:rPr>
          <w:rFonts w:ascii="Garamond" w:hAnsi="Garamond"/>
          <w:sz w:val="24"/>
          <w:szCs w:val="24"/>
          <w:lang w:val="sq-AL"/>
        </w:rPr>
        <w:tab/>
      </w:r>
    </w:p>
    <w:p w14:paraId="4333B7F1" w14:textId="0F9CB1C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lastRenderedPageBreak/>
        <w:t>2.1</w:t>
      </w:r>
      <w:r w:rsidR="001A5AB2" w:rsidRPr="00EC6AB6">
        <w:rPr>
          <w:rFonts w:ascii="Garamond" w:hAnsi="Garamond"/>
          <w:sz w:val="24"/>
          <w:szCs w:val="24"/>
          <w:lang w:val="sq-AL"/>
        </w:rPr>
        <w:t xml:space="preserve"> </w:t>
      </w:r>
      <w:r w:rsidRPr="00EC6AB6">
        <w:rPr>
          <w:rFonts w:ascii="Garamond" w:hAnsi="Garamond"/>
          <w:sz w:val="24"/>
          <w:szCs w:val="24"/>
          <w:lang w:val="sq-AL"/>
        </w:rPr>
        <w:t>Menaxhimi/</w:t>
      </w:r>
      <w:r w:rsidR="002A3781" w:rsidRPr="00EC6AB6">
        <w:rPr>
          <w:rFonts w:ascii="Garamond" w:hAnsi="Garamond"/>
          <w:sz w:val="24"/>
          <w:szCs w:val="24"/>
          <w:lang w:val="sq-AL"/>
        </w:rPr>
        <w:t xml:space="preserve">kontrolli i kostove dhe </w:t>
      </w:r>
      <w:r w:rsidR="00AF3B42" w:rsidRPr="00EC6AB6">
        <w:rPr>
          <w:rFonts w:ascii="Garamond" w:hAnsi="Garamond"/>
          <w:sz w:val="24"/>
          <w:szCs w:val="24"/>
          <w:lang w:val="sq-AL"/>
        </w:rPr>
        <w:t xml:space="preserve">i </w:t>
      </w:r>
      <w:r w:rsidR="002A3781" w:rsidRPr="00EC6AB6">
        <w:rPr>
          <w:rFonts w:ascii="Garamond" w:hAnsi="Garamond"/>
          <w:sz w:val="24"/>
          <w:szCs w:val="24"/>
          <w:lang w:val="sq-AL"/>
        </w:rPr>
        <w:t>risqeve</w:t>
      </w:r>
    </w:p>
    <w:p w14:paraId="4333B7F2" w14:textId="462C1900"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2.1.1</w:t>
      </w:r>
      <w:r w:rsidR="001A5AB2" w:rsidRPr="00EC6AB6">
        <w:rPr>
          <w:rFonts w:ascii="Garamond" w:hAnsi="Garamond"/>
          <w:sz w:val="24"/>
          <w:szCs w:val="24"/>
          <w:lang w:val="sq-AL"/>
        </w:rPr>
        <w:t xml:space="preserve"> </w:t>
      </w:r>
      <w:r w:rsidR="002A3781" w:rsidRPr="00EC6AB6">
        <w:rPr>
          <w:rFonts w:ascii="Garamond" w:hAnsi="Garamond"/>
          <w:sz w:val="24"/>
          <w:szCs w:val="24"/>
          <w:lang w:val="sq-AL"/>
        </w:rPr>
        <w:t>Kostot</w:t>
      </w:r>
    </w:p>
    <w:p w14:paraId="4333B7F3" w14:textId="5698555B"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2.1.2</w:t>
      </w:r>
      <w:r w:rsidR="001A5AB2" w:rsidRPr="00EC6AB6">
        <w:rPr>
          <w:rFonts w:ascii="Garamond" w:hAnsi="Garamond"/>
          <w:sz w:val="24"/>
          <w:szCs w:val="24"/>
          <w:lang w:val="sq-AL"/>
        </w:rPr>
        <w:t xml:space="preserve"> </w:t>
      </w:r>
      <w:r w:rsidRPr="00EC6AB6">
        <w:rPr>
          <w:rFonts w:ascii="Garamond" w:hAnsi="Garamond"/>
          <w:sz w:val="24"/>
          <w:szCs w:val="24"/>
          <w:lang w:val="sq-AL"/>
        </w:rPr>
        <w:t xml:space="preserve">Menaxhimi i </w:t>
      </w:r>
      <w:r w:rsidR="002A3781" w:rsidRPr="00EC6AB6">
        <w:rPr>
          <w:rFonts w:ascii="Garamond" w:hAnsi="Garamond"/>
          <w:sz w:val="24"/>
          <w:szCs w:val="24"/>
          <w:lang w:val="sq-AL"/>
        </w:rPr>
        <w:t>risqeve</w:t>
      </w:r>
    </w:p>
    <w:p w14:paraId="4333B7F4" w14:textId="47563277"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2.2</w:t>
      </w:r>
      <w:r w:rsidR="001A5AB2" w:rsidRPr="00EC6AB6">
        <w:rPr>
          <w:rFonts w:ascii="Garamond" w:hAnsi="Garamond"/>
          <w:sz w:val="24"/>
          <w:szCs w:val="24"/>
          <w:lang w:val="sq-AL"/>
        </w:rPr>
        <w:t xml:space="preserve"> </w:t>
      </w:r>
      <w:r w:rsidRPr="00EC6AB6">
        <w:rPr>
          <w:rFonts w:ascii="Garamond" w:hAnsi="Garamond"/>
          <w:sz w:val="24"/>
          <w:szCs w:val="24"/>
          <w:lang w:val="sq-AL"/>
        </w:rPr>
        <w:t>Zhvillimi i tregut të titujve shtetërorë</w:t>
      </w:r>
    </w:p>
    <w:p w14:paraId="4333B7F5" w14:textId="3BDA78B9"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2.2.1</w:t>
      </w:r>
      <w:r w:rsidR="001A5AB2" w:rsidRPr="00EC6AB6">
        <w:rPr>
          <w:rFonts w:ascii="Garamond" w:hAnsi="Garamond"/>
          <w:sz w:val="24"/>
          <w:szCs w:val="24"/>
          <w:lang w:val="sq-AL"/>
        </w:rPr>
        <w:t xml:space="preserve"> </w:t>
      </w:r>
      <w:r w:rsidRPr="00EC6AB6">
        <w:rPr>
          <w:rFonts w:ascii="Garamond" w:hAnsi="Garamond"/>
          <w:sz w:val="24"/>
          <w:szCs w:val="24"/>
          <w:lang w:val="sq-AL"/>
        </w:rPr>
        <w:t>Rritja e likuiditetit</w:t>
      </w:r>
    </w:p>
    <w:p w14:paraId="4333B7F6" w14:textId="7E7DEB53"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2.2.2</w:t>
      </w:r>
      <w:r w:rsidR="001A5AB2" w:rsidRPr="00EC6AB6">
        <w:rPr>
          <w:rFonts w:ascii="Garamond" w:hAnsi="Garamond"/>
          <w:sz w:val="24"/>
          <w:szCs w:val="24"/>
          <w:lang w:val="sq-AL"/>
        </w:rPr>
        <w:t xml:space="preserve"> </w:t>
      </w:r>
      <w:r w:rsidRPr="00EC6AB6">
        <w:rPr>
          <w:rFonts w:ascii="Garamond" w:hAnsi="Garamond"/>
          <w:sz w:val="24"/>
          <w:szCs w:val="24"/>
          <w:lang w:val="sq-AL"/>
        </w:rPr>
        <w:t xml:space="preserve">Rritja e </w:t>
      </w:r>
      <w:r w:rsidR="002A3781" w:rsidRPr="00EC6AB6">
        <w:rPr>
          <w:rFonts w:ascii="Garamond" w:hAnsi="Garamond"/>
          <w:sz w:val="24"/>
          <w:szCs w:val="24"/>
          <w:lang w:val="sq-AL"/>
        </w:rPr>
        <w:t>eficiencës</w:t>
      </w:r>
      <w:r w:rsidRPr="00EC6AB6">
        <w:rPr>
          <w:rFonts w:ascii="Garamond" w:hAnsi="Garamond"/>
          <w:sz w:val="24"/>
          <w:szCs w:val="24"/>
          <w:lang w:val="sq-AL"/>
        </w:rPr>
        <w:tab/>
      </w:r>
    </w:p>
    <w:p w14:paraId="4333B7F7" w14:textId="0408E0E2"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2.2.3</w:t>
      </w:r>
      <w:r w:rsidR="001A5AB2" w:rsidRPr="00EC6AB6">
        <w:rPr>
          <w:rFonts w:ascii="Garamond" w:hAnsi="Garamond"/>
          <w:sz w:val="24"/>
          <w:szCs w:val="24"/>
          <w:lang w:val="sq-AL"/>
        </w:rPr>
        <w:t xml:space="preserve"> </w:t>
      </w:r>
      <w:r w:rsidRPr="00EC6AB6">
        <w:rPr>
          <w:rFonts w:ascii="Garamond" w:hAnsi="Garamond"/>
          <w:sz w:val="24"/>
          <w:szCs w:val="24"/>
          <w:lang w:val="sq-AL"/>
        </w:rPr>
        <w:t>Rritja e transparencës</w:t>
      </w:r>
    </w:p>
    <w:p w14:paraId="4333B7F8" w14:textId="655B8BA3"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2.3</w:t>
      </w:r>
      <w:r w:rsidR="001A5AB2" w:rsidRPr="00EC6AB6">
        <w:rPr>
          <w:rFonts w:ascii="Garamond" w:hAnsi="Garamond"/>
          <w:sz w:val="24"/>
          <w:szCs w:val="24"/>
          <w:lang w:val="sq-AL"/>
        </w:rPr>
        <w:t xml:space="preserve"> </w:t>
      </w:r>
      <w:r w:rsidRPr="00EC6AB6">
        <w:rPr>
          <w:rFonts w:ascii="Garamond" w:hAnsi="Garamond"/>
          <w:sz w:val="24"/>
          <w:szCs w:val="24"/>
          <w:lang w:val="sq-AL"/>
        </w:rPr>
        <w:t>Menaxhimi i borxhit shtetëror të garantuar</w:t>
      </w:r>
    </w:p>
    <w:p w14:paraId="4333B7F9" w14:textId="1A9BC830"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2.3.1</w:t>
      </w:r>
      <w:r w:rsidR="001A5AB2" w:rsidRPr="00EC6AB6">
        <w:rPr>
          <w:rFonts w:ascii="Garamond" w:hAnsi="Garamond"/>
          <w:sz w:val="24"/>
          <w:szCs w:val="24"/>
          <w:lang w:val="sq-AL"/>
        </w:rPr>
        <w:t xml:space="preserve"> </w:t>
      </w:r>
      <w:r w:rsidRPr="00EC6AB6">
        <w:rPr>
          <w:rFonts w:ascii="Garamond" w:hAnsi="Garamond"/>
          <w:sz w:val="24"/>
          <w:szCs w:val="24"/>
          <w:lang w:val="sq-AL"/>
        </w:rPr>
        <w:t>Kriteret bazë për emetimin e garancive shtetërore</w:t>
      </w:r>
      <w:r w:rsidRPr="00EC6AB6">
        <w:rPr>
          <w:rFonts w:ascii="Garamond" w:hAnsi="Garamond"/>
          <w:sz w:val="24"/>
          <w:szCs w:val="24"/>
          <w:lang w:val="sq-AL"/>
        </w:rPr>
        <w:tab/>
      </w:r>
    </w:p>
    <w:p w14:paraId="4333B7FA" w14:textId="1DF6A81B"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2.3.2</w:t>
      </w:r>
      <w:r w:rsidR="001A5AB2" w:rsidRPr="00EC6AB6">
        <w:rPr>
          <w:rFonts w:ascii="Garamond" w:hAnsi="Garamond"/>
          <w:sz w:val="24"/>
          <w:szCs w:val="24"/>
          <w:lang w:val="sq-AL"/>
        </w:rPr>
        <w:t xml:space="preserve"> </w:t>
      </w:r>
      <w:r w:rsidRPr="00EC6AB6">
        <w:rPr>
          <w:rFonts w:ascii="Garamond" w:hAnsi="Garamond"/>
          <w:sz w:val="24"/>
          <w:szCs w:val="24"/>
          <w:lang w:val="sq-AL"/>
        </w:rPr>
        <w:t>Niveli i garancive shtetërore</w:t>
      </w:r>
      <w:r w:rsidRPr="00EC6AB6">
        <w:rPr>
          <w:rFonts w:ascii="Garamond" w:hAnsi="Garamond"/>
          <w:sz w:val="24"/>
          <w:szCs w:val="24"/>
          <w:lang w:val="sq-AL"/>
        </w:rPr>
        <w:tab/>
      </w:r>
    </w:p>
    <w:p w14:paraId="03747724" w14:textId="77777777" w:rsidR="001A5AB2"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2.4</w:t>
      </w:r>
      <w:r w:rsidR="001A5AB2" w:rsidRPr="00EC6AB6">
        <w:rPr>
          <w:rFonts w:ascii="Garamond" w:hAnsi="Garamond"/>
          <w:sz w:val="24"/>
          <w:szCs w:val="24"/>
          <w:lang w:val="sq-AL"/>
        </w:rPr>
        <w:t xml:space="preserve"> </w:t>
      </w:r>
      <w:r w:rsidRPr="00EC6AB6">
        <w:rPr>
          <w:rFonts w:ascii="Garamond" w:hAnsi="Garamond"/>
          <w:sz w:val="24"/>
          <w:szCs w:val="24"/>
          <w:lang w:val="sq-AL"/>
        </w:rPr>
        <w:t>Pritjet e treguesve bazë dhe analiza e ndjeshmërisë</w:t>
      </w:r>
    </w:p>
    <w:p w14:paraId="1B46839F" w14:textId="00635ABD" w:rsidR="001A5AB2"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2.4.1</w:t>
      </w:r>
      <w:r w:rsidR="001A5AB2" w:rsidRPr="00EC6AB6">
        <w:rPr>
          <w:rFonts w:ascii="Garamond" w:hAnsi="Garamond"/>
          <w:sz w:val="24"/>
          <w:szCs w:val="24"/>
          <w:lang w:val="sq-AL"/>
        </w:rPr>
        <w:t xml:space="preserve"> </w:t>
      </w:r>
      <w:r w:rsidRPr="00EC6AB6">
        <w:rPr>
          <w:rFonts w:ascii="Garamond" w:hAnsi="Garamond"/>
          <w:sz w:val="24"/>
          <w:szCs w:val="24"/>
          <w:lang w:val="sq-AL"/>
        </w:rPr>
        <w:t xml:space="preserve">Niveli i borxhit të </w:t>
      </w:r>
      <w:r w:rsidR="00AF3B42" w:rsidRPr="00EC6AB6">
        <w:rPr>
          <w:rFonts w:ascii="Garamond" w:hAnsi="Garamond"/>
          <w:sz w:val="24"/>
          <w:szCs w:val="24"/>
          <w:lang w:val="sq-AL"/>
        </w:rPr>
        <w:t>qeverisjes qendrore</w:t>
      </w:r>
      <w:r w:rsidRPr="00EC6AB6">
        <w:rPr>
          <w:rFonts w:ascii="Garamond" w:hAnsi="Garamond"/>
          <w:sz w:val="24"/>
          <w:szCs w:val="24"/>
          <w:lang w:val="sq-AL"/>
        </w:rPr>
        <w:tab/>
      </w:r>
    </w:p>
    <w:p w14:paraId="4333B7FD" w14:textId="7B343C35"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2.4.2</w:t>
      </w:r>
      <w:r w:rsidR="001A5AB2" w:rsidRPr="00EC6AB6">
        <w:rPr>
          <w:rFonts w:ascii="Garamond" w:hAnsi="Garamond"/>
          <w:sz w:val="24"/>
          <w:szCs w:val="24"/>
          <w:lang w:val="sq-AL"/>
        </w:rPr>
        <w:t xml:space="preserve"> </w:t>
      </w:r>
      <w:r w:rsidRPr="00EC6AB6">
        <w:rPr>
          <w:rFonts w:ascii="Garamond" w:hAnsi="Garamond"/>
          <w:sz w:val="24"/>
          <w:szCs w:val="24"/>
          <w:lang w:val="sq-AL"/>
        </w:rPr>
        <w:t>Shërbimi i borxhit shtetëror</w:t>
      </w:r>
      <w:r w:rsidRPr="00EC6AB6">
        <w:rPr>
          <w:rFonts w:ascii="Garamond" w:hAnsi="Garamond"/>
          <w:sz w:val="24"/>
          <w:szCs w:val="24"/>
          <w:lang w:val="sq-AL"/>
        </w:rPr>
        <w:tab/>
      </w:r>
    </w:p>
    <w:p w14:paraId="4333B7FE" w14:textId="00A9F6F5" w:rsidR="00F833AA" w:rsidRPr="00EC6AB6" w:rsidRDefault="00F833AA" w:rsidP="00F833AA">
      <w:pPr>
        <w:spacing w:after="0" w:line="240" w:lineRule="auto"/>
        <w:rPr>
          <w:rFonts w:ascii="Garamond" w:hAnsi="Garamond"/>
          <w:sz w:val="24"/>
          <w:szCs w:val="24"/>
          <w:lang w:val="sq-AL"/>
        </w:rPr>
      </w:pPr>
      <w:r w:rsidRPr="00EC6AB6">
        <w:rPr>
          <w:rFonts w:ascii="Garamond" w:hAnsi="Garamond"/>
          <w:sz w:val="24"/>
          <w:szCs w:val="24"/>
          <w:lang w:val="sq-AL"/>
        </w:rPr>
        <w:t>2.4.3</w:t>
      </w:r>
      <w:r w:rsidR="001A5AB2" w:rsidRPr="00EC6AB6">
        <w:rPr>
          <w:rFonts w:ascii="Garamond" w:hAnsi="Garamond"/>
          <w:sz w:val="24"/>
          <w:szCs w:val="24"/>
          <w:lang w:val="sq-AL"/>
        </w:rPr>
        <w:t xml:space="preserve"> </w:t>
      </w:r>
      <w:r w:rsidRPr="00EC6AB6">
        <w:rPr>
          <w:rFonts w:ascii="Garamond" w:hAnsi="Garamond"/>
          <w:sz w:val="24"/>
          <w:szCs w:val="24"/>
          <w:lang w:val="sq-AL"/>
        </w:rPr>
        <w:t>Analiza e ndjeshmërisë</w:t>
      </w:r>
      <w:r w:rsidRPr="00EC6AB6">
        <w:rPr>
          <w:rFonts w:ascii="Garamond" w:hAnsi="Garamond"/>
          <w:sz w:val="24"/>
          <w:szCs w:val="24"/>
          <w:lang w:val="sq-AL"/>
        </w:rPr>
        <w:tab/>
      </w:r>
    </w:p>
    <w:p w14:paraId="4B7D147C" w14:textId="77777777" w:rsidR="004A2EBD"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ANEKS I</w:t>
      </w:r>
    </w:p>
    <w:p w14:paraId="27962F45" w14:textId="77777777" w:rsidR="004A2EBD"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ANEKS II</w:t>
      </w:r>
    </w:p>
    <w:p w14:paraId="4333B802" w14:textId="47A032E6"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ANEKS III</w:t>
      </w:r>
    </w:p>
    <w:p w14:paraId="02D0A56C" w14:textId="77777777" w:rsidR="00753C75" w:rsidRPr="00EC6AB6" w:rsidRDefault="00753C75" w:rsidP="00753C75">
      <w:pPr>
        <w:spacing w:after="0" w:line="240" w:lineRule="auto"/>
        <w:ind w:firstLine="0"/>
        <w:rPr>
          <w:rFonts w:ascii="Garamond" w:hAnsi="Garamond"/>
          <w:sz w:val="24"/>
          <w:szCs w:val="24"/>
          <w:lang w:val="sq-AL"/>
        </w:rPr>
      </w:pPr>
      <w:bookmarkStart w:id="3" w:name="_Toc60129443"/>
    </w:p>
    <w:p w14:paraId="4333B803" w14:textId="77777777" w:rsidR="008B3748" w:rsidRPr="00EC6AB6" w:rsidRDefault="008B3748" w:rsidP="00753C75">
      <w:pPr>
        <w:spacing w:after="0" w:line="240" w:lineRule="auto"/>
        <w:ind w:firstLine="288"/>
        <w:rPr>
          <w:rFonts w:ascii="Garamond" w:hAnsi="Garamond"/>
          <w:sz w:val="24"/>
          <w:szCs w:val="24"/>
          <w:lang w:val="sq-AL"/>
        </w:rPr>
      </w:pPr>
      <w:r w:rsidRPr="00EC6AB6">
        <w:rPr>
          <w:rFonts w:ascii="Garamond" w:hAnsi="Garamond"/>
          <w:sz w:val="24"/>
          <w:szCs w:val="24"/>
          <w:lang w:val="sq-AL"/>
        </w:rPr>
        <w:t>PËRMBLEDHJE</w:t>
      </w:r>
      <w:bookmarkEnd w:id="3"/>
    </w:p>
    <w:p w14:paraId="4333B805" w14:textId="65DF1E57"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 xml:space="preserve">Objektivat dhe </w:t>
      </w:r>
      <w:r w:rsidR="004A2EBD" w:rsidRPr="00EC6AB6">
        <w:rPr>
          <w:rFonts w:ascii="Garamond" w:hAnsi="Garamond"/>
          <w:b/>
          <w:sz w:val="24"/>
          <w:szCs w:val="24"/>
          <w:lang w:val="sq-AL"/>
        </w:rPr>
        <w:t xml:space="preserve">qëllimi </w:t>
      </w:r>
    </w:p>
    <w:p w14:paraId="4333B806" w14:textId="369307D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Strategjia Afatmesme e Menaxhimit të Borxhit (SAMB) është një plan afatmesëm, të cilin Ministria e Financave dhe Ekonomisë synon ta zbatojë duke pasur si </w:t>
      </w:r>
      <w:r w:rsidRPr="001F6C07">
        <w:rPr>
          <w:rFonts w:ascii="Garamond" w:hAnsi="Garamond"/>
          <w:sz w:val="24"/>
          <w:szCs w:val="24"/>
          <w:lang w:val="sq-AL"/>
        </w:rPr>
        <w:t>objektiva</w:t>
      </w:r>
      <w:r w:rsidRPr="00EC6AB6">
        <w:rPr>
          <w:rFonts w:ascii="Garamond" w:hAnsi="Garamond"/>
          <w:sz w:val="24"/>
          <w:szCs w:val="24"/>
          <w:lang w:val="sq-AL"/>
        </w:rPr>
        <w:t xml:space="preserve"> parësor</w:t>
      </w:r>
      <w:r w:rsidR="00F840FD" w:rsidRPr="00EC6AB6">
        <w:rPr>
          <w:rFonts w:ascii="Garamond" w:hAnsi="Garamond"/>
          <w:sz w:val="24"/>
          <w:szCs w:val="24"/>
          <w:lang w:val="sq-AL"/>
        </w:rPr>
        <w:t>ë</w:t>
      </w:r>
      <w:r w:rsidRPr="00EC6AB6">
        <w:rPr>
          <w:rFonts w:ascii="Garamond" w:hAnsi="Garamond"/>
          <w:sz w:val="24"/>
          <w:szCs w:val="24"/>
          <w:lang w:val="sq-AL"/>
        </w:rPr>
        <w:t>:</w:t>
      </w:r>
    </w:p>
    <w:p w14:paraId="4333B807" w14:textId="1246287F"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Plotësimin e nevojave të qeverisë për financim në kohë, si edhe nevojave për të shërbyer borxhin aktual me kosto sa më të ulët</w:t>
      </w:r>
      <w:r w:rsidR="00F840FD" w:rsidRPr="00EC6AB6">
        <w:rPr>
          <w:rFonts w:ascii="Garamond" w:hAnsi="Garamond"/>
          <w:sz w:val="24"/>
          <w:szCs w:val="24"/>
          <w:lang w:val="sq-AL"/>
        </w:rPr>
        <w:t>,</w:t>
      </w:r>
      <w:r w:rsidR="008B3748" w:rsidRPr="00EC6AB6">
        <w:rPr>
          <w:rFonts w:ascii="Garamond" w:hAnsi="Garamond"/>
          <w:sz w:val="24"/>
          <w:szCs w:val="24"/>
          <w:lang w:val="sq-AL"/>
        </w:rPr>
        <w:t xml:space="preserve"> duke mbajtur nivele të pranueshme të ekspozimit ndaj risqeve; </w:t>
      </w:r>
    </w:p>
    <w:p w14:paraId="4333B808" w14:textId="4A79325F"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 xml:space="preserve">Përmirësimin dhe ruajtjen e </w:t>
      </w:r>
      <w:r w:rsidR="002A3781" w:rsidRPr="00EC6AB6">
        <w:rPr>
          <w:rFonts w:ascii="Garamond" w:hAnsi="Garamond"/>
          <w:sz w:val="24"/>
          <w:szCs w:val="24"/>
          <w:lang w:val="sq-AL"/>
        </w:rPr>
        <w:t>eficiencës</w:t>
      </w:r>
      <w:r w:rsidR="008B3748" w:rsidRPr="00EC6AB6">
        <w:rPr>
          <w:rFonts w:ascii="Garamond" w:hAnsi="Garamond"/>
          <w:sz w:val="24"/>
          <w:szCs w:val="24"/>
          <w:lang w:val="sq-AL"/>
        </w:rPr>
        <w:t xml:space="preserve"> së tregut primar, mbështetur nga zhvillimi i mëtejshëm i tregut sekondar të titujve shtetërorë </w:t>
      </w:r>
      <w:r w:rsidR="002B79A7" w:rsidRPr="00EC6AB6">
        <w:rPr>
          <w:rFonts w:ascii="Garamond" w:hAnsi="Garamond"/>
          <w:sz w:val="24"/>
          <w:szCs w:val="24"/>
          <w:lang w:val="sq-AL"/>
        </w:rPr>
        <w:t>vendës</w:t>
      </w:r>
      <w:r w:rsidR="008B3748" w:rsidRPr="00EC6AB6">
        <w:rPr>
          <w:rFonts w:ascii="Garamond" w:hAnsi="Garamond"/>
          <w:sz w:val="24"/>
          <w:szCs w:val="24"/>
          <w:lang w:val="sq-AL"/>
        </w:rPr>
        <w:t xml:space="preserve">. </w:t>
      </w:r>
    </w:p>
    <w:p w14:paraId="4333B809" w14:textId="4E9E0525"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funksion të realizimit të objektivave të sipërpërmendur dhe në përputhje me bazën ligjore në fuqi</w:t>
      </w:r>
      <w:r w:rsidRPr="00EC6AB6">
        <w:rPr>
          <w:rFonts w:ascii="Garamond" w:hAnsi="Garamond"/>
          <w:sz w:val="24"/>
          <w:szCs w:val="24"/>
          <w:vertAlign w:val="superscript"/>
          <w:lang w:val="sq-AL"/>
        </w:rPr>
        <w:footnoteReference w:id="2"/>
      </w:r>
      <w:r w:rsidRPr="00EC6AB6">
        <w:rPr>
          <w:rFonts w:ascii="Garamond" w:hAnsi="Garamond"/>
          <w:sz w:val="24"/>
          <w:szCs w:val="24"/>
          <w:lang w:val="sq-AL"/>
        </w:rPr>
        <w:t>, Ministria e Financave dhe Ekonomisë përgatit dhe përditëson në bazë vjetore dokumentin e SAMB</w:t>
      </w:r>
      <w:r w:rsidR="00F840FD" w:rsidRPr="00EC6AB6">
        <w:rPr>
          <w:rFonts w:ascii="Garamond" w:hAnsi="Garamond"/>
          <w:sz w:val="24"/>
          <w:szCs w:val="24"/>
          <w:lang w:val="sq-AL"/>
        </w:rPr>
        <w:t>-së</w:t>
      </w:r>
      <w:r w:rsidRPr="00EC6AB6">
        <w:rPr>
          <w:rFonts w:ascii="Garamond" w:hAnsi="Garamond"/>
          <w:sz w:val="24"/>
          <w:szCs w:val="24"/>
          <w:lang w:val="sq-AL"/>
        </w:rPr>
        <w:t xml:space="preserve">, duke parashtruar planet e financimit me borxh dhe aktivitetet që do të ndërmerren në periudhën afatmesme. </w:t>
      </w:r>
    </w:p>
    <w:p w14:paraId="4333B80A" w14:textId="4919C45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SAMB</w:t>
      </w:r>
      <w:r w:rsidR="00F840FD" w:rsidRPr="00EC6AB6">
        <w:rPr>
          <w:rFonts w:ascii="Garamond" w:hAnsi="Garamond"/>
          <w:sz w:val="24"/>
          <w:szCs w:val="24"/>
          <w:lang w:val="sq-AL"/>
        </w:rPr>
        <w:t>-ja</w:t>
      </w:r>
      <w:r w:rsidRPr="00EC6AB6">
        <w:rPr>
          <w:rFonts w:ascii="Garamond" w:hAnsi="Garamond"/>
          <w:sz w:val="24"/>
          <w:szCs w:val="24"/>
          <w:lang w:val="sq-AL"/>
        </w:rPr>
        <w:t xml:space="preserve"> hartohet dhe përditësohet në linjë me </w:t>
      </w:r>
      <w:r w:rsidR="00F840FD" w:rsidRPr="00EC6AB6">
        <w:rPr>
          <w:rFonts w:ascii="Garamond" w:hAnsi="Garamond"/>
          <w:sz w:val="24"/>
          <w:szCs w:val="24"/>
          <w:lang w:val="sq-AL"/>
        </w:rPr>
        <w:t>ligjin vjetor të buxhetit, kuadrin makroekonomik dhe fiskal të qeverisë</w:t>
      </w:r>
      <w:r w:rsidRPr="00EC6AB6">
        <w:rPr>
          <w:rFonts w:ascii="Garamond" w:hAnsi="Garamond"/>
          <w:sz w:val="24"/>
          <w:szCs w:val="24"/>
          <w:lang w:val="sq-AL"/>
        </w:rPr>
        <w:t xml:space="preserve">, si edhe me politikat monetare që Banka e Shqipërisë planifikon të zbatojë në periudhën afatmesme </w:t>
      </w:r>
      <w:r w:rsidR="008B6AF9" w:rsidRPr="00EC6AB6">
        <w:rPr>
          <w:rFonts w:ascii="Garamond" w:hAnsi="Garamond"/>
          <w:sz w:val="24"/>
          <w:szCs w:val="24"/>
          <w:lang w:val="sq-AL"/>
        </w:rPr>
        <w:t>2021–2023</w:t>
      </w:r>
      <w:r w:rsidRPr="00EC6AB6">
        <w:rPr>
          <w:rFonts w:ascii="Garamond" w:hAnsi="Garamond"/>
          <w:sz w:val="24"/>
          <w:szCs w:val="24"/>
          <w:lang w:val="sq-AL"/>
        </w:rPr>
        <w:t>.</w:t>
      </w:r>
    </w:p>
    <w:p w14:paraId="4333B80B" w14:textId="741C2D4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Qëllimi i SAMB</w:t>
      </w:r>
      <w:r w:rsidR="00F840FD" w:rsidRPr="00EC6AB6">
        <w:rPr>
          <w:rFonts w:ascii="Garamond" w:hAnsi="Garamond"/>
          <w:sz w:val="24"/>
          <w:szCs w:val="24"/>
          <w:lang w:val="sq-AL"/>
        </w:rPr>
        <w:t>-së</w:t>
      </w:r>
      <w:r w:rsidRPr="00EC6AB6">
        <w:rPr>
          <w:rFonts w:ascii="Garamond" w:hAnsi="Garamond"/>
          <w:sz w:val="24"/>
          <w:szCs w:val="24"/>
          <w:lang w:val="sq-AL"/>
        </w:rPr>
        <w:t xml:space="preserve"> është: </w:t>
      </w:r>
    </w:p>
    <w:p w14:paraId="4333B80C" w14:textId="05B69A98"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7E049B" w:rsidRPr="00EC6AB6">
        <w:rPr>
          <w:rFonts w:ascii="Garamond" w:hAnsi="Garamond"/>
          <w:sz w:val="24"/>
          <w:szCs w:val="24"/>
          <w:lang w:val="sq-AL"/>
        </w:rPr>
        <w:t xml:space="preserve">të </w:t>
      </w:r>
      <w:r w:rsidR="008B3748" w:rsidRPr="00EC6AB6">
        <w:rPr>
          <w:rFonts w:ascii="Garamond" w:hAnsi="Garamond"/>
          <w:sz w:val="24"/>
          <w:szCs w:val="24"/>
          <w:lang w:val="sq-AL"/>
        </w:rPr>
        <w:t xml:space="preserve">menaxhojë me efikasitet portofolin e borxhit të qeverisjes qendrore, në të cilin përfshihet borxhi shtetëror dhe garancitë shtetërore të </w:t>
      </w:r>
      <w:r w:rsidR="002A3781" w:rsidRPr="00EC6AB6">
        <w:rPr>
          <w:rFonts w:ascii="Garamond" w:hAnsi="Garamond"/>
          <w:sz w:val="24"/>
          <w:szCs w:val="24"/>
          <w:lang w:val="sq-AL"/>
        </w:rPr>
        <w:t>huas</w:t>
      </w:r>
      <w:r w:rsidR="008B3748" w:rsidRPr="00EC6AB6">
        <w:rPr>
          <w:rFonts w:ascii="Garamond" w:hAnsi="Garamond"/>
          <w:sz w:val="24"/>
          <w:szCs w:val="24"/>
          <w:lang w:val="sq-AL"/>
        </w:rPr>
        <w:t>;</w:t>
      </w:r>
    </w:p>
    <w:p w14:paraId="4333B80D" w14:textId="780105BB"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7E049B" w:rsidRPr="00EC6AB6">
        <w:rPr>
          <w:rFonts w:ascii="Garamond" w:hAnsi="Garamond"/>
          <w:sz w:val="24"/>
          <w:szCs w:val="24"/>
          <w:lang w:val="sq-AL"/>
        </w:rPr>
        <w:t xml:space="preserve">të </w:t>
      </w:r>
      <w:r w:rsidR="008B3748" w:rsidRPr="00EC6AB6">
        <w:rPr>
          <w:rFonts w:ascii="Garamond" w:hAnsi="Garamond"/>
          <w:sz w:val="24"/>
          <w:szCs w:val="24"/>
          <w:lang w:val="sq-AL"/>
        </w:rPr>
        <w:t>rrisë transparencën ndaj investitorëve dhe palëve të interesuara</w:t>
      </w:r>
      <w:r w:rsidR="00F840FD" w:rsidRPr="00EC6AB6">
        <w:rPr>
          <w:rFonts w:ascii="Garamond" w:hAnsi="Garamond"/>
          <w:sz w:val="24"/>
          <w:szCs w:val="24"/>
          <w:lang w:val="sq-AL"/>
        </w:rPr>
        <w:t>,</w:t>
      </w:r>
      <w:r w:rsidR="008B3748" w:rsidRPr="00EC6AB6">
        <w:rPr>
          <w:rFonts w:ascii="Garamond" w:hAnsi="Garamond"/>
          <w:sz w:val="24"/>
          <w:szCs w:val="24"/>
          <w:lang w:val="sq-AL"/>
        </w:rPr>
        <w:t xml:space="preserve"> në lidhje me planet e huamarrjes së qeverisë; si edhe</w:t>
      </w:r>
    </w:p>
    <w:p w14:paraId="4333B80E" w14:textId="6E58F049"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7E049B" w:rsidRPr="00EC6AB6">
        <w:rPr>
          <w:rFonts w:ascii="Garamond" w:hAnsi="Garamond"/>
          <w:sz w:val="24"/>
          <w:szCs w:val="24"/>
          <w:lang w:val="sq-AL"/>
        </w:rPr>
        <w:t xml:space="preserve">të </w:t>
      </w:r>
      <w:r w:rsidR="008B3748" w:rsidRPr="00EC6AB6">
        <w:rPr>
          <w:rFonts w:ascii="Garamond" w:hAnsi="Garamond"/>
          <w:sz w:val="24"/>
          <w:szCs w:val="24"/>
          <w:lang w:val="sq-AL"/>
        </w:rPr>
        <w:t xml:space="preserve">qartësojë dhe </w:t>
      </w:r>
      <w:r w:rsidR="00F840FD" w:rsidRPr="00EC6AB6">
        <w:rPr>
          <w:rFonts w:ascii="Garamond" w:hAnsi="Garamond"/>
          <w:sz w:val="24"/>
          <w:szCs w:val="24"/>
          <w:lang w:val="sq-AL"/>
        </w:rPr>
        <w:t xml:space="preserve">të </w:t>
      </w:r>
      <w:r w:rsidR="008B3748" w:rsidRPr="00EC6AB6">
        <w:rPr>
          <w:rFonts w:ascii="Garamond" w:hAnsi="Garamond"/>
          <w:sz w:val="24"/>
          <w:szCs w:val="24"/>
          <w:lang w:val="sq-AL"/>
        </w:rPr>
        <w:t xml:space="preserve">kuantifikojë objektivat në periudhën afatshkurtër dhe afatmesme. </w:t>
      </w:r>
    </w:p>
    <w:p w14:paraId="4333B80F" w14:textId="0A5E1B8A"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 xml:space="preserve">Perspektiva </w:t>
      </w:r>
      <w:r w:rsidR="007E049B" w:rsidRPr="00EC6AB6">
        <w:rPr>
          <w:rFonts w:ascii="Garamond" w:hAnsi="Garamond"/>
          <w:b/>
          <w:sz w:val="24"/>
          <w:szCs w:val="24"/>
          <w:lang w:val="sq-AL"/>
        </w:rPr>
        <w:t>afatmesme</w:t>
      </w:r>
    </w:p>
    <w:p w14:paraId="4333B810" w14:textId="5D9909B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SAMB</w:t>
      </w:r>
      <w:r w:rsidR="00F840FD" w:rsidRPr="00EC6AB6">
        <w:rPr>
          <w:rFonts w:ascii="Garamond" w:hAnsi="Garamond"/>
          <w:sz w:val="24"/>
          <w:szCs w:val="24"/>
          <w:lang w:val="sq-AL"/>
        </w:rPr>
        <w:t>-ja</w:t>
      </w:r>
      <w:r w:rsidRPr="00EC6AB6">
        <w:rPr>
          <w:rFonts w:ascii="Garamond" w:hAnsi="Garamond"/>
          <w:sz w:val="24"/>
          <w:szCs w:val="24"/>
          <w:lang w:val="sq-AL"/>
        </w:rPr>
        <w:t xml:space="preserve"> </w:t>
      </w:r>
      <w:r w:rsidR="008B6AF9" w:rsidRPr="00EC6AB6">
        <w:rPr>
          <w:rFonts w:ascii="Garamond" w:hAnsi="Garamond"/>
          <w:sz w:val="24"/>
          <w:szCs w:val="24"/>
          <w:lang w:val="sq-AL"/>
        </w:rPr>
        <w:t>2021–2023</w:t>
      </w:r>
      <w:r w:rsidRPr="00EC6AB6">
        <w:rPr>
          <w:rFonts w:ascii="Garamond" w:hAnsi="Garamond"/>
          <w:sz w:val="24"/>
          <w:szCs w:val="24"/>
          <w:lang w:val="sq-AL"/>
        </w:rPr>
        <w:t>, në periudhën afatshkurtër do të ketë në fokus plotësimin e nevojave për huamarrje</w:t>
      </w:r>
      <w:r w:rsidR="00F840FD" w:rsidRPr="00EC6AB6">
        <w:rPr>
          <w:rFonts w:ascii="Garamond" w:hAnsi="Garamond"/>
          <w:sz w:val="24"/>
          <w:szCs w:val="24"/>
          <w:lang w:val="sq-AL"/>
        </w:rPr>
        <w:t>,</w:t>
      </w:r>
      <w:r w:rsidRPr="00EC6AB6">
        <w:rPr>
          <w:rFonts w:ascii="Garamond" w:hAnsi="Garamond"/>
          <w:sz w:val="24"/>
          <w:szCs w:val="24"/>
          <w:lang w:val="sq-AL"/>
        </w:rPr>
        <w:t xml:space="preserve"> në kuadër të rimëkëmbjes së ekonomisë pas situatës së krijuar nga tërmeti i muajit nëntor 2019 dhe pandemisë </w:t>
      </w:r>
      <w:r w:rsidR="002A3781" w:rsidRPr="00EC6AB6">
        <w:rPr>
          <w:rFonts w:ascii="Garamond" w:hAnsi="Garamond"/>
          <w:sz w:val="24"/>
          <w:szCs w:val="24"/>
          <w:lang w:val="sq-AL"/>
        </w:rPr>
        <w:t>COVID</w:t>
      </w:r>
      <w:r w:rsidRPr="00EC6AB6">
        <w:rPr>
          <w:rFonts w:ascii="Garamond" w:hAnsi="Garamond"/>
          <w:sz w:val="24"/>
          <w:szCs w:val="24"/>
          <w:lang w:val="sq-AL"/>
        </w:rPr>
        <w:t xml:space="preserve">-19, ndërkohë në periudhën afatmesme do të synojë përmirësimin e mëtejshëm të strukturës së borxhit (kryesisht strukturën e portofolit të borxhit të brendshëm), në drejtim të uljes së ekspozimit ndaj risqeve, si edhe mbajtjes nën kontroll të kostos. Në këtë drejtim, prioritet do të mbetet zgjatja e jetëgjatësisë së borxhit nëpërmjet uljes së mëtejshme të përqendrimit të titujve afatshkurtër në portofol. </w:t>
      </w:r>
    </w:p>
    <w:p w14:paraId="4333B811" w14:textId="79FA6D89" w:rsidR="008B3748" w:rsidRPr="00EC6AB6" w:rsidRDefault="008B3748" w:rsidP="008B3748">
      <w:pPr>
        <w:spacing w:after="0" w:line="240" w:lineRule="auto"/>
        <w:rPr>
          <w:rFonts w:ascii="Garamond" w:hAnsi="Garamond"/>
          <w:sz w:val="24"/>
          <w:szCs w:val="24"/>
          <w:lang w:val="sq-AL"/>
        </w:rPr>
      </w:pPr>
      <w:bookmarkStart w:id="4" w:name="_Hlk55382287"/>
      <w:r w:rsidRPr="00EC6AB6">
        <w:rPr>
          <w:rFonts w:ascii="Garamond" w:hAnsi="Garamond"/>
          <w:sz w:val="24"/>
          <w:szCs w:val="24"/>
          <w:lang w:val="sq-AL"/>
        </w:rPr>
        <w:lastRenderedPageBreak/>
        <w:t xml:space="preserve">Në vijim të situatës së jashtëzakonshme të krijuar nga pandemia në nivel global </w:t>
      </w:r>
      <w:r w:rsidR="006E631A" w:rsidRPr="00EC6AB6">
        <w:rPr>
          <w:rFonts w:ascii="Garamond" w:hAnsi="Garamond"/>
          <w:sz w:val="24"/>
          <w:szCs w:val="24"/>
          <w:lang w:val="sq-AL"/>
        </w:rPr>
        <w:t>COVID</w:t>
      </w:r>
      <w:r w:rsidRPr="00EC6AB6">
        <w:rPr>
          <w:rFonts w:ascii="Garamond" w:hAnsi="Garamond"/>
          <w:sz w:val="24"/>
          <w:szCs w:val="24"/>
          <w:lang w:val="sq-AL"/>
        </w:rPr>
        <w:t>-19, periudha afatmesme 2021</w:t>
      </w:r>
      <w:r w:rsidR="008B6AF9" w:rsidRPr="00EC6AB6">
        <w:rPr>
          <w:rFonts w:ascii="Garamond" w:hAnsi="Garamond"/>
          <w:sz w:val="24"/>
          <w:szCs w:val="24"/>
          <w:lang w:val="sq-AL"/>
        </w:rPr>
        <w:t>–</w:t>
      </w:r>
      <w:r w:rsidRPr="00EC6AB6">
        <w:rPr>
          <w:rFonts w:ascii="Garamond" w:hAnsi="Garamond"/>
          <w:sz w:val="24"/>
          <w:szCs w:val="24"/>
          <w:lang w:val="sq-AL"/>
        </w:rPr>
        <w:t>2023 përbën një sfidë</w:t>
      </w:r>
      <w:r w:rsidR="00A4298E" w:rsidRPr="00EC6AB6">
        <w:rPr>
          <w:rFonts w:ascii="Garamond" w:hAnsi="Garamond"/>
          <w:sz w:val="24"/>
          <w:szCs w:val="24"/>
          <w:lang w:val="sq-AL"/>
        </w:rPr>
        <w:t>,</w:t>
      </w:r>
      <w:r w:rsidRPr="00EC6AB6">
        <w:rPr>
          <w:rFonts w:ascii="Garamond" w:hAnsi="Garamond"/>
          <w:sz w:val="24"/>
          <w:szCs w:val="24"/>
          <w:lang w:val="sq-AL"/>
        </w:rPr>
        <w:t xml:space="preserve"> në lidhje me menaxhimin e borxhit publik</w:t>
      </w:r>
      <w:r w:rsidR="00A4298E" w:rsidRPr="00EC6AB6">
        <w:rPr>
          <w:rFonts w:ascii="Garamond" w:hAnsi="Garamond"/>
          <w:sz w:val="24"/>
          <w:szCs w:val="24"/>
          <w:lang w:val="sq-AL"/>
        </w:rPr>
        <w:t>,</w:t>
      </w:r>
      <w:r w:rsidRPr="00EC6AB6">
        <w:rPr>
          <w:rFonts w:ascii="Garamond" w:hAnsi="Garamond"/>
          <w:sz w:val="24"/>
          <w:szCs w:val="24"/>
          <w:lang w:val="sq-AL"/>
        </w:rPr>
        <w:t xml:space="preserve"> në veçanti me sigurimin e financimit në kushtet ku nevojat për financim janë rritur, duke synuar njëkohësisht qëndrueshmërinë e tij.</w:t>
      </w:r>
    </w:p>
    <w:bookmarkEnd w:id="4"/>
    <w:p w14:paraId="4333B812"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Financimi i brendshëm do të jetë në linjë me kapacitetet normale absorbuese të tregut. Nëpërmjet titujve afatshkurtër kryesisht do të synohet rifinancimi i titujve ekzistues që maturohen, menaxhimi aktiv i nevojave për likuiditet, si edhe përmirësimi i profilit vjetor të maturimeve. Ndërkohë, nëpërmjet titujve afatgjatë do të synohet të mbulohet financimi i deficitit.</w:t>
      </w:r>
    </w:p>
    <w:p w14:paraId="4333B813" w14:textId="6BA6C43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periudhën afatmesme huamarrja e huaj planifikohet të mbulojë mesatarisht rreth 20% të nevojave të përgjithshme për hua të qeverisë dhe do të mbështetet kryesisht në: </w:t>
      </w:r>
      <w:bookmarkStart w:id="5" w:name="_Hlk57749154"/>
      <w:r w:rsidRPr="00EC6AB6">
        <w:rPr>
          <w:rFonts w:ascii="Garamond" w:hAnsi="Garamond"/>
          <w:sz w:val="24"/>
          <w:szCs w:val="24"/>
          <w:lang w:val="sq-AL"/>
        </w:rPr>
        <w:t>i</w:t>
      </w:r>
      <w:r w:rsidR="00A4298E" w:rsidRPr="00EC6AB6">
        <w:rPr>
          <w:rFonts w:ascii="Garamond" w:hAnsi="Garamond"/>
          <w:sz w:val="24"/>
          <w:szCs w:val="24"/>
          <w:lang w:val="sq-AL"/>
        </w:rPr>
        <w:t>.</w:t>
      </w:r>
      <w:r w:rsidRPr="00EC6AB6">
        <w:rPr>
          <w:rFonts w:ascii="Garamond" w:hAnsi="Garamond"/>
          <w:sz w:val="24"/>
          <w:szCs w:val="24"/>
          <w:lang w:val="sq-AL"/>
        </w:rPr>
        <w:t xml:space="preserve"> </w:t>
      </w:r>
      <w:r w:rsidR="002A3781" w:rsidRPr="00EC6AB6">
        <w:rPr>
          <w:rFonts w:ascii="Garamond" w:hAnsi="Garamond"/>
          <w:sz w:val="24"/>
          <w:szCs w:val="24"/>
          <w:lang w:val="sq-AL"/>
        </w:rPr>
        <w:t>huat</w:t>
      </w:r>
      <w:r w:rsidRPr="00EC6AB6">
        <w:rPr>
          <w:rFonts w:ascii="Garamond" w:hAnsi="Garamond"/>
          <w:sz w:val="24"/>
          <w:szCs w:val="24"/>
          <w:lang w:val="sq-AL"/>
        </w:rPr>
        <w:t xml:space="preserve"> me terma pjesërisht të but</w:t>
      </w:r>
      <w:r w:rsidR="00A4298E" w:rsidRPr="00EC6AB6">
        <w:rPr>
          <w:rFonts w:ascii="Garamond" w:hAnsi="Garamond"/>
          <w:sz w:val="24"/>
          <w:szCs w:val="24"/>
          <w:lang w:val="sq-AL"/>
        </w:rPr>
        <w:t>ë</w:t>
      </w:r>
      <w:r w:rsidRPr="00EC6AB6">
        <w:rPr>
          <w:rFonts w:ascii="Garamond" w:hAnsi="Garamond"/>
          <w:sz w:val="24"/>
          <w:szCs w:val="24"/>
          <w:lang w:val="sq-AL"/>
        </w:rPr>
        <w:t>, të cil</w:t>
      </w:r>
      <w:r w:rsidR="00A4298E" w:rsidRPr="00EC6AB6">
        <w:rPr>
          <w:rFonts w:ascii="Garamond" w:hAnsi="Garamond"/>
          <w:sz w:val="24"/>
          <w:szCs w:val="24"/>
          <w:lang w:val="sq-AL"/>
        </w:rPr>
        <w:t>a</w:t>
      </w:r>
      <w:r w:rsidRPr="00EC6AB6">
        <w:rPr>
          <w:rFonts w:ascii="Garamond" w:hAnsi="Garamond"/>
          <w:sz w:val="24"/>
          <w:szCs w:val="24"/>
          <w:lang w:val="sq-AL"/>
        </w:rPr>
        <w:t>t do të financojnë projektet ekzistuese dhe projektet e reja të konsideruara si prioritare nga qeveria për zhvillimin e vendit; ii</w:t>
      </w:r>
      <w:r w:rsidR="00A4298E" w:rsidRPr="00EC6AB6">
        <w:rPr>
          <w:rFonts w:ascii="Garamond" w:hAnsi="Garamond"/>
          <w:sz w:val="24"/>
          <w:szCs w:val="24"/>
          <w:lang w:val="sq-AL"/>
        </w:rPr>
        <w:t>.</w:t>
      </w:r>
      <w:r w:rsidRPr="00EC6AB6">
        <w:rPr>
          <w:rFonts w:ascii="Garamond" w:hAnsi="Garamond"/>
          <w:sz w:val="24"/>
          <w:szCs w:val="24"/>
          <w:lang w:val="sq-AL"/>
        </w:rPr>
        <w:t xml:space="preserve"> </w:t>
      </w:r>
      <w:r w:rsidR="002A3781" w:rsidRPr="00EC6AB6">
        <w:rPr>
          <w:rFonts w:ascii="Garamond" w:hAnsi="Garamond"/>
          <w:sz w:val="24"/>
          <w:szCs w:val="24"/>
          <w:lang w:val="sq-AL"/>
        </w:rPr>
        <w:t>huat</w:t>
      </w:r>
      <w:r w:rsidRPr="00EC6AB6">
        <w:rPr>
          <w:rFonts w:ascii="Garamond" w:hAnsi="Garamond"/>
          <w:sz w:val="24"/>
          <w:szCs w:val="24"/>
          <w:lang w:val="sq-AL"/>
        </w:rPr>
        <w:t xml:space="preserve"> me terma të but</w:t>
      </w:r>
      <w:r w:rsidR="00A4298E" w:rsidRPr="00EC6AB6">
        <w:rPr>
          <w:rFonts w:ascii="Garamond" w:hAnsi="Garamond"/>
          <w:sz w:val="24"/>
          <w:szCs w:val="24"/>
          <w:lang w:val="sq-AL"/>
        </w:rPr>
        <w:t>ë,</w:t>
      </w:r>
      <w:r w:rsidRPr="00EC6AB6">
        <w:rPr>
          <w:rFonts w:ascii="Garamond" w:hAnsi="Garamond"/>
          <w:sz w:val="24"/>
          <w:szCs w:val="24"/>
          <w:lang w:val="sq-AL"/>
        </w:rPr>
        <w:t xml:space="preserve"> të akorduara nga institucionet ndërkombëtare financiare për të mbështetur vendin për t’u rimëkëmbur nga dy fatkeqësitë: tërmeti i nëntorit 2019 dhe përhapja e pandemisë </w:t>
      </w:r>
      <w:r w:rsidR="006E631A" w:rsidRPr="00EC6AB6">
        <w:rPr>
          <w:rFonts w:ascii="Garamond" w:hAnsi="Garamond"/>
          <w:sz w:val="24"/>
          <w:szCs w:val="24"/>
          <w:lang w:val="sq-AL"/>
        </w:rPr>
        <w:t>COVID-19</w:t>
      </w:r>
      <w:r w:rsidRPr="00EC6AB6">
        <w:rPr>
          <w:rFonts w:ascii="Garamond" w:hAnsi="Garamond"/>
          <w:sz w:val="24"/>
          <w:szCs w:val="24"/>
          <w:lang w:val="sq-AL"/>
        </w:rPr>
        <w:t>, si edhe për të mbështetur politikat zhvillimore dhe reformat e ndërmarra nga qeveria; si edhe iii</w:t>
      </w:r>
      <w:r w:rsidR="00A4298E" w:rsidRPr="00EC6AB6">
        <w:rPr>
          <w:rFonts w:ascii="Garamond" w:hAnsi="Garamond"/>
          <w:sz w:val="24"/>
          <w:szCs w:val="24"/>
          <w:lang w:val="sq-AL"/>
        </w:rPr>
        <w:t>.</w:t>
      </w:r>
      <w:r w:rsidRPr="00EC6AB6">
        <w:rPr>
          <w:rFonts w:ascii="Garamond" w:hAnsi="Garamond"/>
          <w:sz w:val="24"/>
          <w:szCs w:val="24"/>
          <w:lang w:val="sq-AL"/>
        </w:rPr>
        <w:t xml:space="preserve"> instrumentet financiare të tregjeve të kapitalit mbi baza oportuniste, kryesisht për të mundësuar menaxhimin e detyrimeve të borxhit në valutë dhe për të optimizuar risqet e portofolit.</w:t>
      </w:r>
    </w:p>
    <w:bookmarkEnd w:id="5"/>
    <w:p w14:paraId="4333B814" w14:textId="6166CFD4"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Zhvillimi i mëtejshëm i tregut primar </w:t>
      </w:r>
      <w:r w:rsidR="002B79A7" w:rsidRPr="00EC6AB6">
        <w:rPr>
          <w:rFonts w:ascii="Garamond" w:hAnsi="Garamond"/>
          <w:sz w:val="24"/>
          <w:szCs w:val="24"/>
          <w:lang w:val="sq-AL"/>
        </w:rPr>
        <w:t>vendës</w:t>
      </w:r>
      <w:r w:rsidRPr="00EC6AB6">
        <w:rPr>
          <w:rFonts w:ascii="Garamond" w:hAnsi="Garamond"/>
          <w:sz w:val="24"/>
          <w:szCs w:val="24"/>
          <w:lang w:val="sq-AL"/>
        </w:rPr>
        <w:t xml:space="preserve"> dhe hedhja e hapave për zhvillimin e tregut sekondar të titujve shtetërorë është një tjetër objektiv parësor i strategjisë afatmesme. Realizimi i suksesshëm i këtij objektivi do </w:t>
      </w:r>
      <w:r w:rsidR="00A4298E" w:rsidRPr="00EC6AB6">
        <w:rPr>
          <w:rFonts w:ascii="Garamond" w:hAnsi="Garamond"/>
          <w:sz w:val="24"/>
          <w:szCs w:val="24"/>
          <w:lang w:val="sq-AL"/>
        </w:rPr>
        <w:t xml:space="preserve">të </w:t>
      </w:r>
      <w:r w:rsidRPr="00EC6AB6">
        <w:rPr>
          <w:rFonts w:ascii="Garamond" w:hAnsi="Garamond"/>
          <w:sz w:val="24"/>
          <w:szCs w:val="24"/>
          <w:lang w:val="sq-AL"/>
        </w:rPr>
        <w:t>pasohej me kosto dhe risqe më të ulëta për të gjithë aktorët e tregut, duke përfshirë qeverinë, si edhe investitorët e titujve shtetërorë.</w:t>
      </w:r>
    </w:p>
    <w:p w14:paraId="4333B81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Procesi gjatë të cilit do të synohet të përmbushet ky objektiv do të shtrihet në periudhën afatmesme dhe afatgjatë dhe do të kaloj nëpërmjet hallkave të mëposhtme:</w:t>
      </w:r>
    </w:p>
    <w:p w14:paraId="4333B816" w14:textId="16A33718"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zhvillimit </w:t>
      </w:r>
      <w:r w:rsidR="008B3748" w:rsidRPr="00EC6AB6">
        <w:rPr>
          <w:rFonts w:ascii="Garamond" w:hAnsi="Garamond"/>
          <w:sz w:val="24"/>
          <w:szCs w:val="24"/>
          <w:lang w:val="sq-AL"/>
        </w:rPr>
        <w:t xml:space="preserve">të kurbës së </w:t>
      </w:r>
      <w:r w:rsidR="008B3748" w:rsidRPr="00EC6AB6">
        <w:rPr>
          <w:rFonts w:ascii="Garamond" w:hAnsi="Garamond"/>
          <w:i/>
          <w:sz w:val="24"/>
          <w:szCs w:val="24"/>
          <w:lang w:val="sq-AL"/>
        </w:rPr>
        <w:t>yield</w:t>
      </w:r>
      <w:r w:rsidR="008B3748" w:rsidRPr="00EC6AB6">
        <w:rPr>
          <w:rFonts w:ascii="Garamond" w:hAnsi="Garamond"/>
          <w:sz w:val="24"/>
          <w:szCs w:val="24"/>
          <w:lang w:val="sq-AL"/>
        </w:rPr>
        <w:t>-ve në drejtim të titujve shtetërorë afatmesëm dhe afatgjatë</w:t>
      </w:r>
      <w:r w:rsidR="00753C75" w:rsidRPr="00EC6AB6">
        <w:rPr>
          <w:rFonts w:ascii="Garamond" w:hAnsi="Garamond"/>
          <w:sz w:val="24"/>
          <w:szCs w:val="24"/>
          <w:lang w:val="sq-AL"/>
        </w:rPr>
        <w:t>,</w:t>
      </w:r>
      <w:r w:rsidR="008B3748" w:rsidRPr="00EC6AB6">
        <w:rPr>
          <w:rFonts w:ascii="Garamond" w:hAnsi="Garamond"/>
          <w:sz w:val="24"/>
          <w:szCs w:val="24"/>
          <w:lang w:val="sq-AL"/>
        </w:rPr>
        <w:t xml:space="preserve"> nëpërmjet krijimit dhe konsolidimit të madhësive </w:t>
      </w:r>
      <w:r w:rsidR="008B3748" w:rsidRPr="00EC6AB6">
        <w:rPr>
          <w:rFonts w:ascii="Garamond" w:hAnsi="Garamond"/>
          <w:i/>
          <w:sz w:val="24"/>
          <w:szCs w:val="24"/>
          <w:lang w:val="sq-AL"/>
        </w:rPr>
        <w:t>benchmark</w:t>
      </w:r>
      <w:r w:rsidR="008B3748" w:rsidRPr="00EC6AB6">
        <w:rPr>
          <w:rFonts w:ascii="Garamond" w:hAnsi="Garamond"/>
          <w:sz w:val="24"/>
          <w:szCs w:val="24"/>
          <w:lang w:val="sq-AL"/>
        </w:rPr>
        <w:t>, si edhe reduktimit të fragmentimit të kërkesës;</w:t>
      </w:r>
    </w:p>
    <w:p w14:paraId="4333B817" w14:textId="6CC1AB03"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përshtatjes </w:t>
      </w:r>
      <w:r w:rsidR="008B3748" w:rsidRPr="00EC6AB6">
        <w:rPr>
          <w:rFonts w:ascii="Garamond" w:hAnsi="Garamond"/>
          <w:sz w:val="24"/>
          <w:szCs w:val="24"/>
          <w:lang w:val="sq-AL"/>
        </w:rPr>
        <w:t xml:space="preserve">së politikave të huamarrjes (përfshirë shitjen, parablerjen dhe shkëmbimin e titujve shtetërorë) me kushtet e tregut dhe kërkesën për tituj të caktuar; </w:t>
      </w:r>
    </w:p>
    <w:p w14:paraId="4333B818" w14:textId="2760DCFA"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rritjes </w:t>
      </w:r>
      <w:r w:rsidR="008B3748" w:rsidRPr="00EC6AB6">
        <w:rPr>
          <w:rFonts w:ascii="Garamond" w:hAnsi="Garamond"/>
          <w:sz w:val="24"/>
          <w:szCs w:val="24"/>
          <w:lang w:val="sq-AL"/>
        </w:rPr>
        <w:t>së transparencës nëpërmjet konsultimit të vazhdueshëm me aktorët kryesorë të tregut dhe raportimit e publikimit në kohë të rezultateve të ankandeve të titujve shtetërorë;</w:t>
      </w:r>
    </w:p>
    <w:p w14:paraId="4333B819" w14:textId="33491003"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edukimit </w:t>
      </w:r>
      <w:r w:rsidR="008B3748" w:rsidRPr="00EC6AB6">
        <w:rPr>
          <w:rFonts w:ascii="Garamond" w:hAnsi="Garamond"/>
          <w:sz w:val="24"/>
          <w:szCs w:val="24"/>
          <w:lang w:val="sq-AL"/>
        </w:rPr>
        <w:t xml:space="preserve">të </w:t>
      </w:r>
      <w:r w:rsidR="006E631A" w:rsidRPr="00EC6AB6">
        <w:rPr>
          <w:rFonts w:ascii="Garamond" w:hAnsi="Garamond"/>
          <w:sz w:val="24"/>
          <w:szCs w:val="24"/>
          <w:lang w:val="sq-AL"/>
        </w:rPr>
        <w:t>investitorëve</w:t>
      </w:r>
      <w:r w:rsidR="008B3748" w:rsidRPr="00EC6AB6">
        <w:rPr>
          <w:rFonts w:ascii="Garamond" w:hAnsi="Garamond"/>
          <w:sz w:val="24"/>
          <w:szCs w:val="24"/>
          <w:lang w:val="sq-AL"/>
        </w:rPr>
        <w:t xml:space="preserve"> në lidhje me titujt qeveritare;</w:t>
      </w:r>
    </w:p>
    <w:p w14:paraId="4333B81A" w14:textId="2C46BDD0"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përmirësimit </w:t>
      </w:r>
      <w:r w:rsidR="008B3748" w:rsidRPr="00EC6AB6">
        <w:rPr>
          <w:rFonts w:ascii="Garamond" w:hAnsi="Garamond"/>
          <w:sz w:val="24"/>
          <w:szCs w:val="24"/>
          <w:lang w:val="sq-AL"/>
        </w:rPr>
        <w:t>të mëtejshëm të kuadrit ligjor dhe rregullator për emetimin e titujve shtetërorë;</w:t>
      </w:r>
    </w:p>
    <w:p w14:paraId="4333B81B" w14:textId="45A8552E"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6AF9" w:rsidRPr="00EC6AB6">
        <w:rPr>
          <w:rFonts w:ascii="Garamond" w:hAnsi="Garamond"/>
          <w:sz w:val="24"/>
          <w:szCs w:val="24"/>
          <w:lang w:val="sq-AL"/>
        </w:rPr>
        <w:t xml:space="preserve">diversifikimit </w:t>
      </w:r>
      <w:r w:rsidR="008B3748" w:rsidRPr="00EC6AB6">
        <w:rPr>
          <w:rFonts w:ascii="Garamond" w:hAnsi="Garamond"/>
          <w:sz w:val="24"/>
          <w:szCs w:val="24"/>
          <w:lang w:val="sq-AL"/>
        </w:rPr>
        <w:t>dhe zgjerimit të bazës së investitorëve.</w:t>
      </w:r>
    </w:p>
    <w:p w14:paraId="4333B81D" w14:textId="77777777" w:rsidR="008B3748" w:rsidRPr="00EC6AB6" w:rsidRDefault="008B3748" w:rsidP="00753C75">
      <w:pPr>
        <w:spacing w:after="0" w:line="240" w:lineRule="auto"/>
        <w:ind w:firstLine="288"/>
        <w:rPr>
          <w:rFonts w:ascii="Garamond" w:hAnsi="Garamond"/>
          <w:sz w:val="24"/>
          <w:szCs w:val="24"/>
          <w:lang w:val="sq-AL"/>
        </w:rPr>
      </w:pPr>
      <w:bookmarkStart w:id="6" w:name="_Toc60129444"/>
      <w:r w:rsidRPr="00EC6AB6">
        <w:rPr>
          <w:rFonts w:ascii="Garamond" w:hAnsi="Garamond"/>
          <w:sz w:val="24"/>
          <w:szCs w:val="24"/>
          <w:lang w:val="sq-AL"/>
        </w:rPr>
        <w:t>MENAXHIMI I BORXHIT</w:t>
      </w:r>
      <w:bookmarkEnd w:id="6"/>
    </w:p>
    <w:p w14:paraId="4333B81F" w14:textId="6A9691D5"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Borxhi i </w:t>
      </w:r>
      <w:r w:rsidR="00B217AD" w:rsidRPr="00EC6AB6">
        <w:rPr>
          <w:rFonts w:ascii="Garamond" w:hAnsi="Garamond"/>
          <w:sz w:val="24"/>
          <w:szCs w:val="24"/>
          <w:lang w:val="sq-AL"/>
        </w:rPr>
        <w:t xml:space="preserve">qeverisjes qendrore </w:t>
      </w:r>
      <w:r w:rsidRPr="00EC6AB6">
        <w:rPr>
          <w:rFonts w:ascii="Garamond" w:hAnsi="Garamond"/>
          <w:sz w:val="24"/>
          <w:szCs w:val="24"/>
          <w:lang w:val="sq-AL"/>
        </w:rPr>
        <w:t>gjatë viteve të fundit përgjithësisht është karakterizuar nga një ecuri pozitive, duke qenë në linjë me objektivat makrofiskal</w:t>
      </w:r>
      <w:r w:rsidR="00B217AD" w:rsidRPr="00EC6AB6">
        <w:rPr>
          <w:rFonts w:ascii="Garamond" w:hAnsi="Garamond"/>
          <w:sz w:val="24"/>
          <w:szCs w:val="24"/>
          <w:lang w:val="sq-AL"/>
        </w:rPr>
        <w:t>ë</w:t>
      </w:r>
      <w:r w:rsidRPr="00EC6AB6">
        <w:rPr>
          <w:rFonts w:ascii="Garamond" w:hAnsi="Garamond"/>
          <w:sz w:val="24"/>
          <w:szCs w:val="24"/>
          <w:lang w:val="sq-AL"/>
        </w:rPr>
        <w:t>, nevojat buxhetore për financim dhe objektivat strategjikë afatmesëm të menaxhimit të borxhit.</w:t>
      </w:r>
    </w:p>
    <w:p w14:paraId="4333B820" w14:textId="4353CAF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përputhje me objektivat makrofiskal</w:t>
      </w:r>
      <w:r w:rsidR="00383E14" w:rsidRPr="00EC6AB6">
        <w:rPr>
          <w:rFonts w:ascii="Garamond" w:hAnsi="Garamond"/>
          <w:sz w:val="24"/>
          <w:szCs w:val="24"/>
          <w:lang w:val="sq-AL"/>
        </w:rPr>
        <w:t>ë</w:t>
      </w:r>
      <w:r w:rsidRPr="00EC6AB6">
        <w:rPr>
          <w:rFonts w:ascii="Garamond" w:hAnsi="Garamond"/>
          <w:sz w:val="24"/>
          <w:szCs w:val="24"/>
          <w:lang w:val="sq-AL"/>
        </w:rPr>
        <w:t>, niveli i borxhit të qeverisjes qendrore në raport me PBB</w:t>
      </w:r>
      <w:r w:rsidR="00383E14" w:rsidRPr="00EC6AB6">
        <w:rPr>
          <w:rFonts w:ascii="Garamond" w:hAnsi="Garamond"/>
          <w:sz w:val="24"/>
          <w:szCs w:val="24"/>
          <w:lang w:val="sq-AL"/>
        </w:rPr>
        <w:t>-në</w:t>
      </w:r>
      <w:r w:rsidRPr="00EC6AB6">
        <w:rPr>
          <w:rFonts w:ascii="Garamond" w:hAnsi="Garamond"/>
          <w:sz w:val="24"/>
          <w:szCs w:val="24"/>
          <w:vertAlign w:val="superscript"/>
          <w:lang w:val="sq-AL"/>
        </w:rPr>
        <w:footnoteReference w:id="3"/>
      </w:r>
      <w:r w:rsidRPr="00EC6AB6">
        <w:rPr>
          <w:rFonts w:ascii="Garamond" w:hAnsi="Garamond"/>
          <w:sz w:val="24"/>
          <w:szCs w:val="24"/>
          <w:lang w:val="sq-AL"/>
        </w:rPr>
        <w:t xml:space="preserve"> ka qenë në një trajektore rënëse përgjatë viteve 2016</w:t>
      </w:r>
      <w:r w:rsidR="00383E14" w:rsidRPr="00EC6AB6">
        <w:rPr>
          <w:rFonts w:ascii="Garamond" w:hAnsi="Garamond"/>
          <w:sz w:val="24"/>
          <w:szCs w:val="24"/>
          <w:lang w:val="sq-AL"/>
        </w:rPr>
        <w:t>–</w:t>
      </w:r>
      <w:r w:rsidRPr="00EC6AB6">
        <w:rPr>
          <w:rFonts w:ascii="Garamond" w:hAnsi="Garamond"/>
          <w:sz w:val="24"/>
          <w:szCs w:val="24"/>
          <w:lang w:val="sq-AL"/>
        </w:rPr>
        <w:t xml:space="preserve">2019. Gjatë vitit 2020, niveli i borxhit të qeverisjes qendrore u rrit si pasojë e masave të mara për të bërë të mundur tejkalimin e pasojave negative prej dy fatkeqësive natyrore që goditën vendin në mënyrë të njëpasnjëshme: tërmeti i 26 </w:t>
      </w:r>
      <w:r w:rsidR="00383E14" w:rsidRPr="00EC6AB6">
        <w:rPr>
          <w:rFonts w:ascii="Garamond" w:hAnsi="Garamond"/>
          <w:sz w:val="24"/>
          <w:szCs w:val="24"/>
          <w:lang w:val="sq-AL"/>
        </w:rPr>
        <w:t xml:space="preserve">nëntorit </w:t>
      </w:r>
      <w:r w:rsidRPr="00EC6AB6">
        <w:rPr>
          <w:rFonts w:ascii="Garamond" w:hAnsi="Garamond"/>
          <w:sz w:val="24"/>
          <w:szCs w:val="24"/>
          <w:lang w:val="sq-AL"/>
        </w:rPr>
        <w:t xml:space="preserve">2019 dhe pandemia e shkaktuar nga COVID-19, si dhe për shkak të thellimit të </w:t>
      </w:r>
      <w:r w:rsidR="00CE6BE8" w:rsidRPr="00EC6AB6">
        <w:rPr>
          <w:rFonts w:ascii="Garamond" w:hAnsi="Garamond"/>
          <w:sz w:val="24"/>
          <w:szCs w:val="24"/>
          <w:lang w:val="sq-AL"/>
        </w:rPr>
        <w:t>deficitit</w:t>
      </w:r>
      <w:r w:rsidRPr="00EC6AB6">
        <w:rPr>
          <w:rFonts w:ascii="Garamond" w:hAnsi="Garamond"/>
          <w:sz w:val="24"/>
          <w:szCs w:val="24"/>
          <w:lang w:val="sq-AL"/>
        </w:rPr>
        <w:t xml:space="preserve"> në kushtet ku të ardhurat pësuan ulje të ndjeshme në situatën e pandemisë. Vlerësimet për fundin e vitit 2020 parashikojnë një nivel të borxhit të qeverisjes qendrore rreth 80% të PBB</w:t>
      </w:r>
      <w:r w:rsidR="00CE6BE8" w:rsidRPr="00EC6AB6">
        <w:rPr>
          <w:rFonts w:ascii="Garamond" w:hAnsi="Garamond"/>
          <w:sz w:val="24"/>
          <w:szCs w:val="24"/>
          <w:lang w:val="sq-AL"/>
        </w:rPr>
        <w:t>-së</w:t>
      </w:r>
      <w:r w:rsidRPr="00EC6AB6">
        <w:rPr>
          <w:rFonts w:ascii="Garamond" w:hAnsi="Garamond"/>
          <w:sz w:val="24"/>
          <w:szCs w:val="24"/>
          <w:lang w:val="sq-AL"/>
        </w:rPr>
        <w:t>, duke synuar rikthimin në trajektoren rënëse duke filluar nga viti 2021.</w:t>
      </w:r>
      <w:r w:rsidR="00FA2519" w:rsidRPr="00EC6AB6">
        <w:rPr>
          <w:rFonts w:ascii="Garamond" w:hAnsi="Garamond"/>
          <w:sz w:val="24"/>
          <w:szCs w:val="24"/>
          <w:lang w:val="sq-AL"/>
        </w:rPr>
        <w:t xml:space="preserve"> </w:t>
      </w:r>
    </w:p>
    <w:p w14:paraId="4333B821" w14:textId="612F528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Huamarrja i është përgjigjur nevojave buxhetore, të cilat gjatë vitit 2020 kanë qenë të rritura, duke mundësuar rifinancimin e borxhit ekzistues, plotësimin e nevojave për likuiditet dhe </w:t>
      </w:r>
      <w:r w:rsidRPr="00EC6AB6">
        <w:rPr>
          <w:rFonts w:ascii="Garamond" w:hAnsi="Garamond"/>
          <w:sz w:val="24"/>
          <w:szCs w:val="24"/>
          <w:lang w:val="sq-AL"/>
        </w:rPr>
        <w:lastRenderedPageBreak/>
        <w:t>financimin e deficitit të planifikuar. Gjatë pesëvjeçarit të fundit, burimet e brendshme të financimit kanë mbajtur peshën kryesore në mbulimin e nevojave për huamarrje në terma bruto. Megjithatë</w:t>
      </w:r>
      <w:r w:rsidR="00217CEA" w:rsidRPr="00EC6AB6">
        <w:rPr>
          <w:rFonts w:ascii="Garamond" w:hAnsi="Garamond"/>
          <w:sz w:val="24"/>
          <w:szCs w:val="24"/>
          <w:lang w:val="sq-AL"/>
        </w:rPr>
        <w:t>, në vitin 2018 dhe 2020, ka pa</w:t>
      </w:r>
      <w:r w:rsidR="00CE6BE8" w:rsidRPr="00EC6AB6">
        <w:rPr>
          <w:rFonts w:ascii="Garamond" w:hAnsi="Garamond"/>
          <w:sz w:val="24"/>
          <w:szCs w:val="24"/>
          <w:lang w:val="sq-AL"/>
        </w:rPr>
        <w:t>s</w:t>
      </w:r>
      <w:r w:rsidRPr="00EC6AB6">
        <w:rPr>
          <w:rFonts w:ascii="Garamond" w:hAnsi="Garamond"/>
          <w:sz w:val="24"/>
          <w:szCs w:val="24"/>
          <w:lang w:val="sq-AL"/>
        </w:rPr>
        <w:t xml:space="preserve">ur një rol të rëndësishëm huamarrja e huaj në funksion të mirëmenaxhimit të likuiditetit dhe </w:t>
      </w:r>
      <w:r w:rsidR="00217CEA" w:rsidRPr="00EC6AB6">
        <w:rPr>
          <w:rFonts w:ascii="Garamond" w:hAnsi="Garamond"/>
          <w:sz w:val="24"/>
          <w:szCs w:val="24"/>
          <w:lang w:val="sq-AL"/>
        </w:rPr>
        <w:t xml:space="preserve">të </w:t>
      </w:r>
      <w:r w:rsidRPr="00EC6AB6">
        <w:rPr>
          <w:rFonts w:ascii="Garamond" w:hAnsi="Garamond"/>
          <w:sz w:val="24"/>
          <w:szCs w:val="24"/>
          <w:lang w:val="sq-AL"/>
        </w:rPr>
        <w:t xml:space="preserve">shlyerjes së detyrimeve të borxhit në valutë për periudhën afatshkurtër dhe afatmesme. Kjo mënyrë huamarrje u diktua nga rënia e normave të interesit në tregjet ndërkombëtare, si edhe nga kushtet e favorshme të financimit nga institucionet financiare ndërkombëtare. Zhvillimin kryesor në këtë aspekt </w:t>
      </w:r>
      <w:r w:rsidR="00CE6BE8" w:rsidRPr="00EC6AB6">
        <w:rPr>
          <w:rFonts w:ascii="Garamond" w:hAnsi="Garamond"/>
          <w:sz w:val="24"/>
          <w:szCs w:val="24"/>
          <w:lang w:val="sq-AL"/>
        </w:rPr>
        <w:t xml:space="preserve">e ka mbajtur emetimi i </w:t>
      </w:r>
      <w:r w:rsidR="00E9550A" w:rsidRPr="00E9550A">
        <w:rPr>
          <w:rFonts w:ascii="Garamond" w:hAnsi="Garamond"/>
          <w:sz w:val="24"/>
          <w:szCs w:val="24"/>
          <w:lang w:val="sq-AL"/>
        </w:rPr>
        <w:t>eurobondit</w:t>
      </w:r>
      <w:r w:rsidR="00E9550A" w:rsidRPr="00EC6AB6">
        <w:rPr>
          <w:rFonts w:ascii="Garamond" w:hAnsi="Garamond"/>
          <w:sz w:val="24"/>
          <w:szCs w:val="24"/>
          <w:lang w:val="sq-AL"/>
        </w:rPr>
        <w:t xml:space="preserve"> </w:t>
      </w:r>
      <w:r w:rsidRPr="00EC6AB6">
        <w:rPr>
          <w:rFonts w:ascii="Garamond" w:hAnsi="Garamond"/>
          <w:sz w:val="24"/>
          <w:szCs w:val="24"/>
          <w:lang w:val="sq-AL"/>
        </w:rPr>
        <w:t>në shumën 500 milion</w:t>
      </w:r>
      <w:r w:rsidR="00217CEA" w:rsidRPr="00EC6AB6">
        <w:rPr>
          <w:rFonts w:ascii="Garamond" w:hAnsi="Garamond"/>
          <w:sz w:val="24"/>
          <w:szCs w:val="24"/>
          <w:lang w:val="sq-AL"/>
        </w:rPr>
        <w:t>ë</w:t>
      </w:r>
      <w:r w:rsidRPr="00EC6AB6">
        <w:rPr>
          <w:rFonts w:ascii="Garamond" w:hAnsi="Garamond"/>
          <w:sz w:val="24"/>
          <w:szCs w:val="24"/>
          <w:lang w:val="sq-AL"/>
        </w:rPr>
        <w:t xml:space="preserve"> euro në fund të vitit 2018, i cili u shoqërua me procesin e parablerjes së pjesshme </w:t>
      </w:r>
      <w:r w:rsidRPr="00EC6AB6">
        <w:rPr>
          <w:rFonts w:ascii="Garamond" w:hAnsi="Garamond"/>
          <w:i/>
          <w:sz w:val="24"/>
          <w:szCs w:val="24"/>
          <w:lang w:val="sq-AL"/>
        </w:rPr>
        <w:t>(buyback)</w:t>
      </w:r>
      <w:r w:rsidR="00CE6BE8" w:rsidRPr="00EC6AB6">
        <w:rPr>
          <w:rFonts w:ascii="Garamond" w:hAnsi="Garamond"/>
          <w:sz w:val="24"/>
          <w:szCs w:val="24"/>
          <w:lang w:val="sq-AL"/>
        </w:rPr>
        <w:t xml:space="preserve"> të </w:t>
      </w:r>
      <w:r w:rsidR="00E9550A" w:rsidRPr="00EC6AB6">
        <w:rPr>
          <w:rFonts w:ascii="Garamond" w:hAnsi="Garamond"/>
          <w:sz w:val="24"/>
          <w:szCs w:val="24"/>
          <w:lang w:val="sq-AL"/>
        </w:rPr>
        <w:t xml:space="preserve">eurobondit </w:t>
      </w:r>
      <w:r w:rsidRPr="00EC6AB6">
        <w:rPr>
          <w:rFonts w:ascii="Garamond" w:hAnsi="Garamond"/>
          <w:sz w:val="24"/>
          <w:szCs w:val="24"/>
          <w:lang w:val="sq-AL"/>
        </w:rPr>
        <w:t xml:space="preserve">ekzistues në vlerën </w:t>
      </w:r>
      <w:r w:rsidRPr="00A04654">
        <w:rPr>
          <w:rFonts w:ascii="Garamond" w:hAnsi="Garamond"/>
          <w:sz w:val="24"/>
          <w:szCs w:val="24"/>
          <w:lang w:val="sq-AL"/>
        </w:rPr>
        <w:t>prej</w:t>
      </w:r>
      <w:r w:rsidRPr="00EC6AB6">
        <w:rPr>
          <w:rFonts w:ascii="Garamond" w:hAnsi="Garamond"/>
          <w:sz w:val="24"/>
          <w:szCs w:val="24"/>
          <w:lang w:val="sq-AL"/>
        </w:rPr>
        <w:t xml:space="preserve"> 200 milion</w:t>
      </w:r>
      <w:r w:rsidR="00217CEA" w:rsidRPr="00EC6AB6">
        <w:rPr>
          <w:rFonts w:ascii="Garamond" w:hAnsi="Garamond"/>
          <w:sz w:val="24"/>
          <w:szCs w:val="24"/>
          <w:lang w:val="sq-AL"/>
        </w:rPr>
        <w:t>ë</w:t>
      </w:r>
      <w:r w:rsidRPr="00EC6AB6">
        <w:rPr>
          <w:rFonts w:ascii="Garamond" w:hAnsi="Garamond"/>
          <w:sz w:val="24"/>
          <w:szCs w:val="24"/>
          <w:lang w:val="sq-AL"/>
        </w:rPr>
        <w:t xml:space="preserve"> </w:t>
      </w:r>
      <w:r w:rsidR="00217CEA" w:rsidRPr="00EC6AB6">
        <w:rPr>
          <w:rFonts w:ascii="Garamond" w:hAnsi="Garamond"/>
          <w:sz w:val="24"/>
          <w:szCs w:val="24"/>
          <w:lang w:val="sq-AL"/>
        </w:rPr>
        <w:t>eurosh</w:t>
      </w:r>
      <w:r w:rsidRPr="00EC6AB6">
        <w:rPr>
          <w:rFonts w:ascii="Garamond" w:hAnsi="Garamond"/>
          <w:sz w:val="24"/>
          <w:szCs w:val="24"/>
          <w:lang w:val="sq-AL"/>
        </w:rPr>
        <w:t xml:space="preserve">, si edhe emetimi i </w:t>
      </w:r>
      <w:r w:rsidR="00E9550A" w:rsidRPr="00EC6AB6">
        <w:rPr>
          <w:rFonts w:ascii="Garamond" w:hAnsi="Garamond"/>
          <w:sz w:val="24"/>
          <w:szCs w:val="24"/>
          <w:lang w:val="sq-AL"/>
        </w:rPr>
        <w:t xml:space="preserve">eurobondit </w:t>
      </w:r>
      <w:r w:rsidRPr="00EC6AB6">
        <w:rPr>
          <w:rFonts w:ascii="Garamond" w:hAnsi="Garamond"/>
          <w:sz w:val="24"/>
          <w:szCs w:val="24"/>
          <w:lang w:val="sq-AL"/>
        </w:rPr>
        <w:t>në shumën 650 milion</w:t>
      </w:r>
      <w:r w:rsidR="00EF04EF" w:rsidRPr="00EC6AB6">
        <w:rPr>
          <w:rFonts w:ascii="Garamond" w:hAnsi="Garamond"/>
          <w:sz w:val="24"/>
          <w:szCs w:val="24"/>
          <w:lang w:val="sq-AL"/>
        </w:rPr>
        <w:t>ë</w:t>
      </w:r>
      <w:r w:rsidRPr="00EC6AB6">
        <w:rPr>
          <w:rFonts w:ascii="Garamond" w:hAnsi="Garamond"/>
          <w:sz w:val="24"/>
          <w:szCs w:val="24"/>
          <w:lang w:val="sq-AL"/>
        </w:rPr>
        <w:t xml:space="preserve"> euro në vitin 2020, i cili përveçse plotësoi nevojat për likuiditet, përçoi një sinjal pozitiv për</w:t>
      </w:r>
      <w:r w:rsidR="00CE6BE8" w:rsidRPr="00EC6AB6">
        <w:rPr>
          <w:rFonts w:ascii="Garamond" w:hAnsi="Garamond"/>
          <w:sz w:val="24"/>
          <w:szCs w:val="24"/>
          <w:lang w:val="sq-AL"/>
        </w:rPr>
        <w:t xml:space="preserve"> </w:t>
      </w:r>
      <w:r w:rsidRPr="00EC6AB6">
        <w:rPr>
          <w:rFonts w:ascii="Garamond" w:hAnsi="Garamond"/>
          <w:sz w:val="24"/>
          <w:szCs w:val="24"/>
          <w:lang w:val="sq-AL"/>
        </w:rPr>
        <w:t>sa i përket aftësisë për të siguruar fonde dhe qëndrueshmërisë së financave publike në Republikën e Shqipërisë.</w:t>
      </w:r>
      <w:r w:rsidR="00FA2519" w:rsidRPr="00EC6AB6">
        <w:rPr>
          <w:rFonts w:ascii="Garamond" w:hAnsi="Garamond"/>
          <w:sz w:val="24"/>
          <w:szCs w:val="24"/>
          <w:lang w:val="sq-AL"/>
        </w:rPr>
        <w:t xml:space="preserve"> </w:t>
      </w:r>
    </w:p>
    <w:p w14:paraId="4333B822"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Objektivat strategjikë afatmesëm të menaxhimit të borxhit përgjithësisht janë përmbushur, si në drejtim të arritjes së raporteve optimale ndërmjet kostos dhe risqeve, ashtu edhe në aspektin e zhvillimit të tregut të titujve shtetërorë.</w:t>
      </w:r>
    </w:p>
    <w:p w14:paraId="4333B823" w14:textId="14DA06E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Ekspozimi më i ulët ndaj risqeve është arritur nëpërmjet përqendrimit më të lartë të huamarrjes së brendshme te titujt afatgjatë me norma interesi fikse.</w:t>
      </w:r>
    </w:p>
    <w:p w14:paraId="4333B824"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ana tjetër, rënia e normave të interesit shoqëruar me përdorimin më të lartë të burimeve të huaja të financimit me natyrë dypalëshe dhe shumëpalëshe, kanë ndikuar në optimizimin e kostos së përgjithshme të huamarrjes.</w:t>
      </w:r>
    </w:p>
    <w:p w14:paraId="4333B82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këtë aspekt, vlen të përmendet se gjatë viteve të fundit kostot për njësi të borxhit, janë ulur ndjeshëm, pavarësisht rritjes së stokut të borxhit në vlerë absolute. </w:t>
      </w:r>
    </w:p>
    <w:p w14:paraId="4333B826" w14:textId="6FF5DDD8"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funksion të arritjes së objektivit për përmirësimin e mëtejshëm të tregut primar të titujve shtetërorë, si edhe krijimin e kushteve për zhvillimin e tregut sekondar, janë ndjekur hapat e nevojshëm që kanë synuar rritjen e </w:t>
      </w:r>
      <w:r w:rsidR="00CE6BE8" w:rsidRPr="00EC6AB6">
        <w:rPr>
          <w:rFonts w:ascii="Garamond" w:hAnsi="Garamond"/>
          <w:sz w:val="24"/>
          <w:szCs w:val="24"/>
          <w:lang w:val="sq-AL"/>
        </w:rPr>
        <w:t>eficienc</w:t>
      </w:r>
      <w:r w:rsidRPr="00EC6AB6">
        <w:rPr>
          <w:rFonts w:ascii="Garamond" w:hAnsi="Garamond"/>
          <w:sz w:val="24"/>
          <w:szCs w:val="24"/>
          <w:lang w:val="sq-AL"/>
        </w:rPr>
        <w:t>ës, likuiditetit dhe transparencës.</w:t>
      </w:r>
    </w:p>
    <w:p w14:paraId="4333B827" w14:textId="38984B65"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këtë drejtim vlen të përmendet zbatimi i projektit pilot për emetimin e obligacioneve referencë, i cili ka filluar me obligacionin 5</w:t>
      </w:r>
      <w:r w:rsidR="00BF168B" w:rsidRPr="00EC6AB6">
        <w:rPr>
          <w:rFonts w:ascii="Garamond" w:hAnsi="Garamond"/>
          <w:sz w:val="24"/>
          <w:szCs w:val="24"/>
          <w:lang w:val="sq-AL"/>
        </w:rPr>
        <w:t>-</w:t>
      </w:r>
      <w:r w:rsidRPr="00EC6AB6">
        <w:rPr>
          <w:rFonts w:ascii="Garamond" w:hAnsi="Garamond"/>
          <w:sz w:val="24"/>
          <w:szCs w:val="24"/>
          <w:lang w:val="sq-AL"/>
        </w:rPr>
        <w:t>vjeçar gjatë vitit 2018 dhe është shtrirë edhe në obligacionin 3</w:t>
      </w:r>
      <w:r w:rsidR="00BF168B" w:rsidRPr="00EC6AB6">
        <w:rPr>
          <w:rFonts w:ascii="Garamond" w:hAnsi="Garamond"/>
          <w:sz w:val="24"/>
          <w:szCs w:val="24"/>
          <w:lang w:val="sq-AL"/>
        </w:rPr>
        <w:t>-</w:t>
      </w:r>
      <w:r w:rsidRPr="00EC6AB6">
        <w:rPr>
          <w:rFonts w:ascii="Garamond" w:hAnsi="Garamond"/>
          <w:sz w:val="24"/>
          <w:szCs w:val="24"/>
          <w:lang w:val="sq-AL"/>
        </w:rPr>
        <w:t xml:space="preserve">vjeçar gjatë vitit 2019. </w:t>
      </w:r>
    </w:p>
    <w:p w14:paraId="4333B828" w14:textId="618DED9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ana tjetër, baza e investitorëve për titujt shtetërorë, megjithëse mbetet ende jo shumë e diversifikuar</w:t>
      </w:r>
      <w:r w:rsidR="00BF168B" w:rsidRPr="00EC6AB6">
        <w:rPr>
          <w:rFonts w:ascii="Garamond" w:hAnsi="Garamond"/>
          <w:sz w:val="24"/>
          <w:szCs w:val="24"/>
          <w:lang w:val="sq-AL"/>
        </w:rPr>
        <w:t xml:space="preserve"> dhe e përqendruar kryesisht te</w:t>
      </w:r>
      <w:r w:rsidRPr="00EC6AB6">
        <w:rPr>
          <w:rFonts w:ascii="Garamond" w:hAnsi="Garamond"/>
          <w:sz w:val="24"/>
          <w:szCs w:val="24"/>
          <w:lang w:val="sq-AL"/>
        </w:rPr>
        <w:t xml:space="preserve"> sektori bankar, ka shfaqur një shtrirje më t</w:t>
      </w:r>
      <w:r w:rsidR="00BF168B" w:rsidRPr="00EC6AB6">
        <w:rPr>
          <w:rFonts w:ascii="Garamond" w:hAnsi="Garamond"/>
          <w:sz w:val="24"/>
          <w:szCs w:val="24"/>
          <w:lang w:val="sq-AL"/>
        </w:rPr>
        <w:t>ë gjerë drejt institucioneve jo</w:t>
      </w:r>
      <w:r w:rsidRPr="00EC6AB6">
        <w:rPr>
          <w:rFonts w:ascii="Garamond" w:hAnsi="Garamond"/>
          <w:sz w:val="24"/>
          <w:szCs w:val="24"/>
          <w:lang w:val="sq-AL"/>
        </w:rPr>
        <w:t>financiare, financiare jobanka, si edhe drejt individëve.</w:t>
      </w:r>
    </w:p>
    <w:p w14:paraId="4333B82A" w14:textId="77777777" w:rsidR="008B3748" w:rsidRPr="00EC6AB6" w:rsidRDefault="00F833AA" w:rsidP="00F833AA">
      <w:pPr>
        <w:spacing w:after="0" w:line="240" w:lineRule="auto"/>
        <w:rPr>
          <w:rFonts w:ascii="Garamond" w:hAnsi="Garamond"/>
          <w:sz w:val="24"/>
          <w:szCs w:val="24"/>
          <w:lang w:val="sq-AL"/>
        </w:rPr>
      </w:pPr>
      <w:bookmarkStart w:id="7" w:name="_Toc60129445"/>
      <w:r w:rsidRPr="00EC6AB6">
        <w:rPr>
          <w:rFonts w:ascii="Garamond" w:hAnsi="Garamond"/>
          <w:sz w:val="24"/>
          <w:szCs w:val="24"/>
          <w:lang w:val="sq-AL"/>
        </w:rPr>
        <w:t xml:space="preserve">I. </w:t>
      </w:r>
      <w:r w:rsidR="008B3748" w:rsidRPr="00EC6AB6">
        <w:rPr>
          <w:rFonts w:ascii="Garamond" w:hAnsi="Garamond"/>
          <w:sz w:val="24"/>
          <w:szCs w:val="24"/>
          <w:lang w:val="sq-AL"/>
        </w:rPr>
        <w:t>SITUATA E BORXHIT TË QEVERISJES QENDRORE</w:t>
      </w:r>
      <w:bookmarkEnd w:id="7"/>
    </w:p>
    <w:p w14:paraId="4333B82B" w14:textId="02B56D8A" w:rsidR="008B3748" w:rsidRPr="00EC6AB6" w:rsidRDefault="00F833AA" w:rsidP="008B3748">
      <w:pPr>
        <w:spacing w:after="0" w:line="240" w:lineRule="auto"/>
        <w:rPr>
          <w:rFonts w:ascii="Garamond" w:hAnsi="Garamond"/>
          <w:sz w:val="24"/>
          <w:szCs w:val="24"/>
          <w:lang w:val="sq-AL"/>
        </w:rPr>
      </w:pPr>
      <w:bookmarkStart w:id="8" w:name="_Toc60129446"/>
      <w:r w:rsidRPr="00EC6AB6">
        <w:rPr>
          <w:rFonts w:ascii="Garamond" w:hAnsi="Garamond"/>
          <w:sz w:val="24"/>
          <w:szCs w:val="24"/>
          <w:lang w:val="sq-AL"/>
        </w:rPr>
        <w:t xml:space="preserve">1. </w:t>
      </w:r>
      <w:r w:rsidR="008B3748" w:rsidRPr="00EC6AB6">
        <w:rPr>
          <w:rFonts w:ascii="Garamond" w:hAnsi="Garamond"/>
          <w:sz w:val="24"/>
          <w:szCs w:val="24"/>
          <w:lang w:val="sq-AL"/>
        </w:rPr>
        <w:t xml:space="preserve">Ecuria e </w:t>
      </w:r>
      <w:r w:rsidR="00BF168B" w:rsidRPr="00EC6AB6">
        <w:rPr>
          <w:rFonts w:ascii="Garamond" w:hAnsi="Garamond"/>
          <w:sz w:val="24"/>
          <w:szCs w:val="24"/>
          <w:lang w:val="sq-AL"/>
        </w:rPr>
        <w:t>borxhit të qeverisjes qendrore</w:t>
      </w:r>
      <w:bookmarkEnd w:id="8"/>
    </w:p>
    <w:p w14:paraId="4333B82C" w14:textId="4929869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përputhje me </w:t>
      </w:r>
      <w:r w:rsidR="00BF168B" w:rsidRPr="00EC6AB6">
        <w:rPr>
          <w:rFonts w:ascii="Garamond" w:hAnsi="Garamond"/>
          <w:sz w:val="24"/>
          <w:szCs w:val="24"/>
          <w:lang w:val="sq-AL"/>
        </w:rPr>
        <w:t xml:space="preserve">objektivat makrofiskalë </w:t>
      </w:r>
      <w:r w:rsidRPr="00EC6AB6">
        <w:rPr>
          <w:rFonts w:ascii="Garamond" w:hAnsi="Garamond"/>
          <w:sz w:val="24"/>
          <w:szCs w:val="24"/>
          <w:lang w:val="sq-AL"/>
        </w:rPr>
        <w:t>për konsolidimin e financave publike, niveli i borxhit të qeverisjes qendrore në raport me PBB</w:t>
      </w:r>
      <w:r w:rsidR="00EE1858" w:rsidRPr="00EC6AB6">
        <w:rPr>
          <w:rFonts w:ascii="Garamond" w:hAnsi="Garamond"/>
          <w:sz w:val="24"/>
          <w:szCs w:val="24"/>
          <w:lang w:val="sq-AL"/>
        </w:rPr>
        <w:t>-në,</w:t>
      </w:r>
      <w:r w:rsidRPr="00EC6AB6">
        <w:rPr>
          <w:rFonts w:ascii="Garamond" w:hAnsi="Garamond"/>
          <w:sz w:val="24"/>
          <w:szCs w:val="24"/>
          <w:lang w:val="sq-AL"/>
        </w:rPr>
        <w:t xml:space="preserve"> duke filluar nga viti 2016 deri në fund të vitit 2019 ka qenë në një trajektore rënëse. Gjatë vitit 2020, stoku i borxhit të qeverisjes qendrore ka shënuar rritje si pasojë e masave të mara për të bërë të mundur tejkalimin e pasojave negative prej dy fatkeqësive natyrore që goditën vendin në mënyrë të njëpasnjëshme: tërmeti i 26 </w:t>
      </w:r>
      <w:r w:rsidR="00EE1858" w:rsidRPr="00EC6AB6">
        <w:rPr>
          <w:rFonts w:ascii="Garamond" w:hAnsi="Garamond"/>
          <w:sz w:val="24"/>
          <w:szCs w:val="24"/>
          <w:lang w:val="sq-AL"/>
        </w:rPr>
        <w:t xml:space="preserve">nëntorit </w:t>
      </w:r>
      <w:r w:rsidRPr="00EC6AB6">
        <w:rPr>
          <w:rFonts w:ascii="Garamond" w:hAnsi="Garamond"/>
          <w:sz w:val="24"/>
          <w:szCs w:val="24"/>
          <w:lang w:val="sq-AL"/>
        </w:rPr>
        <w:t xml:space="preserve">2019 dhe pandemia e shkaktuar nga COVID-19. Vlerësimet për fundin e vitit 2020 parashikojnë një nivel të borxhit të </w:t>
      </w:r>
      <w:r w:rsidR="00CE6BE8" w:rsidRPr="00EC6AB6">
        <w:rPr>
          <w:rFonts w:ascii="Garamond" w:hAnsi="Garamond"/>
          <w:sz w:val="24"/>
          <w:szCs w:val="24"/>
          <w:lang w:val="sq-AL"/>
        </w:rPr>
        <w:t>qeverisjes</w:t>
      </w:r>
      <w:r w:rsidRPr="00EC6AB6">
        <w:rPr>
          <w:rFonts w:ascii="Garamond" w:hAnsi="Garamond"/>
          <w:sz w:val="24"/>
          <w:szCs w:val="24"/>
          <w:lang w:val="sq-AL"/>
        </w:rPr>
        <w:t xml:space="preserve"> qendrore rreth 80% të PBB</w:t>
      </w:r>
      <w:r w:rsidR="00CE6BE8" w:rsidRPr="00EC6AB6">
        <w:rPr>
          <w:rFonts w:ascii="Garamond" w:hAnsi="Garamond"/>
          <w:sz w:val="24"/>
          <w:szCs w:val="24"/>
          <w:lang w:val="sq-AL"/>
        </w:rPr>
        <w:t>-së</w:t>
      </w:r>
      <w:r w:rsidRPr="00EC6AB6">
        <w:rPr>
          <w:rFonts w:ascii="Garamond" w:hAnsi="Garamond"/>
          <w:sz w:val="24"/>
          <w:szCs w:val="24"/>
          <w:lang w:val="sq-AL"/>
        </w:rPr>
        <w:t xml:space="preserve">. </w:t>
      </w:r>
    </w:p>
    <w:p w14:paraId="1A8B118E" w14:textId="77777777" w:rsidR="00CE6BE8" w:rsidRPr="00EC6AB6" w:rsidRDefault="00CE6BE8" w:rsidP="008B3748">
      <w:pPr>
        <w:spacing w:after="0" w:line="240" w:lineRule="auto"/>
        <w:rPr>
          <w:rFonts w:ascii="Garamond" w:hAnsi="Garamond"/>
          <w:sz w:val="24"/>
          <w:szCs w:val="24"/>
          <w:lang w:val="sq-AL"/>
        </w:rPr>
      </w:pPr>
    </w:p>
    <w:p w14:paraId="591C4882" w14:textId="77777777" w:rsidR="00EE1858" w:rsidRPr="00EC6AB6" w:rsidRDefault="00EE1858" w:rsidP="00CE6BE8">
      <w:pPr>
        <w:spacing w:after="0" w:line="240" w:lineRule="auto"/>
        <w:ind w:firstLine="0"/>
        <w:jc w:val="center"/>
        <w:rPr>
          <w:rFonts w:ascii="Garamond" w:hAnsi="Garamond"/>
          <w:b/>
          <w:sz w:val="20"/>
          <w:szCs w:val="20"/>
          <w:lang w:val="sq-AL"/>
        </w:rPr>
      </w:pPr>
    </w:p>
    <w:p w14:paraId="2D168948" w14:textId="77777777" w:rsidR="00EE1858" w:rsidRPr="00EC6AB6" w:rsidRDefault="00EE1858" w:rsidP="00CE6BE8">
      <w:pPr>
        <w:spacing w:after="0" w:line="240" w:lineRule="auto"/>
        <w:ind w:firstLine="0"/>
        <w:jc w:val="center"/>
        <w:rPr>
          <w:rFonts w:ascii="Garamond" w:hAnsi="Garamond"/>
          <w:b/>
          <w:sz w:val="20"/>
          <w:szCs w:val="20"/>
          <w:lang w:val="sq-AL"/>
        </w:rPr>
      </w:pPr>
    </w:p>
    <w:p w14:paraId="549D51C4" w14:textId="77777777" w:rsidR="00EE1858" w:rsidRPr="00EC6AB6" w:rsidRDefault="00EE1858" w:rsidP="00CE6BE8">
      <w:pPr>
        <w:spacing w:after="0" w:line="240" w:lineRule="auto"/>
        <w:ind w:firstLine="0"/>
        <w:jc w:val="center"/>
        <w:rPr>
          <w:rFonts w:ascii="Garamond" w:hAnsi="Garamond"/>
          <w:b/>
          <w:sz w:val="20"/>
          <w:szCs w:val="20"/>
          <w:lang w:val="sq-AL"/>
        </w:rPr>
      </w:pPr>
    </w:p>
    <w:p w14:paraId="3256B867" w14:textId="77777777" w:rsidR="00EE1858" w:rsidRPr="00EC6AB6" w:rsidRDefault="00EE1858" w:rsidP="00CE6BE8">
      <w:pPr>
        <w:spacing w:after="0" w:line="240" w:lineRule="auto"/>
        <w:ind w:firstLine="0"/>
        <w:jc w:val="center"/>
        <w:rPr>
          <w:rFonts w:ascii="Garamond" w:hAnsi="Garamond"/>
          <w:b/>
          <w:sz w:val="20"/>
          <w:szCs w:val="20"/>
          <w:lang w:val="sq-AL"/>
        </w:rPr>
      </w:pPr>
    </w:p>
    <w:p w14:paraId="43ED05FC" w14:textId="77777777" w:rsidR="00EE1858" w:rsidRPr="00EC6AB6" w:rsidRDefault="00EE1858" w:rsidP="00CE6BE8">
      <w:pPr>
        <w:spacing w:after="0" w:line="240" w:lineRule="auto"/>
        <w:ind w:firstLine="0"/>
        <w:jc w:val="center"/>
        <w:rPr>
          <w:rFonts w:ascii="Garamond" w:hAnsi="Garamond"/>
          <w:b/>
          <w:sz w:val="20"/>
          <w:szCs w:val="20"/>
          <w:lang w:val="sq-AL"/>
        </w:rPr>
      </w:pPr>
    </w:p>
    <w:p w14:paraId="770B61B8" w14:textId="77777777" w:rsidR="00EE1858" w:rsidRPr="00EC6AB6" w:rsidRDefault="00EE1858" w:rsidP="00CE6BE8">
      <w:pPr>
        <w:spacing w:after="0" w:line="240" w:lineRule="auto"/>
        <w:ind w:firstLine="0"/>
        <w:jc w:val="center"/>
        <w:rPr>
          <w:rFonts w:ascii="Garamond" w:hAnsi="Garamond"/>
          <w:b/>
          <w:sz w:val="20"/>
          <w:szCs w:val="20"/>
          <w:lang w:val="sq-AL"/>
        </w:rPr>
      </w:pPr>
    </w:p>
    <w:p w14:paraId="0AB0D37F" w14:textId="77777777" w:rsidR="00EE1858" w:rsidRPr="00EC6AB6" w:rsidRDefault="00EE1858" w:rsidP="00CE6BE8">
      <w:pPr>
        <w:spacing w:after="0" w:line="240" w:lineRule="auto"/>
        <w:ind w:firstLine="0"/>
        <w:jc w:val="center"/>
        <w:rPr>
          <w:rFonts w:ascii="Garamond" w:hAnsi="Garamond"/>
          <w:b/>
          <w:sz w:val="20"/>
          <w:szCs w:val="20"/>
          <w:lang w:val="sq-AL"/>
        </w:rPr>
      </w:pPr>
    </w:p>
    <w:p w14:paraId="3CAE6828" w14:textId="77777777" w:rsidR="00EE1858" w:rsidRPr="00EC6AB6" w:rsidRDefault="00EE1858" w:rsidP="00CE6BE8">
      <w:pPr>
        <w:spacing w:after="0" w:line="240" w:lineRule="auto"/>
        <w:ind w:firstLine="0"/>
        <w:jc w:val="center"/>
        <w:rPr>
          <w:rFonts w:ascii="Garamond" w:hAnsi="Garamond"/>
          <w:b/>
          <w:sz w:val="20"/>
          <w:szCs w:val="20"/>
          <w:lang w:val="sq-AL"/>
        </w:rPr>
      </w:pPr>
    </w:p>
    <w:p w14:paraId="09DEA924" w14:textId="77777777" w:rsidR="00EE1858" w:rsidRPr="00EC6AB6" w:rsidRDefault="00EE1858" w:rsidP="00CE6BE8">
      <w:pPr>
        <w:spacing w:after="0" w:line="240" w:lineRule="auto"/>
        <w:ind w:firstLine="0"/>
        <w:jc w:val="center"/>
        <w:rPr>
          <w:rFonts w:ascii="Garamond" w:hAnsi="Garamond"/>
          <w:b/>
          <w:sz w:val="20"/>
          <w:szCs w:val="20"/>
          <w:lang w:val="sq-AL"/>
        </w:rPr>
      </w:pPr>
    </w:p>
    <w:p w14:paraId="3E0B7F0E" w14:textId="77777777" w:rsidR="00EE1858" w:rsidRPr="00EC6AB6" w:rsidRDefault="00EE1858" w:rsidP="00CE6BE8">
      <w:pPr>
        <w:spacing w:after="0" w:line="240" w:lineRule="auto"/>
        <w:ind w:firstLine="0"/>
        <w:jc w:val="center"/>
        <w:rPr>
          <w:rFonts w:ascii="Garamond" w:hAnsi="Garamond"/>
          <w:b/>
          <w:sz w:val="20"/>
          <w:szCs w:val="20"/>
          <w:lang w:val="sq-AL"/>
        </w:rPr>
      </w:pPr>
    </w:p>
    <w:p w14:paraId="5A15FFAC" w14:textId="77777777" w:rsidR="00EE1858" w:rsidRPr="00EC6AB6" w:rsidRDefault="00EE1858" w:rsidP="00CE6BE8">
      <w:pPr>
        <w:spacing w:after="0" w:line="240" w:lineRule="auto"/>
        <w:ind w:firstLine="0"/>
        <w:jc w:val="center"/>
        <w:rPr>
          <w:rFonts w:ascii="Garamond" w:hAnsi="Garamond"/>
          <w:b/>
          <w:sz w:val="20"/>
          <w:szCs w:val="20"/>
          <w:lang w:val="sq-AL"/>
        </w:rPr>
      </w:pPr>
    </w:p>
    <w:p w14:paraId="18FE3D2F" w14:textId="77777777" w:rsidR="00EE1858" w:rsidRPr="00EC6AB6" w:rsidRDefault="00EE1858" w:rsidP="00CE6BE8">
      <w:pPr>
        <w:spacing w:after="0" w:line="240" w:lineRule="auto"/>
        <w:ind w:firstLine="0"/>
        <w:jc w:val="center"/>
        <w:rPr>
          <w:rFonts w:ascii="Garamond" w:hAnsi="Garamond"/>
          <w:b/>
          <w:sz w:val="20"/>
          <w:szCs w:val="20"/>
          <w:lang w:val="sq-AL"/>
        </w:rPr>
      </w:pPr>
    </w:p>
    <w:p w14:paraId="01B9DB4E" w14:textId="77777777" w:rsidR="00EE1858" w:rsidRPr="00EC6AB6" w:rsidRDefault="00EE1858" w:rsidP="00CE6BE8">
      <w:pPr>
        <w:spacing w:after="0" w:line="240" w:lineRule="auto"/>
        <w:ind w:firstLine="0"/>
        <w:jc w:val="center"/>
        <w:rPr>
          <w:rFonts w:ascii="Garamond" w:hAnsi="Garamond"/>
          <w:b/>
          <w:sz w:val="20"/>
          <w:szCs w:val="20"/>
          <w:lang w:val="sq-AL"/>
        </w:rPr>
      </w:pPr>
    </w:p>
    <w:p w14:paraId="6C7DE36D" w14:textId="77777777" w:rsidR="00EE1858" w:rsidRPr="00EC6AB6" w:rsidRDefault="008B3748" w:rsidP="00CE6BE8">
      <w:pPr>
        <w:spacing w:after="0" w:line="240" w:lineRule="auto"/>
        <w:ind w:firstLine="0"/>
        <w:jc w:val="center"/>
        <w:rPr>
          <w:rFonts w:ascii="Garamond" w:hAnsi="Garamond"/>
          <w:b/>
          <w:sz w:val="20"/>
          <w:szCs w:val="20"/>
          <w:lang w:val="sq-AL"/>
        </w:rPr>
      </w:pPr>
      <w:r w:rsidRPr="00EC6AB6">
        <w:rPr>
          <w:rFonts w:ascii="Garamond" w:hAnsi="Garamond"/>
          <w:b/>
          <w:sz w:val="20"/>
          <w:szCs w:val="20"/>
          <w:lang w:val="sq-AL"/>
        </w:rPr>
        <w:lastRenderedPageBreak/>
        <w:t xml:space="preserve">Paraqitje </w:t>
      </w:r>
      <w:r w:rsidR="00CE6BE8" w:rsidRPr="00EC6AB6">
        <w:rPr>
          <w:rFonts w:ascii="Garamond" w:hAnsi="Garamond"/>
          <w:b/>
          <w:sz w:val="20"/>
          <w:szCs w:val="20"/>
          <w:lang w:val="sq-AL"/>
        </w:rPr>
        <w:t>grafike 1</w:t>
      </w:r>
      <w:r w:rsidRPr="00EC6AB6">
        <w:rPr>
          <w:rFonts w:ascii="Garamond" w:hAnsi="Garamond"/>
          <w:b/>
          <w:sz w:val="20"/>
          <w:szCs w:val="20"/>
          <w:lang w:val="sq-AL"/>
        </w:rPr>
        <w:t xml:space="preserve">(a): Borxhi i qeverisjes qendrore në vlerë absolute dhe relative ndaj PBB </w:t>
      </w:r>
    </w:p>
    <w:p w14:paraId="4333B82D" w14:textId="348AC502" w:rsidR="008B3748" w:rsidRPr="00EC6AB6" w:rsidRDefault="008B3748" w:rsidP="00CE6BE8">
      <w:pPr>
        <w:spacing w:after="0" w:line="240" w:lineRule="auto"/>
        <w:ind w:firstLine="0"/>
        <w:jc w:val="center"/>
        <w:rPr>
          <w:rFonts w:ascii="Garamond" w:hAnsi="Garamond"/>
          <w:b/>
          <w:sz w:val="20"/>
          <w:szCs w:val="20"/>
          <w:lang w:val="sq-AL"/>
        </w:rPr>
      </w:pPr>
      <w:r w:rsidRPr="00EC6AB6">
        <w:rPr>
          <w:rFonts w:ascii="Garamond" w:hAnsi="Garamond"/>
          <w:b/>
          <w:sz w:val="20"/>
          <w:szCs w:val="20"/>
          <w:lang w:val="sq-AL"/>
        </w:rPr>
        <w:t>(2016</w:t>
      </w:r>
      <w:r w:rsidR="00CE6BE8" w:rsidRPr="00EC6AB6">
        <w:rPr>
          <w:rFonts w:ascii="Garamond" w:hAnsi="Garamond"/>
          <w:b/>
          <w:sz w:val="20"/>
          <w:szCs w:val="20"/>
          <w:lang w:val="sq-AL"/>
        </w:rPr>
        <w:t xml:space="preserve">–shtator </w:t>
      </w:r>
      <w:r w:rsidRPr="00EC6AB6">
        <w:rPr>
          <w:rFonts w:ascii="Garamond" w:hAnsi="Garamond"/>
          <w:b/>
          <w:sz w:val="20"/>
          <w:szCs w:val="20"/>
          <w:lang w:val="sq-AL"/>
        </w:rPr>
        <w:t>2020)</w:t>
      </w:r>
    </w:p>
    <w:p w14:paraId="4333B82E"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2A" wp14:editId="5EE47ED7">
            <wp:extent cx="5955665" cy="1772920"/>
            <wp:effectExtent l="0" t="0" r="6985" b="1778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33B82F"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30" w14:textId="77777777" w:rsidR="008B3748" w:rsidRPr="00EC6AB6" w:rsidRDefault="008B3748" w:rsidP="008B3748">
      <w:pPr>
        <w:spacing w:after="0" w:line="240" w:lineRule="auto"/>
        <w:rPr>
          <w:rFonts w:ascii="Garamond" w:hAnsi="Garamond"/>
          <w:sz w:val="24"/>
          <w:szCs w:val="24"/>
          <w:lang w:val="sq-AL"/>
        </w:rPr>
      </w:pPr>
    </w:p>
    <w:p w14:paraId="4333B831" w14:textId="05AF85C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Gjatë viteve të fundit, nga pikëpamja e kompozimit të borxhit të qeverisjes qendrore, karakteristikë ka qenë rritja e peshës së instrumenteve të tregtueshme (bono thesari, obligacione, </w:t>
      </w:r>
      <w:r w:rsidRPr="00E9550A">
        <w:rPr>
          <w:rFonts w:ascii="Garamond" w:hAnsi="Garamond"/>
          <w:sz w:val="24"/>
          <w:szCs w:val="24"/>
          <w:lang w:val="sq-AL"/>
        </w:rPr>
        <w:t>eurobond)</w:t>
      </w:r>
      <w:r w:rsidRPr="00EC6AB6">
        <w:rPr>
          <w:rFonts w:ascii="Garamond" w:hAnsi="Garamond"/>
          <w:sz w:val="24"/>
          <w:szCs w:val="24"/>
          <w:lang w:val="sq-AL"/>
        </w:rPr>
        <w:t xml:space="preserve"> dhe huave në formën e mbështetjes buxhetore. Rritja e peshës së këtyre instrumenteve ka ardhur si rezultat i shfrytëzimit të kushteve të favorshme të tregjeve ndërkombëtare dhe </w:t>
      </w:r>
      <w:r w:rsidR="00EE1858" w:rsidRPr="00EC6AB6">
        <w:rPr>
          <w:rFonts w:ascii="Garamond" w:hAnsi="Garamond"/>
          <w:sz w:val="24"/>
          <w:szCs w:val="24"/>
          <w:lang w:val="sq-AL"/>
        </w:rPr>
        <w:t xml:space="preserve">i </w:t>
      </w:r>
      <w:r w:rsidRPr="00EC6AB6">
        <w:rPr>
          <w:rFonts w:ascii="Garamond" w:hAnsi="Garamond"/>
          <w:sz w:val="24"/>
          <w:szCs w:val="24"/>
          <w:lang w:val="sq-AL"/>
        </w:rPr>
        <w:t>shfrytëzimit të burimeve të favorshme të financimit të vendosura në dispozicion nga institucionet financiare ndërkombëtare.</w:t>
      </w:r>
    </w:p>
    <w:p w14:paraId="4333B832" w14:textId="77777777" w:rsidR="008B3748" w:rsidRPr="00EC6AB6" w:rsidRDefault="008B3748" w:rsidP="008B3748">
      <w:pPr>
        <w:spacing w:after="0" w:line="240" w:lineRule="auto"/>
        <w:rPr>
          <w:rFonts w:ascii="Garamond" w:hAnsi="Garamond"/>
          <w:sz w:val="24"/>
          <w:szCs w:val="24"/>
          <w:lang w:val="sq-AL"/>
        </w:rPr>
      </w:pPr>
    </w:p>
    <w:p w14:paraId="4333B833" w14:textId="295894AB" w:rsidR="008B3748" w:rsidRPr="00EC6AB6" w:rsidRDefault="008B3748" w:rsidP="00CE6BE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CE6BE8" w:rsidRPr="00EC6AB6">
        <w:rPr>
          <w:rFonts w:ascii="Garamond" w:hAnsi="Garamond"/>
          <w:b/>
          <w:i/>
          <w:sz w:val="20"/>
          <w:szCs w:val="20"/>
          <w:lang w:val="sq-AL"/>
        </w:rPr>
        <w:t>grafike 1</w:t>
      </w:r>
      <w:r w:rsidRPr="00EC6AB6">
        <w:rPr>
          <w:rFonts w:ascii="Garamond" w:hAnsi="Garamond"/>
          <w:b/>
          <w:i/>
          <w:sz w:val="20"/>
          <w:szCs w:val="20"/>
          <w:lang w:val="sq-AL"/>
        </w:rPr>
        <w:t>(b): Përbërja e borxhit të qeverisjes qendrore (2016</w:t>
      </w:r>
      <w:r w:rsidR="00CE6BE8"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34"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2C" wp14:editId="4333BB2D">
            <wp:extent cx="5772647" cy="1908313"/>
            <wp:effectExtent l="0" t="0" r="19050" b="1587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33B835"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36" w14:textId="77777777" w:rsidR="00F833AA" w:rsidRPr="00EC6AB6" w:rsidRDefault="00F833AA" w:rsidP="008B3748">
      <w:pPr>
        <w:spacing w:after="0" w:line="240" w:lineRule="auto"/>
        <w:rPr>
          <w:rFonts w:ascii="Garamond" w:hAnsi="Garamond"/>
          <w:sz w:val="24"/>
          <w:szCs w:val="24"/>
          <w:lang w:val="sq-AL"/>
        </w:rPr>
      </w:pPr>
      <w:bookmarkStart w:id="9" w:name="_Toc60129447"/>
      <w:bookmarkStart w:id="10" w:name="_Toc491954296"/>
      <w:bookmarkStart w:id="11" w:name="_Toc491860983"/>
      <w:bookmarkStart w:id="12" w:name="_Toc483994726"/>
    </w:p>
    <w:p w14:paraId="4333B837" w14:textId="49ECFAAB"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 </w:t>
      </w:r>
      <w:r w:rsidR="008B3748" w:rsidRPr="00EC6AB6">
        <w:rPr>
          <w:rFonts w:ascii="Garamond" w:hAnsi="Garamond"/>
          <w:sz w:val="24"/>
          <w:szCs w:val="24"/>
          <w:lang w:val="sq-AL"/>
        </w:rPr>
        <w:t xml:space="preserve">Realizimi i </w:t>
      </w:r>
      <w:r w:rsidR="00EE1858" w:rsidRPr="00EC6AB6">
        <w:rPr>
          <w:rFonts w:ascii="Garamond" w:hAnsi="Garamond"/>
          <w:sz w:val="24"/>
          <w:szCs w:val="24"/>
          <w:lang w:val="sq-AL"/>
        </w:rPr>
        <w:t>huamarrjes</w:t>
      </w:r>
      <w:bookmarkEnd w:id="9"/>
      <w:bookmarkEnd w:id="10"/>
      <w:bookmarkEnd w:id="11"/>
      <w:bookmarkEnd w:id="12"/>
    </w:p>
    <w:p w14:paraId="4333B838" w14:textId="302A3C84"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Huamarrja gjatë viteve të fundit ka mundësuar sigurimin e likuiditetit, menaxhimin e detyrimeve të borxhit, si edhe ka financuar deficitin buxhetor të planifikuar, në përputhje me objektivat strategjikë për uljen e ekspozimit ndaj risqeve.</w:t>
      </w:r>
      <w:r w:rsidR="00FA2519" w:rsidRPr="00EC6AB6">
        <w:rPr>
          <w:rFonts w:ascii="Garamond" w:hAnsi="Garamond"/>
          <w:sz w:val="24"/>
          <w:szCs w:val="24"/>
          <w:lang w:val="sq-AL"/>
        </w:rPr>
        <w:t xml:space="preserve"> </w:t>
      </w:r>
      <w:r w:rsidRPr="00EC6AB6">
        <w:rPr>
          <w:rFonts w:ascii="Garamond" w:hAnsi="Garamond"/>
          <w:sz w:val="24"/>
          <w:szCs w:val="24"/>
          <w:lang w:val="sq-AL"/>
        </w:rPr>
        <w:t xml:space="preserve">Mesatarisht mbi 80% e huamarrjes së përgjithshme bruto është mbështetur në burimet e brendshme të financimit, duke suportuar në këtë mënyrë zhvillimin e tregut </w:t>
      </w:r>
      <w:r w:rsidR="002B79A7" w:rsidRPr="00EC6AB6">
        <w:rPr>
          <w:rFonts w:ascii="Garamond" w:hAnsi="Garamond"/>
          <w:sz w:val="24"/>
          <w:szCs w:val="24"/>
          <w:lang w:val="sq-AL"/>
        </w:rPr>
        <w:t>vendës</w:t>
      </w:r>
      <w:r w:rsidRPr="00EC6AB6">
        <w:rPr>
          <w:rFonts w:ascii="Garamond" w:hAnsi="Garamond"/>
          <w:sz w:val="24"/>
          <w:szCs w:val="24"/>
          <w:lang w:val="sq-AL"/>
        </w:rPr>
        <w:t xml:space="preserve"> të titujve shtetërorë, si edhe duke synuar të kufizojë implikimet e treguesve makroekonomikë</w:t>
      </w:r>
      <w:r w:rsidR="000572A3" w:rsidRPr="00EC6AB6">
        <w:rPr>
          <w:rFonts w:ascii="Garamond" w:hAnsi="Garamond"/>
          <w:sz w:val="24"/>
          <w:szCs w:val="24"/>
          <w:lang w:val="sq-AL"/>
        </w:rPr>
        <w:t>,</w:t>
      </w:r>
      <w:r w:rsidRPr="00EC6AB6">
        <w:rPr>
          <w:rFonts w:ascii="Garamond" w:hAnsi="Garamond"/>
          <w:sz w:val="24"/>
          <w:szCs w:val="24"/>
          <w:lang w:val="sq-AL"/>
        </w:rPr>
        <w:t xml:space="preserve"> që mund të shkaktohen nga rritja e borxhit në valutë përtej kufijve të përcaktuar në analizat e qëndrueshmërisë së borxhit.</w:t>
      </w:r>
    </w:p>
    <w:p w14:paraId="4333B839" w14:textId="27EB9A4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Gjatë viteve 2016</w:t>
      </w:r>
      <w:r w:rsidR="000572A3" w:rsidRPr="00EC6AB6">
        <w:rPr>
          <w:rFonts w:ascii="Garamond" w:hAnsi="Garamond"/>
          <w:sz w:val="24"/>
          <w:szCs w:val="24"/>
          <w:lang w:val="sq-AL"/>
        </w:rPr>
        <w:t>–</w:t>
      </w:r>
      <w:r w:rsidRPr="00EC6AB6">
        <w:rPr>
          <w:rFonts w:ascii="Garamond" w:hAnsi="Garamond"/>
          <w:sz w:val="24"/>
          <w:szCs w:val="24"/>
          <w:lang w:val="sq-AL"/>
        </w:rPr>
        <w:t>2019, nevojat për hua në raport me PBB</w:t>
      </w:r>
      <w:r w:rsidR="001C27EC" w:rsidRPr="00EC6AB6">
        <w:rPr>
          <w:rFonts w:ascii="Garamond" w:hAnsi="Garamond"/>
          <w:sz w:val="24"/>
          <w:szCs w:val="24"/>
          <w:lang w:val="sq-AL"/>
        </w:rPr>
        <w:t>-në</w:t>
      </w:r>
      <w:r w:rsidRPr="00EC6AB6">
        <w:rPr>
          <w:rFonts w:ascii="Garamond" w:hAnsi="Garamond"/>
          <w:sz w:val="24"/>
          <w:szCs w:val="24"/>
          <w:lang w:val="sq-AL"/>
        </w:rPr>
        <w:t xml:space="preserve"> janë ulur gradualisht</w:t>
      </w:r>
      <w:r w:rsidR="00884CDD" w:rsidRPr="00EC6AB6">
        <w:rPr>
          <w:rFonts w:ascii="Garamond" w:hAnsi="Garamond"/>
          <w:sz w:val="24"/>
          <w:szCs w:val="24"/>
          <w:lang w:val="sq-AL"/>
        </w:rPr>
        <w:t>,</w:t>
      </w:r>
      <w:r w:rsidRPr="00EC6AB6">
        <w:rPr>
          <w:rFonts w:ascii="Garamond" w:hAnsi="Garamond"/>
          <w:sz w:val="24"/>
          <w:szCs w:val="24"/>
          <w:lang w:val="sq-AL"/>
        </w:rPr>
        <w:t xml:space="preserve"> duke reflektuar konsolidimin e strukturës së borxhit të brendshëm dhe reduktimin e riskut fiskal të qeverisë. Gjatë vitit 2020, huamarrja shënoi rritje në linjë me nevojat buxhetore të rritura</w:t>
      </w:r>
      <w:r w:rsidR="00884CDD" w:rsidRPr="00EC6AB6">
        <w:rPr>
          <w:rFonts w:ascii="Garamond" w:hAnsi="Garamond"/>
          <w:sz w:val="24"/>
          <w:szCs w:val="24"/>
          <w:lang w:val="sq-AL"/>
        </w:rPr>
        <w:t>,</w:t>
      </w:r>
      <w:r w:rsidRPr="00EC6AB6">
        <w:rPr>
          <w:rFonts w:ascii="Garamond" w:hAnsi="Garamond"/>
          <w:sz w:val="24"/>
          <w:szCs w:val="24"/>
          <w:lang w:val="sq-AL"/>
        </w:rPr>
        <w:t xml:space="preserve"> në kuadër të menaxhimit të situatës së krijuar nga përhapja e pandemisë COVID-19. Burimi kryesor i huamarrjes vazhdon të mbetet tregu i brendshëm, megjithëse gjatë vitit 2018 dhe vitit 2020, ka pasur një rritje në drejtim të financimit të huaj si rezultat i emetimit të </w:t>
      </w:r>
      <w:r w:rsidR="00884CDD" w:rsidRPr="00EC6AB6">
        <w:rPr>
          <w:rFonts w:ascii="Garamond" w:hAnsi="Garamond"/>
          <w:sz w:val="24"/>
          <w:szCs w:val="24"/>
          <w:lang w:val="sq-AL"/>
        </w:rPr>
        <w:t xml:space="preserve">eurobondeve </w:t>
      </w:r>
      <w:r w:rsidRPr="00EC6AB6">
        <w:rPr>
          <w:rFonts w:ascii="Garamond" w:hAnsi="Garamond"/>
          <w:sz w:val="24"/>
          <w:szCs w:val="24"/>
          <w:lang w:val="sq-AL"/>
        </w:rPr>
        <w:t xml:space="preserve">dhe </w:t>
      </w:r>
      <w:r w:rsidR="00884CDD" w:rsidRPr="00EC6AB6">
        <w:rPr>
          <w:rFonts w:ascii="Garamond" w:hAnsi="Garamond"/>
          <w:sz w:val="24"/>
          <w:szCs w:val="24"/>
          <w:lang w:val="sq-AL"/>
        </w:rPr>
        <w:t xml:space="preserve">të </w:t>
      </w:r>
      <w:r w:rsidRPr="00EC6AB6">
        <w:rPr>
          <w:rFonts w:ascii="Garamond" w:hAnsi="Garamond"/>
          <w:sz w:val="24"/>
          <w:szCs w:val="24"/>
          <w:lang w:val="sq-AL"/>
        </w:rPr>
        <w:t>mbështetjeve buxhetore të akorduara nga institucionet financiare ndërkombëtare.</w:t>
      </w:r>
      <w:r w:rsidR="00FA2519" w:rsidRPr="00EC6AB6">
        <w:rPr>
          <w:rFonts w:ascii="Garamond" w:hAnsi="Garamond"/>
          <w:sz w:val="24"/>
          <w:szCs w:val="24"/>
          <w:lang w:val="sq-AL"/>
        </w:rPr>
        <w:t xml:space="preserve"> </w:t>
      </w:r>
    </w:p>
    <w:p w14:paraId="4333B83A" w14:textId="77777777" w:rsidR="008B3748" w:rsidRPr="00EC6AB6" w:rsidRDefault="008B3748" w:rsidP="008B3748">
      <w:pPr>
        <w:spacing w:after="0" w:line="240" w:lineRule="auto"/>
        <w:rPr>
          <w:rFonts w:ascii="Garamond" w:hAnsi="Garamond"/>
          <w:sz w:val="24"/>
          <w:szCs w:val="24"/>
          <w:lang w:val="sq-AL"/>
        </w:rPr>
      </w:pPr>
      <w:bookmarkStart w:id="13" w:name="_Toc491954297"/>
      <w:bookmarkStart w:id="14" w:name="_Toc491860984"/>
    </w:p>
    <w:p w14:paraId="4333B83B" w14:textId="77777777" w:rsidR="00F833AA" w:rsidRPr="00EC6AB6" w:rsidRDefault="00F833AA" w:rsidP="008B3748">
      <w:pPr>
        <w:spacing w:after="0" w:line="240" w:lineRule="auto"/>
        <w:rPr>
          <w:rFonts w:ascii="Garamond" w:hAnsi="Garamond"/>
          <w:sz w:val="24"/>
          <w:szCs w:val="24"/>
          <w:lang w:val="sq-AL"/>
        </w:rPr>
      </w:pPr>
    </w:p>
    <w:p w14:paraId="4333B83C" w14:textId="2452D5C7" w:rsidR="008B3748" w:rsidRPr="00EC6AB6" w:rsidRDefault="008B3748" w:rsidP="001C27EC">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C27EC" w:rsidRPr="00EC6AB6">
        <w:rPr>
          <w:rFonts w:ascii="Garamond" w:hAnsi="Garamond"/>
          <w:b/>
          <w:i/>
          <w:sz w:val="20"/>
          <w:szCs w:val="20"/>
          <w:lang w:val="sq-AL"/>
        </w:rPr>
        <w:t xml:space="preserve">grafike </w:t>
      </w:r>
      <w:r w:rsidRPr="00EC6AB6">
        <w:rPr>
          <w:rFonts w:ascii="Garamond" w:hAnsi="Garamond"/>
          <w:b/>
          <w:i/>
          <w:sz w:val="20"/>
          <w:szCs w:val="20"/>
          <w:lang w:val="sq-AL"/>
        </w:rPr>
        <w:t>2: Huamarrja bruto në vlerë absolute dhe relative ndaj PBB (2016</w:t>
      </w:r>
      <w:r w:rsidR="001C27EC" w:rsidRPr="00EC6AB6">
        <w:rPr>
          <w:rFonts w:ascii="Garamond" w:hAnsi="Garamond"/>
          <w:b/>
          <w:i/>
          <w:sz w:val="20"/>
          <w:szCs w:val="20"/>
          <w:lang w:val="sq-AL"/>
        </w:rPr>
        <w:t>–</w:t>
      </w:r>
      <w:r w:rsidRPr="00EC6AB6">
        <w:rPr>
          <w:rFonts w:ascii="Garamond" w:hAnsi="Garamond"/>
          <w:b/>
          <w:i/>
          <w:sz w:val="20"/>
          <w:szCs w:val="20"/>
          <w:lang w:val="sq-AL"/>
        </w:rPr>
        <w:t>2020)</w:t>
      </w:r>
    </w:p>
    <w:p w14:paraId="4333B83D"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2E" wp14:editId="66BC5A21">
            <wp:extent cx="5955665" cy="2115185"/>
            <wp:effectExtent l="0" t="0" r="6985" b="18415"/>
            <wp:docPr id="7" name="Chart 7">
              <a:extLst xmlns:a="http://schemas.openxmlformats.org/drawingml/2006/main">
                <a:ext uri="{FF2B5EF4-FFF2-40B4-BE49-F238E27FC236}">
                  <a16:creationId xmlns:lc="http://schemas.openxmlformats.org/drawingml/2006/lockedCanva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w15="http://schemas.microsoft.com/office/word/2012/wordml"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33B83E"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3F" w14:textId="77777777" w:rsidR="008B3748" w:rsidRPr="00EC6AB6" w:rsidRDefault="008B3748" w:rsidP="008B3748">
      <w:pPr>
        <w:spacing w:after="0" w:line="240" w:lineRule="auto"/>
        <w:rPr>
          <w:rFonts w:ascii="Garamond" w:hAnsi="Garamond"/>
          <w:sz w:val="24"/>
          <w:szCs w:val="24"/>
          <w:lang w:val="sq-AL"/>
        </w:rPr>
      </w:pPr>
    </w:p>
    <w:p w14:paraId="4333B840" w14:textId="092D04C6" w:rsidR="008B3748" w:rsidRPr="00EC6AB6" w:rsidRDefault="00F833AA" w:rsidP="008B3748">
      <w:pPr>
        <w:spacing w:after="0" w:line="240" w:lineRule="auto"/>
        <w:rPr>
          <w:rFonts w:ascii="Garamond" w:hAnsi="Garamond"/>
          <w:sz w:val="24"/>
          <w:szCs w:val="24"/>
          <w:lang w:val="sq-AL"/>
        </w:rPr>
      </w:pPr>
      <w:bookmarkStart w:id="15" w:name="_Toc60129448"/>
      <w:r w:rsidRPr="00EC6AB6">
        <w:rPr>
          <w:rFonts w:ascii="Garamond" w:hAnsi="Garamond"/>
          <w:sz w:val="24"/>
          <w:szCs w:val="24"/>
          <w:lang w:val="sq-AL"/>
        </w:rPr>
        <w:t xml:space="preserve">2.1 </w:t>
      </w:r>
      <w:r w:rsidR="008B3748" w:rsidRPr="00EC6AB6">
        <w:rPr>
          <w:rFonts w:ascii="Garamond" w:hAnsi="Garamond"/>
          <w:sz w:val="24"/>
          <w:szCs w:val="24"/>
          <w:lang w:val="sq-AL"/>
        </w:rPr>
        <w:t xml:space="preserve">Huamarrja e </w:t>
      </w:r>
      <w:r w:rsidR="00884CDD" w:rsidRPr="00EC6AB6">
        <w:rPr>
          <w:rFonts w:ascii="Garamond" w:hAnsi="Garamond"/>
          <w:sz w:val="24"/>
          <w:szCs w:val="24"/>
          <w:lang w:val="sq-AL"/>
        </w:rPr>
        <w:t>brendshme</w:t>
      </w:r>
      <w:bookmarkEnd w:id="13"/>
      <w:bookmarkEnd w:id="14"/>
      <w:bookmarkEnd w:id="15"/>
    </w:p>
    <w:p w14:paraId="4333B841" w14:textId="74942CB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linjë me objektivat për reduktimin e risqeve të portofolit të borxhit të brendshëm, nevojat për hua nëpërmjet burimeve të brendshme janë reduktuar ndjeshëm gjatë viteve 2016</w:t>
      </w:r>
      <w:r w:rsidR="00884CDD" w:rsidRPr="00EC6AB6">
        <w:rPr>
          <w:rFonts w:ascii="Garamond" w:hAnsi="Garamond"/>
          <w:sz w:val="24"/>
          <w:szCs w:val="24"/>
          <w:lang w:val="sq-AL"/>
        </w:rPr>
        <w:t>–</w:t>
      </w:r>
      <w:r w:rsidRPr="00EC6AB6">
        <w:rPr>
          <w:rFonts w:ascii="Garamond" w:hAnsi="Garamond"/>
          <w:sz w:val="24"/>
          <w:szCs w:val="24"/>
          <w:lang w:val="sq-AL"/>
        </w:rPr>
        <w:t xml:space="preserve">2019, duke mundësuar uljen e huamarrjes nëpërmjet titujve afatshkurtër. Ndërkohë, gjatë vitit 2020, nevoja për financim është rritur (plan huamarrja ka shkuar në nivelin 49.9 mld </w:t>
      </w:r>
      <w:r w:rsidR="00884CDD" w:rsidRPr="00EC6AB6">
        <w:rPr>
          <w:rFonts w:ascii="Garamond" w:hAnsi="Garamond"/>
          <w:sz w:val="24"/>
          <w:szCs w:val="24"/>
          <w:lang w:val="sq-AL"/>
        </w:rPr>
        <w:t>lekë</w:t>
      </w:r>
      <w:r w:rsidRPr="00EC6AB6">
        <w:rPr>
          <w:rFonts w:ascii="Garamond" w:hAnsi="Garamond"/>
          <w:sz w:val="24"/>
          <w:szCs w:val="24"/>
          <w:lang w:val="sq-AL"/>
        </w:rPr>
        <w:t xml:space="preserve">), në kuadër të masave të mara për përballimin e situatës nga pandemia </w:t>
      </w:r>
      <w:r w:rsidR="006E631A" w:rsidRPr="00EC6AB6">
        <w:rPr>
          <w:rFonts w:ascii="Garamond" w:hAnsi="Garamond"/>
          <w:sz w:val="24"/>
          <w:szCs w:val="24"/>
          <w:lang w:val="sq-AL"/>
        </w:rPr>
        <w:t>COVID-19</w:t>
      </w:r>
      <w:r w:rsidRPr="00EC6AB6">
        <w:rPr>
          <w:rFonts w:ascii="Garamond" w:hAnsi="Garamond"/>
          <w:sz w:val="24"/>
          <w:szCs w:val="24"/>
          <w:lang w:val="sq-AL"/>
        </w:rPr>
        <w:t xml:space="preserve">. </w:t>
      </w:r>
    </w:p>
    <w:p w14:paraId="4333B842" w14:textId="77777777" w:rsidR="008B3748" w:rsidRPr="00EC6AB6" w:rsidRDefault="008B3748" w:rsidP="008B3748">
      <w:pPr>
        <w:spacing w:after="0" w:line="240" w:lineRule="auto"/>
        <w:rPr>
          <w:rFonts w:ascii="Garamond" w:hAnsi="Garamond"/>
          <w:sz w:val="24"/>
          <w:szCs w:val="24"/>
          <w:lang w:val="sq-AL"/>
        </w:rPr>
      </w:pPr>
    </w:p>
    <w:p w14:paraId="4333B844" w14:textId="7F69E5B9" w:rsidR="008B3748" w:rsidRPr="00EC6AB6" w:rsidRDefault="008B3748" w:rsidP="001C27EC">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C27EC" w:rsidRPr="00EC6AB6">
        <w:rPr>
          <w:rFonts w:ascii="Garamond" w:hAnsi="Garamond"/>
          <w:b/>
          <w:i/>
          <w:sz w:val="20"/>
          <w:szCs w:val="20"/>
          <w:lang w:val="sq-AL"/>
        </w:rPr>
        <w:t xml:space="preserve">grafike </w:t>
      </w:r>
      <w:r w:rsidRPr="00EC6AB6">
        <w:rPr>
          <w:rFonts w:ascii="Garamond" w:hAnsi="Garamond"/>
          <w:b/>
          <w:i/>
          <w:sz w:val="20"/>
          <w:szCs w:val="20"/>
          <w:lang w:val="sq-AL"/>
        </w:rPr>
        <w:t>2.1(a): Huamarrja e brendshme në vlerë absolute dhe në raport me PBB (2016</w:t>
      </w:r>
      <w:r w:rsidR="001C27EC" w:rsidRPr="00EC6AB6">
        <w:rPr>
          <w:rFonts w:ascii="Garamond" w:hAnsi="Garamond"/>
          <w:b/>
          <w:i/>
          <w:sz w:val="20"/>
          <w:szCs w:val="20"/>
          <w:lang w:val="sq-AL"/>
        </w:rPr>
        <w:t>–</w:t>
      </w:r>
      <w:r w:rsidRPr="00EC6AB6">
        <w:rPr>
          <w:rFonts w:ascii="Garamond" w:hAnsi="Garamond"/>
          <w:b/>
          <w:i/>
          <w:sz w:val="20"/>
          <w:szCs w:val="20"/>
          <w:lang w:val="sq-AL"/>
        </w:rPr>
        <w:t>2020)</w:t>
      </w:r>
    </w:p>
    <w:p w14:paraId="4333B845"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30" wp14:editId="1654FB03">
            <wp:extent cx="5955665" cy="1939925"/>
            <wp:effectExtent l="0" t="0" r="6985" b="31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33B846"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47" w14:textId="77777777" w:rsidR="008B3748" w:rsidRPr="00EC6AB6" w:rsidRDefault="008B3748" w:rsidP="008B3748">
      <w:pPr>
        <w:spacing w:after="0" w:line="240" w:lineRule="auto"/>
        <w:rPr>
          <w:rFonts w:ascii="Garamond" w:hAnsi="Garamond"/>
          <w:sz w:val="24"/>
          <w:szCs w:val="24"/>
          <w:lang w:val="sq-AL"/>
        </w:rPr>
      </w:pPr>
    </w:p>
    <w:p w14:paraId="4333B84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Huamarrja nëpërmjet titujve afatshkurtër kryesisht ka shërbyer për të realizuar rifinancimin e këtyre titujve dhe menaxhimin e nevojave afatshkurtra për likuiditet, ndërkohë që financimi i deficitit (borxhi i ri) është siguruar kryesisht nëpërmjet titujve afatgjatë, duke qenë në linjë me objektivat për reduktimin e riskut të rifinancimit.</w:t>
      </w:r>
    </w:p>
    <w:p w14:paraId="5F3271A1" w14:textId="77777777" w:rsidR="001C27EC" w:rsidRPr="00EC6AB6" w:rsidRDefault="001C27EC" w:rsidP="001C27EC">
      <w:pPr>
        <w:spacing w:after="0" w:line="240" w:lineRule="auto"/>
        <w:ind w:firstLine="0"/>
        <w:rPr>
          <w:rFonts w:ascii="Garamond" w:hAnsi="Garamond"/>
          <w:sz w:val="24"/>
          <w:szCs w:val="24"/>
          <w:lang w:val="sq-AL"/>
        </w:rPr>
      </w:pPr>
    </w:p>
    <w:p w14:paraId="4333B849" w14:textId="6F4C5A55" w:rsidR="008B3748" w:rsidRPr="00EC6AB6" w:rsidRDefault="008B3748" w:rsidP="001C27EC">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C27EC" w:rsidRPr="00EC6AB6">
        <w:rPr>
          <w:rFonts w:ascii="Garamond" w:hAnsi="Garamond"/>
          <w:b/>
          <w:i/>
          <w:sz w:val="20"/>
          <w:szCs w:val="20"/>
          <w:lang w:val="sq-AL"/>
        </w:rPr>
        <w:t xml:space="preserve">grafike </w:t>
      </w:r>
      <w:r w:rsidRPr="00EC6AB6">
        <w:rPr>
          <w:rFonts w:ascii="Garamond" w:hAnsi="Garamond"/>
          <w:b/>
          <w:i/>
          <w:sz w:val="20"/>
          <w:szCs w:val="20"/>
          <w:lang w:val="sq-AL"/>
        </w:rPr>
        <w:t>2.1(b): Huamarrja e brendshme neto sipas jetëgjatësisë së titujve (2016</w:t>
      </w:r>
      <w:r w:rsidR="001C27EC" w:rsidRPr="00EC6AB6">
        <w:rPr>
          <w:rFonts w:ascii="Garamond" w:hAnsi="Garamond"/>
          <w:b/>
          <w:i/>
          <w:sz w:val="20"/>
          <w:szCs w:val="20"/>
          <w:lang w:val="sq-AL"/>
        </w:rPr>
        <w:t>–</w:t>
      </w:r>
      <w:r w:rsidRPr="00EC6AB6">
        <w:rPr>
          <w:rFonts w:ascii="Garamond" w:hAnsi="Garamond"/>
          <w:b/>
          <w:i/>
          <w:sz w:val="20"/>
          <w:szCs w:val="20"/>
          <w:lang w:val="sq-AL"/>
        </w:rPr>
        <w:t>2020)</w:t>
      </w:r>
    </w:p>
    <w:p w14:paraId="4333B84A"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32" wp14:editId="25BECBAF">
            <wp:extent cx="5772647" cy="1081377"/>
            <wp:effectExtent l="0" t="0" r="0" b="5080"/>
            <wp:docPr id="6" name="Chart 6">
              <a:extLst xmlns:a="http://schemas.openxmlformats.org/drawingml/2006/main">
                <a:ext uri="{FF2B5EF4-FFF2-40B4-BE49-F238E27FC236}">
                  <a16:creationId xmlns:lc="http://schemas.openxmlformats.org/drawingml/2006/lockedCanva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w15="http://schemas.microsoft.com/office/word/2012/wordml" id="{00000000-0008-0000-1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33B84B"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4C" w14:textId="77777777" w:rsidR="008B3748" w:rsidRPr="00EC6AB6" w:rsidRDefault="008B3748" w:rsidP="008B3748">
      <w:pPr>
        <w:spacing w:after="0" w:line="240" w:lineRule="auto"/>
        <w:rPr>
          <w:rFonts w:ascii="Garamond" w:hAnsi="Garamond"/>
          <w:sz w:val="24"/>
          <w:szCs w:val="24"/>
          <w:lang w:val="sq-AL"/>
        </w:rPr>
      </w:pPr>
    </w:p>
    <w:p w14:paraId="4333B84D" w14:textId="396BD66D"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Ndërkohë, në linjë me objektivat për reduktimin e riskut të normave të interesit, si edhe duke shfrytëzuar prirjet rënëse të normave të interesit gjatë viteve të fundit, huamarrja nëpërmjet titujve afatgjatë me norma interesi të ndryshueshme u reduktua gradualisht deri në tërheqjen e e këtyre titujve nga tregu. Duke filluar nga muaji gusht 2016, nuk ka pa</w:t>
      </w:r>
      <w:r w:rsidR="00884CDD" w:rsidRPr="00EC6AB6">
        <w:rPr>
          <w:rFonts w:ascii="Garamond" w:hAnsi="Garamond"/>
          <w:sz w:val="24"/>
          <w:szCs w:val="24"/>
          <w:lang w:val="sq-AL"/>
        </w:rPr>
        <w:t>s</w:t>
      </w:r>
      <w:r w:rsidRPr="00EC6AB6">
        <w:rPr>
          <w:rFonts w:ascii="Garamond" w:hAnsi="Garamond"/>
          <w:sz w:val="24"/>
          <w:szCs w:val="24"/>
          <w:lang w:val="sq-AL"/>
        </w:rPr>
        <w:t>ur emetime të titujve me norma interesi të ndryshueshme.</w:t>
      </w:r>
    </w:p>
    <w:p w14:paraId="4333B84E" w14:textId="77777777" w:rsidR="008B3748" w:rsidRPr="00EC6AB6" w:rsidRDefault="008B3748" w:rsidP="008B3748">
      <w:pPr>
        <w:spacing w:after="0" w:line="240" w:lineRule="auto"/>
        <w:rPr>
          <w:rFonts w:ascii="Garamond" w:hAnsi="Garamond"/>
          <w:sz w:val="24"/>
          <w:szCs w:val="24"/>
          <w:lang w:val="sq-AL"/>
        </w:rPr>
      </w:pPr>
    </w:p>
    <w:p w14:paraId="301B724B" w14:textId="77777777" w:rsidR="00243E3B" w:rsidRPr="00EC6AB6" w:rsidRDefault="008B3748" w:rsidP="001C27EC">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C27EC" w:rsidRPr="00EC6AB6">
        <w:rPr>
          <w:rFonts w:ascii="Garamond" w:hAnsi="Garamond"/>
          <w:b/>
          <w:i/>
          <w:sz w:val="20"/>
          <w:szCs w:val="20"/>
          <w:lang w:val="sq-AL"/>
        </w:rPr>
        <w:t xml:space="preserve">grafike </w:t>
      </w:r>
      <w:r w:rsidRPr="00EC6AB6">
        <w:rPr>
          <w:rFonts w:ascii="Garamond" w:hAnsi="Garamond"/>
          <w:b/>
          <w:i/>
          <w:sz w:val="20"/>
          <w:szCs w:val="20"/>
          <w:lang w:val="sq-AL"/>
        </w:rPr>
        <w:t xml:space="preserve">2.1(c): Huamarrja e brendshme bruto sipas normës së interesit të titujve afatgjatë </w:t>
      </w:r>
    </w:p>
    <w:p w14:paraId="4333B84F" w14:textId="27FC8522" w:rsidR="008B3748" w:rsidRPr="00EC6AB6" w:rsidRDefault="008B3748" w:rsidP="001C27EC">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(2016</w:t>
      </w:r>
      <w:r w:rsidR="001C27EC" w:rsidRPr="00EC6AB6">
        <w:rPr>
          <w:rFonts w:ascii="Garamond" w:hAnsi="Garamond"/>
          <w:b/>
          <w:i/>
          <w:sz w:val="20"/>
          <w:szCs w:val="20"/>
          <w:lang w:val="sq-AL"/>
        </w:rPr>
        <w:t>–</w:t>
      </w:r>
      <w:r w:rsidRPr="00EC6AB6">
        <w:rPr>
          <w:rFonts w:ascii="Garamond" w:hAnsi="Garamond"/>
          <w:b/>
          <w:i/>
          <w:sz w:val="20"/>
          <w:szCs w:val="20"/>
          <w:lang w:val="sq-AL"/>
        </w:rPr>
        <w:t>2020)</w:t>
      </w:r>
    </w:p>
    <w:p w14:paraId="4333B850" w14:textId="77777777" w:rsidR="008B3748" w:rsidRPr="00EC6AB6" w:rsidRDefault="008B3748" w:rsidP="00F833AA">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34" wp14:editId="523A631E">
            <wp:extent cx="5955665" cy="1820545"/>
            <wp:effectExtent l="0" t="0" r="6985" b="825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33B851" w14:textId="77777777" w:rsidR="008B3748" w:rsidRPr="00EC6AB6" w:rsidRDefault="008B3748" w:rsidP="00F833AA">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52" w14:textId="77777777" w:rsidR="008B3748" w:rsidRPr="00EC6AB6" w:rsidRDefault="008B3748" w:rsidP="008B3748">
      <w:pPr>
        <w:spacing w:after="0" w:line="240" w:lineRule="auto"/>
        <w:rPr>
          <w:rFonts w:ascii="Garamond" w:hAnsi="Garamond"/>
          <w:sz w:val="24"/>
          <w:szCs w:val="24"/>
          <w:lang w:val="sq-AL"/>
        </w:rPr>
      </w:pPr>
    </w:p>
    <w:p w14:paraId="4333B853" w14:textId="5AA67333" w:rsidR="008B3748" w:rsidRPr="00EC6AB6" w:rsidRDefault="00F833AA" w:rsidP="008B3748">
      <w:pPr>
        <w:spacing w:after="0" w:line="240" w:lineRule="auto"/>
        <w:rPr>
          <w:rFonts w:ascii="Garamond" w:hAnsi="Garamond"/>
          <w:sz w:val="24"/>
          <w:szCs w:val="24"/>
          <w:lang w:val="sq-AL"/>
        </w:rPr>
      </w:pPr>
      <w:bookmarkStart w:id="16" w:name="_Toc60129449"/>
      <w:bookmarkStart w:id="17" w:name="_Toc491954298"/>
      <w:bookmarkStart w:id="18" w:name="_Toc491860985"/>
      <w:r w:rsidRPr="00EC6AB6">
        <w:rPr>
          <w:rFonts w:ascii="Garamond" w:hAnsi="Garamond"/>
          <w:sz w:val="24"/>
          <w:szCs w:val="24"/>
          <w:lang w:val="sq-AL"/>
        </w:rPr>
        <w:t xml:space="preserve">2.2 </w:t>
      </w:r>
      <w:r w:rsidR="008B3748" w:rsidRPr="00EC6AB6">
        <w:rPr>
          <w:rFonts w:ascii="Garamond" w:hAnsi="Garamond"/>
          <w:sz w:val="24"/>
          <w:szCs w:val="24"/>
          <w:lang w:val="sq-AL"/>
        </w:rPr>
        <w:t xml:space="preserve">Huamarrja e </w:t>
      </w:r>
      <w:r w:rsidR="00355153" w:rsidRPr="00EC6AB6">
        <w:rPr>
          <w:rFonts w:ascii="Garamond" w:hAnsi="Garamond"/>
          <w:sz w:val="24"/>
          <w:szCs w:val="24"/>
          <w:lang w:val="sq-AL"/>
        </w:rPr>
        <w:t>huaj</w:t>
      </w:r>
      <w:bookmarkEnd w:id="16"/>
      <w:bookmarkEnd w:id="17"/>
      <w:bookmarkEnd w:id="18"/>
    </w:p>
    <w:p w14:paraId="4333B854" w14:textId="5F591F5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Gjatë pesë v</w:t>
      </w:r>
      <w:r w:rsidR="00364328" w:rsidRPr="00EC6AB6">
        <w:rPr>
          <w:rFonts w:ascii="Garamond" w:hAnsi="Garamond"/>
          <w:sz w:val="24"/>
          <w:szCs w:val="24"/>
          <w:lang w:val="sq-AL"/>
        </w:rPr>
        <w:t>jetëve</w:t>
      </w:r>
      <w:r w:rsidRPr="00EC6AB6">
        <w:rPr>
          <w:rFonts w:ascii="Garamond" w:hAnsi="Garamond"/>
          <w:sz w:val="24"/>
          <w:szCs w:val="24"/>
          <w:lang w:val="sq-AL"/>
        </w:rPr>
        <w:t xml:space="preserve"> të fundit huamarrja e huaj ka mbuluar mesatarisht rreth 17% të nevojave të përgjithshme të qeverisë për hua. Burimet kryesore të financimit mbeten burimet shumëpalëshe dhe ato dypalëshe, të cilat kryesisht janë përdorur për të financuar projektet prioritare, si edhe politikat zhvillimore dhe reformat e ndërmarra nga qeveria. Këto burime kanë pasur një ndikim të rëndësishëm kryesisht në aspektin e optimizimit të kostove të borxhit dhe sigurimit të valutës së nevojshme për të shërbyer detyrimet e borxhit në valutë. Gjithashtu gjatë vitit 2020 vlen për t’u theksuar:</w:t>
      </w:r>
    </w:p>
    <w:p w14:paraId="4333B855" w14:textId="2633907F"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Eurobondi i emetuar në muajin qershor 2020, në vlerën 650 milion</w:t>
      </w:r>
      <w:r w:rsidR="00154B0C" w:rsidRPr="00EC6AB6">
        <w:rPr>
          <w:rFonts w:ascii="Garamond" w:hAnsi="Garamond"/>
          <w:sz w:val="24"/>
          <w:szCs w:val="24"/>
          <w:lang w:val="sq-AL"/>
        </w:rPr>
        <w:t>ë</w:t>
      </w:r>
      <w:r w:rsidR="008B3748" w:rsidRPr="00EC6AB6">
        <w:rPr>
          <w:rFonts w:ascii="Garamond" w:hAnsi="Garamond"/>
          <w:sz w:val="24"/>
          <w:szCs w:val="24"/>
          <w:lang w:val="sq-AL"/>
        </w:rPr>
        <w:t xml:space="preserve"> </w:t>
      </w:r>
      <w:r w:rsidR="00154B0C" w:rsidRPr="00EC6AB6">
        <w:rPr>
          <w:rFonts w:ascii="Garamond" w:hAnsi="Garamond"/>
          <w:sz w:val="24"/>
          <w:szCs w:val="24"/>
          <w:lang w:val="sq-AL"/>
        </w:rPr>
        <w:t>euro</w:t>
      </w:r>
      <w:r w:rsidR="008B3748" w:rsidRPr="00EC6AB6">
        <w:rPr>
          <w:rFonts w:ascii="Garamond" w:hAnsi="Garamond"/>
          <w:sz w:val="24"/>
          <w:szCs w:val="24"/>
          <w:lang w:val="sq-AL"/>
        </w:rPr>
        <w:t>, i cili shërben për rifinancimin e 250 milion</w:t>
      </w:r>
      <w:r w:rsidR="00154B0C" w:rsidRPr="00EC6AB6">
        <w:rPr>
          <w:rFonts w:ascii="Garamond" w:hAnsi="Garamond"/>
          <w:sz w:val="24"/>
          <w:szCs w:val="24"/>
          <w:lang w:val="sq-AL"/>
        </w:rPr>
        <w:t>ë</w:t>
      </w:r>
      <w:r w:rsidR="008B3748" w:rsidRPr="00EC6AB6">
        <w:rPr>
          <w:rFonts w:ascii="Garamond" w:hAnsi="Garamond"/>
          <w:sz w:val="24"/>
          <w:szCs w:val="24"/>
          <w:lang w:val="sq-AL"/>
        </w:rPr>
        <w:t xml:space="preserve"> </w:t>
      </w:r>
      <w:r w:rsidR="00154B0C" w:rsidRPr="00EC6AB6">
        <w:rPr>
          <w:rFonts w:ascii="Garamond" w:hAnsi="Garamond"/>
          <w:sz w:val="24"/>
          <w:szCs w:val="24"/>
          <w:lang w:val="sq-AL"/>
        </w:rPr>
        <w:t xml:space="preserve">eurove </w:t>
      </w:r>
      <w:r w:rsidR="008B3748" w:rsidRPr="00EC6AB6">
        <w:rPr>
          <w:rFonts w:ascii="Garamond" w:hAnsi="Garamond"/>
          <w:sz w:val="24"/>
          <w:szCs w:val="24"/>
          <w:lang w:val="sq-AL"/>
        </w:rPr>
        <w:t xml:space="preserve">të </w:t>
      </w:r>
      <w:r w:rsidR="00E9550A" w:rsidRPr="00EC6AB6">
        <w:rPr>
          <w:rFonts w:ascii="Garamond" w:hAnsi="Garamond"/>
          <w:sz w:val="24"/>
          <w:szCs w:val="24"/>
          <w:lang w:val="sq-AL"/>
        </w:rPr>
        <w:t xml:space="preserve">eurobondit </w:t>
      </w:r>
      <w:r w:rsidR="008B3748" w:rsidRPr="00EC6AB6">
        <w:rPr>
          <w:rFonts w:ascii="Garamond" w:hAnsi="Garamond"/>
          <w:sz w:val="24"/>
          <w:szCs w:val="24"/>
          <w:lang w:val="sq-AL"/>
        </w:rPr>
        <w:t>2015 dhe detyrimeve të tjera në valutë, si edhe për të përmbushur nevojat buxhetore të planifikuara për vitin 2020.</w:t>
      </w:r>
      <w:r w:rsidR="00FA2519" w:rsidRPr="00EC6AB6">
        <w:rPr>
          <w:rFonts w:ascii="Garamond" w:hAnsi="Garamond"/>
          <w:sz w:val="24"/>
          <w:szCs w:val="24"/>
          <w:lang w:val="sq-AL"/>
        </w:rPr>
        <w:t xml:space="preserve"> </w:t>
      </w:r>
    </w:p>
    <w:p w14:paraId="4333B856" w14:textId="06C70200"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Mbështetja buxhetore</w:t>
      </w:r>
      <w:r w:rsidR="00154B0C" w:rsidRPr="00EC6AB6">
        <w:rPr>
          <w:rFonts w:ascii="Garamond" w:hAnsi="Garamond"/>
          <w:sz w:val="24"/>
          <w:szCs w:val="24"/>
          <w:lang w:val="sq-AL"/>
        </w:rPr>
        <w:t>,</w:t>
      </w:r>
      <w:r w:rsidR="008B3748" w:rsidRPr="00EC6AB6">
        <w:rPr>
          <w:rFonts w:ascii="Garamond" w:hAnsi="Garamond"/>
          <w:sz w:val="24"/>
          <w:szCs w:val="24"/>
          <w:lang w:val="sq-AL"/>
        </w:rPr>
        <w:t xml:space="preserve"> e akorduar nga FMN</w:t>
      </w:r>
      <w:r w:rsidR="00154B0C" w:rsidRPr="00EC6AB6">
        <w:rPr>
          <w:rFonts w:ascii="Garamond" w:hAnsi="Garamond"/>
          <w:sz w:val="24"/>
          <w:szCs w:val="24"/>
          <w:lang w:val="sq-AL"/>
        </w:rPr>
        <w:t>-ja</w:t>
      </w:r>
      <w:r w:rsidR="008B3748" w:rsidRPr="00EC6AB6">
        <w:rPr>
          <w:rFonts w:ascii="Garamond" w:hAnsi="Garamond"/>
          <w:sz w:val="24"/>
          <w:szCs w:val="24"/>
          <w:lang w:val="sq-AL"/>
        </w:rPr>
        <w:t xml:space="preserve"> në vlerën 174 milion</w:t>
      </w:r>
      <w:r w:rsidR="00154B0C" w:rsidRPr="00EC6AB6">
        <w:rPr>
          <w:rFonts w:ascii="Garamond" w:hAnsi="Garamond"/>
          <w:sz w:val="24"/>
          <w:szCs w:val="24"/>
          <w:lang w:val="sq-AL"/>
        </w:rPr>
        <w:t>ë</w:t>
      </w:r>
      <w:r w:rsidR="008B3748" w:rsidRPr="00EC6AB6">
        <w:rPr>
          <w:rFonts w:ascii="Garamond" w:hAnsi="Garamond"/>
          <w:sz w:val="24"/>
          <w:szCs w:val="24"/>
          <w:lang w:val="sq-AL"/>
        </w:rPr>
        <w:t xml:space="preserve"> </w:t>
      </w:r>
      <w:r w:rsidR="00154B0C" w:rsidRPr="00EC6AB6">
        <w:rPr>
          <w:rFonts w:ascii="Garamond" w:hAnsi="Garamond"/>
          <w:sz w:val="24"/>
          <w:szCs w:val="24"/>
          <w:lang w:val="sq-AL"/>
        </w:rPr>
        <w:t xml:space="preserve">euro </w:t>
      </w:r>
      <w:r w:rsidR="008B3748" w:rsidRPr="00EC6AB6">
        <w:rPr>
          <w:rFonts w:ascii="Garamond" w:hAnsi="Garamond"/>
          <w:sz w:val="24"/>
          <w:szCs w:val="24"/>
          <w:lang w:val="sq-AL"/>
        </w:rPr>
        <w:t>nëpërmjet Instrumentit të Shpejtë të Financimit (RFI), e cila do të shërbejë për të përballuar nevojat urgjente të bilancit të pagesave nga përhapja e pandemisë së COVID-19 dhe tërmeti në nëntor 2019.</w:t>
      </w:r>
    </w:p>
    <w:p w14:paraId="4333B857" w14:textId="5EC39E2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Për sa i përket instrumentit të </w:t>
      </w:r>
      <w:r w:rsidR="00E9550A" w:rsidRPr="00EC6AB6">
        <w:rPr>
          <w:rFonts w:ascii="Garamond" w:hAnsi="Garamond"/>
          <w:sz w:val="24"/>
          <w:szCs w:val="24"/>
          <w:lang w:val="sq-AL"/>
        </w:rPr>
        <w:t>eurobondit</w:t>
      </w:r>
      <w:r w:rsidRPr="00EC6AB6">
        <w:rPr>
          <w:rFonts w:ascii="Garamond" w:hAnsi="Garamond"/>
          <w:sz w:val="24"/>
          <w:szCs w:val="24"/>
          <w:lang w:val="sq-AL"/>
        </w:rPr>
        <w:t xml:space="preserve">, në datën 9 </w:t>
      </w:r>
      <w:r w:rsidR="00355153" w:rsidRPr="00EC6AB6">
        <w:rPr>
          <w:rFonts w:ascii="Garamond" w:hAnsi="Garamond"/>
          <w:sz w:val="24"/>
          <w:szCs w:val="24"/>
          <w:lang w:val="sq-AL"/>
        </w:rPr>
        <w:t>qershor</w:t>
      </w:r>
      <w:r w:rsidRPr="00EC6AB6">
        <w:rPr>
          <w:rFonts w:ascii="Garamond" w:hAnsi="Garamond"/>
          <w:sz w:val="24"/>
          <w:szCs w:val="24"/>
          <w:lang w:val="sq-AL"/>
        </w:rPr>
        <w:t xml:space="preserve">, Ministria e Financave dhe Ekonomisë shpalli daljen me </w:t>
      </w:r>
      <w:r w:rsidR="00E9550A" w:rsidRPr="00EC6AB6">
        <w:rPr>
          <w:rFonts w:ascii="Garamond" w:hAnsi="Garamond"/>
          <w:sz w:val="24"/>
          <w:szCs w:val="24"/>
          <w:lang w:val="sq-AL"/>
        </w:rPr>
        <w:t xml:space="preserve">eurobond </w:t>
      </w:r>
      <w:r w:rsidRPr="00EC6AB6">
        <w:rPr>
          <w:rFonts w:ascii="Garamond" w:hAnsi="Garamond"/>
          <w:sz w:val="24"/>
          <w:szCs w:val="24"/>
          <w:lang w:val="sq-AL"/>
        </w:rPr>
        <w:t>ku procesi u finalizua me një emetim me termat e mëposht</w:t>
      </w:r>
      <w:r w:rsidR="00154B0C" w:rsidRPr="00EC6AB6">
        <w:rPr>
          <w:rFonts w:ascii="Garamond" w:hAnsi="Garamond"/>
          <w:sz w:val="24"/>
          <w:szCs w:val="24"/>
          <w:lang w:val="sq-AL"/>
        </w:rPr>
        <w:t>ë</w:t>
      </w:r>
      <w:r w:rsidRPr="00EC6AB6">
        <w:rPr>
          <w:rFonts w:ascii="Garamond" w:hAnsi="Garamond"/>
          <w:sz w:val="24"/>
          <w:szCs w:val="24"/>
          <w:lang w:val="sq-AL"/>
        </w:rPr>
        <w:t>m:</w:t>
      </w:r>
    </w:p>
    <w:p w14:paraId="4333B858" w14:textId="48F9A74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Shuma:</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Pr="00EC6AB6">
        <w:rPr>
          <w:rFonts w:ascii="Garamond" w:hAnsi="Garamond"/>
          <w:sz w:val="24"/>
          <w:szCs w:val="24"/>
          <w:lang w:val="sq-AL"/>
        </w:rPr>
        <w:t>650 milion</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euro</w:t>
      </w:r>
      <w:r w:rsidRPr="00EC6AB6">
        <w:rPr>
          <w:rFonts w:ascii="Garamond" w:hAnsi="Garamond"/>
          <w:sz w:val="24"/>
          <w:szCs w:val="24"/>
          <w:lang w:val="sq-AL"/>
        </w:rPr>
        <w:t>;</w:t>
      </w:r>
    </w:p>
    <w:p w14:paraId="4333B859" w14:textId="77430F3D" w:rsidR="008B3748" w:rsidRPr="00EC6AB6" w:rsidRDefault="00F833AA" w:rsidP="008B3748">
      <w:pPr>
        <w:spacing w:after="0" w:line="240" w:lineRule="auto"/>
        <w:rPr>
          <w:rFonts w:ascii="Garamond" w:hAnsi="Garamond"/>
          <w:sz w:val="24"/>
          <w:szCs w:val="24"/>
          <w:lang w:val="sq-AL"/>
        </w:rPr>
      </w:pPr>
      <w:r w:rsidRPr="00EC6AB6">
        <w:rPr>
          <w:rFonts w:ascii="Garamond" w:hAnsi="Garamond"/>
          <w:sz w:val="24"/>
          <w:szCs w:val="24"/>
          <w:lang w:val="sq-AL"/>
        </w:rPr>
        <w:t>Maturimi:</w:t>
      </w:r>
      <w:r w:rsidRPr="00EC6AB6">
        <w:rPr>
          <w:rFonts w:ascii="Garamond" w:hAnsi="Garamond"/>
          <w:sz w:val="24"/>
          <w:szCs w:val="24"/>
          <w:lang w:val="sq-AL"/>
        </w:rPr>
        <w:tab/>
      </w:r>
      <w:r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008B3748" w:rsidRPr="00EC6AB6">
        <w:rPr>
          <w:rFonts w:ascii="Garamond" w:hAnsi="Garamond"/>
          <w:sz w:val="24"/>
          <w:szCs w:val="24"/>
          <w:lang w:val="sq-AL"/>
        </w:rPr>
        <w:t>7 v</w:t>
      </w:r>
      <w:r w:rsidR="00154B0C" w:rsidRPr="00EC6AB6">
        <w:rPr>
          <w:rFonts w:ascii="Garamond" w:hAnsi="Garamond"/>
          <w:sz w:val="24"/>
          <w:szCs w:val="24"/>
          <w:lang w:val="sq-AL"/>
        </w:rPr>
        <w:t>jet</w:t>
      </w:r>
      <w:r w:rsidR="008B3748" w:rsidRPr="00EC6AB6">
        <w:rPr>
          <w:rFonts w:ascii="Garamond" w:hAnsi="Garamond"/>
          <w:sz w:val="24"/>
          <w:szCs w:val="24"/>
          <w:lang w:val="sq-AL"/>
        </w:rPr>
        <w:t>;</w:t>
      </w:r>
    </w:p>
    <w:p w14:paraId="4333B85A"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Norma e interesit </w:t>
      </w:r>
      <w:r w:rsidRPr="00EC6AB6">
        <w:rPr>
          <w:rFonts w:ascii="Garamond" w:hAnsi="Garamond"/>
          <w:i/>
          <w:sz w:val="24"/>
          <w:szCs w:val="24"/>
          <w:lang w:val="sq-AL"/>
        </w:rPr>
        <w:t>Yield</w:t>
      </w:r>
      <w:r w:rsidRPr="00EC6AB6">
        <w:rPr>
          <w:rFonts w:ascii="Garamond" w:hAnsi="Garamond"/>
          <w:sz w:val="24"/>
          <w:szCs w:val="24"/>
          <w:lang w:val="sq-AL"/>
        </w:rPr>
        <w:t xml:space="preserve">: </w:t>
      </w:r>
      <w:r w:rsidRPr="00EC6AB6">
        <w:rPr>
          <w:rFonts w:ascii="Garamond" w:hAnsi="Garamond"/>
          <w:sz w:val="24"/>
          <w:szCs w:val="24"/>
          <w:lang w:val="sq-AL"/>
        </w:rPr>
        <w:tab/>
        <w:t>3.625%;</w:t>
      </w:r>
    </w:p>
    <w:p w14:paraId="4333B85B" w14:textId="3FF8D69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Kuponi:</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Pr="00EC6AB6">
        <w:rPr>
          <w:rFonts w:ascii="Garamond" w:hAnsi="Garamond"/>
          <w:sz w:val="24"/>
          <w:szCs w:val="24"/>
          <w:lang w:val="sq-AL"/>
        </w:rPr>
        <w:t>3.50%;</w:t>
      </w:r>
    </w:p>
    <w:p w14:paraId="4333B85C" w14:textId="234CD18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Çmimi: </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00154B0C" w:rsidRPr="00EC6AB6">
        <w:rPr>
          <w:rFonts w:ascii="Garamond" w:hAnsi="Garamond"/>
          <w:sz w:val="24"/>
          <w:szCs w:val="24"/>
          <w:lang w:val="sq-AL"/>
        </w:rPr>
        <w:tab/>
      </w:r>
      <w:r w:rsidRPr="00EC6AB6">
        <w:rPr>
          <w:rFonts w:ascii="Garamond" w:hAnsi="Garamond"/>
          <w:sz w:val="24"/>
          <w:szCs w:val="24"/>
          <w:lang w:val="sq-AL"/>
        </w:rPr>
        <w:t>99.239%.</w:t>
      </w:r>
    </w:p>
    <w:p w14:paraId="4333B85D" w14:textId="6E8DC16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Emetimi i instrumentit të </w:t>
      </w:r>
      <w:r w:rsidR="00E9550A" w:rsidRPr="00EC6AB6">
        <w:rPr>
          <w:rFonts w:ascii="Garamond" w:hAnsi="Garamond"/>
          <w:sz w:val="24"/>
          <w:szCs w:val="24"/>
          <w:lang w:val="sq-AL"/>
        </w:rPr>
        <w:t>eurobondit</w:t>
      </w:r>
      <w:r w:rsidRPr="00EC6AB6">
        <w:rPr>
          <w:rFonts w:ascii="Garamond" w:hAnsi="Garamond"/>
          <w:sz w:val="24"/>
          <w:szCs w:val="24"/>
          <w:lang w:val="sq-AL"/>
        </w:rPr>
        <w:t xml:space="preserve">, </w:t>
      </w:r>
      <w:r w:rsidR="00154B0C" w:rsidRPr="00EC6AB6">
        <w:rPr>
          <w:rFonts w:ascii="Garamond" w:hAnsi="Garamond"/>
          <w:sz w:val="24"/>
          <w:szCs w:val="24"/>
          <w:lang w:val="sq-AL"/>
        </w:rPr>
        <w:t>përveçse</w:t>
      </w:r>
      <w:r w:rsidRPr="00EC6AB6">
        <w:rPr>
          <w:rFonts w:ascii="Garamond" w:hAnsi="Garamond"/>
          <w:sz w:val="24"/>
          <w:szCs w:val="24"/>
          <w:lang w:val="sq-AL"/>
        </w:rPr>
        <w:t xml:space="preserve"> plotësoi nevojat për likuiditet, përçoi një sinjal pozitiv për</w:t>
      </w:r>
      <w:r w:rsidR="00154B0C" w:rsidRPr="00EC6AB6">
        <w:rPr>
          <w:rFonts w:ascii="Garamond" w:hAnsi="Garamond"/>
          <w:sz w:val="24"/>
          <w:szCs w:val="24"/>
          <w:lang w:val="sq-AL"/>
        </w:rPr>
        <w:t xml:space="preserve"> </w:t>
      </w:r>
      <w:r w:rsidRPr="00EC6AB6">
        <w:rPr>
          <w:rFonts w:ascii="Garamond" w:hAnsi="Garamond"/>
          <w:sz w:val="24"/>
          <w:szCs w:val="24"/>
          <w:lang w:val="sq-AL"/>
        </w:rPr>
        <w:t xml:space="preserve">sa i përket aftësisë për të siguruar fonde dhe qëndrueshmërisë së financave publike në Republikën e Shqipërisë. </w:t>
      </w:r>
    </w:p>
    <w:p w14:paraId="4333B85E" w14:textId="77777777" w:rsidR="005C2434" w:rsidRPr="00EC6AB6" w:rsidRDefault="005C2434" w:rsidP="008B3748">
      <w:pPr>
        <w:spacing w:after="0" w:line="240" w:lineRule="auto"/>
        <w:rPr>
          <w:rFonts w:ascii="Garamond" w:hAnsi="Garamond"/>
          <w:sz w:val="24"/>
          <w:szCs w:val="24"/>
          <w:lang w:val="sq-AL"/>
        </w:rPr>
      </w:pPr>
    </w:p>
    <w:p w14:paraId="4333B85F" w14:textId="77777777" w:rsidR="005C2434" w:rsidRPr="00EC6AB6" w:rsidRDefault="005C2434" w:rsidP="008B3748">
      <w:pPr>
        <w:spacing w:after="0" w:line="240" w:lineRule="auto"/>
        <w:rPr>
          <w:rFonts w:ascii="Garamond" w:hAnsi="Garamond"/>
          <w:sz w:val="24"/>
          <w:szCs w:val="24"/>
          <w:lang w:val="sq-AL"/>
        </w:rPr>
      </w:pPr>
    </w:p>
    <w:p w14:paraId="4333B860" w14:textId="77777777" w:rsidR="005C2434" w:rsidRPr="00EC6AB6" w:rsidRDefault="005C2434" w:rsidP="008B3748">
      <w:pPr>
        <w:spacing w:after="0" w:line="240" w:lineRule="auto"/>
        <w:rPr>
          <w:rFonts w:ascii="Garamond" w:hAnsi="Garamond"/>
          <w:sz w:val="24"/>
          <w:szCs w:val="24"/>
          <w:lang w:val="sq-AL"/>
        </w:rPr>
      </w:pPr>
    </w:p>
    <w:p w14:paraId="4333B861" w14:textId="77777777" w:rsidR="005C2434" w:rsidRPr="00EC6AB6" w:rsidRDefault="005C2434" w:rsidP="005C2434">
      <w:pPr>
        <w:spacing w:after="0" w:line="240" w:lineRule="auto"/>
        <w:jc w:val="center"/>
        <w:rPr>
          <w:rFonts w:ascii="Garamond" w:hAnsi="Garamond"/>
          <w:sz w:val="24"/>
          <w:szCs w:val="24"/>
          <w:lang w:val="sq-AL"/>
        </w:rPr>
      </w:pPr>
      <w:r w:rsidRPr="00EC6AB6">
        <w:rPr>
          <w:noProof/>
        </w:rPr>
        <w:lastRenderedPageBreak/>
        <w:drawing>
          <wp:inline distT="0" distB="0" distL="0" distR="0" wp14:anchorId="4333BB36" wp14:editId="4E33FB21">
            <wp:extent cx="5326380" cy="2574906"/>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54419" t="59724" r="15082" b="14064"/>
                    <a:stretch/>
                  </pic:blipFill>
                  <pic:spPr bwMode="auto">
                    <a:xfrm>
                      <a:off x="0" y="0"/>
                      <a:ext cx="5329645" cy="2576484"/>
                    </a:xfrm>
                    <a:prstGeom prst="rect">
                      <a:avLst/>
                    </a:prstGeom>
                    <a:ln>
                      <a:noFill/>
                    </a:ln>
                    <a:extLst>
                      <a:ext uri="{53640926-AAD7-44D8-BBD7-CCE9431645EC}">
                        <a14:shadowObscured xmlns:a14="http://schemas.microsoft.com/office/drawing/2010/main"/>
                      </a:ext>
                    </a:extLst>
                  </pic:spPr>
                </pic:pic>
              </a:graphicData>
            </a:graphic>
          </wp:inline>
        </w:drawing>
      </w:r>
    </w:p>
    <w:p w14:paraId="4333B862" w14:textId="274F4A44" w:rsidR="008B3748" w:rsidRPr="00EC6AB6" w:rsidRDefault="005C2434" w:rsidP="008B3748">
      <w:pPr>
        <w:spacing w:after="0" w:line="240" w:lineRule="auto"/>
        <w:rPr>
          <w:rFonts w:ascii="Garamond" w:hAnsi="Garamond"/>
          <w:sz w:val="24"/>
          <w:szCs w:val="24"/>
          <w:lang w:val="sq-AL"/>
        </w:rPr>
      </w:pPr>
      <w:bookmarkStart w:id="19" w:name="_Toc491954299"/>
      <w:bookmarkStart w:id="20" w:name="_Toc491860986"/>
      <w:bookmarkStart w:id="21" w:name="_Toc483994727"/>
      <w:bookmarkStart w:id="22" w:name="_Toc60129450"/>
      <w:r w:rsidRPr="00EC6AB6">
        <w:rPr>
          <w:rFonts w:ascii="Garamond" w:hAnsi="Garamond"/>
          <w:sz w:val="24"/>
          <w:szCs w:val="24"/>
          <w:lang w:val="sq-AL"/>
        </w:rPr>
        <w:t xml:space="preserve">3. </w:t>
      </w:r>
      <w:r w:rsidR="008B3748" w:rsidRPr="00EC6AB6">
        <w:rPr>
          <w:rFonts w:ascii="Garamond" w:hAnsi="Garamond"/>
          <w:sz w:val="24"/>
          <w:szCs w:val="24"/>
          <w:lang w:val="sq-AL"/>
        </w:rPr>
        <w:t xml:space="preserve">Portofoli i </w:t>
      </w:r>
      <w:r w:rsidR="00154B0C" w:rsidRPr="00EC6AB6">
        <w:rPr>
          <w:rFonts w:ascii="Garamond" w:hAnsi="Garamond"/>
          <w:sz w:val="24"/>
          <w:szCs w:val="24"/>
          <w:lang w:val="sq-AL"/>
        </w:rPr>
        <w:t>borxhit shtetëror</w:t>
      </w:r>
      <w:bookmarkEnd w:id="19"/>
      <w:bookmarkEnd w:id="20"/>
      <w:bookmarkEnd w:id="21"/>
      <w:bookmarkEnd w:id="22"/>
    </w:p>
    <w:p w14:paraId="4333B863" w14:textId="65E4825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pikëpamja e kompozimit të portofolit</w:t>
      </w:r>
      <w:r w:rsidR="00154B0C" w:rsidRPr="00EC6AB6">
        <w:rPr>
          <w:rFonts w:ascii="Garamond" w:hAnsi="Garamond"/>
          <w:sz w:val="24"/>
          <w:szCs w:val="24"/>
          <w:lang w:val="sq-AL"/>
        </w:rPr>
        <w:t>,</w:t>
      </w:r>
      <w:r w:rsidRPr="00EC6AB6">
        <w:rPr>
          <w:rFonts w:ascii="Garamond" w:hAnsi="Garamond"/>
          <w:sz w:val="24"/>
          <w:szCs w:val="24"/>
          <w:lang w:val="sq-AL"/>
        </w:rPr>
        <w:t xml:space="preserve"> sipas instrumenteve, titujt shtetërorë </w:t>
      </w:r>
      <w:r w:rsidR="002B79A7" w:rsidRPr="00EC6AB6">
        <w:rPr>
          <w:rFonts w:ascii="Garamond" w:hAnsi="Garamond"/>
          <w:sz w:val="24"/>
          <w:szCs w:val="24"/>
          <w:lang w:val="sq-AL"/>
        </w:rPr>
        <w:t>vendës</w:t>
      </w:r>
      <w:r w:rsidRPr="00EC6AB6">
        <w:rPr>
          <w:rFonts w:ascii="Garamond" w:hAnsi="Garamond"/>
          <w:sz w:val="24"/>
          <w:szCs w:val="24"/>
          <w:lang w:val="sq-AL"/>
        </w:rPr>
        <w:t xml:space="preserve"> vijojnë të dominojnë më shumë se gjysmën e portofolit të borxhit shtetëror. Ndërkohë, në portofolin e borxhit të jashtëm ka një tendencë në drejtim të rritjes së përqendrimit të titujve ndërkombëtarë, duke reflektuar politikat e huamarrjes gjatë viteve të fundit, të cilat nisur edhe nga kufizimet e tregut të brendshëm</w:t>
      </w:r>
      <w:r w:rsidR="00154B0C" w:rsidRPr="00EC6AB6">
        <w:rPr>
          <w:rFonts w:ascii="Garamond" w:hAnsi="Garamond"/>
          <w:sz w:val="24"/>
          <w:szCs w:val="24"/>
          <w:lang w:val="sq-AL"/>
        </w:rPr>
        <w:t>,</w:t>
      </w:r>
      <w:r w:rsidRPr="00EC6AB6">
        <w:rPr>
          <w:rFonts w:ascii="Garamond" w:hAnsi="Garamond"/>
          <w:sz w:val="24"/>
          <w:szCs w:val="24"/>
          <w:lang w:val="sq-AL"/>
        </w:rPr>
        <w:t xml:space="preserve"> kanë pasur si qëllim uljen e presionit të huamarrjes së brendshme për të lehtësuar procesin e ristrukturimit të portofolit të borxhit të brendshëm dhe stimuluar kredit</w:t>
      </w:r>
      <w:r w:rsidR="00570FF5">
        <w:rPr>
          <w:rFonts w:ascii="Garamond" w:hAnsi="Garamond"/>
          <w:sz w:val="24"/>
          <w:szCs w:val="24"/>
          <w:lang w:val="sq-AL"/>
        </w:rPr>
        <w:t>i</w:t>
      </w:r>
      <w:r w:rsidRPr="00EC6AB6">
        <w:rPr>
          <w:rFonts w:ascii="Garamond" w:hAnsi="Garamond"/>
          <w:sz w:val="24"/>
          <w:szCs w:val="24"/>
          <w:lang w:val="sq-AL"/>
        </w:rPr>
        <w:t xml:space="preserve">min e sektorit privat. </w:t>
      </w:r>
    </w:p>
    <w:p w14:paraId="4333B864" w14:textId="77777777" w:rsidR="008B3748" w:rsidRPr="00EC6AB6" w:rsidRDefault="008B3748" w:rsidP="008B3748">
      <w:pPr>
        <w:spacing w:after="0" w:line="240" w:lineRule="auto"/>
        <w:rPr>
          <w:rFonts w:ascii="Garamond" w:hAnsi="Garamond"/>
          <w:sz w:val="24"/>
          <w:szCs w:val="24"/>
          <w:lang w:val="sq-AL"/>
        </w:rPr>
      </w:pPr>
    </w:p>
    <w:p w14:paraId="4333B865" w14:textId="482D10F1" w:rsidR="008B3748" w:rsidRPr="00EC6AB6" w:rsidRDefault="008B3748" w:rsidP="00355153">
      <w:pPr>
        <w:spacing w:after="0" w:line="240" w:lineRule="auto"/>
        <w:ind w:firstLine="0"/>
        <w:rPr>
          <w:rFonts w:ascii="Garamond" w:hAnsi="Garamond"/>
          <w:b/>
          <w:i/>
          <w:sz w:val="20"/>
          <w:szCs w:val="20"/>
          <w:lang w:val="sq-AL"/>
        </w:rPr>
      </w:pPr>
      <w:r w:rsidRPr="00EC6AB6">
        <w:rPr>
          <w:rFonts w:ascii="Garamond" w:hAnsi="Garamond"/>
          <w:b/>
          <w:i/>
          <w:sz w:val="20"/>
          <w:szCs w:val="20"/>
          <w:lang w:val="sq-AL"/>
        </w:rPr>
        <w:t xml:space="preserve">Paraqitje </w:t>
      </w:r>
      <w:r w:rsidR="00355153" w:rsidRPr="00EC6AB6">
        <w:rPr>
          <w:rFonts w:ascii="Garamond" w:hAnsi="Garamond"/>
          <w:b/>
          <w:i/>
          <w:sz w:val="20"/>
          <w:szCs w:val="20"/>
          <w:lang w:val="sq-AL"/>
        </w:rPr>
        <w:t xml:space="preserve">grafike </w:t>
      </w:r>
      <w:r w:rsidRPr="00EC6AB6">
        <w:rPr>
          <w:rFonts w:ascii="Garamond" w:hAnsi="Garamond"/>
          <w:b/>
          <w:i/>
          <w:sz w:val="20"/>
          <w:szCs w:val="20"/>
          <w:lang w:val="sq-AL"/>
        </w:rPr>
        <w:t>3(a): Kompozimi i portofolit të borxhit shtetëror sipas instrumenteve (2016–</w:t>
      </w:r>
      <w:r w:rsidR="00355153"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66" w14:textId="77777777" w:rsidR="008B3748" w:rsidRPr="00EC6AB6" w:rsidRDefault="008B3748" w:rsidP="005C2434">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38" wp14:editId="4333BB39">
            <wp:extent cx="5955665" cy="1781175"/>
            <wp:effectExtent l="0" t="0" r="26035"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333B867"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68" w14:textId="77777777" w:rsidR="008B3748" w:rsidRPr="00EC6AB6" w:rsidRDefault="008B3748" w:rsidP="008B3748">
      <w:pPr>
        <w:spacing w:after="0" w:line="240" w:lineRule="auto"/>
        <w:rPr>
          <w:rFonts w:ascii="Garamond" w:hAnsi="Garamond"/>
          <w:sz w:val="24"/>
          <w:szCs w:val="24"/>
          <w:lang w:val="sq-AL"/>
        </w:rPr>
      </w:pPr>
    </w:p>
    <w:p w14:paraId="4333B869" w14:textId="2816AE5D"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Për sa i përket kompozimit të portofolit të borxhit shtetëror</w:t>
      </w:r>
      <w:r w:rsidR="00154B0C" w:rsidRPr="00EC6AB6">
        <w:rPr>
          <w:rFonts w:ascii="Garamond" w:hAnsi="Garamond"/>
          <w:sz w:val="24"/>
          <w:szCs w:val="24"/>
          <w:lang w:val="sq-AL"/>
        </w:rPr>
        <w:t>,</w:t>
      </w:r>
      <w:r w:rsidRPr="00EC6AB6">
        <w:rPr>
          <w:rFonts w:ascii="Garamond" w:hAnsi="Garamond"/>
          <w:sz w:val="24"/>
          <w:szCs w:val="24"/>
          <w:lang w:val="sq-AL"/>
        </w:rPr>
        <w:t xml:space="preserve"> sipas maturitetit (origjinal) të instrumenteve të </w:t>
      </w:r>
      <w:r w:rsidR="002A3781" w:rsidRPr="00EC6AB6">
        <w:rPr>
          <w:rFonts w:ascii="Garamond" w:hAnsi="Garamond"/>
          <w:sz w:val="24"/>
          <w:szCs w:val="24"/>
          <w:lang w:val="sq-AL"/>
        </w:rPr>
        <w:t>huas</w:t>
      </w:r>
      <w:r w:rsidRPr="00EC6AB6">
        <w:rPr>
          <w:rFonts w:ascii="Garamond" w:hAnsi="Garamond"/>
          <w:sz w:val="24"/>
          <w:szCs w:val="24"/>
          <w:lang w:val="sq-AL"/>
        </w:rPr>
        <w:t>, vërehet një reduktim gradual i përqendrimit të instrumenteve afatshkurtra, duke reflektuar politikat e ndërmarra në kuadër të menaxhimit të risqeve në portofolin e borxhit të brendshëm.</w:t>
      </w:r>
    </w:p>
    <w:p w14:paraId="2E61DD53" w14:textId="77777777" w:rsidR="00355153" w:rsidRPr="00EC6AB6" w:rsidRDefault="00355153" w:rsidP="008B3748">
      <w:pPr>
        <w:spacing w:after="0" w:line="240" w:lineRule="auto"/>
        <w:rPr>
          <w:rFonts w:ascii="Garamond" w:hAnsi="Garamond"/>
          <w:sz w:val="24"/>
          <w:szCs w:val="24"/>
          <w:lang w:val="sq-AL"/>
        </w:rPr>
      </w:pPr>
    </w:p>
    <w:p w14:paraId="4333B86A" w14:textId="77777777" w:rsidR="005C2434" w:rsidRPr="00EC6AB6" w:rsidRDefault="005C2434" w:rsidP="008B3748">
      <w:pPr>
        <w:spacing w:after="0" w:line="240" w:lineRule="auto"/>
        <w:rPr>
          <w:rFonts w:ascii="Garamond" w:hAnsi="Garamond"/>
          <w:sz w:val="24"/>
          <w:szCs w:val="24"/>
          <w:lang w:val="sq-AL"/>
        </w:rPr>
      </w:pPr>
    </w:p>
    <w:p w14:paraId="4333B86B" w14:textId="092BFE6E" w:rsidR="008B3748" w:rsidRPr="00EC6AB6" w:rsidRDefault="008B3748" w:rsidP="008B3748">
      <w:pPr>
        <w:spacing w:after="0" w:line="240" w:lineRule="auto"/>
        <w:rPr>
          <w:rFonts w:ascii="Garamond" w:hAnsi="Garamond"/>
          <w:sz w:val="24"/>
          <w:szCs w:val="24"/>
          <w:lang w:val="sq-AL"/>
        </w:rPr>
      </w:pPr>
      <w:r w:rsidRPr="00EC6AB6">
        <w:rPr>
          <w:rFonts w:ascii="Garamond" w:hAnsi="Garamond"/>
          <w:b/>
          <w:i/>
          <w:noProof/>
          <w:sz w:val="20"/>
          <w:szCs w:val="20"/>
        </w:rPr>
        <w:lastRenderedPageBreak/>
        <w:drawing>
          <wp:anchor distT="0" distB="0" distL="114300" distR="114300" simplePos="0" relativeHeight="251658240" behindDoc="1" locked="0" layoutInCell="1" allowOverlap="1" wp14:anchorId="4333BB3A" wp14:editId="4333BB3B">
            <wp:simplePos x="0" y="0"/>
            <wp:positionH relativeFrom="margin">
              <wp:align>right</wp:align>
            </wp:positionH>
            <wp:positionV relativeFrom="paragraph">
              <wp:posOffset>406400</wp:posOffset>
            </wp:positionV>
            <wp:extent cx="2865120" cy="2480945"/>
            <wp:effectExtent l="0" t="0" r="0" b="0"/>
            <wp:wrapTight wrapText="bothSides">
              <wp:wrapPolygon edited="0">
                <wp:start x="8043" y="995"/>
                <wp:lineTo x="0" y="2156"/>
                <wp:lineTo x="0" y="21395"/>
                <wp:lineTo x="21399" y="21395"/>
                <wp:lineTo x="21399" y="1824"/>
                <wp:lineTo x="15511" y="995"/>
                <wp:lineTo x="8043" y="995"/>
              </wp:wrapPolygon>
            </wp:wrapTight>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EC6AB6">
        <w:rPr>
          <w:rFonts w:ascii="Garamond" w:hAnsi="Garamond"/>
          <w:b/>
          <w:i/>
          <w:noProof/>
          <w:sz w:val="20"/>
          <w:szCs w:val="20"/>
        </w:rPr>
        <w:drawing>
          <wp:anchor distT="0" distB="0" distL="114300" distR="114300" simplePos="0" relativeHeight="251658241" behindDoc="1" locked="0" layoutInCell="1" allowOverlap="1" wp14:anchorId="4333BB3C" wp14:editId="4333BB3D">
            <wp:simplePos x="0" y="0"/>
            <wp:positionH relativeFrom="column">
              <wp:posOffset>43815</wp:posOffset>
            </wp:positionH>
            <wp:positionV relativeFrom="paragraph">
              <wp:posOffset>433070</wp:posOffset>
            </wp:positionV>
            <wp:extent cx="3035935" cy="2458720"/>
            <wp:effectExtent l="0" t="0" r="0" b="0"/>
            <wp:wrapTight wrapText="bothSides">
              <wp:wrapPolygon edited="0">
                <wp:start x="5964" y="669"/>
                <wp:lineTo x="678" y="2176"/>
                <wp:lineTo x="678" y="2845"/>
                <wp:lineTo x="3795" y="3682"/>
                <wp:lineTo x="271" y="3682"/>
                <wp:lineTo x="0" y="3849"/>
                <wp:lineTo x="0" y="21421"/>
                <wp:lineTo x="21415" y="21421"/>
                <wp:lineTo x="21415" y="3682"/>
                <wp:lineTo x="5693" y="3682"/>
                <wp:lineTo x="15993" y="1674"/>
                <wp:lineTo x="16535" y="1004"/>
                <wp:lineTo x="15316" y="669"/>
                <wp:lineTo x="5964" y="669"/>
              </wp:wrapPolygon>
            </wp:wrapTight>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Pr="00EC6AB6">
        <w:rPr>
          <w:rFonts w:ascii="Garamond" w:hAnsi="Garamond"/>
          <w:b/>
          <w:i/>
          <w:noProof/>
          <w:sz w:val="20"/>
          <w:szCs w:val="20"/>
        </w:rPr>
        <mc:AlternateContent>
          <mc:Choice Requires="wps">
            <w:drawing>
              <wp:anchor distT="0" distB="0" distL="114300" distR="114300" simplePos="0" relativeHeight="251658242" behindDoc="0" locked="0" layoutInCell="1" allowOverlap="1" wp14:anchorId="4333BB3E" wp14:editId="4333BB3F">
                <wp:simplePos x="0" y="0"/>
                <wp:positionH relativeFrom="margin">
                  <wp:posOffset>0</wp:posOffset>
                </wp:positionH>
                <wp:positionV relativeFrom="paragraph">
                  <wp:posOffset>373380</wp:posOffset>
                </wp:positionV>
                <wp:extent cx="5943600" cy="2575560"/>
                <wp:effectExtent l="0" t="0" r="19050" b="15240"/>
                <wp:wrapNone/>
                <wp:docPr id="38" name="Rectangle 38"/>
                <wp:cNvGraphicFramePr/>
                <a:graphic xmlns:a="http://schemas.openxmlformats.org/drawingml/2006/main">
                  <a:graphicData uri="http://schemas.microsoft.com/office/word/2010/wordprocessingShape">
                    <wps:wsp>
                      <wps:cNvSpPr/>
                      <wps:spPr>
                        <a:xfrm>
                          <a:off x="0" y="0"/>
                          <a:ext cx="5943600" cy="2575560"/>
                        </a:xfrm>
                        <a:prstGeom prst="rect">
                          <a:avLst/>
                        </a:prstGeom>
                        <a:noFill/>
                        <a:ln w="635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26" style="position:absolute;margin-left:0;margin-top:29.4pt;width:468pt;height:202.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nVgwIAAPsEAAAOAAAAZHJzL2Uyb0RvYy54bWysVE1PGzEQvVfqf7B8L5uEbICIDYpAqSpR&#10;iAoVZ+P1Zi35q7aTTfrr++xdAqU9Vc3BmfGM5+PNm7282mtFdsIHaU1FxycjSoThtpZmU9Hvj6tP&#10;55SEyEzNlDWiogcR6NXi44fLzs3FxLZW1cITBDFh3rmKtjG6eVEE3grNwol1wsDYWK9ZhOo3Re1Z&#10;h+haFZPRaFZ01tfOWy5CwO1Nb6SLHL9pBI/3TRNEJKqiqC3m0+fzOZ3F4pLNN565VvKhDPYPVWgm&#10;DZIeQ92wyMjWyz9Cacm9DbaJJ9zqwjaN5CL3gG7Go3fdPLTMidwLwAnuCFP4f2H53W7tiawreopJ&#10;GaYxo29AjZmNEgR3AKhzYQ6/B7f2gxYgpm73jdfpH32QfQb1cARV7CPhuCwvpqezEbDnsE3Ks7Kc&#10;ZdiL1+fOh/hZWE2SUFGP/BlMtrsNESnh+uKSshm7kkrlySlDuorOTssUn4E/jWIRonboKJgNJUxt&#10;QEwefY4YrJJ1ep3ihEO4Vp7sGLgBStW2o0SxEHFZ0VX+5Udqq7/auvc7K0fopa+pf5/L+y1uqvWG&#10;hbZ/kU09z7SMILuSuqLnCHMMpEwqR2S6Dh0nzHuUk/Rs6wPG5G3P3+D4SiLJLYpdMw/Con0sYbzH&#10;0SgLSOwgUdJa//Nv98kfPIKVkg4LALx+bJkXwOCLAcMuxtNp2pisTMuzCRT/1vL81mK2+toCxzHW&#10;3fEsJv+oXsTGW/2EXV2mrDAxw5G7n8ygXMd+MbHtXCyX2Q1b4li8NQ+Op+AJpwTv4/6JeTfwJYJq&#10;d/ZlWdj8HW163544y220jcycesUVE0wKNizPcvgapBV+q2ev12/W4hcAAAD//wMAUEsDBBQABgAI&#10;AAAAIQCLg6po3gAAAAcBAAAPAAAAZHJzL2Rvd25yZXYueG1sTI/NTsMwEITvSLyDtUjcqEMJpg1x&#10;KkDiUHpALT/iuI2XOCK2o9hpw9uznOC4M6OZb8vV5DpxoCG2wWu4nGUgyNfBtL7R8PryeLEAERN6&#10;g13wpOGbIqyq05MSCxOOfkuHXWoEl/hYoAabUl9IGWtLDuMs9OTZ+wyDw8Tn0Egz4JHLXSfnWaak&#10;w9bzgsWeHizVX7vRabhJc7V83tR4Tx9v6ml8X9t+u9b6/Gy6uwWRaEp/YfjFZ3SomGkfRm+i6DTw&#10;I0nD9YL52V1eKRb2GnKV5yCrUv7nr34AAAD//wMAUEsBAi0AFAAGAAgAAAAhALaDOJL+AAAA4QEA&#10;ABMAAAAAAAAAAAAAAAAAAAAAAFtDb250ZW50X1R5cGVzXS54bWxQSwECLQAUAAYACAAAACEAOP0h&#10;/9YAAACUAQAACwAAAAAAAAAAAAAAAAAvAQAAX3JlbHMvLnJlbHNQSwECLQAUAAYACAAAACEA6GzJ&#10;1YMCAAD7BAAADgAAAAAAAAAAAAAAAAAuAgAAZHJzL2Uyb0RvYy54bWxQSwECLQAUAAYACAAAACEA&#10;i4OqaN4AAAAHAQAADwAAAAAAAAAAAAAAAADdBAAAZHJzL2Rvd25yZXYueG1sUEsFBgAAAAAEAAQA&#10;8wAAAOgFAAAAAA==&#10;" filled="f" strokecolor="#bfbfbf" strokeweight=".5pt">
                <w10:wrap anchorx="margin"/>
              </v:rect>
            </w:pict>
          </mc:Fallback>
        </mc:AlternateContent>
      </w:r>
      <w:r w:rsidRPr="00EC6AB6">
        <w:rPr>
          <w:rFonts w:ascii="Garamond" w:hAnsi="Garamond"/>
          <w:b/>
          <w:i/>
          <w:sz w:val="20"/>
          <w:szCs w:val="20"/>
          <w:lang w:val="sq-AL"/>
        </w:rPr>
        <w:t xml:space="preserve">Paraqitje </w:t>
      </w:r>
      <w:r w:rsidR="00355153" w:rsidRPr="00EC6AB6">
        <w:rPr>
          <w:rFonts w:ascii="Garamond" w:hAnsi="Garamond"/>
          <w:b/>
          <w:i/>
          <w:sz w:val="20"/>
          <w:szCs w:val="20"/>
          <w:lang w:val="sq-AL"/>
        </w:rPr>
        <w:t xml:space="preserve">grafike </w:t>
      </w:r>
      <w:r w:rsidRPr="00EC6AB6">
        <w:rPr>
          <w:rFonts w:ascii="Garamond" w:hAnsi="Garamond"/>
          <w:b/>
          <w:i/>
          <w:sz w:val="20"/>
          <w:szCs w:val="20"/>
          <w:lang w:val="sq-AL"/>
        </w:rPr>
        <w:t>3(b): Kompozimi i portofolit të borxhit shtetëror</w:t>
      </w:r>
      <w:r w:rsidR="00154B0C" w:rsidRPr="00EC6AB6">
        <w:rPr>
          <w:rFonts w:ascii="Garamond" w:hAnsi="Garamond"/>
          <w:b/>
          <w:i/>
          <w:sz w:val="20"/>
          <w:szCs w:val="20"/>
          <w:lang w:val="sq-AL"/>
        </w:rPr>
        <w:t>,</w:t>
      </w:r>
      <w:r w:rsidRPr="00EC6AB6">
        <w:rPr>
          <w:rFonts w:ascii="Garamond" w:hAnsi="Garamond"/>
          <w:b/>
          <w:i/>
          <w:sz w:val="20"/>
          <w:szCs w:val="20"/>
          <w:lang w:val="sq-AL"/>
        </w:rPr>
        <w:t xml:space="preserve"> sipas maturitetit origjinal të instrumenteve të </w:t>
      </w:r>
      <w:r w:rsidR="002A3781" w:rsidRPr="00EC6AB6">
        <w:rPr>
          <w:rFonts w:ascii="Garamond" w:hAnsi="Garamond"/>
          <w:b/>
          <w:i/>
          <w:sz w:val="20"/>
          <w:szCs w:val="20"/>
          <w:lang w:val="sq-AL"/>
        </w:rPr>
        <w:t>huas</w:t>
      </w:r>
      <w:r w:rsidRPr="00EC6AB6">
        <w:rPr>
          <w:rFonts w:ascii="Garamond" w:hAnsi="Garamond"/>
          <w:b/>
          <w:i/>
          <w:sz w:val="20"/>
          <w:szCs w:val="20"/>
          <w:lang w:val="sq-AL"/>
        </w:rPr>
        <w:t xml:space="preserve"> (2016</w:t>
      </w:r>
      <w:r w:rsidR="00355153" w:rsidRPr="00EC6AB6">
        <w:rPr>
          <w:rFonts w:ascii="Garamond" w:hAnsi="Garamond"/>
          <w:b/>
          <w:i/>
          <w:sz w:val="20"/>
          <w:szCs w:val="20"/>
          <w:lang w:val="sq-AL"/>
        </w:rPr>
        <w:t xml:space="preserve">–shtator </w:t>
      </w:r>
      <w:r w:rsidRPr="00EC6AB6">
        <w:rPr>
          <w:rFonts w:ascii="Garamond" w:hAnsi="Garamond"/>
          <w:b/>
          <w:i/>
          <w:sz w:val="20"/>
          <w:szCs w:val="20"/>
          <w:lang w:val="sq-AL"/>
        </w:rPr>
        <w:t>2020</w:t>
      </w:r>
      <w:r w:rsidRPr="00EC6AB6">
        <w:rPr>
          <w:rFonts w:ascii="Garamond" w:hAnsi="Garamond"/>
          <w:i/>
          <w:sz w:val="20"/>
          <w:szCs w:val="20"/>
          <w:lang w:val="sq-AL"/>
        </w:rPr>
        <w:t>)</w:t>
      </w:r>
    </w:p>
    <w:p w14:paraId="4333B86C" w14:textId="77777777" w:rsidR="008B3748" w:rsidRPr="00EC6AB6" w:rsidRDefault="008B3748" w:rsidP="008B3748">
      <w:pPr>
        <w:spacing w:after="0" w:line="240" w:lineRule="auto"/>
        <w:rPr>
          <w:rFonts w:ascii="Garamond" w:hAnsi="Garamond"/>
          <w:sz w:val="24"/>
          <w:szCs w:val="24"/>
          <w:lang w:val="sq-AL"/>
        </w:rPr>
      </w:pPr>
    </w:p>
    <w:p w14:paraId="4333B86D" w14:textId="77777777" w:rsidR="005C2434" w:rsidRPr="00EC6AB6" w:rsidRDefault="005C2434" w:rsidP="008B3748">
      <w:pPr>
        <w:spacing w:after="0" w:line="240" w:lineRule="auto"/>
        <w:rPr>
          <w:rFonts w:ascii="Garamond" w:hAnsi="Garamond"/>
          <w:sz w:val="24"/>
          <w:szCs w:val="24"/>
          <w:lang w:val="sq-AL"/>
        </w:rPr>
      </w:pPr>
    </w:p>
    <w:p w14:paraId="4333B86E" w14:textId="77777777" w:rsidR="005C2434" w:rsidRPr="00EC6AB6" w:rsidRDefault="005C2434" w:rsidP="008B3748">
      <w:pPr>
        <w:spacing w:after="0" w:line="240" w:lineRule="auto"/>
        <w:rPr>
          <w:rFonts w:ascii="Garamond" w:hAnsi="Garamond"/>
          <w:sz w:val="24"/>
          <w:szCs w:val="24"/>
          <w:lang w:val="sq-AL"/>
        </w:rPr>
      </w:pPr>
    </w:p>
    <w:p w14:paraId="4333B86F" w14:textId="77777777" w:rsidR="005C2434" w:rsidRPr="00EC6AB6" w:rsidRDefault="005C2434" w:rsidP="005C2434">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70" w14:textId="77777777" w:rsidR="005C2434" w:rsidRPr="00EC6AB6" w:rsidRDefault="005C2434" w:rsidP="008B3748">
      <w:pPr>
        <w:spacing w:after="0" w:line="240" w:lineRule="auto"/>
        <w:rPr>
          <w:rFonts w:ascii="Garamond" w:hAnsi="Garamond"/>
          <w:sz w:val="24"/>
          <w:szCs w:val="24"/>
          <w:lang w:val="sq-AL"/>
        </w:rPr>
      </w:pPr>
    </w:p>
    <w:p w14:paraId="4333B871" w14:textId="5FD9368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Mbi 70% e portofolit të borxhit shtetëror përbëhet nga instrumente me norma interesi fikse. Gjatë viteve të fundit ka pasur një tendencë në drejtim të uljes së përqendrimit të instrumenteve me norma interesi të ndryshueshme në portofolin e borxhit të brendshëm, duke reflektuar politikat e ndërmarra</w:t>
      </w:r>
      <w:r w:rsidR="00154B0C" w:rsidRPr="00EC6AB6">
        <w:rPr>
          <w:rFonts w:ascii="Garamond" w:hAnsi="Garamond"/>
          <w:sz w:val="24"/>
          <w:szCs w:val="24"/>
          <w:lang w:val="sq-AL"/>
        </w:rPr>
        <w:t>,</w:t>
      </w:r>
      <w:r w:rsidRPr="00EC6AB6">
        <w:rPr>
          <w:rFonts w:ascii="Garamond" w:hAnsi="Garamond"/>
          <w:sz w:val="24"/>
          <w:szCs w:val="24"/>
          <w:lang w:val="sq-AL"/>
        </w:rPr>
        <w:t xml:space="preserve"> në kuadër të menaxhimit të riskut të normave të interesit. </w:t>
      </w:r>
    </w:p>
    <w:p w14:paraId="4333B872" w14:textId="77777777" w:rsidR="008B3748" w:rsidRPr="00EC6AB6" w:rsidRDefault="008B3748" w:rsidP="008B3748">
      <w:pPr>
        <w:spacing w:after="0" w:line="240" w:lineRule="auto"/>
        <w:rPr>
          <w:rFonts w:ascii="Garamond" w:hAnsi="Garamond"/>
          <w:sz w:val="24"/>
          <w:szCs w:val="24"/>
          <w:lang w:val="sq-AL"/>
        </w:rPr>
      </w:pPr>
    </w:p>
    <w:p w14:paraId="4333B873" w14:textId="2A8F2FAE" w:rsidR="008B3748" w:rsidRPr="00EC6AB6" w:rsidRDefault="008B3748" w:rsidP="00355153">
      <w:pPr>
        <w:spacing w:after="0" w:line="240" w:lineRule="auto"/>
        <w:ind w:firstLine="0"/>
        <w:jc w:val="center"/>
        <w:rPr>
          <w:rFonts w:ascii="Garamond" w:hAnsi="Garamond"/>
          <w:b/>
          <w:i/>
          <w:sz w:val="20"/>
          <w:szCs w:val="20"/>
          <w:lang w:val="sq-AL"/>
        </w:rPr>
      </w:pPr>
      <w:r w:rsidRPr="00EC6AB6">
        <w:rPr>
          <w:rFonts w:ascii="Garamond" w:hAnsi="Garamond"/>
          <w:b/>
          <w:i/>
          <w:noProof/>
          <w:sz w:val="20"/>
          <w:szCs w:val="20"/>
        </w:rPr>
        <w:drawing>
          <wp:anchor distT="0" distB="0" distL="114300" distR="114300" simplePos="0" relativeHeight="251658243" behindDoc="1" locked="0" layoutInCell="1" allowOverlap="1" wp14:anchorId="4333BB40" wp14:editId="4333BB41">
            <wp:simplePos x="0" y="0"/>
            <wp:positionH relativeFrom="column">
              <wp:posOffset>2895600</wp:posOffset>
            </wp:positionH>
            <wp:positionV relativeFrom="paragraph">
              <wp:posOffset>359410</wp:posOffset>
            </wp:positionV>
            <wp:extent cx="2999105" cy="2203450"/>
            <wp:effectExtent l="0" t="0" r="0" b="6350"/>
            <wp:wrapTight wrapText="bothSides">
              <wp:wrapPolygon edited="0">
                <wp:start x="8506" y="747"/>
                <wp:lineTo x="686" y="2988"/>
                <wp:lineTo x="549" y="3735"/>
                <wp:lineTo x="4390" y="4108"/>
                <wp:lineTo x="823" y="5602"/>
                <wp:lineTo x="1098" y="6349"/>
                <wp:lineTo x="20580" y="7096"/>
                <wp:lineTo x="1098" y="8030"/>
                <wp:lineTo x="1098" y="8964"/>
                <wp:lineTo x="18522" y="10084"/>
                <wp:lineTo x="1098" y="10271"/>
                <wp:lineTo x="960" y="13446"/>
                <wp:lineTo x="1509" y="16060"/>
                <wp:lineTo x="1235" y="17180"/>
                <wp:lineTo x="4528" y="18114"/>
                <wp:lineTo x="17973" y="19048"/>
                <wp:lineTo x="5488" y="19235"/>
                <wp:lineTo x="5488" y="20168"/>
                <wp:lineTo x="20580" y="21476"/>
                <wp:lineTo x="21403" y="21476"/>
                <wp:lineTo x="21403" y="1867"/>
                <wp:lineTo x="13583" y="747"/>
                <wp:lineTo x="8506" y="747"/>
              </wp:wrapPolygon>
            </wp:wrapTight>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Pr="00EC6AB6">
        <w:rPr>
          <w:rFonts w:ascii="Garamond" w:hAnsi="Garamond"/>
          <w:b/>
          <w:i/>
          <w:noProof/>
          <w:sz w:val="20"/>
          <w:szCs w:val="20"/>
        </w:rPr>
        <w:drawing>
          <wp:anchor distT="0" distB="0" distL="114300" distR="114300" simplePos="0" relativeHeight="251658244" behindDoc="1" locked="0" layoutInCell="1" allowOverlap="1" wp14:anchorId="4333BB42" wp14:editId="0C856FF4">
            <wp:simplePos x="0" y="0"/>
            <wp:positionH relativeFrom="column">
              <wp:posOffset>46355</wp:posOffset>
            </wp:positionH>
            <wp:positionV relativeFrom="paragraph">
              <wp:posOffset>347345</wp:posOffset>
            </wp:positionV>
            <wp:extent cx="2940685" cy="2215515"/>
            <wp:effectExtent l="0" t="0" r="0" b="0"/>
            <wp:wrapTight wrapText="bothSides">
              <wp:wrapPolygon edited="0">
                <wp:start x="7136" y="929"/>
                <wp:lineTo x="0" y="3343"/>
                <wp:lineTo x="0" y="21359"/>
                <wp:lineTo x="21409" y="21359"/>
                <wp:lineTo x="21409" y="2972"/>
                <wp:lineTo x="13433" y="929"/>
                <wp:lineTo x="7136" y="929"/>
              </wp:wrapPolygon>
            </wp:wrapTight>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Pr="00EC6AB6">
        <w:rPr>
          <w:rFonts w:ascii="Garamond" w:hAnsi="Garamond"/>
          <w:b/>
          <w:i/>
          <w:sz w:val="20"/>
          <w:szCs w:val="20"/>
          <w:lang w:val="sq-AL"/>
        </w:rPr>
        <w:t xml:space="preserve">Paraqitje </w:t>
      </w:r>
      <w:r w:rsidR="00355153" w:rsidRPr="00EC6AB6">
        <w:rPr>
          <w:rFonts w:ascii="Garamond" w:hAnsi="Garamond"/>
          <w:b/>
          <w:i/>
          <w:sz w:val="20"/>
          <w:szCs w:val="20"/>
          <w:lang w:val="sq-AL"/>
        </w:rPr>
        <w:t xml:space="preserve">grafike </w:t>
      </w:r>
      <w:r w:rsidRPr="00EC6AB6">
        <w:rPr>
          <w:rFonts w:ascii="Garamond" w:hAnsi="Garamond"/>
          <w:b/>
          <w:i/>
          <w:sz w:val="20"/>
          <w:szCs w:val="20"/>
          <w:lang w:val="sq-AL"/>
        </w:rPr>
        <w:t>3(c): Kompozimi i portofolit të borxhit shtetëror</w:t>
      </w:r>
      <w:r w:rsidR="00371C1D" w:rsidRPr="00EC6AB6">
        <w:rPr>
          <w:rFonts w:ascii="Garamond" w:hAnsi="Garamond"/>
          <w:b/>
          <w:i/>
          <w:sz w:val="20"/>
          <w:szCs w:val="20"/>
          <w:lang w:val="sq-AL"/>
        </w:rPr>
        <w:t>,</w:t>
      </w:r>
      <w:r w:rsidRPr="00EC6AB6">
        <w:rPr>
          <w:rFonts w:ascii="Garamond" w:hAnsi="Garamond"/>
          <w:b/>
          <w:i/>
          <w:sz w:val="20"/>
          <w:szCs w:val="20"/>
          <w:lang w:val="sq-AL"/>
        </w:rPr>
        <w:t xml:space="preserve"> sipas tipit të interesit të</w:t>
      </w:r>
      <w:r w:rsidR="00FA2519" w:rsidRPr="00EC6AB6">
        <w:rPr>
          <w:rFonts w:ascii="Garamond" w:hAnsi="Garamond"/>
          <w:b/>
          <w:i/>
          <w:sz w:val="20"/>
          <w:szCs w:val="20"/>
          <w:lang w:val="sq-AL"/>
        </w:rPr>
        <w:t xml:space="preserve"> </w:t>
      </w:r>
      <w:r w:rsidRPr="00EC6AB6">
        <w:rPr>
          <w:rFonts w:ascii="Garamond" w:hAnsi="Garamond"/>
          <w:b/>
          <w:i/>
          <w:sz w:val="20"/>
          <w:szCs w:val="20"/>
          <w:lang w:val="sq-AL"/>
        </w:rPr>
        <w:t xml:space="preserve">instrumenteve të </w:t>
      </w:r>
      <w:r w:rsidR="002A3781" w:rsidRPr="00EC6AB6">
        <w:rPr>
          <w:rFonts w:ascii="Garamond" w:hAnsi="Garamond"/>
          <w:b/>
          <w:i/>
          <w:sz w:val="20"/>
          <w:szCs w:val="20"/>
          <w:lang w:val="sq-AL"/>
        </w:rPr>
        <w:t>huas</w:t>
      </w:r>
      <w:r w:rsidRPr="00EC6AB6">
        <w:rPr>
          <w:rFonts w:ascii="Garamond" w:hAnsi="Garamond"/>
          <w:b/>
          <w:i/>
          <w:sz w:val="20"/>
          <w:szCs w:val="20"/>
          <w:lang w:val="sq-AL"/>
        </w:rPr>
        <w:t xml:space="preserve"> (2016</w:t>
      </w:r>
      <w:r w:rsidR="00355153"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57F188A" w14:textId="250DFEA1" w:rsidR="00355153" w:rsidRPr="00EC6AB6" w:rsidRDefault="00560FB0" w:rsidP="00355153">
      <w:pPr>
        <w:spacing w:after="0" w:line="240" w:lineRule="auto"/>
        <w:ind w:firstLine="0"/>
        <w:rPr>
          <w:rFonts w:ascii="Garamond" w:hAnsi="Garamond"/>
          <w:sz w:val="24"/>
          <w:szCs w:val="24"/>
          <w:lang w:val="sq-AL"/>
        </w:rPr>
      </w:pPr>
      <w:r w:rsidRPr="00EC6AB6">
        <w:rPr>
          <w:rFonts w:ascii="Garamond" w:hAnsi="Garamond"/>
          <w:b/>
          <w:i/>
          <w:noProof/>
          <w:sz w:val="20"/>
          <w:szCs w:val="20"/>
        </w:rPr>
        <mc:AlternateContent>
          <mc:Choice Requires="wps">
            <w:drawing>
              <wp:anchor distT="0" distB="0" distL="114300" distR="114300" simplePos="0" relativeHeight="251658245" behindDoc="0" locked="0" layoutInCell="1" allowOverlap="1" wp14:anchorId="4333BB44" wp14:editId="49F4525D">
                <wp:simplePos x="0" y="0"/>
                <wp:positionH relativeFrom="margin">
                  <wp:posOffset>0</wp:posOffset>
                </wp:positionH>
                <wp:positionV relativeFrom="paragraph">
                  <wp:posOffset>2844</wp:posOffset>
                </wp:positionV>
                <wp:extent cx="5895975" cy="2274570"/>
                <wp:effectExtent l="0" t="0" r="28575" b="11430"/>
                <wp:wrapNone/>
                <wp:docPr id="16" name="Rectangle 16"/>
                <wp:cNvGraphicFramePr/>
                <a:graphic xmlns:a="http://schemas.openxmlformats.org/drawingml/2006/main">
                  <a:graphicData uri="http://schemas.microsoft.com/office/word/2010/wordprocessingShape">
                    <wps:wsp>
                      <wps:cNvSpPr/>
                      <wps:spPr>
                        <a:xfrm>
                          <a:off x="0" y="0"/>
                          <a:ext cx="5895975" cy="2274570"/>
                        </a:xfrm>
                        <a:prstGeom prst="rect">
                          <a:avLst/>
                        </a:prstGeom>
                        <a:noFill/>
                        <a:ln w="635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margin-left:0;margin-top:.2pt;width:464.25pt;height:179.1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seggIAAPsEAAAOAAAAZHJzL2Uyb0RvYy54bWysVE1PGzEQvVfqf7B8L5ukhEDEBkWgVJVo&#10;QYWKs/HaWUv+qu1kk/76Pns3gdKequbgzHjG8/HmzV5e7YwmWxGicram45MRJcJy1yi7run3x9WH&#10;c0piYrZh2llR072I9Grx/t1l5+di4lqnGxEIgtg473xN25T8vKoib4Vh8cR5YWGULhiWoIZ11QTW&#10;IbrR1WQ0Oqs6FxofHBcx4vamN9JFiS+l4OlOyigS0TVFbamcoZzP+awWl2y+Dsy3ig9lsH+owjBl&#10;kfQY6oYlRjZB/RHKKB5cdDKdcGcqJ6XiovSAbsajN908tMyL0gvAif4IU/x/YfnX7X0gqsHsziix&#10;zGBG34Aas2stCO4AUOfjHH4P/j4MWoSYu93JYPI/+iC7Aur+CKrYJcJxOT2/mF7MppRw2CaT2el0&#10;VmCvXp77ENMn4QzJQk0D8hcw2fY2JqSE68ElZ7NupbQuk9OWdDU9+zjFbDkDf6RmCaLx6CjaNSVM&#10;r0FMnkKJGJ1WTX6d48R9vNaBbBm4AUo1rqNEs5hwWdNV+ZVHemO+uKb3m01Ho0P5/ftS3m9xc603&#10;LLb9i2LqeWZUAtm1MjU9R5hjIG1zOaLQdeg4Y96jnKVn1+wxpuB6/kbPVwpJblHsPQsgLNrHEqY7&#10;HFI7QOIGiZLWhZ9/u8/+4BGslHRYAOD1Y8OCAAafLRh2MT49zRtTFAxtAiW8tjy/ttiNuXbAcYx1&#10;97yI2T/pgyiDM0/Y1WXOChOzHLn7yQzKdeoXE9vOxXJZ3LAlnqVb++B5Dp5xyvA+7p5Y8ANfEqj2&#10;1R2Whc3f0Kb37Ymz3CQnVeHUC66YYFawYWWWw9cgr/BrvXi9fLMWvwAAAP//AwBQSwMEFAAGAAgA&#10;AAAhAI/shzXdAAAABQEAAA8AAABkcnMvZG93bnJldi54bWxMj81OwzAQhO9IvIO1SNyoQ6AhDdlU&#10;gMSh9ID6A+LoxkscEa+j2GnD22NOcBzNaOabcjnZThxp8K1jhOtZAoK4drrlBmG/e77KQfigWKvO&#10;MSF8k4dldX5WqkK7E2/ouA2NiCXsC4VgQugLKX1tyCo/cz1x9D7dYFWIcmikHtQplttOpkmSSata&#10;jgtG9fRkqP7ajhbhLqTZ4nVdq0f6eMtexveV6TcrxMuL6eEeRKAp/IXhFz+iQxWZDm5k7UWHEI8E&#10;hFsQ0Vuk+RzEAeFmnmcgq1L+p69+AAAA//8DAFBLAQItABQABgAIAAAAIQC2gziS/gAAAOEBAAAT&#10;AAAAAAAAAAAAAAAAAAAAAABbQ29udGVudF9UeXBlc10ueG1sUEsBAi0AFAAGAAgAAAAhADj9If/W&#10;AAAAlAEAAAsAAAAAAAAAAAAAAAAALwEAAF9yZWxzLy5yZWxzUEsBAi0AFAAGAAgAAAAhAA+zGx6C&#10;AgAA+wQAAA4AAAAAAAAAAAAAAAAALgIAAGRycy9lMm9Eb2MueG1sUEsBAi0AFAAGAAgAAAAhAI/s&#10;hzXdAAAABQEAAA8AAAAAAAAAAAAAAAAA3AQAAGRycy9kb3ducmV2LnhtbFBLBQYAAAAABAAEAPMA&#10;AADmBQAAAAA=&#10;" filled="f" strokecolor="#bfbfbf" strokeweight=".5pt">
                <w10:wrap anchorx="margin"/>
              </v:rect>
            </w:pict>
          </mc:Fallback>
        </mc:AlternateContent>
      </w:r>
    </w:p>
    <w:p w14:paraId="1D183A3E" w14:textId="024ED354" w:rsidR="00355153" w:rsidRPr="00EC6AB6" w:rsidRDefault="00355153" w:rsidP="00355153">
      <w:pPr>
        <w:spacing w:after="0" w:line="240" w:lineRule="auto"/>
        <w:ind w:firstLine="0"/>
        <w:rPr>
          <w:rFonts w:ascii="Garamond" w:hAnsi="Garamond"/>
          <w:sz w:val="24"/>
          <w:szCs w:val="24"/>
          <w:lang w:val="sq-AL"/>
        </w:rPr>
      </w:pPr>
    </w:p>
    <w:p w14:paraId="733DE914" w14:textId="77777777" w:rsidR="00560FB0" w:rsidRPr="00EC6AB6" w:rsidRDefault="00560FB0" w:rsidP="008B3748">
      <w:pPr>
        <w:spacing w:after="0" w:line="240" w:lineRule="auto"/>
        <w:rPr>
          <w:rFonts w:ascii="Garamond" w:hAnsi="Garamond"/>
          <w:sz w:val="24"/>
          <w:szCs w:val="24"/>
          <w:lang w:val="sq-AL"/>
        </w:rPr>
      </w:pPr>
    </w:p>
    <w:p w14:paraId="4333B879" w14:textId="77777777" w:rsidR="008B3748" w:rsidRPr="00EC6AB6" w:rsidRDefault="008B3748" w:rsidP="008B3748">
      <w:pPr>
        <w:spacing w:after="0" w:line="240" w:lineRule="auto"/>
        <w:rPr>
          <w:rFonts w:ascii="Garamond" w:hAnsi="Garamond"/>
          <w:sz w:val="24"/>
          <w:szCs w:val="24"/>
          <w:highlight w:val="yellow"/>
          <w:lang w:val="sq-AL"/>
        </w:rPr>
      </w:pPr>
    </w:p>
    <w:p w14:paraId="77C9757F" w14:textId="77777777" w:rsidR="000C05C5" w:rsidRPr="00EC6AB6" w:rsidRDefault="000C05C5" w:rsidP="008B3748">
      <w:pPr>
        <w:spacing w:after="0" w:line="240" w:lineRule="auto"/>
        <w:rPr>
          <w:rFonts w:ascii="Garamond" w:hAnsi="Garamond"/>
          <w:sz w:val="24"/>
          <w:szCs w:val="24"/>
          <w:highlight w:val="yellow"/>
          <w:lang w:val="sq-AL"/>
        </w:rPr>
      </w:pPr>
    </w:p>
    <w:p w14:paraId="0B94C42B" w14:textId="77777777" w:rsidR="000C05C5" w:rsidRPr="00EC6AB6" w:rsidRDefault="000C05C5" w:rsidP="000C05C5">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50F6151C" w14:textId="77777777" w:rsidR="000C05C5" w:rsidRPr="00EC6AB6" w:rsidRDefault="000C05C5" w:rsidP="008B3748">
      <w:pPr>
        <w:spacing w:after="0" w:line="240" w:lineRule="auto"/>
        <w:rPr>
          <w:rFonts w:ascii="Garamond" w:hAnsi="Garamond"/>
          <w:sz w:val="24"/>
          <w:szCs w:val="24"/>
          <w:highlight w:val="yellow"/>
          <w:lang w:val="sq-AL"/>
        </w:rPr>
      </w:pPr>
    </w:p>
    <w:p w14:paraId="4333B87A" w14:textId="328BBF6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Portofoli i borxhit shtetëror vazhdon të mbizotërohet rreth 50% nga monedha </w:t>
      </w:r>
      <w:r w:rsidR="002B79A7" w:rsidRPr="00EC6AB6">
        <w:rPr>
          <w:rFonts w:ascii="Garamond" w:hAnsi="Garamond"/>
          <w:sz w:val="24"/>
          <w:szCs w:val="24"/>
          <w:lang w:val="sq-AL"/>
        </w:rPr>
        <w:t>vendës</w:t>
      </w:r>
      <w:r w:rsidRPr="00EC6AB6">
        <w:rPr>
          <w:rFonts w:ascii="Garamond" w:hAnsi="Garamond"/>
          <w:sz w:val="24"/>
          <w:szCs w:val="24"/>
          <w:lang w:val="sq-AL"/>
        </w:rPr>
        <w:t xml:space="preserve">e, ndërkohë që ndiqet nga monedha </w:t>
      </w:r>
      <w:r w:rsidR="00371C1D" w:rsidRPr="00EC6AB6">
        <w:rPr>
          <w:rFonts w:ascii="Garamond" w:hAnsi="Garamond"/>
          <w:sz w:val="24"/>
          <w:szCs w:val="24"/>
          <w:lang w:val="sq-AL"/>
        </w:rPr>
        <w:t xml:space="preserve">euro </w:t>
      </w:r>
      <w:r w:rsidRPr="00EC6AB6">
        <w:rPr>
          <w:rFonts w:ascii="Garamond" w:hAnsi="Garamond"/>
          <w:sz w:val="24"/>
          <w:szCs w:val="24"/>
          <w:lang w:val="sq-AL"/>
        </w:rPr>
        <w:t>dhe USD.</w:t>
      </w:r>
      <w:r w:rsidR="00FA2519" w:rsidRPr="00EC6AB6">
        <w:rPr>
          <w:rFonts w:ascii="Garamond" w:hAnsi="Garamond"/>
          <w:sz w:val="24"/>
          <w:szCs w:val="24"/>
          <w:lang w:val="sq-AL"/>
        </w:rPr>
        <w:t xml:space="preserve"> </w:t>
      </w:r>
    </w:p>
    <w:p w14:paraId="4333B87B" w14:textId="54DF8FB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Portofoli i borxhit të brendshëm përbëhet kryesisht nga tituj të denominuar në monedhë </w:t>
      </w:r>
      <w:r w:rsidR="002B79A7" w:rsidRPr="00EC6AB6">
        <w:rPr>
          <w:rFonts w:ascii="Garamond" w:hAnsi="Garamond"/>
          <w:sz w:val="24"/>
          <w:szCs w:val="24"/>
          <w:lang w:val="sq-AL"/>
        </w:rPr>
        <w:t>vendës</w:t>
      </w:r>
      <w:r w:rsidRPr="00EC6AB6">
        <w:rPr>
          <w:rFonts w:ascii="Garamond" w:hAnsi="Garamond"/>
          <w:sz w:val="24"/>
          <w:szCs w:val="24"/>
          <w:lang w:val="sq-AL"/>
        </w:rPr>
        <w:t xml:space="preserve">e dhe vetëm 2% përbëhet nga tituj të denominuar në monedhën </w:t>
      </w:r>
      <w:r w:rsidR="00371C1D" w:rsidRPr="00EC6AB6">
        <w:rPr>
          <w:rFonts w:ascii="Garamond" w:hAnsi="Garamond"/>
          <w:sz w:val="24"/>
          <w:szCs w:val="24"/>
          <w:lang w:val="sq-AL"/>
        </w:rPr>
        <w:t>euro</w:t>
      </w:r>
      <w:r w:rsidRPr="00EC6AB6">
        <w:rPr>
          <w:rFonts w:ascii="Garamond" w:hAnsi="Garamond"/>
          <w:sz w:val="24"/>
          <w:szCs w:val="24"/>
          <w:lang w:val="sq-AL"/>
        </w:rPr>
        <w:t>. Në vitin 2020</w:t>
      </w:r>
      <w:r w:rsidR="00371C1D" w:rsidRPr="00EC6AB6">
        <w:rPr>
          <w:rFonts w:ascii="Garamond" w:hAnsi="Garamond"/>
          <w:sz w:val="24"/>
          <w:szCs w:val="24"/>
          <w:lang w:val="sq-AL"/>
        </w:rPr>
        <w:t>,</w:t>
      </w:r>
      <w:r w:rsidRPr="00EC6AB6">
        <w:rPr>
          <w:rFonts w:ascii="Garamond" w:hAnsi="Garamond"/>
          <w:sz w:val="24"/>
          <w:szCs w:val="24"/>
          <w:lang w:val="sq-AL"/>
        </w:rPr>
        <w:t xml:space="preserve"> në tregun e brendshëm, duke mbajtur komunikim të vazhdueshëm me investitorët, është emetuar 100 milion</w:t>
      </w:r>
      <w:r w:rsidR="00371C1D" w:rsidRPr="00EC6AB6">
        <w:rPr>
          <w:rFonts w:ascii="Garamond" w:hAnsi="Garamond"/>
          <w:sz w:val="24"/>
          <w:szCs w:val="24"/>
          <w:lang w:val="sq-AL"/>
        </w:rPr>
        <w:t>ë</w:t>
      </w:r>
      <w:r w:rsidRPr="00EC6AB6">
        <w:rPr>
          <w:rFonts w:ascii="Garamond" w:hAnsi="Garamond"/>
          <w:sz w:val="24"/>
          <w:szCs w:val="24"/>
          <w:lang w:val="sq-AL"/>
        </w:rPr>
        <w:t xml:space="preserve"> </w:t>
      </w:r>
      <w:r w:rsidR="00371C1D" w:rsidRPr="00EC6AB6">
        <w:rPr>
          <w:rFonts w:ascii="Garamond" w:hAnsi="Garamond"/>
          <w:sz w:val="24"/>
          <w:szCs w:val="24"/>
          <w:lang w:val="sq-AL"/>
        </w:rPr>
        <w:t xml:space="preserve">euro </w:t>
      </w:r>
      <w:r w:rsidRPr="00EC6AB6">
        <w:rPr>
          <w:rFonts w:ascii="Garamond" w:hAnsi="Garamond"/>
          <w:sz w:val="24"/>
          <w:szCs w:val="24"/>
          <w:lang w:val="sq-AL"/>
        </w:rPr>
        <w:t>nëpërmjet</w:t>
      </w:r>
      <w:r w:rsidR="00371C1D" w:rsidRPr="00EC6AB6">
        <w:rPr>
          <w:rFonts w:ascii="Garamond" w:hAnsi="Garamond"/>
          <w:sz w:val="24"/>
          <w:szCs w:val="24"/>
          <w:lang w:val="sq-AL"/>
        </w:rPr>
        <w:t xml:space="preserve"> instrumentit të obligacionit 2-</w:t>
      </w:r>
      <w:r w:rsidRPr="00EC6AB6">
        <w:rPr>
          <w:rFonts w:ascii="Garamond" w:hAnsi="Garamond"/>
          <w:sz w:val="24"/>
          <w:szCs w:val="24"/>
          <w:lang w:val="sq-AL"/>
        </w:rPr>
        <w:t>vje</w:t>
      </w:r>
      <w:r w:rsidR="00371C1D" w:rsidRPr="00EC6AB6">
        <w:rPr>
          <w:rFonts w:ascii="Garamond" w:hAnsi="Garamond"/>
          <w:sz w:val="24"/>
          <w:szCs w:val="24"/>
          <w:lang w:val="sq-AL"/>
        </w:rPr>
        <w:t>ç</w:t>
      </w:r>
      <w:r w:rsidRPr="00EC6AB6">
        <w:rPr>
          <w:rFonts w:ascii="Garamond" w:hAnsi="Garamond"/>
          <w:sz w:val="24"/>
          <w:szCs w:val="24"/>
          <w:lang w:val="sq-AL"/>
        </w:rPr>
        <w:t>ar.</w:t>
      </w:r>
    </w:p>
    <w:p w14:paraId="4333B87C" w14:textId="77777777" w:rsidR="008B3748" w:rsidRPr="00EC6AB6" w:rsidRDefault="008B3748" w:rsidP="008B3748">
      <w:pPr>
        <w:spacing w:after="0" w:line="240" w:lineRule="auto"/>
        <w:rPr>
          <w:rFonts w:ascii="Garamond" w:hAnsi="Garamond"/>
          <w:sz w:val="24"/>
          <w:szCs w:val="24"/>
          <w:lang w:val="sq-AL"/>
        </w:rPr>
      </w:pPr>
    </w:p>
    <w:p w14:paraId="4333B87D" w14:textId="53B1FC6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Ndërkohë, portofoli i borxhit të jashtëm, pavarësisht diversifikimit të viteve të fundit, vazhdon të dominohet në mbi 70% nga monedha </w:t>
      </w:r>
      <w:r w:rsidR="00371C1D" w:rsidRPr="00EC6AB6">
        <w:rPr>
          <w:rFonts w:ascii="Garamond" w:hAnsi="Garamond"/>
          <w:sz w:val="24"/>
          <w:szCs w:val="24"/>
          <w:lang w:val="sq-AL"/>
        </w:rPr>
        <w:t>euro</w:t>
      </w:r>
      <w:r w:rsidRPr="00EC6AB6">
        <w:rPr>
          <w:rFonts w:ascii="Garamond" w:hAnsi="Garamond"/>
          <w:sz w:val="24"/>
          <w:szCs w:val="24"/>
          <w:lang w:val="sq-AL"/>
        </w:rPr>
        <w:t xml:space="preserve">, duke e bërë të ndjeshëm ndaj luhatjeve të kursit të këmbimit EUR/LEK. Megjithatë, përqendrimi i lartë i portofolit të borxhit të huaj në monedhën </w:t>
      </w:r>
      <w:r w:rsidR="00371C1D" w:rsidRPr="00EC6AB6">
        <w:rPr>
          <w:rFonts w:ascii="Garamond" w:hAnsi="Garamond"/>
          <w:sz w:val="24"/>
          <w:szCs w:val="24"/>
          <w:lang w:val="sq-AL"/>
        </w:rPr>
        <w:t xml:space="preserve">euro </w:t>
      </w:r>
      <w:r w:rsidRPr="00EC6AB6">
        <w:rPr>
          <w:rFonts w:ascii="Garamond" w:hAnsi="Garamond"/>
          <w:sz w:val="24"/>
          <w:szCs w:val="24"/>
          <w:lang w:val="sq-AL"/>
        </w:rPr>
        <w:t>është në përputhje me objektivat strategjikë, si edhe aspiratat e vendit për t’u integruar në Bashkimin E</w:t>
      </w:r>
      <w:r w:rsidR="00371C1D" w:rsidRPr="00EC6AB6">
        <w:rPr>
          <w:rFonts w:ascii="Garamond" w:hAnsi="Garamond"/>
          <w:sz w:val="24"/>
          <w:szCs w:val="24"/>
          <w:lang w:val="sq-AL"/>
        </w:rPr>
        <w:t>v</w:t>
      </w:r>
      <w:r w:rsidRPr="00EC6AB6">
        <w:rPr>
          <w:rFonts w:ascii="Garamond" w:hAnsi="Garamond"/>
          <w:sz w:val="24"/>
          <w:szCs w:val="24"/>
          <w:lang w:val="sq-AL"/>
        </w:rPr>
        <w:t>ropian.</w:t>
      </w:r>
    </w:p>
    <w:p w14:paraId="4333B87E" w14:textId="77777777" w:rsidR="008B3748" w:rsidRPr="00EC6AB6" w:rsidRDefault="008B3748" w:rsidP="008B3748">
      <w:pPr>
        <w:spacing w:after="0" w:line="240" w:lineRule="auto"/>
        <w:rPr>
          <w:rFonts w:ascii="Garamond" w:hAnsi="Garamond"/>
          <w:sz w:val="24"/>
          <w:szCs w:val="24"/>
          <w:lang w:val="sq-AL"/>
        </w:rPr>
      </w:pPr>
    </w:p>
    <w:p w14:paraId="4333B87F" w14:textId="0A16E626" w:rsidR="008B3748" w:rsidRPr="00EC6AB6" w:rsidRDefault="00355153" w:rsidP="00355153">
      <w:pPr>
        <w:spacing w:after="0" w:line="240" w:lineRule="auto"/>
        <w:ind w:firstLine="0"/>
        <w:jc w:val="center"/>
        <w:rPr>
          <w:rFonts w:ascii="Garamond" w:hAnsi="Garamond"/>
          <w:b/>
          <w:i/>
          <w:sz w:val="20"/>
          <w:szCs w:val="20"/>
          <w:lang w:val="sq-AL"/>
        </w:rPr>
      </w:pPr>
      <w:r w:rsidRPr="00EC6AB6">
        <w:rPr>
          <w:rFonts w:ascii="Garamond" w:hAnsi="Garamond"/>
          <w:b/>
          <w:i/>
          <w:noProof/>
          <w:sz w:val="20"/>
          <w:szCs w:val="20"/>
        </w:rPr>
        <mc:AlternateContent>
          <mc:Choice Requires="wps">
            <w:drawing>
              <wp:anchor distT="0" distB="0" distL="114300" distR="114300" simplePos="0" relativeHeight="251658246" behindDoc="0" locked="0" layoutInCell="1" allowOverlap="1" wp14:anchorId="4333BB46" wp14:editId="5BB09455">
                <wp:simplePos x="0" y="0"/>
                <wp:positionH relativeFrom="margin">
                  <wp:posOffset>-152980</wp:posOffset>
                </wp:positionH>
                <wp:positionV relativeFrom="paragraph">
                  <wp:posOffset>217253</wp:posOffset>
                </wp:positionV>
                <wp:extent cx="5924550" cy="2401294"/>
                <wp:effectExtent l="0" t="0" r="19050" b="18415"/>
                <wp:wrapNone/>
                <wp:docPr id="44" name="Rectangle 44"/>
                <wp:cNvGraphicFramePr/>
                <a:graphic xmlns:a="http://schemas.openxmlformats.org/drawingml/2006/main">
                  <a:graphicData uri="http://schemas.microsoft.com/office/word/2010/wordprocessingShape">
                    <wps:wsp>
                      <wps:cNvSpPr/>
                      <wps:spPr>
                        <a:xfrm>
                          <a:off x="0" y="0"/>
                          <a:ext cx="5924550" cy="2401294"/>
                        </a:xfrm>
                        <a:prstGeom prst="rect">
                          <a:avLst/>
                        </a:prstGeom>
                        <a:noFill/>
                        <a:ln w="6350" cap="flat" cmpd="sng" algn="ctr">
                          <a:solidFill>
                            <a:sysClr val="window" lastClr="FFFFFF">
                              <a:lumMod val="75000"/>
                            </a:sysClr>
                          </a:solidFill>
                          <a:prstDash val="solid"/>
                          <a:miter lim="800000"/>
                        </a:ln>
                        <a:effectLst/>
                      </wps:spPr>
                      <wps:txbx>
                        <w:txbxContent>
                          <w:p w14:paraId="4333BB9B" w14:textId="77777777" w:rsidR="00B73259" w:rsidRDefault="00B73259" w:rsidP="005C2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26" style="position:absolute;left:0;text-align:left;margin-left:-12.05pt;margin-top:17.1pt;width:466.5pt;height:189.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b2igIAAAYFAAAOAAAAZHJzL2Uyb0RvYy54bWysVMtu2zAQvBfoPxC8N5JdOQ8jcmAkcFEg&#10;bYImRc40RVkE+CpJW3a/vkNKcdK0p6I+0FzucnZ3OKvLq71WZCd8kNbUdHJSUiIMt400m5p+f1x9&#10;OKckRGYapqwRNT2IQK8W799d9m4uprazqhGeAMSEee9q2sXo5kUReCc0CyfWCQNna71mEabfFI1n&#10;PdC1KqZleVr01jfOWy5CwOnN4KSLjN+2gse7tg0iElVT1Bbz6vO6TmuxuGTzjWeuk3wsg/1DFZpJ&#10;g6RHqBsWGdl6+QeUltzbYNt4wq0ubNtKLnIP6GZSvunmoWNO5F5ATnBHmsL/g+Vfd/eeyKamVUWJ&#10;YRpv9A2sMbNRguAMBPUuzBH34O79aAVsU7f71uv0jz7IPpN6OJIq9pFwHM4uptVsBu45fNOqnEwv&#10;Mmrxct35ED8Jq0na1NQjfyaT7W5DREqEPoekbMaupFL55ZQhfU1PP2Z8Bv20ikWk0g4dBbOhhKkN&#10;hMmjz4jBKtmk2wknHMK18mTHoA1IqrE9JYqFiMOarvIvX1Jb/cU2Q9zZrCyzalDTcD+X9xtuqvWG&#10;hW64kV2DzrSMELuSuqbngDkCKZPKEVmuY8eJ84HltIv79X6kfm2bA17M20HKwfGVRL5b1H3PPLQL&#10;pjGP8Q5LqyzYseOOks76n387T/GQFLyU9JgFUPdjy7wAHZ8NxHYxqao0PNmoZmdTGP61Z/3aY7b6&#10;2oLSCSbf8bxN8VE9b1tv9RPGdpmywsUMR+7hkUbjOg4zisHnYrnMYRgYx+KteXA8gSfKEtOP+yfm&#10;3SidCNV9tc9zw+ZvFDTEDhpabqNtZZZXonjgFY+ZDAxbftbxw5Cm+bWdo14+X4tfAAAA//8DAFBL&#10;AwQUAAYACAAAACEACV6c/uEAAAAKAQAADwAAAGRycy9kb3ducmV2LnhtbEyPwU7DMBBE70j8g7VI&#10;3FonJgpNiFMBEofCAbVA1aMbL3FEvI5ipw1/jznBcTVPM2+r9Wx7dsLRd44kpMsEGFLjdEethPe3&#10;p8UKmA+KtOodoYRv9LCuLy8qVWp3pi2edqFlsYR8qSSYEIaSc98YtMov3YAUs083WhXiObZcj+oc&#10;y23PRZLk3KqO4oJRAz4abL52k5VwG0RevL406gEPH/nztN+YYbuR8vpqvr8DFnAOfzD86kd1qKPT&#10;0U2kPeslLESWRlTCTSaARaBIVgWwo4QsFRnwuuL/X6h/AAAA//8DAFBLAQItABQABgAIAAAAIQC2&#10;gziS/gAAAOEBAAATAAAAAAAAAAAAAAAAAAAAAABbQ29udGVudF9UeXBlc10ueG1sUEsBAi0AFAAG&#10;AAgAAAAhADj9If/WAAAAlAEAAAsAAAAAAAAAAAAAAAAALwEAAF9yZWxzLy5yZWxzUEsBAi0AFAAG&#10;AAgAAAAhAPEaBvaKAgAABgUAAA4AAAAAAAAAAAAAAAAALgIAAGRycy9lMm9Eb2MueG1sUEsBAi0A&#10;FAAGAAgAAAAhAAlenP7hAAAACgEAAA8AAAAAAAAAAAAAAAAA5AQAAGRycy9kb3ducmV2LnhtbFBL&#10;BQYAAAAABAAEAPMAAADyBQAAAAA=&#10;" filled="f" strokecolor="#bfbfbf" strokeweight=".5pt">
                <v:textbox>
                  <w:txbxContent>
                    <w:p w14:paraId="4333BB9B" w14:textId="77777777" w:rsidR="00B73259" w:rsidRDefault="00B73259" w:rsidP="005C2434">
                      <w:pPr>
                        <w:jc w:val="center"/>
                      </w:pPr>
                    </w:p>
                  </w:txbxContent>
                </v:textbox>
                <w10:wrap anchorx="margin"/>
              </v:rect>
            </w:pict>
          </mc:Fallback>
        </mc:AlternateContent>
      </w:r>
      <w:r w:rsidR="008B3748" w:rsidRPr="00EC6AB6">
        <w:rPr>
          <w:rFonts w:ascii="Garamond" w:hAnsi="Garamond"/>
          <w:b/>
          <w:i/>
          <w:sz w:val="20"/>
          <w:szCs w:val="20"/>
          <w:lang w:val="sq-AL"/>
        </w:rPr>
        <w:t xml:space="preserve">Paraqitje </w:t>
      </w:r>
      <w:r w:rsidRPr="00EC6AB6">
        <w:rPr>
          <w:rFonts w:ascii="Garamond" w:hAnsi="Garamond"/>
          <w:b/>
          <w:i/>
          <w:sz w:val="20"/>
          <w:szCs w:val="20"/>
          <w:lang w:val="sq-AL"/>
        </w:rPr>
        <w:t xml:space="preserve">grafike </w:t>
      </w:r>
      <w:r w:rsidR="008B3748" w:rsidRPr="00EC6AB6">
        <w:rPr>
          <w:rFonts w:ascii="Garamond" w:hAnsi="Garamond"/>
          <w:b/>
          <w:i/>
          <w:sz w:val="20"/>
          <w:szCs w:val="20"/>
          <w:lang w:val="sq-AL"/>
        </w:rPr>
        <w:t>3(d): Stoku i borxhit shtetëror sipas monedhave (</w:t>
      </w:r>
      <w:r w:rsidRPr="00EC6AB6">
        <w:rPr>
          <w:rFonts w:ascii="Garamond" w:hAnsi="Garamond"/>
          <w:b/>
          <w:i/>
          <w:sz w:val="20"/>
          <w:szCs w:val="20"/>
          <w:lang w:val="sq-AL"/>
        </w:rPr>
        <w:t xml:space="preserve">shtator </w:t>
      </w:r>
      <w:r w:rsidR="008B3748" w:rsidRPr="00EC6AB6">
        <w:rPr>
          <w:rFonts w:ascii="Garamond" w:hAnsi="Garamond"/>
          <w:b/>
          <w:i/>
          <w:sz w:val="20"/>
          <w:szCs w:val="20"/>
          <w:lang w:val="sq-AL"/>
        </w:rPr>
        <w:t>2020)</w:t>
      </w:r>
    </w:p>
    <w:p w14:paraId="4333B880" w14:textId="41E19A34" w:rsidR="008B3748" w:rsidRPr="00EC6AB6" w:rsidRDefault="008B3748" w:rsidP="008B3748">
      <w:pPr>
        <w:spacing w:after="0" w:line="240" w:lineRule="auto"/>
        <w:rPr>
          <w:rFonts w:ascii="Garamond" w:hAnsi="Garamond"/>
          <w:sz w:val="24"/>
          <w:szCs w:val="24"/>
          <w:lang w:val="sq-AL"/>
        </w:rPr>
      </w:pPr>
      <w:r w:rsidRPr="00EC6AB6">
        <w:rPr>
          <w:rFonts w:ascii="Garamond" w:hAnsi="Garamond"/>
          <w:noProof/>
          <w:sz w:val="24"/>
          <w:szCs w:val="24"/>
        </w:rPr>
        <w:drawing>
          <wp:anchor distT="0" distB="0" distL="114300" distR="114300" simplePos="0" relativeHeight="251658247" behindDoc="1" locked="0" layoutInCell="1" allowOverlap="1" wp14:anchorId="4333BB48" wp14:editId="06E7A8B4">
            <wp:simplePos x="0" y="0"/>
            <wp:positionH relativeFrom="column">
              <wp:posOffset>3924300</wp:posOffset>
            </wp:positionH>
            <wp:positionV relativeFrom="paragraph">
              <wp:posOffset>41275</wp:posOffset>
            </wp:positionV>
            <wp:extent cx="1771650" cy="1019810"/>
            <wp:effectExtent l="0" t="0" r="0" b="8890"/>
            <wp:wrapTight wrapText="bothSides">
              <wp:wrapPolygon edited="0">
                <wp:start x="5342" y="0"/>
                <wp:lineTo x="5342" y="1210"/>
                <wp:lineTo x="7200" y="7263"/>
                <wp:lineTo x="6503" y="9280"/>
                <wp:lineTo x="6039" y="14526"/>
                <wp:lineTo x="7665" y="20174"/>
                <wp:lineTo x="8594" y="21385"/>
                <wp:lineTo x="14865" y="21385"/>
                <wp:lineTo x="15794" y="20174"/>
                <wp:lineTo x="17419" y="13719"/>
                <wp:lineTo x="16723" y="3228"/>
                <wp:lineTo x="16026" y="807"/>
                <wp:lineTo x="14400" y="0"/>
                <wp:lineTo x="5342" y="0"/>
              </wp:wrapPolygon>
            </wp:wrapTight>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bookmarkStart w:id="23" w:name="_Toc524506534"/>
      <w:bookmarkStart w:id="24" w:name="_Toc524506259"/>
      <w:bookmarkStart w:id="25" w:name="_Toc516578290"/>
      <w:r w:rsidRPr="00EC6AB6">
        <w:rPr>
          <w:rFonts w:ascii="Garamond" w:hAnsi="Garamond"/>
          <w:noProof/>
          <w:sz w:val="24"/>
          <w:szCs w:val="24"/>
        </w:rPr>
        <w:drawing>
          <wp:anchor distT="0" distB="0" distL="114300" distR="114300" simplePos="0" relativeHeight="251658248" behindDoc="1" locked="0" layoutInCell="1" allowOverlap="1" wp14:anchorId="4333BB4A" wp14:editId="4333BB4B">
            <wp:simplePos x="0" y="0"/>
            <wp:positionH relativeFrom="column">
              <wp:posOffset>43815</wp:posOffset>
            </wp:positionH>
            <wp:positionV relativeFrom="paragraph">
              <wp:posOffset>59690</wp:posOffset>
            </wp:positionV>
            <wp:extent cx="2113915" cy="2135505"/>
            <wp:effectExtent l="0" t="0" r="0" b="0"/>
            <wp:wrapTight wrapText="bothSides">
              <wp:wrapPolygon edited="0">
                <wp:start x="5256" y="578"/>
                <wp:lineTo x="5256" y="1541"/>
                <wp:lineTo x="9733" y="4046"/>
                <wp:lineTo x="6424" y="4624"/>
                <wp:lineTo x="5256" y="5395"/>
                <wp:lineTo x="5256" y="7129"/>
                <wp:lineTo x="4477" y="8285"/>
                <wp:lineTo x="3309" y="10212"/>
                <wp:lineTo x="3114" y="13295"/>
                <wp:lineTo x="4282" y="16378"/>
                <wp:lineTo x="4282" y="17342"/>
                <wp:lineTo x="8759" y="19461"/>
                <wp:lineTo x="7008" y="19654"/>
                <wp:lineTo x="7008" y="20617"/>
                <wp:lineTo x="12847" y="21388"/>
                <wp:lineTo x="14015" y="21388"/>
                <wp:lineTo x="16156" y="20425"/>
                <wp:lineTo x="15767" y="19654"/>
                <wp:lineTo x="12068" y="19461"/>
                <wp:lineTo x="16351" y="17149"/>
                <wp:lineTo x="16351" y="16378"/>
                <wp:lineTo x="17519" y="13295"/>
                <wp:lineTo x="17519" y="10212"/>
                <wp:lineTo x="16156" y="8093"/>
                <wp:lineTo x="15378" y="7129"/>
                <wp:lineTo x="11485" y="4432"/>
                <wp:lineTo x="10706" y="4046"/>
                <wp:lineTo x="13236" y="1349"/>
                <wp:lineTo x="13042" y="963"/>
                <wp:lineTo x="9733" y="578"/>
                <wp:lineTo x="5256" y="578"/>
              </wp:wrapPolygon>
            </wp:wrapTight>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Pr="00EC6AB6">
        <w:rPr>
          <w:rFonts w:ascii="Garamond" w:hAnsi="Garamond"/>
          <w:noProof/>
          <w:sz w:val="24"/>
          <w:szCs w:val="24"/>
        </w:rPr>
        <mc:AlternateContent>
          <mc:Choice Requires="wps">
            <w:drawing>
              <wp:anchor distT="0" distB="0" distL="114300" distR="114300" simplePos="0" relativeHeight="251658249" behindDoc="0" locked="0" layoutInCell="1" allowOverlap="1" wp14:anchorId="4333BB4C" wp14:editId="4333BB4D">
                <wp:simplePos x="0" y="0"/>
                <wp:positionH relativeFrom="column">
                  <wp:posOffset>2249805</wp:posOffset>
                </wp:positionH>
                <wp:positionV relativeFrom="paragraph">
                  <wp:posOffset>604520</wp:posOffset>
                </wp:positionV>
                <wp:extent cx="1438275" cy="581025"/>
                <wp:effectExtent l="0" t="38100" r="47625" b="28575"/>
                <wp:wrapNone/>
                <wp:docPr id="9" name="Straight Arrow Connector 9"/>
                <wp:cNvGraphicFramePr/>
                <a:graphic xmlns:a="http://schemas.openxmlformats.org/drawingml/2006/main">
                  <a:graphicData uri="http://schemas.microsoft.com/office/word/2010/wordprocessingShape">
                    <wps:wsp>
                      <wps:cNvCnPr/>
                      <wps:spPr>
                        <a:xfrm flipV="1">
                          <a:off x="0" y="0"/>
                          <a:ext cx="1438275" cy="5810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 o:spid="_x0000_s1026" type="#_x0000_t32" style="position:absolute;margin-left:177.15pt;margin-top:47.6pt;width:113.25pt;height:45.75pt;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9wc+QEAAEwEAAAOAAAAZHJzL2Uyb0RvYy54bWysVEuP0zAQviPxHyzfadLCst2q6Qp1WS4I&#10;ql3g7nXGjSW/NDZN++8ZO2nKS0ggLlZszzffI5Osb4/WsANg1N41fD6rOQMnfavdvuGfP92/WHIW&#10;k3CtMN5Bw08Q+e3m+bN1H1aw8J03LSCjJi6u+tDwLqWwqqooO7AiznwAR5fKoxWJtrivWhQ9dbem&#10;WtT166r32Ab0EmKk07vhkm9Kf6VApo9KRUjMNJy0pbJiWZ/yWm3WYrVHETotRxniH1RYoR2RTq3u&#10;RBLsK+pfWlkt0Uev0kx6W3mltITigdzM65/cPHYiQPFC4cQwxRT/X1v54bBDptuG33DmhKVX9JhQ&#10;6H2X2BtE37Otd45i9Mhuclp9iCsCbd0Ox10MO8zWjwotU0aHLzQIJQyyx44l69OUNRwTk3Q4f/Vy&#10;ubi+4kzS3dVyXi+ucvtq6JP7BYzpHXjL8kPD4yhr0jNwiMP7mAbgGZDBxrGeSBbXdV2kRG90e6+N&#10;yZdlumBrkB0EzUU6zkfqH6qS0Oata1k6BUoloRZub2CsNI605iwG9+UpnQwM3A+gKNPsciDP03zh&#10;E1KCS2dO46g6wxSpm4Cj6j8Bx/oMhTLpfwOeEIXZuzSBrXYefyf7EpMa6s8JDL5zBE++PZW5KNHQ&#10;yJYXOn5e+Zv4fl/gl5/A5hsAAAD//wMAUEsDBBQABgAIAAAAIQAY6dNQ4AAAAAoBAAAPAAAAZHJz&#10;L2Rvd25yZXYueG1sTI/LTsMwEEX3SPyDNUhsELVpSRtCnIqgsmGBROEDnNjkgT2OYjdJ/55hBcvR&#10;HN17br5fnGWTGUPnUcLdSgAzWHvdYSPh8+PlNgUWokKtrEcj4WwC7IvLi1xl2s/4bqZjbBiFYMiU&#10;hDbGIeM81K1xKqz8YJB+X350KtI5NlyPaqZwZ/laiC13qkNqaNVgnltTfx9PTkJVTv08pOJgX3fl&#10;+XBT9m927qW8vlqeHoFFs8Q/GH71SR0Kcqr8CXVgVsImud8QKuEhWQMjIEkFbamITLc74EXO/08o&#10;fgAAAP//AwBQSwECLQAUAAYACAAAACEAtoM4kv4AAADhAQAAEwAAAAAAAAAAAAAAAAAAAAAAW0Nv&#10;bnRlbnRfVHlwZXNdLnhtbFBLAQItABQABgAIAAAAIQA4/SH/1gAAAJQBAAALAAAAAAAAAAAAAAAA&#10;AC8BAABfcmVscy8ucmVsc1BLAQItABQABgAIAAAAIQDAk9wc+QEAAEwEAAAOAAAAAAAAAAAAAAAA&#10;AC4CAABkcnMvZTJvRG9jLnhtbFBLAQItABQABgAIAAAAIQAY6dNQ4AAAAAoBAAAPAAAAAAAAAAAA&#10;AAAAAFMEAABkcnMvZG93bnJldi54bWxQSwUGAAAAAAQABADzAAAAYAUAAAAA&#10;" strokecolor="black [3213]" strokeweight="1pt">
                <v:stroke endarrow="block"/>
              </v:shape>
            </w:pict>
          </mc:Fallback>
        </mc:AlternateContent>
      </w:r>
      <w:r w:rsidRPr="00EC6AB6">
        <w:rPr>
          <w:rFonts w:ascii="Garamond" w:hAnsi="Garamond"/>
          <w:noProof/>
          <w:sz w:val="24"/>
          <w:szCs w:val="24"/>
        </w:rPr>
        <mc:AlternateContent>
          <mc:Choice Requires="wps">
            <w:drawing>
              <wp:anchor distT="0" distB="0" distL="114300" distR="114300" simplePos="0" relativeHeight="251658250" behindDoc="0" locked="0" layoutInCell="1" allowOverlap="1" wp14:anchorId="4333BB4E" wp14:editId="34D2CEC0">
                <wp:simplePos x="0" y="0"/>
                <wp:positionH relativeFrom="column">
                  <wp:posOffset>2249805</wp:posOffset>
                </wp:positionH>
                <wp:positionV relativeFrom="paragraph">
                  <wp:posOffset>1240155</wp:posOffset>
                </wp:positionV>
                <wp:extent cx="1514475" cy="571500"/>
                <wp:effectExtent l="0" t="0" r="85725" b="57150"/>
                <wp:wrapNone/>
                <wp:docPr id="10" name="Straight Arrow Connector 10"/>
                <wp:cNvGraphicFramePr/>
                <a:graphic xmlns:a="http://schemas.openxmlformats.org/drawingml/2006/main">
                  <a:graphicData uri="http://schemas.microsoft.com/office/word/2010/wordprocessingShape">
                    <wps:wsp>
                      <wps:cNvCnPr/>
                      <wps:spPr>
                        <a:xfrm>
                          <a:off x="0" y="0"/>
                          <a:ext cx="1514475" cy="57150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177.15pt;margin-top:97.65pt;width:119.25pt;height: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bT4gEAAKgDAAAOAAAAZHJzL2Uyb0RvYy54bWysU02P0zAQvSPxHyzfaZJqy0LVdLVqWS4I&#10;Ku3yA2YdJ7HkL82Ypv33jN1QFrihzcHxeDJv5j2/bO5OzoqjRjLBt7JZ1FJor0Jn/NDK708P7z5I&#10;QQl8BzZ43cqzJnm3fftmM8W1XoYx2E6jYBBP6ym2ckwprquK1Kgd0CJE7TnZB3SQOMSh6hAmRne2&#10;Wtb1+2oK2EUMShPx6f6SlNuC3/dapW99TzoJ20qeLZUVy/qc12q7gfWAEEej5jHgP6ZwYDw3vULt&#10;IYH4geYfKGcUBgp9WqjgqtD3RunCgdk09V9sHkeIunBhcSheZaLXg1VfjwcUpuO7Y3k8OL6jx4Rg&#10;hjGJe8QwiV3wnnUMKPgT1muKtOaynT/gHFE8YCZ/6tHlN9MSp6Lx+aqxPiWh+LBZNTc3tyspFOdW&#10;t82qLqDV7+qIlD7r4ETetJLmaa5jNEVoOH6hxP258FdBbu3Dg7G23Kr1Ymrlx9UyNwP2Vm8h8dZF&#10;Zkt+kALswKZVCQsiBWu6XJ1x6Ew7i+II7Bu2WxemJ2YghQVKnGBa5cl68AR/lOZx9kDjpbikLjZL&#10;YOwn34l0jqxyQgN+sHqGsD631cWyM7Ms9EXavHsO3bkoXuWI7VA6z9bNfnsZ8/7lD7b9CQAA//8D&#10;AFBLAwQUAAYACAAAACEA8cZ32+MAAAALAQAADwAAAGRycy9kb3ducmV2LnhtbEyPQU/CQBCF7yb+&#10;h82YeDGypVgCtVtCTPQgERQ96G3pDm3T7mzTXaD8e8eT3Gbmvbz5XrYYbCuO2PvakYLxKAKBVDhT&#10;U6ng6/P5fgbCB01Gt45QwRk9LPLrq0ynxp3oA4/bUAoOIZ9qBVUIXSqlLyq02o9ch8Ta3vVWB177&#10;UppenzjctjKOoqm0uib+UOkOnyosmu3BKljZ5m4zjc/R+vXnvVy9fW9esNkrdXszLB9BBBzCvxn+&#10;8BkdcmbauQMZL1oFk+RhwlYW5gkP7EjmMZfZKYhnfJF5Ji875L8AAAD//wMAUEsBAi0AFAAGAAgA&#10;AAAhALaDOJL+AAAA4QEAABMAAAAAAAAAAAAAAAAAAAAAAFtDb250ZW50X1R5cGVzXS54bWxQSwEC&#10;LQAUAAYACAAAACEAOP0h/9YAAACUAQAACwAAAAAAAAAAAAAAAAAvAQAAX3JlbHMvLnJlbHNQSwEC&#10;LQAUAAYACAAAACEAIWBm0+IBAACoAwAADgAAAAAAAAAAAAAAAAAuAgAAZHJzL2Uyb0RvYy54bWxQ&#10;SwECLQAUAAYACAAAACEA8cZ32+MAAAALAQAADwAAAAAAAAAAAAAAAAA8BAAAZHJzL2Rvd25yZXYu&#10;eG1sUEsFBgAAAAAEAAQA8wAAAEwFAAAAAA==&#10;" strokecolor="windowText">
                <v:stroke endarrow="block"/>
              </v:shape>
            </w:pict>
          </mc:Fallback>
        </mc:AlternateContent>
      </w:r>
    </w:p>
    <w:p w14:paraId="4333B881" w14:textId="0B530892" w:rsidR="008B3748" w:rsidRPr="00EC6AB6" w:rsidRDefault="008B3748" w:rsidP="008B3748">
      <w:pPr>
        <w:spacing w:after="0" w:line="240" w:lineRule="auto"/>
        <w:rPr>
          <w:rFonts w:ascii="Garamond" w:hAnsi="Garamond"/>
          <w:sz w:val="24"/>
          <w:szCs w:val="24"/>
          <w:lang w:val="sq-AL"/>
        </w:rPr>
      </w:pPr>
    </w:p>
    <w:p w14:paraId="4333B882" w14:textId="77777777" w:rsidR="008B3748" w:rsidRPr="00EC6AB6" w:rsidRDefault="008B3748" w:rsidP="008B3748">
      <w:pPr>
        <w:spacing w:after="0" w:line="240" w:lineRule="auto"/>
        <w:rPr>
          <w:rFonts w:ascii="Garamond" w:hAnsi="Garamond"/>
          <w:sz w:val="24"/>
          <w:szCs w:val="24"/>
          <w:lang w:val="sq-AL"/>
        </w:rPr>
      </w:pPr>
    </w:p>
    <w:p w14:paraId="4333B883" w14:textId="77777777" w:rsidR="008B3748" w:rsidRPr="00EC6AB6" w:rsidRDefault="008B3748" w:rsidP="008B3748">
      <w:pPr>
        <w:spacing w:after="0" w:line="240" w:lineRule="auto"/>
        <w:rPr>
          <w:rFonts w:ascii="Garamond" w:hAnsi="Garamond"/>
          <w:sz w:val="24"/>
          <w:szCs w:val="24"/>
          <w:lang w:val="sq-AL"/>
        </w:rPr>
      </w:pPr>
      <w:bookmarkStart w:id="26" w:name="_Toc60129451"/>
      <w:bookmarkStart w:id="27" w:name="_Toc57751885"/>
      <w:bookmarkStart w:id="28" w:name="_Toc57751559"/>
      <w:bookmarkEnd w:id="26"/>
      <w:bookmarkEnd w:id="27"/>
      <w:bookmarkEnd w:id="28"/>
    </w:p>
    <w:p w14:paraId="4333B884" w14:textId="77777777" w:rsidR="008B3748" w:rsidRPr="00EC6AB6" w:rsidRDefault="008B3748" w:rsidP="008B3748">
      <w:pPr>
        <w:spacing w:after="0" w:line="240" w:lineRule="auto"/>
        <w:rPr>
          <w:rFonts w:ascii="Garamond" w:hAnsi="Garamond"/>
          <w:sz w:val="24"/>
          <w:szCs w:val="24"/>
          <w:lang w:val="sq-AL"/>
        </w:rPr>
      </w:pPr>
    </w:p>
    <w:p w14:paraId="4333B885" w14:textId="77777777" w:rsidR="008B3748" w:rsidRPr="00EC6AB6" w:rsidRDefault="008B3748" w:rsidP="008B3748">
      <w:pPr>
        <w:spacing w:after="0" w:line="240" w:lineRule="auto"/>
        <w:rPr>
          <w:rFonts w:ascii="Garamond" w:hAnsi="Garamond"/>
          <w:sz w:val="24"/>
          <w:szCs w:val="24"/>
          <w:lang w:val="sq-AL"/>
        </w:rPr>
      </w:pPr>
    </w:p>
    <w:p w14:paraId="4333B88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noProof/>
          <w:sz w:val="24"/>
          <w:szCs w:val="24"/>
        </w:rPr>
        <w:drawing>
          <wp:anchor distT="0" distB="0" distL="114300" distR="114300" simplePos="0" relativeHeight="251658251" behindDoc="1" locked="0" layoutInCell="1" allowOverlap="1" wp14:anchorId="4333BB50" wp14:editId="4333BB51">
            <wp:simplePos x="0" y="0"/>
            <wp:positionH relativeFrom="column">
              <wp:posOffset>4067175</wp:posOffset>
            </wp:positionH>
            <wp:positionV relativeFrom="paragraph">
              <wp:posOffset>140970</wp:posOffset>
            </wp:positionV>
            <wp:extent cx="1676400" cy="1214120"/>
            <wp:effectExtent l="0" t="0" r="0" b="5080"/>
            <wp:wrapTight wrapText="bothSides">
              <wp:wrapPolygon edited="0">
                <wp:start x="6136" y="1356"/>
                <wp:lineTo x="5155" y="6100"/>
                <wp:lineTo x="4664" y="13556"/>
                <wp:lineTo x="5645" y="18301"/>
                <wp:lineTo x="8836" y="21351"/>
                <wp:lineTo x="13745" y="21351"/>
                <wp:lineTo x="16936" y="18301"/>
                <wp:lineTo x="18164" y="12879"/>
                <wp:lineTo x="17673" y="10506"/>
                <wp:lineTo x="16691" y="7456"/>
                <wp:lineTo x="16936" y="5084"/>
                <wp:lineTo x="15218" y="2033"/>
                <wp:lineTo x="13255" y="1356"/>
                <wp:lineTo x="6136" y="1356"/>
              </wp:wrapPolygon>
            </wp:wrapTight>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bookmarkStart w:id="29" w:name="_Toc60129452"/>
      <w:bookmarkStart w:id="30" w:name="_Toc57751886"/>
      <w:bookmarkStart w:id="31" w:name="_Toc57751560"/>
      <w:bookmarkEnd w:id="29"/>
      <w:bookmarkEnd w:id="30"/>
      <w:bookmarkEnd w:id="31"/>
    </w:p>
    <w:p w14:paraId="4333B887" w14:textId="77777777" w:rsidR="008B3748" w:rsidRPr="00EC6AB6" w:rsidRDefault="008B3748" w:rsidP="008B3748">
      <w:pPr>
        <w:spacing w:after="0" w:line="240" w:lineRule="auto"/>
        <w:rPr>
          <w:rFonts w:ascii="Garamond" w:hAnsi="Garamond"/>
          <w:sz w:val="24"/>
          <w:szCs w:val="24"/>
          <w:lang w:val="sq-AL"/>
        </w:rPr>
      </w:pPr>
    </w:p>
    <w:p w14:paraId="4333B888" w14:textId="77777777" w:rsidR="008B3748" w:rsidRPr="00EC6AB6" w:rsidRDefault="008B3748" w:rsidP="008B3748">
      <w:pPr>
        <w:spacing w:after="0" w:line="240" w:lineRule="auto"/>
        <w:rPr>
          <w:rFonts w:ascii="Garamond" w:hAnsi="Garamond"/>
          <w:sz w:val="24"/>
          <w:szCs w:val="24"/>
          <w:lang w:val="sq-AL"/>
        </w:rPr>
      </w:pPr>
    </w:p>
    <w:p w14:paraId="4333B889" w14:textId="77777777" w:rsidR="008B3748" w:rsidRPr="00EC6AB6" w:rsidRDefault="008B3748" w:rsidP="008B3748">
      <w:pPr>
        <w:spacing w:after="0" w:line="240" w:lineRule="auto"/>
        <w:rPr>
          <w:rFonts w:ascii="Garamond" w:hAnsi="Garamond"/>
          <w:sz w:val="24"/>
          <w:szCs w:val="24"/>
          <w:lang w:val="sq-AL"/>
        </w:rPr>
      </w:pPr>
      <w:bookmarkStart w:id="32" w:name="_Toc491954301"/>
      <w:bookmarkStart w:id="33" w:name="_Toc491860988"/>
      <w:bookmarkStart w:id="34" w:name="_Toc483994729"/>
      <w:bookmarkEnd w:id="23"/>
      <w:bookmarkEnd w:id="24"/>
      <w:bookmarkEnd w:id="25"/>
    </w:p>
    <w:p w14:paraId="4333B88A" w14:textId="77777777" w:rsidR="008B3748" w:rsidRPr="00EC6AB6" w:rsidRDefault="008B3748" w:rsidP="008B3748">
      <w:pPr>
        <w:spacing w:after="0" w:line="240" w:lineRule="auto"/>
        <w:rPr>
          <w:rFonts w:ascii="Garamond" w:hAnsi="Garamond"/>
          <w:sz w:val="24"/>
          <w:szCs w:val="24"/>
          <w:lang w:val="sq-AL"/>
        </w:rPr>
      </w:pPr>
    </w:p>
    <w:p w14:paraId="4333B88B" w14:textId="77777777" w:rsidR="008B3748" w:rsidRPr="00EC6AB6" w:rsidRDefault="008B3748" w:rsidP="008B3748">
      <w:pPr>
        <w:spacing w:after="0" w:line="240" w:lineRule="auto"/>
        <w:rPr>
          <w:rFonts w:ascii="Garamond" w:hAnsi="Garamond"/>
          <w:sz w:val="24"/>
          <w:szCs w:val="24"/>
          <w:lang w:val="sq-AL"/>
        </w:rPr>
      </w:pPr>
    </w:p>
    <w:p w14:paraId="4333B88C" w14:textId="77777777" w:rsidR="008B3748" w:rsidRPr="00EC6AB6" w:rsidRDefault="008B3748" w:rsidP="008B3748">
      <w:pPr>
        <w:spacing w:after="0" w:line="240" w:lineRule="auto"/>
        <w:rPr>
          <w:rFonts w:ascii="Garamond" w:hAnsi="Garamond"/>
          <w:sz w:val="24"/>
          <w:szCs w:val="24"/>
          <w:lang w:val="sq-AL"/>
        </w:rPr>
      </w:pPr>
    </w:p>
    <w:p w14:paraId="4333B88D" w14:textId="77777777" w:rsidR="005C2434" w:rsidRPr="00EC6AB6" w:rsidRDefault="005C2434" w:rsidP="008B3748">
      <w:pPr>
        <w:spacing w:after="0" w:line="240" w:lineRule="auto"/>
        <w:rPr>
          <w:rFonts w:ascii="Garamond" w:hAnsi="Garamond"/>
          <w:sz w:val="24"/>
          <w:szCs w:val="24"/>
          <w:lang w:val="sq-AL"/>
        </w:rPr>
      </w:pPr>
    </w:p>
    <w:p w14:paraId="4333B88E" w14:textId="77777777" w:rsidR="005C2434" w:rsidRPr="00EC6AB6" w:rsidRDefault="005C2434" w:rsidP="005C2434">
      <w:pPr>
        <w:spacing w:after="0" w:line="240" w:lineRule="auto"/>
        <w:jc w:val="center"/>
        <w:rPr>
          <w:rFonts w:ascii="Garamond" w:hAnsi="Garamond"/>
          <w:sz w:val="24"/>
          <w:szCs w:val="24"/>
          <w:lang w:val="sq-AL"/>
        </w:rPr>
      </w:pPr>
    </w:p>
    <w:p w14:paraId="4333B88F"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54453531" w14:textId="77777777" w:rsidR="00B03044" w:rsidRPr="00EC6AB6" w:rsidRDefault="00B03044" w:rsidP="008B3748">
      <w:pPr>
        <w:spacing w:after="0" w:line="240" w:lineRule="auto"/>
        <w:rPr>
          <w:rFonts w:ascii="Garamond" w:hAnsi="Garamond"/>
          <w:sz w:val="24"/>
          <w:szCs w:val="24"/>
          <w:lang w:val="sq-AL"/>
        </w:rPr>
      </w:pPr>
      <w:bookmarkStart w:id="35" w:name="_Toc60129453"/>
    </w:p>
    <w:p w14:paraId="4333B891" w14:textId="5A04A66C"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4. </w:t>
      </w:r>
      <w:r w:rsidR="008B3748" w:rsidRPr="00EC6AB6">
        <w:rPr>
          <w:rFonts w:ascii="Garamond" w:hAnsi="Garamond"/>
          <w:sz w:val="24"/>
          <w:szCs w:val="24"/>
          <w:lang w:val="sq-AL"/>
        </w:rPr>
        <w:t xml:space="preserve">Portofoli i </w:t>
      </w:r>
      <w:r w:rsidR="00371C1D" w:rsidRPr="00EC6AB6">
        <w:rPr>
          <w:rFonts w:ascii="Garamond" w:hAnsi="Garamond"/>
          <w:sz w:val="24"/>
          <w:szCs w:val="24"/>
          <w:lang w:val="sq-AL"/>
        </w:rPr>
        <w:t>borxhit shtetëror të garantuar</w:t>
      </w:r>
      <w:bookmarkEnd w:id="35"/>
      <w:r w:rsidR="00371C1D" w:rsidRPr="00EC6AB6">
        <w:rPr>
          <w:rFonts w:ascii="Garamond" w:hAnsi="Garamond"/>
          <w:sz w:val="24"/>
          <w:szCs w:val="24"/>
          <w:lang w:val="sq-AL"/>
        </w:rPr>
        <w:t xml:space="preserve"> </w:t>
      </w:r>
    </w:p>
    <w:p w14:paraId="4333B892" w14:textId="5ECA4B3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fund të muajit shtator 2020, portofoli i borxhit të garantuar vlerësohet në 49.1 miliard</w:t>
      </w:r>
      <w:r w:rsidR="00E81332" w:rsidRPr="00EC6AB6">
        <w:rPr>
          <w:rFonts w:ascii="Garamond" w:hAnsi="Garamond"/>
          <w:sz w:val="24"/>
          <w:szCs w:val="24"/>
          <w:lang w:val="sq-AL"/>
        </w:rPr>
        <w:t>ë</w:t>
      </w:r>
      <w:r w:rsidRPr="00EC6AB6">
        <w:rPr>
          <w:rFonts w:ascii="Garamond" w:hAnsi="Garamond"/>
          <w:sz w:val="24"/>
          <w:szCs w:val="24"/>
          <w:lang w:val="sq-AL"/>
        </w:rPr>
        <w:t xml:space="preserve"> </w:t>
      </w:r>
      <w:r w:rsidR="00E81332" w:rsidRPr="00EC6AB6">
        <w:rPr>
          <w:rFonts w:ascii="Garamond" w:hAnsi="Garamond"/>
          <w:sz w:val="24"/>
          <w:szCs w:val="24"/>
          <w:lang w:val="sq-AL"/>
        </w:rPr>
        <w:t xml:space="preserve">lekë </w:t>
      </w:r>
      <w:r w:rsidRPr="00EC6AB6">
        <w:rPr>
          <w:rFonts w:ascii="Garamond" w:hAnsi="Garamond"/>
          <w:sz w:val="24"/>
          <w:szCs w:val="24"/>
          <w:lang w:val="sq-AL"/>
        </w:rPr>
        <w:t>(3.1% e PBB) ose 3.9% e portofolit të borxhit të qeverisjes qendrore. Në stokun e garancive përfshihen dhe dy garancitë që emetoi qeveria e Republikës s</w:t>
      </w:r>
      <w:r w:rsidR="00E81332" w:rsidRPr="00EC6AB6">
        <w:rPr>
          <w:rFonts w:ascii="Garamond" w:hAnsi="Garamond"/>
          <w:sz w:val="24"/>
          <w:szCs w:val="24"/>
          <w:lang w:val="sq-AL"/>
        </w:rPr>
        <w:t>ë Shqipërisë gjatë muajve prill–</w:t>
      </w:r>
      <w:r w:rsidRPr="00EC6AB6">
        <w:rPr>
          <w:rFonts w:ascii="Garamond" w:hAnsi="Garamond"/>
          <w:sz w:val="24"/>
          <w:szCs w:val="24"/>
          <w:lang w:val="sq-AL"/>
        </w:rPr>
        <w:t>maj 2020, në kuadër të menaxhimit të situatës së krijuar nga pandemia COVID-19.</w:t>
      </w:r>
      <w:r w:rsidR="00FA2519" w:rsidRPr="00EC6AB6">
        <w:rPr>
          <w:rFonts w:ascii="Garamond" w:hAnsi="Garamond"/>
          <w:sz w:val="24"/>
          <w:szCs w:val="24"/>
          <w:lang w:val="sq-AL"/>
        </w:rPr>
        <w:t xml:space="preserve"> </w:t>
      </w:r>
    </w:p>
    <w:p w14:paraId="4333B893" w14:textId="20C75CA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Për të mbështetur tregtarët dhe shoqëritë tregtare me likuiditet, </w:t>
      </w:r>
      <w:r w:rsidR="00E81332" w:rsidRPr="00EC6AB6">
        <w:rPr>
          <w:rFonts w:ascii="Garamond" w:hAnsi="Garamond"/>
          <w:sz w:val="24"/>
          <w:szCs w:val="24"/>
          <w:lang w:val="sq-AL"/>
        </w:rPr>
        <w:t xml:space="preserve">qeveria </w:t>
      </w:r>
      <w:r w:rsidRPr="00EC6AB6">
        <w:rPr>
          <w:rFonts w:ascii="Garamond" w:hAnsi="Garamond"/>
          <w:sz w:val="24"/>
          <w:szCs w:val="24"/>
          <w:lang w:val="sq-AL"/>
        </w:rPr>
        <w:t xml:space="preserve">e Republikës së Shqipërisë emetoi </w:t>
      </w:r>
      <w:r w:rsidR="00E81332" w:rsidRPr="00EC6AB6">
        <w:rPr>
          <w:rFonts w:ascii="Garamond" w:hAnsi="Garamond"/>
          <w:sz w:val="24"/>
          <w:szCs w:val="24"/>
          <w:lang w:val="sq-AL"/>
        </w:rPr>
        <w:t xml:space="preserve">garancinë shtetërore </w:t>
      </w:r>
      <w:r w:rsidRPr="00EC6AB6">
        <w:rPr>
          <w:rFonts w:ascii="Garamond" w:hAnsi="Garamond"/>
          <w:sz w:val="24"/>
          <w:szCs w:val="24"/>
          <w:lang w:val="sq-AL"/>
        </w:rPr>
        <w:t>në shumën prej 11.0 miliard</w:t>
      </w:r>
      <w:r w:rsidR="00E81332" w:rsidRPr="00EC6AB6">
        <w:rPr>
          <w:rFonts w:ascii="Garamond" w:hAnsi="Garamond"/>
          <w:sz w:val="24"/>
          <w:szCs w:val="24"/>
          <w:lang w:val="sq-AL"/>
        </w:rPr>
        <w:t>ë</w:t>
      </w:r>
      <w:r w:rsidRPr="00EC6AB6">
        <w:rPr>
          <w:rFonts w:ascii="Garamond" w:hAnsi="Garamond"/>
          <w:sz w:val="24"/>
          <w:szCs w:val="24"/>
          <w:lang w:val="sq-AL"/>
        </w:rPr>
        <w:t xml:space="preserve"> </w:t>
      </w:r>
      <w:r w:rsidR="00E81332" w:rsidRPr="00EC6AB6">
        <w:rPr>
          <w:rFonts w:ascii="Garamond" w:hAnsi="Garamond"/>
          <w:sz w:val="24"/>
          <w:szCs w:val="24"/>
          <w:lang w:val="sq-AL"/>
        </w:rPr>
        <w:t xml:space="preserve">lekësh </w:t>
      </w:r>
      <w:r w:rsidRPr="00EC6AB6">
        <w:rPr>
          <w:rFonts w:ascii="Garamond" w:hAnsi="Garamond"/>
          <w:sz w:val="24"/>
          <w:szCs w:val="24"/>
          <w:lang w:val="sq-AL"/>
        </w:rPr>
        <w:t xml:space="preserve">për kompanitë që kishin vështirësi në pagimin e pagave të punonjësve. Sipas kësaj skeme, shpenzimet e interesit mbulohen plotësisht nga qeveria dhe nuk kërkohet asnjë kolateral nga kompanitë. Përveç </w:t>
      </w:r>
      <w:r w:rsidR="00E81332" w:rsidRPr="00EC6AB6">
        <w:rPr>
          <w:rFonts w:ascii="Garamond" w:hAnsi="Garamond"/>
          <w:sz w:val="24"/>
          <w:szCs w:val="24"/>
          <w:lang w:val="sq-AL"/>
        </w:rPr>
        <w:t xml:space="preserve">garancisë së parë, qeveria </w:t>
      </w:r>
      <w:r w:rsidRPr="00EC6AB6">
        <w:rPr>
          <w:rFonts w:ascii="Garamond" w:hAnsi="Garamond"/>
          <w:sz w:val="24"/>
          <w:szCs w:val="24"/>
          <w:lang w:val="sq-AL"/>
        </w:rPr>
        <w:t xml:space="preserve">e Republikës së Shqipërisë emetoi </w:t>
      </w:r>
      <w:r w:rsidRPr="00EC6AB6">
        <w:rPr>
          <w:rFonts w:ascii="Times New Roman" w:hAnsi="Times New Roman"/>
          <w:sz w:val="24"/>
          <w:szCs w:val="24"/>
          <w:lang w:val="sq-AL"/>
        </w:rPr>
        <w:t>​​</w:t>
      </w:r>
      <w:r w:rsidRPr="00EC6AB6">
        <w:rPr>
          <w:rFonts w:ascii="Garamond" w:hAnsi="Garamond"/>
          <w:sz w:val="24"/>
          <w:szCs w:val="24"/>
          <w:lang w:val="sq-AL"/>
        </w:rPr>
        <w:t>nj</w:t>
      </w:r>
      <w:r w:rsidRPr="00EC6AB6">
        <w:rPr>
          <w:rFonts w:ascii="Garamond" w:hAnsi="Garamond" w:cs="Garamond"/>
          <w:sz w:val="24"/>
          <w:szCs w:val="24"/>
          <w:lang w:val="sq-AL"/>
        </w:rPr>
        <w:t>ë</w:t>
      </w:r>
      <w:r w:rsidRPr="00EC6AB6">
        <w:rPr>
          <w:rFonts w:ascii="Garamond" w:hAnsi="Garamond"/>
          <w:sz w:val="24"/>
          <w:szCs w:val="24"/>
          <w:lang w:val="sq-AL"/>
        </w:rPr>
        <w:t xml:space="preserve"> </w:t>
      </w:r>
      <w:r w:rsidR="00E81332" w:rsidRPr="00EC6AB6">
        <w:rPr>
          <w:rFonts w:ascii="Garamond" w:hAnsi="Garamond"/>
          <w:sz w:val="24"/>
          <w:szCs w:val="24"/>
          <w:lang w:val="sq-AL"/>
        </w:rPr>
        <w:t>garanci shtet</w:t>
      </w:r>
      <w:r w:rsidR="00E81332" w:rsidRPr="00EC6AB6">
        <w:rPr>
          <w:rFonts w:ascii="Garamond" w:hAnsi="Garamond" w:cs="Garamond"/>
          <w:sz w:val="24"/>
          <w:szCs w:val="24"/>
          <w:lang w:val="sq-AL"/>
        </w:rPr>
        <w:t>ë</w:t>
      </w:r>
      <w:r w:rsidR="00E81332" w:rsidRPr="00EC6AB6">
        <w:rPr>
          <w:rFonts w:ascii="Garamond" w:hAnsi="Garamond"/>
          <w:sz w:val="24"/>
          <w:szCs w:val="24"/>
          <w:lang w:val="sq-AL"/>
        </w:rPr>
        <w:t xml:space="preserve">rore </w:t>
      </w:r>
      <w:r w:rsidRPr="00EC6AB6">
        <w:rPr>
          <w:rFonts w:ascii="Garamond" w:hAnsi="Garamond"/>
          <w:sz w:val="24"/>
          <w:szCs w:val="24"/>
          <w:lang w:val="sq-AL"/>
        </w:rPr>
        <w:t>t</w:t>
      </w:r>
      <w:r w:rsidRPr="00EC6AB6">
        <w:rPr>
          <w:rFonts w:ascii="Garamond" w:hAnsi="Garamond" w:cs="Garamond"/>
          <w:sz w:val="24"/>
          <w:szCs w:val="24"/>
          <w:lang w:val="sq-AL"/>
        </w:rPr>
        <w:t>ë</w:t>
      </w:r>
      <w:r w:rsidRPr="00EC6AB6">
        <w:rPr>
          <w:rFonts w:ascii="Garamond" w:hAnsi="Garamond"/>
          <w:sz w:val="24"/>
          <w:szCs w:val="24"/>
          <w:lang w:val="sq-AL"/>
        </w:rPr>
        <w:t xml:space="preserve"> dyt</w:t>
      </w:r>
      <w:r w:rsidRPr="00EC6AB6">
        <w:rPr>
          <w:rFonts w:ascii="Garamond" w:hAnsi="Garamond" w:cs="Garamond"/>
          <w:sz w:val="24"/>
          <w:szCs w:val="24"/>
          <w:lang w:val="sq-AL"/>
        </w:rPr>
        <w:t>ë</w:t>
      </w:r>
      <w:r w:rsidRPr="00EC6AB6">
        <w:rPr>
          <w:rFonts w:ascii="Garamond" w:hAnsi="Garamond"/>
          <w:sz w:val="24"/>
          <w:szCs w:val="24"/>
          <w:lang w:val="sq-AL"/>
        </w:rPr>
        <w:t>, n</w:t>
      </w:r>
      <w:r w:rsidRPr="00EC6AB6">
        <w:rPr>
          <w:rFonts w:ascii="Garamond" w:hAnsi="Garamond" w:cs="Garamond"/>
          <w:sz w:val="24"/>
          <w:szCs w:val="24"/>
          <w:lang w:val="sq-AL"/>
        </w:rPr>
        <w:t>ë</w:t>
      </w:r>
      <w:r w:rsidRPr="00EC6AB6">
        <w:rPr>
          <w:rFonts w:ascii="Garamond" w:hAnsi="Garamond"/>
          <w:sz w:val="24"/>
          <w:szCs w:val="24"/>
          <w:lang w:val="sq-AL"/>
        </w:rPr>
        <w:t xml:space="preserve"> shum</w:t>
      </w:r>
      <w:r w:rsidRPr="00EC6AB6">
        <w:rPr>
          <w:rFonts w:ascii="Garamond" w:hAnsi="Garamond" w:cs="Garamond"/>
          <w:sz w:val="24"/>
          <w:szCs w:val="24"/>
          <w:lang w:val="sq-AL"/>
        </w:rPr>
        <w:t>ë</w:t>
      </w:r>
      <w:r w:rsidRPr="00EC6AB6">
        <w:rPr>
          <w:rFonts w:ascii="Garamond" w:hAnsi="Garamond"/>
          <w:sz w:val="24"/>
          <w:szCs w:val="24"/>
          <w:lang w:val="sq-AL"/>
        </w:rPr>
        <w:t>n prej 15.0 miliard</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lek</w:t>
      </w:r>
      <w:r w:rsidR="00355153" w:rsidRPr="00EC6AB6">
        <w:rPr>
          <w:rFonts w:ascii="Garamond" w:hAnsi="Garamond" w:cs="Garamond"/>
          <w:sz w:val="24"/>
          <w:szCs w:val="24"/>
          <w:lang w:val="sq-AL"/>
        </w:rPr>
        <w:t>ësh</w:t>
      </w:r>
      <w:r w:rsidRPr="00EC6AB6">
        <w:rPr>
          <w:rFonts w:ascii="Garamond" w:hAnsi="Garamond"/>
          <w:sz w:val="24"/>
          <w:szCs w:val="24"/>
          <w:lang w:val="sq-AL"/>
        </w:rPr>
        <w:t>, duke siguruar hua p</w:t>
      </w:r>
      <w:r w:rsidRPr="00EC6AB6">
        <w:rPr>
          <w:rFonts w:ascii="Garamond" w:hAnsi="Garamond" w:cs="Garamond"/>
          <w:sz w:val="24"/>
          <w:szCs w:val="24"/>
          <w:lang w:val="sq-AL"/>
        </w:rPr>
        <w:t>ë</w:t>
      </w:r>
      <w:r w:rsidRPr="00EC6AB6">
        <w:rPr>
          <w:rFonts w:ascii="Garamond" w:hAnsi="Garamond"/>
          <w:sz w:val="24"/>
          <w:szCs w:val="24"/>
          <w:lang w:val="sq-AL"/>
        </w:rPr>
        <w:t>r kapital qarkullues dhe investime p</w:t>
      </w:r>
      <w:r w:rsidRPr="00EC6AB6">
        <w:rPr>
          <w:rFonts w:ascii="Garamond" w:hAnsi="Garamond" w:cs="Garamond"/>
          <w:sz w:val="24"/>
          <w:szCs w:val="24"/>
          <w:lang w:val="sq-AL"/>
        </w:rPr>
        <w:t>ë</w:t>
      </w:r>
      <w:r w:rsidRPr="00EC6AB6">
        <w:rPr>
          <w:rFonts w:ascii="Garamond" w:hAnsi="Garamond"/>
          <w:sz w:val="24"/>
          <w:szCs w:val="24"/>
          <w:lang w:val="sq-AL"/>
        </w:rPr>
        <w:t>r t</w:t>
      </w:r>
      <w:r w:rsidRPr="00EC6AB6">
        <w:rPr>
          <w:rFonts w:ascii="Garamond" w:hAnsi="Garamond" w:cs="Garamond"/>
          <w:sz w:val="24"/>
          <w:szCs w:val="24"/>
          <w:lang w:val="sq-AL"/>
        </w:rPr>
        <w:t>ë</w:t>
      </w:r>
      <w:r w:rsidRPr="00EC6AB6">
        <w:rPr>
          <w:rFonts w:ascii="Garamond" w:hAnsi="Garamond"/>
          <w:sz w:val="24"/>
          <w:szCs w:val="24"/>
          <w:lang w:val="sq-AL"/>
        </w:rPr>
        <w:t xml:space="preserve"> gjith</w:t>
      </w:r>
      <w:r w:rsidRPr="00EC6AB6">
        <w:rPr>
          <w:rFonts w:ascii="Garamond" w:hAnsi="Garamond" w:cs="Garamond"/>
          <w:sz w:val="24"/>
          <w:szCs w:val="24"/>
          <w:lang w:val="sq-AL"/>
        </w:rPr>
        <w:t>ë</w:t>
      </w:r>
      <w:r w:rsidRPr="00EC6AB6">
        <w:rPr>
          <w:rFonts w:ascii="Garamond" w:hAnsi="Garamond"/>
          <w:sz w:val="24"/>
          <w:szCs w:val="24"/>
          <w:lang w:val="sq-AL"/>
        </w:rPr>
        <w:t xml:space="preserve"> sektor</w:t>
      </w:r>
      <w:r w:rsidRPr="00EC6AB6">
        <w:rPr>
          <w:rFonts w:ascii="Garamond" w:hAnsi="Garamond" w:cs="Garamond"/>
          <w:sz w:val="24"/>
          <w:szCs w:val="24"/>
          <w:lang w:val="sq-AL"/>
        </w:rPr>
        <w:t>ë</w:t>
      </w:r>
      <w:r w:rsidRPr="00EC6AB6">
        <w:rPr>
          <w:rFonts w:ascii="Garamond" w:hAnsi="Garamond"/>
          <w:sz w:val="24"/>
          <w:szCs w:val="24"/>
          <w:lang w:val="sq-AL"/>
        </w:rPr>
        <w:t>t e ekonomis</w:t>
      </w:r>
      <w:r w:rsidRPr="00EC6AB6">
        <w:rPr>
          <w:rFonts w:ascii="Garamond" w:hAnsi="Garamond" w:cs="Garamond"/>
          <w:sz w:val="24"/>
          <w:szCs w:val="24"/>
          <w:lang w:val="sq-AL"/>
        </w:rPr>
        <w:t>ë</w:t>
      </w:r>
      <w:r w:rsidRPr="00EC6AB6">
        <w:rPr>
          <w:rFonts w:ascii="Garamond" w:hAnsi="Garamond"/>
          <w:sz w:val="24"/>
          <w:szCs w:val="24"/>
          <w:lang w:val="sq-AL"/>
        </w:rPr>
        <w:t>. N</w:t>
      </w:r>
      <w:r w:rsidRPr="00EC6AB6">
        <w:rPr>
          <w:rFonts w:ascii="Garamond" w:hAnsi="Garamond" w:cs="Garamond"/>
          <w:sz w:val="24"/>
          <w:szCs w:val="24"/>
          <w:lang w:val="sq-AL"/>
        </w:rPr>
        <w:t>ë</w:t>
      </w:r>
      <w:r w:rsidRPr="00EC6AB6">
        <w:rPr>
          <w:rFonts w:ascii="Garamond" w:hAnsi="Garamond"/>
          <w:sz w:val="24"/>
          <w:szCs w:val="24"/>
          <w:lang w:val="sq-AL"/>
        </w:rPr>
        <w:t xml:space="preserve"> k</w:t>
      </w:r>
      <w:r w:rsidRPr="00EC6AB6">
        <w:rPr>
          <w:rFonts w:ascii="Garamond" w:hAnsi="Garamond" w:cs="Garamond"/>
          <w:sz w:val="24"/>
          <w:szCs w:val="24"/>
          <w:lang w:val="sq-AL"/>
        </w:rPr>
        <w:t>ë</w:t>
      </w:r>
      <w:r w:rsidRPr="00EC6AB6">
        <w:rPr>
          <w:rFonts w:ascii="Garamond" w:hAnsi="Garamond"/>
          <w:sz w:val="24"/>
          <w:szCs w:val="24"/>
          <w:lang w:val="sq-AL"/>
        </w:rPr>
        <w:t>t</w:t>
      </w:r>
      <w:r w:rsidRPr="00EC6AB6">
        <w:rPr>
          <w:rFonts w:ascii="Garamond" w:hAnsi="Garamond" w:cs="Garamond"/>
          <w:sz w:val="24"/>
          <w:szCs w:val="24"/>
          <w:lang w:val="sq-AL"/>
        </w:rPr>
        <w:t>ë</w:t>
      </w:r>
      <w:r w:rsidRPr="00EC6AB6">
        <w:rPr>
          <w:rFonts w:ascii="Garamond" w:hAnsi="Garamond"/>
          <w:sz w:val="24"/>
          <w:szCs w:val="24"/>
          <w:lang w:val="sq-AL"/>
        </w:rPr>
        <w:t xml:space="preserve"> skem</w:t>
      </w:r>
      <w:r w:rsidRPr="00EC6AB6">
        <w:rPr>
          <w:rFonts w:ascii="Garamond" w:hAnsi="Garamond" w:cs="Garamond"/>
          <w:sz w:val="24"/>
          <w:szCs w:val="24"/>
          <w:lang w:val="sq-AL"/>
        </w:rPr>
        <w:t>ë</w:t>
      </w:r>
      <w:r w:rsidRPr="00EC6AB6">
        <w:rPr>
          <w:rFonts w:ascii="Garamond" w:hAnsi="Garamond"/>
          <w:sz w:val="24"/>
          <w:szCs w:val="24"/>
          <w:lang w:val="sq-AL"/>
        </w:rPr>
        <w:t xml:space="preserve"> garancie, </w:t>
      </w:r>
      <w:r w:rsidR="00E81332" w:rsidRPr="00EC6AB6">
        <w:rPr>
          <w:rFonts w:ascii="Garamond" w:hAnsi="Garamond"/>
          <w:sz w:val="24"/>
          <w:szCs w:val="24"/>
          <w:lang w:val="sq-AL"/>
        </w:rPr>
        <w:t xml:space="preserve">qeveria </w:t>
      </w:r>
      <w:r w:rsidRPr="00EC6AB6">
        <w:rPr>
          <w:rFonts w:ascii="Garamond" w:hAnsi="Garamond"/>
          <w:sz w:val="24"/>
          <w:szCs w:val="24"/>
          <w:lang w:val="sq-AL"/>
        </w:rPr>
        <w:t>garantoi 60% t</w:t>
      </w:r>
      <w:r w:rsidRPr="00EC6AB6">
        <w:rPr>
          <w:rFonts w:ascii="Garamond" w:hAnsi="Garamond" w:cs="Garamond"/>
          <w:sz w:val="24"/>
          <w:szCs w:val="24"/>
          <w:lang w:val="sq-AL"/>
        </w:rPr>
        <w:t>ë</w:t>
      </w:r>
      <w:r w:rsidRPr="00EC6AB6">
        <w:rPr>
          <w:rFonts w:ascii="Garamond" w:hAnsi="Garamond"/>
          <w:sz w:val="24"/>
          <w:szCs w:val="24"/>
          <w:lang w:val="sq-AL"/>
        </w:rPr>
        <w:t xml:space="preserve"> principalit. Gjithsej nga qeveria u akorduan 26 miliard</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 xml:space="preserve">lekë </w:t>
      </w:r>
      <w:r w:rsidRPr="00EC6AB6">
        <w:rPr>
          <w:rFonts w:ascii="Garamond" w:hAnsi="Garamond"/>
          <w:sz w:val="24"/>
          <w:szCs w:val="24"/>
          <w:lang w:val="sq-AL"/>
        </w:rPr>
        <w:t>në formën e garancive, të cilat deri në fund të muajit shtator mundësuan kreditimin e shoqërive tregtare me 10.61 miliard</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lekë</w:t>
      </w:r>
      <w:r w:rsidRPr="00EC6AB6">
        <w:rPr>
          <w:rFonts w:ascii="Garamond" w:hAnsi="Garamond"/>
          <w:sz w:val="24"/>
          <w:szCs w:val="24"/>
          <w:lang w:val="sq-AL"/>
        </w:rPr>
        <w:t>. Në fund të vitit vlera e kredive të miratuara shkon rreth 14.5</w:t>
      </w:r>
      <w:r w:rsidR="00355153" w:rsidRPr="00EC6AB6">
        <w:rPr>
          <w:rFonts w:ascii="Garamond" w:hAnsi="Garamond"/>
          <w:sz w:val="24"/>
          <w:szCs w:val="24"/>
          <w:lang w:val="sq-AL"/>
        </w:rPr>
        <w:t xml:space="preserve"> </w:t>
      </w:r>
      <w:r w:rsidRPr="00EC6AB6">
        <w:rPr>
          <w:rFonts w:ascii="Garamond" w:hAnsi="Garamond"/>
          <w:sz w:val="24"/>
          <w:szCs w:val="24"/>
          <w:lang w:val="sq-AL"/>
        </w:rPr>
        <w:t>miliard</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lekë</w:t>
      </w:r>
      <w:r w:rsidR="00E81332" w:rsidRPr="00EC6AB6">
        <w:rPr>
          <w:rFonts w:ascii="Garamond" w:hAnsi="Garamond"/>
          <w:sz w:val="24"/>
          <w:szCs w:val="24"/>
          <w:lang w:val="sq-AL"/>
        </w:rPr>
        <w:t>, nga të cil</w:t>
      </w:r>
      <w:r w:rsidRPr="00EC6AB6">
        <w:rPr>
          <w:rFonts w:ascii="Garamond" w:hAnsi="Garamond"/>
          <w:sz w:val="24"/>
          <w:szCs w:val="24"/>
          <w:lang w:val="sq-AL"/>
        </w:rPr>
        <w:t>at disbursimet shënojnë një vlerë prej rreth 13.3 miliard</w:t>
      </w:r>
      <w:r w:rsidR="00355153" w:rsidRPr="00EC6AB6">
        <w:rPr>
          <w:rFonts w:ascii="Garamond" w:hAnsi="Garamond"/>
          <w:sz w:val="24"/>
          <w:szCs w:val="24"/>
          <w:lang w:val="sq-AL"/>
        </w:rPr>
        <w:t>ë</w:t>
      </w:r>
      <w:r w:rsidRPr="00EC6AB6">
        <w:rPr>
          <w:rFonts w:ascii="Garamond" w:hAnsi="Garamond"/>
          <w:sz w:val="24"/>
          <w:szCs w:val="24"/>
          <w:lang w:val="sq-AL"/>
        </w:rPr>
        <w:t xml:space="preserve"> </w:t>
      </w:r>
      <w:r w:rsidR="00355153" w:rsidRPr="00EC6AB6">
        <w:rPr>
          <w:rFonts w:ascii="Garamond" w:hAnsi="Garamond"/>
          <w:sz w:val="24"/>
          <w:szCs w:val="24"/>
          <w:lang w:val="sq-AL"/>
        </w:rPr>
        <w:t>lekë</w:t>
      </w:r>
      <w:r w:rsidR="00E81332" w:rsidRPr="00EC6AB6">
        <w:rPr>
          <w:rFonts w:ascii="Garamond" w:hAnsi="Garamond"/>
          <w:sz w:val="24"/>
          <w:szCs w:val="24"/>
          <w:lang w:val="sq-AL"/>
        </w:rPr>
        <w:t>sh</w:t>
      </w:r>
      <w:r w:rsidRPr="00EC6AB6">
        <w:rPr>
          <w:rFonts w:ascii="Garamond" w:hAnsi="Garamond"/>
          <w:sz w:val="24"/>
          <w:szCs w:val="24"/>
          <w:lang w:val="sq-AL"/>
        </w:rPr>
        <w:t>.</w:t>
      </w:r>
    </w:p>
    <w:bookmarkEnd w:id="32"/>
    <w:bookmarkEnd w:id="33"/>
    <w:bookmarkEnd w:id="34"/>
    <w:p w14:paraId="7E16885E" w14:textId="77777777" w:rsidR="00B03044" w:rsidRPr="00EC6AB6" w:rsidRDefault="00B03044" w:rsidP="00155298">
      <w:pPr>
        <w:spacing w:after="0" w:line="240" w:lineRule="auto"/>
        <w:ind w:firstLine="0"/>
        <w:jc w:val="center"/>
        <w:rPr>
          <w:rFonts w:ascii="Garamond" w:hAnsi="Garamond"/>
          <w:b/>
          <w:i/>
          <w:sz w:val="20"/>
          <w:szCs w:val="20"/>
          <w:lang w:val="sq-AL"/>
        </w:rPr>
      </w:pPr>
    </w:p>
    <w:p w14:paraId="4333B895" w14:textId="776B769C" w:rsidR="008B3748" w:rsidRPr="00EC6AB6" w:rsidRDefault="005C2434" w:rsidP="00155298">
      <w:pPr>
        <w:spacing w:after="0" w:line="240" w:lineRule="auto"/>
        <w:ind w:firstLine="0"/>
        <w:jc w:val="center"/>
        <w:rPr>
          <w:rFonts w:ascii="Garamond" w:hAnsi="Garamond"/>
          <w:b/>
          <w:i/>
          <w:sz w:val="20"/>
          <w:szCs w:val="20"/>
          <w:lang w:val="sq-AL"/>
        </w:rPr>
      </w:pPr>
      <w:r w:rsidRPr="00EC6AB6">
        <w:rPr>
          <w:rFonts w:ascii="Garamond" w:hAnsi="Garamond"/>
          <w:b/>
          <w:i/>
          <w:noProof/>
          <w:sz w:val="20"/>
          <w:szCs w:val="20"/>
        </w:rPr>
        <w:drawing>
          <wp:anchor distT="0" distB="0" distL="114300" distR="114300" simplePos="0" relativeHeight="251658252" behindDoc="1" locked="0" layoutInCell="1" allowOverlap="1" wp14:anchorId="4333BB52" wp14:editId="4333BB53">
            <wp:simplePos x="0" y="0"/>
            <wp:positionH relativeFrom="column">
              <wp:posOffset>45720</wp:posOffset>
            </wp:positionH>
            <wp:positionV relativeFrom="paragraph">
              <wp:posOffset>203835</wp:posOffset>
            </wp:positionV>
            <wp:extent cx="2973705" cy="2098675"/>
            <wp:effectExtent l="0" t="0" r="0" b="0"/>
            <wp:wrapTight wrapText="bothSides">
              <wp:wrapPolygon edited="0">
                <wp:start x="3598" y="0"/>
                <wp:lineTo x="138" y="980"/>
                <wp:lineTo x="138" y="1569"/>
                <wp:lineTo x="3459" y="3529"/>
                <wp:lineTo x="830" y="3529"/>
                <wp:lineTo x="277" y="4117"/>
                <wp:lineTo x="415" y="12940"/>
                <wp:lineTo x="17988" y="12940"/>
                <wp:lineTo x="553" y="14705"/>
                <wp:lineTo x="830" y="21371"/>
                <wp:lineTo x="12730" y="21371"/>
                <wp:lineTo x="13837" y="21371"/>
                <wp:lineTo x="18127" y="20195"/>
                <wp:lineTo x="17850" y="19215"/>
                <wp:lineTo x="20341" y="18822"/>
                <wp:lineTo x="20341" y="16077"/>
                <wp:lineTo x="11208" y="16077"/>
                <wp:lineTo x="20341" y="13136"/>
                <wp:lineTo x="20479" y="2549"/>
                <wp:lineTo x="15636" y="1176"/>
                <wp:lineTo x="8856" y="0"/>
                <wp:lineTo x="3598" y="0"/>
              </wp:wrapPolygon>
            </wp:wrapTight>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8B3748" w:rsidRPr="00EC6AB6">
        <w:rPr>
          <w:rFonts w:ascii="Garamond" w:hAnsi="Garamond"/>
          <w:b/>
          <w:i/>
          <w:noProof/>
          <w:sz w:val="20"/>
          <w:szCs w:val="20"/>
        </w:rPr>
        <w:drawing>
          <wp:anchor distT="0" distB="0" distL="114300" distR="114300" simplePos="0" relativeHeight="251658253" behindDoc="1" locked="0" layoutInCell="1" allowOverlap="1" wp14:anchorId="4333BB54" wp14:editId="4333BB55">
            <wp:simplePos x="0" y="0"/>
            <wp:positionH relativeFrom="column">
              <wp:posOffset>2842260</wp:posOffset>
            </wp:positionH>
            <wp:positionV relativeFrom="paragraph">
              <wp:posOffset>203200</wp:posOffset>
            </wp:positionV>
            <wp:extent cx="2895600" cy="2221865"/>
            <wp:effectExtent l="0" t="0" r="0" b="6985"/>
            <wp:wrapTight wrapText="bothSides">
              <wp:wrapPolygon edited="0">
                <wp:start x="426" y="556"/>
                <wp:lineTo x="0" y="926"/>
                <wp:lineTo x="284" y="12593"/>
                <wp:lineTo x="711" y="12779"/>
                <wp:lineTo x="10516" y="12779"/>
                <wp:lineTo x="568" y="14816"/>
                <wp:lineTo x="711" y="15556"/>
                <wp:lineTo x="3553" y="15927"/>
                <wp:lineTo x="3553" y="16853"/>
                <wp:lineTo x="20889" y="18705"/>
                <wp:lineTo x="4263" y="19075"/>
                <wp:lineTo x="4263" y="20001"/>
                <wp:lineTo x="20889" y="21483"/>
                <wp:lineTo x="21458" y="21483"/>
                <wp:lineTo x="21458" y="1852"/>
                <wp:lineTo x="1705" y="556"/>
                <wp:lineTo x="426" y="556"/>
              </wp:wrapPolygon>
            </wp:wrapTight>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8B3748" w:rsidRPr="00EC6AB6">
        <w:rPr>
          <w:rFonts w:ascii="Garamond" w:hAnsi="Garamond"/>
          <w:b/>
          <w:i/>
          <w:noProof/>
          <w:sz w:val="20"/>
          <w:szCs w:val="20"/>
        </w:rPr>
        <mc:AlternateContent>
          <mc:Choice Requires="wps">
            <w:drawing>
              <wp:anchor distT="0" distB="0" distL="114300" distR="114300" simplePos="0" relativeHeight="251658254" behindDoc="0" locked="0" layoutInCell="1" allowOverlap="1" wp14:anchorId="4333BB56" wp14:editId="4333BB57">
                <wp:simplePos x="0" y="0"/>
                <wp:positionH relativeFrom="margin">
                  <wp:posOffset>0</wp:posOffset>
                </wp:positionH>
                <wp:positionV relativeFrom="paragraph">
                  <wp:posOffset>159385</wp:posOffset>
                </wp:positionV>
                <wp:extent cx="5735955" cy="2319020"/>
                <wp:effectExtent l="0" t="0" r="17145" b="24130"/>
                <wp:wrapNone/>
                <wp:docPr id="48" name="Rectangle 48"/>
                <wp:cNvGraphicFramePr/>
                <a:graphic xmlns:a="http://schemas.openxmlformats.org/drawingml/2006/main">
                  <a:graphicData uri="http://schemas.microsoft.com/office/word/2010/wordprocessingShape">
                    <wps:wsp>
                      <wps:cNvSpPr/>
                      <wps:spPr>
                        <a:xfrm>
                          <a:off x="0" y="0"/>
                          <a:ext cx="5735955" cy="2318385"/>
                        </a:xfrm>
                        <a:prstGeom prst="rect">
                          <a:avLst/>
                        </a:prstGeom>
                        <a:noFill/>
                        <a:ln w="635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margin-left:0;margin-top:12.55pt;width:451.65pt;height:182.6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nArhQIAAPsEAAAOAAAAZHJzL2Uyb0RvYy54bWysVNtOGzEQfa/Uf7D8Xja3hRCxQREoVSUK&#10;qFDxbLzerCXfajvZpF/fY+8SKO1T1Tw4M56LZ86c2YvLvVZkJ3yQ1lR0fDKiRBhua2k2Ff3+uP40&#10;pyREZmqmrBEVPYhAL5cfP1x0biEmtrWqFp4giQmLzlW0jdEtiiLwVmgWTqwTBsbGes0iVL8pas86&#10;ZNeqmIxGp0Vnfe285SIE3F73RrrM+ZtG8HjXNEFEoiqK2mI+fT6f01ksL9hi45lrJR/KYP9QhWbS&#10;4NFjqmsWGdl6+UcqLbm3wTbxhFtd2KaRXOQe0M149K6bh5Y5kXsBOMEdYQr/Ly2/3d17IuuKzjAp&#10;wzRm9A2oMbNRguAOAHUuLOD34O79oAWIqdt943X6Rx9kn0E9HEEV+0g4LsuzaXlelpRw2CbT8Xw6&#10;L1PW4jXc+RA/C6tJEirq8X4Gk+1uQuxdX1zSa8aupVK4ZwtlSFfR02mJ2XIG/jSKRYjaoaNgNpQw&#10;tQExefQ5Y7BK1ik6BYdDuFKe7Bi4AUrVtqNEsRBxWdF1/uUgtdVfbd37nZWjUWYNyu/jcye/5U21&#10;XrPQ9hHZ1PNMywiyK6krOkeaYyJlUjki03XoOGHeo5ykZ1sfMCZve/4Gx9cSj9yg2HvmQVi0jyWM&#10;dzgaZQGJHSRKWut//u0++YNHsFLSYQGA148t8wIYfDFg2Pl4Nksbk5VZeTaB4t9ant9azFZfWeA4&#10;xro7nsXkH9WL2Hirn7Crq/QqTMxwvN1PZlCuYr+Y2HYuVqvshi1xLN6YB8dT8oRTgvdx/8S8G/gS&#10;QbVb+7IsbPGONr1vijR2tY22kZlTr7higknBhuVZDl+DtMJv9ez1+s1a/gIAAP//AwBQSwMEFAAG&#10;AAgAAAAhAH2/YjjeAAAABwEAAA8AAABkcnMvZG93bnJldi54bWxMj81OwzAQhO9IvIO1SNyo00QE&#10;GrKpAIlD4YBafsRxGy9JRLyOYqcNb485wW1HM5r5tlzPtlcHHn3nBGG5SECx1M500iC8vjxcXIPy&#10;gcRQ74QRvtnDujo9Kakw7ihbPuxCo2KJ+IIQ2hCGQmtft2zJL9zAEr1PN1oKUY6NNiMdY7ntdZok&#10;ubbUSVxoaeD7luuv3WQRrkKar56farrjj7f8cXrftMN2g3h+Nt/egAo8h78w/OJHdKgi095NYrzq&#10;EeIjASG9XIKK7irJMlB7hCxeoKtS/+evfgAAAP//AwBQSwECLQAUAAYACAAAACEAtoM4kv4AAADh&#10;AQAAEwAAAAAAAAAAAAAAAAAAAAAAW0NvbnRlbnRfVHlwZXNdLnhtbFBLAQItABQABgAIAAAAIQA4&#10;/SH/1gAAAJQBAAALAAAAAAAAAAAAAAAAAC8BAABfcmVscy8ucmVsc1BLAQItABQABgAIAAAAIQDk&#10;xnArhQIAAPsEAAAOAAAAAAAAAAAAAAAAAC4CAABkcnMvZTJvRG9jLnhtbFBLAQItABQABgAIAAAA&#10;IQB9v2I43gAAAAcBAAAPAAAAAAAAAAAAAAAAAN8EAABkcnMvZG93bnJldi54bWxQSwUGAAAAAAQA&#10;BADzAAAA6gUAAAAA&#10;" filled="f" strokecolor="#bfbfbf" strokeweight=".5pt">
                <w10:wrap anchorx="margin"/>
              </v:rect>
            </w:pict>
          </mc:Fallback>
        </mc:AlternateContent>
      </w:r>
      <w:r w:rsidR="008B3748" w:rsidRPr="00EC6AB6">
        <w:rPr>
          <w:rFonts w:ascii="Garamond" w:hAnsi="Garamond"/>
          <w:b/>
          <w:i/>
          <w:sz w:val="20"/>
          <w:szCs w:val="20"/>
          <w:lang w:val="sq-AL"/>
        </w:rPr>
        <w:t xml:space="preserve">Paraqitje </w:t>
      </w:r>
      <w:r w:rsidR="00355153" w:rsidRPr="00EC6AB6">
        <w:rPr>
          <w:rFonts w:ascii="Garamond" w:hAnsi="Garamond"/>
          <w:b/>
          <w:i/>
          <w:sz w:val="20"/>
          <w:szCs w:val="20"/>
          <w:lang w:val="sq-AL"/>
        </w:rPr>
        <w:t xml:space="preserve">grafike </w:t>
      </w:r>
      <w:r w:rsidR="008B3748" w:rsidRPr="00EC6AB6">
        <w:rPr>
          <w:rFonts w:ascii="Garamond" w:hAnsi="Garamond"/>
          <w:b/>
          <w:i/>
          <w:sz w:val="20"/>
          <w:szCs w:val="20"/>
          <w:lang w:val="sq-AL"/>
        </w:rPr>
        <w:t xml:space="preserve">4: Kompozimi i garancive shtetërore të </w:t>
      </w:r>
      <w:r w:rsidR="002A3781" w:rsidRPr="00EC6AB6">
        <w:rPr>
          <w:rFonts w:ascii="Garamond" w:hAnsi="Garamond"/>
          <w:b/>
          <w:i/>
          <w:sz w:val="20"/>
          <w:szCs w:val="20"/>
          <w:lang w:val="sq-AL"/>
        </w:rPr>
        <w:t>huas</w:t>
      </w:r>
      <w:r w:rsidR="008B3748" w:rsidRPr="00EC6AB6">
        <w:rPr>
          <w:rFonts w:ascii="Garamond" w:hAnsi="Garamond"/>
          <w:b/>
          <w:i/>
          <w:sz w:val="20"/>
          <w:szCs w:val="20"/>
          <w:lang w:val="sq-AL"/>
        </w:rPr>
        <w:t xml:space="preserve"> (2016</w:t>
      </w:r>
      <w:r w:rsidR="0036352A" w:rsidRPr="00EC6AB6">
        <w:rPr>
          <w:rFonts w:ascii="Garamond" w:hAnsi="Garamond"/>
          <w:b/>
          <w:i/>
          <w:sz w:val="20"/>
          <w:szCs w:val="20"/>
          <w:lang w:val="sq-AL"/>
        </w:rPr>
        <w:t xml:space="preserve">–shtator </w:t>
      </w:r>
      <w:r w:rsidR="008B3748" w:rsidRPr="00EC6AB6">
        <w:rPr>
          <w:rFonts w:ascii="Garamond" w:hAnsi="Garamond"/>
          <w:b/>
          <w:i/>
          <w:sz w:val="20"/>
          <w:szCs w:val="20"/>
          <w:lang w:val="sq-AL"/>
        </w:rPr>
        <w:t>2020)</w:t>
      </w:r>
    </w:p>
    <w:p w14:paraId="4333B896"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sz w:val="24"/>
          <w:szCs w:val="24"/>
          <w:lang w:val="sq-AL"/>
        </w:rPr>
        <w:lastRenderedPageBreak/>
        <w:t>Burimi: Ministria e Financave dhe Ekonomisë (2020)</w:t>
      </w:r>
    </w:p>
    <w:p w14:paraId="4333B897" w14:textId="77777777" w:rsidR="008B3748" w:rsidRPr="00EC6AB6" w:rsidRDefault="008B3748" w:rsidP="008B3748">
      <w:pPr>
        <w:spacing w:after="0" w:line="240" w:lineRule="auto"/>
        <w:rPr>
          <w:rFonts w:ascii="Garamond" w:hAnsi="Garamond"/>
          <w:sz w:val="24"/>
          <w:szCs w:val="24"/>
          <w:lang w:val="sq-AL"/>
        </w:rPr>
      </w:pPr>
    </w:p>
    <w:p w14:paraId="4333B898" w14:textId="103797E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Rikompozimi i më shumë se gjysmës së portofolit të garancive të emetuara në favor të Korporatës Elektroenergj</w:t>
      </w:r>
      <w:r w:rsidR="00B03044" w:rsidRPr="00EC6AB6">
        <w:rPr>
          <w:rFonts w:ascii="Garamond" w:hAnsi="Garamond"/>
          <w:sz w:val="24"/>
          <w:szCs w:val="24"/>
          <w:lang w:val="sq-AL"/>
        </w:rPr>
        <w:t>e</w:t>
      </w:r>
      <w:r w:rsidRPr="00EC6AB6">
        <w:rPr>
          <w:rFonts w:ascii="Garamond" w:hAnsi="Garamond"/>
          <w:sz w:val="24"/>
          <w:szCs w:val="24"/>
          <w:lang w:val="sq-AL"/>
        </w:rPr>
        <w:t>tike Shqiptare (KESH sh.a.) nga linja huaje afatshkurtra në hua afatgjatë, ka zbutur ndjeshëm riskun e rifinancimit të detyrimeve të kësaj kompanie, i cili mund të buronte nga risku sistemik i sektorit bankar ose ndryshimi i politikave investuese të bankave që kishin financuar linjat e huave. Rrjedhimisht, edhe risku në buxhetin e qeverisë qendrore për materializimin e këtyre detyrimeve nga detyrime indirekte në detyrime të drejtpërdrejta është reduktuar.</w:t>
      </w:r>
    </w:p>
    <w:p w14:paraId="4333B899" w14:textId="77777777" w:rsidR="008B3748" w:rsidRPr="00EC6AB6" w:rsidRDefault="008B3748" w:rsidP="008B3748">
      <w:pPr>
        <w:spacing w:after="0" w:line="240" w:lineRule="auto"/>
        <w:rPr>
          <w:rFonts w:ascii="Garamond" w:hAnsi="Garamond"/>
          <w:sz w:val="24"/>
          <w:szCs w:val="24"/>
          <w:highlight w:val="yellow"/>
          <w:lang w:val="sq-AL"/>
        </w:rPr>
      </w:pPr>
      <w:r w:rsidRPr="00EC6AB6">
        <w:rPr>
          <w:rFonts w:ascii="Garamond" w:hAnsi="Garamond"/>
          <w:sz w:val="24"/>
          <w:szCs w:val="24"/>
          <w:lang w:val="sq-AL"/>
        </w:rPr>
        <w:t>Megjithatë, risku nga detyrimet kontigjente në buxhetin e shtetit vijon të jetë i konsiderueshëm, pasi më shumë se 65% e garancive shtetërore i përkasin sektorit të energjisë, duke e bërë buxhetin të ndjeshëm ndaj çdo risku që mund të paraqesë ky sektor</w:t>
      </w:r>
    </w:p>
    <w:p w14:paraId="4333B89A" w14:textId="5D395575" w:rsidR="008B3748" w:rsidRPr="00EC6AB6" w:rsidRDefault="005C2434" w:rsidP="008B3748">
      <w:pPr>
        <w:spacing w:after="0" w:line="240" w:lineRule="auto"/>
        <w:rPr>
          <w:rFonts w:ascii="Garamond" w:hAnsi="Garamond"/>
          <w:sz w:val="24"/>
          <w:szCs w:val="24"/>
          <w:lang w:val="sq-AL"/>
        </w:rPr>
      </w:pPr>
      <w:bookmarkStart w:id="36" w:name="_Toc480457957"/>
      <w:bookmarkStart w:id="37" w:name="_Toc60129454"/>
      <w:bookmarkStart w:id="38" w:name="_Toc491954302"/>
      <w:bookmarkStart w:id="39" w:name="_Toc491860989"/>
      <w:r w:rsidRPr="00EC6AB6">
        <w:rPr>
          <w:rFonts w:ascii="Garamond" w:hAnsi="Garamond"/>
          <w:sz w:val="24"/>
          <w:szCs w:val="24"/>
          <w:lang w:val="sq-AL"/>
        </w:rPr>
        <w:t xml:space="preserve">5. </w:t>
      </w:r>
      <w:r w:rsidR="008B3748" w:rsidRPr="00EC6AB6">
        <w:rPr>
          <w:rFonts w:ascii="Garamond" w:hAnsi="Garamond"/>
          <w:sz w:val="24"/>
          <w:szCs w:val="24"/>
          <w:lang w:val="sq-AL"/>
        </w:rPr>
        <w:t>Menaxhimi i</w:t>
      </w:r>
      <w:bookmarkEnd w:id="36"/>
      <w:r w:rsidR="008B3748" w:rsidRPr="00EC6AB6">
        <w:rPr>
          <w:rFonts w:ascii="Garamond" w:hAnsi="Garamond"/>
          <w:sz w:val="24"/>
          <w:szCs w:val="24"/>
          <w:lang w:val="sq-AL"/>
        </w:rPr>
        <w:t xml:space="preserve"> </w:t>
      </w:r>
      <w:r w:rsidR="00B03044" w:rsidRPr="00EC6AB6">
        <w:rPr>
          <w:rFonts w:ascii="Garamond" w:hAnsi="Garamond"/>
          <w:sz w:val="24"/>
          <w:szCs w:val="24"/>
          <w:lang w:val="sq-AL"/>
        </w:rPr>
        <w:t>kostove dhe i risqeve</w:t>
      </w:r>
      <w:bookmarkEnd w:id="37"/>
      <w:bookmarkEnd w:id="38"/>
      <w:bookmarkEnd w:id="39"/>
      <w:r w:rsidR="00B03044" w:rsidRPr="00EC6AB6">
        <w:rPr>
          <w:rFonts w:ascii="Garamond" w:hAnsi="Garamond"/>
          <w:sz w:val="24"/>
          <w:szCs w:val="24"/>
          <w:lang w:val="sq-AL"/>
        </w:rPr>
        <w:t xml:space="preserve"> </w:t>
      </w:r>
    </w:p>
    <w:p w14:paraId="4333B89B" w14:textId="62BEA9E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Gjatë viteve të fundit, portofoli i borxhit shtetëror është karakterizuar nga përmirësimi i raportit midis kostos dhe risqeve. Kosto</w:t>
      </w:r>
      <w:r w:rsidR="00A82234" w:rsidRPr="00EC6AB6">
        <w:rPr>
          <w:rFonts w:ascii="Garamond" w:hAnsi="Garamond"/>
          <w:sz w:val="24"/>
          <w:szCs w:val="24"/>
          <w:lang w:val="sq-AL"/>
        </w:rPr>
        <w:t>ja</w:t>
      </w:r>
      <w:r w:rsidRPr="00EC6AB6">
        <w:rPr>
          <w:rFonts w:ascii="Garamond" w:hAnsi="Garamond"/>
          <w:sz w:val="24"/>
          <w:szCs w:val="24"/>
          <w:lang w:val="sq-AL"/>
        </w:rPr>
        <w:t xml:space="preserve"> e borxhit është ulur ndjeshëm dhe struktura e borxhit është përmirësuar, kryesisht në aspektin e reduktimit të ekspozimit ndaj riskut të rifinancimit dhe riskut të normave të interesit. </w:t>
      </w:r>
    </w:p>
    <w:p w14:paraId="4333B89C" w14:textId="77807DF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Përmirësimi i raportit ndërmjet kostos dhe riskut ka ardhur jo vetëm si rezultat i mirëmenaxhimit</w:t>
      </w:r>
      <w:r w:rsidR="00E90DFE" w:rsidRPr="00EC6AB6">
        <w:rPr>
          <w:rFonts w:ascii="Garamond" w:hAnsi="Garamond"/>
          <w:sz w:val="24"/>
          <w:szCs w:val="24"/>
          <w:lang w:val="sq-AL"/>
        </w:rPr>
        <w:t>,</w:t>
      </w:r>
      <w:r w:rsidRPr="00EC6AB6">
        <w:rPr>
          <w:rFonts w:ascii="Garamond" w:hAnsi="Garamond"/>
          <w:sz w:val="24"/>
          <w:szCs w:val="24"/>
          <w:lang w:val="sq-AL"/>
        </w:rPr>
        <w:t xml:space="preserve"> në përputhje me objektivat strategjikë, por edhe si rezultat i kushteve të favorshme të tregjeve dhe faktorëve makroekonomikë të vendit, të tillë si:</w:t>
      </w:r>
    </w:p>
    <w:p w14:paraId="4333B89D" w14:textId="130FD398"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E90DFE" w:rsidRPr="00EC6AB6">
        <w:rPr>
          <w:rFonts w:ascii="Garamond" w:hAnsi="Garamond"/>
          <w:sz w:val="24"/>
          <w:szCs w:val="24"/>
          <w:lang w:val="sq-AL"/>
        </w:rPr>
        <w:t xml:space="preserve">ulja </w:t>
      </w:r>
      <w:r w:rsidR="008B3748" w:rsidRPr="00EC6AB6">
        <w:rPr>
          <w:rFonts w:ascii="Garamond" w:hAnsi="Garamond"/>
          <w:sz w:val="24"/>
          <w:szCs w:val="24"/>
          <w:lang w:val="sq-AL"/>
        </w:rPr>
        <w:t>e normave bazë të interesit në tregun e brendshëm dhe atë të huaj, si rezultat i politikave monetare lehtësuese të bankave qendrore;</w:t>
      </w:r>
    </w:p>
    <w:p w14:paraId="4333B89E" w14:textId="463EF9CF"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E90DFE" w:rsidRPr="00EC6AB6">
        <w:rPr>
          <w:rFonts w:ascii="Garamond" w:hAnsi="Garamond"/>
          <w:sz w:val="24"/>
          <w:szCs w:val="24"/>
          <w:lang w:val="sq-AL"/>
        </w:rPr>
        <w:t xml:space="preserve">disponueshmëria </w:t>
      </w:r>
      <w:r w:rsidR="008B3748" w:rsidRPr="00EC6AB6">
        <w:rPr>
          <w:rFonts w:ascii="Garamond" w:hAnsi="Garamond"/>
          <w:sz w:val="24"/>
          <w:szCs w:val="24"/>
          <w:lang w:val="sq-AL"/>
        </w:rPr>
        <w:t xml:space="preserve">në nivele të konsiderueshme e burimeve të huaja të financimit nga kreditorë dypalësh dhe shumëpalësh, me norma interesi të favorshme (koncesionale); </w:t>
      </w:r>
    </w:p>
    <w:p w14:paraId="4333B89F" w14:textId="46EEBF93"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E90DFE" w:rsidRPr="00EC6AB6">
        <w:rPr>
          <w:rFonts w:ascii="Garamond" w:hAnsi="Garamond"/>
          <w:sz w:val="24"/>
          <w:szCs w:val="24"/>
          <w:lang w:val="sq-AL"/>
        </w:rPr>
        <w:t xml:space="preserve">kërkesa </w:t>
      </w:r>
      <w:r w:rsidR="008B3748" w:rsidRPr="00EC6AB6">
        <w:rPr>
          <w:rFonts w:ascii="Garamond" w:hAnsi="Garamond"/>
          <w:sz w:val="24"/>
          <w:szCs w:val="24"/>
          <w:lang w:val="sq-AL"/>
        </w:rPr>
        <w:t>e kënaqshme për titujt shtetërorë afatgjatë me norma interesi fikse;</w:t>
      </w:r>
    </w:p>
    <w:p w14:paraId="4333B8A0" w14:textId="13F608E4"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E90DFE" w:rsidRPr="00EC6AB6">
        <w:rPr>
          <w:rFonts w:ascii="Garamond" w:hAnsi="Garamond"/>
          <w:sz w:val="24"/>
          <w:szCs w:val="24"/>
          <w:lang w:val="sq-AL"/>
        </w:rPr>
        <w:t xml:space="preserve">ulja </w:t>
      </w:r>
      <w:r w:rsidR="008B3748" w:rsidRPr="00EC6AB6">
        <w:rPr>
          <w:rFonts w:ascii="Garamond" w:hAnsi="Garamond"/>
          <w:sz w:val="24"/>
          <w:szCs w:val="24"/>
          <w:lang w:val="sq-AL"/>
        </w:rPr>
        <w:t>e kursit të këmbimit</w:t>
      </w:r>
      <w:r w:rsidR="00FA2519" w:rsidRPr="00EC6AB6">
        <w:rPr>
          <w:rFonts w:ascii="Garamond" w:hAnsi="Garamond"/>
          <w:sz w:val="24"/>
          <w:szCs w:val="24"/>
          <w:lang w:val="sq-AL"/>
        </w:rPr>
        <w:t xml:space="preserve"> </w:t>
      </w:r>
      <w:r w:rsidR="00E90DFE" w:rsidRPr="00EC6AB6">
        <w:rPr>
          <w:rFonts w:ascii="Garamond" w:hAnsi="Garamond"/>
          <w:sz w:val="24"/>
          <w:szCs w:val="24"/>
          <w:lang w:val="sq-AL"/>
        </w:rPr>
        <w:t xml:space="preserve">EURO/LEK </w:t>
      </w:r>
      <w:r w:rsidR="008B3748" w:rsidRPr="00EC6AB6">
        <w:rPr>
          <w:rFonts w:ascii="Garamond" w:hAnsi="Garamond"/>
          <w:sz w:val="24"/>
          <w:szCs w:val="24"/>
          <w:lang w:val="sq-AL"/>
        </w:rPr>
        <w:t>dhe lëvizja e këtij kursi përgjithësisht në drejtim të kundërt me kursin USD/LEK.</w:t>
      </w:r>
    </w:p>
    <w:p w14:paraId="4333B8A1"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Pavarësisht përmirësimeve të mësipërme, niveli relativisht i lartë i borxhit shoqëruar me ndjeshmërinë nga faktorët e jashtëm, bëjnë që risqet të jenë ende të konsiderueshme dhe masat për reduktimin e mëtejshëm të jenë të nevojshme.</w:t>
      </w:r>
    </w:p>
    <w:p w14:paraId="4333B8A2" w14:textId="77777777" w:rsidR="008B3748" w:rsidRPr="00EC6AB6" w:rsidRDefault="005C2434" w:rsidP="008B3748">
      <w:pPr>
        <w:spacing w:after="0" w:line="240" w:lineRule="auto"/>
        <w:rPr>
          <w:rFonts w:ascii="Garamond" w:hAnsi="Garamond"/>
          <w:sz w:val="24"/>
          <w:szCs w:val="24"/>
          <w:lang w:val="sq-AL"/>
        </w:rPr>
      </w:pPr>
      <w:bookmarkStart w:id="40" w:name="_Toc60129455"/>
      <w:bookmarkStart w:id="41" w:name="_Toc491954303"/>
      <w:bookmarkStart w:id="42" w:name="_Toc491860990"/>
      <w:r w:rsidRPr="00EC6AB6">
        <w:rPr>
          <w:rFonts w:ascii="Garamond" w:hAnsi="Garamond"/>
          <w:sz w:val="24"/>
          <w:szCs w:val="24"/>
          <w:lang w:val="sq-AL"/>
        </w:rPr>
        <w:t xml:space="preserve">5.1 </w:t>
      </w:r>
      <w:r w:rsidR="008B3748" w:rsidRPr="00EC6AB6">
        <w:rPr>
          <w:rFonts w:ascii="Garamond" w:hAnsi="Garamond"/>
          <w:sz w:val="24"/>
          <w:szCs w:val="24"/>
          <w:lang w:val="sq-AL"/>
        </w:rPr>
        <w:t>Kostot</w:t>
      </w:r>
      <w:bookmarkEnd w:id="40"/>
      <w:bookmarkEnd w:id="41"/>
      <w:bookmarkEnd w:id="42"/>
      <w:r w:rsidR="008B3748" w:rsidRPr="00EC6AB6">
        <w:rPr>
          <w:rFonts w:ascii="Garamond" w:hAnsi="Garamond"/>
          <w:sz w:val="24"/>
          <w:szCs w:val="24"/>
          <w:lang w:val="sq-AL"/>
        </w:rPr>
        <w:t xml:space="preserve"> </w:t>
      </w:r>
    </w:p>
    <w:p w14:paraId="4333B8A3" w14:textId="0238C3B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Shpenzimet për interesa të borxhit shtetëror ndaj të ardhurave tatimore dhe PBB</w:t>
      </w:r>
      <w:r w:rsidR="00DF5A19" w:rsidRPr="00EC6AB6">
        <w:rPr>
          <w:rFonts w:ascii="Garamond" w:hAnsi="Garamond"/>
          <w:sz w:val="24"/>
          <w:szCs w:val="24"/>
          <w:lang w:val="sq-AL"/>
        </w:rPr>
        <w:t>-së</w:t>
      </w:r>
      <w:r w:rsidRPr="00EC6AB6">
        <w:rPr>
          <w:rFonts w:ascii="Garamond" w:hAnsi="Garamond"/>
          <w:sz w:val="24"/>
          <w:szCs w:val="24"/>
          <w:lang w:val="sq-AL"/>
        </w:rPr>
        <w:t>, gjatë viteve të fundit kanë ndjekur një trajektore rënëse, duke përjashtuar këtu vitin 2018 dhe vitin 2020. Gjatë vitit 2018 është shënuar rritje e shpenzimeve për interesa</w:t>
      </w:r>
      <w:r w:rsidR="00DF5A19" w:rsidRPr="00EC6AB6">
        <w:rPr>
          <w:rFonts w:ascii="Garamond" w:hAnsi="Garamond"/>
          <w:sz w:val="24"/>
          <w:szCs w:val="24"/>
          <w:lang w:val="sq-AL"/>
        </w:rPr>
        <w:t>,</w:t>
      </w:r>
      <w:r w:rsidRPr="00EC6AB6">
        <w:rPr>
          <w:rFonts w:ascii="Garamond" w:hAnsi="Garamond"/>
          <w:sz w:val="24"/>
          <w:szCs w:val="24"/>
          <w:lang w:val="sq-AL"/>
        </w:rPr>
        <w:t xml:space="preserve"> e cila është ndikuar kryesisht nga rritja e stokut të borxhit në vlerë absolute dhe efekti i parablerjes së </w:t>
      </w:r>
      <w:r w:rsidR="00E9550A" w:rsidRPr="00EC6AB6">
        <w:rPr>
          <w:rFonts w:ascii="Garamond" w:hAnsi="Garamond"/>
          <w:sz w:val="24"/>
          <w:szCs w:val="24"/>
          <w:lang w:val="sq-AL"/>
        </w:rPr>
        <w:t xml:space="preserve">eurobondit </w:t>
      </w:r>
      <w:r w:rsidRPr="00EC6AB6">
        <w:rPr>
          <w:rFonts w:ascii="Garamond" w:hAnsi="Garamond"/>
          <w:sz w:val="24"/>
          <w:szCs w:val="24"/>
          <w:lang w:val="sq-AL"/>
        </w:rPr>
        <w:t xml:space="preserve">që maturohet në vitin 2020. Gjatë vitit 2020, shpenzimet e interesave në vlerë nominale parashikohen të rriten me rreth </w:t>
      </w:r>
      <w:r w:rsidRPr="00BC58E6">
        <w:rPr>
          <w:rFonts w:ascii="Garamond" w:hAnsi="Garamond"/>
          <w:sz w:val="24"/>
          <w:szCs w:val="24"/>
          <w:lang w:val="sq-AL"/>
        </w:rPr>
        <w:t xml:space="preserve">1 miliard </w:t>
      </w:r>
      <w:r w:rsidR="00DF5A19" w:rsidRPr="00BC58E6">
        <w:rPr>
          <w:rFonts w:ascii="Garamond" w:hAnsi="Garamond"/>
          <w:sz w:val="24"/>
          <w:szCs w:val="24"/>
          <w:lang w:val="sq-AL"/>
        </w:rPr>
        <w:t>lek</w:t>
      </w:r>
      <w:r w:rsidR="00DF5A19" w:rsidRPr="00EC6AB6">
        <w:rPr>
          <w:rFonts w:ascii="Garamond" w:hAnsi="Garamond"/>
          <w:sz w:val="24"/>
          <w:szCs w:val="24"/>
          <w:lang w:val="sq-AL"/>
        </w:rPr>
        <w:t xml:space="preserve"> </w:t>
      </w:r>
      <w:r w:rsidRPr="00EC6AB6">
        <w:rPr>
          <w:rFonts w:ascii="Garamond" w:hAnsi="Garamond"/>
          <w:sz w:val="24"/>
          <w:szCs w:val="24"/>
          <w:lang w:val="sq-AL"/>
        </w:rPr>
        <w:t>krahasuar me fundin e vitit 2019, ndërkohë rritja e raportit interesa ndaj të ardhurave tatimore ka ardhur kryesisht nga ulja e të ardhurave gjatë vitit 2020</w:t>
      </w:r>
      <w:r w:rsidR="00C86817" w:rsidRPr="00EC6AB6">
        <w:rPr>
          <w:rFonts w:ascii="Garamond" w:hAnsi="Garamond"/>
          <w:sz w:val="24"/>
          <w:szCs w:val="24"/>
          <w:lang w:val="sq-AL"/>
        </w:rPr>
        <w:t>,</w:t>
      </w:r>
      <w:r w:rsidRPr="00EC6AB6">
        <w:rPr>
          <w:rFonts w:ascii="Garamond" w:hAnsi="Garamond"/>
          <w:sz w:val="24"/>
          <w:szCs w:val="24"/>
          <w:lang w:val="sq-AL"/>
        </w:rPr>
        <w:t xml:space="preserve"> si rezultat i situatës së krijuar nga përhapja e pandemisë </w:t>
      </w:r>
      <w:r w:rsidR="006E631A" w:rsidRPr="00EC6AB6">
        <w:rPr>
          <w:rFonts w:ascii="Garamond" w:hAnsi="Garamond"/>
          <w:sz w:val="24"/>
          <w:szCs w:val="24"/>
          <w:lang w:val="sq-AL"/>
        </w:rPr>
        <w:t>COVID-19</w:t>
      </w:r>
      <w:r w:rsidRPr="00EC6AB6">
        <w:rPr>
          <w:rFonts w:ascii="Garamond" w:hAnsi="Garamond"/>
          <w:sz w:val="24"/>
          <w:szCs w:val="24"/>
          <w:lang w:val="sq-AL"/>
        </w:rPr>
        <w:t xml:space="preserve">. </w:t>
      </w:r>
    </w:p>
    <w:p w14:paraId="4333B8A4" w14:textId="77777777" w:rsidR="008B3748" w:rsidRPr="00EC6AB6" w:rsidRDefault="008B3748" w:rsidP="008B3748">
      <w:pPr>
        <w:spacing w:after="0" w:line="240" w:lineRule="auto"/>
        <w:rPr>
          <w:rFonts w:ascii="Garamond" w:hAnsi="Garamond"/>
          <w:sz w:val="24"/>
          <w:szCs w:val="24"/>
          <w:lang w:val="sq-AL"/>
        </w:rPr>
      </w:pPr>
    </w:p>
    <w:p w14:paraId="4333B8A5" w14:textId="5D3255E7" w:rsidR="008B3748" w:rsidRPr="00EC6AB6" w:rsidRDefault="008B3748" w:rsidP="0015529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5.1(a): Interesat e borxhit shtetëror në vlerë absolute dhe relative ndaj PBB</w:t>
      </w:r>
      <w:r w:rsidR="00155298" w:rsidRPr="00EC6AB6">
        <w:rPr>
          <w:rFonts w:ascii="Garamond" w:hAnsi="Garamond"/>
          <w:b/>
          <w:i/>
          <w:sz w:val="20"/>
          <w:szCs w:val="20"/>
          <w:lang w:val="sq-AL"/>
        </w:rPr>
        <w:t>-së</w:t>
      </w:r>
      <w:r w:rsidRPr="00EC6AB6">
        <w:rPr>
          <w:rFonts w:ascii="Garamond" w:hAnsi="Garamond"/>
          <w:b/>
          <w:i/>
          <w:sz w:val="20"/>
          <w:szCs w:val="20"/>
          <w:lang w:val="sq-AL"/>
        </w:rPr>
        <w:t xml:space="preserve"> dhe të ardhurave tatimore (2016</w:t>
      </w:r>
      <w:r w:rsidR="00155298" w:rsidRPr="00EC6AB6">
        <w:rPr>
          <w:rFonts w:ascii="Garamond" w:hAnsi="Garamond"/>
          <w:b/>
          <w:i/>
          <w:sz w:val="20"/>
          <w:szCs w:val="20"/>
          <w:lang w:val="sq-AL"/>
        </w:rPr>
        <w:t>–</w:t>
      </w:r>
      <w:r w:rsidRPr="00EC6AB6">
        <w:rPr>
          <w:rFonts w:ascii="Garamond" w:hAnsi="Garamond"/>
          <w:b/>
          <w:i/>
          <w:sz w:val="20"/>
          <w:szCs w:val="20"/>
          <w:lang w:val="sq-AL"/>
        </w:rPr>
        <w:t>2020)</w:t>
      </w:r>
    </w:p>
    <w:p w14:paraId="4333B8A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noProof/>
          <w:sz w:val="24"/>
          <w:szCs w:val="24"/>
        </w:rPr>
        <w:lastRenderedPageBreak/>
        <w:drawing>
          <wp:inline distT="0" distB="0" distL="0" distR="0" wp14:anchorId="4333BB58" wp14:editId="146CD919">
            <wp:extent cx="5764530" cy="2019935"/>
            <wp:effectExtent l="0" t="0" r="7620" b="18415"/>
            <wp:docPr id="45" name="Chart 45">
              <a:extLst xmlns:a="http://schemas.openxmlformats.org/drawingml/2006/main">
                <a:ext uri="{FF2B5EF4-FFF2-40B4-BE49-F238E27FC236}">
                  <a16:creationId xmlns:lc="http://schemas.openxmlformats.org/drawingml/2006/lockedCanva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w15="http://schemas.microsoft.com/office/word/2012/wordml"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333B8A7"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A8" w14:textId="77777777" w:rsidR="008B3748" w:rsidRPr="00EC6AB6" w:rsidRDefault="008B3748" w:rsidP="008B3748">
      <w:pPr>
        <w:spacing w:after="0" w:line="240" w:lineRule="auto"/>
        <w:rPr>
          <w:rFonts w:ascii="Garamond" w:hAnsi="Garamond"/>
          <w:sz w:val="24"/>
          <w:szCs w:val="24"/>
          <w:lang w:val="sq-AL"/>
        </w:rPr>
      </w:pPr>
    </w:p>
    <w:p w14:paraId="4333B8A9" w14:textId="1D220F7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Kosto</w:t>
      </w:r>
      <w:r w:rsidR="00C86817" w:rsidRPr="00EC6AB6">
        <w:rPr>
          <w:rFonts w:ascii="Garamond" w:hAnsi="Garamond"/>
          <w:sz w:val="24"/>
          <w:szCs w:val="24"/>
          <w:lang w:val="sq-AL"/>
        </w:rPr>
        <w:t>ja</w:t>
      </w:r>
      <w:r w:rsidRPr="00EC6AB6">
        <w:rPr>
          <w:rFonts w:ascii="Garamond" w:hAnsi="Garamond"/>
          <w:sz w:val="24"/>
          <w:szCs w:val="24"/>
          <w:lang w:val="sq-AL"/>
        </w:rPr>
        <w:t xml:space="preserve"> mesatare e borxhit të brendshëm (norma mesatare e ponderuar) ka ardhur në rënie, megjithëse në portofolin e borxhit është rritur ndjeshëm përqendrimi i titujve afatgjatë, duke reflektuar një përmirësim në raportin ndërmjet kostos dhe riskut. Ulja e kostos mesatare ka ardhur për shkak të rënies së vazhdueshme të normave të interesit në tregun e brendshëm dhe zëvendësimit të borxhit që maturohet me borxh me norma interesi më të favorshme.</w:t>
      </w:r>
    </w:p>
    <w:p w14:paraId="4333B8AA" w14:textId="45BE153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dallim nga borxhi i brendshëm, kosto</w:t>
      </w:r>
      <w:r w:rsidR="00E0674A" w:rsidRPr="00EC6AB6">
        <w:rPr>
          <w:rFonts w:ascii="Garamond" w:hAnsi="Garamond"/>
          <w:sz w:val="24"/>
          <w:szCs w:val="24"/>
          <w:lang w:val="sq-AL"/>
        </w:rPr>
        <w:t>ja</w:t>
      </w:r>
      <w:r w:rsidRPr="00EC6AB6">
        <w:rPr>
          <w:rFonts w:ascii="Garamond" w:hAnsi="Garamond"/>
          <w:sz w:val="24"/>
          <w:szCs w:val="24"/>
          <w:lang w:val="sq-AL"/>
        </w:rPr>
        <w:t xml:space="preserve"> mesatare e borxhit të jashtëm ndër vite ka qenë më e qëndrueshme. Portofoli i borxhit të jashtëm ka kosto më të ulët se borxhi i brendshëm, pasi burimet dypalëshe dhe shumëpalëshe të huamarrjes së huaj kanë mundësuar terma të favorsh</w:t>
      </w:r>
      <w:r w:rsidR="007B68FE" w:rsidRPr="00EC6AB6">
        <w:rPr>
          <w:rFonts w:ascii="Garamond" w:hAnsi="Garamond"/>
          <w:sz w:val="24"/>
          <w:szCs w:val="24"/>
          <w:lang w:val="sq-AL"/>
        </w:rPr>
        <w:t>ë</w:t>
      </w:r>
      <w:r w:rsidRPr="00EC6AB6">
        <w:rPr>
          <w:rFonts w:ascii="Garamond" w:hAnsi="Garamond"/>
          <w:sz w:val="24"/>
          <w:szCs w:val="24"/>
          <w:lang w:val="sq-AL"/>
        </w:rPr>
        <w:t xml:space="preserve">m financimi, ndërkohë që edhe instrumentet e tregtueshme si </w:t>
      </w:r>
      <w:r w:rsidR="00E9550A" w:rsidRPr="00EC6AB6">
        <w:rPr>
          <w:rFonts w:ascii="Garamond" w:hAnsi="Garamond"/>
          <w:sz w:val="24"/>
          <w:szCs w:val="24"/>
          <w:lang w:val="sq-AL"/>
        </w:rPr>
        <w:t xml:space="preserve">eurobondi </w:t>
      </w:r>
      <w:r w:rsidRPr="00EC6AB6">
        <w:rPr>
          <w:rFonts w:ascii="Garamond" w:hAnsi="Garamond"/>
          <w:sz w:val="24"/>
          <w:szCs w:val="24"/>
          <w:lang w:val="sq-AL"/>
        </w:rPr>
        <w:t xml:space="preserve">emetohen në tregje shumë më konkurruese dhe likuide se tregu </w:t>
      </w:r>
      <w:r w:rsidR="002B79A7" w:rsidRPr="00EC6AB6">
        <w:rPr>
          <w:rFonts w:ascii="Garamond" w:hAnsi="Garamond"/>
          <w:sz w:val="24"/>
          <w:szCs w:val="24"/>
          <w:lang w:val="sq-AL"/>
        </w:rPr>
        <w:t>vendës</w:t>
      </w:r>
      <w:r w:rsidRPr="00EC6AB6">
        <w:rPr>
          <w:rFonts w:ascii="Garamond" w:hAnsi="Garamond"/>
          <w:sz w:val="24"/>
          <w:szCs w:val="24"/>
          <w:lang w:val="sq-AL"/>
        </w:rPr>
        <w:t>.</w:t>
      </w:r>
    </w:p>
    <w:p w14:paraId="4333B8AB" w14:textId="77777777" w:rsidR="008B3748" w:rsidRPr="00EC6AB6" w:rsidRDefault="008B3748" w:rsidP="008B3748">
      <w:pPr>
        <w:spacing w:after="0" w:line="240" w:lineRule="auto"/>
        <w:rPr>
          <w:rFonts w:ascii="Garamond" w:hAnsi="Garamond"/>
          <w:sz w:val="24"/>
          <w:szCs w:val="24"/>
          <w:lang w:val="sq-AL"/>
        </w:rPr>
      </w:pPr>
    </w:p>
    <w:p w14:paraId="4333B8AC" w14:textId="7382C468" w:rsidR="008B3748" w:rsidRPr="00EC6AB6" w:rsidRDefault="008B3748" w:rsidP="0015529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5.1(b): Kosto</w:t>
      </w:r>
      <w:r w:rsidR="00155298" w:rsidRPr="00EC6AB6">
        <w:rPr>
          <w:rFonts w:ascii="Garamond" w:hAnsi="Garamond"/>
          <w:b/>
          <w:i/>
          <w:sz w:val="20"/>
          <w:szCs w:val="20"/>
          <w:lang w:val="sq-AL"/>
        </w:rPr>
        <w:t>ja</w:t>
      </w:r>
      <w:r w:rsidRPr="00EC6AB6">
        <w:rPr>
          <w:rFonts w:ascii="Garamond" w:hAnsi="Garamond"/>
          <w:b/>
          <w:i/>
          <w:sz w:val="20"/>
          <w:szCs w:val="20"/>
          <w:lang w:val="sq-AL"/>
        </w:rPr>
        <w:t xml:space="preserve"> mesatare për njësi e borxhit të brendshëm dhe të jashtëm (2016</w:t>
      </w:r>
      <w:r w:rsidR="00155298" w:rsidRPr="00EC6AB6">
        <w:rPr>
          <w:rFonts w:ascii="Garamond" w:hAnsi="Garamond"/>
          <w:b/>
          <w:i/>
          <w:sz w:val="20"/>
          <w:szCs w:val="20"/>
          <w:lang w:val="sq-AL"/>
        </w:rPr>
        <w:t>–</w:t>
      </w:r>
      <w:r w:rsidRPr="00EC6AB6">
        <w:rPr>
          <w:rFonts w:ascii="Garamond" w:hAnsi="Garamond"/>
          <w:b/>
          <w:i/>
          <w:sz w:val="20"/>
          <w:szCs w:val="20"/>
          <w:lang w:val="sq-AL"/>
        </w:rPr>
        <w:t>2020)</w:t>
      </w:r>
    </w:p>
    <w:p w14:paraId="4333B8AD"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5A" wp14:editId="4333BB5B">
            <wp:extent cx="5955665" cy="1924050"/>
            <wp:effectExtent l="0" t="0" r="26035"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333B8AF" w14:textId="77777777" w:rsidR="008B3748" w:rsidRPr="00EC6AB6" w:rsidRDefault="008B3748" w:rsidP="005C2434">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B0" w14:textId="77777777" w:rsidR="005C2434" w:rsidRPr="00EC6AB6" w:rsidRDefault="005C2434" w:rsidP="008B3748">
      <w:pPr>
        <w:spacing w:after="0" w:line="240" w:lineRule="auto"/>
        <w:rPr>
          <w:rFonts w:ascii="Garamond" w:hAnsi="Garamond"/>
          <w:sz w:val="24"/>
          <w:szCs w:val="24"/>
          <w:lang w:val="sq-AL"/>
        </w:rPr>
      </w:pPr>
      <w:bookmarkStart w:id="43" w:name="_Toc480457959"/>
      <w:bookmarkStart w:id="44" w:name="_Toc60129457"/>
      <w:bookmarkStart w:id="45" w:name="_Toc491954306"/>
      <w:bookmarkStart w:id="46" w:name="_Toc491860993"/>
    </w:p>
    <w:p w14:paraId="4333B8B1" w14:textId="77777777" w:rsidR="008B3748" w:rsidRPr="00EC6AB6" w:rsidRDefault="005C2434" w:rsidP="008B3748">
      <w:pPr>
        <w:spacing w:after="0" w:line="240" w:lineRule="auto"/>
        <w:rPr>
          <w:rFonts w:ascii="Garamond" w:hAnsi="Garamond"/>
          <w:sz w:val="24"/>
          <w:szCs w:val="24"/>
          <w:lang w:val="sq-AL"/>
        </w:rPr>
      </w:pPr>
      <w:r w:rsidRPr="00EC6AB6">
        <w:rPr>
          <w:rFonts w:ascii="Garamond" w:hAnsi="Garamond"/>
          <w:sz w:val="24"/>
          <w:szCs w:val="24"/>
          <w:lang w:val="sq-AL"/>
        </w:rPr>
        <w:t xml:space="preserve">5.2 </w:t>
      </w:r>
      <w:r w:rsidR="008B3748" w:rsidRPr="00EC6AB6">
        <w:rPr>
          <w:rFonts w:ascii="Garamond" w:hAnsi="Garamond"/>
          <w:sz w:val="24"/>
          <w:szCs w:val="24"/>
          <w:lang w:val="sq-AL"/>
        </w:rPr>
        <w:t>Risqet</w:t>
      </w:r>
      <w:bookmarkEnd w:id="43"/>
      <w:bookmarkEnd w:id="44"/>
      <w:bookmarkEnd w:id="45"/>
      <w:bookmarkEnd w:id="46"/>
    </w:p>
    <w:p w14:paraId="4333B8B2"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Ekspozimi i portofolit të borxhit ndaj risqeve është arritur të menaxhohet me sukses, në linjë me objektivat strategjikë afatmesëm. Ulja e peshës së titujve afatshkurtër dhe atyre me norma interesi të ndryshueshme në portofolin e borxhit të brendshëm, kanë qenë faktorët përcaktues në reduktimin e riskut të rifinancimit dhe riskut të normave të interesit. Megjithatë, duke konsideruar bazën e investitorëve jo shumë të diversifikuar dhe mungesën e një tregu sekondar aktiv, borxhi i brendshëm mbetet ende i ekspozuar ndaj këtyre risqeve, duke e bërë të nevojshme vazhdimin e masave për ristrukturimin e mëtejshëm të portofolit dhe zhvillimin e tregut të titujve. </w:t>
      </w:r>
    </w:p>
    <w:p w14:paraId="4333B8B3" w14:textId="2A530A9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Ndërkohë, risku i kursit të këmbimit vijon të mbahet nën kontroll</w:t>
      </w:r>
      <w:r w:rsidR="007B68FE" w:rsidRPr="00EC6AB6">
        <w:rPr>
          <w:rFonts w:ascii="Garamond" w:hAnsi="Garamond"/>
          <w:sz w:val="24"/>
          <w:szCs w:val="24"/>
          <w:lang w:val="sq-AL"/>
        </w:rPr>
        <w:t>,</w:t>
      </w:r>
      <w:r w:rsidRPr="00EC6AB6">
        <w:rPr>
          <w:rFonts w:ascii="Garamond" w:hAnsi="Garamond"/>
          <w:sz w:val="24"/>
          <w:szCs w:val="24"/>
          <w:lang w:val="sq-AL"/>
        </w:rPr>
        <w:t xml:space="preserve"> duke qëndruar nën kufirin strategjik. </w:t>
      </w:r>
    </w:p>
    <w:p w14:paraId="4333B8B4" w14:textId="77777777" w:rsidR="008B3748" w:rsidRPr="00EC6AB6" w:rsidRDefault="00FF5B7E" w:rsidP="008B3748">
      <w:pPr>
        <w:spacing w:after="0" w:line="240" w:lineRule="auto"/>
        <w:rPr>
          <w:rFonts w:ascii="Garamond" w:hAnsi="Garamond"/>
          <w:sz w:val="24"/>
          <w:szCs w:val="24"/>
          <w:lang w:val="sq-AL"/>
        </w:rPr>
      </w:pPr>
      <w:bookmarkStart w:id="47" w:name="_Toc491954307"/>
      <w:bookmarkStart w:id="48" w:name="_Toc491860994"/>
      <w:r w:rsidRPr="00EC6AB6">
        <w:rPr>
          <w:rFonts w:ascii="Garamond" w:hAnsi="Garamond"/>
          <w:sz w:val="24"/>
          <w:szCs w:val="24"/>
          <w:lang w:val="sq-AL"/>
        </w:rPr>
        <w:t xml:space="preserve">5.2.1 </w:t>
      </w:r>
      <w:r w:rsidR="008B3748" w:rsidRPr="00EC6AB6">
        <w:rPr>
          <w:rFonts w:ascii="Garamond" w:hAnsi="Garamond"/>
          <w:sz w:val="24"/>
          <w:szCs w:val="24"/>
          <w:lang w:val="sq-AL"/>
        </w:rPr>
        <w:t>Risku i rifinancimit</w:t>
      </w:r>
      <w:bookmarkEnd w:id="47"/>
      <w:bookmarkEnd w:id="48"/>
    </w:p>
    <w:p w14:paraId="4333B8B5" w14:textId="2374FE1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Një ndër objektivat kryesor</w:t>
      </w:r>
      <w:r w:rsidR="007B68FE" w:rsidRPr="00EC6AB6">
        <w:rPr>
          <w:rFonts w:ascii="Garamond" w:hAnsi="Garamond"/>
          <w:sz w:val="24"/>
          <w:szCs w:val="24"/>
          <w:lang w:val="sq-AL"/>
        </w:rPr>
        <w:t>ë</w:t>
      </w:r>
      <w:r w:rsidRPr="00EC6AB6">
        <w:rPr>
          <w:rFonts w:ascii="Garamond" w:hAnsi="Garamond"/>
          <w:sz w:val="24"/>
          <w:szCs w:val="24"/>
          <w:lang w:val="sq-AL"/>
        </w:rPr>
        <w:t xml:space="preserve"> të SAMB</w:t>
      </w:r>
      <w:r w:rsidR="007B68FE" w:rsidRPr="00EC6AB6">
        <w:rPr>
          <w:rFonts w:ascii="Garamond" w:hAnsi="Garamond"/>
          <w:sz w:val="24"/>
          <w:szCs w:val="24"/>
          <w:lang w:val="sq-AL"/>
        </w:rPr>
        <w:t>-së</w:t>
      </w:r>
      <w:r w:rsidRPr="00EC6AB6">
        <w:rPr>
          <w:rFonts w:ascii="Garamond" w:hAnsi="Garamond"/>
          <w:sz w:val="24"/>
          <w:szCs w:val="24"/>
          <w:lang w:val="sq-AL"/>
        </w:rPr>
        <w:t xml:space="preserve"> është reduktimi i riskut të rifinancimit</w:t>
      </w:r>
      <w:r w:rsidR="007B68FE" w:rsidRPr="00EC6AB6">
        <w:rPr>
          <w:rFonts w:ascii="Garamond" w:hAnsi="Garamond"/>
          <w:sz w:val="24"/>
          <w:szCs w:val="24"/>
          <w:lang w:val="sq-AL"/>
        </w:rPr>
        <w:t>,</w:t>
      </w:r>
      <w:r w:rsidRPr="00EC6AB6">
        <w:rPr>
          <w:rFonts w:ascii="Garamond" w:hAnsi="Garamond"/>
          <w:sz w:val="24"/>
          <w:szCs w:val="24"/>
          <w:lang w:val="sq-AL"/>
        </w:rPr>
        <w:t xml:space="preserve"> kryesisht në portofolin e borxhit të brendshëm, pasi borxhi i jashtëm paraqet më pak risk</w:t>
      </w:r>
      <w:r w:rsidR="007B68FE" w:rsidRPr="00EC6AB6">
        <w:rPr>
          <w:rFonts w:ascii="Garamond" w:hAnsi="Garamond"/>
          <w:sz w:val="24"/>
          <w:szCs w:val="24"/>
          <w:lang w:val="sq-AL"/>
        </w:rPr>
        <w:t>,</w:t>
      </w:r>
      <w:r w:rsidRPr="00EC6AB6">
        <w:rPr>
          <w:rFonts w:ascii="Garamond" w:hAnsi="Garamond"/>
          <w:sz w:val="24"/>
          <w:szCs w:val="24"/>
          <w:lang w:val="sq-AL"/>
        </w:rPr>
        <w:t xml:space="preserve"> duke qenë se është i përbërë nga instrumente me afat të gjatë maturimi dhe me profile amortizimi të shtrira gjatë në kohë.</w:t>
      </w:r>
    </w:p>
    <w:p w14:paraId="4333B8B6" w14:textId="40CB541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Risku i rifinancimit në portofolin e borxhit të brendshëm është reduktuar ndjeshëm gjatë viteve të fundit. Treguesit që vlerësojnë këtë risk kanë evoluar në drejtim të objektivave strategjikë. Ndikim në përmirësimin e riskut të rifinancimit të borxhit të brendshëm ka pasur ulja e peshës së </w:t>
      </w:r>
      <w:r w:rsidR="007B68FE" w:rsidRPr="00EC6AB6">
        <w:rPr>
          <w:rFonts w:ascii="Garamond" w:hAnsi="Garamond"/>
          <w:sz w:val="24"/>
          <w:szCs w:val="24"/>
          <w:lang w:val="sq-AL"/>
        </w:rPr>
        <w:t>instrumenteve</w:t>
      </w:r>
      <w:r w:rsidRPr="00EC6AB6">
        <w:rPr>
          <w:rFonts w:ascii="Garamond" w:hAnsi="Garamond"/>
          <w:sz w:val="24"/>
          <w:szCs w:val="24"/>
          <w:lang w:val="sq-AL"/>
        </w:rPr>
        <w:t xml:space="preserve"> afatshkurtra me rreth 7.3 pp në harkun kohor të 5 viteve (nga 39.4% në fund të vitit 2016 në 32.1% në shtator 2020). </w:t>
      </w:r>
    </w:p>
    <w:p w14:paraId="4333B8B7" w14:textId="77777777" w:rsidR="008B3748" w:rsidRPr="00EC6AB6" w:rsidRDefault="008B3748" w:rsidP="008B3748">
      <w:pPr>
        <w:spacing w:after="0" w:line="240" w:lineRule="auto"/>
        <w:rPr>
          <w:rFonts w:ascii="Garamond" w:hAnsi="Garamond"/>
          <w:sz w:val="24"/>
          <w:szCs w:val="24"/>
          <w:lang w:val="sq-AL"/>
        </w:rPr>
      </w:pPr>
    </w:p>
    <w:p w14:paraId="4333B8B8" w14:textId="2BFBF72A" w:rsidR="008B3748" w:rsidRPr="00EC6AB6" w:rsidRDefault="008B3748" w:rsidP="0015529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5.2.1: Ecuria e treguesve të riskut të rifinancimit (2016</w:t>
      </w:r>
      <w:r w:rsidR="00155298"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B9"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noProof/>
          <w:sz w:val="24"/>
          <w:szCs w:val="24"/>
        </w:rPr>
        <w:drawing>
          <wp:anchor distT="0" distB="0" distL="114300" distR="114300" simplePos="0" relativeHeight="251658255" behindDoc="1" locked="0" layoutInCell="1" allowOverlap="1" wp14:anchorId="4333BB5C" wp14:editId="4333BB5D">
            <wp:simplePos x="0" y="0"/>
            <wp:positionH relativeFrom="column">
              <wp:posOffset>2825115</wp:posOffset>
            </wp:positionH>
            <wp:positionV relativeFrom="paragraph">
              <wp:posOffset>154305</wp:posOffset>
            </wp:positionV>
            <wp:extent cx="2858770" cy="2294890"/>
            <wp:effectExtent l="0" t="0" r="0" b="0"/>
            <wp:wrapTight wrapText="bothSides">
              <wp:wrapPolygon edited="0">
                <wp:start x="7916" y="897"/>
                <wp:lineTo x="0" y="2331"/>
                <wp:lineTo x="0" y="3227"/>
                <wp:lineTo x="3023" y="4124"/>
                <wp:lineTo x="6909" y="6993"/>
                <wp:lineTo x="0" y="8607"/>
                <wp:lineTo x="0" y="9682"/>
                <wp:lineTo x="21015" y="9862"/>
                <wp:lineTo x="21015" y="12730"/>
                <wp:lineTo x="0" y="15599"/>
                <wp:lineTo x="144" y="17392"/>
                <wp:lineTo x="17992" y="18468"/>
                <wp:lineTo x="8924" y="19006"/>
                <wp:lineTo x="8924" y="20978"/>
                <wp:lineTo x="21015" y="21337"/>
                <wp:lineTo x="21446" y="21337"/>
                <wp:lineTo x="21446" y="1255"/>
                <wp:lineTo x="15545" y="897"/>
                <wp:lineTo x="7916" y="897"/>
              </wp:wrapPolygon>
            </wp:wrapTight>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page">
              <wp14:pctHeight>0</wp14:pctHeight>
            </wp14:sizeRelV>
          </wp:anchor>
        </w:drawing>
      </w:r>
      <w:r w:rsidRPr="00EC6AB6">
        <w:rPr>
          <w:rFonts w:ascii="Garamond" w:hAnsi="Garamond"/>
          <w:noProof/>
          <w:sz w:val="24"/>
          <w:szCs w:val="24"/>
        </w:rPr>
        <w:drawing>
          <wp:anchor distT="0" distB="0" distL="114300" distR="114300" simplePos="0" relativeHeight="251658256" behindDoc="1" locked="0" layoutInCell="1" allowOverlap="1" wp14:anchorId="4333BB5E" wp14:editId="4333BB5F">
            <wp:simplePos x="0" y="0"/>
            <wp:positionH relativeFrom="column">
              <wp:posOffset>22860</wp:posOffset>
            </wp:positionH>
            <wp:positionV relativeFrom="paragraph">
              <wp:posOffset>148590</wp:posOffset>
            </wp:positionV>
            <wp:extent cx="2848610" cy="2305050"/>
            <wp:effectExtent l="0" t="0" r="8890" b="0"/>
            <wp:wrapTight wrapText="bothSides">
              <wp:wrapPolygon edited="0">
                <wp:start x="4767" y="714"/>
                <wp:lineTo x="289" y="1250"/>
                <wp:lineTo x="0" y="1428"/>
                <wp:lineTo x="0" y="21421"/>
                <wp:lineTo x="21523" y="21421"/>
                <wp:lineTo x="21523" y="1250"/>
                <wp:lineTo x="16612" y="714"/>
                <wp:lineTo x="4767" y="714"/>
              </wp:wrapPolygon>
            </wp:wrapTight>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page">
              <wp14:pctHeight>0</wp14:pctHeight>
            </wp14:sizeRelV>
          </wp:anchor>
        </w:drawing>
      </w:r>
      <w:r w:rsidRPr="00EC6AB6">
        <w:rPr>
          <w:rFonts w:ascii="Garamond" w:hAnsi="Garamond"/>
          <w:noProof/>
          <w:sz w:val="24"/>
          <w:szCs w:val="24"/>
        </w:rPr>
        <mc:AlternateContent>
          <mc:Choice Requires="wps">
            <w:drawing>
              <wp:anchor distT="0" distB="0" distL="114300" distR="114300" simplePos="0" relativeHeight="251658257" behindDoc="0" locked="0" layoutInCell="1" allowOverlap="1" wp14:anchorId="4333BB60" wp14:editId="4333BB61">
                <wp:simplePos x="0" y="0"/>
                <wp:positionH relativeFrom="margin">
                  <wp:posOffset>0</wp:posOffset>
                </wp:positionH>
                <wp:positionV relativeFrom="paragraph">
                  <wp:posOffset>115570</wp:posOffset>
                </wp:positionV>
                <wp:extent cx="5735955" cy="2400300"/>
                <wp:effectExtent l="0" t="0" r="17145" b="19050"/>
                <wp:wrapNone/>
                <wp:docPr id="11" name="Rectangle 11"/>
                <wp:cNvGraphicFramePr/>
                <a:graphic xmlns:a="http://schemas.openxmlformats.org/drawingml/2006/main">
                  <a:graphicData uri="http://schemas.microsoft.com/office/word/2010/wordprocessingShape">
                    <wps:wsp>
                      <wps:cNvSpPr/>
                      <wps:spPr>
                        <a:xfrm>
                          <a:off x="0" y="0"/>
                          <a:ext cx="5735955" cy="2400300"/>
                        </a:xfrm>
                        <a:prstGeom prst="rect">
                          <a:avLst/>
                        </a:prstGeom>
                        <a:noFill/>
                        <a:ln w="635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0;margin-top:9.1pt;width:451.65pt;height:189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YhgQIAAPsEAAAOAAAAZHJzL2Uyb0RvYy54bWysVMlu2zAQvRfoPxC8N5IdK4sROTASuCiQ&#10;JkGTImeGoiwC3ErSlt2v7yOlOGnaU1Ef6BnOcJY3b3RxudOKbIUP0pqaTo5KSoThtpFmXdPvj6tP&#10;Z5SEyEzDlDWipnsR6OXi44eL3s3F1HZWNcITBDFh3ruadjG6eVEE3gnNwpF1wsDYWq9ZhOrXReNZ&#10;j+haFdOyPCl66xvnLRch4PZ6MNJFjt+2gse7tg0iElVT1Bbz6fP5nM5iccHma89cJ/lYBvuHKjST&#10;BkkPoa5ZZGTj5R+htOTeBtvGI251YdtWcpF7QDeT8l03Dx1zIvcCcII7wBT+X1h+u733RDaY3YQS&#10;wzRm9A2oMbNWguAOAPUuzOH34O79qAWIqdtd63X6Rx9kl0HdH0AVu0g4LqvT4+q8qijhsE1nZXlc&#10;ZtiL1+fOh/hZWE2SUFOP/BlMtr0JESnh+uKSshm7kkrlySlD+pqeHFeYLWfgT6tYhKgdOgpmTQlT&#10;axCTR58jBqtkk16nOGEfrpQnWwZugFKN7SlRLERc1nSVf/mR2uivthn8TqvyUP7wPpf3W9xU6zUL&#10;3fAimwaeaRlBdiV1Tc8Q5hBImVSOyHQdO06YDygn6dk2e4zJ24G/wfGVRJIbFHvPPAiL9rGE8Q5H&#10;qywgsaNESWf9z7/dJ3/wCFZKeiwA8PqxYV4Agy8GDDufzGZpY7Iyq06nUPxby/Nbi9noKwscQSJU&#10;l8XkH9WL2Hqrn7Cry5QVJmY4cg+TGZWrOCwmtp2L5TK7YUscizfmwfEUPOGU4H3cPTHvRr5EUO3W&#10;viwLm7+jzeA7EGe5ibaVmVOvuGKCScGG5VmOX4O0wm/17PX6zVr8AgAA//8DAFBLAwQUAAYACAAA&#10;ACEAVHsAg94AAAAHAQAADwAAAGRycy9kb3ducmV2LnhtbEyPwU7DMBBE70j8g7VI3KhDIoUmxKkA&#10;iUPhgFqg6tGNlzgiXkex04a/ZzmV486MZt5Wq9n14ohj6DwpuF0kIJAabzpqFXy8P98sQYSoyeje&#10;Eyr4wQCr+vKi0qXxJ9rgcRtbwSUUSq3AxjiUUobGotNh4Qck9r786HTkc2ylGfWJy10v0yTJpdMd&#10;8YLVAz5ZbL63k1NwF9O8eHtt9CPuP/OXabe2w2at1PXV/HAPIuIcz2H4w2d0qJnp4CcyQfQK+JHI&#10;6jIFwW6RZBmIg4KsyFOQdSX/89e/AAAA//8DAFBLAQItABQABgAIAAAAIQC2gziS/gAAAOEBAAAT&#10;AAAAAAAAAAAAAAAAAAAAAABbQ29udGVudF9UeXBlc10ueG1sUEsBAi0AFAAGAAgAAAAhADj9If/W&#10;AAAAlAEAAAsAAAAAAAAAAAAAAAAALwEAAF9yZWxzLy5yZWxzUEsBAi0AFAAGAAgAAAAhAC1EViGB&#10;AgAA+wQAAA4AAAAAAAAAAAAAAAAALgIAAGRycy9lMm9Eb2MueG1sUEsBAi0AFAAGAAgAAAAhAFR7&#10;AIPeAAAABwEAAA8AAAAAAAAAAAAAAAAA2wQAAGRycy9kb3ducmV2LnhtbFBLBQYAAAAABAAEAPMA&#10;AADmBQAAAAA=&#10;" filled="f" strokecolor="#bfbfbf" strokeweight=".5pt">
                <w10:wrap anchorx="margin"/>
              </v:rect>
            </w:pict>
          </mc:Fallback>
        </mc:AlternateContent>
      </w:r>
    </w:p>
    <w:p w14:paraId="4333B8BA" w14:textId="77777777" w:rsidR="00FF5B7E" w:rsidRPr="00EC6AB6" w:rsidRDefault="00FF5B7E" w:rsidP="008B3748">
      <w:pPr>
        <w:spacing w:after="0" w:line="240" w:lineRule="auto"/>
        <w:rPr>
          <w:rFonts w:ascii="Garamond" w:hAnsi="Garamond"/>
          <w:sz w:val="24"/>
          <w:szCs w:val="24"/>
          <w:lang w:val="sq-AL"/>
        </w:rPr>
      </w:pPr>
    </w:p>
    <w:p w14:paraId="4333B8BB" w14:textId="77777777" w:rsidR="00FF5B7E" w:rsidRPr="00EC6AB6" w:rsidRDefault="00FF5B7E" w:rsidP="008B3748">
      <w:pPr>
        <w:spacing w:after="0" w:line="240" w:lineRule="auto"/>
        <w:rPr>
          <w:rFonts w:ascii="Garamond" w:hAnsi="Garamond"/>
          <w:sz w:val="24"/>
          <w:szCs w:val="24"/>
          <w:lang w:val="sq-AL"/>
        </w:rPr>
      </w:pPr>
    </w:p>
    <w:p w14:paraId="4333B8BC" w14:textId="77777777" w:rsidR="00FF5B7E" w:rsidRPr="00EC6AB6" w:rsidRDefault="00FF5B7E" w:rsidP="008B3748">
      <w:pPr>
        <w:spacing w:after="0" w:line="240" w:lineRule="auto"/>
        <w:rPr>
          <w:rFonts w:ascii="Garamond" w:hAnsi="Garamond"/>
          <w:sz w:val="24"/>
          <w:szCs w:val="24"/>
          <w:lang w:val="sq-AL"/>
        </w:rPr>
      </w:pPr>
    </w:p>
    <w:p w14:paraId="4333B8BD" w14:textId="77777777" w:rsidR="00FF5B7E" w:rsidRPr="00EC6AB6" w:rsidRDefault="00FF5B7E" w:rsidP="008B3748">
      <w:pPr>
        <w:spacing w:after="0" w:line="240" w:lineRule="auto"/>
        <w:rPr>
          <w:rFonts w:ascii="Garamond" w:hAnsi="Garamond"/>
          <w:sz w:val="24"/>
          <w:szCs w:val="24"/>
          <w:lang w:val="sq-AL"/>
        </w:rPr>
      </w:pPr>
    </w:p>
    <w:p w14:paraId="4333B8BE" w14:textId="77777777" w:rsidR="00FF5B7E" w:rsidRPr="00EC6AB6" w:rsidRDefault="00FF5B7E" w:rsidP="008B3748">
      <w:pPr>
        <w:spacing w:after="0" w:line="240" w:lineRule="auto"/>
        <w:rPr>
          <w:rFonts w:ascii="Garamond" w:hAnsi="Garamond"/>
          <w:sz w:val="24"/>
          <w:szCs w:val="24"/>
          <w:lang w:val="sq-AL"/>
        </w:rPr>
      </w:pPr>
    </w:p>
    <w:p w14:paraId="4333B8BF" w14:textId="77777777" w:rsidR="00FF5B7E" w:rsidRPr="00EC6AB6" w:rsidRDefault="00FF5B7E" w:rsidP="008B3748">
      <w:pPr>
        <w:spacing w:after="0" w:line="240" w:lineRule="auto"/>
        <w:rPr>
          <w:rFonts w:ascii="Garamond" w:hAnsi="Garamond"/>
          <w:sz w:val="24"/>
          <w:szCs w:val="24"/>
          <w:lang w:val="sq-AL"/>
        </w:rPr>
      </w:pPr>
    </w:p>
    <w:p w14:paraId="4333B8C0" w14:textId="77777777" w:rsidR="00FF5B7E" w:rsidRPr="00EC6AB6" w:rsidRDefault="00FF5B7E" w:rsidP="008B3748">
      <w:pPr>
        <w:spacing w:after="0" w:line="240" w:lineRule="auto"/>
        <w:rPr>
          <w:rFonts w:ascii="Garamond" w:hAnsi="Garamond"/>
          <w:sz w:val="24"/>
          <w:szCs w:val="24"/>
          <w:lang w:val="sq-AL"/>
        </w:rPr>
      </w:pPr>
    </w:p>
    <w:p w14:paraId="4333B8C1" w14:textId="77777777" w:rsidR="00FF5B7E" w:rsidRPr="00EC6AB6" w:rsidRDefault="00FF5B7E" w:rsidP="008B3748">
      <w:pPr>
        <w:spacing w:after="0" w:line="240" w:lineRule="auto"/>
        <w:rPr>
          <w:rFonts w:ascii="Garamond" w:hAnsi="Garamond"/>
          <w:sz w:val="24"/>
          <w:szCs w:val="24"/>
          <w:lang w:val="sq-AL"/>
        </w:rPr>
      </w:pPr>
    </w:p>
    <w:p w14:paraId="4333B8C3" w14:textId="77777777" w:rsidR="008B3748" w:rsidRPr="00EC6AB6" w:rsidRDefault="008B3748" w:rsidP="00FF5B7E">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C4" w14:textId="77777777" w:rsidR="008B3748" w:rsidRPr="00EC6AB6" w:rsidRDefault="008B3748" w:rsidP="008B3748">
      <w:pPr>
        <w:spacing w:after="0" w:line="240" w:lineRule="auto"/>
        <w:rPr>
          <w:rFonts w:ascii="Garamond" w:hAnsi="Garamond"/>
          <w:sz w:val="24"/>
          <w:szCs w:val="24"/>
          <w:lang w:val="sq-AL"/>
        </w:rPr>
      </w:pPr>
    </w:p>
    <w:p w14:paraId="4333B8C5" w14:textId="77777777" w:rsidR="008B3748" w:rsidRPr="00EC6AB6" w:rsidRDefault="00FF5B7E" w:rsidP="008B3748">
      <w:pPr>
        <w:spacing w:after="0" w:line="240" w:lineRule="auto"/>
        <w:rPr>
          <w:rFonts w:ascii="Garamond" w:hAnsi="Garamond"/>
          <w:sz w:val="24"/>
          <w:szCs w:val="24"/>
          <w:lang w:val="sq-AL"/>
        </w:rPr>
      </w:pPr>
      <w:bookmarkStart w:id="49" w:name="_Toc491954308"/>
      <w:bookmarkStart w:id="50" w:name="_Toc491860995"/>
      <w:r w:rsidRPr="00EC6AB6">
        <w:rPr>
          <w:rFonts w:ascii="Garamond" w:hAnsi="Garamond"/>
          <w:sz w:val="24"/>
          <w:szCs w:val="24"/>
          <w:lang w:val="sq-AL"/>
        </w:rPr>
        <w:t xml:space="preserve">5.2.2 </w:t>
      </w:r>
      <w:r w:rsidR="008B3748" w:rsidRPr="00EC6AB6">
        <w:rPr>
          <w:rFonts w:ascii="Garamond" w:hAnsi="Garamond"/>
          <w:sz w:val="24"/>
          <w:szCs w:val="24"/>
          <w:lang w:val="sq-AL"/>
        </w:rPr>
        <w:t>Risku i normave të interesit</w:t>
      </w:r>
      <w:bookmarkEnd w:id="49"/>
      <w:bookmarkEnd w:id="50"/>
    </w:p>
    <w:p w14:paraId="4333B8C7" w14:textId="189D585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Treguesit e riskut të normave të interesit janë përmirësuar duke qenë në linjë me objektivat strategjikë. Faktorët kryesorë që kanë ndikuar në uljen e ekspozimit të këtij risku kanë qenë ulja e peshës së titujve afatshkurtër</w:t>
      </w:r>
      <w:r w:rsidRPr="00EC6AB6">
        <w:rPr>
          <w:rFonts w:ascii="Garamond" w:hAnsi="Garamond"/>
          <w:sz w:val="24"/>
          <w:szCs w:val="24"/>
          <w:vertAlign w:val="superscript"/>
          <w:lang w:val="sq-AL"/>
        </w:rPr>
        <w:footnoteReference w:id="4"/>
      </w:r>
      <w:r w:rsidRPr="00EC6AB6">
        <w:rPr>
          <w:rFonts w:ascii="Garamond" w:hAnsi="Garamond"/>
          <w:sz w:val="24"/>
          <w:szCs w:val="24"/>
          <w:lang w:val="sq-AL"/>
        </w:rPr>
        <w:t xml:space="preserve"> dhe atyre me norma interesi të ndryshueshme në portofolin e borxhit të brendshëm, përkatësisht me rreth 7.3 pp dhe 9.6 pp në harkun kohor të pesë v</w:t>
      </w:r>
      <w:r w:rsidR="007B68FE" w:rsidRPr="00EC6AB6">
        <w:rPr>
          <w:rFonts w:ascii="Garamond" w:hAnsi="Garamond"/>
          <w:sz w:val="24"/>
          <w:szCs w:val="24"/>
          <w:lang w:val="sq-AL"/>
        </w:rPr>
        <w:t>jetëve</w:t>
      </w:r>
      <w:r w:rsidRPr="00EC6AB6">
        <w:rPr>
          <w:rFonts w:ascii="Garamond" w:hAnsi="Garamond"/>
          <w:sz w:val="24"/>
          <w:szCs w:val="24"/>
          <w:lang w:val="sq-AL"/>
        </w:rPr>
        <w:t>. Përmirësimi i riskut të normave të interesit ka ulur ndjeshmërinë e borxhit nga goditjet e normave të interesit, duke reduktuar burimet që qeveria duhet të angazhojë në raste të tilla.</w:t>
      </w:r>
    </w:p>
    <w:p w14:paraId="4333B8C8" w14:textId="77777777" w:rsidR="008B3748" w:rsidRPr="00EC6AB6" w:rsidRDefault="008B3748" w:rsidP="008B3748">
      <w:pPr>
        <w:spacing w:after="0" w:line="240" w:lineRule="auto"/>
        <w:rPr>
          <w:rFonts w:ascii="Garamond" w:hAnsi="Garamond"/>
          <w:sz w:val="24"/>
          <w:szCs w:val="24"/>
          <w:lang w:val="sq-AL"/>
        </w:rPr>
      </w:pPr>
    </w:p>
    <w:p w14:paraId="3CD76319" w14:textId="77777777" w:rsidR="00155298" w:rsidRPr="00EC6AB6" w:rsidRDefault="00155298" w:rsidP="008B3748">
      <w:pPr>
        <w:spacing w:after="0" w:line="240" w:lineRule="auto"/>
        <w:rPr>
          <w:rFonts w:ascii="Garamond" w:hAnsi="Garamond"/>
          <w:sz w:val="24"/>
          <w:szCs w:val="24"/>
          <w:lang w:val="sq-AL"/>
        </w:rPr>
      </w:pPr>
    </w:p>
    <w:p w14:paraId="2E0186EE" w14:textId="77777777" w:rsidR="00155298" w:rsidRPr="00EC6AB6" w:rsidRDefault="00155298" w:rsidP="008B3748">
      <w:pPr>
        <w:spacing w:after="0" w:line="240" w:lineRule="auto"/>
        <w:rPr>
          <w:rFonts w:ascii="Garamond" w:hAnsi="Garamond"/>
          <w:sz w:val="24"/>
          <w:szCs w:val="24"/>
          <w:lang w:val="sq-AL"/>
        </w:rPr>
      </w:pPr>
    </w:p>
    <w:p w14:paraId="0BA231EE" w14:textId="77777777" w:rsidR="00155298" w:rsidRPr="00EC6AB6" w:rsidRDefault="00155298" w:rsidP="008B3748">
      <w:pPr>
        <w:spacing w:after="0" w:line="240" w:lineRule="auto"/>
        <w:rPr>
          <w:rFonts w:ascii="Garamond" w:hAnsi="Garamond"/>
          <w:sz w:val="24"/>
          <w:szCs w:val="24"/>
          <w:lang w:val="sq-AL"/>
        </w:rPr>
      </w:pPr>
    </w:p>
    <w:p w14:paraId="6862264A" w14:textId="77777777" w:rsidR="00155298" w:rsidRPr="00EC6AB6" w:rsidRDefault="00155298" w:rsidP="008B3748">
      <w:pPr>
        <w:spacing w:after="0" w:line="240" w:lineRule="auto"/>
        <w:rPr>
          <w:rFonts w:ascii="Garamond" w:hAnsi="Garamond"/>
          <w:sz w:val="24"/>
          <w:szCs w:val="24"/>
          <w:lang w:val="sq-AL"/>
        </w:rPr>
      </w:pPr>
    </w:p>
    <w:p w14:paraId="1863D2E1" w14:textId="77777777" w:rsidR="00155298" w:rsidRPr="00EC6AB6" w:rsidRDefault="00155298" w:rsidP="008B3748">
      <w:pPr>
        <w:spacing w:after="0" w:line="240" w:lineRule="auto"/>
        <w:rPr>
          <w:rFonts w:ascii="Garamond" w:hAnsi="Garamond"/>
          <w:sz w:val="24"/>
          <w:szCs w:val="24"/>
          <w:lang w:val="sq-AL"/>
        </w:rPr>
      </w:pPr>
    </w:p>
    <w:p w14:paraId="489DCE17" w14:textId="77777777" w:rsidR="00155298" w:rsidRPr="00EC6AB6" w:rsidRDefault="00155298" w:rsidP="008B3748">
      <w:pPr>
        <w:spacing w:after="0" w:line="240" w:lineRule="auto"/>
        <w:rPr>
          <w:rFonts w:ascii="Garamond" w:hAnsi="Garamond"/>
          <w:sz w:val="24"/>
          <w:szCs w:val="24"/>
          <w:lang w:val="sq-AL"/>
        </w:rPr>
      </w:pPr>
    </w:p>
    <w:p w14:paraId="68F825B7" w14:textId="77777777" w:rsidR="00155298" w:rsidRPr="00EC6AB6" w:rsidRDefault="00155298" w:rsidP="008B3748">
      <w:pPr>
        <w:spacing w:after="0" w:line="240" w:lineRule="auto"/>
        <w:rPr>
          <w:rFonts w:ascii="Garamond" w:hAnsi="Garamond"/>
          <w:sz w:val="24"/>
          <w:szCs w:val="24"/>
          <w:lang w:val="sq-AL"/>
        </w:rPr>
      </w:pPr>
    </w:p>
    <w:p w14:paraId="12CBC3C3" w14:textId="77777777" w:rsidR="00155298" w:rsidRPr="00EC6AB6" w:rsidRDefault="00155298" w:rsidP="008B3748">
      <w:pPr>
        <w:spacing w:after="0" w:line="240" w:lineRule="auto"/>
        <w:rPr>
          <w:rFonts w:ascii="Garamond" w:hAnsi="Garamond"/>
          <w:sz w:val="24"/>
          <w:szCs w:val="24"/>
          <w:lang w:val="sq-AL"/>
        </w:rPr>
      </w:pPr>
    </w:p>
    <w:p w14:paraId="2E21C0FF" w14:textId="77777777" w:rsidR="00155298" w:rsidRPr="00EC6AB6" w:rsidRDefault="00155298" w:rsidP="008B3748">
      <w:pPr>
        <w:spacing w:after="0" w:line="240" w:lineRule="auto"/>
        <w:rPr>
          <w:rFonts w:ascii="Garamond" w:hAnsi="Garamond"/>
          <w:sz w:val="24"/>
          <w:szCs w:val="24"/>
          <w:lang w:val="sq-AL"/>
        </w:rPr>
      </w:pPr>
    </w:p>
    <w:p w14:paraId="5FF5B01B" w14:textId="77777777" w:rsidR="00155298" w:rsidRPr="00EC6AB6" w:rsidRDefault="00155298" w:rsidP="008B3748">
      <w:pPr>
        <w:spacing w:after="0" w:line="240" w:lineRule="auto"/>
        <w:rPr>
          <w:rFonts w:ascii="Garamond" w:hAnsi="Garamond"/>
          <w:sz w:val="24"/>
          <w:szCs w:val="24"/>
          <w:lang w:val="sq-AL"/>
        </w:rPr>
      </w:pPr>
    </w:p>
    <w:p w14:paraId="6F71E1DC" w14:textId="77777777" w:rsidR="00155298" w:rsidRPr="00EC6AB6" w:rsidRDefault="00155298" w:rsidP="008B3748">
      <w:pPr>
        <w:spacing w:after="0" w:line="240" w:lineRule="auto"/>
        <w:rPr>
          <w:rFonts w:ascii="Garamond" w:hAnsi="Garamond"/>
          <w:sz w:val="24"/>
          <w:szCs w:val="24"/>
          <w:lang w:val="sq-AL"/>
        </w:rPr>
      </w:pPr>
    </w:p>
    <w:p w14:paraId="4333B8CF" w14:textId="15811B74" w:rsidR="008B3748" w:rsidRPr="00EC6AB6" w:rsidRDefault="008B3748" w:rsidP="00155298">
      <w:pPr>
        <w:spacing w:after="0" w:line="240" w:lineRule="auto"/>
        <w:jc w:val="center"/>
        <w:rPr>
          <w:rFonts w:ascii="Garamond" w:hAnsi="Garamond"/>
          <w:b/>
          <w:i/>
          <w:sz w:val="20"/>
          <w:szCs w:val="20"/>
          <w:lang w:val="sq-AL"/>
        </w:rPr>
      </w:pPr>
      <w:r w:rsidRPr="00EC6AB6">
        <w:rPr>
          <w:rFonts w:ascii="Garamond" w:hAnsi="Garamond"/>
          <w:b/>
          <w:i/>
          <w:noProof/>
          <w:sz w:val="20"/>
          <w:szCs w:val="20"/>
        </w:rPr>
        <w:lastRenderedPageBreak/>
        <w:drawing>
          <wp:anchor distT="0" distB="0" distL="114300" distR="114300" simplePos="0" relativeHeight="251658258" behindDoc="1" locked="0" layoutInCell="1" allowOverlap="1" wp14:anchorId="4333BB62" wp14:editId="343A241B">
            <wp:simplePos x="0" y="0"/>
            <wp:positionH relativeFrom="column">
              <wp:posOffset>41275</wp:posOffset>
            </wp:positionH>
            <wp:positionV relativeFrom="paragraph">
              <wp:posOffset>182880</wp:posOffset>
            </wp:positionV>
            <wp:extent cx="2840990" cy="2346960"/>
            <wp:effectExtent l="0" t="0" r="0" b="0"/>
            <wp:wrapTight wrapText="bothSides">
              <wp:wrapPolygon edited="0">
                <wp:start x="5069" y="701"/>
                <wp:lineTo x="579" y="1578"/>
                <wp:lineTo x="0" y="1753"/>
                <wp:lineTo x="0" y="21390"/>
                <wp:lineTo x="21436" y="21390"/>
                <wp:lineTo x="21436" y="1578"/>
                <wp:lineTo x="16511" y="701"/>
                <wp:lineTo x="5069" y="701"/>
              </wp:wrapPolygon>
            </wp:wrapTight>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Pr="00EC6AB6">
        <w:rPr>
          <w:rFonts w:ascii="Garamond" w:hAnsi="Garamond"/>
          <w:b/>
          <w:i/>
          <w:noProof/>
          <w:sz w:val="20"/>
          <w:szCs w:val="20"/>
        </w:rPr>
        <w:drawing>
          <wp:anchor distT="0" distB="0" distL="114300" distR="114300" simplePos="0" relativeHeight="251658259" behindDoc="1" locked="0" layoutInCell="1" allowOverlap="1" wp14:anchorId="4333BB64" wp14:editId="3587FBE5">
            <wp:simplePos x="0" y="0"/>
            <wp:positionH relativeFrom="column">
              <wp:posOffset>2885440</wp:posOffset>
            </wp:positionH>
            <wp:positionV relativeFrom="paragraph">
              <wp:posOffset>188595</wp:posOffset>
            </wp:positionV>
            <wp:extent cx="2781300" cy="2340610"/>
            <wp:effectExtent l="0" t="0" r="0" b="2540"/>
            <wp:wrapTight wrapText="bothSides">
              <wp:wrapPolygon edited="0">
                <wp:start x="0" y="0"/>
                <wp:lineTo x="0" y="21448"/>
                <wp:lineTo x="21452" y="21448"/>
                <wp:lineTo x="21452" y="0"/>
                <wp:lineTo x="0" y="0"/>
              </wp:wrapPolygon>
            </wp:wrapTight>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5.2.2: Ecuria e treguesve të riskut të normave të interesit (2016</w:t>
      </w:r>
      <w:r w:rsidR="00155298"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D0" w14:textId="77777777" w:rsidR="008B3748" w:rsidRPr="00EC6AB6" w:rsidRDefault="008B3748" w:rsidP="008B3748">
      <w:pPr>
        <w:spacing w:after="0" w:line="240" w:lineRule="auto"/>
        <w:rPr>
          <w:rFonts w:ascii="Garamond" w:hAnsi="Garamond"/>
          <w:sz w:val="24"/>
          <w:szCs w:val="24"/>
          <w:highlight w:val="yellow"/>
          <w:lang w:val="sq-AL"/>
        </w:rPr>
      </w:pPr>
      <w:r w:rsidRPr="00EC6AB6">
        <w:rPr>
          <w:rFonts w:ascii="Garamond" w:hAnsi="Garamond"/>
          <w:noProof/>
          <w:sz w:val="24"/>
          <w:szCs w:val="24"/>
        </w:rPr>
        <mc:AlternateContent>
          <mc:Choice Requires="wps">
            <w:drawing>
              <wp:anchor distT="0" distB="0" distL="114300" distR="114300" simplePos="0" relativeHeight="251658260" behindDoc="0" locked="0" layoutInCell="1" allowOverlap="1" wp14:anchorId="4333BB66" wp14:editId="4333BB67">
                <wp:simplePos x="0" y="0"/>
                <wp:positionH relativeFrom="margin">
                  <wp:posOffset>0</wp:posOffset>
                </wp:positionH>
                <wp:positionV relativeFrom="paragraph">
                  <wp:posOffset>0</wp:posOffset>
                </wp:positionV>
                <wp:extent cx="5735955" cy="2400300"/>
                <wp:effectExtent l="0" t="0" r="17145" b="19050"/>
                <wp:wrapNone/>
                <wp:docPr id="12" name="Rectangle 12"/>
                <wp:cNvGraphicFramePr/>
                <a:graphic xmlns:a="http://schemas.openxmlformats.org/drawingml/2006/main">
                  <a:graphicData uri="http://schemas.microsoft.com/office/word/2010/wordprocessingShape">
                    <wps:wsp>
                      <wps:cNvSpPr/>
                      <wps:spPr>
                        <a:xfrm>
                          <a:off x="0" y="0"/>
                          <a:ext cx="5735955" cy="2400300"/>
                        </a:xfrm>
                        <a:prstGeom prst="rect">
                          <a:avLst/>
                        </a:prstGeom>
                        <a:noFill/>
                        <a:ln w="635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0;margin-top:0;width:451.65pt;height:189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uwggIAAPsEAAAOAAAAZHJzL2Uyb0RvYy54bWysVMlu2zAQvRfoPxC8N5IdK4sROTASuCiQ&#10;JkGTImeGoiwC3ErSlt2v7yOlOGnaU1Ef6BnOcJY3b3RxudOKbIUP0pqaTo5KSoThtpFmXdPvj6tP&#10;Z5SEyEzDlDWipnsR6OXi44eL3s3F1HZWNcITBDFh3ruadjG6eVEE3gnNwpF1wsDYWq9ZhOrXReNZ&#10;j+haFdOyPCl66xvnLRch4PZ6MNJFjt+2gse7tg0iElVT1Bbz6fP5nM5iccHma89cJ/lYBvuHKjST&#10;BkkPoa5ZZGTj5R+htOTeBtvGI251YdtWcpF7QDeT8l03Dx1zIvcCcII7wBT+X1h+u733RDaY3ZQS&#10;wzRm9A2oMbNWguAOAPUuzOH34O79qAWIqdtd63X6Rx9kl0HdH0AVu0g4LqvT4+q8qijhsE1nZXlc&#10;ZtiL1+fOh/hZWE2SUFOP/BlMtr0JESnh+uKSshm7kkrlySlD+pqeHFeYLWfgT6tYhKgdOgpmTQlT&#10;axCTR58jBqtkk16nOGEfrpQnWwZugFKN7SlRLERc1nSVf/mR2uivthn8TqvyUP7wPpf3W9xU6zUL&#10;3fAimwaeaRlBdiV1Tc8Q5hBImVSOyHQdO06YDygn6dk2e4zJ24G/wfGVRJIbFHvPPAiL9rGE8Q5H&#10;qywgsaNESWf9z7/dJ3/wCFZKeiwA8PqxYV4Agy8GDDufzGZpY7Iyq06nUPxby/Nbi9noKwscJ1h3&#10;x7OY/KN6EVtv9RN2dZmywsQMR+5hMqNyFYfFxLZzsVxmN2yJY/HGPDiegiecEryPuyfm3ciXCKrd&#10;2pdlYfN3tBl8B+IsN9G2MnPqFVdMMCnYsDzL8WuQVvitnr1ev1mLXwAAAP//AwBQSwMEFAAGAAgA&#10;AAAhAM7WZVTdAAAABQEAAA8AAABkcnMvZG93bnJldi54bWxMj81OwzAQhO9IvIO1SNyoTSOlbYhT&#10;ARKHwgG1/IjjNl7iiHgdxU4b3h7TC1xWGs1o5ttyPblOHGgIrWcN1zMFgrj2puVGw+vLw9USRIjI&#10;BjvPpOGbAqyr87MSC+OPvKXDLjYilXAoUIONsS+kDLUlh2Hme+LkffrBYUxyaKQZ8JjKXSfnSuXS&#10;YctpwWJP95bqr93oNCziPF89P9V4Rx9v+eP4vrH9dqP15cV0ewMi0hT/wvCLn9ChSkx7P7IJotOQ&#10;Homnm7yVyjIQew3ZYqlAVqX8T1/9AAAA//8DAFBLAQItABQABgAIAAAAIQC2gziS/gAAAOEBAAAT&#10;AAAAAAAAAAAAAAAAAAAAAABbQ29udGVudF9UeXBlc10ueG1sUEsBAi0AFAAGAAgAAAAhADj9If/W&#10;AAAAlAEAAAsAAAAAAAAAAAAAAAAALwEAAF9yZWxzLy5yZWxzUEsBAi0AFAAGAAgAAAAhAA5uO7CC&#10;AgAA+wQAAA4AAAAAAAAAAAAAAAAALgIAAGRycy9lMm9Eb2MueG1sUEsBAi0AFAAGAAgAAAAhAM7W&#10;ZVTdAAAABQEAAA8AAAAAAAAAAAAAAAAA3AQAAGRycy9kb3ducmV2LnhtbFBLBQYAAAAABAAEAPMA&#10;AADmBQAAAAA=&#10;" filled="f" strokecolor="#bfbfbf" strokeweight=".5pt">
                <w10:wrap anchorx="margin"/>
              </v:rect>
            </w:pict>
          </mc:Fallback>
        </mc:AlternateContent>
      </w:r>
    </w:p>
    <w:p w14:paraId="4333B8DF" w14:textId="77777777" w:rsidR="008B3748" w:rsidRPr="00EC6AB6" w:rsidRDefault="008B3748" w:rsidP="00FF5B7E">
      <w:pPr>
        <w:spacing w:after="0" w:line="240" w:lineRule="auto"/>
        <w:jc w:val="center"/>
        <w:rPr>
          <w:rFonts w:ascii="Garamond" w:hAnsi="Garamond"/>
          <w:sz w:val="24"/>
          <w:szCs w:val="24"/>
          <w:highlight w:val="yellow"/>
          <w:lang w:val="sq-AL"/>
        </w:rPr>
      </w:pPr>
      <w:r w:rsidRPr="00EC6AB6">
        <w:rPr>
          <w:rFonts w:ascii="Garamond" w:hAnsi="Garamond"/>
          <w:sz w:val="24"/>
          <w:szCs w:val="24"/>
          <w:lang w:val="sq-AL"/>
        </w:rPr>
        <w:t>Burimi: Ministria e Financave dhe Ekonomisë (2020)</w:t>
      </w:r>
    </w:p>
    <w:p w14:paraId="4333B8E0" w14:textId="77777777" w:rsidR="00FF5B7E" w:rsidRPr="00EC6AB6" w:rsidRDefault="00FF5B7E" w:rsidP="008B3748">
      <w:pPr>
        <w:spacing w:after="0" w:line="240" w:lineRule="auto"/>
        <w:rPr>
          <w:rFonts w:ascii="Garamond" w:hAnsi="Garamond"/>
          <w:sz w:val="24"/>
          <w:szCs w:val="24"/>
          <w:lang w:val="sq-AL"/>
        </w:rPr>
      </w:pPr>
      <w:bookmarkStart w:id="51" w:name="_Toc491954309"/>
      <w:bookmarkStart w:id="52" w:name="_Toc491860996"/>
    </w:p>
    <w:p w14:paraId="4333B8E1" w14:textId="77777777" w:rsidR="008B3748" w:rsidRPr="00EC6AB6" w:rsidRDefault="00FF5B7E" w:rsidP="008B3748">
      <w:pPr>
        <w:spacing w:after="0" w:line="240" w:lineRule="auto"/>
        <w:rPr>
          <w:rFonts w:ascii="Garamond" w:hAnsi="Garamond"/>
          <w:sz w:val="24"/>
          <w:szCs w:val="24"/>
          <w:lang w:val="sq-AL"/>
        </w:rPr>
      </w:pPr>
      <w:r w:rsidRPr="00EC6AB6">
        <w:rPr>
          <w:rFonts w:ascii="Garamond" w:hAnsi="Garamond"/>
          <w:sz w:val="24"/>
          <w:szCs w:val="24"/>
          <w:lang w:val="sq-AL"/>
        </w:rPr>
        <w:t xml:space="preserve">5.2.3 </w:t>
      </w:r>
      <w:r w:rsidR="008B3748" w:rsidRPr="00EC6AB6">
        <w:rPr>
          <w:rFonts w:ascii="Garamond" w:hAnsi="Garamond"/>
          <w:sz w:val="24"/>
          <w:szCs w:val="24"/>
          <w:lang w:val="sq-AL"/>
        </w:rPr>
        <w:t>Risku i kursit të këmbimit</w:t>
      </w:r>
      <w:bookmarkEnd w:id="51"/>
      <w:bookmarkEnd w:id="52"/>
    </w:p>
    <w:p w14:paraId="4333B8E2" w14:textId="63E3EFB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Gjatë periudhës 2016</w:t>
      </w:r>
      <w:r w:rsidR="00155298" w:rsidRPr="00EC6AB6">
        <w:rPr>
          <w:rFonts w:ascii="Garamond" w:hAnsi="Garamond"/>
          <w:b/>
          <w:i/>
          <w:sz w:val="24"/>
          <w:szCs w:val="24"/>
          <w:lang w:val="sq-AL"/>
        </w:rPr>
        <w:t>–</w:t>
      </w:r>
      <w:r w:rsidRPr="00EC6AB6">
        <w:rPr>
          <w:rFonts w:ascii="Garamond" w:hAnsi="Garamond"/>
          <w:sz w:val="24"/>
          <w:szCs w:val="24"/>
          <w:lang w:val="sq-AL"/>
        </w:rPr>
        <w:t>2020, ekspozimi ndaj riskut të kursit të këmbimit është mbajtur nën kontroll. Pavarësisht se gjatë vitit 2020, stoku i borxhit në monedhë të huaj është rritur si rezultat i rritjes së financimit të huaj dhe emetimit të obligacionit 2</w:t>
      </w:r>
      <w:r w:rsidR="007B68FE" w:rsidRPr="00EC6AB6">
        <w:rPr>
          <w:rFonts w:ascii="Garamond" w:hAnsi="Garamond"/>
          <w:sz w:val="24"/>
          <w:szCs w:val="24"/>
          <w:lang w:val="sq-AL"/>
        </w:rPr>
        <w:t>-</w:t>
      </w:r>
      <w:r w:rsidRPr="00EC6AB6">
        <w:rPr>
          <w:rFonts w:ascii="Garamond" w:hAnsi="Garamond"/>
          <w:sz w:val="24"/>
          <w:szCs w:val="24"/>
          <w:lang w:val="sq-AL"/>
        </w:rPr>
        <w:t xml:space="preserve">vjeçar në </w:t>
      </w:r>
      <w:r w:rsidR="007B68FE" w:rsidRPr="00EC6AB6">
        <w:rPr>
          <w:rFonts w:ascii="Garamond" w:hAnsi="Garamond"/>
          <w:sz w:val="24"/>
          <w:szCs w:val="24"/>
          <w:lang w:val="sq-AL"/>
        </w:rPr>
        <w:t>euro</w:t>
      </w:r>
      <w:r w:rsidRPr="00EC6AB6">
        <w:rPr>
          <w:rFonts w:ascii="Garamond" w:hAnsi="Garamond"/>
          <w:sz w:val="24"/>
          <w:szCs w:val="24"/>
          <w:lang w:val="sq-AL"/>
        </w:rPr>
        <w:t xml:space="preserve">, raporti borxhi në monedhë të huaj kundrejt totalit vazhdon të qëndrojë ndjeshëm nën kufirin strategjik dhe atë të qëndrueshmërisë së borxhit. </w:t>
      </w:r>
    </w:p>
    <w:p w14:paraId="4333B8E3" w14:textId="77777777" w:rsidR="008B3748" w:rsidRPr="00EC6AB6" w:rsidRDefault="008B3748" w:rsidP="008B3748">
      <w:pPr>
        <w:spacing w:after="0" w:line="240" w:lineRule="auto"/>
        <w:rPr>
          <w:rFonts w:ascii="Garamond" w:hAnsi="Garamond"/>
          <w:sz w:val="24"/>
          <w:szCs w:val="24"/>
          <w:lang w:val="sq-AL"/>
        </w:rPr>
      </w:pPr>
    </w:p>
    <w:p w14:paraId="4333B8E4" w14:textId="168600F7" w:rsidR="008B3748" w:rsidRPr="00EC6AB6" w:rsidRDefault="008B3748" w:rsidP="0015529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5.2.3(a): Borxhi shtetëror në monedhë të huaj (2016</w:t>
      </w:r>
      <w:r w:rsidR="00155298"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E5" w14:textId="77777777" w:rsidR="008B3748" w:rsidRPr="00EC6AB6" w:rsidRDefault="008B3748" w:rsidP="008B3748">
      <w:pPr>
        <w:spacing w:after="0" w:line="240" w:lineRule="auto"/>
        <w:rPr>
          <w:rFonts w:ascii="Garamond" w:hAnsi="Garamond"/>
          <w:sz w:val="24"/>
          <w:szCs w:val="24"/>
          <w:lang w:val="sq-AL"/>
        </w:rPr>
      </w:pPr>
    </w:p>
    <w:p w14:paraId="4333B8E6" w14:textId="77777777" w:rsidR="002E2A73" w:rsidRPr="00EC6AB6" w:rsidRDefault="008B3748" w:rsidP="002E2A73">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68" wp14:editId="4333BB69">
            <wp:extent cx="5788550" cy="1685676"/>
            <wp:effectExtent l="0" t="0" r="22225" b="1016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333B8E8"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E9" w14:textId="77777777" w:rsidR="008B3748" w:rsidRPr="00EC6AB6" w:rsidRDefault="008B3748" w:rsidP="008B3748">
      <w:pPr>
        <w:spacing w:after="0" w:line="240" w:lineRule="auto"/>
        <w:rPr>
          <w:rFonts w:ascii="Garamond" w:hAnsi="Garamond"/>
          <w:sz w:val="24"/>
          <w:szCs w:val="24"/>
          <w:lang w:val="sq-AL"/>
        </w:rPr>
      </w:pPr>
    </w:p>
    <w:p w14:paraId="4333B8EA" w14:textId="2AB73CF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Portofoli i borxhit të jashtëm është i përqendruar në mbi 70%</w:t>
      </w:r>
      <w:r w:rsidRPr="00EC6AB6">
        <w:rPr>
          <w:rFonts w:ascii="Garamond" w:hAnsi="Garamond"/>
          <w:sz w:val="24"/>
          <w:szCs w:val="24"/>
          <w:vertAlign w:val="superscript"/>
          <w:lang w:val="sq-AL"/>
        </w:rPr>
        <w:footnoteReference w:id="5"/>
      </w:r>
      <w:r w:rsidRPr="00EC6AB6">
        <w:rPr>
          <w:rFonts w:ascii="Garamond" w:hAnsi="Garamond"/>
          <w:sz w:val="24"/>
          <w:szCs w:val="24"/>
          <w:lang w:val="sq-AL"/>
        </w:rPr>
        <w:t xml:space="preserve"> në monedhën </w:t>
      </w:r>
      <w:r w:rsidR="007B68FE" w:rsidRPr="00EC6AB6">
        <w:rPr>
          <w:rFonts w:ascii="Garamond" w:hAnsi="Garamond"/>
          <w:sz w:val="24"/>
          <w:szCs w:val="24"/>
          <w:lang w:val="sq-AL"/>
        </w:rPr>
        <w:t>euro</w:t>
      </w:r>
      <w:r w:rsidRPr="00EC6AB6">
        <w:rPr>
          <w:rFonts w:ascii="Garamond" w:hAnsi="Garamond"/>
          <w:sz w:val="24"/>
          <w:szCs w:val="24"/>
          <w:lang w:val="sq-AL"/>
        </w:rPr>
        <w:t xml:space="preserve">, duke e bërë atë të ndjeshëm ndaj luhatjeve të kësaj monedhe. Megjithatë, përqendrimi i lartë i borxhit në monedhën </w:t>
      </w:r>
      <w:r w:rsidR="007B68FE" w:rsidRPr="00EC6AB6">
        <w:rPr>
          <w:rFonts w:ascii="Garamond" w:hAnsi="Garamond"/>
          <w:sz w:val="24"/>
          <w:szCs w:val="24"/>
          <w:lang w:val="sq-AL"/>
        </w:rPr>
        <w:t xml:space="preserve">euro </w:t>
      </w:r>
      <w:r w:rsidRPr="00EC6AB6">
        <w:rPr>
          <w:rFonts w:ascii="Garamond" w:hAnsi="Garamond"/>
          <w:sz w:val="24"/>
          <w:szCs w:val="24"/>
          <w:lang w:val="sq-AL"/>
        </w:rPr>
        <w:t>nuk ka krijuar kosto shtesë</w:t>
      </w:r>
      <w:r w:rsidR="007B68FE" w:rsidRPr="00EC6AB6">
        <w:rPr>
          <w:rFonts w:ascii="Garamond" w:hAnsi="Garamond"/>
          <w:sz w:val="24"/>
          <w:szCs w:val="24"/>
          <w:lang w:val="sq-AL"/>
        </w:rPr>
        <w:t>,</w:t>
      </w:r>
      <w:r w:rsidRPr="00EC6AB6">
        <w:rPr>
          <w:rFonts w:ascii="Garamond" w:hAnsi="Garamond"/>
          <w:sz w:val="24"/>
          <w:szCs w:val="24"/>
          <w:lang w:val="sq-AL"/>
        </w:rPr>
        <w:t xml:space="preserve"> për shkak të mbiçmimit të monedhës </w:t>
      </w:r>
      <w:r w:rsidR="002B79A7" w:rsidRPr="00EC6AB6">
        <w:rPr>
          <w:rFonts w:ascii="Garamond" w:hAnsi="Garamond"/>
          <w:sz w:val="24"/>
          <w:szCs w:val="24"/>
          <w:lang w:val="sq-AL"/>
        </w:rPr>
        <w:t>vendës</w:t>
      </w:r>
      <w:r w:rsidRPr="00EC6AB6">
        <w:rPr>
          <w:rFonts w:ascii="Garamond" w:hAnsi="Garamond"/>
          <w:sz w:val="24"/>
          <w:szCs w:val="24"/>
          <w:lang w:val="sq-AL"/>
        </w:rPr>
        <w:t>e dhe për shkak të lëvizjes së kursit të këmbimit EUR/LEK përgjithësisht në drejtim të kundërt me kursin USD/LEK, duke neutralizuar efektet e njëri-tjetrit.</w:t>
      </w:r>
    </w:p>
    <w:p w14:paraId="4333B8EB" w14:textId="77777777" w:rsidR="002E2A73" w:rsidRPr="00EC6AB6" w:rsidRDefault="002E2A73" w:rsidP="008B3748">
      <w:pPr>
        <w:spacing w:after="0" w:line="240" w:lineRule="auto"/>
        <w:rPr>
          <w:rFonts w:ascii="Garamond" w:hAnsi="Garamond"/>
          <w:sz w:val="24"/>
          <w:szCs w:val="24"/>
          <w:lang w:val="sq-AL"/>
        </w:rPr>
      </w:pPr>
    </w:p>
    <w:p w14:paraId="4333B8EC" w14:textId="77777777" w:rsidR="002E2A73" w:rsidRPr="00EC6AB6" w:rsidRDefault="002E2A73" w:rsidP="008B3748">
      <w:pPr>
        <w:spacing w:after="0" w:line="240" w:lineRule="auto"/>
        <w:rPr>
          <w:rFonts w:ascii="Garamond" w:hAnsi="Garamond"/>
          <w:sz w:val="24"/>
          <w:szCs w:val="24"/>
          <w:lang w:val="sq-AL"/>
        </w:rPr>
      </w:pPr>
    </w:p>
    <w:p w14:paraId="4333B8ED" w14:textId="77777777" w:rsidR="002E2A73" w:rsidRPr="00EC6AB6" w:rsidRDefault="002E2A73" w:rsidP="008B3748">
      <w:pPr>
        <w:spacing w:after="0" w:line="240" w:lineRule="auto"/>
        <w:rPr>
          <w:rFonts w:ascii="Garamond" w:hAnsi="Garamond"/>
          <w:sz w:val="24"/>
          <w:szCs w:val="24"/>
          <w:lang w:val="sq-AL"/>
        </w:rPr>
      </w:pPr>
    </w:p>
    <w:p w14:paraId="4333B8EE" w14:textId="77777777" w:rsidR="002E2A73" w:rsidRPr="00EC6AB6" w:rsidRDefault="002E2A73" w:rsidP="008B3748">
      <w:pPr>
        <w:spacing w:after="0" w:line="240" w:lineRule="auto"/>
        <w:rPr>
          <w:rFonts w:ascii="Garamond" w:hAnsi="Garamond"/>
          <w:sz w:val="24"/>
          <w:szCs w:val="24"/>
          <w:lang w:val="sq-AL"/>
        </w:rPr>
      </w:pPr>
    </w:p>
    <w:p w14:paraId="135795F9" w14:textId="77777777" w:rsidR="007B68FE" w:rsidRPr="00EC6AB6" w:rsidRDefault="007B68FE" w:rsidP="007B68FE">
      <w:pPr>
        <w:spacing w:after="0" w:line="240" w:lineRule="auto"/>
        <w:ind w:firstLine="0"/>
        <w:jc w:val="center"/>
        <w:rPr>
          <w:rFonts w:ascii="Garamond" w:hAnsi="Garamond"/>
          <w:b/>
          <w:i/>
          <w:sz w:val="20"/>
          <w:szCs w:val="20"/>
          <w:lang w:val="sq-AL"/>
        </w:rPr>
      </w:pPr>
    </w:p>
    <w:p w14:paraId="4333B8EF" w14:textId="29F767D8" w:rsidR="008B3748" w:rsidRPr="00EC6AB6" w:rsidRDefault="008B3748" w:rsidP="007B68FE">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lastRenderedPageBreak/>
        <w:t xml:space="preserve">Paraqitje </w:t>
      </w:r>
      <w:r w:rsidR="007B68FE" w:rsidRPr="00EC6AB6">
        <w:rPr>
          <w:rFonts w:ascii="Garamond" w:hAnsi="Garamond"/>
          <w:b/>
          <w:i/>
          <w:sz w:val="20"/>
          <w:szCs w:val="20"/>
          <w:lang w:val="sq-AL"/>
        </w:rPr>
        <w:t>grafike 5.2.3</w:t>
      </w:r>
      <w:r w:rsidRPr="00EC6AB6">
        <w:rPr>
          <w:rFonts w:ascii="Garamond" w:hAnsi="Garamond"/>
          <w:b/>
          <w:i/>
          <w:sz w:val="20"/>
          <w:szCs w:val="20"/>
          <w:lang w:val="sq-AL"/>
        </w:rPr>
        <w:t>(b): Ndryshimi në kursin e këmbimit</w:t>
      </w:r>
      <w:r w:rsidR="00FA2519" w:rsidRPr="00EC6AB6">
        <w:rPr>
          <w:rFonts w:ascii="Garamond" w:hAnsi="Garamond"/>
          <w:b/>
          <w:i/>
          <w:sz w:val="20"/>
          <w:szCs w:val="20"/>
          <w:lang w:val="sq-AL"/>
        </w:rPr>
        <w:t xml:space="preserve"> </w:t>
      </w:r>
      <w:r w:rsidRPr="00EC6AB6">
        <w:rPr>
          <w:rFonts w:ascii="Garamond" w:hAnsi="Garamond"/>
          <w:b/>
          <w:i/>
          <w:sz w:val="20"/>
          <w:szCs w:val="20"/>
          <w:lang w:val="sq-AL"/>
        </w:rPr>
        <w:t>mesatar mujor EUR/LEK dhe USD/LEK (2016</w:t>
      </w:r>
      <w:r w:rsidR="007B68FE"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8F0" w14:textId="77777777" w:rsidR="008B3748" w:rsidRPr="00EC6AB6" w:rsidRDefault="008B3748" w:rsidP="002E2A73">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6A" wp14:editId="4333BB6B">
            <wp:extent cx="5963285" cy="1637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3285" cy="1637665"/>
                    </a:xfrm>
                    <a:prstGeom prst="rect">
                      <a:avLst/>
                    </a:prstGeom>
                    <a:noFill/>
                    <a:ln>
                      <a:noFill/>
                    </a:ln>
                  </pic:spPr>
                </pic:pic>
              </a:graphicData>
            </a:graphic>
          </wp:inline>
        </w:drawing>
      </w:r>
    </w:p>
    <w:p w14:paraId="4333B8F1" w14:textId="77777777" w:rsidR="002E2A73" w:rsidRPr="00EC6AB6" w:rsidRDefault="002E2A73" w:rsidP="002E2A73">
      <w:pPr>
        <w:spacing w:after="0" w:line="240" w:lineRule="auto"/>
        <w:jc w:val="center"/>
        <w:rPr>
          <w:rFonts w:ascii="Garamond" w:hAnsi="Garamond"/>
          <w:sz w:val="24"/>
          <w:szCs w:val="24"/>
          <w:lang w:val="sq-AL"/>
        </w:rPr>
      </w:pPr>
    </w:p>
    <w:p w14:paraId="4333B8F2"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8F3" w14:textId="77777777" w:rsidR="008B3748" w:rsidRPr="00EC6AB6" w:rsidRDefault="008B3748" w:rsidP="008B3748">
      <w:pPr>
        <w:spacing w:after="0" w:line="240" w:lineRule="auto"/>
        <w:rPr>
          <w:rFonts w:ascii="Garamond" w:hAnsi="Garamond"/>
          <w:sz w:val="24"/>
          <w:szCs w:val="24"/>
          <w:lang w:val="sq-AL"/>
        </w:rPr>
      </w:pPr>
    </w:p>
    <w:p w14:paraId="4333B8F4"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Raportet e borxhit në monedhë të huaj kundrejt eksporteve dhe rezervës valutore janë tregues të rëndësishëm, të cilët vlerësojnë aftësinë për të përmbushur detyrimet që lindin nga borxhi në valutë.</w:t>
      </w:r>
    </w:p>
    <w:p w14:paraId="4333B8F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Gjatë viteve të fundit, ritmet e rritjes së borxhit në monedhë të huaj përgjithësisht kanë qenë në nivele të ngjashme me ritmet e rritjes së rezervës valutore. Ndërkohë, në raport me eksportet kanë qenë ndjeshëm më të larta, por duke shfaqur një përmirësim duke filluar nga viti 2016.</w:t>
      </w:r>
    </w:p>
    <w:p w14:paraId="4333B8F6" w14:textId="77777777" w:rsidR="008B3748" w:rsidRPr="00EC6AB6" w:rsidRDefault="008B3748" w:rsidP="008B3748">
      <w:pPr>
        <w:spacing w:after="0" w:line="240" w:lineRule="auto"/>
        <w:rPr>
          <w:rFonts w:ascii="Garamond" w:hAnsi="Garamond"/>
          <w:sz w:val="24"/>
          <w:szCs w:val="24"/>
          <w:lang w:val="sq-AL"/>
        </w:rPr>
      </w:pPr>
    </w:p>
    <w:p w14:paraId="4333B8F7" w14:textId="3C715AFD" w:rsidR="008B3748" w:rsidRPr="00EC6AB6" w:rsidRDefault="008B3748" w:rsidP="0015529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155298" w:rsidRPr="00EC6AB6">
        <w:rPr>
          <w:rFonts w:ascii="Garamond" w:hAnsi="Garamond"/>
          <w:b/>
          <w:i/>
          <w:sz w:val="20"/>
          <w:szCs w:val="20"/>
          <w:lang w:val="sq-AL"/>
        </w:rPr>
        <w:t xml:space="preserve">grafike </w:t>
      </w:r>
      <w:r w:rsidRPr="00EC6AB6">
        <w:rPr>
          <w:rFonts w:ascii="Garamond" w:hAnsi="Garamond"/>
          <w:b/>
          <w:i/>
          <w:sz w:val="20"/>
          <w:szCs w:val="20"/>
          <w:lang w:val="sq-AL"/>
        </w:rPr>
        <w:t>5.2.3(c): Raporti i borxhit në valutë ndaj eksporteve dhe rezervës valutore (2015</w:t>
      </w:r>
      <w:r w:rsidR="00155298" w:rsidRPr="00EC6AB6">
        <w:rPr>
          <w:rFonts w:ascii="Garamond" w:hAnsi="Garamond"/>
          <w:b/>
          <w:i/>
          <w:sz w:val="20"/>
          <w:szCs w:val="20"/>
          <w:lang w:val="sq-AL"/>
        </w:rPr>
        <w:t>–</w:t>
      </w:r>
      <w:r w:rsidRPr="00EC6AB6">
        <w:rPr>
          <w:rFonts w:ascii="Garamond" w:hAnsi="Garamond"/>
          <w:b/>
          <w:i/>
          <w:sz w:val="20"/>
          <w:szCs w:val="20"/>
          <w:lang w:val="sq-AL"/>
        </w:rPr>
        <w:t>2019)</w:t>
      </w:r>
    </w:p>
    <w:p w14:paraId="4333B8F8" w14:textId="77777777" w:rsidR="002E2A73" w:rsidRPr="00EC6AB6" w:rsidRDefault="002E2A73" w:rsidP="008B3748">
      <w:pPr>
        <w:spacing w:after="0" w:line="240" w:lineRule="auto"/>
        <w:rPr>
          <w:rFonts w:ascii="Garamond" w:hAnsi="Garamond"/>
          <w:sz w:val="24"/>
          <w:szCs w:val="24"/>
          <w:lang w:val="sq-AL"/>
        </w:rPr>
      </w:pPr>
    </w:p>
    <w:p w14:paraId="4333B8F9" w14:textId="77777777" w:rsidR="008B3748" w:rsidRPr="00EC6AB6" w:rsidRDefault="008B3748" w:rsidP="00155298">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6C" wp14:editId="4333BB6D">
            <wp:extent cx="5804535" cy="1828800"/>
            <wp:effectExtent l="0" t="0" r="24765"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333B8FA" w14:textId="77777777" w:rsidR="002E2A73" w:rsidRPr="00EC6AB6" w:rsidRDefault="002E2A73" w:rsidP="002E2A73">
      <w:pPr>
        <w:spacing w:after="0" w:line="240" w:lineRule="auto"/>
        <w:jc w:val="center"/>
        <w:rPr>
          <w:rFonts w:ascii="Garamond" w:hAnsi="Garamond"/>
          <w:sz w:val="24"/>
          <w:szCs w:val="24"/>
          <w:lang w:val="sq-AL"/>
        </w:rPr>
      </w:pPr>
    </w:p>
    <w:p w14:paraId="4333B8FB"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 INSTAT (2020); Banka e Shqipërisë (2020)</w:t>
      </w:r>
    </w:p>
    <w:p w14:paraId="4333B8FC" w14:textId="77777777" w:rsidR="008B3748" w:rsidRPr="00EC6AB6" w:rsidRDefault="002E2A73" w:rsidP="008B3748">
      <w:pPr>
        <w:spacing w:after="0" w:line="240" w:lineRule="auto"/>
        <w:rPr>
          <w:rFonts w:ascii="Garamond" w:hAnsi="Garamond"/>
          <w:sz w:val="24"/>
          <w:szCs w:val="24"/>
          <w:lang w:val="sq-AL"/>
        </w:rPr>
      </w:pPr>
      <w:bookmarkStart w:id="53" w:name="_Toc491954310"/>
      <w:bookmarkStart w:id="54" w:name="_Toc491860997"/>
      <w:r w:rsidRPr="00EC6AB6">
        <w:rPr>
          <w:rFonts w:ascii="Garamond" w:hAnsi="Garamond"/>
          <w:sz w:val="24"/>
          <w:szCs w:val="24"/>
          <w:lang w:val="sq-AL"/>
        </w:rPr>
        <w:t xml:space="preserve">5.2.4 </w:t>
      </w:r>
      <w:r w:rsidR="008B3748" w:rsidRPr="00EC6AB6">
        <w:rPr>
          <w:rFonts w:ascii="Garamond" w:hAnsi="Garamond"/>
          <w:sz w:val="24"/>
          <w:szCs w:val="24"/>
          <w:lang w:val="sq-AL"/>
        </w:rPr>
        <w:t>Risku i likuiditetit</w:t>
      </w:r>
      <w:bookmarkEnd w:id="53"/>
      <w:bookmarkEnd w:id="54"/>
    </w:p>
    <w:p w14:paraId="4333B8FD"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Risku i likuiditetit gjatë viteve të fundit është reduktuar, ndërkohë që nevojat e qeverisë për likuiditet janë menaxhuar me sukses, pa ushtruar presion në tregun e brendshëm.</w:t>
      </w:r>
    </w:p>
    <w:p w14:paraId="4333B8F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Nga ana tjetër, që prej vitit 2017 është mundësuar krijimi i një rezerve monetare </w:t>
      </w:r>
      <w:r w:rsidRPr="00EC6AB6">
        <w:rPr>
          <w:rFonts w:ascii="Garamond" w:hAnsi="Garamond"/>
          <w:i/>
          <w:sz w:val="24"/>
          <w:szCs w:val="24"/>
          <w:lang w:val="sq-AL"/>
        </w:rPr>
        <w:t>(cash buffer),</w:t>
      </w:r>
      <w:r w:rsidRPr="00EC6AB6">
        <w:rPr>
          <w:rFonts w:ascii="Garamond" w:hAnsi="Garamond"/>
          <w:sz w:val="24"/>
          <w:szCs w:val="24"/>
          <w:lang w:val="sq-AL"/>
        </w:rPr>
        <w:t xml:space="preserve"> e cila do të mbulojë pjesërisht nevojat për likuiditet të qeverisë në periudhën afatshkurtër dhe afatmesme.</w:t>
      </w:r>
    </w:p>
    <w:p w14:paraId="4333B8FF" w14:textId="583C633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këtë drejtim</w:t>
      </w:r>
      <w:r w:rsidR="007B68FE" w:rsidRPr="00EC6AB6">
        <w:rPr>
          <w:rFonts w:ascii="Garamond" w:hAnsi="Garamond"/>
          <w:sz w:val="24"/>
          <w:szCs w:val="24"/>
          <w:lang w:val="sq-AL"/>
        </w:rPr>
        <w:t>,</w:t>
      </w:r>
      <w:r w:rsidRPr="00EC6AB6">
        <w:rPr>
          <w:rFonts w:ascii="Garamond" w:hAnsi="Garamond"/>
          <w:sz w:val="24"/>
          <w:szCs w:val="24"/>
          <w:lang w:val="sq-AL"/>
        </w:rPr>
        <w:t xml:space="preserve"> rol të rëndësishëm ka luajtur edhe </w:t>
      </w:r>
      <w:r w:rsidRPr="00B71456">
        <w:rPr>
          <w:rFonts w:ascii="Garamond" w:hAnsi="Garamond"/>
          <w:sz w:val="24"/>
          <w:szCs w:val="24"/>
          <w:lang w:val="sq-AL"/>
        </w:rPr>
        <w:t xml:space="preserve">Komiteti i Menaxhimit të Borxhit dhe </w:t>
      </w:r>
      <w:r w:rsidR="007B68FE" w:rsidRPr="00B71456">
        <w:rPr>
          <w:rFonts w:ascii="Garamond" w:hAnsi="Garamond"/>
          <w:sz w:val="24"/>
          <w:szCs w:val="24"/>
          <w:lang w:val="sq-AL"/>
        </w:rPr>
        <w:t xml:space="preserve">të </w:t>
      </w:r>
      <w:r w:rsidRPr="00B71456">
        <w:rPr>
          <w:rFonts w:ascii="Garamond" w:hAnsi="Garamond"/>
          <w:sz w:val="24"/>
          <w:szCs w:val="24"/>
          <w:lang w:val="sq-AL"/>
        </w:rPr>
        <w:t>Likuiditetit,</w:t>
      </w:r>
      <w:r w:rsidRPr="00EC6AB6">
        <w:rPr>
          <w:rFonts w:ascii="Garamond" w:hAnsi="Garamond"/>
          <w:sz w:val="24"/>
          <w:szCs w:val="24"/>
          <w:lang w:val="sq-AL"/>
        </w:rPr>
        <w:t xml:space="preserve"> i cili mblidhet periodikisht për të analizuar dhe planifikuar gjendjen e likuiditetit në periudhën afatshkurtër dhe afatmesme.</w:t>
      </w:r>
    </w:p>
    <w:p w14:paraId="4333B900" w14:textId="42C2FFF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Treguesit që vlerësojnë riskun e likuiditetit kanë pësuar një përmirësim të ndjeshëm gjatë viteve 2016</w:t>
      </w:r>
      <w:r w:rsidR="00064378" w:rsidRPr="00EC6AB6">
        <w:rPr>
          <w:rFonts w:ascii="Garamond" w:hAnsi="Garamond"/>
          <w:b/>
          <w:sz w:val="24"/>
          <w:szCs w:val="24"/>
          <w:lang w:val="sq-AL"/>
        </w:rPr>
        <w:t>–</w:t>
      </w:r>
      <w:r w:rsidRPr="00EC6AB6">
        <w:rPr>
          <w:rFonts w:ascii="Garamond" w:hAnsi="Garamond"/>
          <w:sz w:val="24"/>
          <w:szCs w:val="24"/>
          <w:lang w:val="sq-AL"/>
        </w:rPr>
        <w:t>2019, kryesisht si rezultat i masave të marra në kuadër të reduktimit të riskut të rifinancimit. Gjatë vitit 2020, raportet e shpenzimeve për interesa të borxhit shtetëror dhe</w:t>
      </w:r>
      <w:r w:rsidR="001D1860" w:rsidRPr="00EC6AB6">
        <w:rPr>
          <w:rFonts w:ascii="Garamond" w:hAnsi="Garamond"/>
          <w:sz w:val="24"/>
          <w:szCs w:val="24"/>
          <w:lang w:val="sq-AL"/>
        </w:rPr>
        <w:t xml:space="preserve"> të </w:t>
      </w:r>
      <w:r w:rsidRPr="00EC6AB6">
        <w:rPr>
          <w:rFonts w:ascii="Garamond" w:hAnsi="Garamond"/>
          <w:sz w:val="24"/>
          <w:szCs w:val="24"/>
          <w:lang w:val="sq-AL"/>
        </w:rPr>
        <w:lastRenderedPageBreak/>
        <w:t>borxhit shtetëror afatshkurtër</w:t>
      </w:r>
      <w:r w:rsidRPr="00EC6AB6">
        <w:rPr>
          <w:rFonts w:ascii="Garamond" w:hAnsi="Garamond"/>
          <w:sz w:val="24"/>
          <w:szCs w:val="24"/>
          <w:vertAlign w:val="superscript"/>
          <w:lang w:val="sq-AL"/>
        </w:rPr>
        <w:footnoteReference w:id="6"/>
      </w:r>
      <w:r w:rsidRPr="00EC6AB6">
        <w:rPr>
          <w:rFonts w:ascii="Garamond" w:hAnsi="Garamond"/>
          <w:sz w:val="24"/>
          <w:szCs w:val="24"/>
          <w:vertAlign w:val="superscript"/>
          <w:lang w:val="sq-AL"/>
        </w:rPr>
        <w:t xml:space="preserve"> </w:t>
      </w:r>
      <w:r w:rsidRPr="00EC6AB6">
        <w:rPr>
          <w:rFonts w:ascii="Garamond" w:hAnsi="Garamond"/>
          <w:sz w:val="24"/>
          <w:szCs w:val="24"/>
          <w:lang w:val="sq-AL"/>
        </w:rPr>
        <w:t xml:space="preserve">ndaj të ardhurave tatimore janë rritur, duke reflektuar uljen e të ardhurave si rezultat i përhapjes së pandemisë </w:t>
      </w:r>
      <w:r w:rsidR="006E631A" w:rsidRPr="00EC6AB6">
        <w:rPr>
          <w:rFonts w:ascii="Garamond" w:hAnsi="Garamond"/>
          <w:sz w:val="24"/>
          <w:szCs w:val="24"/>
          <w:lang w:val="sq-AL"/>
        </w:rPr>
        <w:t>COVID-19</w:t>
      </w:r>
      <w:r w:rsidRPr="00EC6AB6">
        <w:rPr>
          <w:rFonts w:ascii="Garamond" w:hAnsi="Garamond"/>
          <w:sz w:val="24"/>
          <w:szCs w:val="24"/>
          <w:lang w:val="sq-AL"/>
        </w:rPr>
        <w:t>.</w:t>
      </w:r>
    </w:p>
    <w:p w14:paraId="4333B901" w14:textId="77777777" w:rsidR="008B3748" w:rsidRPr="00EC6AB6" w:rsidRDefault="008B3748" w:rsidP="008B3748">
      <w:pPr>
        <w:spacing w:after="0" w:line="240" w:lineRule="auto"/>
        <w:rPr>
          <w:rFonts w:ascii="Garamond" w:hAnsi="Garamond"/>
          <w:sz w:val="24"/>
          <w:szCs w:val="24"/>
          <w:lang w:val="sq-AL"/>
        </w:rPr>
      </w:pPr>
    </w:p>
    <w:p w14:paraId="4333B902" w14:textId="1E583BE3" w:rsidR="008B3748" w:rsidRPr="00EC6AB6" w:rsidRDefault="008B3748" w:rsidP="00064378">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064378" w:rsidRPr="00EC6AB6">
        <w:rPr>
          <w:rFonts w:ascii="Garamond" w:hAnsi="Garamond"/>
          <w:b/>
          <w:i/>
          <w:sz w:val="20"/>
          <w:szCs w:val="20"/>
          <w:lang w:val="sq-AL"/>
        </w:rPr>
        <w:t xml:space="preserve">grafike </w:t>
      </w:r>
      <w:r w:rsidRPr="00EC6AB6">
        <w:rPr>
          <w:rFonts w:ascii="Garamond" w:hAnsi="Garamond"/>
          <w:b/>
          <w:i/>
          <w:sz w:val="20"/>
          <w:szCs w:val="20"/>
          <w:lang w:val="sq-AL"/>
        </w:rPr>
        <w:t>5.2.4: Shërbimi i borxhit në raport me të ardhurat tatimore (2016</w:t>
      </w:r>
      <w:r w:rsidR="00064378" w:rsidRPr="00EC6AB6">
        <w:rPr>
          <w:rFonts w:ascii="Garamond" w:hAnsi="Garamond"/>
          <w:b/>
          <w:i/>
          <w:sz w:val="20"/>
          <w:szCs w:val="20"/>
          <w:lang w:val="sq-AL"/>
        </w:rPr>
        <w:t>–</w:t>
      </w:r>
      <w:r w:rsidRPr="00EC6AB6">
        <w:rPr>
          <w:rFonts w:ascii="Garamond" w:hAnsi="Garamond"/>
          <w:b/>
          <w:i/>
          <w:sz w:val="20"/>
          <w:szCs w:val="20"/>
          <w:lang w:val="sq-AL"/>
        </w:rPr>
        <w:t>2020)</w:t>
      </w:r>
    </w:p>
    <w:p w14:paraId="4333B903"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6E" wp14:editId="035DC12E">
            <wp:extent cx="5764696" cy="1749287"/>
            <wp:effectExtent l="0" t="0" r="7620" b="3810"/>
            <wp:docPr id="51" name="Chart 51">
              <a:extLst xmlns:a="http://schemas.openxmlformats.org/drawingml/2006/main">
                <a:ext uri="{FF2B5EF4-FFF2-40B4-BE49-F238E27FC236}">
                  <a16:creationId xmlns:lc="http://schemas.openxmlformats.org/drawingml/2006/lockedCanva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w15="http://schemas.microsoft.com/office/word/2012/wordml" id="{00000000-0008-0000-1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33B904" w14:textId="77777777" w:rsidR="002E2A73" w:rsidRPr="00EC6AB6" w:rsidRDefault="002E2A73" w:rsidP="008B3748">
      <w:pPr>
        <w:spacing w:after="0" w:line="240" w:lineRule="auto"/>
        <w:rPr>
          <w:rFonts w:ascii="Garamond" w:hAnsi="Garamond"/>
          <w:sz w:val="24"/>
          <w:szCs w:val="24"/>
          <w:lang w:val="sq-AL"/>
        </w:rPr>
      </w:pPr>
    </w:p>
    <w:p w14:paraId="4333B905"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06" w14:textId="77777777" w:rsidR="008B3748" w:rsidRPr="00EC6AB6" w:rsidRDefault="008B3748" w:rsidP="008B3748">
      <w:pPr>
        <w:spacing w:after="0" w:line="240" w:lineRule="auto"/>
        <w:rPr>
          <w:rFonts w:ascii="Garamond" w:hAnsi="Garamond"/>
          <w:sz w:val="24"/>
          <w:szCs w:val="24"/>
          <w:lang w:val="sq-AL"/>
        </w:rPr>
      </w:pPr>
    </w:p>
    <w:p w14:paraId="4333B907" w14:textId="724D4FF7" w:rsidR="008B3748" w:rsidRPr="00EC6AB6" w:rsidRDefault="002E2A73" w:rsidP="008B3748">
      <w:pPr>
        <w:spacing w:after="0" w:line="240" w:lineRule="auto"/>
        <w:rPr>
          <w:rFonts w:ascii="Garamond" w:hAnsi="Garamond"/>
          <w:sz w:val="24"/>
          <w:szCs w:val="24"/>
          <w:lang w:val="sq-AL"/>
        </w:rPr>
      </w:pPr>
      <w:bookmarkStart w:id="55" w:name="_Toc60129458"/>
      <w:bookmarkStart w:id="56" w:name="_Toc491954312"/>
      <w:bookmarkStart w:id="57" w:name="_Toc491860999"/>
      <w:r w:rsidRPr="00EC6AB6">
        <w:rPr>
          <w:rFonts w:ascii="Garamond" w:hAnsi="Garamond"/>
          <w:sz w:val="24"/>
          <w:szCs w:val="24"/>
          <w:lang w:val="sq-AL"/>
        </w:rPr>
        <w:t xml:space="preserve">6. </w:t>
      </w:r>
      <w:r w:rsidR="008B3748" w:rsidRPr="00EC6AB6">
        <w:rPr>
          <w:rFonts w:ascii="Garamond" w:hAnsi="Garamond"/>
          <w:sz w:val="24"/>
          <w:szCs w:val="24"/>
          <w:lang w:val="sq-AL"/>
        </w:rPr>
        <w:t xml:space="preserve">Zhvillimet e </w:t>
      </w:r>
      <w:r w:rsidR="00064378" w:rsidRPr="00EC6AB6">
        <w:rPr>
          <w:rFonts w:ascii="Garamond" w:hAnsi="Garamond"/>
          <w:sz w:val="24"/>
          <w:szCs w:val="24"/>
          <w:lang w:val="sq-AL"/>
        </w:rPr>
        <w:t>tregut primar të titujve shtetërorë</w:t>
      </w:r>
      <w:bookmarkEnd w:id="55"/>
      <w:bookmarkEnd w:id="56"/>
      <w:bookmarkEnd w:id="57"/>
    </w:p>
    <w:p w14:paraId="4333B908" w14:textId="2E3682E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Tregu primar i titujve shtetërorë ka shfaqur zhvillime pozitive, ndër të cilat mund të përmenden: i</w:t>
      </w:r>
      <w:r w:rsidR="00064378" w:rsidRPr="00EC6AB6">
        <w:rPr>
          <w:rFonts w:ascii="Garamond" w:hAnsi="Garamond"/>
          <w:sz w:val="24"/>
          <w:szCs w:val="24"/>
          <w:lang w:val="sq-AL"/>
        </w:rPr>
        <w:t>.</w:t>
      </w:r>
      <w:r w:rsidRPr="00EC6AB6">
        <w:rPr>
          <w:rFonts w:ascii="Garamond" w:hAnsi="Garamond"/>
          <w:sz w:val="24"/>
          <w:szCs w:val="24"/>
          <w:lang w:val="sq-AL"/>
        </w:rPr>
        <w:t xml:space="preserve"> kërkesa e tregut për tituj shtetërorë në nivele të kënaqshme, e cila ka arritur të mbulojë nevojat e qeverisë për huamarrje</w:t>
      </w:r>
      <w:r w:rsidR="001D1860" w:rsidRPr="00EC6AB6">
        <w:rPr>
          <w:rFonts w:ascii="Garamond" w:hAnsi="Garamond"/>
          <w:sz w:val="24"/>
          <w:szCs w:val="24"/>
          <w:lang w:val="sq-AL"/>
        </w:rPr>
        <w:t>,</w:t>
      </w:r>
      <w:r w:rsidRPr="00EC6AB6">
        <w:rPr>
          <w:rFonts w:ascii="Garamond" w:hAnsi="Garamond"/>
          <w:sz w:val="24"/>
          <w:szCs w:val="24"/>
          <w:lang w:val="sq-AL"/>
        </w:rPr>
        <w:t xml:space="preserve"> në përputhje me objektivat strategjikë</w:t>
      </w:r>
      <w:r w:rsidR="001D1860" w:rsidRPr="00EC6AB6">
        <w:rPr>
          <w:rFonts w:ascii="Garamond" w:hAnsi="Garamond"/>
          <w:sz w:val="24"/>
          <w:szCs w:val="24"/>
          <w:lang w:val="sq-AL"/>
        </w:rPr>
        <w:t>;</w:t>
      </w:r>
      <w:r w:rsidRPr="00EC6AB6">
        <w:rPr>
          <w:rFonts w:ascii="Garamond" w:hAnsi="Garamond"/>
          <w:sz w:val="24"/>
          <w:szCs w:val="24"/>
          <w:lang w:val="sq-AL"/>
        </w:rPr>
        <w:t xml:space="preserve"> dhe ii</w:t>
      </w:r>
      <w:r w:rsidR="00064378" w:rsidRPr="00EC6AB6">
        <w:rPr>
          <w:rFonts w:ascii="Garamond" w:hAnsi="Garamond"/>
          <w:sz w:val="24"/>
          <w:szCs w:val="24"/>
          <w:lang w:val="sq-AL"/>
        </w:rPr>
        <w:t>.</w:t>
      </w:r>
      <w:r w:rsidRPr="00EC6AB6">
        <w:rPr>
          <w:rFonts w:ascii="Garamond" w:hAnsi="Garamond"/>
          <w:sz w:val="24"/>
          <w:szCs w:val="24"/>
          <w:lang w:val="sq-AL"/>
        </w:rPr>
        <w:t xml:space="preserve"> ndërmarrja e aktiviteteve në kuadër të përmirësimit të infrastrukturës së tregut të titujve shtetërorë</w:t>
      </w:r>
      <w:r w:rsidR="009443F8" w:rsidRPr="00EC6AB6">
        <w:rPr>
          <w:rFonts w:ascii="Garamond" w:hAnsi="Garamond"/>
          <w:sz w:val="24"/>
          <w:szCs w:val="24"/>
          <w:lang w:val="sq-AL"/>
        </w:rPr>
        <w:t>.</w:t>
      </w:r>
      <w:r w:rsidRPr="00EC6AB6">
        <w:rPr>
          <w:rFonts w:ascii="Garamond" w:hAnsi="Garamond"/>
          <w:sz w:val="24"/>
          <w:szCs w:val="24"/>
          <w:lang w:val="sq-AL"/>
        </w:rPr>
        <w:t xml:space="preserve"> </w:t>
      </w:r>
      <w:bookmarkStart w:id="58" w:name="_Toc491954314"/>
      <w:bookmarkStart w:id="59" w:name="_Toc491861001"/>
    </w:p>
    <w:p w14:paraId="4333B909" w14:textId="77777777" w:rsidR="008B3748" w:rsidRPr="00EC6AB6" w:rsidRDefault="002E2A73" w:rsidP="008B3748">
      <w:pPr>
        <w:spacing w:after="0" w:line="240" w:lineRule="auto"/>
        <w:rPr>
          <w:rFonts w:ascii="Garamond" w:hAnsi="Garamond"/>
          <w:sz w:val="24"/>
          <w:szCs w:val="24"/>
          <w:lang w:val="sq-AL"/>
        </w:rPr>
      </w:pPr>
      <w:bookmarkStart w:id="60" w:name="_Toc60129459"/>
      <w:r w:rsidRPr="00EC6AB6">
        <w:rPr>
          <w:rFonts w:ascii="Garamond" w:hAnsi="Garamond"/>
          <w:sz w:val="24"/>
          <w:szCs w:val="24"/>
          <w:lang w:val="sq-AL"/>
        </w:rPr>
        <w:t xml:space="preserve">6.1 </w:t>
      </w:r>
      <w:r w:rsidR="008B3748" w:rsidRPr="00EC6AB6">
        <w:rPr>
          <w:rFonts w:ascii="Garamond" w:hAnsi="Garamond"/>
          <w:sz w:val="24"/>
          <w:szCs w:val="24"/>
          <w:lang w:val="sq-AL"/>
        </w:rPr>
        <w:t>Ecuria e ankandeve dhe kërkesa për tituj shtetërorë</w:t>
      </w:r>
      <w:bookmarkEnd w:id="58"/>
      <w:bookmarkEnd w:id="59"/>
      <w:bookmarkEnd w:id="60"/>
    </w:p>
    <w:p w14:paraId="4333B90A" w14:textId="6C9AE63C" w:rsidR="008B3748" w:rsidRPr="00EC6AB6" w:rsidRDefault="008B3748" w:rsidP="008B3748">
      <w:pPr>
        <w:spacing w:after="0" w:line="240" w:lineRule="auto"/>
        <w:rPr>
          <w:rFonts w:ascii="Garamond" w:hAnsi="Garamond"/>
          <w:sz w:val="24"/>
          <w:szCs w:val="24"/>
          <w:highlight w:val="yellow"/>
          <w:lang w:val="sq-AL"/>
        </w:rPr>
      </w:pPr>
      <w:r w:rsidRPr="00EC6AB6">
        <w:rPr>
          <w:rFonts w:ascii="Garamond" w:hAnsi="Garamond"/>
          <w:sz w:val="24"/>
          <w:szCs w:val="24"/>
          <w:lang w:val="sq-AL"/>
        </w:rPr>
        <w:t xml:space="preserve">Kërkesa për tituj shtetërorë përgjithësisht vazhdon të jetë e </w:t>
      </w:r>
      <w:r w:rsidR="00064378" w:rsidRPr="00EC6AB6">
        <w:rPr>
          <w:rFonts w:ascii="Garamond" w:hAnsi="Garamond"/>
          <w:sz w:val="24"/>
          <w:szCs w:val="24"/>
          <w:lang w:val="sq-AL"/>
        </w:rPr>
        <w:t>qëndrueshme</w:t>
      </w:r>
      <w:r w:rsidRPr="00EC6AB6">
        <w:rPr>
          <w:rFonts w:ascii="Garamond" w:hAnsi="Garamond"/>
          <w:sz w:val="24"/>
          <w:szCs w:val="24"/>
          <w:lang w:val="sq-AL"/>
        </w:rPr>
        <w:t xml:space="preserve">, duke mos paraqitur ndryshime të theksuara në vitet e fundit. Ajo vazhdon të mbështetet tek investitorët </w:t>
      </w:r>
      <w:r w:rsidR="002B79A7" w:rsidRPr="00EC6AB6">
        <w:rPr>
          <w:rFonts w:ascii="Garamond" w:hAnsi="Garamond"/>
          <w:sz w:val="24"/>
          <w:szCs w:val="24"/>
          <w:lang w:val="sq-AL"/>
        </w:rPr>
        <w:t>vendës</w:t>
      </w:r>
      <w:r w:rsidRPr="00EC6AB6">
        <w:rPr>
          <w:rFonts w:ascii="Garamond" w:hAnsi="Garamond"/>
          <w:sz w:val="24"/>
          <w:szCs w:val="24"/>
          <w:lang w:val="sq-AL"/>
        </w:rPr>
        <w:t xml:space="preserve"> (rezident</w:t>
      </w:r>
      <w:r w:rsidR="009443F8" w:rsidRPr="00EC6AB6">
        <w:rPr>
          <w:rFonts w:ascii="Garamond" w:hAnsi="Garamond"/>
          <w:sz w:val="24"/>
          <w:szCs w:val="24"/>
          <w:lang w:val="sq-AL"/>
        </w:rPr>
        <w:t>ë</w:t>
      </w:r>
      <w:r w:rsidRPr="00EC6AB6">
        <w:rPr>
          <w:rFonts w:ascii="Garamond" w:hAnsi="Garamond"/>
          <w:sz w:val="24"/>
          <w:szCs w:val="24"/>
          <w:lang w:val="sq-AL"/>
        </w:rPr>
        <w:t>), ndërkohë që sektori bankar mbetet burimi kryesor i kërkesës. Kërkesa e investitorëve për inst</w:t>
      </w:r>
      <w:r w:rsidR="009443F8" w:rsidRPr="00EC6AB6">
        <w:rPr>
          <w:rFonts w:ascii="Garamond" w:hAnsi="Garamond"/>
          <w:sz w:val="24"/>
          <w:szCs w:val="24"/>
          <w:lang w:val="sq-AL"/>
        </w:rPr>
        <w:t>rumentet e bonove të thesarit 3-mujore dhe 6-</w:t>
      </w:r>
      <w:r w:rsidRPr="00EC6AB6">
        <w:rPr>
          <w:rFonts w:ascii="Garamond" w:hAnsi="Garamond"/>
          <w:sz w:val="24"/>
          <w:szCs w:val="24"/>
          <w:lang w:val="sq-AL"/>
        </w:rPr>
        <w:t>mujore ka një trend në rënie dhe këto instrumente përdoren kryesisht në menaxhimin e likuiditetit. Për</w:t>
      </w:r>
      <w:r w:rsidR="00064378" w:rsidRPr="00EC6AB6">
        <w:rPr>
          <w:rFonts w:ascii="Garamond" w:hAnsi="Garamond"/>
          <w:sz w:val="24"/>
          <w:szCs w:val="24"/>
          <w:lang w:val="sq-AL"/>
        </w:rPr>
        <w:t xml:space="preserve"> </w:t>
      </w:r>
      <w:r w:rsidRPr="00EC6AB6">
        <w:rPr>
          <w:rFonts w:ascii="Garamond" w:hAnsi="Garamond"/>
          <w:sz w:val="24"/>
          <w:szCs w:val="24"/>
          <w:lang w:val="sq-AL"/>
        </w:rPr>
        <w:t xml:space="preserve">sa </w:t>
      </w:r>
      <w:r w:rsidR="00064378" w:rsidRPr="00EC6AB6">
        <w:rPr>
          <w:rFonts w:ascii="Garamond" w:hAnsi="Garamond"/>
          <w:sz w:val="24"/>
          <w:szCs w:val="24"/>
          <w:lang w:val="sq-AL"/>
        </w:rPr>
        <w:t>u</w:t>
      </w:r>
      <w:r w:rsidRPr="00EC6AB6">
        <w:rPr>
          <w:rFonts w:ascii="Garamond" w:hAnsi="Garamond"/>
          <w:sz w:val="24"/>
          <w:szCs w:val="24"/>
          <w:lang w:val="sq-AL"/>
        </w:rPr>
        <w:t xml:space="preserve"> përket instrumenteve me maturitet afatgjatë (obligacione 7</w:t>
      </w:r>
      <w:r w:rsidR="00064378" w:rsidRPr="00EC6AB6">
        <w:rPr>
          <w:rFonts w:ascii="Garamond" w:hAnsi="Garamond"/>
          <w:sz w:val="24"/>
          <w:szCs w:val="24"/>
          <w:lang w:val="sq-AL"/>
        </w:rPr>
        <w:t>-vjeçare dhe 10-</w:t>
      </w:r>
      <w:r w:rsidRPr="00EC6AB6">
        <w:rPr>
          <w:rFonts w:ascii="Garamond" w:hAnsi="Garamond"/>
          <w:sz w:val="24"/>
          <w:szCs w:val="24"/>
          <w:lang w:val="sq-AL"/>
        </w:rPr>
        <w:t>vjeçare) vihet re një rritje e moderuar e kërkesës.</w:t>
      </w:r>
    </w:p>
    <w:p w14:paraId="4333B90B"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Vërehet një përmirësim i dukshëm në raportin e mbulimit (kërkesë/ofertë). Gjatë vitit 2020, pavarësisht nevojave për hua në rritje dhe pasigurisë së krijuar nga pandemia gjatë muajit prill dhe në vazhdim, tregu i brendshëm ka mbuluar plotësisht nevojat për hua të qeverisë, duke reflektuar besimin e investitorëve ndaj Republikës së Shqipërisë dhe mirëkapitalizimin e sektorit bankar.</w:t>
      </w:r>
    </w:p>
    <w:p w14:paraId="5302EBF6" w14:textId="77777777" w:rsidR="00B6338F" w:rsidRPr="00EC6AB6" w:rsidRDefault="00B6338F" w:rsidP="00B6338F">
      <w:pPr>
        <w:spacing w:after="0" w:line="240" w:lineRule="auto"/>
        <w:ind w:firstLine="0"/>
        <w:jc w:val="center"/>
        <w:rPr>
          <w:rFonts w:ascii="Garamond" w:hAnsi="Garamond"/>
          <w:b/>
          <w:i/>
          <w:sz w:val="20"/>
          <w:szCs w:val="20"/>
          <w:lang w:val="sq-AL"/>
        </w:rPr>
      </w:pPr>
    </w:p>
    <w:p w14:paraId="4333B90C" w14:textId="5DFC7198" w:rsidR="008B3748" w:rsidRPr="00EC6AB6" w:rsidRDefault="008B3748" w:rsidP="00B6338F">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B6338F" w:rsidRPr="00EC6AB6">
        <w:rPr>
          <w:rFonts w:ascii="Garamond" w:hAnsi="Garamond"/>
          <w:b/>
          <w:i/>
          <w:sz w:val="20"/>
          <w:szCs w:val="20"/>
          <w:lang w:val="sq-AL"/>
        </w:rPr>
        <w:t xml:space="preserve">grafike </w:t>
      </w:r>
      <w:r w:rsidRPr="00EC6AB6">
        <w:rPr>
          <w:rFonts w:ascii="Garamond" w:hAnsi="Garamond"/>
          <w:b/>
          <w:i/>
          <w:sz w:val="20"/>
          <w:szCs w:val="20"/>
          <w:lang w:val="sq-AL"/>
        </w:rPr>
        <w:t xml:space="preserve">6.1(b): Treguesit e ecurisë së kërkesës dhe </w:t>
      </w:r>
      <w:r w:rsidR="009443F8" w:rsidRPr="00EC6AB6">
        <w:rPr>
          <w:rFonts w:ascii="Garamond" w:hAnsi="Garamond"/>
          <w:b/>
          <w:i/>
          <w:sz w:val="20"/>
          <w:szCs w:val="20"/>
          <w:lang w:val="sq-AL"/>
        </w:rPr>
        <w:t xml:space="preserve">të </w:t>
      </w:r>
      <w:r w:rsidRPr="00EC6AB6">
        <w:rPr>
          <w:rFonts w:ascii="Garamond" w:hAnsi="Garamond"/>
          <w:b/>
          <w:i/>
          <w:sz w:val="20"/>
          <w:szCs w:val="20"/>
          <w:lang w:val="sq-AL"/>
        </w:rPr>
        <w:t>ofertës në tregun primar të titujve shtetërorë (2016</w:t>
      </w:r>
      <w:r w:rsidR="00B6338F"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90D"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noProof/>
          <w:sz w:val="24"/>
          <w:szCs w:val="24"/>
        </w:rPr>
        <w:drawing>
          <wp:inline distT="0" distB="0" distL="0" distR="0" wp14:anchorId="4333BB70" wp14:editId="3DBCF9FE">
            <wp:extent cx="5764696" cy="1582310"/>
            <wp:effectExtent l="0" t="0" r="7620" b="1841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333B90E" w14:textId="77777777" w:rsidR="002E2A73" w:rsidRPr="00EC6AB6" w:rsidRDefault="002E2A73" w:rsidP="008B3748">
      <w:pPr>
        <w:spacing w:after="0" w:line="240" w:lineRule="auto"/>
        <w:rPr>
          <w:rFonts w:ascii="Garamond" w:hAnsi="Garamond"/>
          <w:sz w:val="24"/>
          <w:szCs w:val="24"/>
          <w:lang w:val="sq-AL"/>
        </w:rPr>
      </w:pPr>
    </w:p>
    <w:p w14:paraId="4333B90F" w14:textId="77777777" w:rsidR="008B3748" w:rsidRPr="00EC6AB6" w:rsidRDefault="008B3748" w:rsidP="002E2A7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10" w14:textId="77777777" w:rsidR="002E2A73" w:rsidRPr="00EC6AB6" w:rsidRDefault="002E2A73" w:rsidP="008B3748">
      <w:pPr>
        <w:spacing w:after="0" w:line="240" w:lineRule="auto"/>
        <w:rPr>
          <w:rFonts w:ascii="Garamond" w:hAnsi="Garamond"/>
          <w:sz w:val="24"/>
          <w:szCs w:val="24"/>
          <w:lang w:val="sq-AL"/>
        </w:rPr>
      </w:pPr>
    </w:p>
    <w:p w14:paraId="4333B911" w14:textId="77777777" w:rsidR="002E2A73" w:rsidRPr="00EC6AB6" w:rsidRDefault="002E2A73" w:rsidP="008B3748">
      <w:pPr>
        <w:spacing w:after="0" w:line="240" w:lineRule="auto"/>
        <w:rPr>
          <w:rFonts w:ascii="Garamond" w:hAnsi="Garamond"/>
          <w:sz w:val="24"/>
          <w:szCs w:val="24"/>
          <w:lang w:val="sq-AL"/>
        </w:rPr>
      </w:pPr>
    </w:p>
    <w:p w14:paraId="4333B912" w14:textId="5598B18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pikëpamja e inves</w:t>
      </w:r>
      <w:r w:rsidR="00CA1382" w:rsidRPr="00EC6AB6">
        <w:rPr>
          <w:rFonts w:ascii="Garamond" w:hAnsi="Garamond"/>
          <w:sz w:val="24"/>
          <w:szCs w:val="24"/>
          <w:lang w:val="sq-AL"/>
        </w:rPr>
        <w:t xml:space="preserve">titorëve, baza e investitorëve </w:t>
      </w:r>
      <w:r w:rsidRPr="00EC6AB6">
        <w:rPr>
          <w:rFonts w:ascii="Garamond" w:hAnsi="Garamond"/>
          <w:sz w:val="24"/>
          <w:szCs w:val="24"/>
          <w:lang w:val="sq-AL"/>
        </w:rPr>
        <w:t xml:space="preserve">vijon të jetë e </w:t>
      </w:r>
      <w:r w:rsidR="00B6338F" w:rsidRPr="00EC6AB6">
        <w:rPr>
          <w:rFonts w:ascii="Garamond" w:hAnsi="Garamond"/>
          <w:sz w:val="24"/>
          <w:szCs w:val="24"/>
          <w:lang w:val="sq-AL"/>
        </w:rPr>
        <w:t>përqendruar</w:t>
      </w:r>
      <w:r w:rsidR="00CA1382" w:rsidRPr="00EC6AB6">
        <w:rPr>
          <w:rFonts w:ascii="Garamond" w:hAnsi="Garamond"/>
          <w:sz w:val="24"/>
          <w:szCs w:val="24"/>
          <w:lang w:val="sq-AL"/>
        </w:rPr>
        <w:t xml:space="preserve"> në mbi 60% te</w:t>
      </w:r>
      <w:r w:rsidRPr="00EC6AB6">
        <w:rPr>
          <w:rFonts w:ascii="Garamond" w:hAnsi="Garamond"/>
          <w:sz w:val="24"/>
          <w:szCs w:val="24"/>
          <w:lang w:val="sq-AL"/>
        </w:rPr>
        <w:t xml:space="preserve"> sektori bankar</w:t>
      </w:r>
      <w:r w:rsidR="00CA1382" w:rsidRPr="00EC6AB6">
        <w:rPr>
          <w:rFonts w:ascii="Garamond" w:hAnsi="Garamond"/>
          <w:sz w:val="24"/>
          <w:szCs w:val="24"/>
          <w:lang w:val="sq-AL"/>
        </w:rPr>
        <w:t>,</w:t>
      </w:r>
      <w:r w:rsidRPr="00EC6AB6">
        <w:rPr>
          <w:rFonts w:ascii="Garamond" w:hAnsi="Garamond"/>
          <w:sz w:val="24"/>
          <w:szCs w:val="24"/>
          <w:lang w:val="sq-AL"/>
        </w:rPr>
        <w:t xml:space="preserve"> duke e bërë portofolin e borxhit të brendshëm të ndjeshëm ndaj risqeve sistemike që mund të paraqesë ky sektor. Struktura e tregut primar të titujve po konsolidohet nga strategjia e ndjekur</w:t>
      </w:r>
      <w:r w:rsidR="00CA1382" w:rsidRPr="00EC6AB6">
        <w:rPr>
          <w:rFonts w:ascii="Garamond" w:hAnsi="Garamond"/>
          <w:sz w:val="24"/>
          <w:szCs w:val="24"/>
          <w:lang w:val="sq-AL"/>
        </w:rPr>
        <w:t>,</w:t>
      </w:r>
      <w:r w:rsidRPr="00EC6AB6">
        <w:rPr>
          <w:rFonts w:ascii="Garamond" w:hAnsi="Garamond"/>
          <w:sz w:val="24"/>
          <w:szCs w:val="24"/>
          <w:lang w:val="sq-AL"/>
        </w:rPr>
        <w:t xml:space="preserve"> duke filluar nga muaji korrik 2018, me anë të së cilës synohet zhvillimi i tregut për titujt referencë, si shtysë për zhvillimin e tregut sekondar në të ardhmen.</w:t>
      </w:r>
    </w:p>
    <w:p w14:paraId="4333B913" w14:textId="77777777" w:rsidR="008B3748" w:rsidRPr="00EC6AB6" w:rsidRDefault="008B3748" w:rsidP="008B3748">
      <w:pPr>
        <w:spacing w:after="0" w:line="240" w:lineRule="auto"/>
        <w:rPr>
          <w:rFonts w:ascii="Garamond" w:hAnsi="Garamond"/>
          <w:sz w:val="24"/>
          <w:szCs w:val="24"/>
          <w:lang w:val="sq-AL"/>
        </w:rPr>
      </w:pPr>
    </w:p>
    <w:p w14:paraId="4333B914" w14:textId="485B034D" w:rsidR="008B3748" w:rsidRPr="00EC6AB6" w:rsidRDefault="008B3748" w:rsidP="007E527B">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CA1382" w:rsidRPr="00EC6AB6">
        <w:rPr>
          <w:rFonts w:ascii="Garamond" w:hAnsi="Garamond"/>
          <w:b/>
          <w:i/>
          <w:sz w:val="20"/>
          <w:szCs w:val="20"/>
          <w:lang w:val="sq-AL"/>
        </w:rPr>
        <w:t xml:space="preserve">grafike </w:t>
      </w:r>
      <w:r w:rsidRPr="00EC6AB6">
        <w:rPr>
          <w:rFonts w:ascii="Garamond" w:hAnsi="Garamond"/>
          <w:b/>
          <w:i/>
          <w:sz w:val="20"/>
          <w:szCs w:val="20"/>
          <w:lang w:val="sq-AL"/>
        </w:rPr>
        <w:t>6.1(c): Mbajtësit e borxhit të brendshëm shtetëror (2016</w:t>
      </w:r>
      <w:r w:rsidR="00CA1382" w:rsidRPr="00EC6AB6">
        <w:rPr>
          <w:rFonts w:ascii="Garamond" w:hAnsi="Garamond"/>
          <w:b/>
          <w:i/>
          <w:sz w:val="20"/>
          <w:szCs w:val="20"/>
          <w:lang w:val="sq-AL"/>
        </w:rPr>
        <w:t xml:space="preserve">–shtator </w:t>
      </w:r>
      <w:r w:rsidRPr="00EC6AB6">
        <w:rPr>
          <w:rFonts w:ascii="Garamond" w:hAnsi="Garamond"/>
          <w:b/>
          <w:i/>
          <w:sz w:val="20"/>
          <w:szCs w:val="20"/>
          <w:lang w:val="sq-AL"/>
        </w:rPr>
        <w:t>2020)</w:t>
      </w:r>
    </w:p>
    <w:p w14:paraId="4333B915" w14:textId="77777777" w:rsidR="008B3748" w:rsidRPr="00EC6AB6" w:rsidRDefault="008B3748" w:rsidP="000542E3">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72" wp14:editId="4333BB73">
            <wp:extent cx="5883966" cy="1868557"/>
            <wp:effectExtent l="0" t="0" r="21590" b="1778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333B916" w14:textId="77777777" w:rsidR="008B3748" w:rsidRPr="00EC6AB6" w:rsidRDefault="008B3748" w:rsidP="000542E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17" w14:textId="77777777" w:rsidR="008B3748" w:rsidRPr="00EC6AB6" w:rsidRDefault="008B3748" w:rsidP="008B3748">
      <w:pPr>
        <w:spacing w:after="0" w:line="240" w:lineRule="auto"/>
        <w:rPr>
          <w:rFonts w:ascii="Garamond" w:hAnsi="Garamond"/>
          <w:sz w:val="24"/>
          <w:szCs w:val="24"/>
          <w:lang w:val="sq-AL"/>
        </w:rPr>
      </w:pPr>
    </w:p>
    <w:p w14:paraId="4333B918" w14:textId="122E6C5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kuadër të zhvillimit të infrastrukturës së tregut primar dhe stimulimit të tregut sekondar, kanë vazhduar të ndërmerren aktivitete</w:t>
      </w:r>
      <w:r w:rsidR="007E527B" w:rsidRPr="00EC6AB6">
        <w:rPr>
          <w:rFonts w:ascii="Garamond" w:hAnsi="Garamond"/>
          <w:sz w:val="24"/>
          <w:szCs w:val="24"/>
          <w:lang w:val="sq-AL"/>
        </w:rPr>
        <w:t>,</w:t>
      </w:r>
      <w:r w:rsidRPr="00EC6AB6">
        <w:rPr>
          <w:rFonts w:ascii="Garamond" w:hAnsi="Garamond"/>
          <w:sz w:val="24"/>
          <w:szCs w:val="24"/>
          <w:lang w:val="sq-AL"/>
        </w:rPr>
        <w:t xml:space="preserve"> të cilat kanë pasur si objektiv reduktimin e fragmentimit të kërkesës, si dhe krijimin dhe konsolidimin e madhësive </w:t>
      </w:r>
      <w:r w:rsidRPr="00EC6AB6">
        <w:rPr>
          <w:rFonts w:ascii="Garamond" w:hAnsi="Garamond"/>
          <w:i/>
          <w:sz w:val="24"/>
          <w:szCs w:val="24"/>
          <w:lang w:val="sq-AL"/>
        </w:rPr>
        <w:t>benchmark</w:t>
      </w:r>
      <w:r w:rsidRPr="00EC6AB6">
        <w:rPr>
          <w:rFonts w:ascii="Garamond" w:hAnsi="Garamond"/>
          <w:sz w:val="24"/>
          <w:szCs w:val="24"/>
          <w:lang w:val="sq-AL"/>
        </w:rPr>
        <w:t xml:space="preserve"> për titujt afatgjatë. </w:t>
      </w:r>
    </w:p>
    <w:p w14:paraId="4333B919"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drejtim të uljes së fragmentimit të kërkesës, që prej vitit 2016 janë tërhequr plotësisht obligacionet me norma interesi të ndryshueshme.</w:t>
      </w:r>
    </w:p>
    <w:p w14:paraId="4333B91A"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drejtim të krijimit të madhësive </w:t>
      </w:r>
      <w:r w:rsidRPr="00EC6AB6">
        <w:rPr>
          <w:rFonts w:ascii="Garamond" w:hAnsi="Garamond"/>
          <w:i/>
          <w:sz w:val="24"/>
          <w:szCs w:val="24"/>
          <w:lang w:val="sq-AL"/>
        </w:rPr>
        <w:t>benchmark</w:t>
      </w:r>
      <w:r w:rsidRPr="00EC6AB6">
        <w:rPr>
          <w:rFonts w:ascii="Garamond" w:hAnsi="Garamond"/>
          <w:sz w:val="24"/>
          <w:szCs w:val="24"/>
          <w:lang w:val="sq-AL"/>
        </w:rPr>
        <w:t xml:space="preserve"> është vijuar me konsolidimin e numrit të ankandeve të titujve shtetërorë, duke ulur frekuencën e emetimeve të titujve të rinj dhe duke përdorur rihapjet e titujve ekzistues.</w:t>
      </w:r>
    </w:p>
    <w:p w14:paraId="4333B91B" w14:textId="77777777" w:rsidR="008B3748" w:rsidRPr="00EC6AB6" w:rsidRDefault="008B3748" w:rsidP="008B3748">
      <w:pPr>
        <w:spacing w:after="0" w:line="240" w:lineRule="auto"/>
        <w:rPr>
          <w:rFonts w:ascii="Garamond" w:hAnsi="Garamond"/>
          <w:sz w:val="24"/>
          <w:szCs w:val="24"/>
          <w:lang w:val="sq-AL"/>
        </w:rPr>
      </w:pPr>
    </w:p>
    <w:p w14:paraId="4333B91C" w14:textId="5C439217" w:rsidR="008B3748" w:rsidRPr="00EC6AB6" w:rsidRDefault="008B3748" w:rsidP="00B6338F">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B6338F" w:rsidRPr="00EC6AB6">
        <w:rPr>
          <w:rFonts w:ascii="Garamond" w:hAnsi="Garamond"/>
          <w:b/>
          <w:i/>
          <w:sz w:val="20"/>
          <w:szCs w:val="20"/>
          <w:lang w:val="sq-AL"/>
        </w:rPr>
        <w:t>grafike 6.1</w:t>
      </w:r>
      <w:r w:rsidRPr="00EC6AB6">
        <w:rPr>
          <w:rFonts w:ascii="Garamond" w:hAnsi="Garamond"/>
          <w:b/>
          <w:i/>
          <w:sz w:val="20"/>
          <w:szCs w:val="20"/>
          <w:lang w:val="sq-AL"/>
        </w:rPr>
        <w:t>(d): Ecuria e ankandeve të titujve shtetërorë (2016</w:t>
      </w:r>
      <w:r w:rsidR="00B6338F" w:rsidRPr="00EC6AB6">
        <w:rPr>
          <w:rFonts w:ascii="Garamond" w:hAnsi="Garamond"/>
          <w:b/>
          <w:i/>
          <w:sz w:val="20"/>
          <w:szCs w:val="20"/>
          <w:lang w:val="sq-AL"/>
        </w:rPr>
        <w:t>–</w:t>
      </w:r>
      <w:r w:rsidRPr="00EC6AB6">
        <w:rPr>
          <w:rFonts w:ascii="Garamond" w:hAnsi="Garamond"/>
          <w:b/>
          <w:i/>
          <w:sz w:val="20"/>
          <w:szCs w:val="20"/>
          <w:lang w:val="sq-AL"/>
        </w:rPr>
        <w:t>2020)</w:t>
      </w:r>
    </w:p>
    <w:p w14:paraId="4333B91D" w14:textId="77777777" w:rsidR="008B3748" w:rsidRPr="00EC6AB6" w:rsidRDefault="008B3748" w:rsidP="000542E3">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74" wp14:editId="4333BB75">
            <wp:extent cx="5764696" cy="1868557"/>
            <wp:effectExtent l="0" t="0" r="26670" b="1778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33B91E" w14:textId="77777777" w:rsidR="008B3748" w:rsidRPr="00EC6AB6" w:rsidRDefault="008B3748" w:rsidP="000542E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1F" w14:textId="77777777" w:rsidR="008B3748" w:rsidRPr="00EC6AB6" w:rsidRDefault="008B3748" w:rsidP="008B3748">
      <w:pPr>
        <w:spacing w:after="0" w:line="240" w:lineRule="auto"/>
        <w:rPr>
          <w:rFonts w:ascii="Garamond" w:hAnsi="Garamond"/>
          <w:sz w:val="24"/>
          <w:szCs w:val="24"/>
          <w:lang w:val="sq-AL"/>
        </w:rPr>
      </w:pPr>
    </w:p>
    <w:p w14:paraId="4333B920" w14:textId="21181DD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Gjithashtu, gjatë vitit 2018 është testuar projekti pilot</w:t>
      </w:r>
      <w:r w:rsidR="007E527B" w:rsidRPr="00EC6AB6">
        <w:rPr>
          <w:rFonts w:ascii="Garamond" w:hAnsi="Garamond"/>
          <w:sz w:val="24"/>
          <w:szCs w:val="24"/>
          <w:lang w:val="sq-AL"/>
        </w:rPr>
        <w:t xml:space="preserve"> për emetimin e obligacioneve 5-</w:t>
      </w:r>
      <w:r w:rsidRPr="00EC6AB6">
        <w:rPr>
          <w:rFonts w:ascii="Garamond" w:hAnsi="Garamond"/>
          <w:sz w:val="24"/>
          <w:szCs w:val="24"/>
          <w:lang w:val="sq-AL"/>
        </w:rPr>
        <w:t xml:space="preserve">vjeçare referencë në formën e sistemit </w:t>
      </w:r>
      <w:r w:rsidRPr="00EC6AB6">
        <w:rPr>
          <w:rFonts w:ascii="Garamond" w:hAnsi="Garamond"/>
          <w:i/>
          <w:sz w:val="24"/>
          <w:szCs w:val="24"/>
          <w:lang w:val="sq-AL"/>
        </w:rPr>
        <w:t>Market Maker.</w:t>
      </w:r>
      <w:r w:rsidRPr="00EC6AB6">
        <w:rPr>
          <w:rFonts w:ascii="Garamond" w:hAnsi="Garamond"/>
          <w:sz w:val="24"/>
          <w:szCs w:val="24"/>
          <w:lang w:val="sq-AL"/>
        </w:rPr>
        <w:t xml:space="preserve"> Rezultatet e këtij projekti kanë treguar se ka pasur rritje të volumit të tregtimit të këtij titulli në tregun sekondar dhe për më tepër edhe rritje të volumit të titujve me maturitet të mbetur 5 vite. Nisur nga këto rezultate, gjatë vitit 2019 ky projekt është shtrirë edhe tek obligacionet me afat maturimi 3 v</w:t>
      </w:r>
      <w:r w:rsidR="007E527B" w:rsidRPr="00EC6AB6">
        <w:rPr>
          <w:rFonts w:ascii="Garamond" w:hAnsi="Garamond"/>
          <w:sz w:val="24"/>
          <w:szCs w:val="24"/>
          <w:lang w:val="sq-AL"/>
        </w:rPr>
        <w:t>jet</w:t>
      </w:r>
      <w:r w:rsidRPr="00EC6AB6">
        <w:rPr>
          <w:rFonts w:ascii="Garamond" w:hAnsi="Garamond"/>
          <w:sz w:val="24"/>
          <w:szCs w:val="24"/>
          <w:lang w:val="sq-AL"/>
        </w:rPr>
        <w:t>, si edhe në vijim do të vlerësohet mundësia e zgjerimit me instrumente shtesë</w:t>
      </w:r>
      <w:r w:rsidR="007E527B" w:rsidRPr="00EC6AB6">
        <w:rPr>
          <w:rFonts w:ascii="Garamond" w:hAnsi="Garamond"/>
          <w:sz w:val="24"/>
          <w:szCs w:val="24"/>
          <w:lang w:val="sq-AL"/>
        </w:rPr>
        <w:t>,</w:t>
      </w:r>
      <w:r w:rsidRPr="00EC6AB6">
        <w:rPr>
          <w:rFonts w:ascii="Garamond" w:hAnsi="Garamond"/>
          <w:sz w:val="24"/>
          <w:szCs w:val="24"/>
          <w:lang w:val="sq-AL"/>
        </w:rPr>
        <w:t xml:space="preserve"> si dhe mundësia e përfshirjes së bankave </w:t>
      </w:r>
      <w:r w:rsidRPr="00EC6AB6">
        <w:rPr>
          <w:rFonts w:ascii="Garamond" w:hAnsi="Garamond"/>
          <w:sz w:val="24"/>
          <w:szCs w:val="24"/>
          <w:lang w:val="sq-AL"/>
        </w:rPr>
        <w:lastRenderedPageBreak/>
        <w:t>të tjera në projekt apo qarkullimi i tyre</w:t>
      </w:r>
      <w:r w:rsidR="007E527B" w:rsidRPr="00EC6AB6">
        <w:rPr>
          <w:rFonts w:ascii="Garamond" w:hAnsi="Garamond"/>
          <w:sz w:val="24"/>
          <w:szCs w:val="24"/>
          <w:lang w:val="sq-AL"/>
        </w:rPr>
        <w:t>,</w:t>
      </w:r>
      <w:r w:rsidRPr="00EC6AB6">
        <w:rPr>
          <w:rFonts w:ascii="Garamond" w:hAnsi="Garamond"/>
          <w:sz w:val="24"/>
          <w:szCs w:val="24"/>
          <w:lang w:val="sq-AL"/>
        </w:rPr>
        <w:t xml:space="preserve"> me qëllim një performancë sa më të mire nga ana e bankave</w:t>
      </w:r>
      <w:r w:rsidR="007E527B" w:rsidRPr="00EC6AB6">
        <w:rPr>
          <w:rFonts w:ascii="Garamond" w:hAnsi="Garamond"/>
          <w:sz w:val="24"/>
          <w:szCs w:val="24"/>
          <w:lang w:val="sq-AL"/>
        </w:rPr>
        <w:t>,</w:t>
      </w:r>
      <w:r w:rsidRPr="00EC6AB6">
        <w:rPr>
          <w:rFonts w:ascii="Garamond" w:hAnsi="Garamond"/>
          <w:sz w:val="24"/>
          <w:szCs w:val="24"/>
          <w:lang w:val="sq-AL"/>
        </w:rPr>
        <w:t xml:space="preserve"> si dhe mundësimin e një volumi më të madh tregtimi në tregun sekondar.</w:t>
      </w:r>
    </w:p>
    <w:p w14:paraId="4333B921" w14:textId="77777777" w:rsidR="008B3748" w:rsidRPr="00EC6AB6" w:rsidRDefault="000542E3" w:rsidP="008B3748">
      <w:pPr>
        <w:spacing w:after="0" w:line="240" w:lineRule="auto"/>
        <w:rPr>
          <w:rFonts w:ascii="Garamond" w:hAnsi="Garamond"/>
          <w:sz w:val="24"/>
          <w:szCs w:val="24"/>
          <w:lang w:val="sq-AL"/>
        </w:rPr>
      </w:pPr>
      <w:bookmarkStart w:id="61" w:name="_Toc60129460"/>
      <w:r w:rsidRPr="00EC6AB6">
        <w:rPr>
          <w:rFonts w:ascii="Garamond" w:hAnsi="Garamond"/>
          <w:sz w:val="24"/>
          <w:szCs w:val="24"/>
          <w:lang w:val="sq-AL"/>
        </w:rPr>
        <w:t xml:space="preserve">6.2 </w:t>
      </w:r>
      <w:r w:rsidR="008B3748" w:rsidRPr="00EC6AB6">
        <w:rPr>
          <w:rFonts w:ascii="Garamond" w:hAnsi="Garamond"/>
          <w:sz w:val="24"/>
          <w:szCs w:val="24"/>
          <w:lang w:val="sq-AL"/>
        </w:rPr>
        <w:t>Ecuria e normave të interesit</w:t>
      </w:r>
      <w:bookmarkEnd w:id="61"/>
    </w:p>
    <w:p w14:paraId="4333B922" w14:textId="5D209138"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Normat e interesit të titujve shtetërorë, gjatë viteve të fundit kanë pësuar rënie të vazhdueshme</w:t>
      </w:r>
      <w:r w:rsidR="007E527B" w:rsidRPr="00EC6AB6">
        <w:rPr>
          <w:rFonts w:ascii="Garamond" w:hAnsi="Garamond"/>
          <w:sz w:val="24"/>
          <w:szCs w:val="24"/>
          <w:lang w:val="sq-AL"/>
        </w:rPr>
        <w:t>,</w:t>
      </w:r>
      <w:r w:rsidRPr="00EC6AB6">
        <w:rPr>
          <w:rFonts w:ascii="Garamond" w:hAnsi="Garamond"/>
          <w:sz w:val="24"/>
          <w:szCs w:val="24"/>
          <w:lang w:val="sq-AL"/>
        </w:rPr>
        <w:t xml:space="preserve"> duke u stabilizuar në vitin 2018. Megjithatë, gjatë vitit 2019 normat e interesit kanë vijuar sërish të shfaqin tendenca rënëse, duke reflektuar vazhdimin e politikave lehtësuese të ndërmarra nga Banka e Shqipërisë, si edhe reduktimin e nevojave për hua të qeverisë në gjysmën e parë të vitit, për shkak të likuiditetit të mjaftueshëm të siguruar nga emetimi i </w:t>
      </w:r>
      <w:r w:rsidR="00E9550A" w:rsidRPr="00EC6AB6">
        <w:rPr>
          <w:rFonts w:ascii="Garamond" w:hAnsi="Garamond"/>
          <w:sz w:val="24"/>
          <w:szCs w:val="24"/>
          <w:lang w:val="sq-AL"/>
        </w:rPr>
        <w:t xml:space="preserve">eurobondit </w:t>
      </w:r>
      <w:r w:rsidRPr="00EC6AB6">
        <w:rPr>
          <w:rFonts w:ascii="Garamond" w:hAnsi="Garamond"/>
          <w:sz w:val="24"/>
          <w:szCs w:val="24"/>
          <w:lang w:val="sq-AL"/>
        </w:rPr>
        <w:t>në fund të vitit 2018. Ndërkohë</w:t>
      </w:r>
      <w:r w:rsidR="007E527B" w:rsidRPr="00EC6AB6">
        <w:rPr>
          <w:rFonts w:ascii="Garamond" w:hAnsi="Garamond"/>
          <w:sz w:val="24"/>
          <w:szCs w:val="24"/>
          <w:lang w:val="sq-AL"/>
        </w:rPr>
        <w:t>,</w:t>
      </w:r>
      <w:r w:rsidRPr="00EC6AB6">
        <w:rPr>
          <w:rFonts w:ascii="Garamond" w:hAnsi="Garamond"/>
          <w:sz w:val="24"/>
          <w:szCs w:val="24"/>
          <w:lang w:val="sq-AL"/>
        </w:rPr>
        <w:t xml:space="preserve"> gjatë vitit 2020, normat e interesit në tregun e titujve shtetërorë kanë qenë të qëndrueshme dhe nuk kanë shënuar rritje të q</w:t>
      </w:r>
      <w:r w:rsidR="00B6338F" w:rsidRPr="00EC6AB6">
        <w:rPr>
          <w:rFonts w:ascii="Garamond" w:hAnsi="Garamond"/>
          <w:sz w:val="24"/>
          <w:szCs w:val="24"/>
          <w:lang w:val="sq-AL"/>
        </w:rPr>
        <w:t>e</w:t>
      </w:r>
      <w:r w:rsidRPr="00EC6AB6">
        <w:rPr>
          <w:rFonts w:ascii="Garamond" w:hAnsi="Garamond"/>
          <w:sz w:val="24"/>
          <w:szCs w:val="24"/>
          <w:lang w:val="sq-AL"/>
        </w:rPr>
        <w:t xml:space="preserve">nësishme krahasuar me fundin e vitit 2019, pavarësisht </w:t>
      </w:r>
      <w:r w:rsidRPr="00E9550A">
        <w:rPr>
          <w:rFonts w:ascii="Garamond" w:hAnsi="Garamond"/>
          <w:sz w:val="24"/>
          <w:szCs w:val="24"/>
          <w:lang w:val="sq-AL"/>
        </w:rPr>
        <w:t>huamarrjes atipike</w:t>
      </w:r>
      <w:r w:rsidRPr="00EC6AB6">
        <w:rPr>
          <w:rFonts w:ascii="Garamond" w:hAnsi="Garamond"/>
          <w:sz w:val="24"/>
          <w:szCs w:val="24"/>
          <w:lang w:val="sq-AL"/>
        </w:rPr>
        <w:t xml:space="preserve"> të lartë dhe intensive të realizuar si pasojë e masave fiskale të marra</w:t>
      </w:r>
      <w:r w:rsidR="00F213E0" w:rsidRPr="00EC6AB6">
        <w:rPr>
          <w:rFonts w:ascii="Garamond" w:hAnsi="Garamond"/>
          <w:sz w:val="24"/>
          <w:szCs w:val="24"/>
          <w:lang w:val="sq-AL"/>
        </w:rPr>
        <w:t>,</w:t>
      </w:r>
      <w:r w:rsidRPr="00EC6AB6">
        <w:rPr>
          <w:rFonts w:ascii="Garamond" w:hAnsi="Garamond"/>
          <w:sz w:val="24"/>
          <w:szCs w:val="24"/>
          <w:lang w:val="sq-AL"/>
        </w:rPr>
        <w:t xml:space="preserve"> në kuadrin e parandalimit të përhapjes së pandemisë COVID-19. Deri në fillim të muajit maj, normat e interesit për titujt shtetërore kanë qenë në kahun rritës, duke reflektuar pasigurinë e tregjeve financiare të krijuar nga pandemia, si edhe rritjen e nevojave për hua nga qeveria. Ndërkohë, duke filluar nga fundi i këtij muaji dhe përgjatë muajit qershor normat e interesit kanë hyrë sërish në një trajektore rënëse.</w:t>
      </w:r>
    </w:p>
    <w:p w14:paraId="4333B923" w14:textId="77777777" w:rsidR="008B3748" w:rsidRPr="00EC6AB6" w:rsidRDefault="008B3748" w:rsidP="008B3748">
      <w:pPr>
        <w:spacing w:after="0" w:line="240" w:lineRule="auto"/>
        <w:rPr>
          <w:rFonts w:ascii="Garamond" w:hAnsi="Garamond"/>
          <w:sz w:val="24"/>
          <w:szCs w:val="24"/>
          <w:lang w:val="sq-AL"/>
        </w:rPr>
      </w:pPr>
    </w:p>
    <w:p w14:paraId="4333B924" w14:textId="3F17B172" w:rsidR="008B3748" w:rsidRPr="00EC6AB6" w:rsidRDefault="008B3748" w:rsidP="00B6338F">
      <w:pPr>
        <w:spacing w:after="0" w:line="240" w:lineRule="auto"/>
        <w:jc w:val="center"/>
        <w:rPr>
          <w:rFonts w:ascii="Garamond" w:hAnsi="Garamond"/>
          <w:b/>
          <w:i/>
          <w:sz w:val="20"/>
          <w:szCs w:val="20"/>
          <w:lang w:val="sq-AL"/>
        </w:rPr>
      </w:pPr>
      <w:r w:rsidRPr="00EC6AB6">
        <w:rPr>
          <w:rFonts w:ascii="Garamond" w:hAnsi="Garamond"/>
          <w:b/>
          <w:i/>
          <w:sz w:val="20"/>
          <w:szCs w:val="20"/>
          <w:lang w:val="sq-AL"/>
        </w:rPr>
        <w:t xml:space="preserve">Paraqitje </w:t>
      </w:r>
      <w:r w:rsidR="00B6338F" w:rsidRPr="00EC6AB6">
        <w:rPr>
          <w:rFonts w:ascii="Garamond" w:hAnsi="Garamond"/>
          <w:b/>
          <w:i/>
          <w:sz w:val="20"/>
          <w:szCs w:val="20"/>
          <w:lang w:val="sq-AL"/>
        </w:rPr>
        <w:t xml:space="preserve">grafike </w:t>
      </w:r>
      <w:r w:rsidRPr="00EC6AB6">
        <w:rPr>
          <w:rFonts w:ascii="Garamond" w:hAnsi="Garamond"/>
          <w:b/>
          <w:i/>
          <w:sz w:val="20"/>
          <w:szCs w:val="20"/>
          <w:lang w:val="sq-AL"/>
        </w:rPr>
        <w:t>6.2: Norma mesatare e ponderuar i titujve shtetërorë</w:t>
      </w:r>
      <w:r w:rsidRPr="00EC6AB6">
        <w:rPr>
          <w:rFonts w:ascii="Garamond" w:hAnsi="Garamond"/>
          <w:b/>
          <w:i/>
          <w:sz w:val="20"/>
          <w:szCs w:val="20"/>
          <w:vertAlign w:val="superscript"/>
          <w:lang w:val="sq-AL"/>
        </w:rPr>
        <w:footnoteReference w:id="7"/>
      </w:r>
    </w:p>
    <w:p w14:paraId="22C18ADE" w14:textId="77777777" w:rsidR="00B6338F" w:rsidRPr="00EC6AB6" w:rsidRDefault="00B6338F" w:rsidP="00B6338F">
      <w:pPr>
        <w:spacing w:after="0" w:line="240" w:lineRule="auto"/>
        <w:jc w:val="center"/>
        <w:rPr>
          <w:rFonts w:ascii="Garamond" w:hAnsi="Garamond"/>
          <w:b/>
          <w:i/>
          <w:sz w:val="20"/>
          <w:szCs w:val="20"/>
          <w:lang w:val="sq-AL"/>
        </w:rPr>
      </w:pPr>
    </w:p>
    <w:p w14:paraId="4333B925" w14:textId="77777777" w:rsidR="008B3748" w:rsidRPr="00EC6AB6" w:rsidRDefault="008B3748" w:rsidP="000542E3">
      <w:pPr>
        <w:spacing w:after="0" w:line="240" w:lineRule="auto"/>
        <w:ind w:firstLine="0"/>
        <w:jc w:val="center"/>
        <w:rPr>
          <w:rFonts w:ascii="Garamond" w:hAnsi="Garamond"/>
          <w:sz w:val="24"/>
          <w:szCs w:val="24"/>
          <w:lang w:val="sq-AL"/>
        </w:rPr>
      </w:pPr>
      <w:r w:rsidRPr="00EC6AB6">
        <w:rPr>
          <w:rFonts w:ascii="Garamond" w:hAnsi="Garamond"/>
          <w:noProof/>
          <w:sz w:val="24"/>
          <w:szCs w:val="24"/>
        </w:rPr>
        <w:drawing>
          <wp:inline distT="0" distB="0" distL="0" distR="0" wp14:anchorId="4333BB76" wp14:editId="4333BB77">
            <wp:extent cx="5955665" cy="1939925"/>
            <wp:effectExtent l="0" t="0" r="26035" b="22225"/>
            <wp:docPr id="56" name="Chart 56">
              <a:extLst xmlns:a="http://schemas.openxmlformats.org/drawingml/2006/main">
                <a:ext uri="{FF2B5EF4-FFF2-40B4-BE49-F238E27FC236}">
                  <a16:creationId xmlns:lc="http://schemas.openxmlformats.org/drawingml/2006/lockedCanva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w15="http://schemas.microsoft.com/office/word/2012/wordml"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333B926" w14:textId="77777777" w:rsidR="008B3748" w:rsidRPr="00EC6AB6" w:rsidRDefault="008B3748" w:rsidP="000542E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27" w14:textId="77777777" w:rsidR="008B3748" w:rsidRPr="00EC6AB6" w:rsidRDefault="008B3748" w:rsidP="008B3748">
      <w:pPr>
        <w:spacing w:after="0" w:line="240" w:lineRule="auto"/>
        <w:rPr>
          <w:rFonts w:ascii="Garamond" w:hAnsi="Garamond"/>
          <w:sz w:val="24"/>
          <w:szCs w:val="24"/>
          <w:lang w:val="sq-AL"/>
        </w:rPr>
      </w:pPr>
    </w:p>
    <w:p w14:paraId="4333B928" w14:textId="77777777" w:rsidR="008B3748" w:rsidRPr="00EC6AB6" w:rsidRDefault="000542E3" w:rsidP="008B3748">
      <w:pPr>
        <w:spacing w:after="0" w:line="240" w:lineRule="auto"/>
        <w:rPr>
          <w:rFonts w:ascii="Garamond" w:hAnsi="Garamond"/>
          <w:sz w:val="24"/>
          <w:szCs w:val="24"/>
          <w:lang w:val="sq-AL"/>
        </w:rPr>
      </w:pPr>
      <w:bookmarkStart w:id="62" w:name="_Toc60129461"/>
      <w:bookmarkEnd w:id="0"/>
      <w:bookmarkEnd w:id="1"/>
      <w:bookmarkEnd w:id="2"/>
      <w:r w:rsidRPr="00EC6AB6">
        <w:rPr>
          <w:rFonts w:ascii="Garamond" w:hAnsi="Garamond"/>
          <w:sz w:val="24"/>
          <w:szCs w:val="24"/>
          <w:lang w:val="sq-AL"/>
        </w:rPr>
        <w:t xml:space="preserve">II. </w:t>
      </w:r>
      <w:r w:rsidR="008B3748" w:rsidRPr="00EC6AB6">
        <w:rPr>
          <w:rFonts w:ascii="Garamond" w:hAnsi="Garamond"/>
          <w:sz w:val="24"/>
          <w:szCs w:val="24"/>
          <w:lang w:val="sq-AL"/>
        </w:rPr>
        <w:t>STRATEGJIA E MENAXHIMIT TË BORXHIT</w:t>
      </w:r>
      <w:bookmarkEnd w:id="62"/>
    </w:p>
    <w:p w14:paraId="4333B929" w14:textId="05D3C9EE" w:rsidR="008B3748" w:rsidRPr="00EC6AB6" w:rsidRDefault="000542E3" w:rsidP="008B3748">
      <w:pPr>
        <w:spacing w:after="0" w:line="240" w:lineRule="auto"/>
        <w:rPr>
          <w:rFonts w:ascii="Garamond" w:hAnsi="Garamond"/>
          <w:sz w:val="24"/>
          <w:szCs w:val="24"/>
          <w:lang w:val="sq-AL"/>
        </w:rPr>
      </w:pPr>
      <w:bookmarkStart w:id="63" w:name="_Toc60129462"/>
      <w:bookmarkStart w:id="64" w:name="_Toc491954317"/>
      <w:bookmarkStart w:id="65" w:name="_Toc491861004"/>
      <w:r w:rsidRPr="00EC6AB6">
        <w:rPr>
          <w:rFonts w:ascii="Garamond" w:hAnsi="Garamond"/>
          <w:sz w:val="24"/>
          <w:szCs w:val="24"/>
          <w:lang w:val="sq-AL"/>
        </w:rPr>
        <w:t xml:space="preserve">1. </w:t>
      </w:r>
      <w:r w:rsidR="008B3748" w:rsidRPr="00EC6AB6">
        <w:rPr>
          <w:rFonts w:ascii="Garamond" w:hAnsi="Garamond"/>
          <w:sz w:val="24"/>
          <w:szCs w:val="24"/>
          <w:lang w:val="sq-AL"/>
        </w:rPr>
        <w:t xml:space="preserve">Supozimet </w:t>
      </w:r>
      <w:r w:rsidR="00B6338F" w:rsidRPr="00EC6AB6">
        <w:rPr>
          <w:rFonts w:ascii="Garamond" w:hAnsi="Garamond"/>
          <w:sz w:val="24"/>
          <w:szCs w:val="24"/>
          <w:lang w:val="sq-AL"/>
        </w:rPr>
        <w:t>bazë</w:t>
      </w:r>
      <w:bookmarkEnd w:id="63"/>
      <w:bookmarkEnd w:id="64"/>
      <w:bookmarkEnd w:id="65"/>
    </w:p>
    <w:p w14:paraId="4333B92B" w14:textId="1251382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këtë kapitull paraqiten pritshmëritë, si edhe supozimet bazë që janë përdorur, në lidhje me mjedisin makroekonomik dhe kushtet e tregut në të cilin do të menaxhohet borxhi në periudhën afatmesme </w:t>
      </w:r>
      <w:r w:rsidR="008B6AF9" w:rsidRPr="00EC6AB6">
        <w:rPr>
          <w:rFonts w:ascii="Garamond" w:hAnsi="Garamond"/>
          <w:sz w:val="24"/>
          <w:szCs w:val="24"/>
          <w:lang w:val="sq-AL"/>
        </w:rPr>
        <w:t>2021–2023</w:t>
      </w:r>
      <w:r w:rsidRPr="00EC6AB6">
        <w:rPr>
          <w:rFonts w:ascii="Garamond" w:hAnsi="Garamond"/>
          <w:sz w:val="24"/>
          <w:szCs w:val="24"/>
          <w:lang w:val="sq-AL"/>
        </w:rPr>
        <w:t xml:space="preserve">. </w:t>
      </w:r>
    </w:p>
    <w:p w14:paraId="4333B92C"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noProof/>
          <w:sz w:val="24"/>
          <w:szCs w:val="24"/>
        </w:rPr>
        <mc:AlternateContent>
          <mc:Choice Requires="wps">
            <w:drawing>
              <wp:anchor distT="0" distB="0" distL="114300" distR="114300" simplePos="0" relativeHeight="251658262" behindDoc="1" locked="0" layoutInCell="1" allowOverlap="1" wp14:anchorId="4333BB78" wp14:editId="4333BB79">
                <wp:simplePos x="0" y="0"/>
                <wp:positionH relativeFrom="margin">
                  <wp:posOffset>0</wp:posOffset>
                </wp:positionH>
                <wp:positionV relativeFrom="paragraph">
                  <wp:posOffset>117475</wp:posOffset>
                </wp:positionV>
                <wp:extent cx="5976620" cy="600075"/>
                <wp:effectExtent l="0" t="0" r="24130" b="28575"/>
                <wp:wrapNone/>
                <wp:docPr id="40" name="Rectangle 40"/>
                <wp:cNvGraphicFramePr/>
                <a:graphic xmlns:a="http://schemas.openxmlformats.org/drawingml/2006/main">
                  <a:graphicData uri="http://schemas.microsoft.com/office/word/2010/wordprocessingShape">
                    <wps:wsp>
                      <wps:cNvSpPr/>
                      <wps:spPr>
                        <a:xfrm>
                          <a:off x="0" y="0"/>
                          <a:ext cx="5975985" cy="600075"/>
                        </a:xfrm>
                        <a:prstGeom prst="rect">
                          <a:avLst/>
                        </a:prstGeom>
                        <a:solidFill>
                          <a:srgbClr val="5B9BD5">
                            <a:lumMod val="20000"/>
                            <a:lumOff val="80000"/>
                          </a:srgb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6" style="position:absolute;margin-left:0;margin-top:9.25pt;width:470.6pt;height:47.25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0xEpAIAAHgFAAAOAAAAZHJzL2Uyb0RvYy54bWysVMlu2zAQvRfoPxC8N5LdKF4QOXBipCiQ&#10;JkGTImeaomwB3ErSlt2v7yMlO+upqA/ybJzlzXJ+sVOSbIXzjdElHZzklAjNTdXoVUl/PV5/GVPi&#10;A9MVk0aLku6Fpxezz5/OWzsVQ7M2shKOwIn209aWdB2CnWaZ52uhmD8xVmgoa+MUC2DdKqsca+Fd&#10;yWyY52dZa1xlneHCe0gXnZLOkv+6Fjzc1bUXgciSIreQvi59l/Gbzc7ZdOWYXTe8T4P9QxaKNRpB&#10;j64WLDCycc07V6rhznhThxNuVGbquuEi1YBqBvmbah7WzIpUC8Dx9giT/39u+e323pGmKukp4NFM&#10;oUc/gRrTKykIZACotX4Kuwd773rOg4zV7mqn4j/qILsE6v4IqtgFwiEsJqNiMi4o4dCd5Xk+KqLT&#10;7Pm1dT58E0aRSJTUIXzCkm1vfOhMDyYxmDeyqa4bKRPjVssr6ciWocHF5eRyUaS3cqN+mKoTY07y&#10;vtMQYx468fggRiq+c5PSeuVfatJirocjeCCcYUJryQJIZYGZ1ytKmFxh9HlwKfCr137vj8lhaCvT&#10;PgIWSiTzAQpglX7vMj4rPsz460EcM06u3ycckVowv+5qTNl0Q66agE2TjSppqjwhAkdSRxxF2pUe&#10;79jwrsWRWppqjxlxplseb/l1gyA3qOGeOWwLkMEFCHf41NIALtNTlKyN+/ORPNpjiKGlpMX2Acrf&#10;G+YEoPmuMd6TwWmcx5CY02I0BONeapYvNXqjrgz6P8CtsTyR0T7IA1k7o55wKOYxKlRMc8TumtYz&#10;V6G7Cjg1XMznyQwralm40Q+WR+cRpwjv4+6JOdtPa0BDb81hU9n0zdB2tvGlNvNNMHWTJvoZV3Qw&#10;Mljv1Mv+FMX78ZJPVs8Hc/YXAAD//wMAUEsDBBQABgAIAAAAIQBqYrn93AAAAAcBAAAPAAAAZHJz&#10;L2Rvd25yZXYueG1sTI9PS8NAEMXvgt9hGcGb3U00pcZsSikERBC01fs0OybB7B+y2zZ+e8eTPb73&#10;hvd+U61nO4oTTXHwTkO2UCDItd4MrtPwsW/uViBiQmdw9I40/FCEdX19VWFp/Nm902mXOsElLpao&#10;oU8plFLGtieLceEDOc6+/GQxsZw6aSY8c7kdZa7UUlocHC/0GGjbU/u9O1oNr6g2Iby9bPNiWexb&#10;2TWf/rnR+vZm3jyBSDSn/2P4w2d0qJnp4I/ORDFq4EcSu6sCBKePD1kO4sBGdq9A1pW85K9/AQAA&#10;//8DAFBLAQItABQABgAIAAAAIQC2gziS/gAAAOEBAAATAAAAAAAAAAAAAAAAAAAAAABbQ29udGVu&#10;dF9UeXBlc10ueG1sUEsBAi0AFAAGAAgAAAAhADj9If/WAAAAlAEAAAsAAAAAAAAAAAAAAAAALwEA&#10;AF9yZWxzLy5yZWxzUEsBAi0AFAAGAAgAAAAhAC47TESkAgAAeAUAAA4AAAAAAAAAAAAAAAAALgIA&#10;AGRycy9lMm9Eb2MueG1sUEsBAi0AFAAGAAgAAAAhAGpiuf3cAAAABwEAAA8AAAAAAAAAAAAAAAAA&#10;/gQAAGRycy9kb3ducmV2LnhtbFBLBQYAAAAABAAEAPMAAAAHBgAAAAA=&#10;" fillcolor="#deebf7" strokecolor="#595959" strokeweight="1pt">
                <w10:wrap anchorx="margin"/>
              </v:rect>
            </w:pict>
          </mc:Fallback>
        </mc:AlternateContent>
      </w:r>
    </w:p>
    <w:p w14:paraId="4333B92D" w14:textId="21741320" w:rsidR="008B3748" w:rsidRPr="00EC6AB6" w:rsidRDefault="008B3748" w:rsidP="00FF384A">
      <w:pPr>
        <w:spacing w:after="0" w:line="240" w:lineRule="auto"/>
        <w:ind w:firstLine="0"/>
        <w:rPr>
          <w:rFonts w:ascii="Garamond" w:hAnsi="Garamond"/>
          <w:sz w:val="24"/>
          <w:szCs w:val="24"/>
          <w:lang w:val="sq-AL"/>
        </w:rPr>
      </w:pPr>
      <w:r w:rsidRPr="00EC6AB6">
        <w:rPr>
          <w:rFonts w:ascii="Garamond" w:hAnsi="Garamond"/>
          <w:sz w:val="24"/>
          <w:szCs w:val="24"/>
          <w:lang w:val="sq-AL"/>
        </w:rPr>
        <w:t>Supozimet e përdorura janë faktorë kyç dhe çdo ndryshim i tyre nga skenari bazë mund të ketë ndikim mbi nivelin e financimit dhe</w:t>
      </w:r>
      <w:r w:rsidR="00FF384A" w:rsidRPr="00EC6AB6">
        <w:rPr>
          <w:rFonts w:ascii="Garamond" w:hAnsi="Garamond"/>
          <w:sz w:val="24"/>
          <w:szCs w:val="24"/>
          <w:lang w:val="sq-AL"/>
        </w:rPr>
        <w:t>,</w:t>
      </w:r>
      <w:r w:rsidRPr="00EC6AB6">
        <w:rPr>
          <w:rFonts w:ascii="Garamond" w:hAnsi="Garamond"/>
          <w:sz w:val="24"/>
          <w:szCs w:val="24"/>
          <w:lang w:val="sq-AL"/>
        </w:rPr>
        <w:t xml:space="preserve"> për rrjedhojë</w:t>
      </w:r>
      <w:r w:rsidR="00FF384A" w:rsidRPr="00EC6AB6">
        <w:rPr>
          <w:rFonts w:ascii="Garamond" w:hAnsi="Garamond"/>
          <w:sz w:val="24"/>
          <w:szCs w:val="24"/>
          <w:lang w:val="sq-AL"/>
        </w:rPr>
        <w:t>,</w:t>
      </w:r>
      <w:r w:rsidRPr="00EC6AB6">
        <w:rPr>
          <w:rFonts w:ascii="Garamond" w:hAnsi="Garamond"/>
          <w:sz w:val="24"/>
          <w:szCs w:val="24"/>
          <w:lang w:val="sq-AL"/>
        </w:rPr>
        <w:t xml:space="preserve"> edhe mbi kostot e borxhit dhe realizimin e objektivave strategjikë të përcaktuar në SAMB. </w:t>
      </w:r>
    </w:p>
    <w:p w14:paraId="4333B92E" w14:textId="77777777" w:rsidR="008B3748" w:rsidRPr="00EC6AB6" w:rsidRDefault="008B3748" w:rsidP="008B3748">
      <w:pPr>
        <w:spacing w:after="0" w:line="240" w:lineRule="auto"/>
        <w:rPr>
          <w:rFonts w:ascii="Garamond" w:hAnsi="Garamond"/>
          <w:sz w:val="24"/>
          <w:szCs w:val="24"/>
          <w:lang w:val="sq-AL"/>
        </w:rPr>
      </w:pPr>
    </w:p>
    <w:p w14:paraId="4333B92F" w14:textId="77777777" w:rsidR="008B3748" w:rsidRPr="00EC6AB6" w:rsidRDefault="000542E3" w:rsidP="008B3748">
      <w:pPr>
        <w:spacing w:after="0" w:line="240" w:lineRule="auto"/>
        <w:rPr>
          <w:rFonts w:ascii="Garamond" w:hAnsi="Garamond"/>
          <w:sz w:val="24"/>
          <w:szCs w:val="24"/>
          <w:lang w:val="sq-AL"/>
        </w:rPr>
      </w:pPr>
      <w:bookmarkStart w:id="66" w:name="_Toc60129463"/>
      <w:r w:rsidRPr="00EC6AB6">
        <w:rPr>
          <w:rFonts w:ascii="Garamond" w:hAnsi="Garamond"/>
          <w:sz w:val="24"/>
          <w:szCs w:val="24"/>
          <w:lang w:val="sq-AL"/>
        </w:rPr>
        <w:t xml:space="preserve">1.1 </w:t>
      </w:r>
      <w:r w:rsidR="008B3748" w:rsidRPr="00EC6AB6">
        <w:rPr>
          <w:rFonts w:ascii="Garamond" w:hAnsi="Garamond"/>
          <w:sz w:val="24"/>
          <w:szCs w:val="24"/>
          <w:lang w:val="sq-AL"/>
        </w:rPr>
        <w:t>Zhvillimet aktuale dhe pritshmëritë në sektorin real, sektorin e jashtëm, atë financiar dhe sektorin fiskal.</w:t>
      </w:r>
      <w:bookmarkEnd w:id="66"/>
    </w:p>
    <w:p w14:paraId="4333B930" w14:textId="59D00CA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Ekonomia shqiptare përjetoi dy goditje të forta brenda një harku kohor të shkurtër që përfshin tremujorin e katërt të vitit 2019 dhe gjashtëmujorin e parë të vitit 2020. Në muajin nëntor të vitit 2019, vendi u godit nga një tërmet tepër i fortë</w:t>
      </w:r>
      <w:r w:rsidR="00FF384A" w:rsidRPr="00EC6AB6">
        <w:rPr>
          <w:rFonts w:ascii="Garamond" w:hAnsi="Garamond"/>
          <w:sz w:val="24"/>
          <w:szCs w:val="24"/>
          <w:lang w:val="sq-AL"/>
        </w:rPr>
        <w:t>,</w:t>
      </w:r>
      <w:r w:rsidRPr="00EC6AB6">
        <w:rPr>
          <w:rFonts w:ascii="Garamond" w:hAnsi="Garamond"/>
          <w:sz w:val="24"/>
          <w:szCs w:val="24"/>
          <w:lang w:val="sq-AL"/>
        </w:rPr>
        <w:t xml:space="preserve"> që solli dëme në njerëz dhe në ekonomi, ndërsa në muajin mars të vitit 2020 pandemia e COVID-19 u përhap edhe në Shqipëri, masat e </w:t>
      </w:r>
      <w:r w:rsidRPr="00EC6AB6">
        <w:rPr>
          <w:rFonts w:ascii="Garamond" w:hAnsi="Garamond"/>
          <w:sz w:val="24"/>
          <w:szCs w:val="24"/>
          <w:lang w:val="sq-AL"/>
        </w:rPr>
        <w:lastRenderedPageBreak/>
        <w:t>ndërmarra ndaj së cilës, impaktuan ndjeshëm aktivitetin ekonomik në vend. Viti 2019 shënoi rritje ekonomike prej 2.2%, krahasuar me rritjen prej 4.1% të një viti më parë, si pasojë e faktorëve të paqëndrueshëm apo të përkohshëm pёrgjatё vitit, por edhe si pasojë e goditjes nga tërmeti, ku PBB</w:t>
      </w:r>
      <w:r w:rsidR="00FF384A" w:rsidRPr="00EC6AB6">
        <w:rPr>
          <w:rFonts w:ascii="Garamond" w:hAnsi="Garamond"/>
          <w:sz w:val="24"/>
          <w:szCs w:val="24"/>
          <w:lang w:val="sq-AL"/>
        </w:rPr>
        <w:t>-ja</w:t>
      </w:r>
      <w:r w:rsidRPr="00EC6AB6">
        <w:rPr>
          <w:rFonts w:ascii="Garamond" w:hAnsi="Garamond"/>
          <w:sz w:val="24"/>
          <w:szCs w:val="24"/>
          <w:lang w:val="sq-AL"/>
        </w:rPr>
        <w:t xml:space="preserve"> reale u tkurr me 0.1% në terma vjetorë në tremujorin e katërt, pas një rritje</w:t>
      </w:r>
      <w:r w:rsidR="008B6AAE" w:rsidRPr="00EC6AB6">
        <w:rPr>
          <w:rFonts w:ascii="Garamond" w:hAnsi="Garamond"/>
          <w:sz w:val="24"/>
          <w:szCs w:val="24"/>
          <w:lang w:val="sq-AL"/>
        </w:rPr>
        <w:t>je</w:t>
      </w:r>
      <w:r w:rsidRPr="00EC6AB6">
        <w:rPr>
          <w:rFonts w:ascii="Garamond" w:hAnsi="Garamond"/>
          <w:sz w:val="24"/>
          <w:szCs w:val="24"/>
          <w:lang w:val="sq-AL"/>
        </w:rPr>
        <w:t xml:space="preserve"> prej 4.2% në tremujorin e tretë.</w:t>
      </w:r>
    </w:p>
    <w:p w14:paraId="4333B931" w14:textId="6F27341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Ekonomia, për tremujorin e dytë të vitit 2020, ka pësuar rënie me 10.23%</w:t>
      </w:r>
      <w:r w:rsidR="00FA2519" w:rsidRPr="00EC6AB6">
        <w:rPr>
          <w:rFonts w:ascii="Garamond" w:hAnsi="Garamond"/>
          <w:sz w:val="24"/>
          <w:szCs w:val="24"/>
          <w:lang w:val="sq-AL"/>
        </w:rPr>
        <w:t xml:space="preserve"> </w:t>
      </w:r>
      <w:r w:rsidRPr="00EC6AB6">
        <w:rPr>
          <w:rFonts w:ascii="Garamond" w:hAnsi="Garamond"/>
          <w:sz w:val="24"/>
          <w:szCs w:val="24"/>
          <w:lang w:val="sq-AL"/>
        </w:rPr>
        <w:t>krahasuar me tremujorin e dytë të vitit 2019</w:t>
      </w:r>
      <w:r w:rsidR="008B6AAE" w:rsidRPr="00EC6AB6">
        <w:rPr>
          <w:rFonts w:ascii="Garamond" w:hAnsi="Garamond"/>
          <w:sz w:val="24"/>
          <w:szCs w:val="24"/>
          <w:lang w:val="sq-AL"/>
        </w:rPr>
        <w:t>,</w:t>
      </w:r>
      <w:r w:rsidRPr="00EC6AB6">
        <w:rPr>
          <w:rFonts w:ascii="Garamond" w:hAnsi="Garamond"/>
          <w:sz w:val="24"/>
          <w:szCs w:val="24"/>
          <w:lang w:val="sq-AL"/>
        </w:rPr>
        <w:t xml:space="preserve"> sipas vlerësimit më të fundit të disponueshëm nga INSTAT</w:t>
      </w:r>
      <w:r w:rsidR="008B6AAE" w:rsidRPr="00EC6AB6">
        <w:rPr>
          <w:rFonts w:ascii="Garamond" w:hAnsi="Garamond"/>
          <w:sz w:val="24"/>
          <w:szCs w:val="24"/>
          <w:lang w:val="sq-AL"/>
        </w:rPr>
        <w:t>-i</w:t>
      </w:r>
      <w:r w:rsidRPr="00EC6AB6">
        <w:rPr>
          <w:rFonts w:ascii="Garamond" w:hAnsi="Garamond"/>
          <w:sz w:val="24"/>
          <w:szCs w:val="24"/>
          <w:lang w:val="sq-AL"/>
        </w:rPr>
        <w:t>, e ndjekur nga rënia prej 2.27% në tremujorin e parë. Për të gjithë 6-mujorin e parë shënoi rënie me 6.57%. Shqipëria është veçanërisht e ekspozuar ndaj tkurrjes ekonomike prej pandemisë</w:t>
      </w:r>
      <w:r w:rsidR="008B6AAE" w:rsidRPr="00EC6AB6">
        <w:rPr>
          <w:rFonts w:ascii="Garamond" w:hAnsi="Garamond"/>
          <w:sz w:val="24"/>
          <w:szCs w:val="24"/>
          <w:lang w:val="sq-AL"/>
        </w:rPr>
        <w:t>,</w:t>
      </w:r>
      <w:r w:rsidRPr="00EC6AB6">
        <w:rPr>
          <w:rFonts w:ascii="Garamond" w:hAnsi="Garamond"/>
          <w:sz w:val="24"/>
          <w:szCs w:val="24"/>
          <w:lang w:val="sq-AL"/>
        </w:rPr>
        <w:t xml:space="preserve"> për shkak se mbështetet fort nga sektori i turizmit dhe për shkak të marrëdhënieve të saj intensive me disa ekonomi të BE-së të prekura rëndë nga pandemia.</w:t>
      </w:r>
    </w:p>
    <w:p w14:paraId="4333B932" w14:textId="6DC48F8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Inflacioni përgjatë vitit 2019 ka shënuar ritme më të ulëta krahasuar me një vit me parë.</w:t>
      </w:r>
      <w:r w:rsidR="00FA2519" w:rsidRPr="00EC6AB6">
        <w:rPr>
          <w:rFonts w:ascii="Garamond" w:hAnsi="Garamond"/>
          <w:sz w:val="24"/>
          <w:szCs w:val="24"/>
          <w:lang w:val="sq-AL"/>
        </w:rPr>
        <w:t xml:space="preserve"> </w:t>
      </w:r>
      <w:r w:rsidRPr="00EC6AB6">
        <w:rPr>
          <w:rFonts w:ascii="Garamond" w:hAnsi="Garamond"/>
          <w:sz w:val="24"/>
          <w:szCs w:val="24"/>
          <w:lang w:val="sq-AL"/>
        </w:rPr>
        <w:t>Ndërsa nga të</w:t>
      </w:r>
      <w:r w:rsidR="00FA2519" w:rsidRPr="00EC6AB6">
        <w:rPr>
          <w:rFonts w:ascii="Garamond" w:hAnsi="Garamond"/>
          <w:sz w:val="24"/>
          <w:szCs w:val="24"/>
          <w:lang w:val="sq-AL"/>
        </w:rPr>
        <w:t xml:space="preserve"> </w:t>
      </w:r>
      <w:r w:rsidRPr="00EC6AB6">
        <w:rPr>
          <w:rFonts w:ascii="Garamond" w:hAnsi="Garamond"/>
          <w:sz w:val="24"/>
          <w:szCs w:val="24"/>
          <w:lang w:val="sq-AL"/>
        </w:rPr>
        <w:t>dhënat e disponueshme, inflaci</w:t>
      </w:r>
      <w:r w:rsidR="008B6AAE" w:rsidRPr="00EC6AB6">
        <w:rPr>
          <w:rFonts w:ascii="Garamond" w:hAnsi="Garamond"/>
          <w:sz w:val="24"/>
          <w:szCs w:val="24"/>
          <w:lang w:val="sq-AL"/>
        </w:rPr>
        <w:t>oni mesatar për periudhën janar</w:t>
      </w:r>
      <w:r w:rsidRPr="00EC6AB6">
        <w:rPr>
          <w:rFonts w:ascii="Garamond" w:hAnsi="Garamond"/>
          <w:sz w:val="24"/>
          <w:szCs w:val="24"/>
          <w:lang w:val="sq-AL"/>
        </w:rPr>
        <w:t>–shtator të vitit 2020 është 1.6%, pra në rritje krahasuar me vitin paraardhës. Kjo ecuri u diktua nga rritja e kostove të prodhimit e të transportit, efekte këto të cilat dominuan mbi ndikimin rënës në inflacion që sjell tkurrja e kërkesës agregate.</w:t>
      </w:r>
    </w:p>
    <w:p w14:paraId="4333B933" w14:textId="01E945F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Pozicioni fiskal është përmirësuar në vitet e fundit në saj</w:t>
      </w:r>
      <w:r w:rsidR="008B6AAE" w:rsidRPr="00EC6AB6">
        <w:rPr>
          <w:rFonts w:ascii="Garamond" w:hAnsi="Garamond"/>
          <w:sz w:val="24"/>
          <w:szCs w:val="24"/>
          <w:lang w:val="sq-AL"/>
        </w:rPr>
        <w:t>e</w:t>
      </w:r>
      <w:r w:rsidRPr="00EC6AB6">
        <w:rPr>
          <w:rFonts w:ascii="Garamond" w:hAnsi="Garamond"/>
          <w:sz w:val="24"/>
          <w:szCs w:val="24"/>
          <w:lang w:val="sq-AL"/>
        </w:rPr>
        <w:t xml:space="preserve"> të sjelljes konsoliduese që ka shfaqur politika fiskale, në funksion të arritjes dhe </w:t>
      </w:r>
      <w:r w:rsidR="00891658" w:rsidRPr="00EC6AB6">
        <w:rPr>
          <w:rFonts w:ascii="Garamond" w:hAnsi="Garamond"/>
          <w:sz w:val="24"/>
          <w:szCs w:val="24"/>
          <w:lang w:val="sq-AL"/>
        </w:rPr>
        <w:t xml:space="preserve">të </w:t>
      </w:r>
      <w:r w:rsidRPr="00EC6AB6">
        <w:rPr>
          <w:rFonts w:ascii="Garamond" w:hAnsi="Garamond"/>
          <w:sz w:val="24"/>
          <w:szCs w:val="24"/>
          <w:lang w:val="sq-AL"/>
        </w:rPr>
        <w:t>ruajtjes së qëndrueshmërisë fiskale në afatin e mesëm e më tej.</w:t>
      </w:r>
      <w:r w:rsidR="00FA2519" w:rsidRPr="00EC6AB6">
        <w:rPr>
          <w:rFonts w:ascii="Garamond" w:hAnsi="Garamond"/>
          <w:sz w:val="24"/>
          <w:szCs w:val="24"/>
          <w:lang w:val="sq-AL"/>
        </w:rPr>
        <w:t xml:space="preserve"> </w:t>
      </w:r>
      <w:r w:rsidRPr="00EC6AB6">
        <w:rPr>
          <w:rFonts w:ascii="Garamond" w:hAnsi="Garamond"/>
          <w:sz w:val="24"/>
          <w:szCs w:val="24"/>
          <w:lang w:val="sq-AL"/>
        </w:rPr>
        <w:t>Së pari, kjo është materializuar në uljen e deficitit të përgjithshëm buxhetor nga 5 për</w:t>
      </w:r>
      <w:r w:rsidR="00B6338F" w:rsidRPr="00EC6AB6">
        <w:rPr>
          <w:rFonts w:ascii="Garamond" w:hAnsi="Garamond"/>
          <w:sz w:val="24"/>
          <w:szCs w:val="24"/>
          <w:lang w:val="sq-AL"/>
        </w:rPr>
        <w:t xml:space="preserve"> </w:t>
      </w:r>
      <w:r w:rsidRPr="00EC6AB6">
        <w:rPr>
          <w:rFonts w:ascii="Garamond" w:hAnsi="Garamond"/>
          <w:sz w:val="24"/>
          <w:szCs w:val="24"/>
          <w:lang w:val="sq-AL"/>
        </w:rPr>
        <w:t>qind të PBB në 2013</w:t>
      </w:r>
      <w:r w:rsidR="00891658" w:rsidRPr="00EC6AB6">
        <w:rPr>
          <w:rFonts w:ascii="Garamond" w:hAnsi="Garamond"/>
          <w:sz w:val="24"/>
          <w:szCs w:val="24"/>
          <w:lang w:val="sq-AL"/>
        </w:rPr>
        <w:t>-ën</w:t>
      </w:r>
      <w:r w:rsidRPr="00EC6AB6">
        <w:rPr>
          <w:rFonts w:ascii="Garamond" w:hAnsi="Garamond"/>
          <w:sz w:val="24"/>
          <w:szCs w:val="24"/>
          <w:lang w:val="sq-AL"/>
        </w:rPr>
        <w:t xml:space="preserve"> në poshtë nivelit prej 2 përqind</w:t>
      </w:r>
      <w:r w:rsidR="00891658" w:rsidRPr="00EC6AB6">
        <w:rPr>
          <w:rFonts w:ascii="Garamond" w:hAnsi="Garamond"/>
          <w:sz w:val="24"/>
          <w:szCs w:val="24"/>
          <w:lang w:val="sq-AL"/>
        </w:rPr>
        <w:t>ësh</w:t>
      </w:r>
      <w:r w:rsidRPr="00EC6AB6">
        <w:rPr>
          <w:rFonts w:ascii="Garamond" w:hAnsi="Garamond"/>
          <w:sz w:val="24"/>
          <w:szCs w:val="24"/>
          <w:lang w:val="sq-AL"/>
        </w:rPr>
        <w:t xml:space="preserve"> deri në vitin e shkuar (2019). Në vitin aktual 2020, bazuar në zhvillimet e lartpërm</w:t>
      </w:r>
      <w:r w:rsidR="00891658" w:rsidRPr="00EC6AB6">
        <w:rPr>
          <w:rFonts w:ascii="Garamond" w:hAnsi="Garamond"/>
          <w:sz w:val="24"/>
          <w:szCs w:val="24"/>
          <w:lang w:val="sq-AL"/>
        </w:rPr>
        <w:t>e</w:t>
      </w:r>
      <w:r w:rsidRPr="00EC6AB6">
        <w:rPr>
          <w:rFonts w:ascii="Garamond" w:hAnsi="Garamond"/>
          <w:sz w:val="24"/>
          <w:szCs w:val="24"/>
          <w:lang w:val="sq-AL"/>
        </w:rPr>
        <w:t>ndura, deficiti i përgjithshëm buxhetor pritet të shënojë 6.8%, 6.5% në vitin 2021 e më tej pritet përmirësim drejt nivelit prej 2% në fund të periudhës afatmesme. Ndërkohë</w:t>
      </w:r>
      <w:r w:rsidR="00891658" w:rsidRPr="00EC6AB6">
        <w:rPr>
          <w:rFonts w:ascii="Garamond" w:hAnsi="Garamond"/>
          <w:sz w:val="24"/>
          <w:szCs w:val="24"/>
          <w:lang w:val="sq-AL"/>
        </w:rPr>
        <w:t>,</w:t>
      </w:r>
      <w:r w:rsidRPr="00EC6AB6">
        <w:rPr>
          <w:rFonts w:ascii="Garamond" w:hAnsi="Garamond"/>
          <w:sz w:val="24"/>
          <w:szCs w:val="24"/>
          <w:lang w:val="sq-AL"/>
        </w:rPr>
        <w:t xml:space="preserve"> objektivi themelor për periudhën afatmesme do të jetë synimi i një trajektore</w:t>
      </w:r>
      <w:r w:rsidR="0002476C" w:rsidRPr="00EC6AB6">
        <w:rPr>
          <w:rFonts w:ascii="Garamond" w:hAnsi="Garamond"/>
          <w:sz w:val="24"/>
          <w:szCs w:val="24"/>
          <w:lang w:val="sq-AL"/>
        </w:rPr>
        <w:t>je</w:t>
      </w:r>
      <w:r w:rsidRPr="00EC6AB6">
        <w:rPr>
          <w:rFonts w:ascii="Garamond" w:hAnsi="Garamond"/>
          <w:sz w:val="24"/>
          <w:szCs w:val="24"/>
          <w:lang w:val="sq-AL"/>
        </w:rPr>
        <w:t xml:space="preserve"> rënëse të borxhit publik</w:t>
      </w:r>
      <w:r w:rsidR="0002476C" w:rsidRPr="00EC6AB6">
        <w:rPr>
          <w:rFonts w:ascii="Garamond" w:hAnsi="Garamond"/>
          <w:sz w:val="24"/>
          <w:szCs w:val="24"/>
          <w:lang w:val="sq-AL"/>
        </w:rPr>
        <w:t>,</w:t>
      </w:r>
      <w:r w:rsidRPr="00EC6AB6">
        <w:rPr>
          <w:rFonts w:ascii="Garamond" w:hAnsi="Garamond"/>
          <w:sz w:val="24"/>
          <w:szCs w:val="24"/>
          <w:lang w:val="sq-AL"/>
        </w:rPr>
        <w:t xml:space="preserve"> duke targetuar si objektiv operativ vjetor rikthimin e buxhetit në një balancë primare të balancuar ose me suficit mundësisht që prej vitit 2022, por domosdoshmërisht prej vitit buxhetor 2023 dhe në vijim. Në përputhje të plotë edhe me rregullat fiskale në ligjin organik të buxhetit, politika fiskale do të vijojë të orientohet drejt konsolidimit fiskal në periudhën afatmesme dhe afatgjatë. Kjo në mënyrë të qenësishme për të ruajtur një nivel të investimeve publike në rreth 5% të PBB</w:t>
      </w:r>
      <w:r w:rsidR="00B6338F" w:rsidRPr="00EC6AB6">
        <w:rPr>
          <w:rFonts w:ascii="Garamond" w:hAnsi="Garamond"/>
          <w:sz w:val="24"/>
          <w:szCs w:val="24"/>
          <w:lang w:val="sq-AL"/>
        </w:rPr>
        <w:t>-së</w:t>
      </w:r>
      <w:r w:rsidRPr="00EC6AB6">
        <w:rPr>
          <w:rFonts w:ascii="Garamond" w:hAnsi="Garamond"/>
          <w:sz w:val="24"/>
          <w:szCs w:val="24"/>
          <w:lang w:val="sq-AL"/>
        </w:rPr>
        <w:t xml:space="preserve"> në vitet </w:t>
      </w:r>
      <w:r w:rsidR="008B6AF9" w:rsidRPr="00EC6AB6">
        <w:rPr>
          <w:rFonts w:ascii="Garamond" w:hAnsi="Garamond"/>
          <w:sz w:val="24"/>
          <w:szCs w:val="24"/>
          <w:lang w:val="sq-AL"/>
        </w:rPr>
        <w:t>2021–2023</w:t>
      </w:r>
      <w:r w:rsidR="0002476C" w:rsidRPr="00EC6AB6">
        <w:rPr>
          <w:rFonts w:ascii="Garamond" w:hAnsi="Garamond"/>
          <w:sz w:val="24"/>
          <w:szCs w:val="24"/>
          <w:lang w:val="sq-AL"/>
        </w:rPr>
        <w:t>,</w:t>
      </w:r>
      <w:r w:rsidRPr="00EC6AB6">
        <w:rPr>
          <w:rFonts w:ascii="Garamond" w:hAnsi="Garamond"/>
          <w:sz w:val="24"/>
          <w:szCs w:val="24"/>
          <w:lang w:val="sq-AL"/>
        </w:rPr>
        <w:t xml:space="preserve"> në mënyrë që të stimulojë formimin e kapitalit fiks bruto në ekonomi, esenciale kjo për të mbështetur nivele relativisht të larta rritje në periudhën afatmesme dhe afatgjatë. </w:t>
      </w:r>
    </w:p>
    <w:p w14:paraId="4333B934" w14:textId="6D2E89B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Pozicioni i jashtëm i ekonomisë dhe bilanci i pagesave mbetet i qëndrueshëm. Ka pasur një zgjerim të deficitit të llogarisë korrente për gjysmën e parë të këtij viti, duke reflektuar së bashku ngushtimin e suficitit tregtar në shërbime dhe balancës pozitive të të ardhurave dytësore, si dhe njëkohësisht zgjerimin e balancës negative të të ardhurave parësore. Këta faktorë janë kompensuar pjesërisht nga rënia e deficitit tregtar në mallra, në reflektim të dobësimit të kërkesës së brendshme dhe bilancit të favorshëm të energjisë. Në të njëjtën kohë, flukset neto pozitive në llogarinë kapitale shënuan 23 milionë euro. Referuar vitit të kaluar, ky nivel vlerësohet rreth 2 herë më i lartë dhe është ndikuar kryesisht nga zgjerimi i transfertave kapitale drejt sektorit privat. Fluksi i investimeve të huaja direkte në formën e zgjerimit të kapitalit, vijon i përqendruar në sektorin e </w:t>
      </w:r>
      <w:r w:rsidR="00B6338F" w:rsidRPr="00EC6AB6">
        <w:rPr>
          <w:rFonts w:ascii="Garamond" w:hAnsi="Garamond"/>
          <w:sz w:val="24"/>
          <w:szCs w:val="24"/>
          <w:lang w:val="sq-AL"/>
        </w:rPr>
        <w:t>energjetikës</w:t>
      </w:r>
      <w:r w:rsidRPr="00EC6AB6">
        <w:rPr>
          <w:rFonts w:ascii="Garamond" w:hAnsi="Garamond"/>
          <w:sz w:val="24"/>
          <w:szCs w:val="24"/>
          <w:lang w:val="sq-AL"/>
        </w:rPr>
        <w:t xml:space="preserve"> (në masën 38%), të ndërmjetësimit financiar (në masën 21%) dhe telekomunikacionit (në masën 11%). Rënia vërehet e </w:t>
      </w:r>
      <w:r w:rsidR="00B6338F" w:rsidRPr="00EC6AB6">
        <w:rPr>
          <w:rFonts w:ascii="Garamond" w:hAnsi="Garamond"/>
          <w:sz w:val="24"/>
          <w:szCs w:val="24"/>
          <w:lang w:val="sq-AL"/>
        </w:rPr>
        <w:t>përqendruar</w:t>
      </w:r>
      <w:r w:rsidRPr="00EC6AB6">
        <w:rPr>
          <w:rFonts w:ascii="Garamond" w:hAnsi="Garamond"/>
          <w:sz w:val="24"/>
          <w:szCs w:val="24"/>
          <w:lang w:val="sq-AL"/>
        </w:rPr>
        <w:t xml:space="preserve"> në ecurinë e sektorit të hidrokarbureve. Për rrjedhojë, bilanci i përgjithshëm i pagesave dhe pozicioni i jashtëm i ekonomisë mbetet i qëndrueshëm, ku stoku i rezervës valutore në fund të periudhës vlerësohet i mjaftueshëm për mbulimin e 9 muaj importe në mallra dhe shërbime.</w:t>
      </w:r>
      <w:r w:rsidR="00FA2519" w:rsidRPr="00EC6AB6">
        <w:rPr>
          <w:rFonts w:ascii="Garamond" w:hAnsi="Garamond"/>
          <w:sz w:val="24"/>
          <w:szCs w:val="24"/>
          <w:lang w:val="sq-AL"/>
        </w:rPr>
        <w:t xml:space="preserve"> </w:t>
      </w:r>
    </w:p>
    <w:p w14:paraId="4333B935" w14:textId="4F121D7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Normat e interesit në tregun primar janë karakterizuar nga një ecuri e luhatshme. Në përgjithësi, luhatshmëria e </w:t>
      </w:r>
      <w:r w:rsidRPr="00EC6AB6">
        <w:rPr>
          <w:rFonts w:ascii="Garamond" w:hAnsi="Garamond"/>
          <w:i/>
          <w:sz w:val="24"/>
          <w:szCs w:val="24"/>
          <w:lang w:val="sq-AL"/>
        </w:rPr>
        <w:t>yield</w:t>
      </w:r>
      <w:r w:rsidRPr="00EC6AB6">
        <w:rPr>
          <w:rFonts w:ascii="Garamond" w:hAnsi="Garamond"/>
          <w:sz w:val="24"/>
          <w:szCs w:val="24"/>
          <w:lang w:val="sq-AL"/>
        </w:rPr>
        <w:t xml:space="preserve">-eve ka qenë më e theksuar në maturitetin e shkurtër edhe atë të mesëm. </w:t>
      </w:r>
      <w:r w:rsidRPr="00EC6AB6">
        <w:rPr>
          <w:rFonts w:ascii="Garamond" w:hAnsi="Garamond"/>
          <w:i/>
          <w:sz w:val="24"/>
          <w:szCs w:val="24"/>
          <w:lang w:val="sq-AL"/>
        </w:rPr>
        <w:t>Yield</w:t>
      </w:r>
      <w:r w:rsidRPr="00EC6AB6">
        <w:rPr>
          <w:rFonts w:ascii="Garamond" w:hAnsi="Garamond"/>
          <w:sz w:val="24"/>
          <w:szCs w:val="24"/>
          <w:lang w:val="sq-AL"/>
        </w:rPr>
        <w:t xml:space="preserve">-et e obligacioneve, ndonëse kanë ndjekur ecuri të njëjtë me bonot, kanë shfaqur ndryshime më të përmbajtura në të dyja drejtimet (si në rritje ashtu edhe në fazën e rënies). Kjo sjellje është reflektuar në rënie të pjerrësisë së kurbës së </w:t>
      </w:r>
      <w:r w:rsidRPr="00EC6AB6">
        <w:rPr>
          <w:rFonts w:ascii="Garamond" w:hAnsi="Garamond"/>
          <w:i/>
          <w:sz w:val="24"/>
          <w:szCs w:val="24"/>
          <w:lang w:val="sq-AL"/>
        </w:rPr>
        <w:t>yield</w:t>
      </w:r>
      <w:r w:rsidRPr="00EC6AB6">
        <w:rPr>
          <w:rFonts w:ascii="Garamond" w:hAnsi="Garamond"/>
          <w:sz w:val="24"/>
          <w:szCs w:val="24"/>
          <w:lang w:val="sq-AL"/>
        </w:rPr>
        <w:t xml:space="preserve">-eve krahasuar me një vit më parë, ku niveli i saj është më i lartë në segmentin afatshkurtër dhe më i ulët në horizontin afatgjatë. Krahas </w:t>
      </w:r>
      <w:r w:rsidRPr="00EC6AB6">
        <w:rPr>
          <w:rFonts w:ascii="Garamond" w:hAnsi="Garamond"/>
          <w:sz w:val="24"/>
          <w:szCs w:val="24"/>
          <w:lang w:val="sq-AL"/>
        </w:rPr>
        <w:lastRenderedPageBreak/>
        <w:t xml:space="preserve">lehtësimit të politikës monetare, rikthimi i aktivitetit normal në ekonomi dhe emetimi i </w:t>
      </w:r>
      <w:r w:rsidR="00E9550A" w:rsidRPr="00EC6AB6">
        <w:rPr>
          <w:rFonts w:ascii="Garamond" w:hAnsi="Garamond"/>
          <w:sz w:val="24"/>
          <w:szCs w:val="24"/>
          <w:lang w:val="sq-AL"/>
        </w:rPr>
        <w:t xml:space="preserve">eurobondit </w:t>
      </w:r>
      <w:r w:rsidRPr="00EC6AB6">
        <w:rPr>
          <w:rFonts w:ascii="Garamond" w:hAnsi="Garamond"/>
          <w:sz w:val="24"/>
          <w:szCs w:val="24"/>
          <w:lang w:val="sq-AL"/>
        </w:rPr>
        <w:t xml:space="preserve">nga ana e qeverisë në muajin qershor ndikuan në zbutjen edhe në uljen e presioneve rritëse të </w:t>
      </w:r>
      <w:r w:rsidRPr="00EC6AB6">
        <w:rPr>
          <w:rFonts w:ascii="Garamond" w:hAnsi="Garamond"/>
          <w:i/>
          <w:sz w:val="24"/>
          <w:szCs w:val="24"/>
          <w:lang w:val="sq-AL"/>
        </w:rPr>
        <w:t>yield</w:t>
      </w:r>
      <w:r w:rsidR="00432520" w:rsidRPr="00EC6AB6">
        <w:rPr>
          <w:rFonts w:ascii="Garamond" w:hAnsi="Garamond"/>
          <w:sz w:val="24"/>
          <w:szCs w:val="24"/>
          <w:lang w:val="sq-AL"/>
        </w:rPr>
        <w:t>-</w:t>
      </w:r>
      <w:r w:rsidRPr="00EC6AB6">
        <w:rPr>
          <w:rFonts w:ascii="Garamond" w:hAnsi="Garamond"/>
          <w:sz w:val="24"/>
          <w:szCs w:val="24"/>
          <w:lang w:val="sq-AL"/>
        </w:rPr>
        <w:t>eve. Me reduktimin e pasigurive, kërkesa e shtuar e qeverisë për financim është akomoduar nga një interes në rritje i bankave për të investuar në letra me vlerë. Bazuar në vlerësimet e Bankës së Shqipërisë inflacioni parashikohet të qëndrojë në nivelin prej 1.9% gjatë vitit aktual dhe të rritet gradualisht drejt objektivit brenda vitit 2022.</w:t>
      </w:r>
    </w:p>
    <w:p w14:paraId="4333B936" w14:textId="34E7B19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tregun e jashtëm, treguesit sugjerojnë se ecuria e aktivitetit ekonomik do të jetë heterogjene midis vendeve, për shkak të fazave në të cilat ka përparuar pandemia, si dhe strukturave të ndryshme të ekonomive. Me përjashtim të Kinës, ekonomitë e mëdha dhe ato në zhvillim pritet të rezultojnë me rënie ekonomike në vitin 2020 dhe një rritje të ekonomisë në vitin 2021, por niveli i prodhimit do të mbetet më i ulët se</w:t>
      </w:r>
      <w:r w:rsidR="0002476C" w:rsidRPr="00EC6AB6">
        <w:rPr>
          <w:rFonts w:ascii="Garamond" w:hAnsi="Garamond"/>
          <w:sz w:val="24"/>
          <w:szCs w:val="24"/>
          <w:lang w:val="sq-AL"/>
        </w:rPr>
        <w:t xml:space="preserve"> </w:t>
      </w:r>
      <w:r w:rsidRPr="00EC6AB6">
        <w:rPr>
          <w:rFonts w:ascii="Garamond" w:hAnsi="Garamond"/>
          <w:sz w:val="24"/>
          <w:szCs w:val="24"/>
          <w:lang w:val="sq-AL"/>
        </w:rPr>
        <w:t xml:space="preserve">sa ai para pandemisë. Në reflektim të kësaj situate, një sërë bankash </w:t>
      </w:r>
      <w:r w:rsidR="00432520" w:rsidRPr="00EC6AB6">
        <w:rPr>
          <w:rFonts w:ascii="Garamond" w:hAnsi="Garamond"/>
          <w:sz w:val="24"/>
          <w:szCs w:val="24"/>
          <w:lang w:val="sq-AL"/>
        </w:rPr>
        <w:t>qendrore</w:t>
      </w:r>
      <w:r w:rsidRPr="00EC6AB6">
        <w:rPr>
          <w:rFonts w:ascii="Garamond" w:hAnsi="Garamond"/>
          <w:sz w:val="24"/>
          <w:szCs w:val="24"/>
          <w:lang w:val="sq-AL"/>
        </w:rPr>
        <w:t xml:space="preserve"> kanë rishikuar politikën monetare</w:t>
      </w:r>
      <w:r w:rsidR="0002476C" w:rsidRPr="00EC6AB6">
        <w:rPr>
          <w:rFonts w:ascii="Garamond" w:hAnsi="Garamond"/>
          <w:sz w:val="24"/>
          <w:szCs w:val="24"/>
          <w:lang w:val="sq-AL"/>
        </w:rPr>
        <w:t>,</w:t>
      </w:r>
      <w:r w:rsidRPr="00EC6AB6">
        <w:rPr>
          <w:rFonts w:ascii="Garamond" w:hAnsi="Garamond"/>
          <w:sz w:val="24"/>
          <w:szCs w:val="24"/>
          <w:lang w:val="sq-AL"/>
        </w:rPr>
        <w:t xml:space="preserve"> duke rritur edhe më tej ekpansionin monetar (përfshirë këtu BQE</w:t>
      </w:r>
      <w:r w:rsidR="0091556F" w:rsidRPr="00EC6AB6">
        <w:rPr>
          <w:rFonts w:ascii="Garamond" w:hAnsi="Garamond"/>
          <w:sz w:val="24"/>
          <w:szCs w:val="24"/>
          <w:lang w:val="sq-AL"/>
        </w:rPr>
        <w:t>-në</w:t>
      </w:r>
      <w:r w:rsidRPr="00EC6AB6">
        <w:rPr>
          <w:rFonts w:ascii="Garamond" w:hAnsi="Garamond"/>
          <w:sz w:val="24"/>
          <w:szCs w:val="24"/>
          <w:lang w:val="sq-AL"/>
        </w:rPr>
        <w:t>, Rezervën Fede</w:t>
      </w:r>
      <w:r w:rsidR="0091556F" w:rsidRPr="00EC6AB6">
        <w:rPr>
          <w:rFonts w:ascii="Garamond" w:hAnsi="Garamond"/>
          <w:sz w:val="24"/>
          <w:szCs w:val="24"/>
          <w:lang w:val="sq-AL"/>
        </w:rPr>
        <w:t>rale, Bankën Popullore të Kinës</w:t>
      </w:r>
      <w:r w:rsidRPr="00EC6AB6">
        <w:rPr>
          <w:rFonts w:ascii="Garamond" w:hAnsi="Garamond"/>
          <w:sz w:val="24"/>
          <w:szCs w:val="24"/>
          <w:lang w:val="sq-AL"/>
        </w:rPr>
        <w:t xml:space="preserve"> etj.) BQE-ja ka forcuar tonin ekspansionist të politikës monetare. Ndërkohë, Rezerva Federale ka ndihmuar ekonominë nëpërmjet programeve për blerjen e titujve dhe nivelin e ulët të normës bazë. Megjithatë, pasiguritë mbi ecurinë e ekonomisë amerikane janë të larta</w:t>
      </w:r>
      <w:r w:rsidR="0091556F" w:rsidRPr="00EC6AB6">
        <w:rPr>
          <w:rFonts w:ascii="Garamond" w:hAnsi="Garamond"/>
          <w:sz w:val="24"/>
          <w:szCs w:val="24"/>
          <w:lang w:val="sq-AL"/>
        </w:rPr>
        <w:t>,</w:t>
      </w:r>
      <w:r w:rsidRPr="00EC6AB6">
        <w:rPr>
          <w:rFonts w:ascii="Garamond" w:hAnsi="Garamond"/>
          <w:sz w:val="24"/>
          <w:szCs w:val="24"/>
          <w:lang w:val="sq-AL"/>
        </w:rPr>
        <w:t xml:space="preserve"> për shkak të rikthimit të kufizimeve në disa shtete, diskutimeve tregtare me Kinën, dhe zgjedhjeve elektorale në fund të vitit.</w:t>
      </w:r>
    </w:p>
    <w:p w14:paraId="4333B937"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Kursi i këmbimit është shfaqur i qëndrueshëm që prej fundit të muajit prill 2020, duke qëndruar në një nivel lehtësisht më të lartë se ai i fillimit të vitit dhe ai i vitit të mëparshëm. Stabiliteti i kursit të këmbimit ka reflektuar, ndër të tjera, edhe nevojat më të ulëta për valutë të ekonomisë në kushtet e reduktimit të deficitit tregtar. </w:t>
      </w:r>
    </w:p>
    <w:p w14:paraId="4333B938" w14:textId="77777777" w:rsidR="008B3748" w:rsidRPr="00EC6AB6" w:rsidRDefault="008B3748" w:rsidP="008B3748">
      <w:pPr>
        <w:spacing w:after="0" w:line="240" w:lineRule="auto"/>
        <w:rPr>
          <w:rFonts w:ascii="Garamond" w:hAnsi="Garamond"/>
          <w:sz w:val="24"/>
          <w:szCs w:val="24"/>
          <w:lang w:val="sq-AL"/>
        </w:rPr>
      </w:pPr>
    </w:p>
    <w:p w14:paraId="4333B939" w14:textId="1016EFA2" w:rsidR="008B3748" w:rsidRPr="00EC6AB6" w:rsidRDefault="008B3748" w:rsidP="00432520">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Tabela 1.1: Pritjet e treguesve kryesorë makroekonomikë e fiskalë (2019</w:t>
      </w:r>
      <w:r w:rsidR="00432520" w:rsidRPr="00EC6AB6">
        <w:rPr>
          <w:rFonts w:ascii="Garamond" w:hAnsi="Garamond"/>
          <w:b/>
          <w:i/>
          <w:sz w:val="20"/>
          <w:szCs w:val="20"/>
          <w:lang w:val="sq-AL"/>
        </w:rPr>
        <w:t>–</w:t>
      </w:r>
      <w:r w:rsidRPr="00EC6AB6">
        <w:rPr>
          <w:rFonts w:ascii="Garamond" w:hAnsi="Garamond"/>
          <w:b/>
          <w:i/>
          <w:sz w:val="20"/>
          <w:szCs w:val="20"/>
          <w:lang w:val="sq-AL"/>
        </w:rPr>
        <w:t>2023)</w:t>
      </w:r>
    </w:p>
    <w:tbl>
      <w:tblPr>
        <w:tblW w:w="9408" w:type="dxa"/>
        <w:tblLook w:val="04A0" w:firstRow="1" w:lastRow="0" w:firstColumn="1" w:lastColumn="0" w:noHBand="0" w:noVBand="1"/>
      </w:tblPr>
      <w:tblGrid>
        <w:gridCol w:w="3607"/>
        <w:gridCol w:w="1176"/>
        <w:gridCol w:w="925"/>
        <w:gridCol w:w="925"/>
        <w:gridCol w:w="925"/>
        <w:gridCol w:w="925"/>
        <w:gridCol w:w="925"/>
      </w:tblGrid>
      <w:tr w:rsidR="008B3748" w:rsidRPr="00EC6AB6" w14:paraId="4333B941" w14:textId="77777777" w:rsidTr="0091556F">
        <w:trPr>
          <w:trHeight w:val="537"/>
        </w:trPr>
        <w:tc>
          <w:tcPr>
            <w:tcW w:w="3607" w:type="dxa"/>
            <w:vMerge w:val="restart"/>
            <w:tcBorders>
              <w:top w:val="single" w:sz="4" w:space="0" w:color="auto"/>
              <w:left w:val="nil"/>
              <w:bottom w:val="single" w:sz="4" w:space="0" w:color="000000"/>
              <w:right w:val="nil"/>
            </w:tcBorders>
            <w:shd w:val="clear" w:color="auto" w:fill="C00000"/>
            <w:noWrap/>
            <w:vAlign w:val="center"/>
            <w:hideMark/>
          </w:tcPr>
          <w:p w14:paraId="4333B93A"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Treguesit</w:t>
            </w:r>
          </w:p>
        </w:tc>
        <w:tc>
          <w:tcPr>
            <w:tcW w:w="1176" w:type="dxa"/>
            <w:vMerge w:val="restart"/>
            <w:tcBorders>
              <w:top w:val="single" w:sz="4" w:space="0" w:color="auto"/>
              <w:left w:val="nil"/>
              <w:bottom w:val="single" w:sz="4" w:space="0" w:color="000000"/>
              <w:right w:val="nil"/>
            </w:tcBorders>
            <w:shd w:val="clear" w:color="auto" w:fill="C00000"/>
            <w:noWrap/>
            <w:vAlign w:val="center"/>
            <w:hideMark/>
          </w:tcPr>
          <w:p w14:paraId="4333B93B" w14:textId="07A04874" w:rsidR="008B3748" w:rsidRPr="00EC6AB6" w:rsidRDefault="000542E3" w:rsidP="0091556F">
            <w:pPr>
              <w:spacing w:after="0" w:line="240" w:lineRule="auto"/>
              <w:ind w:firstLine="0"/>
              <w:jc w:val="center"/>
              <w:rPr>
                <w:rFonts w:ascii="Garamond" w:hAnsi="Garamond"/>
                <w:lang w:val="sq-AL"/>
              </w:rPr>
            </w:pPr>
            <w:r w:rsidRPr="00EC6AB6">
              <w:rPr>
                <w:rFonts w:ascii="Garamond" w:hAnsi="Garamond"/>
                <w:lang w:val="sq-AL"/>
              </w:rPr>
              <w:t xml:space="preserve">Mesatare 2010 </w:t>
            </w:r>
            <w:r w:rsidR="00432520" w:rsidRPr="00EC6AB6">
              <w:rPr>
                <w:rFonts w:ascii="Garamond" w:hAnsi="Garamond"/>
                <w:b/>
                <w:i/>
                <w:sz w:val="24"/>
                <w:szCs w:val="24"/>
                <w:lang w:val="sq-AL"/>
              </w:rPr>
              <w:t>–</w:t>
            </w:r>
            <w:r w:rsidR="008B3748" w:rsidRPr="00EC6AB6">
              <w:rPr>
                <w:rFonts w:ascii="Garamond" w:hAnsi="Garamond"/>
                <w:lang w:val="sq-AL"/>
              </w:rPr>
              <w:t>2018</w:t>
            </w:r>
          </w:p>
        </w:tc>
        <w:tc>
          <w:tcPr>
            <w:tcW w:w="925" w:type="dxa"/>
            <w:vMerge w:val="restart"/>
            <w:tcBorders>
              <w:top w:val="single" w:sz="4" w:space="0" w:color="auto"/>
              <w:left w:val="nil"/>
              <w:bottom w:val="single" w:sz="4" w:space="0" w:color="000000"/>
              <w:right w:val="nil"/>
            </w:tcBorders>
            <w:shd w:val="clear" w:color="auto" w:fill="C00000"/>
            <w:noWrap/>
            <w:vAlign w:val="center"/>
            <w:hideMark/>
          </w:tcPr>
          <w:p w14:paraId="4333B93C"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2019</w:t>
            </w:r>
          </w:p>
        </w:tc>
        <w:tc>
          <w:tcPr>
            <w:tcW w:w="925" w:type="dxa"/>
            <w:vMerge w:val="restart"/>
            <w:tcBorders>
              <w:top w:val="single" w:sz="4" w:space="0" w:color="auto"/>
              <w:left w:val="nil"/>
              <w:bottom w:val="single" w:sz="4" w:space="0" w:color="000000"/>
              <w:right w:val="nil"/>
            </w:tcBorders>
            <w:shd w:val="clear" w:color="auto" w:fill="C00000"/>
            <w:noWrap/>
            <w:vAlign w:val="center"/>
            <w:hideMark/>
          </w:tcPr>
          <w:p w14:paraId="4333B93D"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2020</w:t>
            </w:r>
          </w:p>
        </w:tc>
        <w:tc>
          <w:tcPr>
            <w:tcW w:w="925" w:type="dxa"/>
            <w:vMerge w:val="restart"/>
            <w:tcBorders>
              <w:top w:val="single" w:sz="4" w:space="0" w:color="auto"/>
              <w:left w:val="nil"/>
              <w:bottom w:val="single" w:sz="4" w:space="0" w:color="000000"/>
              <w:right w:val="nil"/>
            </w:tcBorders>
            <w:shd w:val="clear" w:color="auto" w:fill="C00000"/>
            <w:noWrap/>
            <w:vAlign w:val="center"/>
            <w:hideMark/>
          </w:tcPr>
          <w:p w14:paraId="4333B93E"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2021</w:t>
            </w:r>
          </w:p>
        </w:tc>
        <w:tc>
          <w:tcPr>
            <w:tcW w:w="925" w:type="dxa"/>
            <w:vMerge w:val="restart"/>
            <w:tcBorders>
              <w:top w:val="single" w:sz="4" w:space="0" w:color="auto"/>
              <w:left w:val="nil"/>
              <w:bottom w:val="single" w:sz="4" w:space="0" w:color="000000"/>
              <w:right w:val="nil"/>
            </w:tcBorders>
            <w:shd w:val="clear" w:color="auto" w:fill="C00000"/>
            <w:noWrap/>
            <w:vAlign w:val="center"/>
            <w:hideMark/>
          </w:tcPr>
          <w:p w14:paraId="4333B93F"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2022</w:t>
            </w:r>
          </w:p>
        </w:tc>
        <w:tc>
          <w:tcPr>
            <w:tcW w:w="925" w:type="dxa"/>
            <w:vMerge w:val="restart"/>
            <w:tcBorders>
              <w:top w:val="single" w:sz="4" w:space="0" w:color="auto"/>
              <w:left w:val="nil"/>
              <w:bottom w:val="single" w:sz="4" w:space="0" w:color="000000"/>
              <w:right w:val="nil"/>
            </w:tcBorders>
            <w:shd w:val="clear" w:color="auto" w:fill="C00000"/>
            <w:noWrap/>
            <w:vAlign w:val="center"/>
            <w:hideMark/>
          </w:tcPr>
          <w:p w14:paraId="4333B940" w14:textId="77777777" w:rsidR="008B3748" w:rsidRPr="00EC6AB6" w:rsidRDefault="008B3748" w:rsidP="0091556F">
            <w:pPr>
              <w:spacing w:after="0" w:line="240" w:lineRule="auto"/>
              <w:ind w:firstLine="0"/>
              <w:jc w:val="center"/>
              <w:rPr>
                <w:rFonts w:ascii="Garamond" w:hAnsi="Garamond"/>
                <w:lang w:val="sq-AL"/>
              </w:rPr>
            </w:pPr>
            <w:r w:rsidRPr="00EC6AB6">
              <w:rPr>
                <w:rFonts w:ascii="Garamond" w:hAnsi="Garamond"/>
                <w:lang w:val="sq-AL"/>
              </w:rPr>
              <w:t>2023</w:t>
            </w:r>
          </w:p>
        </w:tc>
      </w:tr>
      <w:tr w:rsidR="008B3748" w:rsidRPr="00EC6AB6" w14:paraId="4333B949" w14:textId="77777777" w:rsidTr="00432520">
        <w:trPr>
          <w:trHeight w:val="248"/>
        </w:trPr>
        <w:tc>
          <w:tcPr>
            <w:tcW w:w="0" w:type="auto"/>
            <w:vMerge/>
            <w:tcBorders>
              <w:top w:val="single" w:sz="4" w:space="0" w:color="auto"/>
              <w:left w:val="nil"/>
              <w:bottom w:val="single" w:sz="4" w:space="0" w:color="000000"/>
              <w:right w:val="nil"/>
            </w:tcBorders>
            <w:vAlign w:val="center"/>
            <w:hideMark/>
          </w:tcPr>
          <w:p w14:paraId="4333B942"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3"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4"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5"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6"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7" w14:textId="77777777" w:rsidR="008B3748" w:rsidRPr="00EC6AB6" w:rsidRDefault="008B3748" w:rsidP="000542E3">
            <w:pPr>
              <w:spacing w:after="0" w:line="240" w:lineRule="auto"/>
              <w:ind w:firstLine="0"/>
              <w:rPr>
                <w:rFonts w:ascii="Garamond" w:hAnsi="Garamond"/>
                <w:lang w:val="sq-AL"/>
              </w:rPr>
            </w:pPr>
          </w:p>
        </w:tc>
        <w:tc>
          <w:tcPr>
            <w:tcW w:w="0" w:type="auto"/>
            <w:vMerge/>
            <w:tcBorders>
              <w:top w:val="single" w:sz="4" w:space="0" w:color="auto"/>
              <w:left w:val="nil"/>
              <w:bottom w:val="single" w:sz="4" w:space="0" w:color="000000"/>
              <w:right w:val="nil"/>
            </w:tcBorders>
            <w:vAlign w:val="center"/>
            <w:hideMark/>
          </w:tcPr>
          <w:p w14:paraId="4333B948" w14:textId="77777777" w:rsidR="008B3748" w:rsidRPr="00EC6AB6" w:rsidRDefault="008B3748" w:rsidP="000542E3">
            <w:pPr>
              <w:spacing w:after="0" w:line="240" w:lineRule="auto"/>
              <w:ind w:firstLine="0"/>
              <w:rPr>
                <w:rFonts w:ascii="Garamond" w:hAnsi="Garamond"/>
                <w:lang w:val="sq-AL"/>
              </w:rPr>
            </w:pPr>
          </w:p>
        </w:tc>
      </w:tr>
      <w:tr w:rsidR="008B3748" w:rsidRPr="00EC6AB6" w14:paraId="4333B951" w14:textId="77777777" w:rsidTr="008B3748">
        <w:trPr>
          <w:trHeight w:val="250"/>
        </w:trPr>
        <w:tc>
          <w:tcPr>
            <w:tcW w:w="3607" w:type="dxa"/>
            <w:shd w:val="clear" w:color="auto" w:fill="FFFFFF"/>
            <w:noWrap/>
            <w:vAlign w:val="bottom"/>
            <w:hideMark/>
          </w:tcPr>
          <w:p w14:paraId="4333B94A"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Rritja reale ekonomike (në %)</w:t>
            </w:r>
          </w:p>
        </w:tc>
        <w:tc>
          <w:tcPr>
            <w:tcW w:w="1176" w:type="dxa"/>
            <w:shd w:val="clear" w:color="auto" w:fill="FFFFFF"/>
            <w:noWrap/>
            <w:vAlign w:val="bottom"/>
            <w:hideMark/>
          </w:tcPr>
          <w:p w14:paraId="4333B94B"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2.7</w:t>
            </w:r>
          </w:p>
        </w:tc>
        <w:tc>
          <w:tcPr>
            <w:tcW w:w="925" w:type="dxa"/>
            <w:shd w:val="clear" w:color="auto" w:fill="FFFFFF"/>
            <w:noWrap/>
            <w:vAlign w:val="bottom"/>
            <w:hideMark/>
          </w:tcPr>
          <w:p w14:paraId="4333B94C"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2.2</w:t>
            </w:r>
          </w:p>
        </w:tc>
        <w:tc>
          <w:tcPr>
            <w:tcW w:w="925" w:type="dxa"/>
            <w:shd w:val="clear" w:color="auto" w:fill="FFFFFF"/>
            <w:noWrap/>
            <w:vAlign w:val="bottom"/>
            <w:hideMark/>
          </w:tcPr>
          <w:p w14:paraId="4333B94D"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-6.1</w:t>
            </w:r>
          </w:p>
        </w:tc>
        <w:tc>
          <w:tcPr>
            <w:tcW w:w="925" w:type="dxa"/>
            <w:shd w:val="clear" w:color="auto" w:fill="FFFFFF"/>
            <w:noWrap/>
            <w:vAlign w:val="bottom"/>
            <w:hideMark/>
          </w:tcPr>
          <w:p w14:paraId="4333B94E"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5.5</w:t>
            </w:r>
          </w:p>
        </w:tc>
        <w:tc>
          <w:tcPr>
            <w:tcW w:w="925" w:type="dxa"/>
            <w:shd w:val="clear" w:color="auto" w:fill="FFFFFF"/>
            <w:noWrap/>
            <w:vAlign w:val="bottom"/>
            <w:hideMark/>
          </w:tcPr>
          <w:p w14:paraId="4333B94F"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4.8</w:t>
            </w:r>
          </w:p>
        </w:tc>
        <w:tc>
          <w:tcPr>
            <w:tcW w:w="925" w:type="dxa"/>
            <w:shd w:val="clear" w:color="auto" w:fill="FFFFFF"/>
            <w:noWrap/>
            <w:vAlign w:val="bottom"/>
            <w:hideMark/>
          </w:tcPr>
          <w:p w14:paraId="4333B950"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4.5</w:t>
            </w:r>
          </w:p>
        </w:tc>
      </w:tr>
      <w:tr w:rsidR="008B3748" w:rsidRPr="00EC6AB6" w14:paraId="4333B959" w14:textId="77777777" w:rsidTr="008B3748">
        <w:trPr>
          <w:trHeight w:val="250"/>
        </w:trPr>
        <w:tc>
          <w:tcPr>
            <w:tcW w:w="3607" w:type="dxa"/>
            <w:shd w:val="clear" w:color="auto" w:fill="FFFFFF"/>
            <w:noWrap/>
            <w:vAlign w:val="bottom"/>
            <w:hideMark/>
          </w:tcPr>
          <w:p w14:paraId="4333B952"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Inflacioni mesatar vjetor (në %)</w:t>
            </w:r>
          </w:p>
        </w:tc>
        <w:tc>
          <w:tcPr>
            <w:tcW w:w="1176" w:type="dxa"/>
            <w:shd w:val="clear" w:color="auto" w:fill="FFFFFF"/>
            <w:noWrap/>
            <w:vAlign w:val="bottom"/>
            <w:hideMark/>
          </w:tcPr>
          <w:p w14:paraId="4333B953"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2.2</w:t>
            </w:r>
          </w:p>
        </w:tc>
        <w:tc>
          <w:tcPr>
            <w:tcW w:w="925" w:type="dxa"/>
            <w:shd w:val="clear" w:color="auto" w:fill="FFFFFF"/>
            <w:noWrap/>
            <w:vAlign w:val="bottom"/>
            <w:hideMark/>
          </w:tcPr>
          <w:p w14:paraId="4333B954"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1.4</w:t>
            </w:r>
          </w:p>
        </w:tc>
        <w:tc>
          <w:tcPr>
            <w:tcW w:w="925" w:type="dxa"/>
            <w:shd w:val="clear" w:color="auto" w:fill="FFFFFF"/>
            <w:noWrap/>
            <w:vAlign w:val="bottom"/>
            <w:hideMark/>
          </w:tcPr>
          <w:p w14:paraId="4333B955"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1.4</w:t>
            </w:r>
          </w:p>
        </w:tc>
        <w:tc>
          <w:tcPr>
            <w:tcW w:w="925" w:type="dxa"/>
            <w:shd w:val="clear" w:color="auto" w:fill="FFFFFF"/>
            <w:noWrap/>
            <w:vAlign w:val="bottom"/>
            <w:hideMark/>
          </w:tcPr>
          <w:p w14:paraId="4333B956"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2.4</w:t>
            </w:r>
          </w:p>
        </w:tc>
        <w:tc>
          <w:tcPr>
            <w:tcW w:w="925" w:type="dxa"/>
            <w:shd w:val="clear" w:color="auto" w:fill="FFFFFF"/>
            <w:noWrap/>
            <w:vAlign w:val="bottom"/>
            <w:hideMark/>
          </w:tcPr>
          <w:p w14:paraId="4333B957"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2.8</w:t>
            </w:r>
          </w:p>
        </w:tc>
        <w:tc>
          <w:tcPr>
            <w:tcW w:w="925" w:type="dxa"/>
            <w:shd w:val="clear" w:color="auto" w:fill="FFFFFF"/>
            <w:noWrap/>
            <w:vAlign w:val="bottom"/>
            <w:hideMark/>
          </w:tcPr>
          <w:p w14:paraId="4333B958"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3.0</w:t>
            </w:r>
          </w:p>
        </w:tc>
      </w:tr>
      <w:tr w:rsidR="008B3748" w:rsidRPr="00EC6AB6" w14:paraId="4333B961" w14:textId="77777777" w:rsidTr="008B3748">
        <w:trPr>
          <w:trHeight w:val="250"/>
        </w:trPr>
        <w:tc>
          <w:tcPr>
            <w:tcW w:w="3607" w:type="dxa"/>
            <w:shd w:val="clear" w:color="auto" w:fill="FFFFFF"/>
            <w:noWrap/>
            <w:vAlign w:val="bottom"/>
            <w:hideMark/>
          </w:tcPr>
          <w:p w14:paraId="4333B95A"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Balanca primare (në % të PBB)</w:t>
            </w:r>
          </w:p>
        </w:tc>
        <w:tc>
          <w:tcPr>
            <w:tcW w:w="1176" w:type="dxa"/>
            <w:shd w:val="clear" w:color="auto" w:fill="FFFFFF"/>
            <w:noWrap/>
            <w:vAlign w:val="bottom"/>
            <w:hideMark/>
          </w:tcPr>
          <w:p w14:paraId="4333B95B"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-0.5</w:t>
            </w:r>
          </w:p>
        </w:tc>
        <w:tc>
          <w:tcPr>
            <w:tcW w:w="925" w:type="dxa"/>
            <w:shd w:val="clear" w:color="auto" w:fill="FFFFFF"/>
            <w:noWrap/>
            <w:vAlign w:val="bottom"/>
            <w:hideMark/>
          </w:tcPr>
          <w:p w14:paraId="4333B95C"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0.2</w:t>
            </w:r>
          </w:p>
        </w:tc>
        <w:tc>
          <w:tcPr>
            <w:tcW w:w="925" w:type="dxa"/>
            <w:shd w:val="clear" w:color="auto" w:fill="FFFFFF"/>
            <w:noWrap/>
            <w:vAlign w:val="bottom"/>
            <w:hideMark/>
          </w:tcPr>
          <w:p w14:paraId="4333B95D"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-4.6</w:t>
            </w:r>
          </w:p>
        </w:tc>
        <w:tc>
          <w:tcPr>
            <w:tcW w:w="925" w:type="dxa"/>
            <w:shd w:val="clear" w:color="auto" w:fill="FFFFFF"/>
            <w:noWrap/>
            <w:vAlign w:val="bottom"/>
            <w:hideMark/>
          </w:tcPr>
          <w:p w14:paraId="4333B95E"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-3.9</w:t>
            </w:r>
          </w:p>
        </w:tc>
        <w:tc>
          <w:tcPr>
            <w:tcW w:w="925" w:type="dxa"/>
            <w:shd w:val="clear" w:color="auto" w:fill="FFFFFF"/>
            <w:noWrap/>
            <w:vAlign w:val="bottom"/>
            <w:hideMark/>
          </w:tcPr>
          <w:p w14:paraId="4333B95F"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-0.1</w:t>
            </w:r>
          </w:p>
        </w:tc>
        <w:tc>
          <w:tcPr>
            <w:tcW w:w="925" w:type="dxa"/>
            <w:shd w:val="clear" w:color="auto" w:fill="FFFFFF"/>
            <w:noWrap/>
            <w:vAlign w:val="bottom"/>
            <w:hideMark/>
          </w:tcPr>
          <w:p w14:paraId="4333B960"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0.6</w:t>
            </w:r>
          </w:p>
        </w:tc>
      </w:tr>
      <w:tr w:rsidR="008B3748" w:rsidRPr="00EC6AB6" w14:paraId="4333B969" w14:textId="77777777" w:rsidTr="008B3748">
        <w:trPr>
          <w:trHeight w:val="250"/>
        </w:trPr>
        <w:tc>
          <w:tcPr>
            <w:tcW w:w="3607" w:type="dxa"/>
            <w:tcBorders>
              <w:top w:val="nil"/>
              <w:left w:val="nil"/>
              <w:bottom w:val="single" w:sz="4" w:space="0" w:color="auto"/>
              <w:right w:val="nil"/>
            </w:tcBorders>
            <w:shd w:val="clear" w:color="auto" w:fill="FFFFFF"/>
            <w:noWrap/>
            <w:vAlign w:val="bottom"/>
            <w:hideMark/>
          </w:tcPr>
          <w:p w14:paraId="4333B962"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Shpenzime për interesa (në % të PBB)</w:t>
            </w:r>
          </w:p>
        </w:tc>
        <w:tc>
          <w:tcPr>
            <w:tcW w:w="1176" w:type="dxa"/>
            <w:tcBorders>
              <w:top w:val="nil"/>
              <w:left w:val="nil"/>
              <w:bottom w:val="single" w:sz="4" w:space="0" w:color="auto"/>
              <w:right w:val="nil"/>
            </w:tcBorders>
            <w:shd w:val="clear" w:color="auto" w:fill="FFFFFF"/>
            <w:noWrap/>
            <w:vAlign w:val="bottom"/>
            <w:hideMark/>
          </w:tcPr>
          <w:p w14:paraId="4333B963"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2.8</w:t>
            </w:r>
          </w:p>
        </w:tc>
        <w:tc>
          <w:tcPr>
            <w:tcW w:w="925" w:type="dxa"/>
            <w:tcBorders>
              <w:top w:val="nil"/>
              <w:left w:val="nil"/>
              <w:bottom w:val="single" w:sz="4" w:space="0" w:color="auto"/>
              <w:right w:val="nil"/>
            </w:tcBorders>
            <w:shd w:val="clear" w:color="auto" w:fill="FFFFFF"/>
            <w:noWrap/>
            <w:vAlign w:val="bottom"/>
            <w:hideMark/>
          </w:tcPr>
          <w:p w14:paraId="4333B964"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2.1</w:t>
            </w:r>
          </w:p>
        </w:tc>
        <w:tc>
          <w:tcPr>
            <w:tcW w:w="925" w:type="dxa"/>
            <w:tcBorders>
              <w:top w:val="nil"/>
              <w:left w:val="nil"/>
              <w:bottom w:val="single" w:sz="4" w:space="0" w:color="auto"/>
              <w:right w:val="nil"/>
            </w:tcBorders>
            <w:shd w:val="clear" w:color="auto" w:fill="FFFFFF"/>
            <w:noWrap/>
            <w:vAlign w:val="bottom"/>
            <w:hideMark/>
          </w:tcPr>
          <w:p w14:paraId="4333B965"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2.2</w:t>
            </w:r>
          </w:p>
        </w:tc>
        <w:tc>
          <w:tcPr>
            <w:tcW w:w="925" w:type="dxa"/>
            <w:tcBorders>
              <w:top w:val="nil"/>
              <w:left w:val="nil"/>
              <w:bottom w:val="single" w:sz="4" w:space="0" w:color="auto"/>
              <w:right w:val="nil"/>
            </w:tcBorders>
            <w:shd w:val="clear" w:color="auto" w:fill="FFFFFF"/>
            <w:noWrap/>
            <w:vAlign w:val="bottom"/>
            <w:hideMark/>
          </w:tcPr>
          <w:p w14:paraId="4333B966"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2.6</w:t>
            </w:r>
          </w:p>
        </w:tc>
        <w:tc>
          <w:tcPr>
            <w:tcW w:w="925" w:type="dxa"/>
            <w:tcBorders>
              <w:top w:val="nil"/>
              <w:left w:val="nil"/>
              <w:bottom w:val="single" w:sz="4" w:space="0" w:color="auto"/>
              <w:right w:val="nil"/>
            </w:tcBorders>
            <w:shd w:val="clear" w:color="auto" w:fill="FFFFFF"/>
            <w:noWrap/>
            <w:vAlign w:val="bottom"/>
            <w:hideMark/>
          </w:tcPr>
          <w:p w14:paraId="4333B967"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2.7</w:t>
            </w:r>
          </w:p>
        </w:tc>
        <w:tc>
          <w:tcPr>
            <w:tcW w:w="925" w:type="dxa"/>
            <w:tcBorders>
              <w:top w:val="nil"/>
              <w:left w:val="nil"/>
              <w:bottom w:val="single" w:sz="4" w:space="0" w:color="auto"/>
              <w:right w:val="nil"/>
            </w:tcBorders>
            <w:shd w:val="clear" w:color="auto" w:fill="FFFFFF"/>
            <w:noWrap/>
            <w:vAlign w:val="bottom"/>
            <w:hideMark/>
          </w:tcPr>
          <w:p w14:paraId="4333B968" w14:textId="77777777" w:rsidR="008B3748" w:rsidRPr="00EC6AB6" w:rsidRDefault="008B3748" w:rsidP="000542E3">
            <w:pPr>
              <w:spacing w:after="0" w:line="240" w:lineRule="auto"/>
              <w:ind w:firstLine="0"/>
              <w:rPr>
                <w:rFonts w:ascii="Garamond" w:hAnsi="Garamond"/>
                <w:lang w:val="sq-AL"/>
              </w:rPr>
            </w:pPr>
            <w:r w:rsidRPr="00EC6AB6">
              <w:rPr>
                <w:rFonts w:ascii="Garamond" w:hAnsi="Garamond"/>
                <w:lang w:val="sq-AL"/>
              </w:rPr>
              <w:t>2.9</w:t>
            </w:r>
          </w:p>
        </w:tc>
      </w:tr>
    </w:tbl>
    <w:p w14:paraId="4333B96A" w14:textId="77777777" w:rsidR="008B3748" w:rsidRPr="00EC6AB6" w:rsidRDefault="008B3748" w:rsidP="000542E3">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6B" w14:textId="77777777" w:rsidR="008B3748" w:rsidRPr="00EC6AB6" w:rsidRDefault="008B3748" w:rsidP="008B3748">
      <w:pPr>
        <w:spacing w:after="0" w:line="240" w:lineRule="auto"/>
        <w:rPr>
          <w:rFonts w:ascii="Garamond" w:hAnsi="Garamond"/>
          <w:sz w:val="24"/>
          <w:szCs w:val="24"/>
          <w:lang w:val="sq-AL"/>
        </w:rPr>
      </w:pPr>
    </w:p>
    <w:p w14:paraId="4333B96C" w14:textId="77777777" w:rsidR="008B3748" w:rsidRPr="00EC6AB6" w:rsidRDefault="000542E3" w:rsidP="008B3748">
      <w:pPr>
        <w:spacing w:after="0" w:line="240" w:lineRule="auto"/>
        <w:rPr>
          <w:rFonts w:ascii="Garamond" w:hAnsi="Garamond"/>
          <w:sz w:val="24"/>
          <w:szCs w:val="24"/>
          <w:lang w:val="sq-AL"/>
        </w:rPr>
      </w:pPr>
      <w:bookmarkStart w:id="67" w:name="_Toc491954319"/>
      <w:bookmarkStart w:id="68" w:name="_Toc491861006"/>
      <w:bookmarkStart w:id="69" w:name="_Toc60129464"/>
      <w:r w:rsidRPr="00EC6AB6">
        <w:rPr>
          <w:rFonts w:ascii="Garamond" w:hAnsi="Garamond"/>
          <w:sz w:val="24"/>
          <w:szCs w:val="24"/>
          <w:lang w:val="sq-AL"/>
        </w:rPr>
        <w:t xml:space="preserve">1.2 </w:t>
      </w:r>
      <w:r w:rsidR="008B3748" w:rsidRPr="00EC6AB6">
        <w:rPr>
          <w:rFonts w:ascii="Garamond" w:hAnsi="Garamond"/>
          <w:sz w:val="24"/>
          <w:szCs w:val="24"/>
          <w:lang w:val="sq-AL"/>
        </w:rPr>
        <w:t>Vlerësime referuar borxhit ekzistues, tregjeve të instrumenteve financiare dhe faktorëve makroekonomik</w:t>
      </w:r>
      <w:bookmarkEnd w:id="67"/>
      <w:bookmarkEnd w:id="68"/>
      <w:r w:rsidR="008B3748" w:rsidRPr="00EC6AB6">
        <w:rPr>
          <w:rFonts w:ascii="Garamond" w:hAnsi="Garamond"/>
          <w:sz w:val="24"/>
          <w:szCs w:val="24"/>
          <w:lang w:val="sq-AL"/>
        </w:rPr>
        <w:t>ë</w:t>
      </w:r>
      <w:bookmarkEnd w:id="69"/>
      <w:r w:rsidR="008B3748" w:rsidRPr="00EC6AB6">
        <w:rPr>
          <w:rFonts w:ascii="Garamond" w:hAnsi="Garamond"/>
          <w:sz w:val="24"/>
          <w:szCs w:val="24"/>
          <w:lang w:val="sq-AL"/>
        </w:rPr>
        <w:t xml:space="preserve"> </w:t>
      </w:r>
    </w:p>
    <w:p w14:paraId="4333B96D"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Gjatë viteve të fundit struktura e borxhit shtetëror është përmirësuar ndjeshëm në aspektin e ekspozimit ndaj risqeve. Megjithatë, borxhi shtetëror vijon të mbetet i ekspozuar kryesisht kundrejt riskut të rifinancimit, riskut të normave të interesit dhe riskut të kursit të këmbimit. </w:t>
      </w:r>
    </w:p>
    <w:p w14:paraId="4333B96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Risku i rifinancimit dhe risku i normave të interesit vijojnë të jenë burimet kryesore të riskut në portofolin e borxhit të brendshëm, kryesisht për shkaqe strukturore të lidhura me tregun e brendshëm të titujve shtetërorë.</w:t>
      </w:r>
    </w:p>
    <w:p w14:paraId="4333B96F" w14:textId="3A937C3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Ndërkohë, risku i kursit të këmbimit megjithëse është brenda parametrave të vlerësuar në analizat e qëndrueshmërisë së borxhit, mund të paraqesë problematika</w:t>
      </w:r>
      <w:r w:rsidR="0091556F" w:rsidRPr="00EC6AB6">
        <w:rPr>
          <w:rFonts w:ascii="Garamond" w:hAnsi="Garamond"/>
          <w:sz w:val="24"/>
          <w:szCs w:val="24"/>
          <w:lang w:val="sq-AL"/>
        </w:rPr>
        <w:t>,</w:t>
      </w:r>
      <w:r w:rsidRPr="00EC6AB6">
        <w:rPr>
          <w:rFonts w:ascii="Garamond" w:hAnsi="Garamond"/>
          <w:sz w:val="24"/>
          <w:szCs w:val="24"/>
          <w:lang w:val="sq-AL"/>
        </w:rPr>
        <w:t xml:space="preserve"> duke qenë se pjesa dërrmuese e portofolit të borxhit në valutë është e përqendruar në monedhën </w:t>
      </w:r>
      <w:r w:rsidR="0091556F" w:rsidRPr="00EC6AB6">
        <w:rPr>
          <w:rFonts w:ascii="Garamond" w:hAnsi="Garamond"/>
          <w:sz w:val="24"/>
          <w:szCs w:val="24"/>
          <w:lang w:val="sq-AL"/>
        </w:rPr>
        <w:t xml:space="preserve">euro </w:t>
      </w:r>
      <w:r w:rsidRPr="00EC6AB6">
        <w:rPr>
          <w:rFonts w:ascii="Garamond" w:hAnsi="Garamond"/>
          <w:sz w:val="24"/>
          <w:szCs w:val="24"/>
          <w:lang w:val="sq-AL"/>
        </w:rPr>
        <w:t>dhe aftësitë e shtetit për të gjeneruar valutë nga të ardhurat apo burime të tjera mbeten të kufizuara.</w:t>
      </w:r>
    </w:p>
    <w:p w14:paraId="4333B970" w14:textId="260E4D7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Referuar treguesve makroekonomikë dhe riskut të kreditit, shteti </w:t>
      </w:r>
      <w:r w:rsidR="0091556F" w:rsidRPr="00EC6AB6">
        <w:rPr>
          <w:rFonts w:ascii="Garamond" w:hAnsi="Garamond"/>
          <w:sz w:val="24"/>
          <w:szCs w:val="24"/>
          <w:lang w:val="sq-AL"/>
        </w:rPr>
        <w:t xml:space="preserve">shqiptar </w:t>
      </w:r>
      <w:r w:rsidRPr="00EC6AB6">
        <w:rPr>
          <w:rFonts w:ascii="Garamond" w:hAnsi="Garamond"/>
          <w:sz w:val="24"/>
          <w:szCs w:val="24"/>
          <w:lang w:val="sq-AL"/>
        </w:rPr>
        <w:t>aktualisht është në gjendje të marrë hua</w:t>
      </w:r>
      <w:r w:rsidR="0091556F" w:rsidRPr="00EC6AB6">
        <w:rPr>
          <w:rFonts w:ascii="Garamond" w:hAnsi="Garamond"/>
          <w:sz w:val="24"/>
          <w:szCs w:val="24"/>
          <w:lang w:val="sq-AL"/>
        </w:rPr>
        <w:t>,</w:t>
      </w:r>
      <w:r w:rsidRPr="00EC6AB6">
        <w:rPr>
          <w:rFonts w:ascii="Garamond" w:hAnsi="Garamond"/>
          <w:sz w:val="24"/>
          <w:szCs w:val="24"/>
          <w:lang w:val="sq-AL"/>
        </w:rPr>
        <w:t xml:space="preserve"> si në tregun </w:t>
      </w:r>
      <w:r w:rsidR="002B79A7" w:rsidRPr="00EC6AB6">
        <w:rPr>
          <w:rFonts w:ascii="Garamond" w:hAnsi="Garamond"/>
          <w:sz w:val="24"/>
          <w:szCs w:val="24"/>
          <w:lang w:val="sq-AL"/>
        </w:rPr>
        <w:t>vendës</w:t>
      </w:r>
      <w:r w:rsidRPr="00EC6AB6">
        <w:rPr>
          <w:rFonts w:ascii="Garamond" w:hAnsi="Garamond"/>
          <w:sz w:val="24"/>
          <w:szCs w:val="24"/>
          <w:lang w:val="sq-AL"/>
        </w:rPr>
        <w:t>, ashtu edhe në atë të huaj.</w:t>
      </w:r>
    </w:p>
    <w:p w14:paraId="4333B971" w14:textId="3C8B28C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Huamarrja nëpërmjet burimeve të tregut të brendshëm është më e thjeshtë për t’u realizuar</w:t>
      </w:r>
      <w:r w:rsidR="0091556F" w:rsidRPr="00EC6AB6">
        <w:rPr>
          <w:rFonts w:ascii="Garamond" w:hAnsi="Garamond"/>
          <w:sz w:val="24"/>
          <w:szCs w:val="24"/>
          <w:lang w:val="sq-AL"/>
        </w:rPr>
        <w:t>,</w:t>
      </w:r>
      <w:r w:rsidRPr="00EC6AB6">
        <w:rPr>
          <w:rFonts w:ascii="Garamond" w:hAnsi="Garamond"/>
          <w:sz w:val="24"/>
          <w:szCs w:val="24"/>
          <w:lang w:val="sq-AL"/>
        </w:rPr>
        <w:t xml:space="preserve"> për</w:t>
      </w:r>
      <w:r w:rsidR="00432520" w:rsidRPr="00EC6AB6">
        <w:rPr>
          <w:rFonts w:ascii="Garamond" w:hAnsi="Garamond"/>
          <w:sz w:val="24"/>
          <w:szCs w:val="24"/>
          <w:lang w:val="sq-AL"/>
        </w:rPr>
        <w:t xml:space="preserve"> </w:t>
      </w:r>
      <w:r w:rsidRPr="00EC6AB6">
        <w:rPr>
          <w:rFonts w:ascii="Garamond" w:hAnsi="Garamond"/>
          <w:sz w:val="24"/>
          <w:szCs w:val="24"/>
          <w:lang w:val="sq-AL"/>
        </w:rPr>
        <w:t xml:space="preserve">sa i përket anës </w:t>
      </w:r>
      <w:r w:rsidR="00432520" w:rsidRPr="00EC6AB6">
        <w:rPr>
          <w:rFonts w:ascii="Garamond" w:hAnsi="Garamond"/>
          <w:sz w:val="24"/>
          <w:szCs w:val="24"/>
          <w:lang w:val="sq-AL"/>
        </w:rPr>
        <w:t>procedurale</w:t>
      </w:r>
      <w:r w:rsidRPr="00EC6AB6">
        <w:rPr>
          <w:rFonts w:ascii="Garamond" w:hAnsi="Garamond"/>
          <w:sz w:val="24"/>
          <w:szCs w:val="24"/>
          <w:lang w:val="sq-AL"/>
        </w:rPr>
        <w:t>, është më fleksibël në terma të përzgjedhjes së instrumenteve, shmang ekspozimin ndaj riskut të kursit të këmbimit, si edhe stimulon në përgj</w:t>
      </w:r>
      <w:r w:rsidR="00432520" w:rsidRPr="00EC6AB6">
        <w:rPr>
          <w:rFonts w:ascii="Garamond" w:hAnsi="Garamond"/>
          <w:sz w:val="24"/>
          <w:szCs w:val="24"/>
          <w:lang w:val="sq-AL"/>
        </w:rPr>
        <w:t>i</w:t>
      </w:r>
      <w:r w:rsidRPr="00EC6AB6">
        <w:rPr>
          <w:rFonts w:ascii="Garamond" w:hAnsi="Garamond"/>
          <w:sz w:val="24"/>
          <w:szCs w:val="24"/>
          <w:lang w:val="sq-AL"/>
        </w:rPr>
        <w:t>thësi zhvillimin e tregut financiar dhe</w:t>
      </w:r>
      <w:r w:rsidR="0091556F" w:rsidRPr="00EC6AB6">
        <w:rPr>
          <w:rFonts w:ascii="Garamond" w:hAnsi="Garamond"/>
          <w:sz w:val="24"/>
          <w:szCs w:val="24"/>
          <w:lang w:val="sq-AL"/>
        </w:rPr>
        <w:t>,</w:t>
      </w:r>
      <w:r w:rsidRPr="00EC6AB6">
        <w:rPr>
          <w:rFonts w:ascii="Garamond" w:hAnsi="Garamond"/>
          <w:sz w:val="24"/>
          <w:szCs w:val="24"/>
          <w:lang w:val="sq-AL"/>
        </w:rPr>
        <w:t xml:space="preserve"> në veçanti</w:t>
      </w:r>
      <w:r w:rsidR="0091556F" w:rsidRPr="00EC6AB6">
        <w:rPr>
          <w:rFonts w:ascii="Garamond" w:hAnsi="Garamond"/>
          <w:sz w:val="24"/>
          <w:szCs w:val="24"/>
          <w:lang w:val="sq-AL"/>
        </w:rPr>
        <w:t>,</w:t>
      </w:r>
      <w:r w:rsidRPr="00EC6AB6">
        <w:rPr>
          <w:rFonts w:ascii="Garamond" w:hAnsi="Garamond"/>
          <w:sz w:val="24"/>
          <w:szCs w:val="24"/>
          <w:lang w:val="sq-AL"/>
        </w:rPr>
        <w:t xml:space="preserve"> zhvillimin e tregun të titujve shtetërorë. Megjithatë, edhe </w:t>
      </w:r>
      <w:r w:rsidRPr="00EC6AB6">
        <w:rPr>
          <w:rFonts w:ascii="Garamond" w:hAnsi="Garamond"/>
          <w:sz w:val="24"/>
          <w:szCs w:val="24"/>
          <w:lang w:val="sq-AL"/>
        </w:rPr>
        <w:lastRenderedPageBreak/>
        <w:t xml:space="preserve">huamarrja në tregun e brendshëm mund të shoqërohet me kufizime, të cilat rrjedhin kryesisht nga: </w:t>
      </w:r>
    </w:p>
    <w:p w14:paraId="4333B972" w14:textId="60E335AC"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jetëgjatësia </w:t>
      </w:r>
      <w:r w:rsidR="008B3748" w:rsidRPr="00EC6AB6">
        <w:rPr>
          <w:rFonts w:ascii="Garamond" w:hAnsi="Garamond"/>
          <w:sz w:val="24"/>
          <w:szCs w:val="24"/>
          <w:lang w:val="sq-AL"/>
        </w:rPr>
        <w:t>relativisht e shkurtër e borxhit të brendshëm (rreth 2.2 v</w:t>
      </w:r>
      <w:r w:rsidR="0091556F" w:rsidRPr="00EC6AB6">
        <w:rPr>
          <w:rFonts w:ascii="Garamond" w:hAnsi="Garamond"/>
          <w:sz w:val="24"/>
          <w:szCs w:val="24"/>
          <w:lang w:val="sq-AL"/>
        </w:rPr>
        <w:t>jet</w:t>
      </w:r>
      <w:r w:rsidR="008B3748" w:rsidRPr="00EC6AB6">
        <w:rPr>
          <w:rFonts w:ascii="Garamond" w:hAnsi="Garamond"/>
          <w:sz w:val="24"/>
          <w:szCs w:val="24"/>
          <w:lang w:val="sq-AL"/>
        </w:rPr>
        <w:t>) dhe niveli i lartë i borxhit që rifinancohet në harkun kohor të një viti (mbi 290 miliard</w:t>
      </w:r>
      <w:r w:rsidR="0091556F" w:rsidRPr="00EC6AB6">
        <w:rPr>
          <w:rFonts w:ascii="Garamond" w:hAnsi="Garamond"/>
          <w:sz w:val="24"/>
          <w:szCs w:val="24"/>
          <w:lang w:val="sq-AL"/>
        </w:rPr>
        <w:t>ë</w:t>
      </w:r>
      <w:r w:rsidR="008B3748" w:rsidRPr="00EC6AB6">
        <w:rPr>
          <w:rFonts w:ascii="Garamond" w:hAnsi="Garamond"/>
          <w:sz w:val="24"/>
          <w:szCs w:val="24"/>
          <w:lang w:val="sq-AL"/>
        </w:rPr>
        <w:t xml:space="preserve"> </w:t>
      </w:r>
      <w:r w:rsidR="0091556F" w:rsidRPr="00EC6AB6">
        <w:rPr>
          <w:rFonts w:ascii="Garamond" w:hAnsi="Garamond"/>
          <w:sz w:val="24"/>
          <w:szCs w:val="24"/>
          <w:lang w:val="sq-AL"/>
        </w:rPr>
        <w:t>lekë</w:t>
      </w:r>
      <w:r w:rsidR="008B3748" w:rsidRPr="00EC6AB6">
        <w:rPr>
          <w:rFonts w:ascii="Garamond" w:hAnsi="Garamond"/>
          <w:sz w:val="24"/>
          <w:szCs w:val="24"/>
          <w:lang w:val="sq-AL"/>
        </w:rPr>
        <w:t xml:space="preserve">); </w:t>
      </w:r>
    </w:p>
    <w:p w14:paraId="4333B973" w14:textId="0289F352"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baza </w:t>
      </w:r>
      <w:r w:rsidR="008B3748" w:rsidRPr="00EC6AB6">
        <w:rPr>
          <w:rFonts w:ascii="Garamond" w:hAnsi="Garamond"/>
          <w:sz w:val="24"/>
          <w:szCs w:val="24"/>
          <w:lang w:val="sq-AL"/>
        </w:rPr>
        <w:t xml:space="preserve">e kufizuar e investitorëve dhe përqendrimi i saj në më shumë se 60% te sektori bankar; </w:t>
      </w:r>
    </w:p>
    <w:p w14:paraId="4333B974" w14:textId="2C66F0E2"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tregu </w:t>
      </w:r>
      <w:r w:rsidR="008B3748" w:rsidRPr="00EC6AB6">
        <w:rPr>
          <w:rFonts w:ascii="Garamond" w:hAnsi="Garamond"/>
          <w:sz w:val="24"/>
          <w:szCs w:val="24"/>
          <w:lang w:val="sq-AL"/>
        </w:rPr>
        <w:t xml:space="preserve">jo plotësisht i zhvilluar i titujve shtetërorë, për shkak të mungesës së një tregu sekondar të mirëfilltë; </w:t>
      </w:r>
    </w:p>
    <w:p w14:paraId="4333B975" w14:textId="014840E6"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kufizimet </w:t>
      </w:r>
      <w:r w:rsidR="008B3748" w:rsidRPr="00EC6AB6">
        <w:rPr>
          <w:rFonts w:ascii="Garamond" w:hAnsi="Garamond"/>
          <w:sz w:val="24"/>
          <w:szCs w:val="24"/>
          <w:lang w:val="sq-AL"/>
        </w:rPr>
        <w:t xml:space="preserve">e vendosura nga bankat mëma në drejtim të bankave </w:t>
      </w:r>
      <w:r w:rsidR="002B79A7" w:rsidRPr="00EC6AB6">
        <w:rPr>
          <w:rFonts w:ascii="Garamond" w:hAnsi="Garamond"/>
          <w:sz w:val="24"/>
          <w:szCs w:val="24"/>
          <w:lang w:val="sq-AL"/>
        </w:rPr>
        <w:t>vendës</w:t>
      </w:r>
      <w:r w:rsidR="008B3748" w:rsidRPr="00EC6AB6">
        <w:rPr>
          <w:rFonts w:ascii="Garamond" w:hAnsi="Garamond"/>
          <w:sz w:val="24"/>
          <w:szCs w:val="24"/>
          <w:lang w:val="sq-AL"/>
        </w:rPr>
        <w:t>e</w:t>
      </w:r>
      <w:r w:rsidR="0043466D" w:rsidRPr="00EC6AB6">
        <w:rPr>
          <w:rFonts w:ascii="Garamond" w:hAnsi="Garamond"/>
          <w:sz w:val="24"/>
          <w:szCs w:val="24"/>
          <w:lang w:val="sq-AL"/>
        </w:rPr>
        <w:t>,</w:t>
      </w:r>
      <w:r w:rsidR="008B3748" w:rsidRPr="00EC6AB6">
        <w:rPr>
          <w:rFonts w:ascii="Garamond" w:hAnsi="Garamond"/>
          <w:sz w:val="24"/>
          <w:szCs w:val="24"/>
          <w:lang w:val="sq-AL"/>
        </w:rPr>
        <w:t xml:space="preserve"> në lidhje me kufizimin e ekspozimit ndaj borxhit sovran dhe ruajtjen e raporteve të caktuara të likuiditetit.</w:t>
      </w:r>
    </w:p>
    <w:p w14:paraId="4333B976" w14:textId="4A5E1E5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Duke marrë në konsideratë faktorët e mësipërm, shoqëruar me borxhin në vlerë absolute në rritje, pritshmëritë për rënien e mëtejshme të nivelit të kredive me probleme dhe prirjet e sektorit bankar për rritur kreditimin ndaj sektorit privat, financimi i brendshëm rezulton të jetë i kufizuar dhe rritja vjetore e tij përtej nivelit 25</w:t>
      </w:r>
      <w:r w:rsidR="0043466D" w:rsidRPr="00EC6AB6">
        <w:rPr>
          <w:rFonts w:ascii="Garamond" w:hAnsi="Garamond"/>
          <w:sz w:val="24"/>
          <w:szCs w:val="24"/>
          <w:lang w:val="sq-AL"/>
        </w:rPr>
        <w:t>–</w:t>
      </w:r>
      <w:r w:rsidRPr="00EC6AB6">
        <w:rPr>
          <w:rFonts w:ascii="Garamond" w:hAnsi="Garamond"/>
          <w:sz w:val="24"/>
          <w:szCs w:val="24"/>
          <w:lang w:val="sq-AL"/>
        </w:rPr>
        <w:t>30 miliard</w:t>
      </w:r>
      <w:r w:rsidR="0043466D" w:rsidRPr="00EC6AB6">
        <w:rPr>
          <w:rFonts w:ascii="Garamond" w:hAnsi="Garamond"/>
          <w:sz w:val="24"/>
          <w:szCs w:val="24"/>
          <w:lang w:val="sq-AL"/>
        </w:rPr>
        <w:t>ë</w:t>
      </w:r>
      <w:r w:rsidRPr="00EC6AB6">
        <w:rPr>
          <w:rFonts w:ascii="Garamond" w:hAnsi="Garamond"/>
          <w:sz w:val="24"/>
          <w:szCs w:val="24"/>
          <w:lang w:val="sq-AL"/>
        </w:rPr>
        <w:t xml:space="preserve"> </w:t>
      </w:r>
      <w:r w:rsidR="0043466D" w:rsidRPr="00EC6AB6">
        <w:rPr>
          <w:rFonts w:ascii="Garamond" w:hAnsi="Garamond"/>
          <w:sz w:val="24"/>
          <w:szCs w:val="24"/>
          <w:lang w:val="sq-AL"/>
        </w:rPr>
        <w:t xml:space="preserve">lekë </w:t>
      </w:r>
      <w:r w:rsidRPr="00EC6AB6">
        <w:rPr>
          <w:rFonts w:ascii="Garamond" w:hAnsi="Garamond"/>
          <w:sz w:val="24"/>
          <w:szCs w:val="24"/>
          <w:lang w:val="sq-AL"/>
        </w:rPr>
        <w:t>mund të shoqërohet me efektet si më poshtë vijon:</w:t>
      </w:r>
    </w:p>
    <w:p w14:paraId="4333B977" w14:textId="17BDF746"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riskun </w:t>
      </w:r>
      <w:r w:rsidR="008B3748" w:rsidRPr="00EC6AB6">
        <w:rPr>
          <w:rFonts w:ascii="Garamond" w:hAnsi="Garamond"/>
          <w:sz w:val="24"/>
          <w:szCs w:val="24"/>
          <w:lang w:val="sq-AL"/>
        </w:rPr>
        <w:t>e mosrealizimit të huamarrjes së planifikuar, pasi sistemi bankar mund të paraqesë kufizime si nga ana e kuadrit rregullator dhe nga politika e brendshme e institucionit</w:t>
      </w:r>
      <w:r w:rsidR="0043466D" w:rsidRPr="00EC6AB6">
        <w:rPr>
          <w:rFonts w:ascii="Garamond" w:hAnsi="Garamond"/>
          <w:sz w:val="24"/>
          <w:szCs w:val="24"/>
          <w:lang w:val="sq-AL"/>
        </w:rPr>
        <w:t>,</w:t>
      </w:r>
      <w:r w:rsidR="008B3748" w:rsidRPr="00EC6AB6">
        <w:rPr>
          <w:rFonts w:ascii="Garamond" w:hAnsi="Garamond"/>
          <w:sz w:val="24"/>
          <w:szCs w:val="24"/>
          <w:lang w:val="sq-AL"/>
        </w:rPr>
        <w:t xml:space="preserve"> në lidhje me ekspozimin ndaj investimit në titujt qeveritarë në tregun e brendshëm në monedhën lekë;</w:t>
      </w:r>
    </w:p>
    <w:p w14:paraId="4333B978" w14:textId="09ED12FB"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mundësi </w:t>
      </w:r>
      <w:r w:rsidR="008B3748" w:rsidRPr="00EC6AB6">
        <w:rPr>
          <w:rFonts w:ascii="Garamond" w:hAnsi="Garamond"/>
          <w:sz w:val="24"/>
          <w:szCs w:val="24"/>
          <w:lang w:val="sq-AL"/>
        </w:rPr>
        <w:t>mosplotësimi i ankandeve (</w:t>
      </w:r>
      <w:r w:rsidR="0043466D" w:rsidRPr="00EC6AB6">
        <w:rPr>
          <w:rFonts w:ascii="Garamond" w:hAnsi="Garamond"/>
          <w:sz w:val="24"/>
          <w:szCs w:val="24"/>
          <w:lang w:val="sq-AL"/>
        </w:rPr>
        <w:t xml:space="preserve">raporti </w:t>
      </w:r>
      <w:r w:rsidR="008B3748" w:rsidRPr="00EC6AB6">
        <w:rPr>
          <w:rFonts w:ascii="Garamond" w:hAnsi="Garamond"/>
          <w:i/>
          <w:sz w:val="24"/>
          <w:szCs w:val="24"/>
          <w:lang w:val="sq-AL"/>
        </w:rPr>
        <w:t>Bid/Cover</w:t>
      </w:r>
      <w:r w:rsidR="008B3748" w:rsidRPr="00EC6AB6">
        <w:rPr>
          <w:rFonts w:ascii="Garamond" w:hAnsi="Garamond"/>
          <w:sz w:val="24"/>
          <w:szCs w:val="24"/>
          <w:lang w:val="sq-AL"/>
        </w:rPr>
        <w:t xml:space="preserve"> më i vogël se 1), shoqëruar me presion rritës të normave</w:t>
      </w:r>
      <w:r w:rsidR="00FA2519" w:rsidRPr="00EC6AB6">
        <w:rPr>
          <w:rFonts w:ascii="Garamond" w:hAnsi="Garamond"/>
          <w:sz w:val="24"/>
          <w:szCs w:val="24"/>
          <w:lang w:val="sq-AL"/>
        </w:rPr>
        <w:t xml:space="preserve"> </w:t>
      </w:r>
      <w:r w:rsidR="008B3748" w:rsidRPr="00EC6AB6">
        <w:rPr>
          <w:rFonts w:ascii="Garamond" w:hAnsi="Garamond"/>
          <w:sz w:val="24"/>
          <w:szCs w:val="24"/>
          <w:lang w:val="sq-AL"/>
        </w:rPr>
        <w:t>të interesit</w:t>
      </w:r>
      <w:r w:rsidR="0043466D" w:rsidRPr="00EC6AB6">
        <w:rPr>
          <w:rFonts w:ascii="Garamond" w:hAnsi="Garamond"/>
          <w:sz w:val="24"/>
          <w:szCs w:val="24"/>
          <w:lang w:val="sq-AL"/>
        </w:rPr>
        <w:t>,</w:t>
      </w:r>
      <w:r w:rsidR="008B3748" w:rsidRPr="00EC6AB6">
        <w:rPr>
          <w:rFonts w:ascii="Garamond" w:hAnsi="Garamond"/>
          <w:sz w:val="24"/>
          <w:szCs w:val="24"/>
          <w:lang w:val="sq-AL"/>
        </w:rPr>
        <w:t xml:space="preserve"> si dhe rritje të numrit të ankandeve;</w:t>
      </w:r>
    </w:p>
    <w:p w14:paraId="4333B979" w14:textId="604E3253"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riskun </w:t>
      </w:r>
      <w:r w:rsidR="008B3748" w:rsidRPr="00EC6AB6">
        <w:rPr>
          <w:rFonts w:ascii="Garamond" w:hAnsi="Garamond"/>
          <w:sz w:val="24"/>
          <w:szCs w:val="24"/>
          <w:lang w:val="sq-AL"/>
        </w:rPr>
        <w:t xml:space="preserve">e çmimeve spekuluese për ankandet e titujve qeveritarë, duke prishur kurbën e interesave dhe duke vështirësuar zbulueshmërinë e çmimit </w:t>
      </w:r>
      <w:r w:rsidR="008B3748" w:rsidRPr="00EC6AB6">
        <w:rPr>
          <w:rFonts w:ascii="Garamond" w:hAnsi="Garamond"/>
          <w:i/>
          <w:sz w:val="24"/>
          <w:szCs w:val="24"/>
          <w:lang w:val="sq-AL"/>
        </w:rPr>
        <w:t>(price discovery)</w:t>
      </w:r>
      <w:r w:rsidR="008B3748" w:rsidRPr="00EC6AB6">
        <w:rPr>
          <w:rFonts w:ascii="Garamond" w:hAnsi="Garamond"/>
          <w:sz w:val="24"/>
          <w:szCs w:val="24"/>
          <w:lang w:val="sq-AL"/>
        </w:rPr>
        <w:t xml:space="preserve"> nga investitorët;</w:t>
      </w:r>
    </w:p>
    <w:p w14:paraId="4333B97A" w14:textId="2B9C8CB9"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çrregullim </w:t>
      </w:r>
      <w:r w:rsidR="008B3748" w:rsidRPr="00EC6AB6">
        <w:rPr>
          <w:rFonts w:ascii="Garamond" w:hAnsi="Garamond"/>
          <w:sz w:val="24"/>
          <w:szCs w:val="24"/>
          <w:lang w:val="sq-AL"/>
        </w:rPr>
        <w:t>të raporteve ndërmjet kostos dhe riskut.</w:t>
      </w:r>
    </w:p>
    <w:p w14:paraId="4333B97B" w14:textId="45F0EFD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Shërbimi i borxhit në valutë vlerësohet në rritje gjatë gjithë periudhës afatmesme </w:t>
      </w:r>
      <w:r w:rsidR="008B6AF9" w:rsidRPr="00EC6AB6">
        <w:rPr>
          <w:rFonts w:ascii="Garamond" w:hAnsi="Garamond"/>
          <w:sz w:val="24"/>
          <w:szCs w:val="24"/>
          <w:lang w:val="sq-AL"/>
        </w:rPr>
        <w:t>2021–2023</w:t>
      </w:r>
      <w:r w:rsidRPr="00EC6AB6">
        <w:rPr>
          <w:rFonts w:ascii="Garamond" w:hAnsi="Garamond"/>
          <w:sz w:val="24"/>
          <w:szCs w:val="24"/>
          <w:lang w:val="sq-AL"/>
        </w:rPr>
        <w:t xml:space="preserve">. Duke qenë se të ardhurat e vendit tonë janë kryesisht në monedhë </w:t>
      </w:r>
      <w:r w:rsidR="002B79A7" w:rsidRPr="00EC6AB6">
        <w:rPr>
          <w:rFonts w:ascii="Garamond" w:hAnsi="Garamond"/>
          <w:sz w:val="24"/>
          <w:szCs w:val="24"/>
          <w:lang w:val="sq-AL"/>
        </w:rPr>
        <w:t>vendës</w:t>
      </w:r>
      <w:r w:rsidRPr="00EC6AB6">
        <w:rPr>
          <w:rFonts w:ascii="Garamond" w:hAnsi="Garamond"/>
          <w:sz w:val="24"/>
          <w:szCs w:val="24"/>
          <w:lang w:val="sq-AL"/>
        </w:rPr>
        <w:t xml:space="preserve">e dhe llogaria korrente në bilancin e pagesave është dhe pritet të jetë deficitare, aftësia për të siguruar valutë mbetet e limituar. Sigurimi i valutës nga burimet e brendshme (nëpërmjet titujve shtetërorë në valutë) është i kufizuar, kryesisht në aspektin e maturitetit të dëshiruar për të reduktuar rreziqet në përputhje me objektivat. Nga ana tjetër, përdorimi si instrument i tregut të këmbimit valutor është gjithashtu i kufizuar dhe mund të krijojë implikime në ruajtjen e qëndrueshmërisë së kursit të këmbimit të monedhës </w:t>
      </w:r>
      <w:r w:rsidR="002B79A7" w:rsidRPr="00EC6AB6">
        <w:rPr>
          <w:rFonts w:ascii="Garamond" w:hAnsi="Garamond"/>
          <w:sz w:val="24"/>
          <w:szCs w:val="24"/>
          <w:lang w:val="sq-AL"/>
        </w:rPr>
        <w:t>vendës</w:t>
      </w:r>
      <w:r w:rsidRPr="00EC6AB6">
        <w:rPr>
          <w:rFonts w:ascii="Garamond" w:hAnsi="Garamond"/>
          <w:sz w:val="24"/>
          <w:szCs w:val="24"/>
          <w:lang w:val="sq-AL"/>
        </w:rPr>
        <w:t xml:space="preserve">e, kryesisht kundrejt monedhës </w:t>
      </w:r>
      <w:r w:rsidR="0043466D" w:rsidRPr="00EC6AB6">
        <w:rPr>
          <w:rFonts w:ascii="Garamond" w:hAnsi="Garamond"/>
          <w:sz w:val="24"/>
          <w:szCs w:val="24"/>
          <w:lang w:val="sq-AL"/>
        </w:rPr>
        <w:t>euro</w:t>
      </w:r>
      <w:r w:rsidRPr="00EC6AB6">
        <w:rPr>
          <w:rFonts w:ascii="Garamond" w:hAnsi="Garamond"/>
          <w:sz w:val="24"/>
          <w:szCs w:val="24"/>
          <w:lang w:val="sq-AL"/>
        </w:rPr>
        <w:t xml:space="preserve">. </w:t>
      </w:r>
    </w:p>
    <w:p w14:paraId="4333B97C" w14:textId="20F24FD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Tregu i jashtëm</w:t>
      </w:r>
      <w:r w:rsidR="0043466D" w:rsidRPr="00EC6AB6">
        <w:rPr>
          <w:rFonts w:ascii="Garamond" w:hAnsi="Garamond"/>
          <w:sz w:val="24"/>
          <w:szCs w:val="24"/>
          <w:lang w:val="sq-AL"/>
        </w:rPr>
        <w:t>,</w:t>
      </w:r>
      <w:r w:rsidRPr="00EC6AB6">
        <w:rPr>
          <w:rFonts w:ascii="Garamond" w:hAnsi="Garamond"/>
          <w:sz w:val="24"/>
          <w:szCs w:val="24"/>
          <w:lang w:val="sq-AL"/>
        </w:rPr>
        <w:t xml:space="preserve"> du</w:t>
      </w:r>
      <w:r w:rsidR="00432520" w:rsidRPr="00EC6AB6">
        <w:rPr>
          <w:rFonts w:ascii="Garamond" w:hAnsi="Garamond"/>
          <w:sz w:val="24"/>
          <w:szCs w:val="24"/>
          <w:lang w:val="sq-AL"/>
        </w:rPr>
        <w:t>ke qenë se ofron burime të mirë</w:t>
      </w:r>
      <w:r w:rsidRPr="00EC6AB6">
        <w:rPr>
          <w:rFonts w:ascii="Garamond" w:hAnsi="Garamond"/>
          <w:sz w:val="24"/>
          <w:szCs w:val="24"/>
          <w:lang w:val="sq-AL"/>
        </w:rPr>
        <w:t xml:space="preserve">diversifikuara financimi dhe është i aksesueshëm nga shteti </w:t>
      </w:r>
      <w:r w:rsidR="0043466D" w:rsidRPr="00EC6AB6">
        <w:rPr>
          <w:rFonts w:ascii="Garamond" w:hAnsi="Garamond"/>
          <w:sz w:val="24"/>
          <w:szCs w:val="24"/>
          <w:lang w:val="sq-AL"/>
        </w:rPr>
        <w:t>shqiptar</w:t>
      </w:r>
      <w:r w:rsidRPr="00EC6AB6">
        <w:rPr>
          <w:rFonts w:ascii="Garamond" w:hAnsi="Garamond"/>
          <w:sz w:val="24"/>
          <w:szCs w:val="24"/>
          <w:lang w:val="sq-AL"/>
        </w:rPr>
        <w:t>, mund të shërbejë si një alternativë e mirë për të reduktuar konsumimin e burimeve të brendshme, për të siguruar valutën e nevojshme për të shërbyer borxhin e huaj, si edhe për të reduktuar kostot</w:t>
      </w:r>
      <w:r w:rsidRPr="00EC6AB6">
        <w:rPr>
          <w:rFonts w:ascii="Garamond" w:hAnsi="Garamond"/>
          <w:sz w:val="24"/>
          <w:szCs w:val="24"/>
          <w:vertAlign w:val="superscript"/>
          <w:lang w:val="sq-AL"/>
        </w:rPr>
        <w:footnoteReference w:id="8"/>
      </w:r>
      <w:r w:rsidRPr="00EC6AB6">
        <w:rPr>
          <w:rFonts w:ascii="Garamond" w:hAnsi="Garamond"/>
          <w:sz w:val="24"/>
          <w:szCs w:val="24"/>
          <w:lang w:val="sq-AL"/>
        </w:rPr>
        <w:t xml:space="preserve"> e huamarrjes. Megjithatë, edhe huamarrja në tregjet e huaja mund të paraqesë risqe, të cilat lidhen me faktorë të tillë si:</w:t>
      </w:r>
    </w:p>
    <w:p w14:paraId="4333B97D" w14:textId="7BB047B8"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mungesa </w:t>
      </w:r>
      <w:r w:rsidR="008B3748" w:rsidRPr="00EC6AB6">
        <w:rPr>
          <w:rFonts w:ascii="Garamond" w:hAnsi="Garamond"/>
          <w:sz w:val="24"/>
          <w:szCs w:val="24"/>
          <w:lang w:val="sq-AL"/>
        </w:rPr>
        <w:t xml:space="preserve">e kontrollit dhe influencës së politikave fiskale dhe monetare të vendit tonë mbi normat e interesit dhe kursin e këmbimit, që influencohen kryesisht nga politikat fiskale të vendeve të tjera dhe politikat monetare të BQE dhe Rezervës Federale. Këta faktorë mund të përshkallëzojnë rritjen e kostove të borxhit, zgjerimin e deficitit dhe si rrjedhojë edhe rritjen e pavullnetshme të borxhit; </w:t>
      </w:r>
    </w:p>
    <w:p w14:paraId="4333B97E" w14:textId="1B53B00D"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rritja </w:t>
      </w:r>
      <w:r w:rsidR="008B3748" w:rsidRPr="00EC6AB6">
        <w:rPr>
          <w:rFonts w:ascii="Garamond" w:hAnsi="Garamond"/>
          <w:sz w:val="24"/>
          <w:szCs w:val="24"/>
          <w:lang w:val="sq-AL"/>
        </w:rPr>
        <w:t>e varësisë nga huamarrja e huaj dhe kufizimi i zhvillimit potencial të tregut të brendshëm të titujve shtetërorë;</w:t>
      </w:r>
    </w:p>
    <w:p w14:paraId="4333B97F" w14:textId="598403BA"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32520" w:rsidRPr="00EC6AB6">
        <w:rPr>
          <w:rFonts w:ascii="Garamond" w:hAnsi="Garamond"/>
          <w:sz w:val="24"/>
          <w:szCs w:val="24"/>
          <w:lang w:val="sq-AL"/>
        </w:rPr>
        <w:t xml:space="preserve">niveli </w:t>
      </w:r>
      <w:r w:rsidR="008B3748" w:rsidRPr="00EC6AB6">
        <w:rPr>
          <w:rFonts w:ascii="Garamond" w:hAnsi="Garamond"/>
          <w:sz w:val="24"/>
          <w:szCs w:val="24"/>
          <w:lang w:val="sq-AL"/>
        </w:rPr>
        <w:t xml:space="preserve">i kufizuar i të ardhurave në valutë mund të krijojë mospërputhje ndërmjet aktiveve dhe pasiveve në bilancin e shtetit, duke rritur ndjeshëm kostot shtesë që burojnë nga një nënçmim i mundshëm i monedhës </w:t>
      </w:r>
      <w:r w:rsidR="002B79A7" w:rsidRPr="00EC6AB6">
        <w:rPr>
          <w:rFonts w:ascii="Garamond" w:hAnsi="Garamond"/>
          <w:sz w:val="24"/>
          <w:szCs w:val="24"/>
          <w:lang w:val="sq-AL"/>
        </w:rPr>
        <w:t>vendës</w:t>
      </w:r>
      <w:r w:rsidR="008B3748" w:rsidRPr="00EC6AB6">
        <w:rPr>
          <w:rFonts w:ascii="Garamond" w:hAnsi="Garamond"/>
          <w:sz w:val="24"/>
          <w:szCs w:val="24"/>
          <w:lang w:val="sq-AL"/>
        </w:rPr>
        <w:t>e;</w:t>
      </w:r>
      <w:r w:rsidR="00FA2519" w:rsidRPr="00EC6AB6">
        <w:rPr>
          <w:rFonts w:ascii="Garamond" w:hAnsi="Garamond"/>
          <w:sz w:val="24"/>
          <w:szCs w:val="24"/>
          <w:lang w:val="sq-AL"/>
        </w:rPr>
        <w:t xml:space="preserve"> </w:t>
      </w:r>
    </w:p>
    <w:p w14:paraId="4333B980" w14:textId="0252AEDA"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432520" w:rsidRPr="00EC6AB6">
        <w:rPr>
          <w:rFonts w:ascii="Garamond" w:hAnsi="Garamond"/>
          <w:sz w:val="24"/>
          <w:szCs w:val="24"/>
          <w:lang w:val="sq-AL"/>
        </w:rPr>
        <w:t xml:space="preserve">rritja </w:t>
      </w:r>
      <w:r w:rsidR="008B3748" w:rsidRPr="00EC6AB6">
        <w:rPr>
          <w:rFonts w:ascii="Garamond" w:hAnsi="Garamond"/>
          <w:sz w:val="24"/>
          <w:szCs w:val="24"/>
          <w:lang w:val="sq-AL"/>
        </w:rPr>
        <w:t xml:space="preserve">e detyrimeve afatshkurtra të borxhit në valutë me ritme më të larta se niveli i eksporteve ose rezervave valutore mund të vendosë shtetin në vështirësi për të likuiduar detyrimet në valutë, duke rrezikuar qëndrueshmërinë e monedhës </w:t>
      </w:r>
      <w:r w:rsidR="002B79A7" w:rsidRPr="00EC6AB6">
        <w:rPr>
          <w:rFonts w:ascii="Garamond" w:hAnsi="Garamond"/>
          <w:sz w:val="24"/>
          <w:szCs w:val="24"/>
          <w:lang w:val="sq-AL"/>
        </w:rPr>
        <w:t>vendës</w:t>
      </w:r>
      <w:r w:rsidR="008B3748" w:rsidRPr="00EC6AB6">
        <w:rPr>
          <w:rFonts w:ascii="Garamond" w:hAnsi="Garamond"/>
          <w:sz w:val="24"/>
          <w:szCs w:val="24"/>
          <w:lang w:val="sq-AL"/>
        </w:rPr>
        <w:t>e dhe treguesve të tjerë makroekonomikë</w:t>
      </w:r>
      <w:r w:rsidR="0043466D" w:rsidRPr="00EC6AB6">
        <w:rPr>
          <w:rFonts w:ascii="Garamond" w:hAnsi="Garamond"/>
          <w:sz w:val="24"/>
          <w:szCs w:val="24"/>
          <w:lang w:val="sq-AL"/>
        </w:rPr>
        <w:t>.</w:t>
      </w:r>
      <w:r w:rsidR="008B3748" w:rsidRPr="00EC6AB6">
        <w:rPr>
          <w:rFonts w:ascii="Garamond" w:hAnsi="Garamond"/>
          <w:sz w:val="24"/>
          <w:szCs w:val="24"/>
          <w:lang w:val="sq-AL"/>
        </w:rPr>
        <w:t xml:space="preserve"> </w:t>
      </w:r>
    </w:p>
    <w:p w14:paraId="4333B981" w14:textId="77777777" w:rsidR="008B3748" w:rsidRPr="001B5EEC" w:rsidRDefault="000542E3" w:rsidP="008B3748">
      <w:pPr>
        <w:spacing w:after="0" w:line="240" w:lineRule="auto"/>
        <w:rPr>
          <w:rFonts w:ascii="Garamond" w:hAnsi="Garamond"/>
          <w:sz w:val="24"/>
          <w:szCs w:val="24"/>
          <w:lang w:val="sq-AL"/>
        </w:rPr>
      </w:pPr>
      <w:bookmarkStart w:id="70" w:name="_Toc60129465"/>
      <w:bookmarkStart w:id="71" w:name="_Toc491954320"/>
      <w:bookmarkStart w:id="72" w:name="_Toc491861007"/>
      <w:r w:rsidRPr="001B5EEC">
        <w:rPr>
          <w:rFonts w:ascii="Garamond" w:hAnsi="Garamond"/>
          <w:sz w:val="24"/>
          <w:szCs w:val="24"/>
          <w:lang w:val="sq-AL"/>
        </w:rPr>
        <w:t xml:space="preserve">1.3 </w:t>
      </w:r>
      <w:r w:rsidR="008B3748" w:rsidRPr="001B5EEC">
        <w:rPr>
          <w:rFonts w:ascii="Garamond" w:hAnsi="Garamond"/>
          <w:sz w:val="24"/>
          <w:szCs w:val="24"/>
          <w:lang w:val="sq-AL"/>
        </w:rPr>
        <w:t>Burimet e financimit</w:t>
      </w:r>
      <w:bookmarkEnd w:id="70"/>
      <w:bookmarkEnd w:id="71"/>
      <w:bookmarkEnd w:id="72"/>
    </w:p>
    <w:p w14:paraId="4333B982" w14:textId="77777777" w:rsidR="008B3748" w:rsidRPr="001B5EEC" w:rsidRDefault="008B3748" w:rsidP="008B3748">
      <w:pPr>
        <w:spacing w:after="0" w:line="240" w:lineRule="auto"/>
        <w:rPr>
          <w:rFonts w:ascii="Garamond" w:hAnsi="Garamond"/>
          <w:sz w:val="24"/>
          <w:szCs w:val="24"/>
          <w:lang w:val="sq-AL"/>
        </w:rPr>
      </w:pPr>
      <w:r w:rsidRPr="001B5EEC">
        <w:rPr>
          <w:rFonts w:ascii="Garamond" w:hAnsi="Garamond"/>
          <w:sz w:val="24"/>
          <w:szCs w:val="24"/>
          <w:lang w:val="sq-AL"/>
        </w:rPr>
        <w:t xml:space="preserve">Në kuadër të shërbimit të borxhit ekzistues dhe në kuadër të plotësimit të nevojave të qeverisjes qendrore për huamarrje, paraprakisht janë vlerësuar kushtet e tregut të brendshëm dhe ato të tregjeve ndërkombëtare të kapitalit, duke përcaktuar burimet potenciale të financimit për vendin tonë. </w:t>
      </w:r>
    </w:p>
    <w:p w14:paraId="4333B983" w14:textId="7FC46777" w:rsidR="008B3748" w:rsidRPr="00EC6AB6" w:rsidRDefault="008B3748" w:rsidP="008B3748">
      <w:pPr>
        <w:spacing w:after="0" w:line="240" w:lineRule="auto"/>
        <w:rPr>
          <w:rFonts w:ascii="Garamond" w:hAnsi="Garamond"/>
          <w:sz w:val="24"/>
          <w:szCs w:val="24"/>
          <w:highlight w:val="yellow"/>
          <w:lang w:val="sq-AL"/>
        </w:rPr>
      </w:pPr>
      <w:r w:rsidRPr="001B5EEC">
        <w:rPr>
          <w:rFonts w:ascii="Garamond" w:hAnsi="Garamond"/>
          <w:sz w:val="24"/>
          <w:szCs w:val="24"/>
          <w:lang w:val="sq-AL"/>
        </w:rPr>
        <w:t>Në tregun e brendshëm është mbajtur kontakt i vazhdueshëm kryesisht me sektorin bankar.</w:t>
      </w:r>
      <w:r w:rsidRPr="00EC6AB6">
        <w:rPr>
          <w:rFonts w:ascii="Garamond" w:hAnsi="Garamond"/>
          <w:sz w:val="24"/>
          <w:szCs w:val="24"/>
          <w:lang w:val="sq-AL"/>
        </w:rPr>
        <w:t xml:space="preserve"> Huamarrja në tregun e brendshëm monitorohet në kohë reale me qëllim përshtatjen me situatën në varësi të preferencave të tregut, kërkesës së tregut (duke qenë fleksibël për të rishikuar kur është e nevojshme kalendarin e huamarrjes), llojin e </w:t>
      </w:r>
      <w:r w:rsidR="00FF5418" w:rsidRPr="00EC6AB6">
        <w:rPr>
          <w:rFonts w:ascii="Garamond" w:hAnsi="Garamond"/>
          <w:sz w:val="24"/>
          <w:szCs w:val="24"/>
          <w:lang w:val="sq-AL"/>
        </w:rPr>
        <w:t>instrumenteve</w:t>
      </w:r>
      <w:r w:rsidRPr="00EC6AB6">
        <w:rPr>
          <w:rFonts w:ascii="Garamond" w:hAnsi="Garamond"/>
          <w:sz w:val="24"/>
          <w:szCs w:val="24"/>
          <w:lang w:val="sq-AL"/>
        </w:rPr>
        <w:t xml:space="preserve"> për emetim (bazuar te nevojat për likuiditetit të qeverisë).</w:t>
      </w:r>
    </w:p>
    <w:p w14:paraId="4333B984" w14:textId="6450CCB8"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Ndërkohë, në tregun e jashtëm janë bërë vlerësime me qëllim evidentimin e termave dhe kushteve kundrejt të cilave investitorët e huaj janë të gatshëm të kreditojnë vendin tonë. Mbi bazën e këtyre vlerësimeve janë përcaktuar burimet potenciale të financimit në periudhën afatmesme </w:t>
      </w:r>
      <w:r w:rsidR="008B6AF9" w:rsidRPr="00EC6AB6">
        <w:rPr>
          <w:rFonts w:ascii="Garamond" w:hAnsi="Garamond"/>
          <w:sz w:val="24"/>
          <w:szCs w:val="24"/>
          <w:lang w:val="sq-AL"/>
        </w:rPr>
        <w:t>2021–2023</w:t>
      </w:r>
      <w:r w:rsidRPr="00EC6AB6">
        <w:rPr>
          <w:rFonts w:ascii="Garamond" w:hAnsi="Garamond"/>
          <w:sz w:val="24"/>
          <w:szCs w:val="24"/>
          <w:lang w:val="sq-AL"/>
        </w:rPr>
        <w:t>.</w:t>
      </w:r>
    </w:p>
    <w:p w14:paraId="4333B985" w14:textId="77777777" w:rsidR="008B3748" w:rsidRPr="00EC6AB6" w:rsidRDefault="000542E3" w:rsidP="008B3748">
      <w:pPr>
        <w:spacing w:after="0" w:line="240" w:lineRule="auto"/>
        <w:rPr>
          <w:rFonts w:ascii="Garamond" w:hAnsi="Garamond"/>
          <w:sz w:val="24"/>
          <w:szCs w:val="24"/>
          <w:lang w:val="sq-AL"/>
        </w:rPr>
      </w:pPr>
      <w:bookmarkStart w:id="73" w:name="_Toc60129466"/>
      <w:bookmarkStart w:id="74" w:name="_Toc491954321"/>
      <w:bookmarkStart w:id="75" w:name="_Toc491861008"/>
      <w:r w:rsidRPr="00EC6AB6">
        <w:rPr>
          <w:rFonts w:ascii="Garamond" w:hAnsi="Garamond"/>
          <w:sz w:val="24"/>
          <w:szCs w:val="24"/>
          <w:lang w:val="sq-AL"/>
        </w:rPr>
        <w:t xml:space="preserve">1.3.1 </w:t>
      </w:r>
      <w:r w:rsidR="008B3748" w:rsidRPr="00EC6AB6">
        <w:rPr>
          <w:rFonts w:ascii="Garamond" w:hAnsi="Garamond"/>
          <w:sz w:val="24"/>
          <w:szCs w:val="24"/>
          <w:lang w:val="sq-AL"/>
        </w:rPr>
        <w:t>Burimet e brendshme</w:t>
      </w:r>
      <w:bookmarkEnd w:id="73"/>
      <w:bookmarkEnd w:id="74"/>
      <w:bookmarkEnd w:id="75"/>
    </w:p>
    <w:p w14:paraId="4333B986" w14:textId="1257F5E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vijim të situatës së jashtëzakonshme nga pandemia në nivel global </w:t>
      </w:r>
      <w:r w:rsidR="00FF5418" w:rsidRPr="00EC6AB6">
        <w:rPr>
          <w:rFonts w:ascii="Garamond" w:hAnsi="Garamond"/>
          <w:sz w:val="24"/>
          <w:szCs w:val="24"/>
          <w:lang w:val="sq-AL"/>
        </w:rPr>
        <w:t>COVID</w:t>
      </w:r>
      <w:r w:rsidRPr="00EC6AB6">
        <w:rPr>
          <w:rFonts w:ascii="Garamond" w:hAnsi="Garamond"/>
          <w:sz w:val="24"/>
          <w:szCs w:val="24"/>
          <w:lang w:val="sq-AL"/>
        </w:rPr>
        <w:t>-19, në periudhën afatmesme, huamar</w:t>
      </w:r>
      <w:r w:rsidR="00FF5418" w:rsidRPr="00EC6AB6">
        <w:rPr>
          <w:rFonts w:ascii="Garamond" w:hAnsi="Garamond"/>
          <w:sz w:val="24"/>
          <w:szCs w:val="24"/>
          <w:lang w:val="sq-AL"/>
        </w:rPr>
        <w:t>r</w:t>
      </w:r>
      <w:r w:rsidRPr="00EC6AB6">
        <w:rPr>
          <w:rFonts w:ascii="Garamond" w:hAnsi="Garamond"/>
          <w:sz w:val="24"/>
          <w:szCs w:val="24"/>
          <w:lang w:val="sq-AL"/>
        </w:rPr>
        <w:t xml:space="preserve">ja përbën një sfidë në kushtet ku nevojat për financim janë rritur. </w:t>
      </w:r>
    </w:p>
    <w:p w14:paraId="4333B987" w14:textId="10935CDD"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periudhën afatmesme, tregu i brendshëm do të vazhdojë të mbetet burimi kryesor i financimit, i cili do të mbulojë shumicën e nevojave të qeverisjes qendrore për hua. Instrumentet kryesore që do të përdoren për sigurimin e financimit janë titujt shtetërorë. Burimet e brendshme të financimit do të vazhdojnë të mbështeten kryesisht te sektori bankar, ndërkohë që ka pritshmëri pozitive për rritjen e aktivitetit në tregun e titujve shtetërorë nga institucionet jofinanciare dhe investitorët jorezident</w:t>
      </w:r>
      <w:r w:rsidR="001B5EEC">
        <w:rPr>
          <w:rFonts w:ascii="Garamond" w:hAnsi="Garamond"/>
          <w:sz w:val="24"/>
          <w:szCs w:val="24"/>
          <w:lang w:val="sq-AL"/>
        </w:rPr>
        <w:t>ë</w:t>
      </w:r>
      <w:r w:rsidRPr="00EC6AB6">
        <w:rPr>
          <w:rFonts w:ascii="Garamond" w:hAnsi="Garamond"/>
          <w:sz w:val="24"/>
          <w:szCs w:val="24"/>
          <w:lang w:val="sq-AL"/>
        </w:rPr>
        <w:t xml:space="preserve">. </w:t>
      </w:r>
    </w:p>
    <w:p w14:paraId="4333B988" w14:textId="2A247BF5"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Sektori bankar do të tentojë më së shumti të orientohet drejt bonove të thesarit dhe titujve afatmesëm</w:t>
      </w:r>
      <w:r w:rsidR="00B55161">
        <w:rPr>
          <w:rFonts w:ascii="Garamond" w:hAnsi="Garamond"/>
          <w:sz w:val="24"/>
          <w:szCs w:val="24"/>
          <w:lang w:val="sq-AL"/>
        </w:rPr>
        <w:t>,</w:t>
      </w:r>
      <w:r w:rsidRPr="00EC6AB6">
        <w:rPr>
          <w:rFonts w:ascii="Garamond" w:hAnsi="Garamond"/>
          <w:sz w:val="24"/>
          <w:szCs w:val="24"/>
          <w:lang w:val="sq-AL"/>
        </w:rPr>
        <w:t xml:space="preserve"> për shkak të orientimit të bankave mëma, si dhe në kuadër të kufizimeve lidhur me raportet e likuiditetit, barrën e kapitalit dhe ekspozimin ndaj borxhit sovran. Gjithsesi, orientimi i sektorit bankar drejt titujve afatshkurtër pritet të kompensohet nga rritja e kërkesës në kategoritë e tjera dhe orientimi i tyre në drejtim të titujve afatgjatë. </w:t>
      </w:r>
    </w:p>
    <w:p w14:paraId="4333B989" w14:textId="77777777" w:rsidR="008B3748" w:rsidRPr="00EC6AB6" w:rsidRDefault="000542E3" w:rsidP="008B3748">
      <w:pPr>
        <w:spacing w:after="0" w:line="240" w:lineRule="auto"/>
        <w:rPr>
          <w:rFonts w:ascii="Garamond" w:hAnsi="Garamond"/>
          <w:sz w:val="24"/>
          <w:szCs w:val="24"/>
          <w:lang w:val="sq-AL"/>
        </w:rPr>
      </w:pPr>
      <w:bookmarkStart w:id="76" w:name="_Toc60129467"/>
      <w:bookmarkStart w:id="77" w:name="_Toc491954322"/>
      <w:bookmarkStart w:id="78" w:name="_Toc491861009"/>
      <w:r w:rsidRPr="00EC6AB6">
        <w:rPr>
          <w:rFonts w:ascii="Garamond" w:hAnsi="Garamond"/>
          <w:sz w:val="24"/>
          <w:szCs w:val="24"/>
          <w:lang w:val="sq-AL"/>
        </w:rPr>
        <w:t xml:space="preserve">1.3.2 </w:t>
      </w:r>
      <w:r w:rsidR="008B3748" w:rsidRPr="00EC6AB6">
        <w:rPr>
          <w:rFonts w:ascii="Garamond" w:hAnsi="Garamond"/>
          <w:sz w:val="24"/>
          <w:szCs w:val="24"/>
          <w:lang w:val="sq-AL"/>
        </w:rPr>
        <w:t>Burimet e huaja</w:t>
      </w:r>
      <w:bookmarkEnd w:id="76"/>
      <w:bookmarkEnd w:id="77"/>
      <w:bookmarkEnd w:id="78"/>
    </w:p>
    <w:p w14:paraId="4333B98A" w14:textId="5F8C09B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Burimet e huaja të financimit në periudhën afatmesme do të shërbejnë si një plotësues i mirë i burimeve të brendshme dhe do të shërbejnë</w:t>
      </w:r>
      <w:r w:rsidR="00B55161">
        <w:rPr>
          <w:rFonts w:ascii="Garamond" w:hAnsi="Garamond"/>
          <w:sz w:val="24"/>
          <w:szCs w:val="24"/>
          <w:lang w:val="sq-AL"/>
        </w:rPr>
        <w:t>,</w:t>
      </w:r>
      <w:r w:rsidRPr="00EC6AB6">
        <w:rPr>
          <w:rFonts w:ascii="Garamond" w:hAnsi="Garamond"/>
          <w:sz w:val="24"/>
          <w:szCs w:val="24"/>
          <w:lang w:val="sq-AL"/>
        </w:rPr>
        <w:t xml:space="preserve"> përveç të tjerash</w:t>
      </w:r>
      <w:r w:rsidR="00B55161">
        <w:rPr>
          <w:rFonts w:ascii="Garamond" w:hAnsi="Garamond"/>
          <w:sz w:val="24"/>
          <w:szCs w:val="24"/>
          <w:lang w:val="sq-AL"/>
        </w:rPr>
        <w:t>,</w:t>
      </w:r>
      <w:r w:rsidRPr="00EC6AB6">
        <w:rPr>
          <w:rFonts w:ascii="Garamond" w:hAnsi="Garamond"/>
          <w:sz w:val="24"/>
          <w:szCs w:val="24"/>
          <w:lang w:val="sq-AL"/>
        </w:rPr>
        <w:t xml:space="preserve"> edhe si optimizues i kostove të borxhit, duke qenë se këto burime paraqiten të mirëdiversifikuara dhe ofrojnë mundësi financimi</w:t>
      </w:r>
      <w:r w:rsidR="00B55161">
        <w:rPr>
          <w:rFonts w:ascii="Garamond" w:hAnsi="Garamond"/>
          <w:sz w:val="24"/>
          <w:szCs w:val="24"/>
          <w:lang w:val="sq-AL"/>
        </w:rPr>
        <w:t>,</w:t>
      </w:r>
      <w:r w:rsidRPr="00EC6AB6">
        <w:rPr>
          <w:rFonts w:ascii="Garamond" w:hAnsi="Garamond"/>
          <w:sz w:val="24"/>
          <w:szCs w:val="24"/>
          <w:lang w:val="sq-AL"/>
        </w:rPr>
        <w:t xml:space="preserve"> jo vetëm me terma tregtar</w:t>
      </w:r>
      <w:r w:rsidR="00B55161">
        <w:rPr>
          <w:rFonts w:ascii="Garamond" w:hAnsi="Garamond"/>
          <w:sz w:val="24"/>
          <w:szCs w:val="24"/>
          <w:lang w:val="sq-AL"/>
        </w:rPr>
        <w:t>ë</w:t>
      </w:r>
      <w:r w:rsidRPr="00EC6AB6">
        <w:rPr>
          <w:rFonts w:ascii="Garamond" w:hAnsi="Garamond"/>
          <w:sz w:val="24"/>
          <w:szCs w:val="24"/>
          <w:lang w:val="sq-AL"/>
        </w:rPr>
        <w:t>, por edhe me terma koncensional</w:t>
      </w:r>
      <w:r w:rsidR="00B55161">
        <w:rPr>
          <w:rFonts w:ascii="Garamond" w:hAnsi="Garamond"/>
          <w:sz w:val="24"/>
          <w:szCs w:val="24"/>
          <w:lang w:val="sq-AL"/>
        </w:rPr>
        <w:t>ë</w:t>
      </w:r>
      <w:r w:rsidRPr="00EC6AB6">
        <w:rPr>
          <w:rFonts w:ascii="Garamond" w:hAnsi="Garamond"/>
          <w:sz w:val="24"/>
          <w:szCs w:val="24"/>
          <w:lang w:val="sq-AL"/>
        </w:rPr>
        <w:t>. Instrumentet kryesore që planifikohen të përdoren në sigurimin e financimit të huaj janë: i</w:t>
      </w:r>
      <w:r w:rsidR="00FF5418" w:rsidRPr="00EC6AB6">
        <w:rPr>
          <w:rFonts w:ascii="Garamond" w:hAnsi="Garamond"/>
          <w:sz w:val="24"/>
          <w:szCs w:val="24"/>
          <w:lang w:val="sq-AL"/>
        </w:rPr>
        <w:t>.</w:t>
      </w:r>
      <w:r w:rsidRPr="00EC6AB6">
        <w:rPr>
          <w:rFonts w:ascii="Garamond" w:hAnsi="Garamond"/>
          <w:sz w:val="24"/>
          <w:szCs w:val="24"/>
          <w:lang w:val="sq-AL"/>
        </w:rPr>
        <w:t xml:space="preserve"> </w:t>
      </w:r>
      <w:r w:rsidR="002A3781" w:rsidRPr="00EC6AB6">
        <w:rPr>
          <w:rFonts w:ascii="Garamond" w:hAnsi="Garamond"/>
          <w:sz w:val="24"/>
          <w:szCs w:val="24"/>
          <w:lang w:val="sq-AL"/>
        </w:rPr>
        <w:t>huat</w:t>
      </w:r>
      <w:r w:rsidRPr="00EC6AB6">
        <w:rPr>
          <w:rFonts w:ascii="Garamond" w:hAnsi="Garamond"/>
          <w:sz w:val="24"/>
          <w:szCs w:val="24"/>
          <w:lang w:val="sq-AL"/>
        </w:rPr>
        <w:t xml:space="preserve"> me terma pjesërisht të but</w:t>
      </w:r>
      <w:r w:rsidR="00B55161">
        <w:rPr>
          <w:rFonts w:ascii="Garamond" w:hAnsi="Garamond"/>
          <w:sz w:val="24"/>
          <w:szCs w:val="24"/>
          <w:lang w:val="sq-AL"/>
        </w:rPr>
        <w:t>ë</w:t>
      </w:r>
      <w:r w:rsidRPr="00EC6AB6">
        <w:rPr>
          <w:rFonts w:ascii="Garamond" w:hAnsi="Garamond"/>
          <w:sz w:val="24"/>
          <w:szCs w:val="24"/>
          <w:lang w:val="sq-AL"/>
        </w:rPr>
        <w:t>, të cilat do të financojnë projektet ekzistuese dhe projektet e reja të konsideruara si prioritare nga qeveria për zhvillimin e vendit; ii</w:t>
      </w:r>
      <w:r w:rsidR="00FF5418" w:rsidRPr="00EC6AB6">
        <w:rPr>
          <w:rFonts w:ascii="Garamond" w:hAnsi="Garamond"/>
          <w:sz w:val="24"/>
          <w:szCs w:val="24"/>
          <w:lang w:val="sq-AL"/>
        </w:rPr>
        <w:t>.</w:t>
      </w:r>
      <w:r w:rsidRPr="00EC6AB6">
        <w:rPr>
          <w:rFonts w:ascii="Garamond" w:hAnsi="Garamond"/>
          <w:sz w:val="24"/>
          <w:szCs w:val="24"/>
          <w:lang w:val="sq-AL"/>
        </w:rPr>
        <w:t xml:space="preserve"> </w:t>
      </w:r>
      <w:r w:rsidR="002A3781" w:rsidRPr="00EC6AB6">
        <w:rPr>
          <w:rFonts w:ascii="Garamond" w:hAnsi="Garamond"/>
          <w:sz w:val="24"/>
          <w:szCs w:val="24"/>
          <w:lang w:val="sq-AL"/>
        </w:rPr>
        <w:t>huat</w:t>
      </w:r>
      <w:r w:rsidRPr="00EC6AB6">
        <w:rPr>
          <w:rFonts w:ascii="Garamond" w:hAnsi="Garamond"/>
          <w:sz w:val="24"/>
          <w:szCs w:val="24"/>
          <w:lang w:val="sq-AL"/>
        </w:rPr>
        <w:t xml:space="preserve"> me terma të but</w:t>
      </w:r>
      <w:r w:rsidR="00B55161">
        <w:rPr>
          <w:rFonts w:ascii="Garamond" w:hAnsi="Garamond"/>
          <w:sz w:val="24"/>
          <w:szCs w:val="24"/>
          <w:lang w:val="sq-AL"/>
        </w:rPr>
        <w:t>ë,</w:t>
      </w:r>
      <w:r w:rsidRPr="00EC6AB6">
        <w:rPr>
          <w:rFonts w:ascii="Garamond" w:hAnsi="Garamond"/>
          <w:sz w:val="24"/>
          <w:szCs w:val="24"/>
          <w:lang w:val="sq-AL"/>
        </w:rPr>
        <w:t xml:space="preserve"> të akorduar</w:t>
      </w:r>
      <w:r w:rsidR="00B55161">
        <w:rPr>
          <w:rFonts w:ascii="Garamond" w:hAnsi="Garamond"/>
          <w:sz w:val="24"/>
          <w:szCs w:val="24"/>
          <w:lang w:val="sq-AL"/>
        </w:rPr>
        <w:t>a</w:t>
      </w:r>
      <w:r w:rsidRPr="00EC6AB6">
        <w:rPr>
          <w:rFonts w:ascii="Garamond" w:hAnsi="Garamond"/>
          <w:sz w:val="24"/>
          <w:szCs w:val="24"/>
          <w:lang w:val="sq-AL"/>
        </w:rPr>
        <w:t xml:space="preserve"> nga institucionet ndërkombëtare financiare për të mbështetur vendin për t’u rimëkëmbur nga dy fatkeqësitë: tërmeti i nëntorit 2019 dhe përhapja e pandemisë </w:t>
      </w:r>
      <w:r w:rsidR="006E631A" w:rsidRPr="00EC6AB6">
        <w:rPr>
          <w:rFonts w:ascii="Garamond" w:hAnsi="Garamond"/>
          <w:sz w:val="24"/>
          <w:szCs w:val="24"/>
          <w:lang w:val="sq-AL"/>
        </w:rPr>
        <w:t>COVID-19</w:t>
      </w:r>
      <w:r w:rsidRPr="00EC6AB6">
        <w:rPr>
          <w:rFonts w:ascii="Garamond" w:hAnsi="Garamond"/>
          <w:sz w:val="24"/>
          <w:szCs w:val="24"/>
          <w:lang w:val="sq-AL"/>
        </w:rPr>
        <w:t>, si edhe për të mbështetur politikat zhvillimore dhe reformat e ndërmarra nga qeveria; si edhe iii</w:t>
      </w:r>
      <w:r w:rsidR="00FF5418" w:rsidRPr="00EC6AB6">
        <w:rPr>
          <w:rFonts w:ascii="Garamond" w:hAnsi="Garamond"/>
          <w:sz w:val="24"/>
          <w:szCs w:val="24"/>
          <w:lang w:val="sq-AL"/>
        </w:rPr>
        <w:t>.</w:t>
      </w:r>
      <w:r w:rsidRPr="00EC6AB6">
        <w:rPr>
          <w:rFonts w:ascii="Garamond" w:hAnsi="Garamond"/>
          <w:sz w:val="24"/>
          <w:szCs w:val="24"/>
          <w:lang w:val="sq-AL"/>
        </w:rPr>
        <w:t xml:space="preserve"> instrumentet financiare të tregjeve të kapitalit mbi baza oportuniste, kryesisht për të mundësuar menaxhimin e detyrimeve të borxhit në valutë dhe për të optimizuar risqet e portofolit.</w:t>
      </w:r>
    </w:p>
    <w:p w14:paraId="4333B98B" w14:textId="0BC0DCBF" w:rsidR="008B3748" w:rsidRPr="00EC6AB6" w:rsidRDefault="000542E3" w:rsidP="008B3748">
      <w:pPr>
        <w:spacing w:after="0" w:line="240" w:lineRule="auto"/>
        <w:rPr>
          <w:rFonts w:ascii="Garamond" w:hAnsi="Garamond"/>
          <w:sz w:val="24"/>
          <w:szCs w:val="24"/>
          <w:lang w:val="sq-AL"/>
        </w:rPr>
      </w:pPr>
      <w:bookmarkStart w:id="79" w:name="_Toc60129468"/>
      <w:bookmarkStart w:id="80" w:name="_Toc491954323"/>
      <w:bookmarkStart w:id="81" w:name="_Toc491861010"/>
      <w:r w:rsidRPr="00EC6AB6">
        <w:rPr>
          <w:rFonts w:ascii="Garamond" w:hAnsi="Garamond"/>
          <w:sz w:val="24"/>
          <w:szCs w:val="24"/>
          <w:lang w:val="sq-AL"/>
        </w:rPr>
        <w:t xml:space="preserve">2. </w:t>
      </w:r>
      <w:r w:rsidR="008B3748" w:rsidRPr="00EC6AB6">
        <w:rPr>
          <w:rFonts w:ascii="Garamond" w:hAnsi="Garamond"/>
          <w:sz w:val="24"/>
          <w:szCs w:val="24"/>
          <w:lang w:val="sq-AL"/>
        </w:rPr>
        <w:t xml:space="preserve">Strategjia </w:t>
      </w:r>
      <w:r w:rsidR="00D52557" w:rsidRPr="00EC6AB6">
        <w:rPr>
          <w:rFonts w:ascii="Garamond" w:hAnsi="Garamond"/>
          <w:sz w:val="24"/>
          <w:szCs w:val="24"/>
          <w:lang w:val="sq-AL"/>
        </w:rPr>
        <w:t>afatmesme</w:t>
      </w:r>
      <w:bookmarkEnd w:id="79"/>
      <w:bookmarkEnd w:id="80"/>
      <w:bookmarkEnd w:id="81"/>
    </w:p>
    <w:p w14:paraId="4333B98C" w14:textId="1FC4BF8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periudhën afatmesme </w:t>
      </w:r>
      <w:r w:rsidR="008B6AF9" w:rsidRPr="00EC6AB6">
        <w:rPr>
          <w:rFonts w:ascii="Garamond" w:hAnsi="Garamond"/>
          <w:sz w:val="24"/>
          <w:szCs w:val="24"/>
          <w:lang w:val="sq-AL"/>
        </w:rPr>
        <w:t>2021–2023</w:t>
      </w:r>
      <w:r w:rsidRPr="00EC6AB6">
        <w:rPr>
          <w:rFonts w:ascii="Garamond" w:hAnsi="Garamond"/>
          <w:sz w:val="24"/>
          <w:szCs w:val="24"/>
          <w:lang w:val="sq-AL"/>
        </w:rPr>
        <w:t>, Strategjia e Menaxhimit të Borxhit do të përqendr</w:t>
      </w:r>
      <w:r w:rsidR="00FF5418" w:rsidRPr="00EC6AB6">
        <w:rPr>
          <w:rFonts w:ascii="Garamond" w:hAnsi="Garamond"/>
          <w:sz w:val="24"/>
          <w:szCs w:val="24"/>
          <w:lang w:val="sq-AL"/>
        </w:rPr>
        <w:t>ohet në dy objektiva kryesor</w:t>
      </w:r>
      <w:r w:rsidR="00D52557">
        <w:rPr>
          <w:rFonts w:ascii="Garamond" w:hAnsi="Garamond"/>
          <w:sz w:val="24"/>
          <w:szCs w:val="24"/>
          <w:lang w:val="sq-AL"/>
        </w:rPr>
        <w:t>ë</w:t>
      </w:r>
      <w:r w:rsidR="00FF5418" w:rsidRPr="00EC6AB6">
        <w:rPr>
          <w:rFonts w:ascii="Garamond" w:hAnsi="Garamond"/>
          <w:sz w:val="24"/>
          <w:szCs w:val="24"/>
          <w:lang w:val="sq-AL"/>
        </w:rPr>
        <w:t xml:space="preserve">: </w:t>
      </w:r>
      <w:r w:rsidRPr="00EC6AB6">
        <w:rPr>
          <w:rFonts w:ascii="Garamond" w:hAnsi="Garamond"/>
          <w:sz w:val="24"/>
          <w:szCs w:val="24"/>
          <w:lang w:val="sq-AL"/>
        </w:rPr>
        <w:t>a) në periudhën afatshkurtër do të synohet plot</w:t>
      </w:r>
      <w:r w:rsidR="00FF5418" w:rsidRPr="00EC6AB6">
        <w:rPr>
          <w:rFonts w:ascii="Garamond" w:hAnsi="Garamond"/>
          <w:sz w:val="24"/>
          <w:szCs w:val="24"/>
          <w:lang w:val="sq-AL"/>
        </w:rPr>
        <w:t>ësimi i nevojave për huamarrje</w:t>
      </w:r>
      <w:r w:rsidR="00D52557">
        <w:rPr>
          <w:rFonts w:ascii="Garamond" w:hAnsi="Garamond"/>
          <w:sz w:val="24"/>
          <w:szCs w:val="24"/>
          <w:lang w:val="sq-AL"/>
        </w:rPr>
        <w:t>,</w:t>
      </w:r>
      <w:r w:rsidR="00FF5418" w:rsidRPr="00EC6AB6">
        <w:rPr>
          <w:rFonts w:ascii="Garamond" w:hAnsi="Garamond"/>
          <w:sz w:val="24"/>
          <w:szCs w:val="24"/>
          <w:lang w:val="sq-AL"/>
        </w:rPr>
        <w:t xml:space="preserve"> </w:t>
      </w:r>
      <w:r w:rsidRPr="00EC6AB6">
        <w:rPr>
          <w:rFonts w:ascii="Garamond" w:hAnsi="Garamond"/>
          <w:sz w:val="24"/>
          <w:szCs w:val="24"/>
          <w:lang w:val="sq-AL"/>
        </w:rPr>
        <w:t>në kuadër të</w:t>
      </w:r>
      <w:r w:rsidR="00FA2519" w:rsidRPr="00EC6AB6">
        <w:rPr>
          <w:rFonts w:ascii="Garamond" w:hAnsi="Garamond"/>
          <w:sz w:val="24"/>
          <w:szCs w:val="24"/>
          <w:lang w:val="sq-AL"/>
        </w:rPr>
        <w:t xml:space="preserve"> </w:t>
      </w:r>
      <w:r w:rsidRPr="00EC6AB6">
        <w:rPr>
          <w:rFonts w:ascii="Garamond" w:hAnsi="Garamond"/>
          <w:sz w:val="24"/>
          <w:szCs w:val="24"/>
          <w:lang w:val="sq-AL"/>
        </w:rPr>
        <w:t xml:space="preserve">rimëkëmbjes së ekonomisë pas situatës së krijuar nga tërmeti i muajit nëntor 2019 dhe përhapjes së pandemisë </w:t>
      </w:r>
      <w:r w:rsidR="00FF5418" w:rsidRPr="00EC6AB6">
        <w:rPr>
          <w:rFonts w:ascii="Garamond" w:hAnsi="Garamond"/>
          <w:sz w:val="24"/>
          <w:szCs w:val="24"/>
          <w:lang w:val="sq-AL"/>
        </w:rPr>
        <w:t>COVID</w:t>
      </w:r>
      <w:r w:rsidRPr="00EC6AB6">
        <w:rPr>
          <w:rFonts w:ascii="Garamond" w:hAnsi="Garamond"/>
          <w:sz w:val="24"/>
          <w:szCs w:val="24"/>
          <w:lang w:val="sq-AL"/>
        </w:rPr>
        <w:t xml:space="preserve">-19. Në periudhën afatmesme do të synohet përmirësimi i mëtejshëm i strukturës së borxhit (kryesisht strukturën e portofolit të borxhit të </w:t>
      </w:r>
      <w:r w:rsidRPr="00EC6AB6">
        <w:rPr>
          <w:rFonts w:ascii="Garamond" w:hAnsi="Garamond"/>
          <w:sz w:val="24"/>
          <w:szCs w:val="24"/>
          <w:lang w:val="sq-AL"/>
        </w:rPr>
        <w:lastRenderedPageBreak/>
        <w:t>brendshëm)</w:t>
      </w:r>
      <w:r w:rsidR="00D52557">
        <w:rPr>
          <w:rFonts w:ascii="Garamond" w:hAnsi="Garamond"/>
          <w:sz w:val="24"/>
          <w:szCs w:val="24"/>
          <w:lang w:val="sq-AL"/>
        </w:rPr>
        <w:t>,</w:t>
      </w:r>
      <w:r w:rsidRPr="00EC6AB6">
        <w:rPr>
          <w:rFonts w:ascii="Garamond" w:hAnsi="Garamond"/>
          <w:sz w:val="24"/>
          <w:szCs w:val="24"/>
          <w:lang w:val="sq-AL"/>
        </w:rPr>
        <w:t xml:space="preserve"> në drejtim të uljes së ekspozimit ndaj risqeve, si edhe mbajtjes nën kontroll të kostos; dhe b) zhvillimin e tregut primar të titujve shtetërorë. </w:t>
      </w:r>
    </w:p>
    <w:p w14:paraId="4333B98E" w14:textId="7CCDACC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Mbulimi i nevojave të përgjithshme për financim të qeverisjes qendrore, në terma bruto do të bazohet në rreth 80% te burimet e brendshme. Mbështetja e gjerë e huamarrjes kryesisht në tregun e brendshëm do të ketë për qëllim të mbështesë zhvillimin e tregut </w:t>
      </w:r>
      <w:r w:rsidR="002B79A7" w:rsidRPr="00EC6AB6">
        <w:rPr>
          <w:rFonts w:ascii="Garamond" w:hAnsi="Garamond"/>
          <w:sz w:val="24"/>
          <w:szCs w:val="24"/>
          <w:lang w:val="sq-AL"/>
        </w:rPr>
        <w:t>vendës</w:t>
      </w:r>
      <w:r w:rsidRPr="00EC6AB6">
        <w:rPr>
          <w:rFonts w:ascii="Garamond" w:hAnsi="Garamond"/>
          <w:sz w:val="24"/>
          <w:szCs w:val="24"/>
          <w:lang w:val="sq-AL"/>
        </w:rPr>
        <w:t xml:space="preserve"> të titujve shtetërorë, duke zhvilluar më tej projektin </w:t>
      </w:r>
      <w:r w:rsidRPr="00EC6AB6">
        <w:rPr>
          <w:rFonts w:ascii="Garamond" w:hAnsi="Garamond"/>
          <w:i/>
          <w:sz w:val="24"/>
          <w:szCs w:val="24"/>
          <w:lang w:val="sq-AL"/>
        </w:rPr>
        <w:t>market maker</w:t>
      </w:r>
      <w:r w:rsidRPr="00EC6AB6">
        <w:rPr>
          <w:rFonts w:ascii="Garamond" w:hAnsi="Garamond"/>
          <w:sz w:val="24"/>
          <w:szCs w:val="24"/>
          <w:lang w:val="sq-AL"/>
        </w:rPr>
        <w:t xml:space="preserve"> për obligacionet 3</w:t>
      </w:r>
      <w:r w:rsidR="00D52557">
        <w:rPr>
          <w:rFonts w:ascii="Garamond" w:hAnsi="Garamond"/>
          <w:sz w:val="24"/>
          <w:szCs w:val="24"/>
          <w:lang w:val="sq-AL"/>
        </w:rPr>
        <w:t>-</w:t>
      </w:r>
      <w:r w:rsidRPr="00EC6AB6">
        <w:rPr>
          <w:rFonts w:ascii="Garamond" w:hAnsi="Garamond"/>
          <w:sz w:val="24"/>
          <w:szCs w:val="24"/>
          <w:lang w:val="sq-AL"/>
        </w:rPr>
        <w:t xml:space="preserve"> dhe 5</w:t>
      </w:r>
      <w:r w:rsidR="00D52557">
        <w:rPr>
          <w:rFonts w:ascii="Garamond" w:hAnsi="Garamond"/>
          <w:sz w:val="24"/>
          <w:szCs w:val="24"/>
          <w:lang w:val="sq-AL"/>
        </w:rPr>
        <w:t>-</w:t>
      </w:r>
      <w:r w:rsidRPr="00EC6AB6">
        <w:rPr>
          <w:rFonts w:ascii="Garamond" w:hAnsi="Garamond"/>
          <w:sz w:val="24"/>
          <w:szCs w:val="24"/>
          <w:lang w:val="sq-AL"/>
        </w:rPr>
        <w:t>vjeçare reference dhe</w:t>
      </w:r>
      <w:r w:rsidR="00D52557">
        <w:rPr>
          <w:rFonts w:ascii="Garamond" w:hAnsi="Garamond"/>
          <w:sz w:val="24"/>
          <w:szCs w:val="24"/>
          <w:lang w:val="sq-AL"/>
        </w:rPr>
        <w:t>,</w:t>
      </w:r>
      <w:r w:rsidRPr="00EC6AB6">
        <w:rPr>
          <w:rFonts w:ascii="Garamond" w:hAnsi="Garamond"/>
          <w:sz w:val="24"/>
          <w:szCs w:val="24"/>
          <w:lang w:val="sq-AL"/>
        </w:rPr>
        <w:t xml:space="preserve"> njëkohësisht</w:t>
      </w:r>
      <w:r w:rsidR="00D52557">
        <w:rPr>
          <w:rFonts w:ascii="Garamond" w:hAnsi="Garamond"/>
          <w:sz w:val="24"/>
          <w:szCs w:val="24"/>
          <w:lang w:val="sq-AL"/>
        </w:rPr>
        <w:t>,</w:t>
      </w:r>
      <w:r w:rsidRPr="00EC6AB6">
        <w:rPr>
          <w:rFonts w:ascii="Garamond" w:hAnsi="Garamond"/>
          <w:sz w:val="24"/>
          <w:szCs w:val="24"/>
          <w:lang w:val="sq-AL"/>
        </w:rPr>
        <w:t xml:space="preserve"> të kufizojë implikimet e treguesve makroekonomikë që mund të shkaktohen nga rritja e borxhit në valutë përtej kufijve të përcaktuar në analizat e qëndrueshmërisë së borxhit. Megjithatë, pavarësisht mbështetjes së gjerë në burimet e brendshme, ritmet e rritjes së borxhit të brendshëm do të synohen të jenë në përputhje me ritmet e rritjes reale të ekonomisë </w:t>
      </w:r>
      <w:r w:rsidR="002B79A7" w:rsidRPr="00EC6AB6">
        <w:rPr>
          <w:rFonts w:ascii="Garamond" w:hAnsi="Garamond"/>
          <w:sz w:val="24"/>
          <w:szCs w:val="24"/>
          <w:lang w:val="sq-AL"/>
        </w:rPr>
        <w:t>vendës</w:t>
      </w:r>
      <w:r w:rsidRPr="00EC6AB6">
        <w:rPr>
          <w:rFonts w:ascii="Garamond" w:hAnsi="Garamond"/>
          <w:sz w:val="24"/>
          <w:szCs w:val="24"/>
          <w:lang w:val="sq-AL"/>
        </w:rPr>
        <w:t>e, për të shmangur efektet negative në eko</w:t>
      </w:r>
      <w:r w:rsidR="00D52557">
        <w:rPr>
          <w:rFonts w:ascii="Garamond" w:hAnsi="Garamond"/>
          <w:sz w:val="24"/>
          <w:szCs w:val="24"/>
          <w:lang w:val="sq-AL"/>
        </w:rPr>
        <w:t>nomi që mund të burojnë nga mbi</w:t>
      </w:r>
      <w:r w:rsidRPr="00EC6AB6">
        <w:rPr>
          <w:rFonts w:ascii="Garamond" w:hAnsi="Garamond"/>
          <w:sz w:val="24"/>
          <w:szCs w:val="24"/>
          <w:lang w:val="sq-AL"/>
        </w:rPr>
        <w:t xml:space="preserve">konsumimi i burimeve të brendshme. </w:t>
      </w:r>
    </w:p>
    <w:p w14:paraId="4333B98F" w14:textId="26B71C8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Nëpërmjet titujve afatshkurtër kryesisht do të realizohet menaxhimi aktiv i nevojave për likuiditet dhe do të synohet përmirësimi i profilit vjetor të maturimeve. Ndërkohë, borxhi i ri, i destinuar për të mbuluar një pjesë të deficitit të përgjithshëm do të synohet të mbulohet nëpërmjet titujve afatgjatë. Titujt afatgjatë planifikohen të emetohen me norma interesi fikse, gjithsesi duke mos përjashtuar edhe emetimin e titujve me norma interesi të ndryshueshme në periudhën afatmesme, në varësi të kushteve të tregut të brendshëm (preferencat e kërkesës, ecurinë e normave të interesit etj.), për të garantuar optimizimin e kostove në përputhje me objektivat e vendosur për të menaxhuar risqet e portofolit të borxhit. Në kuadër të reduktimit të riskut të rifinancimit, në strategjinë bazë do të synohet reduktimi gradual i peshës së instrumenteve afatshkurtra në portofol (në përputhje me nevojat për likuiditet), si edhe rritja e peshës së instrumenteve afatgjata.</w:t>
      </w:r>
    </w:p>
    <w:p w14:paraId="4333B990" w14:textId="59CD3FF4"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Për sa i përket monedhës së emetimit, në periudhën afatmesme planifikohet të ketë emetime të titujve shtetërorë në valutë</w:t>
      </w:r>
      <w:r w:rsidR="00A8731F">
        <w:rPr>
          <w:rFonts w:ascii="Garamond" w:hAnsi="Garamond"/>
          <w:sz w:val="24"/>
          <w:szCs w:val="24"/>
          <w:lang w:val="sq-AL"/>
        </w:rPr>
        <w:t>,</w:t>
      </w:r>
      <w:r w:rsidRPr="00EC6AB6">
        <w:rPr>
          <w:rFonts w:ascii="Garamond" w:hAnsi="Garamond"/>
          <w:sz w:val="24"/>
          <w:szCs w:val="24"/>
          <w:lang w:val="sq-AL"/>
        </w:rPr>
        <w:t xml:space="preserve"> me qëllim sigurimin e valutës së nevojshme për të shërbyer detyrimet e borxhit në valutë. Madhësitë e këtyre emetimeve do të vlerësohen periudhë pas periudhe, duke konsideruar kushtet e tregut </w:t>
      </w:r>
      <w:r w:rsidR="002B79A7" w:rsidRPr="00EC6AB6">
        <w:rPr>
          <w:rFonts w:ascii="Garamond" w:hAnsi="Garamond"/>
          <w:sz w:val="24"/>
          <w:szCs w:val="24"/>
          <w:lang w:val="sq-AL"/>
        </w:rPr>
        <w:t>vendës</w:t>
      </w:r>
      <w:r w:rsidRPr="00EC6AB6">
        <w:rPr>
          <w:rFonts w:ascii="Garamond" w:hAnsi="Garamond"/>
          <w:sz w:val="24"/>
          <w:szCs w:val="24"/>
          <w:lang w:val="sq-AL"/>
        </w:rPr>
        <w:t xml:space="preserve"> në raport me tregjet e huaja dhe disponueshmërinë e financimeve të huaja nga burime shumëpalëshe dhe dypalëshe në formën e mbështetjes buxhetore.</w:t>
      </w:r>
    </w:p>
    <w:p w14:paraId="4333B991"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periudhën afatmesme, huamarrja nëpërmjet burimeve të huaja në terma bruto do të plotësojë mesatarisht deri në 20% të nevojave të përgjithshme për hua të qeverisjes qendrore. </w:t>
      </w:r>
    </w:p>
    <w:p w14:paraId="4333B992" w14:textId="5C21FD3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Instrumentet kryesore të huamarrjes së huaj do të jenë </w:t>
      </w:r>
      <w:r w:rsidR="002A3781" w:rsidRPr="00EC6AB6">
        <w:rPr>
          <w:rFonts w:ascii="Garamond" w:hAnsi="Garamond"/>
          <w:sz w:val="24"/>
          <w:szCs w:val="24"/>
          <w:lang w:val="sq-AL"/>
        </w:rPr>
        <w:t>huat</w:t>
      </w:r>
      <w:r w:rsidRPr="00EC6AB6">
        <w:rPr>
          <w:rFonts w:ascii="Garamond" w:hAnsi="Garamond"/>
          <w:sz w:val="24"/>
          <w:szCs w:val="24"/>
          <w:lang w:val="sq-AL"/>
        </w:rPr>
        <w:t xml:space="preserve"> nga kreditorët me natyrë shumëpalëshe dhe dypalëshe, të cilat do të financojnë projektet ekzistuese dhe projektet e reja zhvillimore, si edhe </w:t>
      </w:r>
      <w:r w:rsidR="002A3781" w:rsidRPr="00EC6AB6">
        <w:rPr>
          <w:rFonts w:ascii="Garamond" w:hAnsi="Garamond"/>
          <w:sz w:val="24"/>
          <w:szCs w:val="24"/>
          <w:lang w:val="sq-AL"/>
        </w:rPr>
        <w:t>huat</w:t>
      </w:r>
      <w:r w:rsidRPr="00EC6AB6">
        <w:rPr>
          <w:rFonts w:ascii="Garamond" w:hAnsi="Garamond"/>
          <w:sz w:val="24"/>
          <w:szCs w:val="24"/>
          <w:lang w:val="sq-AL"/>
        </w:rPr>
        <w:t xml:space="preserve"> në formën e mbështetjes buxhetore të akorduara nga institucionet financiare ndërkombëtare</w:t>
      </w:r>
      <w:r w:rsidR="00A8731F">
        <w:rPr>
          <w:rFonts w:ascii="Garamond" w:hAnsi="Garamond"/>
          <w:sz w:val="24"/>
          <w:szCs w:val="24"/>
          <w:lang w:val="sq-AL"/>
        </w:rPr>
        <w:t>,</w:t>
      </w:r>
      <w:r w:rsidRPr="00EC6AB6">
        <w:rPr>
          <w:rFonts w:ascii="Garamond" w:hAnsi="Garamond"/>
          <w:sz w:val="24"/>
          <w:szCs w:val="24"/>
          <w:lang w:val="sq-AL"/>
        </w:rPr>
        <w:t xml:space="preserve"> në kuadër të mbështetjes së vendit nga situata e krijuar nga përhapja e pandemisë </w:t>
      </w:r>
      <w:r w:rsidR="006E631A" w:rsidRPr="00EC6AB6">
        <w:rPr>
          <w:rFonts w:ascii="Garamond" w:hAnsi="Garamond"/>
          <w:sz w:val="24"/>
          <w:szCs w:val="24"/>
          <w:lang w:val="sq-AL"/>
        </w:rPr>
        <w:t>COVID-19</w:t>
      </w:r>
      <w:r w:rsidR="00A8731F">
        <w:rPr>
          <w:rFonts w:ascii="Garamond" w:hAnsi="Garamond"/>
          <w:sz w:val="24"/>
          <w:szCs w:val="24"/>
          <w:lang w:val="sq-AL"/>
        </w:rPr>
        <w:t>,</w:t>
      </w:r>
      <w:r w:rsidRPr="00EC6AB6">
        <w:rPr>
          <w:rFonts w:ascii="Garamond" w:hAnsi="Garamond"/>
          <w:sz w:val="24"/>
          <w:szCs w:val="24"/>
          <w:lang w:val="sq-AL"/>
        </w:rPr>
        <w:t xml:space="preserve"> si dhe në kuadër të mbështetjes së vendit në reformat e ndërmarra.</w:t>
      </w:r>
    </w:p>
    <w:p w14:paraId="4333B993" w14:textId="29DCF06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Gjithashtu, huamarrja nëpërmjet instrumentit të </w:t>
      </w:r>
      <w:r w:rsidR="00E9550A" w:rsidRPr="00EC6AB6">
        <w:rPr>
          <w:rFonts w:ascii="Garamond" w:hAnsi="Garamond"/>
          <w:sz w:val="24"/>
          <w:szCs w:val="24"/>
          <w:lang w:val="sq-AL"/>
        </w:rPr>
        <w:t>eurobondit</w:t>
      </w:r>
      <w:r w:rsidRPr="00EC6AB6">
        <w:rPr>
          <w:rFonts w:ascii="Garamond" w:hAnsi="Garamond"/>
          <w:sz w:val="24"/>
          <w:szCs w:val="24"/>
          <w:lang w:val="sq-AL"/>
        </w:rPr>
        <w:t>, është një ndër alternativat e përshtatshme për sigurimin e financimit nga tregjet ndërkombëtare. Për të ulur ekspozimin në valutën EUR mund të konsiderohet në vitet e ardhshme një emetim i mundshëm në USD (emetimet në këtë monedhë kanë pa</w:t>
      </w:r>
      <w:r w:rsidR="00FF5418" w:rsidRPr="00EC6AB6">
        <w:rPr>
          <w:rFonts w:ascii="Garamond" w:hAnsi="Garamond"/>
          <w:sz w:val="24"/>
          <w:szCs w:val="24"/>
          <w:lang w:val="sq-AL"/>
        </w:rPr>
        <w:t>s</w:t>
      </w:r>
      <w:r w:rsidRPr="00EC6AB6">
        <w:rPr>
          <w:rFonts w:ascii="Garamond" w:hAnsi="Garamond"/>
          <w:sz w:val="24"/>
          <w:szCs w:val="24"/>
          <w:lang w:val="sq-AL"/>
        </w:rPr>
        <w:t>ur një kërkesë më të lartë në vitin 2020). Kjo do të diversifikonte portofolin e instrumenteve, do të ulte riskun e kursit të këmbimit, megjithatë kjo do jetë në funksion edhe të nevojave për likuiditet në valutë të qeverisë. Megjithatë, madhësia dhe karakteristika të tjera të këtyre instrumenteve do të përcaktohen vit pas viti</w:t>
      </w:r>
      <w:r w:rsidR="00A8731F">
        <w:rPr>
          <w:rFonts w:ascii="Garamond" w:hAnsi="Garamond"/>
          <w:sz w:val="24"/>
          <w:szCs w:val="24"/>
          <w:lang w:val="sq-AL"/>
        </w:rPr>
        <w:t>,</w:t>
      </w:r>
      <w:r w:rsidRPr="00EC6AB6">
        <w:rPr>
          <w:rFonts w:ascii="Garamond" w:hAnsi="Garamond"/>
          <w:sz w:val="24"/>
          <w:szCs w:val="24"/>
          <w:lang w:val="sq-AL"/>
        </w:rPr>
        <w:t xml:space="preserve"> në përputhje me nevojat për realizimin e objektivave të mëposht</w:t>
      </w:r>
      <w:r w:rsidR="00A8731F">
        <w:rPr>
          <w:rFonts w:ascii="Garamond" w:hAnsi="Garamond"/>
          <w:sz w:val="24"/>
          <w:szCs w:val="24"/>
          <w:lang w:val="sq-AL"/>
        </w:rPr>
        <w:t>ë</w:t>
      </w:r>
      <w:r w:rsidRPr="00EC6AB6">
        <w:rPr>
          <w:rFonts w:ascii="Garamond" w:hAnsi="Garamond"/>
          <w:sz w:val="24"/>
          <w:szCs w:val="24"/>
          <w:lang w:val="sq-AL"/>
        </w:rPr>
        <w:t>m:</w:t>
      </w:r>
      <w:r w:rsidR="00FA2519" w:rsidRPr="00EC6AB6">
        <w:rPr>
          <w:rFonts w:ascii="Garamond" w:hAnsi="Garamond"/>
          <w:sz w:val="24"/>
          <w:szCs w:val="24"/>
          <w:lang w:val="sq-AL"/>
        </w:rPr>
        <w:t xml:space="preserve"> </w:t>
      </w:r>
    </w:p>
    <w:p w14:paraId="4333B994" w14:textId="4639FC41"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rifinancimin </w:t>
      </w:r>
      <w:r w:rsidR="008B3748" w:rsidRPr="00EC6AB6">
        <w:rPr>
          <w:rFonts w:ascii="Garamond" w:hAnsi="Garamond"/>
          <w:sz w:val="24"/>
          <w:szCs w:val="24"/>
          <w:lang w:val="sq-AL"/>
        </w:rPr>
        <w:t xml:space="preserve">dhe/ose menaxhimin e detyrimeve të borxhit </w:t>
      </w:r>
      <w:r w:rsidR="008B3748" w:rsidRPr="00EC6AB6">
        <w:rPr>
          <w:rFonts w:ascii="Garamond" w:hAnsi="Garamond"/>
          <w:i/>
          <w:sz w:val="24"/>
          <w:szCs w:val="24"/>
          <w:lang w:val="sq-AL"/>
        </w:rPr>
        <w:t>(liability management)</w:t>
      </w:r>
      <w:r w:rsidR="008B3748" w:rsidRPr="00EC6AB6">
        <w:rPr>
          <w:rFonts w:ascii="Garamond" w:hAnsi="Garamond"/>
          <w:sz w:val="24"/>
          <w:szCs w:val="24"/>
          <w:lang w:val="sq-AL"/>
        </w:rPr>
        <w:t>, me qëllim reduktimin e risqeve potenciale që mund të materializohen në periudhën afatshkurtër dhe afatmesme;</w:t>
      </w:r>
    </w:p>
    <w:p w14:paraId="4333B995" w14:textId="4389C996"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sigurimin </w:t>
      </w:r>
      <w:r w:rsidR="008B3748" w:rsidRPr="00EC6AB6">
        <w:rPr>
          <w:rFonts w:ascii="Garamond" w:hAnsi="Garamond"/>
          <w:sz w:val="24"/>
          <w:szCs w:val="24"/>
          <w:lang w:val="sq-AL"/>
        </w:rPr>
        <w:t xml:space="preserve">e likuiditetit të nevojshëm </w:t>
      </w:r>
      <w:r w:rsidR="008B3748" w:rsidRPr="00EC6AB6">
        <w:rPr>
          <w:rFonts w:ascii="Garamond" w:hAnsi="Garamond"/>
          <w:i/>
          <w:sz w:val="24"/>
          <w:szCs w:val="24"/>
          <w:lang w:val="sq-AL"/>
        </w:rPr>
        <w:t>(liquidity management)</w:t>
      </w:r>
      <w:r w:rsidR="008B3748" w:rsidRPr="00EC6AB6">
        <w:rPr>
          <w:rFonts w:ascii="Garamond" w:hAnsi="Garamond"/>
          <w:sz w:val="24"/>
          <w:szCs w:val="24"/>
          <w:lang w:val="sq-AL"/>
        </w:rPr>
        <w:t xml:space="preserve"> për të mundësuar ristrukturimin dhe zhvillimin e tregut të titujve shtetërorë;</w:t>
      </w:r>
    </w:p>
    <w:p w14:paraId="4333B996" w14:textId="1966500F"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sigurimin </w:t>
      </w:r>
      <w:r w:rsidR="008B3748" w:rsidRPr="00EC6AB6">
        <w:rPr>
          <w:rFonts w:ascii="Garamond" w:hAnsi="Garamond"/>
          <w:sz w:val="24"/>
          <w:szCs w:val="24"/>
          <w:lang w:val="sq-AL"/>
        </w:rPr>
        <w:t>e financimit të nevojshëm për rastet kur huamarrja e brendshme tejkalon kapacitetin e tregut;</w:t>
      </w:r>
    </w:p>
    <w:p w14:paraId="4333B997" w14:textId="401699EA" w:rsidR="008B3748" w:rsidRPr="00EC6AB6" w:rsidRDefault="000542E3"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FF5418" w:rsidRPr="00EC6AB6">
        <w:rPr>
          <w:rFonts w:ascii="Garamond" w:hAnsi="Garamond"/>
          <w:sz w:val="24"/>
          <w:szCs w:val="24"/>
          <w:lang w:val="sq-AL"/>
        </w:rPr>
        <w:t xml:space="preserve">sigurimin </w:t>
      </w:r>
      <w:r w:rsidR="008B3748" w:rsidRPr="00EC6AB6">
        <w:rPr>
          <w:rFonts w:ascii="Garamond" w:hAnsi="Garamond"/>
          <w:sz w:val="24"/>
          <w:szCs w:val="24"/>
          <w:lang w:val="sq-AL"/>
        </w:rPr>
        <w:t>e valutës së nevojshme për të shërbyer detyrimet e borxhit në valutë;</w:t>
      </w:r>
    </w:p>
    <w:p w14:paraId="4333B998" w14:textId="31F6DC00"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uljen </w:t>
      </w:r>
      <w:r w:rsidR="008B3748" w:rsidRPr="00EC6AB6">
        <w:rPr>
          <w:rFonts w:ascii="Garamond" w:hAnsi="Garamond"/>
          <w:sz w:val="24"/>
          <w:szCs w:val="24"/>
          <w:lang w:val="sq-AL"/>
        </w:rPr>
        <w:t>e presionit për hua në tregun e brendshëm për të mos kufizuar kreditimin e sektorit privat;</w:t>
      </w:r>
    </w:p>
    <w:p w14:paraId="4333B999" w14:textId="2A65651A"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shfrytëzimin </w:t>
      </w:r>
      <w:r w:rsidR="008B3748" w:rsidRPr="00EC6AB6">
        <w:rPr>
          <w:rFonts w:ascii="Garamond" w:hAnsi="Garamond"/>
          <w:sz w:val="24"/>
          <w:szCs w:val="24"/>
          <w:lang w:val="sq-AL"/>
        </w:rPr>
        <w:t>e instrumenteve me terma të favorsh</w:t>
      </w:r>
      <w:r w:rsidR="00A8731F">
        <w:rPr>
          <w:rFonts w:ascii="Garamond" w:hAnsi="Garamond"/>
          <w:sz w:val="24"/>
          <w:szCs w:val="24"/>
          <w:lang w:val="sq-AL"/>
        </w:rPr>
        <w:t>ë</w:t>
      </w:r>
      <w:r w:rsidR="008B3748" w:rsidRPr="00EC6AB6">
        <w:rPr>
          <w:rFonts w:ascii="Garamond" w:hAnsi="Garamond"/>
          <w:sz w:val="24"/>
          <w:szCs w:val="24"/>
          <w:lang w:val="sq-AL"/>
        </w:rPr>
        <w:t>m që ofrojnë institucionet financiare ndërkombëtare, me qëllim optimizimin e kostove të portofolit;</w:t>
      </w:r>
    </w:p>
    <w:p w14:paraId="4333B99A" w14:textId="1F84E89E"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sigurimin </w:t>
      </w:r>
      <w:r w:rsidR="008B3748" w:rsidRPr="00EC6AB6">
        <w:rPr>
          <w:rFonts w:ascii="Garamond" w:hAnsi="Garamond"/>
          <w:sz w:val="24"/>
          <w:szCs w:val="24"/>
          <w:lang w:val="sq-AL"/>
        </w:rPr>
        <w:t>e financimit të nevojshëm për të stabilizuar rastet e emergjencave të përkohshme në tregun e brendshëm;</w:t>
      </w:r>
    </w:p>
    <w:p w14:paraId="4333B99B" w14:textId="1796238E" w:rsidR="008B3748"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FF5418" w:rsidRPr="00EC6AB6">
        <w:rPr>
          <w:rFonts w:ascii="Garamond" w:hAnsi="Garamond"/>
          <w:sz w:val="24"/>
          <w:szCs w:val="24"/>
          <w:lang w:val="sq-AL"/>
        </w:rPr>
        <w:t xml:space="preserve">garantimin </w:t>
      </w:r>
      <w:r w:rsidR="008B3748" w:rsidRPr="00EC6AB6">
        <w:rPr>
          <w:rFonts w:ascii="Garamond" w:hAnsi="Garamond"/>
          <w:sz w:val="24"/>
          <w:szCs w:val="24"/>
          <w:lang w:val="sq-AL"/>
        </w:rPr>
        <w:t>e pranisë së vendit në tregjet ndërkombëtare të kapitalit, për të reduktuar primet që mund të burojnë nga vlerësimi jo i saktë i instrumenteve të vendit në mungesë të titujve të tregtueshëm.</w:t>
      </w:r>
    </w:p>
    <w:tbl>
      <w:tblPr>
        <w:tblStyle w:val="TableGrid"/>
        <w:tblW w:w="0" w:type="auto"/>
        <w:tblLook w:val="04A0" w:firstRow="1" w:lastRow="0" w:firstColumn="1" w:lastColumn="0" w:noHBand="0" w:noVBand="1"/>
      </w:tblPr>
      <w:tblGrid>
        <w:gridCol w:w="9280"/>
      </w:tblGrid>
      <w:tr w:rsidR="00B73259" w:rsidRPr="00245004" w14:paraId="0D18F688" w14:textId="77777777" w:rsidTr="00B73259">
        <w:tc>
          <w:tcPr>
            <w:tcW w:w="9280" w:type="dxa"/>
          </w:tcPr>
          <w:p w14:paraId="5F3F315F" w14:textId="77777777" w:rsidR="00B73259" w:rsidRPr="00245004" w:rsidRDefault="00B73259" w:rsidP="00B73259">
            <w:pPr>
              <w:ind w:firstLine="288"/>
              <w:rPr>
                <w:rFonts w:ascii="Garamond" w:hAnsi="Garamond"/>
                <w:sz w:val="24"/>
                <w:szCs w:val="24"/>
                <w:lang w:val="sq-AL"/>
              </w:rPr>
            </w:pPr>
            <w:r w:rsidRPr="00245004">
              <w:rPr>
                <w:rFonts w:ascii="Garamond" w:hAnsi="Garamond"/>
                <w:sz w:val="24"/>
                <w:szCs w:val="24"/>
                <w:lang w:val="sq-AL"/>
              </w:rPr>
              <w:t>Pavarësisht nga nevoja për realizimin e objektivave të mësipërm, niveli i borxhit në valutë do synohet të evoluojë në përputhje me objektivat për menaxhimin e riskut të kursit të këmbimit.</w:t>
            </w:r>
          </w:p>
          <w:p w14:paraId="5DF7F904" w14:textId="77777777" w:rsidR="00B73259" w:rsidRPr="00245004" w:rsidRDefault="00B73259" w:rsidP="008B3748">
            <w:pPr>
              <w:ind w:firstLine="0"/>
              <w:rPr>
                <w:rFonts w:ascii="Garamond" w:hAnsi="Garamond"/>
                <w:sz w:val="24"/>
                <w:szCs w:val="24"/>
                <w:lang w:val="sq-AL"/>
              </w:rPr>
            </w:pPr>
          </w:p>
        </w:tc>
      </w:tr>
    </w:tbl>
    <w:p w14:paraId="4333B99F" w14:textId="2CF69979" w:rsidR="008B3748" w:rsidRPr="00EC6AB6" w:rsidRDefault="001A7FBF" w:rsidP="008B3748">
      <w:pPr>
        <w:spacing w:after="0" w:line="240" w:lineRule="auto"/>
        <w:rPr>
          <w:rFonts w:ascii="Garamond" w:hAnsi="Garamond"/>
          <w:sz w:val="24"/>
          <w:szCs w:val="24"/>
          <w:lang w:val="sq-AL"/>
        </w:rPr>
      </w:pPr>
      <w:bookmarkStart w:id="82" w:name="_Toc491954324"/>
      <w:bookmarkStart w:id="83" w:name="_Toc491861011"/>
      <w:bookmarkStart w:id="84" w:name="_Toc60129469"/>
      <w:r w:rsidRPr="00EC6AB6">
        <w:rPr>
          <w:rFonts w:ascii="Garamond" w:hAnsi="Garamond"/>
          <w:sz w:val="24"/>
          <w:szCs w:val="24"/>
          <w:lang w:val="sq-AL"/>
        </w:rPr>
        <w:t xml:space="preserve">2.1 </w:t>
      </w:r>
      <w:r w:rsidR="008B3748" w:rsidRPr="00EC6AB6">
        <w:rPr>
          <w:rFonts w:ascii="Garamond" w:hAnsi="Garamond"/>
          <w:sz w:val="24"/>
          <w:szCs w:val="24"/>
          <w:lang w:val="sq-AL"/>
        </w:rPr>
        <w:t>Menaxhimi/</w:t>
      </w:r>
      <w:r w:rsidR="00FF5418" w:rsidRPr="00EC6AB6">
        <w:rPr>
          <w:rFonts w:ascii="Garamond" w:hAnsi="Garamond"/>
          <w:sz w:val="24"/>
          <w:szCs w:val="24"/>
          <w:lang w:val="sq-AL"/>
        </w:rPr>
        <w:t xml:space="preserve">kontrolli i kostove dhe </w:t>
      </w:r>
      <w:bookmarkEnd w:id="82"/>
      <w:bookmarkEnd w:id="83"/>
      <w:r w:rsidR="00FF5418" w:rsidRPr="00EC6AB6">
        <w:rPr>
          <w:rFonts w:ascii="Garamond" w:hAnsi="Garamond"/>
          <w:sz w:val="24"/>
          <w:szCs w:val="24"/>
          <w:lang w:val="sq-AL"/>
        </w:rPr>
        <w:t>i risqeve</w:t>
      </w:r>
      <w:bookmarkEnd w:id="84"/>
    </w:p>
    <w:p w14:paraId="4333B9A0" w14:textId="77777777" w:rsidR="008B3748" w:rsidRPr="00EC6AB6" w:rsidRDefault="001A7FBF" w:rsidP="008B3748">
      <w:pPr>
        <w:spacing w:after="0" w:line="240" w:lineRule="auto"/>
        <w:rPr>
          <w:rFonts w:ascii="Garamond" w:hAnsi="Garamond"/>
          <w:sz w:val="24"/>
          <w:szCs w:val="24"/>
          <w:lang w:val="sq-AL"/>
        </w:rPr>
      </w:pPr>
      <w:bookmarkStart w:id="85" w:name="_Toc60129470"/>
      <w:bookmarkStart w:id="86" w:name="_Toc491954325"/>
      <w:bookmarkStart w:id="87" w:name="_Toc491861012"/>
      <w:r w:rsidRPr="00EC6AB6">
        <w:rPr>
          <w:rFonts w:ascii="Garamond" w:hAnsi="Garamond"/>
          <w:sz w:val="24"/>
          <w:szCs w:val="24"/>
          <w:lang w:val="sq-AL"/>
        </w:rPr>
        <w:t xml:space="preserve">2.1.1 </w:t>
      </w:r>
      <w:r w:rsidR="008B3748" w:rsidRPr="00EC6AB6">
        <w:rPr>
          <w:rFonts w:ascii="Garamond" w:hAnsi="Garamond"/>
          <w:sz w:val="24"/>
          <w:szCs w:val="24"/>
          <w:lang w:val="sq-AL"/>
        </w:rPr>
        <w:t>Kostot</w:t>
      </w:r>
      <w:bookmarkEnd w:id="85"/>
      <w:bookmarkEnd w:id="86"/>
      <w:bookmarkEnd w:id="87"/>
    </w:p>
    <w:p w14:paraId="4333B9A1" w14:textId="6F02B72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SAMB</w:t>
      </w:r>
      <w:r w:rsidR="00A8731F">
        <w:rPr>
          <w:rFonts w:ascii="Garamond" w:hAnsi="Garamond"/>
          <w:sz w:val="24"/>
          <w:szCs w:val="24"/>
          <w:lang w:val="sq-AL"/>
        </w:rPr>
        <w:t>-ja</w:t>
      </w:r>
      <w:r w:rsidRPr="00EC6AB6">
        <w:rPr>
          <w:rFonts w:ascii="Garamond" w:hAnsi="Garamond"/>
          <w:sz w:val="24"/>
          <w:szCs w:val="24"/>
          <w:lang w:val="sq-AL"/>
        </w:rPr>
        <w:t xml:space="preserve"> </w:t>
      </w:r>
      <w:r w:rsidR="008B6AF9" w:rsidRPr="00EC6AB6">
        <w:rPr>
          <w:rFonts w:ascii="Garamond" w:hAnsi="Garamond"/>
          <w:sz w:val="24"/>
          <w:szCs w:val="24"/>
          <w:lang w:val="sq-AL"/>
        </w:rPr>
        <w:t>2021–2023</w:t>
      </w:r>
      <w:r w:rsidRPr="00EC6AB6">
        <w:rPr>
          <w:rFonts w:ascii="Garamond" w:hAnsi="Garamond"/>
          <w:sz w:val="24"/>
          <w:szCs w:val="24"/>
          <w:lang w:val="sq-AL"/>
        </w:rPr>
        <w:t xml:space="preserve"> do të ketë në fokus mbajtjen nën </w:t>
      </w:r>
      <w:r w:rsidR="00FF5418" w:rsidRPr="00EC6AB6">
        <w:rPr>
          <w:rFonts w:ascii="Garamond" w:hAnsi="Garamond"/>
          <w:sz w:val="24"/>
          <w:szCs w:val="24"/>
          <w:lang w:val="sq-AL"/>
        </w:rPr>
        <w:t>kontroll</w:t>
      </w:r>
      <w:r w:rsidRPr="00EC6AB6">
        <w:rPr>
          <w:rFonts w:ascii="Garamond" w:hAnsi="Garamond"/>
          <w:sz w:val="24"/>
          <w:szCs w:val="24"/>
          <w:lang w:val="sq-AL"/>
        </w:rPr>
        <w:t xml:space="preserve"> të kostove të borxhit kryesisht në terma afatgjatë. Ulja e ekspozimit ndaj risqeve në portofolin e borxhit do të kontribuojë në reduktimin e primeve të riskut, rrjedhimisht</w:t>
      </w:r>
      <w:r w:rsidR="00A8731F">
        <w:rPr>
          <w:rFonts w:ascii="Garamond" w:hAnsi="Garamond"/>
          <w:sz w:val="24"/>
          <w:szCs w:val="24"/>
          <w:lang w:val="sq-AL"/>
        </w:rPr>
        <w:t>,</w:t>
      </w:r>
      <w:r w:rsidRPr="00EC6AB6">
        <w:rPr>
          <w:rFonts w:ascii="Garamond" w:hAnsi="Garamond"/>
          <w:sz w:val="24"/>
          <w:szCs w:val="24"/>
          <w:lang w:val="sq-AL"/>
        </w:rPr>
        <w:t xml:space="preserve"> duke ulur kostot për njësi të shërbimit të borxhit. Gjithashtu, ndikim të rëndësishëm në reduktimin e kostove do të ketë edhe zhvillimi i tregut të titujve shtetërorë, që do të synojë të reduktojë primet që aktualisht burojnë nga niveli i ulët i likuiditetit të titujve shtetërorë. </w:t>
      </w:r>
    </w:p>
    <w:p w14:paraId="4333B9A2" w14:textId="66FC984C" w:rsidR="008B3748" w:rsidRPr="00EC6AB6" w:rsidRDefault="001A7FBF" w:rsidP="008B3748">
      <w:pPr>
        <w:spacing w:after="0" w:line="240" w:lineRule="auto"/>
        <w:rPr>
          <w:rFonts w:ascii="Garamond" w:hAnsi="Garamond"/>
          <w:sz w:val="24"/>
          <w:szCs w:val="24"/>
          <w:lang w:val="sq-AL"/>
        </w:rPr>
      </w:pPr>
      <w:bookmarkStart w:id="88" w:name="_Toc491954326"/>
      <w:bookmarkStart w:id="89" w:name="_Toc491861013"/>
      <w:bookmarkStart w:id="90" w:name="_Toc60129471"/>
      <w:r w:rsidRPr="00EC6AB6">
        <w:rPr>
          <w:rFonts w:ascii="Garamond" w:hAnsi="Garamond"/>
          <w:sz w:val="24"/>
          <w:szCs w:val="24"/>
          <w:lang w:val="sq-AL"/>
        </w:rPr>
        <w:t xml:space="preserve">2.1.2 </w:t>
      </w:r>
      <w:r w:rsidR="008B3748" w:rsidRPr="00EC6AB6">
        <w:rPr>
          <w:rFonts w:ascii="Garamond" w:hAnsi="Garamond"/>
          <w:sz w:val="24"/>
          <w:szCs w:val="24"/>
          <w:lang w:val="sq-AL"/>
        </w:rPr>
        <w:t xml:space="preserve">Menaxhimi i </w:t>
      </w:r>
      <w:r w:rsidR="00232885" w:rsidRPr="00EC6AB6">
        <w:rPr>
          <w:rFonts w:ascii="Garamond" w:hAnsi="Garamond"/>
          <w:sz w:val="24"/>
          <w:szCs w:val="24"/>
          <w:lang w:val="sq-AL"/>
        </w:rPr>
        <w:t>r</w:t>
      </w:r>
      <w:bookmarkEnd w:id="88"/>
      <w:bookmarkEnd w:id="89"/>
      <w:r w:rsidR="00232885" w:rsidRPr="00EC6AB6">
        <w:rPr>
          <w:rFonts w:ascii="Garamond" w:hAnsi="Garamond"/>
          <w:sz w:val="24"/>
          <w:szCs w:val="24"/>
          <w:lang w:val="sq-AL"/>
        </w:rPr>
        <w:t>isqeve</w:t>
      </w:r>
      <w:bookmarkEnd w:id="90"/>
    </w:p>
    <w:p w14:paraId="4333B9A3" w14:textId="20ADA96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kuadër të menaxhimit të risqeve të portofolit të borxhit, janë përcaktuar disa objektiva operacional</w:t>
      </w:r>
      <w:r w:rsidR="00A8731F">
        <w:rPr>
          <w:rFonts w:ascii="Garamond" w:hAnsi="Garamond"/>
          <w:sz w:val="24"/>
          <w:szCs w:val="24"/>
          <w:lang w:val="sq-AL"/>
        </w:rPr>
        <w:t>ë</w:t>
      </w:r>
      <w:r w:rsidRPr="00EC6AB6">
        <w:rPr>
          <w:rFonts w:ascii="Garamond" w:hAnsi="Garamond"/>
          <w:sz w:val="24"/>
          <w:szCs w:val="24"/>
          <w:lang w:val="sq-AL"/>
        </w:rPr>
        <w:t>, realizimi i të cil</w:t>
      </w:r>
      <w:r w:rsidR="00A8731F">
        <w:rPr>
          <w:rFonts w:ascii="Garamond" w:hAnsi="Garamond"/>
          <w:sz w:val="24"/>
          <w:szCs w:val="24"/>
          <w:lang w:val="sq-AL"/>
        </w:rPr>
        <w:t>ë</w:t>
      </w:r>
      <w:r w:rsidRPr="00EC6AB6">
        <w:rPr>
          <w:rFonts w:ascii="Garamond" w:hAnsi="Garamond"/>
          <w:sz w:val="24"/>
          <w:szCs w:val="24"/>
          <w:lang w:val="sq-AL"/>
        </w:rPr>
        <w:t>v</w:t>
      </w:r>
      <w:bookmarkStart w:id="91" w:name="_GoBack"/>
      <w:bookmarkEnd w:id="91"/>
      <w:r w:rsidRPr="00EC6AB6">
        <w:rPr>
          <w:rFonts w:ascii="Garamond" w:hAnsi="Garamond"/>
          <w:sz w:val="24"/>
          <w:szCs w:val="24"/>
          <w:lang w:val="sq-AL"/>
        </w:rPr>
        <w:t>e ka për qëllim reduktimin ose mbajtjen nën kontroll të risqeve në periudhën afatmesme.</w:t>
      </w:r>
    </w:p>
    <w:p w14:paraId="4333B9A4" w14:textId="26AF1448" w:rsidR="008B3748" w:rsidRPr="00A8731F" w:rsidRDefault="008B3748" w:rsidP="008B3748">
      <w:pPr>
        <w:spacing w:after="0" w:line="240" w:lineRule="auto"/>
        <w:rPr>
          <w:rFonts w:ascii="Garamond" w:hAnsi="Garamond"/>
          <w:b/>
          <w:sz w:val="24"/>
          <w:szCs w:val="24"/>
          <w:lang w:val="sq-AL"/>
        </w:rPr>
      </w:pPr>
      <w:r w:rsidRPr="00A8731F">
        <w:rPr>
          <w:rFonts w:ascii="Garamond" w:hAnsi="Garamond"/>
          <w:b/>
          <w:sz w:val="24"/>
          <w:szCs w:val="24"/>
          <w:lang w:val="sq-AL"/>
        </w:rPr>
        <w:t>Ri</w:t>
      </w:r>
      <w:r w:rsidR="00A8731F" w:rsidRPr="00A8731F">
        <w:rPr>
          <w:rFonts w:ascii="Garamond" w:hAnsi="Garamond"/>
          <w:b/>
          <w:sz w:val="24"/>
          <w:szCs w:val="24"/>
          <w:lang w:val="sq-AL"/>
        </w:rPr>
        <w:t>sku i rifinancimit</w:t>
      </w:r>
    </w:p>
    <w:p w14:paraId="4333B9A5" w14:textId="1A609CCD"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Është ndër risqet kryesore që mbart portofoli i borxhit të brendshëm, për shkak të nivelit relativisht të lartë të titujve që rifinancohen në periudhën afatshkurtër, të imponuar kryesisht nga kufizimet me natyrë strukturore të tregut të brendshëm. Në këtë aspekt, vlerësohet si i nevojshëm vazhdimi i masave të ndërmarra për reduktimin e mëtejshëm të ekspozimit ndaj këtij risku, duke pasur si objektiv: a) rritjen e përqendrimit të titujve afatmesëm dhe afatgjatë në portofolin e borxhit të brendshëm, nëpërmjet uljes graduale të financimit me tituj afatshkurtër në linjë me hapësirat që mundëson tregu </w:t>
      </w:r>
      <w:r w:rsidR="002B79A7" w:rsidRPr="00EC6AB6">
        <w:rPr>
          <w:rFonts w:ascii="Garamond" w:hAnsi="Garamond"/>
          <w:sz w:val="24"/>
          <w:szCs w:val="24"/>
          <w:lang w:val="sq-AL"/>
        </w:rPr>
        <w:t>vendës</w:t>
      </w:r>
      <w:r w:rsidRPr="00EC6AB6">
        <w:rPr>
          <w:rFonts w:ascii="Garamond" w:hAnsi="Garamond"/>
          <w:sz w:val="24"/>
          <w:szCs w:val="24"/>
          <w:lang w:val="sq-AL"/>
        </w:rPr>
        <w:t xml:space="preserve">; dhe b) shpërndarjen sa më të njëtrajtshme të profilit të maturimeve, duke vlerësuar mundësinë edhe për përdorimin e ankandeve të parablerjes </w:t>
      </w:r>
      <w:r w:rsidRPr="00EC6AB6">
        <w:rPr>
          <w:rFonts w:ascii="Garamond" w:hAnsi="Garamond"/>
          <w:i/>
          <w:sz w:val="24"/>
          <w:szCs w:val="24"/>
          <w:lang w:val="sq-AL"/>
        </w:rPr>
        <w:t>(buyback)</w:t>
      </w:r>
      <w:r w:rsidRPr="00EC6AB6">
        <w:rPr>
          <w:rFonts w:ascii="Garamond" w:hAnsi="Garamond"/>
          <w:sz w:val="24"/>
          <w:szCs w:val="24"/>
          <w:lang w:val="sq-AL"/>
        </w:rPr>
        <w:t xml:space="preserve"> dhe shkëmbimit </w:t>
      </w:r>
      <w:r w:rsidRPr="00EC6AB6">
        <w:rPr>
          <w:rFonts w:ascii="Garamond" w:hAnsi="Garamond"/>
          <w:i/>
          <w:sz w:val="24"/>
          <w:szCs w:val="24"/>
          <w:lang w:val="sq-AL"/>
        </w:rPr>
        <w:t>(exchange).</w:t>
      </w:r>
      <w:r w:rsidRPr="00EC6AB6">
        <w:rPr>
          <w:rFonts w:ascii="Garamond" w:hAnsi="Garamond"/>
          <w:sz w:val="24"/>
          <w:szCs w:val="24"/>
          <w:lang w:val="sq-AL"/>
        </w:rPr>
        <w:t xml:space="preserve"> </w:t>
      </w:r>
    </w:p>
    <w:p w14:paraId="08F6EC39" w14:textId="77777777" w:rsidR="00F61DAC" w:rsidRDefault="00F61DAC" w:rsidP="001A7FBF">
      <w:pPr>
        <w:spacing w:after="0" w:line="240" w:lineRule="auto"/>
        <w:jc w:val="center"/>
        <w:rPr>
          <w:rFonts w:ascii="Garamond" w:hAnsi="Garamond"/>
          <w:b/>
          <w:i/>
          <w:sz w:val="20"/>
          <w:szCs w:val="20"/>
          <w:lang w:val="sq-AL"/>
        </w:rPr>
      </w:pPr>
    </w:p>
    <w:p w14:paraId="4333B9A6" w14:textId="06429AFC" w:rsidR="008B3748" w:rsidRPr="00EC6AB6" w:rsidRDefault="008B3748" w:rsidP="001A7FBF">
      <w:pPr>
        <w:spacing w:after="0" w:line="240" w:lineRule="auto"/>
        <w:jc w:val="center"/>
        <w:rPr>
          <w:rFonts w:ascii="Garamond" w:hAnsi="Garamond"/>
          <w:b/>
          <w:i/>
          <w:sz w:val="20"/>
          <w:szCs w:val="20"/>
          <w:lang w:val="sq-AL"/>
        </w:rPr>
      </w:pPr>
      <w:r w:rsidRPr="00EC6AB6">
        <w:rPr>
          <w:rFonts w:ascii="Garamond" w:hAnsi="Garamond"/>
          <w:b/>
          <w:i/>
          <w:sz w:val="20"/>
          <w:szCs w:val="20"/>
          <w:lang w:val="sq-AL"/>
        </w:rPr>
        <w:t>Tabela 2.1.2(a): Treguesit indikativ</w:t>
      </w:r>
      <w:r w:rsidR="00F61DAC">
        <w:rPr>
          <w:rFonts w:ascii="Garamond" w:hAnsi="Garamond"/>
          <w:b/>
          <w:i/>
          <w:sz w:val="20"/>
          <w:szCs w:val="20"/>
          <w:lang w:val="sq-AL"/>
        </w:rPr>
        <w:t>ë</w:t>
      </w:r>
      <w:r w:rsidRPr="00EC6AB6">
        <w:rPr>
          <w:rFonts w:ascii="Garamond" w:hAnsi="Garamond"/>
          <w:b/>
          <w:i/>
          <w:sz w:val="20"/>
          <w:szCs w:val="20"/>
          <w:lang w:val="sq-AL"/>
        </w:rPr>
        <w:t xml:space="preserve"> afatmesëm të riskut të rifinancimit</w:t>
      </w:r>
    </w:p>
    <w:tbl>
      <w:tblPr>
        <w:tblW w:w="9315" w:type="dxa"/>
        <w:tblLook w:val="04A0" w:firstRow="1" w:lastRow="0" w:firstColumn="1" w:lastColumn="0" w:noHBand="0" w:noVBand="1"/>
      </w:tblPr>
      <w:tblGrid>
        <w:gridCol w:w="1440"/>
        <w:gridCol w:w="3969"/>
        <w:gridCol w:w="1953"/>
        <w:gridCol w:w="1953"/>
      </w:tblGrid>
      <w:tr w:rsidR="008B3748" w:rsidRPr="00EC6AB6" w14:paraId="4333B9AB" w14:textId="77777777" w:rsidTr="001A7FBF">
        <w:trPr>
          <w:trHeight w:val="451"/>
        </w:trPr>
        <w:tc>
          <w:tcPr>
            <w:tcW w:w="1440" w:type="dxa"/>
            <w:tcBorders>
              <w:top w:val="nil"/>
              <w:left w:val="nil"/>
              <w:bottom w:val="nil"/>
              <w:right w:val="single" w:sz="8" w:space="0" w:color="FFFFFF"/>
            </w:tcBorders>
            <w:shd w:val="clear" w:color="auto" w:fill="C00000"/>
            <w:vAlign w:val="center"/>
            <w:hideMark/>
          </w:tcPr>
          <w:p w14:paraId="4333B9A7" w14:textId="77777777" w:rsidR="008B3748" w:rsidRPr="00EC6AB6" w:rsidRDefault="008B3748" w:rsidP="001A7FBF">
            <w:pPr>
              <w:spacing w:after="0" w:line="240" w:lineRule="auto"/>
              <w:ind w:firstLine="0"/>
              <w:jc w:val="center"/>
              <w:rPr>
                <w:rFonts w:ascii="Garamond" w:hAnsi="Garamond"/>
                <w:lang w:val="sq-AL"/>
              </w:rPr>
            </w:pPr>
            <w:r w:rsidRPr="00EC6AB6">
              <w:rPr>
                <w:rFonts w:ascii="Garamond" w:hAnsi="Garamond"/>
                <w:lang w:val="sq-AL"/>
              </w:rPr>
              <w:t>Tipi i riskut</w:t>
            </w:r>
          </w:p>
        </w:tc>
        <w:tc>
          <w:tcPr>
            <w:tcW w:w="3969" w:type="dxa"/>
            <w:tcBorders>
              <w:top w:val="nil"/>
              <w:left w:val="nil"/>
              <w:bottom w:val="nil"/>
              <w:right w:val="single" w:sz="8" w:space="0" w:color="FFFFFF"/>
            </w:tcBorders>
            <w:shd w:val="clear" w:color="auto" w:fill="C00000"/>
            <w:vAlign w:val="center"/>
            <w:hideMark/>
          </w:tcPr>
          <w:p w14:paraId="4333B9A8" w14:textId="3638F780" w:rsidR="008B3748" w:rsidRPr="00EC6AB6" w:rsidRDefault="008B3748" w:rsidP="001A7FBF">
            <w:pPr>
              <w:spacing w:after="0" w:line="240" w:lineRule="auto"/>
              <w:ind w:firstLine="0"/>
              <w:jc w:val="center"/>
              <w:rPr>
                <w:rFonts w:ascii="Garamond" w:hAnsi="Garamond"/>
                <w:lang w:val="sq-AL"/>
              </w:rPr>
            </w:pPr>
            <w:r w:rsidRPr="00EC6AB6">
              <w:rPr>
                <w:rFonts w:ascii="Garamond" w:hAnsi="Garamond"/>
                <w:lang w:val="sq-AL"/>
              </w:rPr>
              <w:t xml:space="preserve">Treguesi i </w:t>
            </w:r>
            <w:r w:rsidR="00FF5418" w:rsidRPr="00EC6AB6">
              <w:rPr>
                <w:rFonts w:ascii="Garamond" w:hAnsi="Garamond"/>
                <w:lang w:val="sq-AL"/>
              </w:rPr>
              <w:t>riskut</w:t>
            </w:r>
          </w:p>
        </w:tc>
        <w:tc>
          <w:tcPr>
            <w:tcW w:w="1953" w:type="dxa"/>
            <w:tcBorders>
              <w:top w:val="nil"/>
              <w:left w:val="nil"/>
              <w:bottom w:val="nil"/>
              <w:right w:val="single" w:sz="6" w:space="0" w:color="FFFFFF" w:themeColor="background1"/>
            </w:tcBorders>
            <w:shd w:val="clear" w:color="auto" w:fill="C00000"/>
            <w:vAlign w:val="center"/>
            <w:hideMark/>
          </w:tcPr>
          <w:p w14:paraId="4333B9A9" w14:textId="51775146" w:rsidR="008B3748" w:rsidRPr="00EC6AB6" w:rsidRDefault="008B3748" w:rsidP="001A7FBF">
            <w:pPr>
              <w:spacing w:after="0" w:line="240" w:lineRule="auto"/>
              <w:ind w:firstLine="0"/>
              <w:jc w:val="center"/>
              <w:rPr>
                <w:rFonts w:ascii="Garamond" w:hAnsi="Garamond"/>
                <w:lang w:val="sq-AL"/>
              </w:rPr>
            </w:pPr>
            <w:r w:rsidRPr="00EC6AB6">
              <w:rPr>
                <w:rFonts w:ascii="Garamond" w:hAnsi="Garamond"/>
                <w:lang w:val="sq-AL"/>
              </w:rPr>
              <w:t>Treguesi</w:t>
            </w:r>
            <w:r w:rsidR="00FA2519" w:rsidRPr="00EC6AB6">
              <w:rPr>
                <w:rFonts w:ascii="Garamond" w:hAnsi="Garamond"/>
                <w:lang w:val="sq-AL"/>
              </w:rPr>
              <w:t xml:space="preserve"> </w:t>
            </w:r>
            <w:r w:rsidRPr="00EC6AB6">
              <w:rPr>
                <w:rFonts w:ascii="Garamond" w:hAnsi="Garamond"/>
                <w:lang w:val="sq-AL"/>
              </w:rPr>
              <w:t>2019</w:t>
            </w:r>
          </w:p>
        </w:tc>
        <w:tc>
          <w:tcPr>
            <w:tcW w:w="1953" w:type="dxa"/>
            <w:tcBorders>
              <w:top w:val="nil"/>
              <w:left w:val="single" w:sz="6" w:space="0" w:color="FFFFFF" w:themeColor="background1"/>
              <w:bottom w:val="nil"/>
              <w:right w:val="nil"/>
            </w:tcBorders>
            <w:shd w:val="clear" w:color="auto" w:fill="C00000"/>
            <w:vAlign w:val="center"/>
            <w:hideMark/>
          </w:tcPr>
          <w:p w14:paraId="427BAB5D" w14:textId="77777777" w:rsidR="00FF5418" w:rsidRPr="00EC6AB6" w:rsidRDefault="008B3748" w:rsidP="001A7FBF">
            <w:pPr>
              <w:spacing w:after="0" w:line="240" w:lineRule="auto"/>
              <w:ind w:firstLine="0"/>
              <w:jc w:val="center"/>
              <w:rPr>
                <w:rFonts w:ascii="Garamond" w:hAnsi="Garamond"/>
                <w:lang w:val="sq-AL"/>
              </w:rPr>
            </w:pPr>
            <w:r w:rsidRPr="00EC6AB6">
              <w:rPr>
                <w:rFonts w:ascii="Garamond" w:hAnsi="Garamond"/>
                <w:lang w:val="sq-AL"/>
              </w:rPr>
              <w:t>Objektivi</w:t>
            </w:r>
            <w:r w:rsidR="00FA2519" w:rsidRPr="00EC6AB6">
              <w:rPr>
                <w:rFonts w:ascii="Garamond" w:hAnsi="Garamond"/>
                <w:lang w:val="sq-AL"/>
              </w:rPr>
              <w:t xml:space="preserve"> </w:t>
            </w:r>
          </w:p>
          <w:p w14:paraId="4333B9AA" w14:textId="5D90329F" w:rsidR="008B3748" w:rsidRPr="00EC6AB6" w:rsidRDefault="008B3748" w:rsidP="001A7FBF">
            <w:pPr>
              <w:spacing w:after="0" w:line="240" w:lineRule="auto"/>
              <w:ind w:firstLine="0"/>
              <w:jc w:val="center"/>
              <w:rPr>
                <w:rFonts w:ascii="Garamond" w:hAnsi="Garamond"/>
                <w:lang w:val="sq-AL"/>
              </w:rPr>
            </w:pPr>
            <w:r w:rsidRPr="00EC6AB6">
              <w:rPr>
                <w:rFonts w:ascii="Garamond" w:hAnsi="Garamond"/>
                <w:lang w:val="sq-AL"/>
              </w:rPr>
              <w:t>(</w:t>
            </w:r>
            <w:r w:rsidR="00232885" w:rsidRPr="00EC6AB6">
              <w:rPr>
                <w:rFonts w:ascii="Garamond" w:hAnsi="Garamond"/>
                <w:lang w:val="sq-AL"/>
              </w:rPr>
              <w:t xml:space="preserve">fundi </w:t>
            </w:r>
            <w:r w:rsidR="00FF5418" w:rsidRPr="00EC6AB6">
              <w:rPr>
                <w:rFonts w:ascii="Garamond" w:hAnsi="Garamond"/>
                <w:lang w:val="sq-AL"/>
              </w:rPr>
              <w:t xml:space="preserve">i </w:t>
            </w:r>
            <w:r w:rsidRPr="00EC6AB6">
              <w:rPr>
                <w:rFonts w:ascii="Garamond" w:hAnsi="Garamond"/>
                <w:lang w:val="sq-AL"/>
              </w:rPr>
              <w:t>2023</w:t>
            </w:r>
            <w:r w:rsidR="00FF5418" w:rsidRPr="00EC6AB6">
              <w:rPr>
                <w:rFonts w:ascii="Garamond" w:hAnsi="Garamond"/>
                <w:lang w:val="sq-AL"/>
              </w:rPr>
              <w:t>-shit</w:t>
            </w:r>
            <w:r w:rsidRPr="00EC6AB6">
              <w:rPr>
                <w:rFonts w:ascii="Garamond" w:hAnsi="Garamond"/>
                <w:lang w:val="sq-AL"/>
              </w:rPr>
              <w:t>)</w:t>
            </w:r>
          </w:p>
        </w:tc>
      </w:tr>
      <w:tr w:rsidR="008B3748" w:rsidRPr="00EC6AB6" w14:paraId="4333B9B0" w14:textId="77777777" w:rsidTr="008B3748">
        <w:trPr>
          <w:trHeight w:val="265"/>
        </w:trPr>
        <w:tc>
          <w:tcPr>
            <w:tcW w:w="1440" w:type="dxa"/>
            <w:vMerge w:val="restart"/>
            <w:tcBorders>
              <w:top w:val="nil"/>
              <w:left w:val="nil"/>
              <w:bottom w:val="single" w:sz="4" w:space="0" w:color="auto"/>
              <w:right w:val="nil"/>
            </w:tcBorders>
            <w:noWrap/>
            <w:vAlign w:val="center"/>
            <w:hideMark/>
          </w:tcPr>
          <w:p w14:paraId="4333B9AC" w14:textId="510FA81A" w:rsidR="008B3748" w:rsidRPr="00EC6AB6" w:rsidRDefault="008B3748" w:rsidP="001A7FBF">
            <w:pPr>
              <w:spacing w:after="0" w:line="240" w:lineRule="auto"/>
              <w:ind w:firstLine="0"/>
              <w:jc w:val="left"/>
              <w:rPr>
                <w:rFonts w:ascii="Garamond" w:hAnsi="Garamond"/>
                <w:lang w:val="sq-AL"/>
              </w:rPr>
            </w:pPr>
            <w:r w:rsidRPr="00EC6AB6">
              <w:rPr>
                <w:rFonts w:ascii="Garamond" w:hAnsi="Garamond"/>
                <w:lang w:val="sq-AL"/>
              </w:rPr>
              <w:t xml:space="preserve">Risku i </w:t>
            </w:r>
            <w:r w:rsidR="00FF5418" w:rsidRPr="00EC6AB6">
              <w:rPr>
                <w:rFonts w:ascii="Garamond" w:hAnsi="Garamond"/>
                <w:lang w:val="sq-AL"/>
              </w:rPr>
              <w:t>rifinancimit</w:t>
            </w:r>
          </w:p>
        </w:tc>
        <w:tc>
          <w:tcPr>
            <w:tcW w:w="3969" w:type="dxa"/>
            <w:noWrap/>
            <w:vAlign w:val="bottom"/>
            <w:hideMark/>
          </w:tcPr>
          <w:p w14:paraId="4333B9AD" w14:textId="13FEC9D0" w:rsidR="008B3748" w:rsidRPr="00EC6AB6" w:rsidRDefault="00F61DAC" w:rsidP="001A7FBF">
            <w:pPr>
              <w:spacing w:after="0" w:line="240" w:lineRule="auto"/>
              <w:ind w:firstLine="0"/>
              <w:rPr>
                <w:rFonts w:ascii="Garamond" w:hAnsi="Garamond"/>
                <w:lang w:val="sq-AL"/>
              </w:rPr>
            </w:pPr>
            <w:r>
              <w:rPr>
                <w:rFonts w:ascii="Garamond" w:hAnsi="Garamond"/>
                <w:lang w:val="sq-AL"/>
              </w:rPr>
              <w:t xml:space="preserve">KMM, </w:t>
            </w:r>
            <w:r w:rsidR="008B3748" w:rsidRPr="00EC6AB6">
              <w:rPr>
                <w:rFonts w:ascii="Garamond" w:hAnsi="Garamond"/>
                <w:lang w:val="sq-AL"/>
              </w:rPr>
              <w:t>borxhi i brendshëm</w:t>
            </w:r>
          </w:p>
        </w:tc>
        <w:tc>
          <w:tcPr>
            <w:tcW w:w="1953" w:type="dxa"/>
            <w:vAlign w:val="bottom"/>
            <w:hideMark/>
          </w:tcPr>
          <w:p w14:paraId="4333B9AE" w14:textId="77777777" w:rsidR="008B3748" w:rsidRPr="00EC6AB6" w:rsidRDefault="008B3748" w:rsidP="00F61DAC">
            <w:pPr>
              <w:spacing w:after="0" w:line="240" w:lineRule="auto"/>
              <w:ind w:firstLine="0"/>
              <w:jc w:val="right"/>
              <w:rPr>
                <w:rFonts w:ascii="Garamond" w:hAnsi="Garamond"/>
                <w:lang w:val="sq-AL"/>
              </w:rPr>
            </w:pPr>
            <w:r w:rsidRPr="00EC6AB6">
              <w:rPr>
                <w:rFonts w:ascii="Garamond" w:hAnsi="Garamond"/>
                <w:lang w:val="sq-AL"/>
              </w:rPr>
              <w:t>2.2 vite</w:t>
            </w:r>
          </w:p>
        </w:tc>
        <w:tc>
          <w:tcPr>
            <w:tcW w:w="1953" w:type="dxa"/>
            <w:noWrap/>
            <w:vAlign w:val="bottom"/>
            <w:hideMark/>
          </w:tcPr>
          <w:p w14:paraId="4333B9AF" w14:textId="541DC616" w:rsidR="008B3748" w:rsidRPr="00EC6AB6" w:rsidRDefault="008B3748" w:rsidP="00F61DAC">
            <w:pPr>
              <w:spacing w:after="0" w:line="240" w:lineRule="auto"/>
              <w:ind w:firstLine="0"/>
              <w:jc w:val="right"/>
              <w:rPr>
                <w:rFonts w:ascii="Garamond" w:hAnsi="Garamond"/>
                <w:lang w:val="sq-AL"/>
              </w:rPr>
            </w:pPr>
            <w:r w:rsidRPr="00EC6AB6">
              <w:rPr>
                <w:rFonts w:ascii="Garamond" w:hAnsi="Garamond"/>
                <w:lang w:val="sq-AL"/>
              </w:rPr>
              <w:t>2.2</w:t>
            </w:r>
            <w:r w:rsidR="00232885" w:rsidRPr="00EC6AB6">
              <w:rPr>
                <w:rFonts w:ascii="Garamond" w:hAnsi="Garamond"/>
                <w:lang w:val="sq-AL"/>
              </w:rPr>
              <w:t>–</w:t>
            </w:r>
            <w:r w:rsidRPr="00EC6AB6">
              <w:rPr>
                <w:rFonts w:ascii="Garamond" w:hAnsi="Garamond"/>
                <w:lang w:val="sq-AL"/>
              </w:rPr>
              <w:t>2.4 vite</w:t>
            </w:r>
          </w:p>
        </w:tc>
      </w:tr>
      <w:tr w:rsidR="008B3748" w:rsidRPr="00EC6AB6" w14:paraId="4333B9B5" w14:textId="77777777" w:rsidTr="008B3748">
        <w:trPr>
          <w:trHeight w:val="470"/>
        </w:trPr>
        <w:tc>
          <w:tcPr>
            <w:tcW w:w="0" w:type="auto"/>
            <w:vMerge/>
            <w:tcBorders>
              <w:top w:val="nil"/>
              <w:left w:val="nil"/>
              <w:bottom w:val="single" w:sz="4" w:space="0" w:color="auto"/>
              <w:right w:val="nil"/>
            </w:tcBorders>
            <w:vAlign w:val="center"/>
            <w:hideMark/>
          </w:tcPr>
          <w:p w14:paraId="4333B9B1" w14:textId="77777777" w:rsidR="008B3748" w:rsidRPr="00EC6AB6" w:rsidRDefault="008B3748" w:rsidP="001A7FBF">
            <w:pPr>
              <w:spacing w:after="0" w:line="240" w:lineRule="auto"/>
              <w:ind w:firstLine="0"/>
              <w:rPr>
                <w:rFonts w:ascii="Garamond" w:hAnsi="Garamond"/>
                <w:lang w:val="sq-AL"/>
              </w:rPr>
            </w:pPr>
          </w:p>
        </w:tc>
        <w:tc>
          <w:tcPr>
            <w:tcW w:w="3969" w:type="dxa"/>
            <w:tcBorders>
              <w:top w:val="nil"/>
              <w:left w:val="nil"/>
              <w:bottom w:val="single" w:sz="4" w:space="0" w:color="auto"/>
              <w:right w:val="nil"/>
            </w:tcBorders>
            <w:noWrap/>
            <w:vAlign w:val="center"/>
            <w:hideMark/>
          </w:tcPr>
          <w:p w14:paraId="309A6688" w14:textId="77777777" w:rsidR="00FF5418" w:rsidRPr="00EC6AB6" w:rsidRDefault="008B3748" w:rsidP="001A7FBF">
            <w:pPr>
              <w:spacing w:after="0" w:line="240" w:lineRule="auto"/>
              <w:ind w:firstLine="0"/>
              <w:rPr>
                <w:rFonts w:ascii="Garamond" w:hAnsi="Garamond"/>
                <w:lang w:val="sq-AL"/>
              </w:rPr>
            </w:pPr>
            <w:r w:rsidRPr="00EC6AB6">
              <w:rPr>
                <w:rFonts w:ascii="Garamond" w:hAnsi="Garamond"/>
                <w:lang w:val="sq-AL"/>
              </w:rPr>
              <w:t>Borxhi i brendshëm i maturuar në 1 vit</w:t>
            </w:r>
            <w:r w:rsidR="00FA2519" w:rsidRPr="00EC6AB6">
              <w:rPr>
                <w:rFonts w:ascii="Garamond" w:hAnsi="Garamond"/>
                <w:lang w:val="sq-AL"/>
              </w:rPr>
              <w:t xml:space="preserve"> </w:t>
            </w:r>
          </w:p>
          <w:p w14:paraId="4333B9B2" w14:textId="2E5C2E6C" w:rsidR="008B3748" w:rsidRPr="00EC6AB6" w:rsidRDefault="008B3748" w:rsidP="001A7FBF">
            <w:pPr>
              <w:spacing w:after="0" w:line="240" w:lineRule="auto"/>
              <w:ind w:firstLine="0"/>
              <w:rPr>
                <w:rFonts w:ascii="Garamond" w:hAnsi="Garamond"/>
                <w:lang w:val="sq-AL"/>
              </w:rPr>
            </w:pPr>
            <w:r w:rsidRPr="00EC6AB6">
              <w:rPr>
                <w:rFonts w:ascii="Garamond" w:hAnsi="Garamond"/>
                <w:lang w:val="sq-AL"/>
              </w:rPr>
              <w:t>(% të totalit)</w:t>
            </w:r>
          </w:p>
        </w:tc>
        <w:tc>
          <w:tcPr>
            <w:tcW w:w="1953" w:type="dxa"/>
            <w:tcBorders>
              <w:top w:val="nil"/>
              <w:left w:val="nil"/>
              <w:bottom w:val="single" w:sz="4" w:space="0" w:color="auto"/>
              <w:right w:val="nil"/>
            </w:tcBorders>
            <w:vAlign w:val="center"/>
            <w:hideMark/>
          </w:tcPr>
          <w:p w14:paraId="216DB5DC" w14:textId="77777777" w:rsidR="00FF5418" w:rsidRPr="00EC6AB6" w:rsidRDefault="00FF5418" w:rsidP="00F61DAC">
            <w:pPr>
              <w:spacing w:after="0" w:line="240" w:lineRule="auto"/>
              <w:ind w:firstLine="0"/>
              <w:jc w:val="right"/>
              <w:rPr>
                <w:rFonts w:ascii="Garamond" w:hAnsi="Garamond"/>
                <w:lang w:val="sq-AL"/>
              </w:rPr>
            </w:pPr>
          </w:p>
          <w:p w14:paraId="4333B9B3" w14:textId="77777777" w:rsidR="008B3748" w:rsidRPr="00EC6AB6" w:rsidRDefault="008B3748" w:rsidP="00F61DAC">
            <w:pPr>
              <w:spacing w:after="0" w:line="240" w:lineRule="auto"/>
              <w:ind w:firstLine="0"/>
              <w:jc w:val="right"/>
              <w:rPr>
                <w:rFonts w:ascii="Garamond" w:hAnsi="Garamond"/>
                <w:lang w:val="sq-AL"/>
              </w:rPr>
            </w:pPr>
            <w:r w:rsidRPr="00EC6AB6">
              <w:rPr>
                <w:rFonts w:ascii="Garamond" w:hAnsi="Garamond"/>
                <w:lang w:val="sq-AL"/>
              </w:rPr>
              <w:t>47.7%</w:t>
            </w:r>
          </w:p>
        </w:tc>
        <w:tc>
          <w:tcPr>
            <w:tcW w:w="1953" w:type="dxa"/>
            <w:tcBorders>
              <w:top w:val="nil"/>
              <w:left w:val="nil"/>
              <w:bottom w:val="single" w:sz="4" w:space="0" w:color="auto"/>
              <w:right w:val="nil"/>
            </w:tcBorders>
            <w:noWrap/>
            <w:vAlign w:val="center"/>
            <w:hideMark/>
          </w:tcPr>
          <w:p w14:paraId="08E67D7C" w14:textId="77777777" w:rsidR="00FF5418" w:rsidRPr="00EC6AB6" w:rsidRDefault="00FF5418" w:rsidP="00F61DAC">
            <w:pPr>
              <w:spacing w:after="0" w:line="240" w:lineRule="auto"/>
              <w:ind w:firstLine="0"/>
              <w:jc w:val="right"/>
              <w:rPr>
                <w:rFonts w:ascii="Garamond" w:hAnsi="Garamond"/>
                <w:lang w:val="sq-AL"/>
              </w:rPr>
            </w:pPr>
          </w:p>
          <w:p w14:paraId="4333B9B4" w14:textId="77777777" w:rsidR="008B3748" w:rsidRPr="00EC6AB6" w:rsidRDefault="008B3748" w:rsidP="00F61DAC">
            <w:pPr>
              <w:spacing w:after="0" w:line="240" w:lineRule="auto"/>
              <w:ind w:firstLine="0"/>
              <w:jc w:val="right"/>
              <w:rPr>
                <w:rFonts w:ascii="Garamond" w:hAnsi="Garamond"/>
                <w:lang w:val="sq-AL"/>
              </w:rPr>
            </w:pPr>
            <w:r w:rsidRPr="00EC6AB6">
              <w:rPr>
                <w:rFonts w:ascii="Garamond" w:hAnsi="Garamond"/>
                <w:lang w:val="sq-AL"/>
              </w:rPr>
              <w:t>Maks. 45.0%</w:t>
            </w:r>
          </w:p>
        </w:tc>
      </w:tr>
    </w:tbl>
    <w:p w14:paraId="4333B9B6" w14:textId="77777777" w:rsidR="008B3748" w:rsidRPr="00EC6AB6" w:rsidRDefault="008B3748" w:rsidP="001A7FBF">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B7" w14:textId="77777777" w:rsidR="008B3748" w:rsidRPr="00EC6AB6" w:rsidRDefault="008B3748" w:rsidP="008B3748">
      <w:pPr>
        <w:spacing w:after="0" w:line="240" w:lineRule="auto"/>
        <w:rPr>
          <w:rFonts w:ascii="Garamond" w:hAnsi="Garamond"/>
          <w:sz w:val="24"/>
          <w:szCs w:val="24"/>
          <w:highlight w:val="yellow"/>
          <w:lang w:val="sq-AL"/>
        </w:rPr>
      </w:pPr>
    </w:p>
    <w:p w14:paraId="4333B9B8" w14:textId="4135C90E" w:rsidR="008B3748" w:rsidRPr="00F61DAC" w:rsidRDefault="00F61DAC" w:rsidP="008B3748">
      <w:pPr>
        <w:spacing w:after="0" w:line="240" w:lineRule="auto"/>
        <w:rPr>
          <w:rFonts w:ascii="Garamond" w:hAnsi="Garamond"/>
          <w:b/>
          <w:sz w:val="24"/>
          <w:szCs w:val="24"/>
          <w:lang w:val="sq-AL"/>
        </w:rPr>
      </w:pPr>
      <w:r w:rsidRPr="00F61DAC">
        <w:rPr>
          <w:rFonts w:ascii="Garamond" w:hAnsi="Garamond"/>
          <w:b/>
          <w:sz w:val="24"/>
          <w:szCs w:val="24"/>
          <w:lang w:val="sq-AL"/>
        </w:rPr>
        <w:t>Risku i normave të interesit</w:t>
      </w:r>
    </w:p>
    <w:p w14:paraId="4333B9B9" w14:textId="0EED7525"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Është një risk i cili duhet menaxhuar në vijimësi duke pasur parasysh nivelin ende të lartë të borxhit afatshkurtër. Në këtë aspekt, përveç masave për reduktimin e peshës së titujve afatshkurtër, do të synohet dhe mbajtja nën kontroll e peshës së titujve me norma interesi të ndryshueshme, në linjë me hapësirat e tregut dhe preferencat e investitorëve.</w:t>
      </w:r>
      <w:r w:rsidR="00FA2519" w:rsidRPr="00EC6AB6">
        <w:rPr>
          <w:rFonts w:ascii="Garamond" w:hAnsi="Garamond"/>
          <w:sz w:val="24"/>
          <w:szCs w:val="24"/>
          <w:lang w:val="sq-AL"/>
        </w:rPr>
        <w:t xml:space="preserve"> </w:t>
      </w:r>
    </w:p>
    <w:p w14:paraId="4333B9BA" w14:textId="77777777" w:rsidR="008B3748" w:rsidRPr="00EC6AB6" w:rsidRDefault="008B3748" w:rsidP="008B3748">
      <w:pPr>
        <w:spacing w:after="0" w:line="240" w:lineRule="auto"/>
        <w:rPr>
          <w:rFonts w:ascii="Garamond" w:hAnsi="Garamond"/>
          <w:sz w:val="24"/>
          <w:szCs w:val="24"/>
          <w:highlight w:val="yellow"/>
          <w:lang w:val="sq-AL"/>
        </w:rPr>
      </w:pPr>
    </w:p>
    <w:p w14:paraId="4333B9BB" w14:textId="77777777" w:rsidR="001A7FBF" w:rsidRPr="00EC6AB6" w:rsidRDefault="001A7FBF" w:rsidP="008B3748">
      <w:pPr>
        <w:spacing w:after="0" w:line="240" w:lineRule="auto"/>
        <w:rPr>
          <w:rFonts w:ascii="Garamond" w:hAnsi="Garamond"/>
          <w:sz w:val="24"/>
          <w:szCs w:val="24"/>
          <w:highlight w:val="yellow"/>
          <w:lang w:val="sq-AL"/>
        </w:rPr>
      </w:pPr>
    </w:p>
    <w:p w14:paraId="4333B9BC" w14:textId="77777777" w:rsidR="001A7FBF" w:rsidRDefault="001A7FBF" w:rsidP="008B3748">
      <w:pPr>
        <w:spacing w:after="0" w:line="240" w:lineRule="auto"/>
        <w:rPr>
          <w:rFonts w:ascii="Garamond" w:hAnsi="Garamond"/>
          <w:sz w:val="24"/>
          <w:szCs w:val="24"/>
          <w:highlight w:val="yellow"/>
          <w:lang w:val="sq-AL"/>
        </w:rPr>
      </w:pPr>
    </w:p>
    <w:p w14:paraId="102CD5FB" w14:textId="77777777" w:rsidR="00F61DAC" w:rsidRPr="00EC6AB6" w:rsidRDefault="00F61DAC" w:rsidP="008B3748">
      <w:pPr>
        <w:spacing w:after="0" w:line="240" w:lineRule="auto"/>
        <w:rPr>
          <w:rFonts w:ascii="Garamond" w:hAnsi="Garamond"/>
          <w:sz w:val="24"/>
          <w:szCs w:val="24"/>
          <w:highlight w:val="yellow"/>
          <w:lang w:val="sq-AL"/>
        </w:rPr>
      </w:pPr>
    </w:p>
    <w:p w14:paraId="4333B9BD" w14:textId="48661B29" w:rsidR="008B3748" w:rsidRPr="00EC6AB6" w:rsidRDefault="008B3748" w:rsidP="001A7FBF">
      <w:pPr>
        <w:spacing w:after="0" w:line="240" w:lineRule="auto"/>
        <w:jc w:val="center"/>
        <w:rPr>
          <w:rFonts w:ascii="Garamond" w:hAnsi="Garamond"/>
          <w:b/>
          <w:i/>
          <w:sz w:val="20"/>
          <w:szCs w:val="20"/>
          <w:lang w:val="sq-AL"/>
        </w:rPr>
      </w:pPr>
      <w:r w:rsidRPr="00EC6AB6">
        <w:rPr>
          <w:rFonts w:ascii="Garamond" w:hAnsi="Garamond"/>
          <w:b/>
          <w:i/>
          <w:sz w:val="20"/>
          <w:szCs w:val="20"/>
          <w:lang w:val="sq-AL"/>
        </w:rPr>
        <w:t>Tabela 2.1.2(b): Treguesit indikativ</w:t>
      </w:r>
      <w:r w:rsidR="00F61DAC">
        <w:rPr>
          <w:rFonts w:ascii="Garamond" w:hAnsi="Garamond"/>
          <w:b/>
          <w:i/>
          <w:sz w:val="20"/>
          <w:szCs w:val="20"/>
          <w:lang w:val="sq-AL"/>
        </w:rPr>
        <w:t>ë</w:t>
      </w:r>
      <w:r w:rsidRPr="00EC6AB6">
        <w:rPr>
          <w:rFonts w:ascii="Garamond" w:hAnsi="Garamond"/>
          <w:b/>
          <w:i/>
          <w:sz w:val="20"/>
          <w:szCs w:val="20"/>
          <w:lang w:val="sq-AL"/>
        </w:rPr>
        <w:t xml:space="preserve"> afatmesëm të riskut të normave të interesit</w:t>
      </w:r>
    </w:p>
    <w:tbl>
      <w:tblPr>
        <w:tblW w:w="9374" w:type="dxa"/>
        <w:tblLook w:val="04A0" w:firstRow="1" w:lastRow="0" w:firstColumn="1" w:lastColumn="0" w:noHBand="0" w:noVBand="1"/>
      </w:tblPr>
      <w:tblGrid>
        <w:gridCol w:w="1663"/>
        <w:gridCol w:w="3781"/>
        <w:gridCol w:w="1965"/>
        <w:gridCol w:w="1965"/>
      </w:tblGrid>
      <w:tr w:rsidR="008B3748" w:rsidRPr="00EC6AB6" w14:paraId="4333B9C2" w14:textId="77777777" w:rsidTr="0043466D">
        <w:trPr>
          <w:trHeight w:val="390"/>
        </w:trPr>
        <w:tc>
          <w:tcPr>
            <w:tcW w:w="1663" w:type="dxa"/>
            <w:tcBorders>
              <w:top w:val="nil"/>
              <w:left w:val="nil"/>
              <w:bottom w:val="nil"/>
              <w:right w:val="single" w:sz="8" w:space="0" w:color="FFFFFF"/>
            </w:tcBorders>
            <w:shd w:val="clear" w:color="auto" w:fill="C00000"/>
            <w:vAlign w:val="center"/>
            <w:hideMark/>
          </w:tcPr>
          <w:p w14:paraId="4333B9BE" w14:textId="77777777" w:rsidR="008B3748" w:rsidRPr="00EC6AB6" w:rsidRDefault="008B3748" w:rsidP="0043466D">
            <w:pPr>
              <w:spacing w:after="0" w:line="240" w:lineRule="auto"/>
              <w:ind w:firstLine="0"/>
              <w:jc w:val="center"/>
              <w:rPr>
                <w:rFonts w:ascii="Garamond" w:hAnsi="Garamond"/>
                <w:sz w:val="20"/>
                <w:szCs w:val="20"/>
                <w:lang w:val="sq-AL"/>
              </w:rPr>
            </w:pPr>
            <w:r w:rsidRPr="00EC6AB6">
              <w:rPr>
                <w:rFonts w:ascii="Garamond" w:hAnsi="Garamond"/>
                <w:sz w:val="20"/>
                <w:szCs w:val="20"/>
                <w:lang w:val="sq-AL"/>
              </w:rPr>
              <w:t>Tipi i riskut</w:t>
            </w:r>
          </w:p>
        </w:tc>
        <w:tc>
          <w:tcPr>
            <w:tcW w:w="3781" w:type="dxa"/>
            <w:tcBorders>
              <w:top w:val="nil"/>
              <w:left w:val="nil"/>
              <w:bottom w:val="nil"/>
              <w:right w:val="single" w:sz="8" w:space="0" w:color="FFFFFF"/>
            </w:tcBorders>
            <w:shd w:val="clear" w:color="auto" w:fill="C00000"/>
            <w:vAlign w:val="center"/>
            <w:hideMark/>
          </w:tcPr>
          <w:p w14:paraId="4333B9BF" w14:textId="56EF8136" w:rsidR="008B3748" w:rsidRPr="00EC6AB6" w:rsidRDefault="008B3748" w:rsidP="0043466D">
            <w:pPr>
              <w:spacing w:after="0" w:line="240" w:lineRule="auto"/>
              <w:ind w:firstLine="0"/>
              <w:jc w:val="center"/>
              <w:rPr>
                <w:rFonts w:ascii="Garamond" w:hAnsi="Garamond"/>
                <w:sz w:val="20"/>
                <w:szCs w:val="20"/>
                <w:lang w:val="sq-AL"/>
              </w:rPr>
            </w:pPr>
            <w:r w:rsidRPr="00EC6AB6">
              <w:rPr>
                <w:rFonts w:ascii="Garamond" w:hAnsi="Garamond"/>
                <w:sz w:val="20"/>
                <w:szCs w:val="20"/>
                <w:lang w:val="sq-AL"/>
              </w:rPr>
              <w:t xml:space="preserve">Treguesi i </w:t>
            </w:r>
            <w:r w:rsidR="00232885" w:rsidRPr="00EC6AB6">
              <w:rPr>
                <w:rFonts w:ascii="Garamond" w:hAnsi="Garamond"/>
                <w:sz w:val="20"/>
                <w:szCs w:val="20"/>
                <w:lang w:val="sq-AL"/>
              </w:rPr>
              <w:t>riskut</w:t>
            </w:r>
          </w:p>
        </w:tc>
        <w:tc>
          <w:tcPr>
            <w:tcW w:w="1965" w:type="dxa"/>
            <w:tcBorders>
              <w:top w:val="nil"/>
              <w:left w:val="nil"/>
              <w:bottom w:val="nil"/>
              <w:right w:val="single" w:sz="6" w:space="0" w:color="FFFFFF" w:themeColor="background1"/>
            </w:tcBorders>
            <w:shd w:val="clear" w:color="auto" w:fill="C00000"/>
            <w:vAlign w:val="center"/>
            <w:hideMark/>
          </w:tcPr>
          <w:p w14:paraId="4333B9C0" w14:textId="46B3D6EC" w:rsidR="008B3748" w:rsidRPr="00EC6AB6" w:rsidRDefault="008B3748" w:rsidP="0043466D">
            <w:pPr>
              <w:spacing w:after="0" w:line="240" w:lineRule="auto"/>
              <w:ind w:firstLine="0"/>
              <w:jc w:val="center"/>
              <w:rPr>
                <w:rFonts w:ascii="Garamond" w:hAnsi="Garamond"/>
                <w:sz w:val="20"/>
                <w:szCs w:val="20"/>
                <w:lang w:val="sq-AL"/>
              </w:rPr>
            </w:pPr>
            <w:r w:rsidRPr="00EC6AB6">
              <w:rPr>
                <w:rFonts w:ascii="Garamond" w:hAnsi="Garamond"/>
                <w:sz w:val="20"/>
                <w:szCs w:val="20"/>
                <w:lang w:val="sq-AL"/>
              </w:rPr>
              <w:t>Treguesi</w:t>
            </w:r>
            <w:r w:rsidR="00FA2519" w:rsidRPr="00EC6AB6">
              <w:rPr>
                <w:rFonts w:ascii="Garamond" w:hAnsi="Garamond"/>
                <w:sz w:val="20"/>
                <w:szCs w:val="20"/>
                <w:lang w:val="sq-AL"/>
              </w:rPr>
              <w:t xml:space="preserve"> </w:t>
            </w:r>
            <w:r w:rsidRPr="00EC6AB6">
              <w:rPr>
                <w:rFonts w:ascii="Garamond" w:hAnsi="Garamond"/>
                <w:sz w:val="20"/>
                <w:szCs w:val="20"/>
                <w:lang w:val="sq-AL"/>
              </w:rPr>
              <w:t>2019</w:t>
            </w:r>
          </w:p>
        </w:tc>
        <w:tc>
          <w:tcPr>
            <w:tcW w:w="1965" w:type="dxa"/>
            <w:tcBorders>
              <w:top w:val="nil"/>
              <w:left w:val="single" w:sz="6" w:space="0" w:color="FFFFFF" w:themeColor="background1"/>
              <w:bottom w:val="nil"/>
              <w:right w:val="nil"/>
            </w:tcBorders>
            <w:shd w:val="clear" w:color="auto" w:fill="C00000"/>
            <w:vAlign w:val="center"/>
            <w:hideMark/>
          </w:tcPr>
          <w:p w14:paraId="70903105" w14:textId="77777777" w:rsidR="0043466D" w:rsidRPr="00EC6AB6" w:rsidRDefault="0043466D" w:rsidP="0043466D">
            <w:pPr>
              <w:spacing w:after="0" w:line="240" w:lineRule="auto"/>
              <w:ind w:firstLine="0"/>
              <w:jc w:val="center"/>
              <w:rPr>
                <w:rFonts w:ascii="Garamond" w:hAnsi="Garamond"/>
                <w:lang w:val="sq-AL"/>
              </w:rPr>
            </w:pPr>
            <w:r w:rsidRPr="00EC6AB6">
              <w:rPr>
                <w:rFonts w:ascii="Garamond" w:hAnsi="Garamond"/>
                <w:lang w:val="sq-AL"/>
              </w:rPr>
              <w:t xml:space="preserve">Objektivi </w:t>
            </w:r>
          </w:p>
          <w:p w14:paraId="4333B9C1" w14:textId="55DEC206" w:rsidR="008B3748" w:rsidRPr="00EC6AB6" w:rsidRDefault="0043466D" w:rsidP="0043466D">
            <w:pPr>
              <w:spacing w:after="0" w:line="240" w:lineRule="auto"/>
              <w:ind w:firstLine="0"/>
              <w:jc w:val="center"/>
              <w:rPr>
                <w:rFonts w:ascii="Garamond" w:hAnsi="Garamond"/>
                <w:sz w:val="20"/>
                <w:szCs w:val="20"/>
                <w:lang w:val="sq-AL"/>
              </w:rPr>
            </w:pPr>
            <w:r w:rsidRPr="00EC6AB6">
              <w:rPr>
                <w:rFonts w:ascii="Garamond" w:hAnsi="Garamond"/>
                <w:lang w:val="sq-AL"/>
              </w:rPr>
              <w:t>(</w:t>
            </w:r>
            <w:r w:rsidR="00232885" w:rsidRPr="00EC6AB6">
              <w:rPr>
                <w:rFonts w:ascii="Garamond" w:hAnsi="Garamond"/>
                <w:lang w:val="sq-AL"/>
              </w:rPr>
              <w:t xml:space="preserve">fundi </w:t>
            </w:r>
            <w:r w:rsidRPr="00EC6AB6">
              <w:rPr>
                <w:rFonts w:ascii="Garamond" w:hAnsi="Garamond"/>
                <w:lang w:val="sq-AL"/>
              </w:rPr>
              <w:t>i 2023-shit</w:t>
            </w:r>
          </w:p>
        </w:tc>
      </w:tr>
      <w:tr w:rsidR="008B3748" w:rsidRPr="00EC6AB6" w14:paraId="4333B9C7" w14:textId="77777777" w:rsidTr="008B3748">
        <w:trPr>
          <w:trHeight w:val="229"/>
        </w:trPr>
        <w:tc>
          <w:tcPr>
            <w:tcW w:w="1663" w:type="dxa"/>
            <w:vMerge w:val="restart"/>
            <w:tcBorders>
              <w:top w:val="nil"/>
              <w:left w:val="nil"/>
              <w:bottom w:val="single" w:sz="4" w:space="0" w:color="auto"/>
              <w:right w:val="nil"/>
            </w:tcBorders>
            <w:noWrap/>
            <w:vAlign w:val="center"/>
            <w:hideMark/>
          </w:tcPr>
          <w:p w14:paraId="4333B9C3" w14:textId="6A4B73C5" w:rsidR="008B374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 xml:space="preserve">Risku i </w:t>
            </w:r>
            <w:r w:rsidR="00F61DAC" w:rsidRPr="00EC6AB6">
              <w:rPr>
                <w:rFonts w:ascii="Garamond" w:hAnsi="Garamond"/>
                <w:sz w:val="20"/>
                <w:szCs w:val="20"/>
                <w:lang w:val="sq-AL"/>
              </w:rPr>
              <w:t>normave të interesit</w:t>
            </w:r>
          </w:p>
        </w:tc>
        <w:tc>
          <w:tcPr>
            <w:tcW w:w="3781" w:type="dxa"/>
            <w:noWrap/>
            <w:hideMark/>
          </w:tcPr>
          <w:p w14:paraId="4333B9C4" w14:textId="6BA53BD5" w:rsidR="008B374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KMR</w:t>
            </w:r>
            <w:r w:rsidR="00F61DAC">
              <w:rPr>
                <w:rFonts w:ascii="Garamond" w:hAnsi="Garamond"/>
                <w:sz w:val="20"/>
                <w:szCs w:val="20"/>
                <w:lang w:val="sq-AL"/>
              </w:rPr>
              <w:t>,</w:t>
            </w:r>
            <w:r w:rsidRPr="00EC6AB6">
              <w:rPr>
                <w:rFonts w:ascii="Garamond" w:hAnsi="Garamond"/>
                <w:sz w:val="20"/>
                <w:szCs w:val="20"/>
                <w:lang w:val="sq-AL"/>
              </w:rPr>
              <w:t xml:space="preserve"> borxhi i brendshëm</w:t>
            </w:r>
          </w:p>
        </w:tc>
        <w:tc>
          <w:tcPr>
            <w:tcW w:w="1965" w:type="dxa"/>
            <w:hideMark/>
          </w:tcPr>
          <w:p w14:paraId="4333B9C5"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2.1 vite</w:t>
            </w:r>
          </w:p>
        </w:tc>
        <w:tc>
          <w:tcPr>
            <w:tcW w:w="1965" w:type="dxa"/>
            <w:noWrap/>
            <w:hideMark/>
          </w:tcPr>
          <w:p w14:paraId="4333B9C6"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Min. 2.2 vite</w:t>
            </w:r>
          </w:p>
        </w:tc>
      </w:tr>
      <w:tr w:rsidR="008B3748" w:rsidRPr="00EC6AB6" w14:paraId="4333B9CC" w14:textId="77777777" w:rsidTr="008B3748">
        <w:trPr>
          <w:trHeight w:val="522"/>
        </w:trPr>
        <w:tc>
          <w:tcPr>
            <w:tcW w:w="0" w:type="auto"/>
            <w:vMerge/>
            <w:tcBorders>
              <w:top w:val="nil"/>
              <w:left w:val="nil"/>
              <w:bottom w:val="single" w:sz="4" w:space="0" w:color="auto"/>
              <w:right w:val="nil"/>
            </w:tcBorders>
            <w:vAlign w:val="center"/>
            <w:hideMark/>
          </w:tcPr>
          <w:p w14:paraId="4333B9C8" w14:textId="77777777" w:rsidR="008B3748" w:rsidRPr="00EC6AB6" w:rsidRDefault="008B3748" w:rsidP="001A7FBF">
            <w:pPr>
              <w:spacing w:after="0" w:line="240" w:lineRule="auto"/>
              <w:ind w:firstLine="0"/>
              <w:rPr>
                <w:rFonts w:ascii="Garamond" w:hAnsi="Garamond"/>
                <w:sz w:val="20"/>
                <w:szCs w:val="20"/>
                <w:lang w:val="sq-AL"/>
              </w:rPr>
            </w:pPr>
          </w:p>
        </w:tc>
        <w:tc>
          <w:tcPr>
            <w:tcW w:w="3781" w:type="dxa"/>
            <w:tcBorders>
              <w:top w:val="nil"/>
              <w:left w:val="nil"/>
              <w:bottom w:val="single" w:sz="4" w:space="0" w:color="auto"/>
              <w:right w:val="nil"/>
            </w:tcBorders>
            <w:noWrap/>
            <w:vAlign w:val="bottom"/>
            <w:hideMark/>
          </w:tcPr>
          <w:p w14:paraId="79DFA16B" w14:textId="77777777" w:rsidR="00FF541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Borxhi i brendshëm</w:t>
            </w:r>
            <w:r w:rsidR="00FA2519" w:rsidRPr="00EC6AB6">
              <w:rPr>
                <w:rFonts w:ascii="Garamond" w:hAnsi="Garamond"/>
                <w:sz w:val="20"/>
                <w:szCs w:val="20"/>
                <w:lang w:val="sq-AL"/>
              </w:rPr>
              <w:t xml:space="preserve"> </w:t>
            </w:r>
            <w:r w:rsidRPr="00EC6AB6">
              <w:rPr>
                <w:rFonts w:ascii="Garamond" w:hAnsi="Garamond"/>
                <w:sz w:val="20"/>
                <w:szCs w:val="20"/>
                <w:lang w:val="sq-AL"/>
              </w:rPr>
              <w:t xml:space="preserve">i rivlerësuar në 1 vit </w:t>
            </w:r>
          </w:p>
          <w:p w14:paraId="4333B9C9" w14:textId="13408E3E" w:rsidR="008B374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 të totalit)</w:t>
            </w:r>
          </w:p>
        </w:tc>
        <w:tc>
          <w:tcPr>
            <w:tcW w:w="1965" w:type="dxa"/>
            <w:tcBorders>
              <w:top w:val="nil"/>
              <w:left w:val="nil"/>
              <w:bottom w:val="single" w:sz="4" w:space="0" w:color="auto"/>
              <w:right w:val="nil"/>
            </w:tcBorders>
            <w:vAlign w:val="center"/>
            <w:hideMark/>
          </w:tcPr>
          <w:p w14:paraId="2E9DAA7B" w14:textId="77777777" w:rsidR="00FF5418" w:rsidRPr="00EC6AB6" w:rsidRDefault="00FF5418" w:rsidP="00F61DAC">
            <w:pPr>
              <w:spacing w:after="0" w:line="240" w:lineRule="auto"/>
              <w:ind w:firstLine="0"/>
              <w:jc w:val="right"/>
              <w:rPr>
                <w:rFonts w:ascii="Garamond" w:hAnsi="Garamond"/>
                <w:sz w:val="20"/>
                <w:szCs w:val="20"/>
                <w:lang w:val="sq-AL"/>
              </w:rPr>
            </w:pPr>
          </w:p>
          <w:p w14:paraId="4333B9CA"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50.9%</w:t>
            </w:r>
          </w:p>
        </w:tc>
        <w:tc>
          <w:tcPr>
            <w:tcW w:w="1965" w:type="dxa"/>
            <w:tcBorders>
              <w:top w:val="nil"/>
              <w:left w:val="nil"/>
              <w:bottom w:val="single" w:sz="4" w:space="0" w:color="auto"/>
              <w:right w:val="nil"/>
            </w:tcBorders>
            <w:noWrap/>
            <w:vAlign w:val="center"/>
            <w:hideMark/>
          </w:tcPr>
          <w:p w14:paraId="71A1EEDF" w14:textId="77777777" w:rsidR="00FF5418" w:rsidRPr="00EC6AB6" w:rsidRDefault="00FF5418" w:rsidP="00F61DAC">
            <w:pPr>
              <w:spacing w:after="0" w:line="240" w:lineRule="auto"/>
              <w:ind w:firstLine="0"/>
              <w:jc w:val="right"/>
              <w:rPr>
                <w:rFonts w:ascii="Garamond" w:hAnsi="Garamond"/>
                <w:sz w:val="20"/>
                <w:szCs w:val="20"/>
                <w:lang w:val="sq-AL"/>
              </w:rPr>
            </w:pPr>
          </w:p>
          <w:p w14:paraId="4333B9CB"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Maks. 48.0%</w:t>
            </w:r>
          </w:p>
        </w:tc>
      </w:tr>
    </w:tbl>
    <w:p w14:paraId="4333B9CD" w14:textId="77777777" w:rsidR="008B3748" w:rsidRPr="00EC6AB6" w:rsidRDefault="008B3748" w:rsidP="001A7FBF">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CE" w14:textId="77777777" w:rsidR="008B3748" w:rsidRPr="00EC6AB6" w:rsidRDefault="008B3748" w:rsidP="008B3748">
      <w:pPr>
        <w:spacing w:after="0" w:line="240" w:lineRule="auto"/>
        <w:rPr>
          <w:rFonts w:ascii="Garamond" w:hAnsi="Garamond"/>
          <w:sz w:val="24"/>
          <w:szCs w:val="24"/>
          <w:highlight w:val="yellow"/>
          <w:lang w:val="sq-AL"/>
        </w:rPr>
      </w:pPr>
    </w:p>
    <w:p w14:paraId="4333B9CF" w14:textId="1D4D1D24" w:rsidR="008B3748" w:rsidRPr="00F61DAC" w:rsidRDefault="00F61DAC" w:rsidP="008B3748">
      <w:pPr>
        <w:spacing w:after="0" w:line="240" w:lineRule="auto"/>
        <w:rPr>
          <w:rFonts w:ascii="Garamond" w:hAnsi="Garamond"/>
          <w:b/>
          <w:sz w:val="24"/>
          <w:szCs w:val="24"/>
          <w:lang w:val="sq-AL"/>
        </w:rPr>
      </w:pPr>
      <w:r w:rsidRPr="00F61DAC">
        <w:rPr>
          <w:rFonts w:ascii="Garamond" w:hAnsi="Garamond"/>
          <w:b/>
          <w:sz w:val="24"/>
          <w:szCs w:val="24"/>
          <w:lang w:val="sq-AL"/>
        </w:rPr>
        <w:t>Risku i kursit të këmbimit</w:t>
      </w:r>
    </w:p>
    <w:p w14:paraId="4333B9D0" w14:textId="37F2334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Do të synohet të mbahet nën kontroll</w:t>
      </w:r>
      <w:r w:rsidR="00F61DAC">
        <w:rPr>
          <w:rFonts w:ascii="Garamond" w:hAnsi="Garamond"/>
          <w:sz w:val="24"/>
          <w:szCs w:val="24"/>
          <w:lang w:val="sq-AL"/>
        </w:rPr>
        <w:t>,</w:t>
      </w:r>
      <w:r w:rsidRPr="00EC6AB6">
        <w:rPr>
          <w:rFonts w:ascii="Garamond" w:hAnsi="Garamond"/>
          <w:sz w:val="24"/>
          <w:szCs w:val="24"/>
          <w:lang w:val="sq-AL"/>
        </w:rPr>
        <w:t xml:space="preserve"> duke ndërmarrë aktivitete që kanë si objektiv: a) ruajtjen e raportit të stokut të borxhit shtetëror në valutë në raport me totalin e borxhit shtetëror; b) përqendrimin e huamarrjes së huaj në monedhën </w:t>
      </w:r>
      <w:r w:rsidR="00F61DAC" w:rsidRPr="00EC6AB6">
        <w:rPr>
          <w:rFonts w:ascii="Garamond" w:hAnsi="Garamond"/>
          <w:sz w:val="24"/>
          <w:szCs w:val="24"/>
          <w:lang w:val="sq-AL"/>
        </w:rPr>
        <w:t xml:space="preserve">euro </w:t>
      </w:r>
      <w:r w:rsidRPr="00EC6AB6">
        <w:rPr>
          <w:rFonts w:ascii="Garamond" w:hAnsi="Garamond"/>
          <w:sz w:val="24"/>
          <w:szCs w:val="24"/>
          <w:lang w:val="sq-AL"/>
        </w:rPr>
        <w:t>dhe në monedha të përbëra; c) rritjen e stokut të borxhit në valutë (në periudhën afatmesme) në linjë me rritjen e eksporteve dhe rezervës valutore; dhe d) vlerësimin e mundësisë për përdorimin e derivativëve financiarë për të kontrolluar këtë risk</w:t>
      </w:r>
      <w:r w:rsidR="00F61DAC">
        <w:rPr>
          <w:rFonts w:ascii="Garamond" w:hAnsi="Garamond"/>
          <w:sz w:val="24"/>
          <w:szCs w:val="24"/>
          <w:lang w:val="sq-AL"/>
        </w:rPr>
        <w:t>,</w:t>
      </w:r>
      <w:r w:rsidRPr="00EC6AB6">
        <w:rPr>
          <w:rFonts w:ascii="Garamond" w:hAnsi="Garamond"/>
          <w:sz w:val="24"/>
          <w:szCs w:val="24"/>
          <w:lang w:val="sq-AL"/>
        </w:rPr>
        <w:t xml:space="preserve"> në rast se do të jetë e nevojshme.</w:t>
      </w:r>
    </w:p>
    <w:p w14:paraId="4333B9D1" w14:textId="77777777" w:rsidR="008B3748" w:rsidRPr="00EC6AB6" w:rsidRDefault="008B3748" w:rsidP="008B3748">
      <w:pPr>
        <w:spacing w:after="0" w:line="240" w:lineRule="auto"/>
        <w:rPr>
          <w:rFonts w:ascii="Garamond" w:hAnsi="Garamond"/>
          <w:sz w:val="24"/>
          <w:szCs w:val="24"/>
          <w:highlight w:val="yellow"/>
          <w:lang w:val="sq-AL"/>
        </w:rPr>
      </w:pPr>
    </w:p>
    <w:p w14:paraId="4333B9D2" w14:textId="365F43FE" w:rsidR="008B3748" w:rsidRPr="00EC6AB6" w:rsidRDefault="008B3748" w:rsidP="001A7FBF">
      <w:pPr>
        <w:spacing w:after="0" w:line="240" w:lineRule="auto"/>
        <w:jc w:val="center"/>
        <w:rPr>
          <w:rFonts w:ascii="Garamond" w:hAnsi="Garamond"/>
          <w:b/>
          <w:i/>
          <w:sz w:val="20"/>
          <w:szCs w:val="20"/>
          <w:lang w:val="sq-AL"/>
        </w:rPr>
      </w:pPr>
      <w:r w:rsidRPr="00EC6AB6">
        <w:rPr>
          <w:rFonts w:ascii="Garamond" w:hAnsi="Garamond"/>
          <w:b/>
          <w:i/>
          <w:sz w:val="20"/>
          <w:szCs w:val="20"/>
          <w:lang w:val="sq-AL"/>
        </w:rPr>
        <w:t>Tabela 2.1.2 (c): Treguesit indikativ</w:t>
      </w:r>
      <w:r w:rsidR="00F61DAC">
        <w:rPr>
          <w:rFonts w:ascii="Garamond" w:hAnsi="Garamond"/>
          <w:b/>
          <w:i/>
          <w:sz w:val="20"/>
          <w:szCs w:val="20"/>
          <w:lang w:val="sq-AL"/>
        </w:rPr>
        <w:t>ë</w:t>
      </w:r>
      <w:r w:rsidRPr="00EC6AB6">
        <w:rPr>
          <w:rFonts w:ascii="Garamond" w:hAnsi="Garamond"/>
          <w:b/>
          <w:i/>
          <w:sz w:val="20"/>
          <w:szCs w:val="20"/>
          <w:lang w:val="sq-AL"/>
        </w:rPr>
        <w:t xml:space="preserve"> afatmesëm të riskut të kursit të këmbimit</w:t>
      </w:r>
    </w:p>
    <w:tbl>
      <w:tblPr>
        <w:tblW w:w="9413" w:type="dxa"/>
        <w:tblLook w:val="04A0" w:firstRow="1" w:lastRow="0" w:firstColumn="1" w:lastColumn="0" w:noHBand="0" w:noVBand="1"/>
      </w:tblPr>
      <w:tblGrid>
        <w:gridCol w:w="1921"/>
        <w:gridCol w:w="3544"/>
        <w:gridCol w:w="1974"/>
        <w:gridCol w:w="1974"/>
      </w:tblGrid>
      <w:tr w:rsidR="008B3748" w:rsidRPr="00EC6AB6" w14:paraId="4333B9D7" w14:textId="77777777" w:rsidTr="00FF5418">
        <w:trPr>
          <w:trHeight w:val="598"/>
        </w:trPr>
        <w:tc>
          <w:tcPr>
            <w:tcW w:w="1921" w:type="dxa"/>
            <w:tcBorders>
              <w:top w:val="nil"/>
              <w:left w:val="nil"/>
              <w:bottom w:val="nil"/>
              <w:right w:val="single" w:sz="8" w:space="0" w:color="FFFFFF"/>
            </w:tcBorders>
            <w:shd w:val="clear" w:color="auto" w:fill="C00000"/>
            <w:vAlign w:val="center"/>
            <w:hideMark/>
          </w:tcPr>
          <w:p w14:paraId="4333B9D3" w14:textId="77777777" w:rsidR="008B3748" w:rsidRPr="00EC6AB6" w:rsidRDefault="008B3748" w:rsidP="00FF5418">
            <w:pPr>
              <w:spacing w:after="0" w:line="240" w:lineRule="auto"/>
              <w:ind w:firstLine="0"/>
              <w:jc w:val="center"/>
              <w:rPr>
                <w:rFonts w:ascii="Garamond" w:hAnsi="Garamond"/>
                <w:sz w:val="20"/>
                <w:szCs w:val="20"/>
                <w:lang w:val="sq-AL"/>
              </w:rPr>
            </w:pPr>
            <w:r w:rsidRPr="00EC6AB6">
              <w:rPr>
                <w:rFonts w:ascii="Garamond" w:hAnsi="Garamond"/>
                <w:sz w:val="20"/>
                <w:szCs w:val="20"/>
                <w:lang w:val="sq-AL"/>
              </w:rPr>
              <w:t>Tipi i riskut</w:t>
            </w:r>
          </w:p>
        </w:tc>
        <w:tc>
          <w:tcPr>
            <w:tcW w:w="3544" w:type="dxa"/>
            <w:tcBorders>
              <w:top w:val="nil"/>
              <w:left w:val="nil"/>
              <w:bottom w:val="nil"/>
              <w:right w:val="single" w:sz="8" w:space="0" w:color="FFFFFF"/>
            </w:tcBorders>
            <w:shd w:val="clear" w:color="auto" w:fill="C00000"/>
            <w:vAlign w:val="center"/>
            <w:hideMark/>
          </w:tcPr>
          <w:p w14:paraId="4333B9D4" w14:textId="1C0DAAB3" w:rsidR="008B3748" w:rsidRPr="00EC6AB6" w:rsidRDefault="008B3748" w:rsidP="00FF5418">
            <w:pPr>
              <w:spacing w:after="0" w:line="240" w:lineRule="auto"/>
              <w:ind w:firstLine="0"/>
              <w:jc w:val="center"/>
              <w:rPr>
                <w:rFonts w:ascii="Garamond" w:hAnsi="Garamond"/>
                <w:sz w:val="20"/>
                <w:szCs w:val="20"/>
                <w:lang w:val="sq-AL"/>
              </w:rPr>
            </w:pPr>
            <w:r w:rsidRPr="00EC6AB6">
              <w:rPr>
                <w:rFonts w:ascii="Garamond" w:hAnsi="Garamond"/>
                <w:sz w:val="20"/>
                <w:szCs w:val="20"/>
                <w:lang w:val="sq-AL"/>
              </w:rPr>
              <w:t xml:space="preserve">Treguesi i </w:t>
            </w:r>
            <w:r w:rsidR="00FF5418" w:rsidRPr="00EC6AB6">
              <w:rPr>
                <w:rFonts w:ascii="Garamond" w:hAnsi="Garamond"/>
                <w:sz w:val="20"/>
                <w:szCs w:val="20"/>
                <w:lang w:val="sq-AL"/>
              </w:rPr>
              <w:t>riskut</w:t>
            </w:r>
          </w:p>
        </w:tc>
        <w:tc>
          <w:tcPr>
            <w:tcW w:w="1974" w:type="dxa"/>
            <w:tcBorders>
              <w:top w:val="nil"/>
              <w:left w:val="nil"/>
              <w:bottom w:val="nil"/>
              <w:right w:val="single" w:sz="6" w:space="0" w:color="FFFFFF" w:themeColor="background1"/>
            </w:tcBorders>
            <w:shd w:val="clear" w:color="auto" w:fill="C00000"/>
            <w:vAlign w:val="center"/>
            <w:hideMark/>
          </w:tcPr>
          <w:p w14:paraId="4333B9D5" w14:textId="190DD0D6" w:rsidR="008B3748" w:rsidRPr="00EC6AB6" w:rsidRDefault="008B3748" w:rsidP="00FF5418">
            <w:pPr>
              <w:spacing w:after="0" w:line="240" w:lineRule="auto"/>
              <w:ind w:firstLine="0"/>
              <w:jc w:val="center"/>
              <w:rPr>
                <w:rFonts w:ascii="Garamond" w:hAnsi="Garamond"/>
                <w:sz w:val="20"/>
                <w:szCs w:val="20"/>
                <w:lang w:val="sq-AL"/>
              </w:rPr>
            </w:pPr>
            <w:r w:rsidRPr="00EC6AB6">
              <w:rPr>
                <w:rFonts w:ascii="Garamond" w:hAnsi="Garamond"/>
                <w:sz w:val="20"/>
                <w:szCs w:val="20"/>
                <w:lang w:val="sq-AL"/>
              </w:rPr>
              <w:t>Treguesi</w:t>
            </w:r>
            <w:r w:rsidR="00FA2519" w:rsidRPr="00EC6AB6">
              <w:rPr>
                <w:rFonts w:ascii="Garamond" w:hAnsi="Garamond"/>
                <w:sz w:val="20"/>
                <w:szCs w:val="20"/>
                <w:lang w:val="sq-AL"/>
              </w:rPr>
              <w:t xml:space="preserve"> </w:t>
            </w:r>
            <w:r w:rsidRPr="00EC6AB6">
              <w:rPr>
                <w:rFonts w:ascii="Garamond" w:hAnsi="Garamond"/>
                <w:sz w:val="20"/>
                <w:szCs w:val="20"/>
                <w:lang w:val="sq-AL"/>
              </w:rPr>
              <w:t>2019</w:t>
            </w:r>
          </w:p>
        </w:tc>
        <w:tc>
          <w:tcPr>
            <w:tcW w:w="1974" w:type="dxa"/>
            <w:tcBorders>
              <w:top w:val="nil"/>
              <w:left w:val="single" w:sz="6" w:space="0" w:color="FFFFFF" w:themeColor="background1"/>
              <w:bottom w:val="nil"/>
              <w:right w:val="nil"/>
            </w:tcBorders>
            <w:shd w:val="clear" w:color="auto" w:fill="C00000"/>
            <w:vAlign w:val="center"/>
            <w:hideMark/>
          </w:tcPr>
          <w:p w14:paraId="4333B9D6" w14:textId="3249259D" w:rsidR="008B3748" w:rsidRPr="00EC6AB6" w:rsidRDefault="008B3748" w:rsidP="00FF5418">
            <w:pPr>
              <w:spacing w:after="0" w:line="240" w:lineRule="auto"/>
              <w:ind w:firstLine="0"/>
              <w:jc w:val="center"/>
              <w:rPr>
                <w:rFonts w:ascii="Garamond" w:hAnsi="Garamond"/>
                <w:sz w:val="20"/>
                <w:szCs w:val="20"/>
                <w:lang w:val="sq-AL"/>
              </w:rPr>
            </w:pPr>
            <w:r w:rsidRPr="00EC6AB6">
              <w:rPr>
                <w:rFonts w:ascii="Garamond" w:hAnsi="Garamond"/>
                <w:sz w:val="20"/>
                <w:szCs w:val="20"/>
                <w:lang w:val="sq-AL"/>
              </w:rPr>
              <w:t>Objektivi</w:t>
            </w:r>
            <w:r w:rsidR="00FA2519" w:rsidRPr="00EC6AB6">
              <w:rPr>
                <w:rFonts w:ascii="Garamond" w:hAnsi="Garamond"/>
                <w:sz w:val="20"/>
                <w:szCs w:val="20"/>
                <w:lang w:val="sq-AL"/>
              </w:rPr>
              <w:t xml:space="preserve"> </w:t>
            </w:r>
            <w:r w:rsidRPr="00EC6AB6">
              <w:rPr>
                <w:rFonts w:ascii="Garamond" w:hAnsi="Garamond"/>
                <w:sz w:val="20"/>
                <w:szCs w:val="20"/>
                <w:lang w:val="sq-AL"/>
              </w:rPr>
              <w:t>(Fund 2023)</w:t>
            </w:r>
          </w:p>
        </w:tc>
      </w:tr>
      <w:tr w:rsidR="008B3748" w:rsidRPr="00EC6AB6" w14:paraId="4333B9DC" w14:textId="77777777" w:rsidTr="008B3748">
        <w:trPr>
          <w:trHeight w:val="352"/>
        </w:trPr>
        <w:tc>
          <w:tcPr>
            <w:tcW w:w="1921" w:type="dxa"/>
            <w:tcBorders>
              <w:top w:val="nil"/>
              <w:left w:val="nil"/>
              <w:bottom w:val="single" w:sz="4" w:space="0" w:color="auto"/>
              <w:right w:val="nil"/>
            </w:tcBorders>
            <w:vAlign w:val="center"/>
            <w:hideMark/>
          </w:tcPr>
          <w:p w14:paraId="4333B9D8" w14:textId="3B02C427" w:rsidR="008B374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 xml:space="preserve">Risku i </w:t>
            </w:r>
            <w:r w:rsidR="00F61DAC" w:rsidRPr="00EC6AB6">
              <w:rPr>
                <w:rFonts w:ascii="Garamond" w:hAnsi="Garamond"/>
                <w:sz w:val="20"/>
                <w:szCs w:val="20"/>
                <w:lang w:val="sq-AL"/>
              </w:rPr>
              <w:t>kursit të këmbimit</w:t>
            </w:r>
          </w:p>
        </w:tc>
        <w:tc>
          <w:tcPr>
            <w:tcW w:w="3544" w:type="dxa"/>
            <w:tcBorders>
              <w:top w:val="nil"/>
              <w:left w:val="nil"/>
              <w:bottom w:val="single" w:sz="4" w:space="0" w:color="auto"/>
              <w:right w:val="nil"/>
            </w:tcBorders>
            <w:noWrap/>
            <w:vAlign w:val="bottom"/>
            <w:hideMark/>
          </w:tcPr>
          <w:p w14:paraId="4333B9D9" w14:textId="3B34D014" w:rsidR="008B3748" w:rsidRPr="00EC6AB6" w:rsidRDefault="008B3748" w:rsidP="001A7FBF">
            <w:pPr>
              <w:spacing w:after="0" w:line="240" w:lineRule="auto"/>
              <w:ind w:firstLine="0"/>
              <w:rPr>
                <w:rFonts w:ascii="Garamond" w:hAnsi="Garamond"/>
                <w:sz w:val="20"/>
                <w:szCs w:val="20"/>
                <w:lang w:val="sq-AL"/>
              </w:rPr>
            </w:pPr>
            <w:r w:rsidRPr="00EC6AB6">
              <w:rPr>
                <w:rFonts w:ascii="Garamond" w:hAnsi="Garamond"/>
                <w:sz w:val="20"/>
                <w:szCs w:val="20"/>
                <w:lang w:val="sq-AL"/>
              </w:rPr>
              <w:t>Borxhi në monedhë të huaj</w:t>
            </w:r>
            <w:r w:rsidR="00FA2519" w:rsidRPr="00EC6AB6">
              <w:rPr>
                <w:rFonts w:ascii="Garamond" w:hAnsi="Garamond"/>
                <w:sz w:val="20"/>
                <w:szCs w:val="20"/>
                <w:lang w:val="sq-AL"/>
              </w:rPr>
              <w:t xml:space="preserve"> </w:t>
            </w:r>
            <w:r w:rsidRPr="00EC6AB6">
              <w:rPr>
                <w:rFonts w:ascii="Garamond" w:hAnsi="Garamond"/>
                <w:sz w:val="20"/>
                <w:szCs w:val="20"/>
                <w:lang w:val="sq-AL"/>
              </w:rPr>
              <w:t>(% të totalit)</w:t>
            </w:r>
          </w:p>
        </w:tc>
        <w:tc>
          <w:tcPr>
            <w:tcW w:w="1974" w:type="dxa"/>
            <w:tcBorders>
              <w:top w:val="nil"/>
              <w:left w:val="nil"/>
              <w:bottom w:val="single" w:sz="4" w:space="0" w:color="auto"/>
              <w:right w:val="nil"/>
            </w:tcBorders>
            <w:vAlign w:val="center"/>
            <w:hideMark/>
          </w:tcPr>
          <w:p w14:paraId="535A64AD" w14:textId="77777777" w:rsidR="00FF5418" w:rsidRPr="00EC6AB6" w:rsidRDefault="00FF5418" w:rsidP="00F61DAC">
            <w:pPr>
              <w:spacing w:after="0" w:line="240" w:lineRule="auto"/>
              <w:ind w:firstLine="0"/>
              <w:jc w:val="right"/>
              <w:rPr>
                <w:rFonts w:ascii="Garamond" w:hAnsi="Garamond"/>
                <w:sz w:val="20"/>
                <w:szCs w:val="20"/>
                <w:lang w:val="sq-AL"/>
              </w:rPr>
            </w:pPr>
          </w:p>
          <w:p w14:paraId="4333B9DA"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45.6%</w:t>
            </w:r>
          </w:p>
        </w:tc>
        <w:tc>
          <w:tcPr>
            <w:tcW w:w="1974" w:type="dxa"/>
            <w:tcBorders>
              <w:top w:val="nil"/>
              <w:left w:val="nil"/>
              <w:bottom w:val="single" w:sz="4" w:space="0" w:color="auto"/>
              <w:right w:val="nil"/>
            </w:tcBorders>
            <w:noWrap/>
            <w:vAlign w:val="center"/>
            <w:hideMark/>
          </w:tcPr>
          <w:p w14:paraId="4DD51DE8" w14:textId="77777777" w:rsidR="00FF5418" w:rsidRPr="00EC6AB6" w:rsidRDefault="00FF5418" w:rsidP="00F61DAC">
            <w:pPr>
              <w:spacing w:after="0" w:line="240" w:lineRule="auto"/>
              <w:ind w:firstLine="0"/>
              <w:jc w:val="right"/>
              <w:rPr>
                <w:rFonts w:ascii="Garamond" w:hAnsi="Garamond"/>
                <w:sz w:val="20"/>
                <w:szCs w:val="20"/>
                <w:lang w:val="sq-AL"/>
              </w:rPr>
            </w:pPr>
          </w:p>
          <w:p w14:paraId="4333B9DB" w14:textId="77777777" w:rsidR="008B3748" w:rsidRPr="00EC6AB6" w:rsidRDefault="008B3748" w:rsidP="00F61DAC">
            <w:pPr>
              <w:spacing w:after="0" w:line="240" w:lineRule="auto"/>
              <w:ind w:firstLine="0"/>
              <w:jc w:val="right"/>
              <w:rPr>
                <w:rFonts w:ascii="Garamond" w:hAnsi="Garamond"/>
                <w:sz w:val="20"/>
                <w:szCs w:val="20"/>
                <w:lang w:val="sq-AL"/>
              </w:rPr>
            </w:pPr>
            <w:r w:rsidRPr="00EC6AB6">
              <w:rPr>
                <w:rFonts w:ascii="Garamond" w:hAnsi="Garamond"/>
                <w:sz w:val="20"/>
                <w:szCs w:val="20"/>
                <w:lang w:val="sq-AL"/>
              </w:rPr>
              <w:t>Maks. 55.0%</w:t>
            </w:r>
          </w:p>
        </w:tc>
      </w:tr>
    </w:tbl>
    <w:p w14:paraId="4333B9DD" w14:textId="77777777" w:rsidR="008B3748" w:rsidRPr="00EC6AB6" w:rsidRDefault="008B3748" w:rsidP="001A7FBF">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9DE" w14:textId="77777777" w:rsidR="008B3748" w:rsidRPr="00F61DAC" w:rsidRDefault="008B3748" w:rsidP="008B3748">
      <w:pPr>
        <w:spacing w:after="0" w:line="240" w:lineRule="auto"/>
        <w:rPr>
          <w:rFonts w:ascii="Garamond" w:hAnsi="Garamond"/>
          <w:b/>
          <w:sz w:val="24"/>
          <w:szCs w:val="24"/>
          <w:highlight w:val="yellow"/>
          <w:lang w:val="sq-AL"/>
        </w:rPr>
      </w:pPr>
    </w:p>
    <w:p w14:paraId="4333B9DF" w14:textId="5306EDB1" w:rsidR="008B3748" w:rsidRPr="00F61DAC" w:rsidRDefault="00F61DAC" w:rsidP="008B3748">
      <w:pPr>
        <w:spacing w:after="0" w:line="240" w:lineRule="auto"/>
        <w:rPr>
          <w:rFonts w:ascii="Garamond" w:hAnsi="Garamond"/>
          <w:b/>
          <w:sz w:val="24"/>
          <w:szCs w:val="24"/>
          <w:lang w:val="sq-AL"/>
        </w:rPr>
      </w:pPr>
      <w:r w:rsidRPr="00F61DAC">
        <w:rPr>
          <w:rFonts w:ascii="Garamond" w:hAnsi="Garamond"/>
          <w:b/>
          <w:sz w:val="24"/>
          <w:szCs w:val="24"/>
          <w:lang w:val="sq-AL"/>
        </w:rPr>
        <w:t>Risku i likuiditetit</w:t>
      </w:r>
    </w:p>
    <w:p w14:paraId="4333B9E0" w14:textId="46B22F2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Përveç aktiviteteve</w:t>
      </w:r>
      <w:r w:rsidR="00F61DAC">
        <w:rPr>
          <w:rFonts w:ascii="Garamond" w:hAnsi="Garamond"/>
          <w:sz w:val="24"/>
          <w:szCs w:val="24"/>
          <w:lang w:val="sq-AL"/>
        </w:rPr>
        <w:t>,</w:t>
      </w:r>
      <w:r w:rsidRPr="00EC6AB6">
        <w:rPr>
          <w:rFonts w:ascii="Garamond" w:hAnsi="Garamond"/>
          <w:sz w:val="24"/>
          <w:szCs w:val="24"/>
          <w:lang w:val="sq-AL"/>
        </w:rPr>
        <w:t xml:space="preserve"> në kuadër të reduktimit të riskut të rifinancimit dhe atij të normave të interesit që kanë ndikim mbi riskun e likuiditetit, do të ndërmerren hapa të cil</w:t>
      </w:r>
      <w:r w:rsidR="00F61DAC">
        <w:rPr>
          <w:rFonts w:ascii="Garamond" w:hAnsi="Garamond"/>
          <w:sz w:val="24"/>
          <w:szCs w:val="24"/>
          <w:lang w:val="sq-AL"/>
        </w:rPr>
        <w:t>ë</w:t>
      </w:r>
      <w:r w:rsidRPr="00EC6AB6">
        <w:rPr>
          <w:rFonts w:ascii="Garamond" w:hAnsi="Garamond"/>
          <w:sz w:val="24"/>
          <w:szCs w:val="24"/>
          <w:lang w:val="sq-AL"/>
        </w:rPr>
        <w:t>t do të synojnë: a) një bashkëpunim më aktiv ndërmjet strukturës përgjegjëse për menaxhimin e borxhit dhe asaj për menaxhimin dhe parashikimin e të ardhurave në buxhet</w:t>
      </w:r>
      <w:r w:rsidR="00F61DAC">
        <w:rPr>
          <w:rFonts w:ascii="Garamond" w:hAnsi="Garamond"/>
          <w:sz w:val="24"/>
          <w:szCs w:val="24"/>
          <w:lang w:val="sq-AL"/>
        </w:rPr>
        <w:t>,</w:t>
      </w:r>
      <w:r w:rsidRPr="00EC6AB6">
        <w:rPr>
          <w:rFonts w:ascii="Garamond" w:hAnsi="Garamond"/>
          <w:sz w:val="24"/>
          <w:szCs w:val="24"/>
          <w:lang w:val="sq-AL"/>
        </w:rPr>
        <w:t xml:space="preserve"> me qëllim përmir</w:t>
      </w:r>
      <w:r w:rsidR="00FF5418" w:rsidRPr="00EC6AB6">
        <w:rPr>
          <w:rFonts w:ascii="Garamond" w:hAnsi="Garamond"/>
          <w:sz w:val="24"/>
          <w:szCs w:val="24"/>
          <w:lang w:val="sq-AL"/>
        </w:rPr>
        <w:t xml:space="preserve">ësimin e menaxhimit të </w:t>
      </w:r>
      <w:r w:rsidRPr="00EC6AB6">
        <w:rPr>
          <w:rFonts w:ascii="Garamond" w:hAnsi="Garamond"/>
          <w:i/>
          <w:sz w:val="24"/>
          <w:szCs w:val="24"/>
          <w:lang w:val="sq-AL"/>
        </w:rPr>
        <w:t>cash</w:t>
      </w:r>
      <w:r w:rsidR="00F61DAC" w:rsidRPr="00F61DAC">
        <w:rPr>
          <w:rFonts w:ascii="Garamond" w:hAnsi="Garamond"/>
          <w:sz w:val="24"/>
          <w:szCs w:val="24"/>
          <w:lang w:val="sq-AL"/>
        </w:rPr>
        <w:t>-it</w:t>
      </w:r>
      <w:r w:rsidRPr="00F61DAC">
        <w:rPr>
          <w:rFonts w:ascii="Garamond" w:hAnsi="Garamond"/>
          <w:sz w:val="24"/>
          <w:szCs w:val="24"/>
          <w:lang w:val="sq-AL"/>
        </w:rPr>
        <w:t>;</w:t>
      </w:r>
      <w:r w:rsidRPr="00EC6AB6">
        <w:rPr>
          <w:rFonts w:ascii="Garamond" w:hAnsi="Garamond"/>
          <w:sz w:val="24"/>
          <w:szCs w:val="24"/>
          <w:lang w:val="sq-AL"/>
        </w:rPr>
        <w:t xml:space="preserve"> b) rritjen e kontributit në drejtim të përmirësimit të menaxhimit të aktiveve dhe </w:t>
      </w:r>
      <w:r w:rsidR="00F61DAC">
        <w:rPr>
          <w:rFonts w:ascii="Garamond" w:hAnsi="Garamond"/>
          <w:sz w:val="24"/>
          <w:szCs w:val="24"/>
          <w:lang w:val="sq-AL"/>
        </w:rPr>
        <w:t xml:space="preserve">të </w:t>
      </w:r>
      <w:r w:rsidRPr="00EC6AB6">
        <w:rPr>
          <w:rFonts w:ascii="Garamond" w:hAnsi="Garamond"/>
          <w:sz w:val="24"/>
          <w:szCs w:val="24"/>
          <w:lang w:val="sq-AL"/>
        </w:rPr>
        <w:t>pasiveve.</w:t>
      </w:r>
    </w:p>
    <w:p w14:paraId="4333B9E1" w14:textId="7165279C" w:rsidR="008B3748" w:rsidRPr="00F61DAC" w:rsidRDefault="00F61DAC" w:rsidP="008B3748">
      <w:pPr>
        <w:spacing w:after="0" w:line="240" w:lineRule="auto"/>
        <w:rPr>
          <w:rFonts w:ascii="Garamond" w:hAnsi="Garamond"/>
          <w:b/>
          <w:sz w:val="24"/>
          <w:szCs w:val="24"/>
          <w:lang w:val="sq-AL"/>
        </w:rPr>
      </w:pPr>
      <w:r w:rsidRPr="00F61DAC">
        <w:rPr>
          <w:rFonts w:ascii="Garamond" w:hAnsi="Garamond"/>
          <w:b/>
          <w:sz w:val="24"/>
          <w:szCs w:val="24"/>
          <w:lang w:val="sq-AL"/>
        </w:rPr>
        <w:t>Risku operacional</w:t>
      </w:r>
    </w:p>
    <w:p w14:paraId="4333B9E2" w14:textId="75CC0C1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Reduktimi i riskut operacional lidhet me forcimin e njësisë menaxhuese të borxhit publik që të vazhdojë përpjekjet</w:t>
      </w:r>
      <w:r w:rsidR="002769D0">
        <w:rPr>
          <w:rFonts w:ascii="Garamond" w:hAnsi="Garamond"/>
          <w:sz w:val="24"/>
          <w:szCs w:val="24"/>
          <w:lang w:val="sq-AL"/>
        </w:rPr>
        <w:t>,</w:t>
      </w:r>
      <w:r w:rsidRPr="00EC6AB6">
        <w:rPr>
          <w:rFonts w:ascii="Garamond" w:hAnsi="Garamond"/>
          <w:sz w:val="24"/>
          <w:szCs w:val="24"/>
          <w:lang w:val="sq-AL"/>
        </w:rPr>
        <w:t xml:space="preserve"> në drejtim të: a) mirëpërcaktimit të funksioneve në njësinë e menaxhimit të borxhit; b) standardizimit dhe formalizimit të procedurave në aktivitetet e menaxhimit të borxhit; dhe c) shtimit të burimeve njerëzore</w:t>
      </w:r>
      <w:r w:rsidR="002769D0">
        <w:rPr>
          <w:rFonts w:ascii="Garamond" w:hAnsi="Garamond"/>
          <w:sz w:val="24"/>
          <w:szCs w:val="24"/>
          <w:lang w:val="sq-AL"/>
        </w:rPr>
        <w:t>,</w:t>
      </w:r>
      <w:r w:rsidRPr="00EC6AB6">
        <w:rPr>
          <w:rFonts w:ascii="Garamond" w:hAnsi="Garamond"/>
          <w:sz w:val="24"/>
          <w:szCs w:val="24"/>
          <w:lang w:val="sq-AL"/>
        </w:rPr>
        <w:t xml:space="preserve"> në përputhje me strukturën e miratuar dhe rritjen e kapaciteteve menaxhuese. </w:t>
      </w:r>
    </w:p>
    <w:p w14:paraId="4333B9E3" w14:textId="77777777" w:rsidR="008B3748" w:rsidRPr="00EC6AB6" w:rsidRDefault="001A7FBF" w:rsidP="008B3748">
      <w:pPr>
        <w:spacing w:after="0" w:line="240" w:lineRule="auto"/>
        <w:rPr>
          <w:rFonts w:ascii="Garamond" w:hAnsi="Garamond"/>
          <w:sz w:val="24"/>
          <w:szCs w:val="24"/>
          <w:lang w:val="sq-AL"/>
        </w:rPr>
      </w:pPr>
      <w:bookmarkStart w:id="92" w:name="_Toc60129472"/>
      <w:bookmarkStart w:id="93" w:name="_Toc491954327"/>
      <w:bookmarkStart w:id="94" w:name="_Toc491861014"/>
      <w:r w:rsidRPr="00EC6AB6">
        <w:rPr>
          <w:rFonts w:ascii="Garamond" w:hAnsi="Garamond"/>
          <w:sz w:val="24"/>
          <w:szCs w:val="24"/>
          <w:lang w:val="sq-AL"/>
        </w:rPr>
        <w:t xml:space="preserve">2.2 </w:t>
      </w:r>
      <w:r w:rsidR="008B3748" w:rsidRPr="00EC6AB6">
        <w:rPr>
          <w:rFonts w:ascii="Garamond" w:hAnsi="Garamond"/>
          <w:sz w:val="24"/>
          <w:szCs w:val="24"/>
          <w:lang w:val="sq-AL"/>
        </w:rPr>
        <w:t>Zhvillimi i tregut të titujve shtetërorë</w:t>
      </w:r>
      <w:bookmarkEnd w:id="92"/>
      <w:bookmarkEnd w:id="93"/>
      <w:bookmarkEnd w:id="94"/>
    </w:p>
    <w:p w14:paraId="4333B9E4" w14:textId="353DEA1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Zhvillimi i tregut të titujve shtetërorë do të synohet të realizohet nëpërmjet aktiviteteve të cilat do të kenë si objektiv: a) rritjen e likuiditetit; b) rritjen e efi</w:t>
      </w:r>
      <w:r w:rsidR="00FF5418" w:rsidRPr="00EC6AB6">
        <w:rPr>
          <w:rFonts w:ascii="Garamond" w:hAnsi="Garamond"/>
          <w:sz w:val="24"/>
          <w:szCs w:val="24"/>
          <w:lang w:val="sq-AL"/>
        </w:rPr>
        <w:t>ci</w:t>
      </w:r>
      <w:r w:rsidRPr="00EC6AB6">
        <w:rPr>
          <w:rFonts w:ascii="Garamond" w:hAnsi="Garamond"/>
          <w:sz w:val="24"/>
          <w:szCs w:val="24"/>
          <w:lang w:val="sq-AL"/>
        </w:rPr>
        <w:t>encës; dhe c) rritjen e transparencës.</w:t>
      </w:r>
    </w:p>
    <w:p w14:paraId="4333B9E5" w14:textId="2FF7DD7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Realizimi i objektivave të mësipërm është një synim afatgjatë, ndërkohë që zhvillimi i aktiviteteve dhe marrja e masave të ndryshme është një proces i cili ka filluar dhe do të vijojë</w:t>
      </w:r>
      <w:r w:rsidR="00FA2519" w:rsidRPr="00EC6AB6">
        <w:rPr>
          <w:rFonts w:ascii="Garamond" w:hAnsi="Garamond"/>
          <w:sz w:val="24"/>
          <w:szCs w:val="24"/>
          <w:lang w:val="sq-AL"/>
        </w:rPr>
        <w:t xml:space="preserve"> </w:t>
      </w:r>
      <w:r w:rsidRPr="00EC6AB6">
        <w:rPr>
          <w:rFonts w:ascii="Garamond" w:hAnsi="Garamond"/>
          <w:sz w:val="24"/>
          <w:szCs w:val="24"/>
          <w:lang w:val="sq-AL"/>
        </w:rPr>
        <w:t xml:space="preserve">të kryhet në vazhdimësi. </w:t>
      </w:r>
    </w:p>
    <w:p w14:paraId="4333B9E6" w14:textId="77777777" w:rsidR="008B3748" w:rsidRPr="00EC6AB6" w:rsidRDefault="001A7FBF" w:rsidP="008B3748">
      <w:pPr>
        <w:spacing w:after="0" w:line="240" w:lineRule="auto"/>
        <w:rPr>
          <w:rFonts w:ascii="Garamond" w:hAnsi="Garamond"/>
          <w:sz w:val="24"/>
          <w:szCs w:val="24"/>
          <w:lang w:val="sq-AL"/>
        </w:rPr>
      </w:pPr>
      <w:bookmarkStart w:id="95" w:name="_Toc60129473"/>
      <w:bookmarkStart w:id="96" w:name="_Toc491954328"/>
      <w:bookmarkStart w:id="97" w:name="_Toc491861015"/>
      <w:r w:rsidRPr="00EC6AB6">
        <w:rPr>
          <w:rFonts w:ascii="Garamond" w:hAnsi="Garamond"/>
          <w:sz w:val="24"/>
          <w:szCs w:val="24"/>
          <w:lang w:val="sq-AL"/>
        </w:rPr>
        <w:t xml:space="preserve">2.2.1 </w:t>
      </w:r>
      <w:r w:rsidR="008B3748" w:rsidRPr="00EC6AB6">
        <w:rPr>
          <w:rFonts w:ascii="Garamond" w:hAnsi="Garamond"/>
          <w:sz w:val="24"/>
          <w:szCs w:val="24"/>
          <w:lang w:val="sq-AL"/>
        </w:rPr>
        <w:t>Rritja e likuiditetit</w:t>
      </w:r>
      <w:bookmarkEnd w:id="95"/>
      <w:bookmarkEnd w:id="96"/>
      <w:bookmarkEnd w:id="97"/>
    </w:p>
    <w:p w14:paraId="4333B9E7" w14:textId="5E5FA66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Marrja e masave dhe zhvillimi i aktiviteteve me fokus rritjen e likuiditetit do të kontribuojnë në </w:t>
      </w:r>
      <w:r w:rsidR="00FF5418" w:rsidRPr="00EC6AB6">
        <w:rPr>
          <w:rFonts w:ascii="Garamond" w:hAnsi="Garamond"/>
          <w:sz w:val="24"/>
          <w:szCs w:val="24"/>
          <w:lang w:val="sq-AL"/>
        </w:rPr>
        <w:t>eliminimin</w:t>
      </w:r>
      <w:r w:rsidRPr="00EC6AB6">
        <w:rPr>
          <w:rFonts w:ascii="Garamond" w:hAnsi="Garamond"/>
          <w:sz w:val="24"/>
          <w:szCs w:val="24"/>
          <w:lang w:val="sq-AL"/>
        </w:rPr>
        <w:t xml:space="preserve"> e primeve të riskut që burojnë nga niveli i kufizuar i likuiditetit të titujve shtetërorë. Gjithashtu, këto aktivitete do të kontribuojnë edhe në rritjen e kërkesës nga ajo pjesë e investitorëve që kanë interes të investojnë në aktive likuide dhe jo në mbajtjen e tyre deri në maturim. Faktorët e mësipërm në periudhën afatmesme dhe afatgjatë pritet të ndikojnë në reduktimin e primeve të normave të interesit, duke ulur rrjedhimisht koston për njësi të borxhit. </w:t>
      </w:r>
    </w:p>
    <w:p w14:paraId="4333B9E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Aktivitetet kryesore që planifikohen të ndërmerren në këtë drejtim gjatë periudhës afatmesme janë:</w:t>
      </w:r>
    </w:p>
    <w:p w14:paraId="4333B9E9" w14:textId="50EDEDB4"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2769D0" w:rsidRPr="00EC6AB6">
        <w:rPr>
          <w:rFonts w:ascii="Garamond" w:hAnsi="Garamond"/>
          <w:sz w:val="24"/>
          <w:szCs w:val="24"/>
          <w:lang w:val="sq-AL"/>
        </w:rPr>
        <w:t xml:space="preserve">krijimi </w:t>
      </w:r>
      <w:r w:rsidR="008B3748" w:rsidRPr="00EC6AB6">
        <w:rPr>
          <w:rFonts w:ascii="Garamond" w:hAnsi="Garamond"/>
          <w:sz w:val="24"/>
          <w:szCs w:val="24"/>
          <w:lang w:val="sq-AL"/>
        </w:rPr>
        <w:t xml:space="preserve">i madhësive </w:t>
      </w:r>
      <w:r w:rsidR="008B3748" w:rsidRPr="00EC6AB6">
        <w:rPr>
          <w:rFonts w:ascii="Garamond" w:hAnsi="Garamond"/>
          <w:i/>
          <w:sz w:val="24"/>
          <w:szCs w:val="24"/>
          <w:lang w:val="sq-AL"/>
        </w:rPr>
        <w:t>benchmark</w:t>
      </w:r>
      <w:r w:rsidR="00712E81">
        <w:rPr>
          <w:rFonts w:ascii="Garamond" w:hAnsi="Garamond"/>
          <w:i/>
          <w:sz w:val="24"/>
          <w:szCs w:val="24"/>
          <w:lang w:val="sq-AL"/>
        </w:rPr>
        <w:t>,</w:t>
      </w:r>
      <w:r w:rsidR="008B3748" w:rsidRPr="002769D0">
        <w:rPr>
          <w:rFonts w:ascii="Garamond" w:hAnsi="Garamond"/>
          <w:sz w:val="24"/>
          <w:szCs w:val="24"/>
          <w:vertAlign w:val="superscript"/>
          <w:lang w:val="sq-AL"/>
        </w:rPr>
        <w:footnoteReference w:id="9"/>
      </w:r>
      <w:r w:rsidR="002769D0">
        <w:rPr>
          <w:rFonts w:ascii="Garamond" w:hAnsi="Garamond"/>
          <w:i/>
          <w:sz w:val="24"/>
          <w:szCs w:val="24"/>
          <w:lang w:val="sq-AL"/>
        </w:rPr>
        <w:t xml:space="preserve"> </w:t>
      </w:r>
      <w:r w:rsidR="008B3748" w:rsidRPr="002769D0">
        <w:rPr>
          <w:rFonts w:ascii="Garamond" w:hAnsi="Garamond"/>
          <w:sz w:val="24"/>
          <w:szCs w:val="24"/>
          <w:vertAlign w:val="superscript"/>
          <w:lang w:val="sq-AL"/>
        </w:rPr>
        <w:t xml:space="preserve"> </w:t>
      </w:r>
      <w:r w:rsidR="008B3748" w:rsidRPr="00EC6AB6">
        <w:rPr>
          <w:rFonts w:ascii="Garamond" w:hAnsi="Garamond"/>
          <w:sz w:val="24"/>
          <w:szCs w:val="24"/>
          <w:lang w:val="sq-AL"/>
        </w:rPr>
        <w:t xml:space="preserve">në kuadër të zhvillimit të kurbës së </w:t>
      </w:r>
      <w:r w:rsidR="008B3748" w:rsidRPr="00EC6AB6">
        <w:rPr>
          <w:rFonts w:ascii="Garamond" w:hAnsi="Garamond"/>
          <w:i/>
          <w:sz w:val="24"/>
          <w:szCs w:val="24"/>
          <w:lang w:val="sq-AL"/>
        </w:rPr>
        <w:t>yield</w:t>
      </w:r>
      <w:r w:rsidR="008B3748" w:rsidRPr="00EC6AB6">
        <w:rPr>
          <w:rFonts w:ascii="Garamond" w:hAnsi="Garamond"/>
          <w:sz w:val="24"/>
          <w:szCs w:val="24"/>
          <w:lang w:val="sq-AL"/>
        </w:rPr>
        <w:t>-it në drejtim të titujve shtetërorë afatmesëm dhe afatgjatë nëpërmjet rihapjes periodike;</w:t>
      </w:r>
    </w:p>
    <w:p w14:paraId="4333B9EA" w14:textId="7410B733"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2769D0" w:rsidRPr="00EC6AB6">
        <w:rPr>
          <w:rFonts w:ascii="Garamond" w:hAnsi="Garamond"/>
          <w:sz w:val="24"/>
          <w:szCs w:val="24"/>
          <w:lang w:val="sq-AL"/>
        </w:rPr>
        <w:t xml:space="preserve">eliminimi </w:t>
      </w:r>
      <w:r w:rsidR="008B3748" w:rsidRPr="00EC6AB6">
        <w:rPr>
          <w:rFonts w:ascii="Garamond" w:hAnsi="Garamond"/>
          <w:sz w:val="24"/>
          <w:szCs w:val="24"/>
          <w:lang w:val="sq-AL"/>
        </w:rPr>
        <w:t>i titujve të cilët kanë karakteristika të ngjashme dhe konkurrojnë njëri-tjetrin me qëllim reduktimin e fragmentimit të kërkesës;</w:t>
      </w:r>
    </w:p>
    <w:p w14:paraId="4333B9EB" w14:textId="3BD4D41C"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2769D0" w:rsidRPr="00EC6AB6">
        <w:rPr>
          <w:rFonts w:ascii="Garamond" w:hAnsi="Garamond"/>
          <w:sz w:val="24"/>
          <w:szCs w:val="24"/>
          <w:lang w:val="sq-AL"/>
        </w:rPr>
        <w:t xml:space="preserve">përshtatja </w:t>
      </w:r>
      <w:r w:rsidR="008B3748" w:rsidRPr="00EC6AB6">
        <w:rPr>
          <w:rFonts w:ascii="Garamond" w:hAnsi="Garamond"/>
          <w:sz w:val="24"/>
          <w:szCs w:val="24"/>
          <w:lang w:val="sq-AL"/>
        </w:rPr>
        <w:t xml:space="preserve">e politikave të huamarrjes (përfshirë shitjen, parablerjen dhe shkëmbimin e titujve shtetërorë) me kushtet e tregut dhe kërkesën për tituj të caktuar. </w:t>
      </w:r>
    </w:p>
    <w:p w14:paraId="4333B9EC" w14:textId="77777777" w:rsidR="008B3748" w:rsidRPr="00EC6AB6" w:rsidRDefault="008B3748" w:rsidP="008B3748">
      <w:pPr>
        <w:spacing w:after="0" w:line="240" w:lineRule="auto"/>
        <w:rPr>
          <w:rFonts w:ascii="Garamond" w:hAnsi="Garamond"/>
          <w:sz w:val="24"/>
          <w:szCs w:val="24"/>
          <w:highlight w:val="yellow"/>
          <w:lang w:val="sq-AL"/>
        </w:rPr>
      </w:pPr>
      <w:r w:rsidRPr="00EC6AB6">
        <w:rPr>
          <w:rFonts w:ascii="Garamond" w:hAnsi="Garamond"/>
          <w:noProof/>
          <w:sz w:val="24"/>
          <w:szCs w:val="24"/>
        </w:rPr>
        <mc:AlternateContent>
          <mc:Choice Requires="wps">
            <w:drawing>
              <wp:anchor distT="0" distB="0" distL="114300" distR="114300" simplePos="0" relativeHeight="251658263" behindDoc="1" locked="0" layoutInCell="1" allowOverlap="1" wp14:anchorId="4333BB7A" wp14:editId="4333BB7B">
                <wp:simplePos x="0" y="0"/>
                <wp:positionH relativeFrom="margin">
                  <wp:align>left</wp:align>
                </wp:positionH>
                <wp:positionV relativeFrom="paragraph">
                  <wp:posOffset>104140</wp:posOffset>
                </wp:positionV>
                <wp:extent cx="5989955" cy="787179"/>
                <wp:effectExtent l="0" t="0" r="10795" b="13335"/>
                <wp:wrapNone/>
                <wp:docPr id="8" name="Rectangle 8"/>
                <wp:cNvGraphicFramePr/>
                <a:graphic xmlns:a="http://schemas.openxmlformats.org/drawingml/2006/main">
                  <a:graphicData uri="http://schemas.microsoft.com/office/word/2010/wordprocessingShape">
                    <wps:wsp>
                      <wps:cNvSpPr/>
                      <wps:spPr>
                        <a:xfrm>
                          <a:off x="0" y="0"/>
                          <a:ext cx="5990590" cy="787179"/>
                        </a:xfrm>
                        <a:prstGeom prst="rect">
                          <a:avLst/>
                        </a:prstGeom>
                        <a:solidFill>
                          <a:srgbClr val="5B9BD5">
                            <a:lumMod val="20000"/>
                            <a:lumOff val="80000"/>
                          </a:srgb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0;margin-top:8.2pt;width:471.65pt;height:62pt;z-index:-2516582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RmogIAAHYFAAAOAAAAZHJzL2Uyb0RvYy54bWysVElvGjEUvlfqf7B8bwZoCIsyRCQoVaU0&#10;iZpUORuPZ5G81TYM9Nf3s2cg66kqh+Ftfsv3lvOLnZJkK5xvjM7p8GRAidDcFI2ucvrr8frLlBIf&#10;mC6YNFrkdC88vVh8/nTe2rkYmdrIQjgCJ9rPW5vTOgQ7zzLPa6GYPzFWaChL4xQLYF2VFY618K5k&#10;NhoMzrLWuMI6w4X3kK46JV0k/2UpeLgrSy8CkTlFbiF9Xfqu4zdbnLN55ZitG96nwf4hC8UajaBH&#10;VysWGNm45p0r1XBnvCnDCTcqM2XZcJFqQDXDwZtqHmpmRaoF4Hh7hMn/P7f8dnvvSFPkFI3STKFF&#10;PwEa05UUZBrhaa2fw+rB3rue8yBjrbvSqfiPKsguQbo/Qip2gXAIx7PZYDwD8hy6yXQynMyi0+z5&#10;tXU+fBNGkUjk1CF6QpJtb3zoTA8mMZg3simuGykT46r1lXRky9De8eXscjVOb+VG/TBFJ8aUDPo+&#10;Q4xp6MTTgxip+M5NSuuVf6lJi6keTeCBcIb5LCULIJUFYl5XlDBZYfB5cCnwq9d+74/JYWQL0z4C&#10;Fkok8wEKYJV+7zI+G3+Y8deDOGacXL9POCK1Yr7uakzZdCOumoA9k41Co7uoHbRSRxxF2pQe79jw&#10;rsWRWptijwlxplsdb/l1gyA3qOGeOewKkMH+hzt8SmkAl+kpSmrj/nwkj/YYYWgpabF7gPL3hjkB&#10;aL5rDPdseHoalzUxp+PJCIx7qVm/1OiNujLo/xCXxvJERvsgD2TpjHrCmVjGqFAxzRG7a1rPXIXu&#10;JuDQcLFcJjMsqGXhRj9YHp1HnCK8j7sn5mw/rQENvTWHPWXzN0Pb2caX2iw3wZRNmuhnXNHByGC5&#10;Uy/7QxSvx0s+WT2fy8VfAAAA//8DAFBLAwQUAAYACAAAACEAdQegXdwAAAAHAQAADwAAAGRycy9k&#10;b3ducmV2LnhtbEyPQUvDQBCF74L/YRnBm921TYNNsymlEBBB0Fbv0+yaBLOzS3bbxn/veLLH997w&#10;3jflZnKDONsx9p40PM4UCEuNNz21Gj4O9cMTiJiQDA6erIYfG2FT3d6UWBh/oXd73qdWcAnFAjV0&#10;KYVCyth01mGc+WCJsy8/Okwsx1aaES9c7gY5VyqXDnvihQ6D3XW2+d6fnIZXVNsQ3l5282W+PDSy&#10;rT/9c631/d20XYNIdkr/x/CHz+hQMdPRn8hEMWjgRxK7eQaC01W2WIA4spGpDGRVymv+6hcAAP//&#10;AwBQSwECLQAUAAYACAAAACEAtoM4kv4AAADhAQAAEwAAAAAAAAAAAAAAAAAAAAAAW0NvbnRlbnRf&#10;VHlwZXNdLnhtbFBLAQItABQABgAIAAAAIQA4/SH/1gAAAJQBAAALAAAAAAAAAAAAAAAAAC8BAABf&#10;cmVscy8ucmVsc1BLAQItABQABgAIAAAAIQCDFdRmogIAAHYFAAAOAAAAAAAAAAAAAAAAAC4CAABk&#10;cnMvZTJvRG9jLnhtbFBLAQItABQABgAIAAAAIQB1B6Bd3AAAAAcBAAAPAAAAAAAAAAAAAAAAAPwE&#10;AABkcnMvZG93bnJldi54bWxQSwUGAAAAAAQABADzAAAABQYAAAAA&#10;" fillcolor="#deebf7" strokecolor="#595959" strokeweight="1pt">
                <w10:wrap anchorx="margin"/>
              </v:rect>
            </w:pict>
          </mc:Fallback>
        </mc:AlternateContent>
      </w:r>
    </w:p>
    <w:p w14:paraId="4333B9ED" w14:textId="77777777" w:rsidR="008B3748" w:rsidRPr="00EC6AB6" w:rsidRDefault="008B3748" w:rsidP="001A7FBF">
      <w:pPr>
        <w:spacing w:after="0" w:line="240" w:lineRule="auto"/>
        <w:ind w:firstLine="0"/>
        <w:rPr>
          <w:rFonts w:ascii="Garamond" w:hAnsi="Garamond"/>
          <w:sz w:val="24"/>
          <w:szCs w:val="24"/>
          <w:lang w:val="sq-AL"/>
        </w:rPr>
      </w:pPr>
      <w:r w:rsidRPr="00EC6AB6">
        <w:rPr>
          <w:rFonts w:ascii="Garamond" w:hAnsi="Garamond"/>
          <w:sz w:val="24"/>
          <w:szCs w:val="24"/>
          <w:lang w:val="sq-AL"/>
        </w:rPr>
        <w:t>Pavarësisht faktit që proceset e mësipërme tashmë konsiderohen aktive, në periudhën afatmesme do të synohet të hartohet një plan veprimi, në të cilin do të mirëpërcaktohen instrumentet e targetuara dhe vlerat indikative, si edhe do të formalizohen rregullat në proceset që kanë të bëjnë me menaxhimin e titujve shtetërorë në tregun primar.</w:t>
      </w:r>
    </w:p>
    <w:p w14:paraId="4333B9EE" w14:textId="77777777" w:rsidR="008B3748" w:rsidRPr="00EC6AB6" w:rsidRDefault="008B3748" w:rsidP="008B3748">
      <w:pPr>
        <w:spacing w:after="0" w:line="240" w:lineRule="auto"/>
        <w:rPr>
          <w:rFonts w:ascii="Garamond" w:hAnsi="Garamond"/>
          <w:sz w:val="24"/>
          <w:szCs w:val="24"/>
          <w:lang w:val="sq-AL"/>
        </w:rPr>
      </w:pPr>
    </w:p>
    <w:p w14:paraId="4333B9EF" w14:textId="14C618B0" w:rsidR="008B3748" w:rsidRPr="00EC6AB6" w:rsidRDefault="001A7FBF" w:rsidP="008B3748">
      <w:pPr>
        <w:spacing w:after="0" w:line="240" w:lineRule="auto"/>
        <w:rPr>
          <w:rFonts w:ascii="Garamond" w:hAnsi="Garamond"/>
          <w:sz w:val="24"/>
          <w:szCs w:val="24"/>
          <w:lang w:val="sq-AL"/>
        </w:rPr>
      </w:pPr>
      <w:bookmarkStart w:id="98" w:name="_Toc60129474"/>
      <w:bookmarkStart w:id="99" w:name="_Toc491954329"/>
      <w:bookmarkStart w:id="100" w:name="_Toc491861016"/>
      <w:r w:rsidRPr="00EC6AB6">
        <w:rPr>
          <w:rFonts w:ascii="Garamond" w:hAnsi="Garamond"/>
          <w:sz w:val="24"/>
          <w:szCs w:val="24"/>
          <w:lang w:val="sq-AL"/>
        </w:rPr>
        <w:t xml:space="preserve">2.2.2 </w:t>
      </w:r>
      <w:r w:rsidR="008B3748" w:rsidRPr="00EC6AB6">
        <w:rPr>
          <w:rFonts w:ascii="Garamond" w:hAnsi="Garamond"/>
          <w:sz w:val="24"/>
          <w:szCs w:val="24"/>
          <w:lang w:val="sq-AL"/>
        </w:rPr>
        <w:t xml:space="preserve">Rritja e </w:t>
      </w:r>
      <w:bookmarkEnd w:id="98"/>
      <w:bookmarkEnd w:id="99"/>
      <w:bookmarkEnd w:id="100"/>
      <w:r w:rsidR="00FF5418" w:rsidRPr="00EC6AB6">
        <w:rPr>
          <w:rFonts w:ascii="Garamond" w:hAnsi="Garamond"/>
          <w:sz w:val="24"/>
          <w:szCs w:val="24"/>
          <w:lang w:val="sq-AL"/>
        </w:rPr>
        <w:t>eficiencës</w:t>
      </w:r>
    </w:p>
    <w:p w14:paraId="4333B9F0" w14:textId="440983E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Rritja e </w:t>
      </w:r>
      <w:r w:rsidR="00FF5418" w:rsidRPr="00EC6AB6">
        <w:rPr>
          <w:rFonts w:ascii="Garamond" w:hAnsi="Garamond"/>
          <w:sz w:val="24"/>
          <w:szCs w:val="24"/>
          <w:lang w:val="sq-AL"/>
        </w:rPr>
        <w:t>eficiencës</w:t>
      </w:r>
      <w:r w:rsidRPr="00EC6AB6">
        <w:rPr>
          <w:rFonts w:ascii="Garamond" w:hAnsi="Garamond"/>
          <w:sz w:val="24"/>
          <w:szCs w:val="24"/>
          <w:lang w:val="sq-AL"/>
        </w:rPr>
        <w:t xml:space="preserve"> në tregun e titujve shtetërorë synon uljen e kostove të huamarrjes. Realizimi i këtij objektivi do të përfshijë masa të cilat do të kenë ndikim jo vetëm mbi tregun primar të titujve shtetërorë, por edhe mbi atë sekondar. Masat dhe aktivitetet që planifikohen të ndërmerren do të përfshijnë: </w:t>
      </w:r>
    </w:p>
    <w:p w14:paraId="4333B9F1" w14:textId="445F9352"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analizimin </w:t>
      </w:r>
      <w:r w:rsidR="008B3748" w:rsidRPr="00EC6AB6">
        <w:rPr>
          <w:rFonts w:ascii="Garamond" w:hAnsi="Garamond"/>
          <w:sz w:val="24"/>
          <w:szCs w:val="24"/>
          <w:lang w:val="sq-AL"/>
        </w:rPr>
        <w:t>e rezultateve të projektit pilot për emetimin e obligacioneve 5</w:t>
      </w:r>
      <w:r w:rsidR="00712E81">
        <w:rPr>
          <w:rFonts w:ascii="Garamond" w:hAnsi="Garamond"/>
          <w:sz w:val="24"/>
          <w:szCs w:val="24"/>
          <w:lang w:val="sq-AL"/>
        </w:rPr>
        <w:t>-</w:t>
      </w:r>
      <w:r w:rsidR="008B3748" w:rsidRPr="00EC6AB6">
        <w:rPr>
          <w:rFonts w:ascii="Garamond" w:hAnsi="Garamond"/>
          <w:sz w:val="24"/>
          <w:szCs w:val="24"/>
          <w:lang w:val="sq-AL"/>
        </w:rPr>
        <w:t>vjeçare dhe 3</w:t>
      </w:r>
      <w:r w:rsidR="00712E81">
        <w:rPr>
          <w:rFonts w:ascii="Garamond" w:hAnsi="Garamond"/>
          <w:sz w:val="24"/>
          <w:szCs w:val="24"/>
          <w:lang w:val="sq-AL"/>
        </w:rPr>
        <w:t>-</w:t>
      </w:r>
      <w:r w:rsidR="008B3748" w:rsidRPr="00EC6AB6">
        <w:rPr>
          <w:rFonts w:ascii="Garamond" w:hAnsi="Garamond"/>
          <w:sz w:val="24"/>
          <w:szCs w:val="24"/>
          <w:lang w:val="sq-AL"/>
        </w:rPr>
        <w:t>vjeçare referencë dhe shqyrtimin e mundësisë për shtrirj</w:t>
      </w:r>
      <w:r w:rsidR="00712E81">
        <w:rPr>
          <w:rFonts w:ascii="Garamond" w:hAnsi="Garamond"/>
          <w:sz w:val="24"/>
          <w:szCs w:val="24"/>
          <w:lang w:val="sq-AL"/>
        </w:rPr>
        <w:t>en e tij edhe te</w:t>
      </w:r>
      <w:r w:rsidR="008B3748" w:rsidRPr="00EC6AB6">
        <w:rPr>
          <w:rFonts w:ascii="Garamond" w:hAnsi="Garamond"/>
          <w:sz w:val="24"/>
          <w:szCs w:val="24"/>
          <w:lang w:val="sq-AL"/>
        </w:rPr>
        <w:t xml:space="preserve"> titujt e tjerë afatgjatë, në bashkëpunim me aktorët kryesorë të tregut;</w:t>
      </w:r>
    </w:p>
    <w:p w14:paraId="4333B9F2" w14:textId="3012054E"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heqjen </w:t>
      </w:r>
      <w:r w:rsidR="008B3748" w:rsidRPr="00EC6AB6">
        <w:rPr>
          <w:rFonts w:ascii="Garamond" w:hAnsi="Garamond"/>
          <w:sz w:val="24"/>
          <w:szCs w:val="24"/>
          <w:lang w:val="sq-AL"/>
        </w:rPr>
        <w:t>e kufizimeve teknike dhe përmirësimin e bazës ligjore në tregun e titujve;</w:t>
      </w:r>
    </w:p>
    <w:p w14:paraId="4333B9F3" w14:textId="25F1C43F"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mbajtjen </w:t>
      </w:r>
      <w:r w:rsidR="008B3748" w:rsidRPr="00EC6AB6">
        <w:rPr>
          <w:rFonts w:ascii="Garamond" w:hAnsi="Garamond"/>
          <w:sz w:val="24"/>
          <w:szCs w:val="24"/>
          <w:lang w:val="sq-AL"/>
        </w:rPr>
        <w:t xml:space="preserve">e kontakteve me investitorët për të shkëmbyer informacion dhe për t’u konsultuar në lidhje me iniciativat që do të planifikohen të ndërmerren; </w:t>
      </w:r>
    </w:p>
    <w:p w14:paraId="4333B9F4" w14:textId="646878B5"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zgjerimin </w:t>
      </w:r>
      <w:r w:rsidR="008B3748" w:rsidRPr="00EC6AB6">
        <w:rPr>
          <w:rFonts w:ascii="Garamond" w:hAnsi="Garamond"/>
          <w:sz w:val="24"/>
          <w:szCs w:val="24"/>
          <w:lang w:val="sq-AL"/>
        </w:rPr>
        <w:t xml:space="preserve">e mëtejshëm të bazës së investitorëve jo vetëm në drejtim të investitorëve </w:t>
      </w:r>
      <w:r w:rsidR="002B79A7" w:rsidRPr="00EC6AB6">
        <w:rPr>
          <w:rFonts w:ascii="Garamond" w:hAnsi="Garamond"/>
          <w:sz w:val="24"/>
          <w:szCs w:val="24"/>
          <w:lang w:val="sq-AL"/>
        </w:rPr>
        <w:t>vendës</w:t>
      </w:r>
      <w:r w:rsidR="008B3748" w:rsidRPr="00EC6AB6">
        <w:rPr>
          <w:rFonts w:ascii="Garamond" w:hAnsi="Garamond"/>
          <w:sz w:val="24"/>
          <w:szCs w:val="24"/>
          <w:lang w:val="sq-AL"/>
        </w:rPr>
        <w:t xml:space="preserve">, por edhe në drejtim të investitorëve të huaj, me qëllim ndërtimin gradual të marrëdhënieve dhe promovimin e tregut </w:t>
      </w:r>
      <w:r w:rsidR="002B79A7" w:rsidRPr="00EC6AB6">
        <w:rPr>
          <w:rFonts w:ascii="Garamond" w:hAnsi="Garamond"/>
          <w:sz w:val="24"/>
          <w:szCs w:val="24"/>
          <w:lang w:val="sq-AL"/>
        </w:rPr>
        <w:t>vendës</w:t>
      </w:r>
      <w:r w:rsidR="008B3748" w:rsidRPr="00EC6AB6">
        <w:rPr>
          <w:rFonts w:ascii="Garamond" w:hAnsi="Garamond"/>
          <w:sz w:val="24"/>
          <w:szCs w:val="24"/>
          <w:lang w:val="sq-AL"/>
        </w:rPr>
        <w:t xml:space="preserve"> të titujve shtetërorë;</w:t>
      </w:r>
    </w:p>
    <w:p w14:paraId="4333B9F5" w14:textId="5500F63D"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pjesëmarrjen </w:t>
      </w:r>
      <w:r w:rsidR="008B3748" w:rsidRPr="00EC6AB6">
        <w:rPr>
          <w:rFonts w:ascii="Garamond" w:hAnsi="Garamond"/>
          <w:sz w:val="24"/>
          <w:szCs w:val="24"/>
          <w:lang w:val="sq-AL"/>
        </w:rPr>
        <w:t>aktive në konferenca, në të cilat janë të pranishëm investitorët kryesorë;</w:t>
      </w:r>
    </w:p>
    <w:p w14:paraId="4333B9F6" w14:textId="6B000F0E"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krijimin </w:t>
      </w:r>
      <w:r w:rsidR="008B3748" w:rsidRPr="00EC6AB6">
        <w:rPr>
          <w:rFonts w:ascii="Garamond" w:hAnsi="Garamond"/>
          <w:sz w:val="24"/>
          <w:szCs w:val="24"/>
          <w:lang w:val="sq-AL"/>
        </w:rPr>
        <w:t xml:space="preserve">e kanaleve të komunikimit elektronik dhe fizik me investitorët </w:t>
      </w:r>
      <w:r w:rsidR="002B79A7" w:rsidRPr="00EC6AB6">
        <w:rPr>
          <w:rFonts w:ascii="Garamond" w:hAnsi="Garamond"/>
          <w:sz w:val="24"/>
          <w:szCs w:val="24"/>
          <w:lang w:val="sq-AL"/>
        </w:rPr>
        <w:t>vendës</w:t>
      </w:r>
      <w:r w:rsidR="008B3748" w:rsidRPr="00EC6AB6">
        <w:rPr>
          <w:rFonts w:ascii="Garamond" w:hAnsi="Garamond"/>
          <w:sz w:val="24"/>
          <w:szCs w:val="24"/>
          <w:lang w:val="sq-AL"/>
        </w:rPr>
        <w:t xml:space="preserve"> dhe të huaj.</w:t>
      </w:r>
    </w:p>
    <w:p w14:paraId="4333B9F7" w14:textId="77777777" w:rsidR="008B3748" w:rsidRPr="00EC6AB6" w:rsidRDefault="001A7FBF" w:rsidP="008B3748">
      <w:pPr>
        <w:spacing w:after="0" w:line="240" w:lineRule="auto"/>
        <w:rPr>
          <w:rFonts w:ascii="Garamond" w:hAnsi="Garamond"/>
          <w:sz w:val="24"/>
          <w:szCs w:val="24"/>
          <w:lang w:val="sq-AL"/>
        </w:rPr>
      </w:pPr>
      <w:bookmarkStart w:id="101" w:name="_Toc60129475"/>
      <w:bookmarkStart w:id="102" w:name="_Toc491954330"/>
      <w:bookmarkStart w:id="103" w:name="_Toc491861017"/>
      <w:r w:rsidRPr="00EC6AB6">
        <w:rPr>
          <w:rFonts w:ascii="Garamond" w:hAnsi="Garamond"/>
          <w:sz w:val="24"/>
          <w:szCs w:val="24"/>
          <w:lang w:val="sq-AL"/>
        </w:rPr>
        <w:t xml:space="preserve">2.2.3 </w:t>
      </w:r>
      <w:r w:rsidR="008B3748" w:rsidRPr="00EC6AB6">
        <w:rPr>
          <w:rFonts w:ascii="Garamond" w:hAnsi="Garamond"/>
          <w:sz w:val="24"/>
          <w:szCs w:val="24"/>
          <w:lang w:val="sq-AL"/>
        </w:rPr>
        <w:t>Rritja e transparencës</w:t>
      </w:r>
      <w:bookmarkEnd w:id="101"/>
      <w:bookmarkEnd w:id="102"/>
      <w:bookmarkEnd w:id="103"/>
    </w:p>
    <w:p w14:paraId="4333B9F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Masat dhe aktivitetet e ndërmarra në kuadër të realizimit të këtij objektivi do të kontribuojnë në reduktimin e paqartësive dhe rritjen e parashikueshmërisë në tregun e titujve shtetërorë, duke përfshirë:</w:t>
      </w:r>
    </w:p>
    <w:p w14:paraId="4333B9F9" w14:textId="70B8A654"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komunikimin </w:t>
      </w:r>
      <w:r w:rsidR="008B3748" w:rsidRPr="00EC6AB6">
        <w:rPr>
          <w:rFonts w:ascii="Garamond" w:hAnsi="Garamond"/>
          <w:sz w:val="24"/>
          <w:szCs w:val="24"/>
          <w:lang w:val="sq-AL"/>
        </w:rPr>
        <w:t>transparent dhe në kohë të planeve të huamarrjes mujore, tremujore dhe vjetore;</w:t>
      </w:r>
    </w:p>
    <w:p w14:paraId="4333B9FA" w14:textId="558044D7"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publikimin </w:t>
      </w:r>
      <w:r w:rsidR="008B3748" w:rsidRPr="00EC6AB6">
        <w:rPr>
          <w:rFonts w:ascii="Garamond" w:hAnsi="Garamond"/>
          <w:sz w:val="24"/>
          <w:szCs w:val="24"/>
          <w:lang w:val="sq-AL"/>
        </w:rPr>
        <w:t>e rezultateve të ankandeve në një kohë sa më të shkurtër;</w:t>
      </w:r>
    </w:p>
    <w:p w14:paraId="4333B9FB" w14:textId="5C667574"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publikimin </w:t>
      </w:r>
      <w:r w:rsidR="008B3748" w:rsidRPr="00EC6AB6">
        <w:rPr>
          <w:rFonts w:ascii="Garamond" w:hAnsi="Garamond"/>
          <w:sz w:val="24"/>
          <w:szCs w:val="24"/>
          <w:lang w:val="sq-AL"/>
        </w:rPr>
        <w:t>në kohë dhe në formate të përpunueshme të informacioneve të nevojshme për kryerjen e parashikimeve të çmimeve në tregun e titujve.</w:t>
      </w:r>
    </w:p>
    <w:p w14:paraId="4333B9FC" w14:textId="77777777" w:rsidR="008B3748" w:rsidRPr="00EC6AB6" w:rsidRDefault="001A7FBF" w:rsidP="008B3748">
      <w:pPr>
        <w:spacing w:after="0" w:line="240" w:lineRule="auto"/>
        <w:rPr>
          <w:rFonts w:ascii="Garamond" w:hAnsi="Garamond"/>
          <w:sz w:val="24"/>
          <w:szCs w:val="24"/>
          <w:lang w:val="sq-AL"/>
        </w:rPr>
      </w:pPr>
      <w:bookmarkStart w:id="104" w:name="_Toc60129476"/>
      <w:bookmarkStart w:id="105" w:name="_Toc491954331"/>
      <w:bookmarkStart w:id="106" w:name="_Toc491861018"/>
      <w:r w:rsidRPr="00EC6AB6">
        <w:rPr>
          <w:rFonts w:ascii="Garamond" w:hAnsi="Garamond"/>
          <w:sz w:val="24"/>
          <w:szCs w:val="24"/>
          <w:lang w:val="sq-AL"/>
        </w:rPr>
        <w:t xml:space="preserve">2.3 </w:t>
      </w:r>
      <w:r w:rsidR="008B3748" w:rsidRPr="00EC6AB6">
        <w:rPr>
          <w:rFonts w:ascii="Garamond" w:hAnsi="Garamond"/>
          <w:sz w:val="24"/>
          <w:szCs w:val="24"/>
          <w:lang w:val="sq-AL"/>
        </w:rPr>
        <w:t>Menaxhimi i borxhit shtetëror të garantuar</w:t>
      </w:r>
      <w:bookmarkEnd w:id="104"/>
      <w:bookmarkEnd w:id="105"/>
      <w:bookmarkEnd w:id="106"/>
    </w:p>
    <w:p w14:paraId="4333B9FD" w14:textId="77777777" w:rsidR="008B3748" w:rsidRPr="00EC6AB6" w:rsidRDefault="001A7FBF" w:rsidP="008B3748">
      <w:pPr>
        <w:spacing w:after="0" w:line="240" w:lineRule="auto"/>
        <w:rPr>
          <w:rFonts w:ascii="Garamond" w:hAnsi="Garamond"/>
          <w:sz w:val="24"/>
          <w:szCs w:val="24"/>
          <w:lang w:val="sq-AL"/>
        </w:rPr>
      </w:pPr>
      <w:bookmarkStart w:id="107" w:name="_Toc60129477"/>
      <w:bookmarkStart w:id="108" w:name="_Toc491954332"/>
      <w:r w:rsidRPr="00EC6AB6">
        <w:rPr>
          <w:rFonts w:ascii="Garamond" w:hAnsi="Garamond"/>
          <w:sz w:val="24"/>
          <w:szCs w:val="24"/>
          <w:lang w:val="sq-AL"/>
        </w:rPr>
        <w:t xml:space="preserve">2.3.1 </w:t>
      </w:r>
      <w:r w:rsidR="008B3748" w:rsidRPr="00EC6AB6">
        <w:rPr>
          <w:rFonts w:ascii="Garamond" w:hAnsi="Garamond"/>
          <w:sz w:val="24"/>
          <w:szCs w:val="24"/>
          <w:lang w:val="sq-AL"/>
        </w:rPr>
        <w:t>Kriteret bazë për emetimin e garancive shtetërore</w:t>
      </w:r>
      <w:bookmarkEnd w:id="107"/>
      <w:bookmarkEnd w:id="108"/>
    </w:p>
    <w:p w14:paraId="4333B9FF" w14:textId="6DDFFC6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Me qëllim mbajtjen nën kontroll ose reduktimin e riskut që buron nga emetimi i garancive shtetërore, si edhe njëkohësisht shfrytëzimin e avantazheve që burojnë nga përdorimi i këtyre instrumenteve</w:t>
      </w:r>
      <w:r w:rsidR="008F05BA">
        <w:rPr>
          <w:rFonts w:ascii="Garamond" w:hAnsi="Garamond"/>
          <w:sz w:val="24"/>
          <w:szCs w:val="24"/>
          <w:lang w:val="sq-AL"/>
        </w:rPr>
        <w:t>,</w:t>
      </w:r>
      <w:r w:rsidRPr="00EC6AB6">
        <w:rPr>
          <w:rFonts w:ascii="Garamond" w:hAnsi="Garamond"/>
          <w:sz w:val="24"/>
          <w:szCs w:val="24"/>
          <w:lang w:val="sq-AL"/>
        </w:rPr>
        <w:t xml:space="preserve"> si politika ekonomike shtetërore, në periudhën afatmesme do të zbatohen kriteret e mëposhtme:</w:t>
      </w:r>
    </w:p>
    <w:p w14:paraId="4333BA00" w14:textId="38F7CF24"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garancitë </w:t>
      </w:r>
      <w:r w:rsidR="008B3748" w:rsidRPr="00EC6AB6">
        <w:rPr>
          <w:rFonts w:ascii="Garamond" w:hAnsi="Garamond"/>
          <w:sz w:val="24"/>
          <w:szCs w:val="24"/>
          <w:lang w:val="sq-AL"/>
        </w:rPr>
        <w:t>shtetërore do të emetohen në drejtim të mbështetjes së projekteve me natyrë zhvillimore dhe që mbështesin ngritjen e infrastrukturës, zhvillimin rajonal, mbrojtjen mjedisore, krijimin e vendeve të reja të punës;</w:t>
      </w:r>
    </w:p>
    <w:p w14:paraId="4333BA01" w14:textId="74BCAE49"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w:t>
      </w:r>
      <w:r w:rsidR="00FA2519" w:rsidRPr="00EC6AB6">
        <w:rPr>
          <w:rFonts w:ascii="Garamond" w:hAnsi="Garamond"/>
          <w:sz w:val="24"/>
          <w:szCs w:val="24"/>
          <w:lang w:val="sq-AL"/>
        </w:rPr>
        <w:t xml:space="preserve"> </w:t>
      </w:r>
      <w:r w:rsidR="00397AD7" w:rsidRPr="00EC6AB6">
        <w:rPr>
          <w:rFonts w:ascii="Garamond" w:hAnsi="Garamond"/>
          <w:sz w:val="24"/>
          <w:szCs w:val="24"/>
          <w:lang w:val="sq-AL"/>
        </w:rPr>
        <w:t xml:space="preserve">garancitë </w:t>
      </w:r>
      <w:r w:rsidR="008B3748" w:rsidRPr="00EC6AB6">
        <w:rPr>
          <w:rFonts w:ascii="Garamond" w:hAnsi="Garamond"/>
          <w:sz w:val="24"/>
          <w:szCs w:val="24"/>
          <w:lang w:val="sq-AL"/>
        </w:rPr>
        <w:t>shtetërore mund të emetohen edhe me qëllim që të mbështesin masat që mund të ndërmerren në rastet e ndonjë krize të sistemit financiar;</w:t>
      </w:r>
    </w:p>
    <w:p w14:paraId="4333BA02" w14:textId="44E3A256"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397AD7" w:rsidRPr="00EC6AB6">
        <w:rPr>
          <w:rFonts w:ascii="Garamond" w:hAnsi="Garamond"/>
          <w:sz w:val="24"/>
          <w:szCs w:val="24"/>
          <w:lang w:val="sq-AL"/>
        </w:rPr>
        <w:t xml:space="preserve">garancitë </w:t>
      </w:r>
      <w:r w:rsidR="008B3748" w:rsidRPr="00EC6AB6">
        <w:rPr>
          <w:rFonts w:ascii="Garamond" w:hAnsi="Garamond"/>
          <w:sz w:val="24"/>
          <w:szCs w:val="24"/>
          <w:lang w:val="sq-AL"/>
        </w:rPr>
        <w:t>shtetërore mund të emetohen për të mbështetur kreditimin e ndërmarrjeve shtetërorë më rëndësi strategjike, si edhe për të mbështetur kreditimin ndërmarrjeve private, të cilat planifikojnë të implementojnë projekte që paraqesin interes publik dhe që mbështesin ngritjen e infrastrukturës, zhvillimin rajonal, mbrojtjen mjedisore dhe krijimin e vendeve të reja të punës</w:t>
      </w:r>
      <w:r w:rsidR="008F05BA">
        <w:rPr>
          <w:rFonts w:ascii="Garamond" w:hAnsi="Garamond"/>
          <w:sz w:val="24"/>
          <w:szCs w:val="24"/>
          <w:lang w:val="sq-AL"/>
        </w:rPr>
        <w:t>;</w:t>
      </w:r>
      <w:r w:rsidR="008B3748" w:rsidRPr="00EC6AB6">
        <w:rPr>
          <w:rFonts w:ascii="Garamond" w:hAnsi="Garamond"/>
          <w:sz w:val="24"/>
          <w:szCs w:val="24"/>
          <w:lang w:val="sq-AL"/>
        </w:rPr>
        <w:t xml:space="preserve"> </w:t>
      </w:r>
    </w:p>
    <w:p w14:paraId="4333BA03" w14:textId="6BD794AE" w:rsidR="008B3748" w:rsidRPr="00EC6AB6" w:rsidRDefault="001A7FBF"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397AD7" w:rsidRPr="00EC6AB6">
        <w:rPr>
          <w:rFonts w:ascii="Garamond" w:hAnsi="Garamond"/>
          <w:sz w:val="24"/>
          <w:szCs w:val="24"/>
          <w:lang w:val="sq-AL"/>
        </w:rPr>
        <w:t xml:space="preserve">garancitë </w:t>
      </w:r>
      <w:r w:rsidR="008B3748" w:rsidRPr="00EC6AB6">
        <w:rPr>
          <w:rFonts w:ascii="Garamond" w:hAnsi="Garamond"/>
          <w:sz w:val="24"/>
          <w:szCs w:val="24"/>
          <w:lang w:val="sq-AL"/>
        </w:rPr>
        <w:t>shtetërore mund të emetohen me qëllim ristrukturimin e portofolit të garancive shtetërore nëpërmjet reduktimit ose shkëmbimit të huave të garantuara me nivel të lartë risku potencial (p.sh.</w:t>
      </w:r>
      <w:r w:rsidR="008F05BA">
        <w:rPr>
          <w:rFonts w:ascii="Garamond" w:hAnsi="Garamond"/>
          <w:sz w:val="24"/>
          <w:szCs w:val="24"/>
          <w:lang w:val="sq-AL"/>
        </w:rPr>
        <w:t>,</w:t>
      </w:r>
      <w:r w:rsidR="008B3748" w:rsidRPr="00EC6AB6">
        <w:rPr>
          <w:rFonts w:ascii="Garamond" w:hAnsi="Garamond"/>
          <w:sz w:val="24"/>
          <w:szCs w:val="24"/>
          <w:lang w:val="sq-AL"/>
        </w:rPr>
        <w:t xml:space="preserve"> garancitë e brendshme që janë emetuar në favor të sektorit të energjisë).</w:t>
      </w:r>
    </w:p>
    <w:p w14:paraId="4333BA04" w14:textId="77777777" w:rsidR="008B3748" w:rsidRPr="00EC6AB6" w:rsidRDefault="001A7FBF" w:rsidP="008B3748">
      <w:pPr>
        <w:spacing w:after="0" w:line="240" w:lineRule="auto"/>
        <w:rPr>
          <w:rFonts w:ascii="Garamond" w:hAnsi="Garamond"/>
          <w:sz w:val="24"/>
          <w:szCs w:val="24"/>
          <w:lang w:val="sq-AL"/>
        </w:rPr>
      </w:pPr>
      <w:bookmarkStart w:id="109" w:name="_Toc60129478"/>
      <w:bookmarkStart w:id="110" w:name="_Toc491954333"/>
      <w:r w:rsidRPr="00EC6AB6">
        <w:rPr>
          <w:rFonts w:ascii="Garamond" w:hAnsi="Garamond"/>
          <w:sz w:val="24"/>
          <w:szCs w:val="24"/>
          <w:lang w:val="sq-AL"/>
        </w:rPr>
        <w:t xml:space="preserve">2.3.2 </w:t>
      </w:r>
      <w:r w:rsidR="008B3748" w:rsidRPr="00EC6AB6">
        <w:rPr>
          <w:rFonts w:ascii="Garamond" w:hAnsi="Garamond"/>
          <w:sz w:val="24"/>
          <w:szCs w:val="24"/>
          <w:lang w:val="sq-AL"/>
        </w:rPr>
        <w:t>Niveli i garancive shtetërore</w:t>
      </w:r>
      <w:bookmarkEnd w:id="109"/>
      <w:bookmarkEnd w:id="110"/>
    </w:p>
    <w:p w14:paraId="4333BA0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Niveli vjetor i garancive shtetërore do të përcaktohet në ligjet vjetore të buxhetit. Ndërkohë, në periudhën afatmesme niveli i garancive shtetërore planifikohet të qëndrojë nën 6% të totalit të borxhit të qeverisjes qendrore.</w:t>
      </w:r>
    </w:p>
    <w:p w14:paraId="4333BA06" w14:textId="77777777" w:rsidR="008B3748" w:rsidRPr="00EC6AB6" w:rsidRDefault="001A7FBF" w:rsidP="008B3748">
      <w:pPr>
        <w:spacing w:after="0" w:line="240" w:lineRule="auto"/>
        <w:rPr>
          <w:rFonts w:ascii="Garamond" w:hAnsi="Garamond"/>
          <w:sz w:val="24"/>
          <w:szCs w:val="24"/>
          <w:lang w:val="sq-AL"/>
        </w:rPr>
      </w:pPr>
      <w:bookmarkStart w:id="111" w:name="_Toc60129479"/>
      <w:bookmarkStart w:id="112" w:name="_Toc524506561"/>
      <w:bookmarkStart w:id="113" w:name="_Toc491954334"/>
      <w:bookmarkStart w:id="114" w:name="_Toc491861019"/>
      <w:r w:rsidRPr="00EC6AB6">
        <w:rPr>
          <w:rFonts w:ascii="Garamond" w:hAnsi="Garamond"/>
          <w:sz w:val="24"/>
          <w:szCs w:val="24"/>
          <w:lang w:val="sq-AL"/>
        </w:rPr>
        <w:t xml:space="preserve">2.4 </w:t>
      </w:r>
      <w:r w:rsidR="008B3748" w:rsidRPr="00EC6AB6">
        <w:rPr>
          <w:rFonts w:ascii="Garamond" w:hAnsi="Garamond"/>
          <w:sz w:val="24"/>
          <w:szCs w:val="24"/>
          <w:lang w:val="sq-AL"/>
        </w:rPr>
        <w:t>Pritjet e treguesve bazë dhe analiza e ndjeshmërisë</w:t>
      </w:r>
      <w:bookmarkEnd w:id="111"/>
      <w:bookmarkEnd w:id="112"/>
      <w:bookmarkEnd w:id="113"/>
      <w:bookmarkEnd w:id="114"/>
      <w:r w:rsidR="008B3748" w:rsidRPr="00EC6AB6">
        <w:rPr>
          <w:rFonts w:ascii="Garamond" w:hAnsi="Garamond"/>
          <w:sz w:val="24"/>
          <w:szCs w:val="24"/>
          <w:lang w:val="sq-AL"/>
        </w:rPr>
        <w:t xml:space="preserve"> </w:t>
      </w:r>
    </w:p>
    <w:p w14:paraId="4333BA07" w14:textId="3EDC5F4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Implementimi i SAMB</w:t>
      </w:r>
      <w:r w:rsidR="008F05BA">
        <w:rPr>
          <w:rFonts w:ascii="Garamond" w:hAnsi="Garamond"/>
          <w:sz w:val="24"/>
          <w:szCs w:val="24"/>
          <w:lang w:val="sq-AL"/>
        </w:rPr>
        <w:t>-së,</w:t>
      </w:r>
      <w:r w:rsidRPr="00EC6AB6">
        <w:rPr>
          <w:rFonts w:ascii="Garamond" w:hAnsi="Garamond"/>
          <w:sz w:val="24"/>
          <w:szCs w:val="24"/>
          <w:lang w:val="sq-AL"/>
        </w:rPr>
        <w:t xml:space="preserve"> në përputhje me objektivat e vendosur </w:t>
      </w:r>
      <w:r w:rsidR="008F05BA">
        <w:rPr>
          <w:rFonts w:ascii="Garamond" w:hAnsi="Garamond"/>
          <w:sz w:val="24"/>
          <w:szCs w:val="24"/>
          <w:lang w:val="sq-AL"/>
        </w:rPr>
        <w:t>dhe në linjë me supozimet makro</w:t>
      </w:r>
      <w:r w:rsidRPr="00EC6AB6">
        <w:rPr>
          <w:rFonts w:ascii="Garamond" w:hAnsi="Garamond"/>
          <w:sz w:val="24"/>
          <w:szCs w:val="24"/>
          <w:lang w:val="sq-AL"/>
        </w:rPr>
        <w:t>fiskale në skenarin bazë, në fund të periudhës afatmesme do të gjenerojë treguesit si më poshtë:</w:t>
      </w:r>
    </w:p>
    <w:p w14:paraId="4333BA08" w14:textId="79FF0740" w:rsidR="008B3748" w:rsidRPr="00EC6AB6" w:rsidRDefault="001A7FBF" w:rsidP="008B3748">
      <w:pPr>
        <w:spacing w:after="0" w:line="240" w:lineRule="auto"/>
        <w:rPr>
          <w:rFonts w:ascii="Garamond" w:hAnsi="Garamond"/>
          <w:sz w:val="24"/>
          <w:szCs w:val="24"/>
          <w:lang w:val="sq-AL"/>
        </w:rPr>
      </w:pPr>
      <w:bookmarkStart w:id="115" w:name="_Toc60129480"/>
      <w:bookmarkStart w:id="116" w:name="_Toc524506562"/>
      <w:bookmarkStart w:id="117" w:name="_Toc491954335"/>
      <w:bookmarkStart w:id="118" w:name="_Toc491861020"/>
      <w:r w:rsidRPr="00EC6AB6">
        <w:rPr>
          <w:rFonts w:ascii="Garamond" w:hAnsi="Garamond"/>
          <w:sz w:val="24"/>
          <w:szCs w:val="24"/>
          <w:lang w:val="sq-AL"/>
        </w:rPr>
        <w:t xml:space="preserve">2.4.1 </w:t>
      </w:r>
      <w:r w:rsidR="008B3748" w:rsidRPr="00EC6AB6">
        <w:rPr>
          <w:rFonts w:ascii="Garamond" w:hAnsi="Garamond"/>
          <w:sz w:val="24"/>
          <w:szCs w:val="24"/>
          <w:lang w:val="sq-AL"/>
        </w:rPr>
        <w:t xml:space="preserve">Niveli i borxhit të </w:t>
      </w:r>
      <w:r w:rsidR="00397AD7" w:rsidRPr="00EC6AB6">
        <w:rPr>
          <w:rFonts w:ascii="Garamond" w:hAnsi="Garamond"/>
          <w:sz w:val="24"/>
          <w:szCs w:val="24"/>
          <w:lang w:val="sq-AL"/>
        </w:rPr>
        <w:t>qeverisjes qendrore</w:t>
      </w:r>
      <w:bookmarkEnd w:id="115"/>
      <w:bookmarkEnd w:id="116"/>
      <w:bookmarkEnd w:id="117"/>
      <w:bookmarkEnd w:id="118"/>
    </w:p>
    <w:p w14:paraId="4333BA09" w14:textId="2E1D175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Referuar supozimeve të skenarit bazë të kuadrit makroekonomik, sipas të cilave: a) financat publike do të vazhdojnë të ndjekin rrugën e konsolidimit fiskal, duke i dhënë mundësi vendit të mbajë ose përmirësojë vlerësimin e riskut të kreditit; b) ritmet e rritjes ekonomike do të përshpejtohen deri në mesatarisht 4.9% në periudhën afatmesme; dhe c) kursi i këmbimit të monedhës </w:t>
      </w:r>
      <w:r w:rsidR="002B79A7" w:rsidRPr="00EC6AB6">
        <w:rPr>
          <w:rFonts w:ascii="Garamond" w:hAnsi="Garamond"/>
          <w:sz w:val="24"/>
          <w:szCs w:val="24"/>
          <w:lang w:val="sq-AL"/>
        </w:rPr>
        <w:t>vendës</w:t>
      </w:r>
      <w:r w:rsidRPr="00EC6AB6">
        <w:rPr>
          <w:rFonts w:ascii="Garamond" w:hAnsi="Garamond"/>
          <w:sz w:val="24"/>
          <w:szCs w:val="24"/>
          <w:lang w:val="sq-AL"/>
        </w:rPr>
        <w:t xml:space="preserve">e ndaj monedhës </w:t>
      </w:r>
      <w:r w:rsidR="008F05BA" w:rsidRPr="00EC6AB6">
        <w:rPr>
          <w:rFonts w:ascii="Garamond" w:hAnsi="Garamond"/>
          <w:sz w:val="24"/>
          <w:szCs w:val="24"/>
          <w:lang w:val="sq-AL"/>
        </w:rPr>
        <w:t xml:space="preserve">euro </w:t>
      </w:r>
      <w:r w:rsidRPr="00EC6AB6">
        <w:rPr>
          <w:rFonts w:ascii="Garamond" w:hAnsi="Garamond"/>
          <w:sz w:val="24"/>
          <w:szCs w:val="24"/>
          <w:lang w:val="sq-AL"/>
        </w:rPr>
        <w:t xml:space="preserve">parashikohet të jetë në nivele të </w:t>
      </w:r>
      <w:r w:rsidR="00397AD7" w:rsidRPr="00EC6AB6">
        <w:rPr>
          <w:rFonts w:ascii="Garamond" w:hAnsi="Garamond"/>
          <w:sz w:val="24"/>
          <w:szCs w:val="24"/>
          <w:lang w:val="sq-AL"/>
        </w:rPr>
        <w:t>qëndrueshme</w:t>
      </w:r>
      <w:r w:rsidRPr="00EC6AB6">
        <w:rPr>
          <w:rFonts w:ascii="Garamond" w:hAnsi="Garamond"/>
          <w:sz w:val="24"/>
          <w:szCs w:val="24"/>
          <w:lang w:val="sq-AL"/>
        </w:rPr>
        <w:t>, rezulton se:</w:t>
      </w:r>
    </w:p>
    <w:p w14:paraId="4333BA0A" w14:textId="797133F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Si rrjedhojë e Pandemisë </w:t>
      </w:r>
      <w:r w:rsidR="00397AD7" w:rsidRPr="00EC6AB6">
        <w:rPr>
          <w:rFonts w:ascii="Garamond" w:hAnsi="Garamond"/>
          <w:sz w:val="24"/>
          <w:szCs w:val="24"/>
          <w:lang w:val="sq-AL"/>
        </w:rPr>
        <w:t>COVID</w:t>
      </w:r>
      <w:r w:rsidRPr="00EC6AB6">
        <w:rPr>
          <w:rFonts w:ascii="Garamond" w:hAnsi="Garamond"/>
          <w:sz w:val="24"/>
          <w:szCs w:val="24"/>
          <w:lang w:val="sq-AL"/>
        </w:rPr>
        <w:t>-19, e cila pasoi</w:t>
      </w:r>
      <w:r w:rsidR="00FA2519" w:rsidRPr="00EC6AB6">
        <w:rPr>
          <w:rFonts w:ascii="Garamond" w:hAnsi="Garamond"/>
          <w:sz w:val="24"/>
          <w:szCs w:val="24"/>
          <w:lang w:val="sq-AL"/>
        </w:rPr>
        <w:t xml:space="preserve"> </w:t>
      </w:r>
      <w:r w:rsidRPr="00EC6AB6">
        <w:rPr>
          <w:rFonts w:ascii="Garamond" w:hAnsi="Garamond"/>
          <w:sz w:val="24"/>
          <w:szCs w:val="24"/>
          <w:lang w:val="sq-AL"/>
        </w:rPr>
        <w:t xml:space="preserve">tërmetin e fortë që goditi Shqipërinë në </w:t>
      </w:r>
      <w:r w:rsidR="008F05BA" w:rsidRPr="00EC6AB6">
        <w:rPr>
          <w:rFonts w:ascii="Garamond" w:hAnsi="Garamond"/>
          <w:sz w:val="24"/>
          <w:szCs w:val="24"/>
          <w:lang w:val="sq-AL"/>
        </w:rPr>
        <w:t xml:space="preserve">nëntor </w:t>
      </w:r>
      <w:r w:rsidRPr="00EC6AB6">
        <w:rPr>
          <w:rFonts w:ascii="Garamond" w:hAnsi="Garamond"/>
          <w:sz w:val="24"/>
          <w:szCs w:val="24"/>
          <w:lang w:val="sq-AL"/>
        </w:rPr>
        <w:t>të vitit 2019, vendi ka pësuar një tkurrje të madhe ekonomike, duke përmbysur trendin në rënie të borxhit në vitet e fundit dhe duke rritur borxhin publik në rreth 79.9 për</w:t>
      </w:r>
      <w:r w:rsidR="00397AD7" w:rsidRPr="00EC6AB6">
        <w:rPr>
          <w:rFonts w:ascii="Garamond" w:hAnsi="Garamond"/>
          <w:sz w:val="24"/>
          <w:szCs w:val="24"/>
          <w:lang w:val="sq-AL"/>
        </w:rPr>
        <w:t xml:space="preserve"> </w:t>
      </w:r>
      <w:r w:rsidRPr="00EC6AB6">
        <w:rPr>
          <w:rFonts w:ascii="Garamond" w:hAnsi="Garamond"/>
          <w:sz w:val="24"/>
          <w:szCs w:val="24"/>
          <w:lang w:val="sq-AL"/>
        </w:rPr>
        <w:t xml:space="preserve">qind të PBB-së i pritshëm për vitin 2020. Në periudhën afatmesme, niveli i borxhit të qeverisjes qendrore në raport me PBB-në do të vazhdojë të ndjekë trajektoren rënëse, duke qenë në linjë me </w:t>
      </w:r>
      <w:r w:rsidR="00BF168B" w:rsidRPr="00EC6AB6">
        <w:rPr>
          <w:rFonts w:ascii="Garamond" w:hAnsi="Garamond"/>
          <w:sz w:val="24"/>
          <w:szCs w:val="24"/>
          <w:lang w:val="sq-AL"/>
        </w:rPr>
        <w:t xml:space="preserve">objektivat makrofiskalë </w:t>
      </w:r>
      <w:r w:rsidRPr="00EC6AB6">
        <w:rPr>
          <w:rFonts w:ascii="Garamond" w:hAnsi="Garamond"/>
          <w:sz w:val="24"/>
          <w:szCs w:val="24"/>
          <w:lang w:val="sq-AL"/>
        </w:rPr>
        <w:t>dhe në përputhje me rregullat fiskal</w:t>
      </w:r>
      <w:r w:rsidR="008F05BA">
        <w:rPr>
          <w:rFonts w:ascii="Garamond" w:hAnsi="Garamond"/>
          <w:sz w:val="24"/>
          <w:szCs w:val="24"/>
          <w:lang w:val="sq-AL"/>
        </w:rPr>
        <w:t>e</w:t>
      </w:r>
      <w:r w:rsidRPr="00EC6AB6">
        <w:rPr>
          <w:rFonts w:ascii="Garamond" w:hAnsi="Garamond"/>
          <w:sz w:val="24"/>
          <w:szCs w:val="24"/>
          <w:lang w:val="sq-AL"/>
        </w:rPr>
        <w:t xml:space="preserve"> në </w:t>
      </w:r>
      <w:r w:rsidR="008F05BA" w:rsidRPr="00EC6AB6">
        <w:rPr>
          <w:rFonts w:ascii="Garamond" w:hAnsi="Garamond"/>
          <w:sz w:val="24"/>
          <w:szCs w:val="24"/>
          <w:lang w:val="sq-AL"/>
        </w:rPr>
        <w:t>ligjin organik të buxhetit</w:t>
      </w:r>
      <w:r w:rsidRPr="00EC6AB6">
        <w:rPr>
          <w:rFonts w:ascii="Garamond" w:hAnsi="Garamond"/>
          <w:sz w:val="24"/>
          <w:szCs w:val="24"/>
          <w:lang w:val="sq-AL"/>
        </w:rPr>
        <w:t xml:space="preserve">. Borxhi publik </w:t>
      </w:r>
      <w:r w:rsidR="00397AD7" w:rsidRPr="00EC6AB6">
        <w:rPr>
          <w:rFonts w:ascii="Garamond" w:hAnsi="Garamond"/>
          <w:sz w:val="24"/>
          <w:szCs w:val="24"/>
          <w:lang w:val="sq-AL"/>
        </w:rPr>
        <w:t>parashikohet</w:t>
      </w:r>
      <w:r w:rsidRPr="00EC6AB6">
        <w:rPr>
          <w:rFonts w:ascii="Garamond" w:hAnsi="Garamond"/>
          <w:sz w:val="24"/>
          <w:szCs w:val="24"/>
          <w:lang w:val="sq-AL"/>
        </w:rPr>
        <w:t xml:space="preserve"> të bjerë</w:t>
      </w:r>
      <w:r w:rsidR="002C4731" w:rsidRPr="00EC6AB6">
        <w:rPr>
          <w:rFonts w:ascii="Garamond" w:hAnsi="Garamond"/>
          <w:sz w:val="24"/>
          <w:szCs w:val="24"/>
          <w:lang w:val="sq-AL"/>
        </w:rPr>
        <w:t xml:space="preserve"> </w:t>
      </w:r>
      <w:r w:rsidRPr="00EC6AB6">
        <w:rPr>
          <w:rFonts w:ascii="Garamond" w:hAnsi="Garamond"/>
          <w:sz w:val="24"/>
          <w:szCs w:val="24"/>
          <w:lang w:val="sq-AL"/>
        </w:rPr>
        <w:t>gradualisht në rreth 75.6 për</w:t>
      </w:r>
      <w:r w:rsidR="00397AD7" w:rsidRPr="00EC6AB6">
        <w:rPr>
          <w:rFonts w:ascii="Garamond" w:hAnsi="Garamond"/>
          <w:sz w:val="24"/>
          <w:szCs w:val="24"/>
          <w:lang w:val="sq-AL"/>
        </w:rPr>
        <w:t xml:space="preserve"> </w:t>
      </w:r>
      <w:r w:rsidRPr="00EC6AB6">
        <w:rPr>
          <w:rFonts w:ascii="Garamond" w:hAnsi="Garamond"/>
          <w:sz w:val="24"/>
          <w:szCs w:val="24"/>
          <w:lang w:val="sq-AL"/>
        </w:rPr>
        <w:t>qind në vitin 2023.</w:t>
      </w:r>
    </w:p>
    <w:p w14:paraId="4333BA0B"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Niveli i borxhit në valutë në raport me totalin e borxhit të qeverisjes qendrore gjatë periudhës afatmesme pritet të shoqërohet me një rritje të lehtë në vite të caktuara, por duke qëndruar gjithnjë qartësisht nën kufirin strategjik prej 55%. </w:t>
      </w:r>
    </w:p>
    <w:p w14:paraId="4333BA0C" w14:textId="77777777" w:rsidR="008B3748" w:rsidRPr="00EC6AB6" w:rsidRDefault="00232D45" w:rsidP="008B3748">
      <w:pPr>
        <w:spacing w:after="0" w:line="240" w:lineRule="auto"/>
        <w:rPr>
          <w:rFonts w:ascii="Garamond" w:hAnsi="Garamond"/>
          <w:sz w:val="24"/>
          <w:szCs w:val="24"/>
          <w:lang w:val="sq-AL"/>
        </w:rPr>
      </w:pPr>
      <w:bookmarkStart w:id="119" w:name="_Toc60129481"/>
      <w:bookmarkStart w:id="120" w:name="_Toc524506563"/>
      <w:bookmarkStart w:id="121" w:name="_Toc491954336"/>
      <w:bookmarkStart w:id="122" w:name="_Toc491861021"/>
      <w:r w:rsidRPr="00EC6AB6">
        <w:rPr>
          <w:rFonts w:ascii="Garamond" w:hAnsi="Garamond"/>
          <w:sz w:val="24"/>
          <w:szCs w:val="24"/>
          <w:lang w:val="sq-AL"/>
        </w:rPr>
        <w:t xml:space="preserve">2.4.2 </w:t>
      </w:r>
      <w:r w:rsidR="008B3748" w:rsidRPr="00EC6AB6">
        <w:rPr>
          <w:rFonts w:ascii="Garamond" w:hAnsi="Garamond"/>
          <w:sz w:val="24"/>
          <w:szCs w:val="24"/>
          <w:lang w:val="sq-AL"/>
        </w:rPr>
        <w:t>Shërbimi i borxhit shtetëror</w:t>
      </w:r>
      <w:bookmarkEnd w:id="119"/>
      <w:bookmarkEnd w:id="120"/>
      <w:bookmarkEnd w:id="121"/>
      <w:bookmarkEnd w:id="122"/>
    </w:p>
    <w:p w14:paraId="4333BA0D" w14:textId="1E12D8A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Referuar parashikimeve në skenarin bazë</w:t>
      </w:r>
      <w:r w:rsidR="008F05BA">
        <w:rPr>
          <w:rFonts w:ascii="Garamond" w:hAnsi="Garamond"/>
          <w:sz w:val="24"/>
          <w:szCs w:val="24"/>
          <w:lang w:val="sq-AL"/>
        </w:rPr>
        <w:t>,</w:t>
      </w:r>
      <w:r w:rsidRPr="00EC6AB6">
        <w:rPr>
          <w:rFonts w:ascii="Garamond" w:hAnsi="Garamond"/>
          <w:sz w:val="24"/>
          <w:szCs w:val="24"/>
          <w:lang w:val="sq-AL"/>
        </w:rPr>
        <w:t xml:space="preserve"> sipas të cilave: a) normat e interesit gjatë periudhës afatmesme do të qëndrojnë në nivele të krahasueshme me normat aktuale; dhe b) stoku i borxhit në terma bruto do të shoqërohet me rritje në përputhje me nevojat fiskale, rezulton se kostot e borxhit shtetëror</w:t>
      </w:r>
      <w:r w:rsidRPr="00EC6AB6">
        <w:rPr>
          <w:rFonts w:ascii="Garamond" w:hAnsi="Garamond"/>
          <w:sz w:val="24"/>
          <w:szCs w:val="24"/>
          <w:vertAlign w:val="superscript"/>
          <w:lang w:val="sq-AL"/>
        </w:rPr>
        <w:footnoteReference w:id="10"/>
      </w:r>
      <w:r w:rsidRPr="00EC6AB6">
        <w:rPr>
          <w:rFonts w:ascii="Garamond" w:hAnsi="Garamond"/>
          <w:sz w:val="24"/>
          <w:szCs w:val="24"/>
          <w:lang w:val="sq-AL"/>
        </w:rPr>
        <w:t xml:space="preserve"> në vlerë absolute mund të shkojnë deri në rreth 50 miliardë lekë në fund të vitit 2023. Kostot e borxhit në terma relativ</w:t>
      </w:r>
      <w:r w:rsidR="008F05BA">
        <w:rPr>
          <w:rFonts w:ascii="Garamond" w:hAnsi="Garamond"/>
          <w:sz w:val="24"/>
          <w:szCs w:val="24"/>
          <w:lang w:val="sq-AL"/>
        </w:rPr>
        <w:t>ë</w:t>
      </w:r>
      <w:r w:rsidRPr="00EC6AB6">
        <w:rPr>
          <w:rFonts w:ascii="Garamond" w:hAnsi="Garamond"/>
          <w:sz w:val="24"/>
          <w:szCs w:val="24"/>
          <w:lang w:val="sq-AL"/>
        </w:rPr>
        <w:t xml:space="preserve"> ndaj PBB-së dhe ndaj të ardhurave në buxhet pritet të rriten, kjo si pasojë e pandemisë </w:t>
      </w:r>
      <w:r w:rsidR="00397AD7" w:rsidRPr="00EC6AB6">
        <w:rPr>
          <w:rFonts w:ascii="Garamond" w:hAnsi="Garamond"/>
          <w:sz w:val="24"/>
          <w:szCs w:val="24"/>
          <w:lang w:val="sq-AL"/>
        </w:rPr>
        <w:t>COVID</w:t>
      </w:r>
      <w:r w:rsidRPr="00EC6AB6">
        <w:rPr>
          <w:rFonts w:ascii="Garamond" w:hAnsi="Garamond"/>
          <w:sz w:val="24"/>
          <w:szCs w:val="24"/>
          <w:lang w:val="sq-AL"/>
        </w:rPr>
        <w:t>-19 e kombinuar me tërmetin e fortë që goditi Shqipërinë në nëntor të vitit 2019, duke sjellë rritje të borxhit publik në 79.9 për qind të PBB-së në vitin 2020. Pavarësisht vlerave në terma absolut</w:t>
      </w:r>
      <w:r w:rsidR="008F05BA">
        <w:rPr>
          <w:rFonts w:ascii="Garamond" w:hAnsi="Garamond"/>
          <w:sz w:val="24"/>
          <w:szCs w:val="24"/>
          <w:lang w:val="sq-AL"/>
        </w:rPr>
        <w:t>ë</w:t>
      </w:r>
      <w:r w:rsidRPr="00EC6AB6">
        <w:rPr>
          <w:rFonts w:ascii="Garamond" w:hAnsi="Garamond"/>
          <w:sz w:val="24"/>
          <w:szCs w:val="24"/>
          <w:lang w:val="sq-AL"/>
        </w:rPr>
        <w:t>, kostot e borxhit në terma relativ</w:t>
      </w:r>
      <w:r w:rsidR="008F05BA">
        <w:rPr>
          <w:rFonts w:ascii="Garamond" w:hAnsi="Garamond"/>
          <w:sz w:val="24"/>
          <w:szCs w:val="24"/>
          <w:lang w:val="sq-AL"/>
        </w:rPr>
        <w:t>ë</w:t>
      </w:r>
      <w:r w:rsidRPr="00EC6AB6">
        <w:rPr>
          <w:rFonts w:ascii="Garamond" w:hAnsi="Garamond"/>
          <w:sz w:val="24"/>
          <w:szCs w:val="24"/>
          <w:lang w:val="sq-AL"/>
        </w:rPr>
        <w:t xml:space="preserve"> ndaj PBB</w:t>
      </w:r>
      <w:r w:rsidR="008F05BA">
        <w:rPr>
          <w:rFonts w:ascii="Garamond" w:hAnsi="Garamond"/>
          <w:sz w:val="24"/>
          <w:szCs w:val="24"/>
          <w:lang w:val="sq-AL"/>
        </w:rPr>
        <w:t>-së</w:t>
      </w:r>
      <w:r w:rsidRPr="00EC6AB6">
        <w:rPr>
          <w:rFonts w:ascii="Garamond" w:hAnsi="Garamond"/>
          <w:sz w:val="24"/>
          <w:szCs w:val="24"/>
          <w:lang w:val="sq-AL"/>
        </w:rPr>
        <w:t xml:space="preserve"> dhe ndaj të ardhurave në buxhet priten të jenë të qëndrueshme, duke mbajtur nën kontroll riskun fiskal dhe duke siguruar tërësisht aftësinë paguese të qeverisë.</w:t>
      </w:r>
    </w:p>
    <w:p w14:paraId="4333BA0E" w14:textId="77777777" w:rsidR="008B3748" w:rsidRPr="00EC6AB6" w:rsidRDefault="008B3748" w:rsidP="008B3748">
      <w:pPr>
        <w:spacing w:after="0" w:line="240" w:lineRule="auto"/>
        <w:rPr>
          <w:rFonts w:ascii="Garamond" w:hAnsi="Garamond"/>
          <w:sz w:val="24"/>
          <w:szCs w:val="24"/>
          <w:lang w:val="sq-AL"/>
        </w:rPr>
      </w:pPr>
    </w:p>
    <w:p w14:paraId="4333BA0F" w14:textId="77777777" w:rsidR="00232D45" w:rsidRPr="00EC6AB6" w:rsidRDefault="00232D45" w:rsidP="008B3748">
      <w:pPr>
        <w:spacing w:after="0" w:line="240" w:lineRule="auto"/>
        <w:rPr>
          <w:rFonts w:ascii="Garamond" w:hAnsi="Garamond"/>
          <w:sz w:val="24"/>
          <w:szCs w:val="24"/>
          <w:lang w:val="sq-AL"/>
        </w:rPr>
      </w:pPr>
    </w:p>
    <w:p w14:paraId="4333BA10" w14:textId="77777777" w:rsidR="00232D45" w:rsidRPr="00EC6AB6" w:rsidRDefault="00232D45" w:rsidP="008B3748">
      <w:pPr>
        <w:spacing w:after="0" w:line="240" w:lineRule="auto"/>
        <w:rPr>
          <w:rFonts w:ascii="Garamond" w:hAnsi="Garamond"/>
          <w:sz w:val="24"/>
          <w:szCs w:val="24"/>
          <w:lang w:val="sq-AL"/>
        </w:rPr>
      </w:pPr>
    </w:p>
    <w:p w14:paraId="4333BA11" w14:textId="7EE36DFC" w:rsidR="008B3748" w:rsidRPr="00EC6AB6" w:rsidRDefault="008B3748" w:rsidP="00043D51">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lastRenderedPageBreak/>
        <w:t xml:space="preserve">Paraqitje </w:t>
      </w:r>
      <w:r w:rsidR="00043D51" w:rsidRPr="00EC6AB6">
        <w:rPr>
          <w:rFonts w:ascii="Garamond" w:hAnsi="Garamond"/>
          <w:b/>
          <w:i/>
          <w:sz w:val="20"/>
          <w:szCs w:val="20"/>
          <w:lang w:val="sq-AL"/>
        </w:rPr>
        <w:t xml:space="preserve">grafike </w:t>
      </w:r>
      <w:r w:rsidRPr="00EC6AB6">
        <w:rPr>
          <w:rFonts w:ascii="Garamond" w:hAnsi="Garamond"/>
          <w:b/>
          <w:i/>
          <w:sz w:val="20"/>
          <w:szCs w:val="20"/>
          <w:lang w:val="sq-AL"/>
        </w:rPr>
        <w:t>2.4.2: Pritjet e shpenzimeve për interesa të borxhit shtetëror në terma absolut</w:t>
      </w:r>
      <w:r w:rsidR="00EF6F8B">
        <w:rPr>
          <w:rFonts w:ascii="Garamond" w:hAnsi="Garamond"/>
          <w:b/>
          <w:i/>
          <w:sz w:val="20"/>
          <w:szCs w:val="20"/>
          <w:lang w:val="sq-AL"/>
        </w:rPr>
        <w:t>ë</w:t>
      </w:r>
      <w:r w:rsidRPr="00EC6AB6">
        <w:rPr>
          <w:rFonts w:ascii="Garamond" w:hAnsi="Garamond"/>
          <w:b/>
          <w:i/>
          <w:sz w:val="20"/>
          <w:szCs w:val="20"/>
          <w:lang w:val="sq-AL"/>
        </w:rPr>
        <w:t xml:space="preserve"> dhe relativ</w:t>
      </w:r>
      <w:r w:rsidR="00EF6F8B">
        <w:rPr>
          <w:rFonts w:ascii="Garamond" w:hAnsi="Garamond"/>
          <w:b/>
          <w:i/>
          <w:sz w:val="20"/>
          <w:szCs w:val="20"/>
          <w:lang w:val="sq-AL"/>
        </w:rPr>
        <w:t>ë</w:t>
      </w:r>
      <w:r w:rsidRPr="00EC6AB6">
        <w:rPr>
          <w:rFonts w:ascii="Garamond" w:hAnsi="Garamond"/>
          <w:b/>
          <w:i/>
          <w:sz w:val="20"/>
          <w:szCs w:val="20"/>
          <w:lang w:val="sq-AL"/>
        </w:rPr>
        <w:t xml:space="preserve"> ndaj PBB-së dhe të ardhurave tatimore (2014</w:t>
      </w:r>
      <w:r w:rsidR="00043D51" w:rsidRPr="00EC6AB6">
        <w:rPr>
          <w:rFonts w:ascii="Garamond" w:hAnsi="Garamond"/>
          <w:b/>
          <w:i/>
          <w:sz w:val="20"/>
          <w:szCs w:val="20"/>
          <w:lang w:val="sq-AL"/>
        </w:rPr>
        <w:t>–</w:t>
      </w:r>
      <w:r w:rsidRPr="00EC6AB6">
        <w:rPr>
          <w:rFonts w:ascii="Garamond" w:hAnsi="Garamond"/>
          <w:b/>
          <w:i/>
          <w:sz w:val="20"/>
          <w:szCs w:val="20"/>
          <w:lang w:val="sq-AL"/>
        </w:rPr>
        <w:t>2023)</w:t>
      </w:r>
    </w:p>
    <w:p w14:paraId="4333BA12" w14:textId="77777777" w:rsidR="008B3748" w:rsidRPr="00EC6AB6" w:rsidRDefault="008B3748" w:rsidP="00232D45">
      <w:pPr>
        <w:spacing w:after="0" w:line="240" w:lineRule="auto"/>
        <w:ind w:firstLine="0"/>
        <w:jc w:val="center"/>
        <w:rPr>
          <w:rFonts w:ascii="Garamond" w:hAnsi="Garamond"/>
          <w:sz w:val="24"/>
          <w:szCs w:val="24"/>
          <w:highlight w:val="yellow"/>
          <w:lang w:val="sq-AL"/>
        </w:rPr>
      </w:pPr>
      <w:r w:rsidRPr="00EC6AB6">
        <w:rPr>
          <w:rFonts w:ascii="Garamond" w:hAnsi="Garamond"/>
          <w:noProof/>
          <w:sz w:val="24"/>
          <w:szCs w:val="24"/>
        </w:rPr>
        <w:drawing>
          <wp:inline distT="0" distB="0" distL="0" distR="0" wp14:anchorId="4333BB7C" wp14:editId="4333BB7D">
            <wp:extent cx="5923915" cy="228981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3915" cy="2289810"/>
                    </a:xfrm>
                    <a:prstGeom prst="rect">
                      <a:avLst/>
                    </a:prstGeom>
                    <a:noFill/>
                    <a:ln>
                      <a:noFill/>
                    </a:ln>
                  </pic:spPr>
                </pic:pic>
              </a:graphicData>
            </a:graphic>
          </wp:inline>
        </w:drawing>
      </w:r>
    </w:p>
    <w:p w14:paraId="4333BA13" w14:textId="77777777" w:rsidR="008B3748" w:rsidRPr="00EC6AB6" w:rsidRDefault="008B3748" w:rsidP="00232D45">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A14" w14:textId="77777777" w:rsidR="008B3748" w:rsidRPr="00EC6AB6" w:rsidRDefault="008B3748" w:rsidP="008B3748">
      <w:pPr>
        <w:spacing w:after="0" w:line="240" w:lineRule="auto"/>
        <w:rPr>
          <w:rFonts w:ascii="Garamond" w:hAnsi="Garamond"/>
          <w:sz w:val="24"/>
          <w:szCs w:val="24"/>
          <w:lang w:val="sq-AL"/>
        </w:rPr>
      </w:pPr>
    </w:p>
    <w:p w14:paraId="4333BA15" w14:textId="77777777" w:rsidR="008B3748" w:rsidRPr="00EC6AB6" w:rsidRDefault="00232D45" w:rsidP="008B3748">
      <w:pPr>
        <w:spacing w:after="0" w:line="240" w:lineRule="auto"/>
        <w:rPr>
          <w:rFonts w:ascii="Garamond" w:hAnsi="Garamond"/>
          <w:sz w:val="24"/>
          <w:szCs w:val="24"/>
          <w:lang w:val="sq-AL"/>
        </w:rPr>
      </w:pPr>
      <w:bookmarkStart w:id="123" w:name="_Toc60129482"/>
      <w:bookmarkStart w:id="124" w:name="_Toc524506564"/>
      <w:bookmarkStart w:id="125" w:name="_Toc491954337"/>
      <w:bookmarkStart w:id="126" w:name="_Toc491861022"/>
      <w:r w:rsidRPr="00EC6AB6">
        <w:rPr>
          <w:rFonts w:ascii="Garamond" w:hAnsi="Garamond"/>
          <w:sz w:val="24"/>
          <w:szCs w:val="24"/>
          <w:lang w:val="sq-AL"/>
        </w:rPr>
        <w:t xml:space="preserve">2.4.3 </w:t>
      </w:r>
      <w:r w:rsidR="008B3748" w:rsidRPr="00EC6AB6">
        <w:rPr>
          <w:rFonts w:ascii="Garamond" w:hAnsi="Garamond"/>
          <w:sz w:val="24"/>
          <w:szCs w:val="24"/>
          <w:lang w:val="sq-AL"/>
        </w:rPr>
        <w:t>Analiza e ndjeshmërisë</w:t>
      </w:r>
      <w:bookmarkEnd w:id="123"/>
      <w:bookmarkEnd w:id="124"/>
      <w:bookmarkEnd w:id="125"/>
      <w:bookmarkEnd w:id="126"/>
    </w:p>
    <w:p w14:paraId="4333BA16" w14:textId="6296407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Parashikimet në lidhje me nivelin dhe kostot e borxhit në skenarin bazë mund të jenë objekt ndrysh</w:t>
      </w:r>
      <w:r w:rsidR="00C12675">
        <w:rPr>
          <w:rFonts w:ascii="Garamond" w:hAnsi="Garamond"/>
          <w:sz w:val="24"/>
          <w:szCs w:val="24"/>
          <w:lang w:val="sq-AL"/>
        </w:rPr>
        <w:t>imi, në rast se supozimet makro</w:t>
      </w:r>
      <w:r w:rsidRPr="00EC6AB6">
        <w:rPr>
          <w:rFonts w:ascii="Garamond" w:hAnsi="Garamond"/>
          <w:sz w:val="24"/>
          <w:szCs w:val="24"/>
          <w:lang w:val="sq-AL"/>
        </w:rPr>
        <w:t>fiskale dhe ato të treguesve të tregut do të paraqesin ndryshime. Sipas skenarit bazë, borxhi publik bruto parashikohet të bjerë gradualisht nga kulmi i rreth 79.9 për</w:t>
      </w:r>
      <w:r w:rsidR="00043D51" w:rsidRPr="00EC6AB6">
        <w:rPr>
          <w:rFonts w:ascii="Garamond" w:hAnsi="Garamond"/>
          <w:sz w:val="24"/>
          <w:szCs w:val="24"/>
          <w:lang w:val="sq-AL"/>
        </w:rPr>
        <w:t xml:space="preserve"> </w:t>
      </w:r>
      <w:r w:rsidRPr="00EC6AB6">
        <w:rPr>
          <w:rFonts w:ascii="Garamond" w:hAnsi="Garamond"/>
          <w:sz w:val="24"/>
          <w:szCs w:val="24"/>
          <w:lang w:val="sq-AL"/>
        </w:rPr>
        <w:t>qind në vitin 2020 në rreth 75.6 për</w:t>
      </w:r>
      <w:r w:rsidR="00043D51" w:rsidRPr="00EC6AB6">
        <w:rPr>
          <w:rFonts w:ascii="Garamond" w:hAnsi="Garamond"/>
          <w:sz w:val="24"/>
          <w:szCs w:val="24"/>
          <w:lang w:val="sq-AL"/>
        </w:rPr>
        <w:t xml:space="preserve"> </w:t>
      </w:r>
      <w:r w:rsidRPr="00EC6AB6">
        <w:rPr>
          <w:rFonts w:ascii="Garamond" w:hAnsi="Garamond"/>
          <w:sz w:val="24"/>
          <w:szCs w:val="24"/>
          <w:lang w:val="sq-AL"/>
        </w:rPr>
        <w:t xml:space="preserve">qind në vitin 2023. </w:t>
      </w:r>
    </w:p>
    <w:p w14:paraId="4333BA17" w14:textId="1630F99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Analiza e mëposhtme paraqet ndjeshmërinë e treguesve kryesorë të borxhit ndaj ndryshimeve të treguesve të tregut, ndërkohë që ndje</w:t>
      </w:r>
      <w:r w:rsidR="00C12675">
        <w:rPr>
          <w:rFonts w:ascii="Garamond" w:hAnsi="Garamond"/>
          <w:sz w:val="24"/>
          <w:szCs w:val="24"/>
          <w:lang w:val="sq-AL"/>
        </w:rPr>
        <w:t>shmëria ndaj indikatorëve makro</w:t>
      </w:r>
      <w:r w:rsidRPr="00EC6AB6">
        <w:rPr>
          <w:rFonts w:ascii="Garamond" w:hAnsi="Garamond"/>
          <w:sz w:val="24"/>
          <w:szCs w:val="24"/>
          <w:lang w:val="sq-AL"/>
        </w:rPr>
        <w:t>fiskal</w:t>
      </w:r>
      <w:r w:rsidR="00C12675">
        <w:rPr>
          <w:rFonts w:ascii="Garamond" w:hAnsi="Garamond"/>
          <w:sz w:val="24"/>
          <w:szCs w:val="24"/>
          <w:lang w:val="sq-AL"/>
        </w:rPr>
        <w:t>ë</w:t>
      </w:r>
      <w:r w:rsidRPr="00EC6AB6">
        <w:rPr>
          <w:rFonts w:ascii="Garamond" w:hAnsi="Garamond"/>
          <w:sz w:val="24"/>
          <w:szCs w:val="24"/>
          <w:lang w:val="sq-AL"/>
        </w:rPr>
        <w:t xml:space="preserve"> është objekt trajtimi i analizave të </w:t>
      </w:r>
      <w:r w:rsidR="004D5CA5" w:rsidRPr="00EC6AB6">
        <w:rPr>
          <w:rFonts w:ascii="Garamond" w:hAnsi="Garamond"/>
          <w:sz w:val="24"/>
          <w:szCs w:val="24"/>
          <w:lang w:val="sq-AL"/>
        </w:rPr>
        <w:t>qëndrueshmërisë</w:t>
      </w:r>
      <w:r w:rsidRPr="00EC6AB6">
        <w:rPr>
          <w:rFonts w:ascii="Garamond" w:hAnsi="Garamond"/>
          <w:sz w:val="24"/>
          <w:szCs w:val="24"/>
          <w:lang w:val="sq-AL"/>
        </w:rPr>
        <w:t xml:space="preserve"> së borxhit.</w:t>
      </w:r>
    </w:p>
    <w:p w14:paraId="4333BA18" w14:textId="318A182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Nënçmimi i mundshëm i monedhës </w:t>
      </w:r>
      <w:r w:rsidR="002B79A7" w:rsidRPr="00EC6AB6">
        <w:rPr>
          <w:rFonts w:ascii="Garamond" w:hAnsi="Garamond"/>
          <w:sz w:val="24"/>
          <w:szCs w:val="24"/>
          <w:lang w:val="sq-AL"/>
        </w:rPr>
        <w:t>vendës</w:t>
      </w:r>
      <w:r w:rsidRPr="00EC6AB6">
        <w:rPr>
          <w:rFonts w:ascii="Garamond" w:hAnsi="Garamond"/>
          <w:sz w:val="24"/>
          <w:szCs w:val="24"/>
          <w:lang w:val="sq-AL"/>
        </w:rPr>
        <w:t xml:space="preserve">e përtej pritshmërive, kundrejt monedhës </w:t>
      </w:r>
      <w:r w:rsidR="00C12675" w:rsidRPr="00EC6AB6">
        <w:rPr>
          <w:rFonts w:ascii="Garamond" w:hAnsi="Garamond"/>
          <w:sz w:val="24"/>
          <w:szCs w:val="24"/>
          <w:lang w:val="sq-AL"/>
        </w:rPr>
        <w:t xml:space="preserve">euro </w:t>
      </w:r>
      <w:r w:rsidRPr="00EC6AB6">
        <w:rPr>
          <w:rFonts w:ascii="Garamond" w:hAnsi="Garamond"/>
          <w:sz w:val="24"/>
          <w:szCs w:val="24"/>
          <w:lang w:val="sq-AL"/>
        </w:rPr>
        <w:t xml:space="preserve">ose monedhave të tjera që përbëjnë portofolin e borxhit të huaj, do të kishte ndikim mbi trajektoren e nivelit të borxhit, duke ngadalësuar ritmet e uljes së planifikuar. Përveç sa më sipër, nënçmimi i monedhës </w:t>
      </w:r>
      <w:r w:rsidR="002B79A7" w:rsidRPr="00EC6AB6">
        <w:rPr>
          <w:rFonts w:ascii="Garamond" w:hAnsi="Garamond"/>
          <w:sz w:val="24"/>
          <w:szCs w:val="24"/>
          <w:lang w:val="sq-AL"/>
        </w:rPr>
        <w:t>vendës</w:t>
      </w:r>
      <w:r w:rsidRPr="00EC6AB6">
        <w:rPr>
          <w:rFonts w:ascii="Garamond" w:hAnsi="Garamond"/>
          <w:sz w:val="24"/>
          <w:szCs w:val="24"/>
          <w:lang w:val="sq-AL"/>
        </w:rPr>
        <w:t>e do të kishte ndikim edhe mbi koston e borxhit.</w:t>
      </w:r>
    </w:p>
    <w:p w14:paraId="4333BA19" w14:textId="748C86E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Më konkretisht, bazuar në të dhënat historike të kursit të këmbimit, një nënçmim i kursit të këmbimit të monedhës </w:t>
      </w:r>
      <w:r w:rsidR="002B79A7" w:rsidRPr="00EC6AB6">
        <w:rPr>
          <w:rFonts w:ascii="Garamond" w:hAnsi="Garamond"/>
          <w:sz w:val="24"/>
          <w:szCs w:val="24"/>
          <w:lang w:val="sq-AL"/>
        </w:rPr>
        <w:t>vendës</w:t>
      </w:r>
      <w:r w:rsidRPr="00EC6AB6">
        <w:rPr>
          <w:rFonts w:ascii="Garamond" w:hAnsi="Garamond"/>
          <w:sz w:val="24"/>
          <w:szCs w:val="24"/>
          <w:lang w:val="sq-AL"/>
        </w:rPr>
        <w:t>e me 9%</w:t>
      </w:r>
      <w:r w:rsidRPr="00EC6AB6">
        <w:rPr>
          <w:rFonts w:ascii="Garamond" w:hAnsi="Garamond"/>
          <w:sz w:val="24"/>
          <w:szCs w:val="24"/>
          <w:vertAlign w:val="superscript"/>
          <w:lang w:val="sq-AL"/>
        </w:rPr>
        <w:footnoteReference w:id="11"/>
      </w:r>
      <w:r w:rsidRPr="00EC6AB6">
        <w:rPr>
          <w:rFonts w:ascii="Garamond" w:hAnsi="Garamond"/>
          <w:sz w:val="24"/>
          <w:szCs w:val="24"/>
          <w:lang w:val="sq-AL"/>
        </w:rPr>
        <w:t xml:space="preserve"> ndaj të gjitha monedhave që përbëjnë portofolin e borxhit të jashtëm, duke filluar nga viti 2021, do e rriste nivelin e borxhit në raport me PBB</w:t>
      </w:r>
      <w:r w:rsidR="00C12675">
        <w:rPr>
          <w:rFonts w:ascii="Garamond" w:hAnsi="Garamond"/>
          <w:sz w:val="24"/>
          <w:szCs w:val="24"/>
          <w:lang w:val="sq-AL"/>
        </w:rPr>
        <w:t>-në</w:t>
      </w:r>
      <w:r w:rsidRPr="00EC6AB6">
        <w:rPr>
          <w:rFonts w:ascii="Garamond" w:hAnsi="Garamond"/>
          <w:sz w:val="24"/>
          <w:szCs w:val="24"/>
          <w:lang w:val="sq-AL"/>
        </w:rPr>
        <w:t xml:space="preserve"> maksimalisht me 3.3 pp dhe në të njëjtën kohë kostot e borxhit mesatarisht me rreth 1 miliard </w:t>
      </w:r>
      <w:r w:rsidR="00C12675">
        <w:rPr>
          <w:rFonts w:ascii="Garamond" w:hAnsi="Garamond"/>
          <w:sz w:val="24"/>
          <w:szCs w:val="24"/>
          <w:lang w:val="sq-AL"/>
        </w:rPr>
        <w:t>lek</w:t>
      </w:r>
      <w:r w:rsidR="00C12675" w:rsidRPr="00EC6AB6">
        <w:rPr>
          <w:rFonts w:ascii="Garamond" w:hAnsi="Garamond"/>
          <w:sz w:val="24"/>
          <w:szCs w:val="24"/>
          <w:lang w:val="sq-AL"/>
        </w:rPr>
        <w:t xml:space="preserve"> </w:t>
      </w:r>
      <w:r w:rsidRPr="00EC6AB6">
        <w:rPr>
          <w:rFonts w:ascii="Garamond" w:hAnsi="Garamond"/>
          <w:sz w:val="24"/>
          <w:szCs w:val="24"/>
          <w:lang w:val="sq-AL"/>
        </w:rPr>
        <w:t xml:space="preserve">në vit. Në rastin e nënçmimit të monedhës </w:t>
      </w:r>
      <w:r w:rsidR="002B79A7" w:rsidRPr="00EC6AB6">
        <w:rPr>
          <w:rFonts w:ascii="Garamond" w:hAnsi="Garamond"/>
          <w:sz w:val="24"/>
          <w:szCs w:val="24"/>
          <w:lang w:val="sq-AL"/>
        </w:rPr>
        <w:t>vendës</w:t>
      </w:r>
      <w:r w:rsidRPr="00EC6AB6">
        <w:rPr>
          <w:rFonts w:ascii="Garamond" w:hAnsi="Garamond"/>
          <w:sz w:val="24"/>
          <w:szCs w:val="24"/>
          <w:lang w:val="sq-AL"/>
        </w:rPr>
        <w:t>e me 15% ndaj të gjitha monedhave që përbëjnë portofolin e borxhit të jashtëm, efektet mbi nivelin e borxhit të qeverisjes qendrore në raport me PBB dhe koston e tij do të ishin më të moderuara, përkatësisht me rritje deri në 4.3 pp dhe rreth 1.9 miliardë lekë në vit.</w:t>
      </w:r>
    </w:p>
    <w:p w14:paraId="4333BA1A" w14:textId="73D93E14"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grafikët e mëposhtëm paraqitet ndjeshmëria e nivelit të borxhit shtetëror dhe </w:t>
      </w:r>
      <w:r w:rsidR="00C12675">
        <w:rPr>
          <w:rFonts w:ascii="Garamond" w:hAnsi="Garamond"/>
          <w:sz w:val="24"/>
          <w:szCs w:val="24"/>
          <w:lang w:val="sq-AL"/>
        </w:rPr>
        <w:t xml:space="preserve">e </w:t>
      </w:r>
      <w:r w:rsidRPr="00EC6AB6">
        <w:rPr>
          <w:rFonts w:ascii="Garamond" w:hAnsi="Garamond"/>
          <w:sz w:val="24"/>
          <w:szCs w:val="24"/>
          <w:lang w:val="sq-AL"/>
        </w:rPr>
        <w:t>kostos së së tij</w:t>
      </w:r>
      <w:r w:rsidR="00C12675">
        <w:rPr>
          <w:rFonts w:ascii="Garamond" w:hAnsi="Garamond"/>
          <w:sz w:val="24"/>
          <w:szCs w:val="24"/>
          <w:lang w:val="sq-AL"/>
        </w:rPr>
        <w:t>,</w:t>
      </w:r>
      <w:r w:rsidRPr="00EC6AB6">
        <w:rPr>
          <w:rFonts w:ascii="Garamond" w:hAnsi="Garamond"/>
          <w:sz w:val="24"/>
          <w:szCs w:val="24"/>
          <w:lang w:val="sq-AL"/>
        </w:rPr>
        <w:t xml:space="preserve"> si pasojë e goditjeve të kursit të këmbimit, përkatësisht 9% dhe 15%.</w:t>
      </w:r>
    </w:p>
    <w:p w14:paraId="4333BA1B" w14:textId="77777777" w:rsidR="008B3748" w:rsidRPr="00EC6AB6" w:rsidRDefault="008B3748" w:rsidP="008B3748">
      <w:pPr>
        <w:spacing w:after="0" w:line="240" w:lineRule="auto"/>
        <w:rPr>
          <w:rFonts w:ascii="Garamond" w:hAnsi="Garamond"/>
          <w:sz w:val="24"/>
          <w:szCs w:val="24"/>
          <w:highlight w:val="yellow"/>
          <w:lang w:val="sq-AL"/>
        </w:rPr>
      </w:pPr>
    </w:p>
    <w:p w14:paraId="4333BA1C" w14:textId="77777777" w:rsidR="00232D45" w:rsidRPr="00EC6AB6" w:rsidRDefault="00232D45" w:rsidP="008B3748">
      <w:pPr>
        <w:spacing w:after="0" w:line="240" w:lineRule="auto"/>
        <w:rPr>
          <w:rFonts w:ascii="Garamond" w:hAnsi="Garamond"/>
          <w:sz w:val="24"/>
          <w:szCs w:val="24"/>
          <w:highlight w:val="yellow"/>
          <w:lang w:val="sq-AL"/>
        </w:rPr>
      </w:pPr>
    </w:p>
    <w:p w14:paraId="4333BA1D" w14:textId="77777777" w:rsidR="00232D45" w:rsidRPr="00EC6AB6" w:rsidRDefault="00232D45" w:rsidP="008B3748">
      <w:pPr>
        <w:spacing w:after="0" w:line="240" w:lineRule="auto"/>
        <w:rPr>
          <w:rFonts w:ascii="Garamond" w:hAnsi="Garamond"/>
          <w:sz w:val="24"/>
          <w:szCs w:val="24"/>
          <w:highlight w:val="yellow"/>
          <w:lang w:val="sq-AL"/>
        </w:rPr>
      </w:pPr>
    </w:p>
    <w:p w14:paraId="4333BA1E" w14:textId="77777777" w:rsidR="00232D45" w:rsidRPr="00EC6AB6" w:rsidRDefault="00232D45" w:rsidP="008B3748">
      <w:pPr>
        <w:spacing w:after="0" w:line="240" w:lineRule="auto"/>
        <w:rPr>
          <w:rFonts w:ascii="Garamond" w:hAnsi="Garamond"/>
          <w:sz w:val="24"/>
          <w:szCs w:val="24"/>
          <w:highlight w:val="yellow"/>
          <w:lang w:val="sq-AL"/>
        </w:rPr>
      </w:pPr>
    </w:p>
    <w:p w14:paraId="4333BA1F" w14:textId="77777777" w:rsidR="00232D45" w:rsidRPr="00EC6AB6" w:rsidRDefault="00232D45" w:rsidP="008B3748">
      <w:pPr>
        <w:spacing w:after="0" w:line="240" w:lineRule="auto"/>
        <w:rPr>
          <w:rFonts w:ascii="Garamond" w:hAnsi="Garamond"/>
          <w:sz w:val="24"/>
          <w:szCs w:val="24"/>
          <w:highlight w:val="yellow"/>
          <w:lang w:val="sq-AL"/>
        </w:rPr>
      </w:pPr>
    </w:p>
    <w:p w14:paraId="4333BA20" w14:textId="77777777" w:rsidR="00232D45" w:rsidRPr="00EC6AB6" w:rsidRDefault="00232D45" w:rsidP="008B3748">
      <w:pPr>
        <w:spacing w:after="0" w:line="240" w:lineRule="auto"/>
        <w:rPr>
          <w:rFonts w:ascii="Garamond" w:hAnsi="Garamond"/>
          <w:sz w:val="24"/>
          <w:szCs w:val="24"/>
          <w:highlight w:val="yellow"/>
          <w:lang w:val="sq-AL"/>
        </w:rPr>
      </w:pPr>
    </w:p>
    <w:p w14:paraId="4333BA21" w14:textId="77777777" w:rsidR="00232D45" w:rsidRPr="00EC6AB6" w:rsidRDefault="00232D45" w:rsidP="008B3748">
      <w:pPr>
        <w:spacing w:after="0" w:line="240" w:lineRule="auto"/>
        <w:rPr>
          <w:rFonts w:ascii="Garamond" w:hAnsi="Garamond"/>
          <w:sz w:val="24"/>
          <w:szCs w:val="24"/>
          <w:highlight w:val="yellow"/>
          <w:lang w:val="sq-AL"/>
        </w:rPr>
      </w:pPr>
    </w:p>
    <w:p w14:paraId="4333BA22" w14:textId="77777777" w:rsidR="00232D45" w:rsidRPr="00EC6AB6" w:rsidRDefault="00232D45" w:rsidP="008B3748">
      <w:pPr>
        <w:spacing w:after="0" w:line="240" w:lineRule="auto"/>
        <w:rPr>
          <w:rFonts w:ascii="Garamond" w:hAnsi="Garamond"/>
          <w:sz w:val="24"/>
          <w:szCs w:val="24"/>
          <w:highlight w:val="yellow"/>
          <w:lang w:val="sq-AL"/>
        </w:rPr>
      </w:pPr>
    </w:p>
    <w:p w14:paraId="4333BA23" w14:textId="77777777" w:rsidR="00232D45" w:rsidRPr="00EC6AB6" w:rsidRDefault="00232D45" w:rsidP="008B3748">
      <w:pPr>
        <w:spacing w:after="0" w:line="240" w:lineRule="auto"/>
        <w:rPr>
          <w:rFonts w:ascii="Garamond" w:hAnsi="Garamond"/>
          <w:sz w:val="24"/>
          <w:szCs w:val="24"/>
          <w:highlight w:val="yellow"/>
          <w:lang w:val="sq-AL"/>
        </w:rPr>
      </w:pPr>
    </w:p>
    <w:p w14:paraId="4333BA24" w14:textId="40A366B1" w:rsidR="008B3748" w:rsidRPr="00EC6AB6" w:rsidRDefault="008B3748" w:rsidP="004D5CA5">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lastRenderedPageBreak/>
        <w:t xml:space="preserve">Paraqitje </w:t>
      </w:r>
      <w:r w:rsidR="004D5CA5" w:rsidRPr="00EC6AB6">
        <w:rPr>
          <w:rFonts w:ascii="Garamond" w:hAnsi="Garamond"/>
          <w:b/>
          <w:i/>
          <w:sz w:val="20"/>
          <w:szCs w:val="20"/>
          <w:lang w:val="sq-AL"/>
        </w:rPr>
        <w:t xml:space="preserve">grafike </w:t>
      </w:r>
      <w:r w:rsidRPr="00EC6AB6">
        <w:rPr>
          <w:rFonts w:ascii="Garamond" w:hAnsi="Garamond"/>
          <w:b/>
          <w:i/>
          <w:sz w:val="20"/>
          <w:szCs w:val="20"/>
          <w:lang w:val="sq-AL"/>
        </w:rPr>
        <w:t>2.4.3(a): Ndjeshmëria e nivelit të borxhit të qeverisjes qendrore në raport me PBB</w:t>
      </w:r>
      <w:r w:rsidR="00C12675">
        <w:rPr>
          <w:rFonts w:ascii="Garamond" w:hAnsi="Garamond"/>
          <w:b/>
          <w:i/>
          <w:sz w:val="20"/>
          <w:szCs w:val="20"/>
          <w:lang w:val="sq-AL"/>
        </w:rPr>
        <w:t>-në</w:t>
      </w:r>
      <w:r w:rsidRPr="00EC6AB6">
        <w:rPr>
          <w:rFonts w:ascii="Garamond" w:hAnsi="Garamond"/>
          <w:b/>
          <w:i/>
          <w:sz w:val="20"/>
          <w:szCs w:val="20"/>
          <w:lang w:val="sq-AL"/>
        </w:rPr>
        <w:t xml:space="preserve"> ndaj goditjeve</w:t>
      </w:r>
      <w:r w:rsidR="00FA2519" w:rsidRPr="00EC6AB6">
        <w:rPr>
          <w:rFonts w:ascii="Garamond" w:hAnsi="Garamond"/>
          <w:b/>
          <w:i/>
          <w:sz w:val="20"/>
          <w:szCs w:val="20"/>
          <w:lang w:val="sq-AL"/>
        </w:rPr>
        <w:t xml:space="preserve"> </w:t>
      </w:r>
      <w:r w:rsidRPr="00EC6AB6">
        <w:rPr>
          <w:rFonts w:ascii="Garamond" w:hAnsi="Garamond"/>
          <w:b/>
          <w:i/>
          <w:sz w:val="20"/>
          <w:szCs w:val="20"/>
          <w:lang w:val="sq-AL"/>
        </w:rPr>
        <w:t xml:space="preserve">në kursin e këmbimit </w:t>
      </w:r>
      <w:r w:rsidR="004D5CA5" w:rsidRPr="00EC6AB6">
        <w:rPr>
          <w:rFonts w:ascii="Garamond" w:hAnsi="Garamond"/>
          <w:b/>
          <w:i/>
          <w:sz w:val="20"/>
          <w:szCs w:val="20"/>
          <w:lang w:val="sq-AL"/>
        </w:rPr>
        <w:t xml:space="preserve">valutë/lek </w:t>
      </w:r>
      <w:r w:rsidRPr="00EC6AB6">
        <w:rPr>
          <w:rFonts w:ascii="Garamond" w:hAnsi="Garamond"/>
          <w:b/>
          <w:i/>
          <w:sz w:val="20"/>
          <w:szCs w:val="20"/>
          <w:lang w:val="sq-AL"/>
        </w:rPr>
        <w:t>(2020</w:t>
      </w:r>
      <w:r w:rsidR="004D5CA5" w:rsidRPr="00EC6AB6">
        <w:rPr>
          <w:rFonts w:ascii="Garamond" w:hAnsi="Garamond"/>
          <w:b/>
          <w:i/>
          <w:sz w:val="20"/>
          <w:szCs w:val="20"/>
          <w:lang w:val="sq-AL"/>
        </w:rPr>
        <w:t>–</w:t>
      </w:r>
      <w:r w:rsidRPr="00EC6AB6">
        <w:rPr>
          <w:rFonts w:ascii="Garamond" w:hAnsi="Garamond"/>
          <w:b/>
          <w:i/>
          <w:sz w:val="20"/>
          <w:szCs w:val="20"/>
          <w:lang w:val="sq-AL"/>
        </w:rPr>
        <w:t>2023)</w:t>
      </w:r>
    </w:p>
    <w:p w14:paraId="4333BA25" w14:textId="77777777" w:rsidR="008B3748" w:rsidRPr="00EC6AB6" w:rsidRDefault="008B3748" w:rsidP="00232D45">
      <w:pPr>
        <w:spacing w:after="0" w:line="240" w:lineRule="auto"/>
        <w:ind w:firstLine="0"/>
        <w:jc w:val="center"/>
        <w:rPr>
          <w:rFonts w:ascii="Garamond" w:hAnsi="Garamond"/>
          <w:sz w:val="24"/>
          <w:szCs w:val="24"/>
          <w:highlight w:val="yellow"/>
          <w:lang w:val="sq-AL"/>
        </w:rPr>
      </w:pPr>
      <w:r w:rsidRPr="00EC6AB6">
        <w:rPr>
          <w:rFonts w:ascii="Garamond" w:hAnsi="Garamond"/>
          <w:noProof/>
          <w:sz w:val="24"/>
          <w:szCs w:val="24"/>
        </w:rPr>
        <w:drawing>
          <wp:inline distT="0" distB="0" distL="0" distR="0" wp14:anchorId="4333BB7E" wp14:editId="4333BB7F">
            <wp:extent cx="5788660" cy="21545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88660" cy="2154555"/>
                    </a:xfrm>
                    <a:prstGeom prst="rect">
                      <a:avLst/>
                    </a:prstGeom>
                    <a:noFill/>
                    <a:ln>
                      <a:noFill/>
                    </a:ln>
                  </pic:spPr>
                </pic:pic>
              </a:graphicData>
            </a:graphic>
          </wp:inline>
        </w:drawing>
      </w:r>
    </w:p>
    <w:p w14:paraId="4333BA26" w14:textId="77777777" w:rsidR="008B3748" w:rsidRPr="00EC6AB6" w:rsidRDefault="008B3748" w:rsidP="00232D45">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A27" w14:textId="77777777" w:rsidR="008B3748" w:rsidRPr="00EC6AB6" w:rsidRDefault="008B3748" w:rsidP="008B3748">
      <w:pPr>
        <w:spacing w:after="0" w:line="240" w:lineRule="auto"/>
        <w:rPr>
          <w:rFonts w:ascii="Garamond" w:hAnsi="Garamond"/>
          <w:sz w:val="24"/>
          <w:szCs w:val="24"/>
          <w:lang w:val="sq-AL"/>
        </w:rPr>
      </w:pPr>
    </w:p>
    <w:p w14:paraId="4333BA28" w14:textId="0A39CDE6" w:rsidR="008B3748" w:rsidRPr="00EC6AB6" w:rsidRDefault="008B3748" w:rsidP="004D5CA5">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t xml:space="preserve">Paraqitje </w:t>
      </w:r>
      <w:r w:rsidR="004D5CA5" w:rsidRPr="00EC6AB6">
        <w:rPr>
          <w:rFonts w:ascii="Garamond" w:hAnsi="Garamond"/>
          <w:b/>
          <w:i/>
          <w:sz w:val="20"/>
          <w:szCs w:val="20"/>
          <w:lang w:val="sq-AL"/>
        </w:rPr>
        <w:t>grafike 2.4.3</w:t>
      </w:r>
      <w:r w:rsidRPr="00EC6AB6">
        <w:rPr>
          <w:rFonts w:ascii="Garamond" w:hAnsi="Garamond"/>
          <w:b/>
          <w:i/>
          <w:sz w:val="20"/>
          <w:szCs w:val="20"/>
          <w:lang w:val="sq-AL"/>
        </w:rPr>
        <w:t xml:space="preserve">(b): Ndjeshmëria e kostos së borxhit shtetëror ndaj goditjeve të kursit të këmbimit </w:t>
      </w:r>
      <w:r w:rsidR="004D5CA5" w:rsidRPr="00EC6AB6">
        <w:rPr>
          <w:rFonts w:ascii="Garamond" w:hAnsi="Garamond"/>
          <w:b/>
          <w:i/>
          <w:sz w:val="20"/>
          <w:szCs w:val="20"/>
          <w:lang w:val="sq-AL"/>
        </w:rPr>
        <w:t xml:space="preserve">valutë/lek </w:t>
      </w:r>
      <w:r w:rsidRPr="00EC6AB6">
        <w:rPr>
          <w:rFonts w:ascii="Garamond" w:hAnsi="Garamond"/>
          <w:b/>
          <w:i/>
          <w:sz w:val="20"/>
          <w:szCs w:val="20"/>
          <w:lang w:val="sq-AL"/>
        </w:rPr>
        <w:t>(2020</w:t>
      </w:r>
      <w:r w:rsidR="004D5CA5" w:rsidRPr="00EC6AB6">
        <w:rPr>
          <w:rFonts w:ascii="Garamond" w:hAnsi="Garamond"/>
          <w:b/>
          <w:i/>
          <w:sz w:val="20"/>
          <w:szCs w:val="20"/>
          <w:lang w:val="sq-AL"/>
        </w:rPr>
        <w:t>–</w:t>
      </w:r>
      <w:r w:rsidRPr="00EC6AB6">
        <w:rPr>
          <w:rFonts w:ascii="Garamond" w:hAnsi="Garamond"/>
          <w:b/>
          <w:i/>
          <w:sz w:val="20"/>
          <w:szCs w:val="20"/>
          <w:lang w:val="sq-AL"/>
        </w:rPr>
        <w:t>2023)</w:t>
      </w:r>
    </w:p>
    <w:p w14:paraId="4333BA29" w14:textId="77777777" w:rsidR="008B3748" w:rsidRPr="00EC6AB6" w:rsidRDefault="008B3748" w:rsidP="00232D45">
      <w:pPr>
        <w:spacing w:after="0" w:line="240" w:lineRule="auto"/>
        <w:ind w:firstLine="0"/>
        <w:jc w:val="center"/>
        <w:rPr>
          <w:rFonts w:ascii="Garamond" w:hAnsi="Garamond"/>
          <w:sz w:val="24"/>
          <w:szCs w:val="24"/>
          <w:highlight w:val="yellow"/>
          <w:lang w:val="sq-AL"/>
        </w:rPr>
      </w:pPr>
      <w:r w:rsidRPr="00EC6AB6">
        <w:rPr>
          <w:rFonts w:ascii="Garamond" w:hAnsi="Garamond"/>
          <w:noProof/>
          <w:sz w:val="24"/>
          <w:szCs w:val="24"/>
        </w:rPr>
        <w:drawing>
          <wp:inline distT="0" distB="0" distL="0" distR="0" wp14:anchorId="4333BB80" wp14:editId="4333BB81">
            <wp:extent cx="5732780" cy="234569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2780" cy="2345690"/>
                    </a:xfrm>
                    <a:prstGeom prst="rect">
                      <a:avLst/>
                    </a:prstGeom>
                    <a:noFill/>
                    <a:ln>
                      <a:noFill/>
                    </a:ln>
                  </pic:spPr>
                </pic:pic>
              </a:graphicData>
            </a:graphic>
          </wp:inline>
        </w:drawing>
      </w:r>
    </w:p>
    <w:p w14:paraId="4333BA2A" w14:textId="77777777" w:rsidR="008B3748" w:rsidRPr="00EC6AB6" w:rsidRDefault="008B3748" w:rsidP="00232D45">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A2B" w14:textId="77777777" w:rsidR="008B3748" w:rsidRPr="00EC6AB6" w:rsidRDefault="008B3748" w:rsidP="008B3748">
      <w:pPr>
        <w:spacing w:after="0" w:line="240" w:lineRule="auto"/>
        <w:rPr>
          <w:rFonts w:ascii="Garamond" w:hAnsi="Garamond"/>
          <w:sz w:val="24"/>
          <w:szCs w:val="24"/>
          <w:lang w:val="sq-AL"/>
        </w:rPr>
      </w:pPr>
    </w:p>
    <w:p w14:paraId="4333BA2C" w14:textId="7DCB33A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Nisur nga niveli i borxhit, si edhe niveli i ekspozimit të riskut, norma e interesit në tregun </w:t>
      </w:r>
      <w:r w:rsidR="002B79A7" w:rsidRPr="00EC6AB6">
        <w:rPr>
          <w:rFonts w:ascii="Garamond" w:hAnsi="Garamond"/>
          <w:sz w:val="24"/>
          <w:szCs w:val="24"/>
          <w:lang w:val="sq-AL"/>
        </w:rPr>
        <w:t>vendës</w:t>
      </w:r>
      <w:r w:rsidRPr="00EC6AB6">
        <w:rPr>
          <w:rFonts w:ascii="Garamond" w:hAnsi="Garamond"/>
          <w:sz w:val="24"/>
          <w:szCs w:val="24"/>
          <w:lang w:val="sq-AL"/>
        </w:rPr>
        <w:t xml:space="preserve"> dhe atë të huaj vlerësohet të jetë një faktor me ndikim të lartë në anën e shpenzimeve të buxhetit të shtetit.</w:t>
      </w:r>
      <w:r w:rsidR="00FA2519" w:rsidRPr="00EC6AB6">
        <w:rPr>
          <w:rFonts w:ascii="Garamond" w:hAnsi="Garamond"/>
          <w:sz w:val="24"/>
          <w:szCs w:val="24"/>
          <w:lang w:val="sq-AL"/>
        </w:rPr>
        <w:t xml:space="preserve"> </w:t>
      </w:r>
    </w:p>
    <w:p w14:paraId="4333BA2D" w14:textId="627D27E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analiza e ndjeshmërisë rezulton</w:t>
      </w:r>
      <w:r w:rsidR="00C12675">
        <w:rPr>
          <w:rFonts w:ascii="Garamond" w:hAnsi="Garamond"/>
          <w:sz w:val="24"/>
          <w:szCs w:val="24"/>
          <w:lang w:val="sq-AL"/>
        </w:rPr>
        <w:t>,</w:t>
      </w:r>
      <w:r w:rsidRPr="00EC6AB6">
        <w:rPr>
          <w:rFonts w:ascii="Garamond" w:hAnsi="Garamond"/>
          <w:sz w:val="24"/>
          <w:szCs w:val="24"/>
          <w:lang w:val="sq-AL"/>
        </w:rPr>
        <w:t xml:space="preserve"> se një rritje e njëkohshme e normave të interesit në tregun </w:t>
      </w:r>
      <w:r w:rsidR="002B79A7" w:rsidRPr="00EC6AB6">
        <w:rPr>
          <w:rFonts w:ascii="Garamond" w:hAnsi="Garamond"/>
          <w:sz w:val="24"/>
          <w:szCs w:val="24"/>
          <w:lang w:val="sq-AL"/>
        </w:rPr>
        <w:t>vendës</w:t>
      </w:r>
      <w:r w:rsidRPr="00EC6AB6">
        <w:rPr>
          <w:rFonts w:ascii="Garamond" w:hAnsi="Garamond"/>
          <w:sz w:val="24"/>
          <w:szCs w:val="24"/>
          <w:lang w:val="sq-AL"/>
        </w:rPr>
        <w:t xml:space="preserve"> dhe atë të huaj me 1 pp</w:t>
      </w:r>
      <w:r w:rsidRPr="00EC6AB6">
        <w:rPr>
          <w:rFonts w:ascii="Garamond" w:hAnsi="Garamond"/>
          <w:sz w:val="24"/>
          <w:szCs w:val="24"/>
          <w:vertAlign w:val="superscript"/>
          <w:lang w:val="sq-AL"/>
        </w:rPr>
        <w:footnoteReference w:id="12"/>
      </w:r>
      <w:r w:rsidRPr="00EC6AB6">
        <w:rPr>
          <w:rFonts w:ascii="Garamond" w:hAnsi="Garamond"/>
          <w:sz w:val="24"/>
          <w:szCs w:val="24"/>
          <w:lang w:val="sq-AL"/>
        </w:rPr>
        <w:t xml:space="preserve"> mbi normat e pritshme</w:t>
      </w:r>
      <w:r w:rsidR="00C12675">
        <w:rPr>
          <w:rFonts w:ascii="Garamond" w:hAnsi="Garamond"/>
          <w:sz w:val="24"/>
          <w:szCs w:val="24"/>
          <w:lang w:val="sq-AL"/>
        </w:rPr>
        <w:t>,</w:t>
      </w:r>
      <w:r w:rsidRPr="00EC6AB6">
        <w:rPr>
          <w:rFonts w:ascii="Garamond" w:hAnsi="Garamond"/>
          <w:sz w:val="24"/>
          <w:szCs w:val="24"/>
          <w:lang w:val="sq-AL"/>
        </w:rPr>
        <w:t xml:space="preserve"> duke filluar nga viti 2021, mund të rrisë shpenzimet për interesa deri në rreth 14 miliardë lekë në vitin 2023, ndërsa një rritje prej 2 pp do t’i rriste këto shpenzime deri në rreth 18 miliardë lekë kundrejt skenarit bazë, siç paraqitet në grafikun e mëposhtëm.</w:t>
      </w:r>
    </w:p>
    <w:p w14:paraId="4333BA2E" w14:textId="77777777" w:rsidR="008B3748" w:rsidRPr="00EC6AB6" w:rsidRDefault="008B3748" w:rsidP="008B3748">
      <w:pPr>
        <w:spacing w:after="0" w:line="240" w:lineRule="auto"/>
        <w:rPr>
          <w:rFonts w:ascii="Garamond" w:hAnsi="Garamond"/>
          <w:sz w:val="24"/>
          <w:szCs w:val="24"/>
          <w:highlight w:val="yellow"/>
          <w:lang w:val="sq-AL"/>
        </w:rPr>
      </w:pPr>
    </w:p>
    <w:p w14:paraId="4333BA2F" w14:textId="77777777" w:rsidR="00232D45" w:rsidRPr="00EC6AB6" w:rsidRDefault="00232D45" w:rsidP="008B3748">
      <w:pPr>
        <w:spacing w:after="0" w:line="240" w:lineRule="auto"/>
        <w:rPr>
          <w:rFonts w:ascii="Garamond" w:hAnsi="Garamond"/>
          <w:sz w:val="24"/>
          <w:szCs w:val="24"/>
          <w:highlight w:val="yellow"/>
          <w:lang w:val="sq-AL"/>
        </w:rPr>
      </w:pPr>
    </w:p>
    <w:p w14:paraId="4333BA30" w14:textId="77777777" w:rsidR="00232D45" w:rsidRPr="00EC6AB6" w:rsidRDefault="00232D45" w:rsidP="008B3748">
      <w:pPr>
        <w:spacing w:after="0" w:line="240" w:lineRule="auto"/>
        <w:rPr>
          <w:rFonts w:ascii="Garamond" w:hAnsi="Garamond"/>
          <w:sz w:val="24"/>
          <w:szCs w:val="24"/>
          <w:highlight w:val="yellow"/>
          <w:lang w:val="sq-AL"/>
        </w:rPr>
      </w:pPr>
    </w:p>
    <w:p w14:paraId="4333BA31" w14:textId="77777777" w:rsidR="00232D45" w:rsidRPr="00EC6AB6" w:rsidRDefault="00232D45" w:rsidP="008B3748">
      <w:pPr>
        <w:spacing w:after="0" w:line="240" w:lineRule="auto"/>
        <w:rPr>
          <w:rFonts w:ascii="Garamond" w:hAnsi="Garamond"/>
          <w:sz w:val="24"/>
          <w:szCs w:val="24"/>
          <w:highlight w:val="yellow"/>
          <w:lang w:val="sq-AL"/>
        </w:rPr>
      </w:pPr>
    </w:p>
    <w:p w14:paraId="4333BA32" w14:textId="77777777" w:rsidR="00232D45" w:rsidRPr="00EC6AB6" w:rsidRDefault="00232D45" w:rsidP="008B3748">
      <w:pPr>
        <w:spacing w:after="0" w:line="240" w:lineRule="auto"/>
        <w:rPr>
          <w:rFonts w:ascii="Garamond" w:hAnsi="Garamond"/>
          <w:sz w:val="24"/>
          <w:szCs w:val="24"/>
          <w:highlight w:val="yellow"/>
          <w:lang w:val="sq-AL"/>
        </w:rPr>
      </w:pPr>
    </w:p>
    <w:p w14:paraId="4333BA33" w14:textId="77777777" w:rsidR="00232D45" w:rsidRPr="00EC6AB6" w:rsidRDefault="00232D45" w:rsidP="008B3748">
      <w:pPr>
        <w:spacing w:after="0" w:line="240" w:lineRule="auto"/>
        <w:rPr>
          <w:rFonts w:ascii="Garamond" w:hAnsi="Garamond"/>
          <w:sz w:val="24"/>
          <w:szCs w:val="24"/>
          <w:highlight w:val="yellow"/>
          <w:lang w:val="sq-AL"/>
        </w:rPr>
      </w:pPr>
    </w:p>
    <w:p w14:paraId="4333BA34" w14:textId="589D2082" w:rsidR="008B3748" w:rsidRPr="00EC6AB6" w:rsidRDefault="008B3748" w:rsidP="002B79A7">
      <w:pPr>
        <w:spacing w:after="0" w:line="240" w:lineRule="auto"/>
        <w:ind w:firstLine="0"/>
        <w:jc w:val="center"/>
        <w:rPr>
          <w:rFonts w:ascii="Garamond" w:hAnsi="Garamond"/>
          <w:b/>
          <w:i/>
          <w:sz w:val="20"/>
          <w:szCs w:val="20"/>
          <w:lang w:val="sq-AL"/>
        </w:rPr>
      </w:pPr>
      <w:r w:rsidRPr="00EC6AB6">
        <w:rPr>
          <w:rFonts w:ascii="Garamond" w:hAnsi="Garamond"/>
          <w:b/>
          <w:i/>
          <w:sz w:val="20"/>
          <w:szCs w:val="20"/>
          <w:lang w:val="sq-AL"/>
        </w:rPr>
        <w:lastRenderedPageBreak/>
        <w:t xml:space="preserve">Paraqitje </w:t>
      </w:r>
      <w:r w:rsidR="002B79A7" w:rsidRPr="00EC6AB6">
        <w:rPr>
          <w:rFonts w:ascii="Garamond" w:hAnsi="Garamond"/>
          <w:b/>
          <w:i/>
          <w:sz w:val="20"/>
          <w:szCs w:val="20"/>
          <w:lang w:val="sq-AL"/>
        </w:rPr>
        <w:t xml:space="preserve">grafike </w:t>
      </w:r>
      <w:r w:rsidRPr="00EC6AB6">
        <w:rPr>
          <w:rFonts w:ascii="Garamond" w:hAnsi="Garamond"/>
          <w:b/>
          <w:i/>
          <w:sz w:val="20"/>
          <w:szCs w:val="20"/>
          <w:lang w:val="sq-AL"/>
        </w:rPr>
        <w:t>2.4.3(c): Ndjeshmëria e kostos së borxhit shtetëror ndaj goditjeve të normave</w:t>
      </w:r>
      <w:r w:rsidR="00FA2519" w:rsidRPr="00EC6AB6">
        <w:rPr>
          <w:rFonts w:ascii="Garamond" w:hAnsi="Garamond"/>
          <w:b/>
          <w:i/>
          <w:sz w:val="20"/>
          <w:szCs w:val="20"/>
          <w:lang w:val="sq-AL"/>
        </w:rPr>
        <w:t xml:space="preserve"> </w:t>
      </w:r>
      <w:r w:rsidRPr="00EC6AB6">
        <w:rPr>
          <w:rFonts w:ascii="Garamond" w:hAnsi="Garamond"/>
          <w:b/>
          <w:i/>
          <w:sz w:val="20"/>
          <w:szCs w:val="20"/>
          <w:lang w:val="sq-AL"/>
        </w:rPr>
        <w:t xml:space="preserve">të interesit në tregun </w:t>
      </w:r>
      <w:r w:rsidR="002B79A7" w:rsidRPr="00EC6AB6">
        <w:rPr>
          <w:rFonts w:ascii="Garamond" w:hAnsi="Garamond"/>
          <w:b/>
          <w:i/>
          <w:sz w:val="20"/>
          <w:szCs w:val="20"/>
          <w:lang w:val="sq-AL"/>
        </w:rPr>
        <w:t>vendës</w:t>
      </w:r>
      <w:r w:rsidRPr="00EC6AB6">
        <w:rPr>
          <w:rFonts w:ascii="Garamond" w:hAnsi="Garamond"/>
          <w:b/>
          <w:i/>
          <w:sz w:val="20"/>
          <w:szCs w:val="20"/>
          <w:lang w:val="sq-AL"/>
        </w:rPr>
        <w:t xml:space="preserve"> dhe të huaj (2020</w:t>
      </w:r>
      <w:r w:rsidR="002B79A7" w:rsidRPr="00EC6AB6">
        <w:rPr>
          <w:rFonts w:ascii="Garamond" w:hAnsi="Garamond"/>
          <w:b/>
          <w:i/>
          <w:sz w:val="20"/>
          <w:szCs w:val="20"/>
          <w:lang w:val="sq-AL"/>
        </w:rPr>
        <w:t>–</w:t>
      </w:r>
      <w:r w:rsidRPr="00EC6AB6">
        <w:rPr>
          <w:rFonts w:ascii="Garamond" w:hAnsi="Garamond"/>
          <w:b/>
          <w:i/>
          <w:sz w:val="20"/>
          <w:szCs w:val="20"/>
          <w:lang w:val="sq-AL"/>
        </w:rPr>
        <w:t>2023)</w:t>
      </w:r>
    </w:p>
    <w:p w14:paraId="4333BA35" w14:textId="77777777" w:rsidR="008B3748" w:rsidRPr="00EC6AB6" w:rsidRDefault="008B3748" w:rsidP="00232D45">
      <w:pPr>
        <w:spacing w:after="0" w:line="240" w:lineRule="auto"/>
        <w:ind w:firstLine="0"/>
        <w:jc w:val="center"/>
        <w:rPr>
          <w:rFonts w:ascii="Garamond" w:hAnsi="Garamond"/>
          <w:sz w:val="24"/>
          <w:szCs w:val="24"/>
          <w:highlight w:val="yellow"/>
          <w:lang w:val="sq-AL"/>
        </w:rPr>
      </w:pPr>
      <w:r w:rsidRPr="00EC6AB6">
        <w:rPr>
          <w:rFonts w:ascii="Garamond" w:hAnsi="Garamond"/>
          <w:noProof/>
          <w:sz w:val="24"/>
          <w:szCs w:val="24"/>
        </w:rPr>
        <w:drawing>
          <wp:inline distT="0" distB="0" distL="0" distR="0" wp14:anchorId="4333BB82" wp14:editId="4333BB83">
            <wp:extent cx="5637530" cy="211518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37530" cy="2115185"/>
                    </a:xfrm>
                    <a:prstGeom prst="rect">
                      <a:avLst/>
                    </a:prstGeom>
                    <a:noFill/>
                    <a:ln>
                      <a:noFill/>
                    </a:ln>
                  </pic:spPr>
                </pic:pic>
              </a:graphicData>
            </a:graphic>
          </wp:inline>
        </w:drawing>
      </w:r>
    </w:p>
    <w:p w14:paraId="4333BA36" w14:textId="77777777" w:rsidR="008B3748" w:rsidRPr="00EC6AB6" w:rsidRDefault="008B3748" w:rsidP="00232D45">
      <w:pPr>
        <w:spacing w:after="0" w:line="240" w:lineRule="auto"/>
        <w:jc w:val="center"/>
        <w:rPr>
          <w:rFonts w:ascii="Garamond" w:hAnsi="Garamond"/>
          <w:sz w:val="24"/>
          <w:szCs w:val="24"/>
          <w:lang w:val="sq-AL"/>
        </w:rPr>
      </w:pPr>
      <w:r w:rsidRPr="00EC6AB6">
        <w:rPr>
          <w:rFonts w:ascii="Garamond" w:hAnsi="Garamond"/>
          <w:sz w:val="24"/>
          <w:szCs w:val="24"/>
          <w:lang w:val="sq-AL"/>
        </w:rPr>
        <w:t>Burimi: Ministria e Financave dhe Ekonomisë (2020)</w:t>
      </w:r>
    </w:p>
    <w:p w14:paraId="4333BA37" w14:textId="77777777" w:rsidR="008B3748" w:rsidRPr="00EC6AB6" w:rsidRDefault="008B3748" w:rsidP="008B3748">
      <w:pPr>
        <w:spacing w:after="0" w:line="240" w:lineRule="auto"/>
        <w:rPr>
          <w:rFonts w:ascii="Garamond" w:hAnsi="Garamond"/>
          <w:sz w:val="24"/>
          <w:szCs w:val="24"/>
          <w:lang w:val="sq-AL"/>
        </w:rPr>
      </w:pPr>
    </w:p>
    <w:p w14:paraId="4333BA38" w14:textId="77777777" w:rsidR="008B3748" w:rsidRPr="00EC6AB6" w:rsidRDefault="008B3748" w:rsidP="00232D45">
      <w:pPr>
        <w:spacing w:after="0" w:line="240" w:lineRule="auto"/>
        <w:ind w:firstLine="0"/>
        <w:jc w:val="center"/>
        <w:rPr>
          <w:rFonts w:ascii="Garamond" w:hAnsi="Garamond"/>
          <w:sz w:val="24"/>
          <w:szCs w:val="24"/>
          <w:lang w:val="sq-AL"/>
        </w:rPr>
      </w:pPr>
      <w:r w:rsidRPr="00EC6AB6">
        <w:rPr>
          <w:rFonts w:ascii="Garamond" w:hAnsi="Garamond"/>
          <w:sz w:val="24"/>
          <w:szCs w:val="24"/>
          <w:lang w:val="sq-AL"/>
        </w:rPr>
        <w:t>ANEKS I</w:t>
      </w:r>
    </w:p>
    <w:p w14:paraId="4333BA3A" w14:textId="77777777" w:rsidR="008B3748" w:rsidRPr="00EC6AB6" w:rsidRDefault="008B3748" w:rsidP="00232D45">
      <w:pPr>
        <w:spacing w:after="0" w:line="240" w:lineRule="auto"/>
        <w:ind w:firstLine="0"/>
        <w:jc w:val="center"/>
        <w:rPr>
          <w:rFonts w:ascii="Garamond" w:hAnsi="Garamond"/>
          <w:sz w:val="24"/>
          <w:szCs w:val="24"/>
          <w:lang w:val="sq-AL"/>
        </w:rPr>
      </w:pPr>
      <w:bookmarkStart w:id="127" w:name="_Toc449351172"/>
      <w:bookmarkStart w:id="128" w:name="_Toc448931057"/>
      <w:bookmarkStart w:id="129" w:name="_Toc448399358"/>
      <w:bookmarkStart w:id="130" w:name="_Toc448146925"/>
      <w:r w:rsidRPr="00EC6AB6">
        <w:rPr>
          <w:rFonts w:ascii="Garamond" w:hAnsi="Garamond"/>
          <w:sz w:val="24"/>
          <w:szCs w:val="24"/>
          <w:lang w:val="sq-AL"/>
        </w:rPr>
        <w:t>STRATEGJITË ALTERNATIVE TË FINANCIMIT</w:t>
      </w:r>
      <w:bookmarkEnd w:id="127"/>
      <w:bookmarkEnd w:id="128"/>
      <w:bookmarkEnd w:id="129"/>
      <w:bookmarkEnd w:id="130"/>
    </w:p>
    <w:p w14:paraId="4333BA3B" w14:textId="77777777" w:rsidR="008B3748" w:rsidRPr="00EC6AB6" w:rsidRDefault="008B3748" w:rsidP="008B3748">
      <w:pPr>
        <w:spacing w:after="0" w:line="240" w:lineRule="auto"/>
        <w:rPr>
          <w:rFonts w:ascii="Garamond" w:hAnsi="Garamond"/>
          <w:sz w:val="24"/>
          <w:szCs w:val="24"/>
          <w:highlight w:val="yellow"/>
          <w:lang w:val="sq-AL"/>
        </w:rPr>
      </w:pPr>
      <w:r w:rsidRPr="00EC6AB6">
        <w:rPr>
          <w:rFonts w:ascii="Garamond" w:hAnsi="Garamond"/>
          <w:noProof/>
          <w:sz w:val="24"/>
          <w:szCs w:val="24"/>
        </w:rPr>
        <mc:AlternateContent>
          <mc:Choice Requires="wps">
            <w:drawing>
              <wp:anchor distT="0" distB="0" distL="114300" distR="114300" simplePos="0" relativeHeight="251658261" behindDoc="1" locked="0" layoutInCell="1" allowOverlap="1" wp14:anchorId="4333BB84" wp14:editId="4333BB85">
                <wp:simplePos x="0" y="0"/>
                <wp:positionH relativeFrom="margin">
                  <wp:align>right</wp:align>
                </wp:positionH>
                <wp:positionV relativeFrom="paragraph">
                  <wp:posOffset>64770</wp:posOffset>
                </wp:positionV>
                <wp:extent cx="5920740" cy="524786"/>
                <wp:effectExtent l="0" t="0" r="22860" b="2794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524786"/>
                        </a:xfrm>
                        <a:prstGeom prst="rect">
                          <a:avLst/>
                        </a:prstGeom>
                        <a:solidFill>
                          <a:schemeClr val="accent1">
                            <a:lumMod val="20000"/>
                            <a:lumOff val="80000"/>
                          </a:schemeClr>
                        </a:solidFill>
                        <a:ln w="12700" cap="flat" cmpd="sng" algn="ctr">
                          <a:solidFill>
                            <a:sysClr val="windowText" lastClr="000000">
                              <a:lumMod val="65000"/>
                              <a:lumOff val="35000"/>
                            </a:sysClr>
                          </a:solidFill>
                          <a:prstDash val="solid"/>
                          <a:miter lim="800000"/>
                        </a:ln>
                        <a:effectLst/>
                      </wps:spPr>
                      <wps:txbx>
                        <w:txbxContent>
                          <w:p w14:paraId="4333BB9C" w14:textId="19D355A5" w:rsidR="00B73259" w:rsidRPr="002B79A7" w:rsidRDefault="00B73259" w:rsidP="00232D45">
                            <w:pPr>
                              <w:ind w:firstLine="0"/>
                              <w:rPr>
                                <w:rFonts w:ascii="Garamond" w:hAnsi="Garamond"/>
                                <w:i/>
                                <w:sz w:val="24"/>
                                <w:szCs w:val="24"/>
                                <w:lang w:val="sq-AL"/>
                              </w:rPr>
                            </w:pPr>
                            <w:r w:rsidRPr="002B79A7">
                              <w:rPr>
                                <w:rFonts w:ascii="Garamond" w:hAnsi="Garamond"/>
                                <w:i/>
                                <w:sz w:val="24"/>
                                <w:szCs w:val="24"/>
                                <w:lang w:val="sq-AL"/>
                              </w:rPr>
                              <w:t xml:space="preserve">Analiza e strategjive alternative të financimit është realizuar duke marrë parasysh analizën sasiore (kosto/risk), si edhe vlerësimet dhe kufizimet e parashtruara në nënkapitullin 1.5. </w:t>
                            </w:r>
                          </w:p>
                          <w:p w14:paraId="4333BB9D" w14:textId="77777777" w:rsidR="00B73259" w:rsidRDefault="00B73259" w:rsidP="008B3748">
                            <w:pPr>
                              <w:rPr>
                                <w:rFonts w:asciiTheme="minorHAnsi" w:hAnsiTheme="minorHAnsi" w:cstheme="minorBid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5" o:spid="_x0000_s1027" type="#_x0000_t202" style="position:absolute;left:0;text-align:left;margin-left:415pt;margin-top:5.1pt;width:466.2pt;height:41.3pt;z-index:-25165821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glgAIAABQFAAAOAAAAZHJzL2Uyb0RvYy54bWysVMtu2zAQvBfoPxC8N7Jdv2JEDtIEKQqk&#10;DyDpB9AUJRHlqyRtyf36DinbcZqeiuogkLvk7O7sLK+ue63ITvggrSnp+GJEiTDcVtI0Jf3+dP9u&#10;SUmIzFRMWSNKuheBXq/fvrnq3EpMbGtVJTwBiAmrzpW0jdGtiiLwVmgWLqwTBs7aes0itr4pKs86&#10;oGtVTEajedFZXzlvuQgB1rvBSdcZv64Fj1/rOohIVEmRW8x/n/+b9C/WV2zVeOZayQ9psH/IQjNp&#10;EPQEdcciI1svX0Fpyb0Nto4X3OrC1rXkIteAasajP6p5bJkTuRaQE9yJpvD/YPmX3TdPZFXS+YwS&#10;wzR69CT6SD7YnsAEfjoXVjj26HAw9rCjz7nW4B4s/xGIsbctM4248d52rWAV8hunm8XZ1QEnJJBN&#10;99lWiMO20WagvvY6kQc6CNDRp/2pNykXDuPscjJaTOHi8M0m08VynkOw1fG28yF+FFaTtCipR+8z&#10;Ots9hJiyYavjkRQsWCWre6lU3iS9iVvlyY5BKYxzYeJQpdpqpDvYobjRQTMwQ1mDeXk0I0RWbkLK&#10;AV8EUYZ0YGayAAbhDGqvFYtYagf+g2koYarBGPHoB4JfpLgPp/wwAJXtUp8oUSxEOEBY/vLF85zn&#10;s7/m/P5oTjln6NcJJ7ruWGiHKnMtw8BoGTG1SuqS5tozJwBSJpEp8twdSE8SSF0f+h/7TZ/VlvWR&#10;fBtb7aEJb4fRxFOCRWv9L0o6jCV4+bllXqDOTwa6uhxPkwhi3kxniwk2/tyzOfcwwwFVUtA0LG/j&#10;MPtb52XTItLQY2NvoMVaZpk8Z3VQMEYvc3N4JtJsn+/zqefHbP0bAAD//wMAUEsDBBQABgAIAAAA&#10;IQBeiJlW3wAAAAYBAAAPAAAAZHJzL2Rvd25yZXYueG1sTI/NTsMwEITvSLyDtUjcqE2KoIQ4FVT8&#10;9ABIlCJxdONtHIjXUew26duznOC2s7Oa+baYj74Ve+xjE0jD+USBQKqCbajWsH5/OJuBiMmQNW0g&#10;1HDACPPy+KgwuQ0DveF+lWrBIRRzo8Gl1OVSxsqhN3ESOiT2tqH3JrHsa2l7M3C4b2Wm1KX0piFu&#10;cKbDhcPqe7XzGr6eXqbb1+r57urxY/15H4eFU8uD1qcn4+0NiIRj+juGX3xGh5KZNmFHNopWAz+S&#10;eKsyEOxeT7MLEBseshnIspD/8csfAAAA//8DAFBLAQItABQABgAIAAAAIQC2gziS/gAAAOEBAAAT&#10;AAAAAAAAAAAAAAAAAAAAAABbQ29udGVudF9UeXBlc10ueG1sUEsBAi0AFAAGAAgAAAAhADj9If/W&#10;AAAAlAEAAAsAAAAAAAAAAAAAAAAALwEAAF9yZWxzLy5yZWxzUEsBAi0AFAAGAAgAAAAhAPQtuCWA&#10;AgAAFAUAAA4AAAAAAAAAAAAAAAAALgIAAGRycy9lMm9Eb2MueG1sUEsBAi0AFAAGAAgAAAAhAF6I&#10;mVbfAAAABgEAAA8AAAAAAAAAAAAAAAAA2gQAAGRycy9kb3ducmV2LnhtbFBLBQYAAAAABAAEAPMA&#10;AADmBQAAAAA=&#10;" fillcolor="#dbe5f1 [660]" strokecolor="#595959" strokeweight="1pt">
                <v:textbox>
                  <w:txbxContent>
                    <w:p w14:paraId="4333BB9C" w14:textId="19D355A5" w:rsidR="00B73259" w:rsidRPr="002B79A7" w:rsidRDefault="00B73259" w:rsidP="00232D45">
                      <w:pPr>
                        <w:ind w:firstLine="0"/>
                        <w:rPr>
                          <w:rFonts w:ascii="Garamond" w:hAnsi="Garamond"/>
                          <w:i/>
                          <w:sz w:val="24"/>
                          <w:szCs w:val="24"/>
                          <w:lang w:val="sq-AL"/>
                        </w:rPr>
                      </w:pPr>
                      <w:r w:rsidRPr="002B79A7">
                        <w:rPr>
                          <w:rFonts w:ascii="Garamond" w:hAnsi="Garamond"/>
                          <w:i/>
                          <w:sz w:val="24"/>
                          <w:szCs w:val="24"/>
                          <w:lang w:val="sq-AL"/>
                        </w:rPr>
                        <w:t xml:space="preserve">Analiza e strategjive alternative të financimit është realizuar duke marrë parasysh analizën sasiore (kosto/risk), si edhe vlerësimet dhe kufizimet e parashtruara në nënkapitullin 1.5. </w:t>
                      </w:r>
                    </w:p>
                    <w:p w14:paraId="4333BB9D" w14:textId="77777777" w:rsidR="00B73259" w:rsidRDefault="00B73259" w:rsidP="008B3748">
                      <w:pPr>
                        <w:rPr>
                          <w:rFonts w:asciiTheme="minorHAnsi" w:hAnsiTheme="minorHAnsi" w:cstheme="minorBidi"/>
                        </w:rPr>
                      </w:pPr>
                    </w:p>
                  </w:txbxContent>
                </v:textbox>
                <w10:wrap anchorx="margin"/>
              </v:shape>
            </w:pict>
          </mc:Fallback>
        </mc:AlternateContent>
      </w:r>
    </w:p>
    <w:p w14:paraId="4333BA3C" w14:textId="77777777" w:rsidR="008B3748" w:rsidRPr="00EC6AB6" w:rsidRDefault="008B3748" w:rsidP="00232D45">
      <w:pPr>
        <w:spacing w:after="0" w:line="240" w:lineRule="auto"/>
        <w:ind w:firstLine="0"/>
        <w:rPr>
          <w:rFonts w:ascii="Garamond" w:hAnsi="Garamond"/>
          <w:sz w:val="24"/>
          <w:szCs w:val="24"/>
          <w:highlight w:val="yellow"/>
          <w:lang w:val="sq-AL"/>
        </w:rPr>
      </w:pPr>
    </w:p>
    <w:p w14:paraId="4333BA3D" w14:textId="77777777" w:rsidR="008B3748" w:rsidRPr="00EC6AB6" w:rsidRDefault="008B3748" w:rsidP="008B3748">
      <w:pPr>
        <w:spacing w:after="0" w:line="240" w:lineRule="auto"/>
        <w:rPr>
          <w:rFonts w:ascii="Garamond" w:hAnsi="Garamond"/>
          <w:sz w:val="24"/>
          <w:szCs w:val="24"/>
          <w:highlight w:val="yellow"/>
          <w:lang w:val="sq-AL"/>
        </w:rPr>
      </w:pPr>
    </w:p>
    <w:p w14:paraId="4333BA3E" w14:textId="77777777" w:rsidR="008B3748" w:rsidRPr="00EC6AB6" w:rsidRDefault="008B3748" w:rsidP="008B3748">
      <w:pPr>
        <w:spacing w:after="0" w:line="240" w:lineRule="auto"/>
        <w:rPr>
          <w:rFonts w:ascii="Garamond" w:hAnsi="Garamond"/>
          <w:sz w:val="24"/>
          <w:szCs w:val="24"/>
          <w:lang w:val="sq-AL"/>
        </w:rPr>
      </w:pPr>
    </w:p>
    <w:p w14:paraId="4333BA3F" w14:textId="77777777" w:rsidR="008B3748" w:rsidRPr="00EC6AB6" w:rsidRDefault="008B3748" w:rsidP="008B3748">
      <w:pPr>
        <w:spacing w:after="0" w:line="240" w:lineRule="auto"/>
        <w:rPr>
          <w:rFonts w:ascii="Garamond" w:hAnsi="Garamond"/>
          <w:sz w:val="24"/>
          <w:szCs w:val="24"/>
          <w:lang w:val="sq-AL"/>
        </w:rPr>
      </w:pPr>
    </w:p>
    <w:p w14:paraId="4333BA40" w14:textId="0621CC4F" w:rsidR="008B3748" w:rsidRPr="00EC6AB6" w:rsidRDefault="00232D45" w:rsidP="008B3748">
      <w:pPr>
        <w:spacing w:after="0" w:line="240" w:lineRule="auto"/>
        <w:rPr>
          <w:rFonts w:ascii="Garamond" w:hAnsi="Garamond"/>
          <w:sz w:val="24"/>
          <w:szCs w:val="24"/>
          <w:lang w:val="sq-AL"/>
        </w:rPr>
      </w:pPr>
      <w:bookmarkStart w:id="131" w:name="_Toc449351173"/>
      <w:bookmarkStart w:id="132" w:name="_Toc448931058"/>
      <w:bookmarkStart w:id="133" w:name="_Toc448399359"/>
      <w:bookmarkStart w:id="134" w:name="_Toc448146926"/>
      <w:r w:rsidRPr="00EC6AB6">
        <w:rPr>
          <w:rFonts w:ascii="Garamond" w:hAnsi="Garamond"/>
          <w:sz w:val="24"/>
          <w:szCs w:val="24"/>
          <w:lang w:val="sq-AL"/>
        </w:rPr>
        <w:t xml:space="preserve">1. </w:t>
      </w:r>
      <w:r w:rsidR="008B3748" w:rsidRPr="00EC6AB6">
        <w:rPr>
          <w:rFonts w:ascii="Garamond" w:hAnsi="Garamond"/>
          <w:sz w:val="24"/>
          <w:szCs w:val="24"/>
          <w:lang w:val="sq-AL"/>
        </w:rPr>
        <w:t xml:space="preserve">Metodologjia e </w:t>
      </w:r>
      <w:r w:rsidR="006D4ECF" w:rsidRPr="00EC6AB6">
        <w:rPr>
          <w:rFonts w:ascii="Garamond" w:hAnsi="Garamond"/>
          <w:sz w:val="24"/>
          <w:szCs w:val="24"/>
          <w:lang w:val="sq-AL"/>
        </w:rPr>
        <w:t>përdorur në analizën sasiore</w:t>
      </w:r>
      <w:bookmarkEnd w:id="131"/>
      <w:bookmarkEnd w:id="132"/>
      <w:bookmarkEnd w:id="133"/>
      <w:bookmarkEnd w:id="134"/>
    </w:p>
    <w:p w14:paraId="4333BA41" w14:textId="77777777" w:rsidR="008B3748" w:rsidRPr="00EC6AB6" w:rsidRDefault="00232D45" w:rsidP="008B3748">
      <w:pPr>
        <w:spacing w:after="0" w:line="240" w:lineRule="auto"/>
        <w:rPr>
          <w:rFonts w:ascii="Garamond" w:hAnsi="Garamond"/>
          <w:sz w:val="24"/>
          <w:szCs w:val="24"/>
          <w:lang w:val="sq-AL"/>
        </w:rPr>
      </w:pPr>
      <w:bookmarkStart w:id="135" w:name="_Toc449351174"/>
      <w:bookmarkStart w:id="136" w:name="_Toc448931059"/>
      <w:bookmarkStart w:id="137" w:name="_Toc448399360"/>
      <w:bookmarkStart w:id="138" w:name="_Toc448146927"/>
      <w:r w:rsidRPr="00EC6AB6">
        <w:rPr>
          <w:rFonts w:ascii="Garamond" w:hAnsi="Garamond"/>
          <w:sz w:val="24"/>
          <w:szCs w:val="24"/>
          <w:lang w:val="sq-AL"/>
        </w:rPr>
        <w:t>1.1</w:t>
      </w:r>
      <w:r w:rsidR="008B3748" w:rsidRPr="00EC6AB6">
        <w:rPr>
          <w:rFonts w:ascii="Garamond" w:hAnsi="Garamond"/>
          <w:sz w:val="24"/>
          <w:szCs w:val="24"/>
          <w:lang w:val="sq-AL"/>
        </w:rPr>
        <w:t xml:space="preserve"> Modeli i përdorur</w:t>
      </w:r>
      <w:bookmarkEnd w:id="135"/>
      <w:bookmarkEnd w:id="136"/>
      <w:bookmarkEnd w:id="137"/>
      <w:bookmarkEnd w:id="138"/>
    </w:p>
    <w:p w14:paraId="4333BA42" w14:textId="613F3BD3"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Analiza sasiore (kosto/risk) e strategjive alternative të financimit është realizuar bazuar në përdorimin e modelit analitik për Strategjinë Afatmesme të Menaxhimit të Borxhit </w:t>
      </w:r>
      <w:r w:rsidRPr="00EC6AB6">
        <w:rPr>
          <w:rFonts w:ascii="Garamond" w:hAnsi="Garamond"/>
          <w:i/>
          <w:sz w:val="24"/>
          <w:szCs w:val="24"/>
          <w:lang w:val="sq-AL"/>
        </w:rPr>
        <w:t>(MTDS analytical tool)</w:t>
      </w:r>
      <w:r w:rsidRPr="00EC6AB6">
        <w:rPr>
          <w:rFonts w:ascii="Garamond" w:hAnsi="Garamond"/>
          <w:sz w:val="24"/>
          <w:szCs w:val="24"/>
          <w:lang w:val="sq-AL"/>
        </w:rPr>
        <w:t>, i konceptuar nga Banka Botërore dhe FMN</w:t>
      </w:r>
      <w:r w:rsidR="006D4ECF">
        <w:rPr>
          <w:rFonts w:ascii="Garamond" w:hAnsi="Garamond"/>
          <w:sz w:val="24"/>
          <w:szCs w:val="24"/>
          <w:lang w:val="sq-AL"/>
        </w:rPr>
        <w:t>-ja</w:t>
      </w:r>
      <w:r w:rsidRPr="00EC6AB6">
        <w:rPr>
          <w:rFonts w:ascii="Garamond" w:hAnsi="Garamond"/>
          <w:sz w:val="24"/>
          <w:szCs w:val="24"/>
          <w:lang w:val="sq-AL"/>
        </w:rPr>
        <w:t xml:space="preserve"> për t’i ardhur në ndihmë Menaxhimit të Borxhit të vendeve në zhvillim. Modeli i përdorur është një model determinues, </w:t>
      </w:r>
      <w:r w:rsidRPr="00EC6AB6">
        <w:rPr>
          <w:rFonts w:ascii="Garamond" w:hAnsi="Garamond"/>
          <w:i/>
          <w:sz w:val="24"/>
          <w:szCs w:val="24"/>
          <w:lang w:val="sq-AL"/>
        </w:rPr>
        <w:t>output</w:t>
      </w:r>
      <w:r w:rsidRPr="00EC6AB6">
        <w:rPr>
          <w:rFonts w:ascii="Garamond" w:hAnsi="Garamond"/>
          <w:sz w:val="24"/>
          <w:szCs w:val="24"/>
          <w:lang w:val="sq-AL"/>
        </w:rPr>
        <w:t xml:space="preserve">-et e të cilit varen nga vlerat dhe gjendja fillestare e parametrave (parametrat ekzistues të borxhit). Modeli është i ndërtuar në mënyrë të tillë që të projektojë flukset e borxhit në periudhën afatmesme në varësi të </w:t>
      </w:r>
      <w:r w:rsidRPr="00EC6AB6">
        <w:rPr>
          <w:rFonts w:ascii="Garamond" w:hAnsi="Garamond"/>
          <w:i/>
          <w:sz w:val="24"/>
          <w:szCs w:val="24"/>
          <w:lang w:val="sq-AL"/>
        </w:rPr>
        <w:t>inpute</w:t>
      </w:r>
      <w:r w:rsidR="00E022E4" w:rsidRPr="00EC6AB6">
        <w:rPr>
          <w:rFonts w:ascii="Garamond" w:hAnsi="Garamond"/>
          <w:sz w:val="24"/>
          <w:szCs w:val="24"/>
          <w:lang w:val="sq-AL"/>
        </w:rPr>
        <w:t>-</w:t>
      </w:r>
      <w:r w:rsidRPr="00EC6AB6">
        <w:rPr>
          <w:rFonts w:ascii="Garamond" w:hAnsi="Garamond"/>
          <w:sz w:val="24"/>
          <w:szCs w:val="24"/>
          <w:lang w:val="sq-AL"/>
        </w:rPr>
        <w:t xml:space="preserve">ve që i injektohen modelit në secilën prej strategjive të analizuara. </w:t>
      </w:r>
      <w:r w:rsidRPr="000B57E1">
        <w:rPr>
          <w:rFonts w:ascii="Garamond" w:hAnsi="Garamond"/>
          <w:i/>
          <w:sz w:val="24"/>
          <w:szCs w:val="24"/>
          <w:lang w:val="sq-AL"/>
        </w:rPr>
        <w:t>Output</w:t>
      </w:r>
      <w:r w:rsidRPr="00EC6AB6">
        <w:rPr>
          <w:rFonts w:ascii="Garamond" w:hAnsi="Garamond"/>
          <w:sz w:val="24"/>
          <w:szCs w:val="24"/>
          <w:lang w:val="sq-AL"/>
        </w:rPr>
        <w:t xml:space="preserve">-i i modelit është vlerësimi i kostos dhe </w:t>
      </w:r>
      <w:r w:rsidR="000B57E1">
        <w:rPr>
          <w:rFonts w:ascii="Garamond" w:hAnsi="Garamond"/>
          <w:sz w:val="24"/>
          <w:szCs w:val="24"/>
          <w:lang w:val="sq-AL"/>
        </w:rPr>
        <w:t xml:space="preserve">i </w:t>
      </w:r>
      <w:r w:rsidRPr="00EC6AB6">
        <w:rPr>
          <w:rFonts w:ascii="Garamond" w:hAnsi="Garamond"/>
          <w:sz w:val="24"/>
          <w:szCs w:val="24"/>
          <w:lang w:val="sq-AL"/>
        </w:rPr>
        <w:t>riskut</w:t>
      </w:r>
      <w:r w:rsidR="000B57E1">
        <w:rPr>
          <w:rFonts w:ascii="Garamond" w:hAnsi="Garamond"/>
          <w:sz w:val="24"/>
          <w:szCs w:val="24"/>
          <w:lang w:val="sq-AL"/>
        </w:rPr>
        <w:t>,</w:t>
      </w:r>
      <w:r w:rsidRPr="00EC6AB6">
        <w:rPr>
          <w:rFonts w:ascii="Garamond" w:hAnsi="Garamond"/>
          <w:sz w:val="24"/>
          <w:szCs w:val="24"/>
          <w:lang w:val="sq-AL"/>
        </w:rPr>
        <w:t xml:space="preserve"> përkatësisht për secilën prej strategjive të analizuara.</w:t>
      </w:r>
    </w:p>
    <w:p w14:paraId="4333BA43"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1.1.1 </w:t>
      </w:r>
      <w:r w:rsidR="008B3748" w:rsidRPr="00EC6AB6">
        <w:rPr>
          <w:rFonts w:ascii="Garamond" w:hAnsi="Garamond"/>
          <w:i/>
          <w:sz w:val="24"/>
          <w:szCs w:val="24"/>
          <w:lang w:val="sq-AL"/>
        </w:rPr>
        <w:t>Input</w:t>
      </w:r>
      <w:r w:rsidR="008B3748" w:rsidRPr="00EC6AB6">
        <w:rPr>
          <w:rFonts w:ascii="Garamond" w:hAnsi="Garamond"/>
          <w:sz w:val="24"/>
          <w:szCs w:val="24"/>
          <w:lang w:val="sq-AL"/>
        </w:rPr>
        <w:t>-et</w:t>
      </w:r>
    </w:p>
    <w:p w14:paraId="4333BA44" w14:textId="33B5E28C" w:rsidR="008B3748" w:rsidRPr="00EC6AB6" w:rsidRDefault="008B3748" w:rsidP="008B3748">
      <w:pPr>
        <w:spacing w:after="0" w:line="240" w:lineRule="auto"/>
        <w:rPr>
          <w:rFonts w:ascii="Garamond" w:hAnsi="Garamond"/>
          <w:sz w:val="24"/>
          <w:szCs w:val="24"/>
          <w:lang w:val="sq-AL"/>
        </w:rPr>
      </w:pPr>
      <w:r w:rsidRPr="00EC6AB6">
        <w:rPr>
          <w:rFonts w:ascii="Garamond" w:hAnsi="Garamond"/>
          <w:i/>
          <w:sz w:val="24"/>
          <w:szCs w:val="24"/>
          <w:lang w:val="sq-AL"/>
        </w:rPr>
        <w:t>Input</w:t>
      </w:r>
      <w:r w:rsidRPr="00EC6AB6">
        <w:rPr>
          <w:rFonts w:ascii="Garamond" w:hAnsi="Garamond"/>
          <w:sz w:val="24"/>
          <w:szCs w:val="24"/>
          <w:lang w:val="sq-AL"/>
        </w:rPr>
        <w:t>-et kryesore të përdorura në model janë: i</w:t>
      </w:r>
      <w:r w:rsidR="00E022E4" w:rsidRPr="00EC6AB6">
        <w:rPr>
          <w:rFonts w:ascii="Garamond" w:hAnsi="Garamond"/>
          <w:sz w:val="24"/>
          <w:szCs w:val="24"/>
          <w:lang w:val="sq-AL"/>
        </w:rPr>
        <w:t>.</w:t>
      </w:r>
      <w:r w:rsidRPr="00EC6AB6">
        <w:rPr>
          <w:rFonts w:ascii="Garamond" w:hAnsi="Garamond"/>
          <w:sz w:val="24"/>
          <w:szCs w:val="24"/>
          <w:lang w:val="sq-AL"/>
        </w:rPr>
        <w:t xml:space="preserve"> flukset e borxhit (interesat dhe principali) ekzistues me parashikimin për fundin e vitit 2020; ii</w:t>
      </w:r>
      <w:r w:rsidR="00E022E4" w:rsidRPr="00EC6AB6">
        <w:rPr>
          <w:rFonts w:ascii="Garamond" w:hAnsi="Garamond"/>
          <w:sz w:val="24"/>
          <w:szCs w:val="24"/>
          <w:lang w:val="sq-AL"/>
        </w:rPr>
        <w:t>.</w:t>
      </w:r>
      <w:r w:rsidRPr="00EC6AB6">
        <w:rPr>
          <w:rFonts w:ascii="Garamond" w:hAnsi="Garamond"/>
          <w:sz w:val="24"/>
          <w:szCs w:val="24"/>
          <w:lang w:val="sq-AL"/>
        </w:rPr>
        <w:t xml:space="preserve"> treguesit makrofiskal</w:t>
      </w:r>
      <w:r w:rsidR="000B57E1">
        <w:rPr>
          <w:rFonts w:ascii="Garamond" w:hAnsi="Garamond"/>
          <w:sz w:val="24"/>
          <w:szCs w:val="24"/>
          <w:lang w:val="sq-AL"/>
        </w:rPr>
        <w:t>ë</w:t>
      </w:r>
      <w:r w:rsidRPr="00EC6AB6">
        <w:rPr>
          <w:rFonts w:ascii="Garamond" w:hAnsi="Garamond"/>
          <w:sz w:val="24"/>
          <w:szCs w:val="24"/>
          <w:vertAlign w:val="superscript"/>
          <w:lang w:val="sq-AL"/>
        </w:rPr>
        <w:footnoteReference w:id="13"/>
      </w:r>
      <w:r w:rsidRPr="00EC6AB6">
        <w:rPr>
          <w:rFonts w:ascii="Garamond" w:hAnsi="Garamond"/>
          <w:sz w:val="24"/>
          <w:szCs w:val="24"/>
          <w:lang w:val="sq-AL"/>
        </w:rPr>
        <w:t xml:space="preserve"> (balanca primare, PBB, rezerva valutore, eksportet), të cilat orientojnë nevojat për financim të qeverisë dhe paraqesin raporte të caktu</w:t>
      </w:r>
      <w:r w:rsidR="00E022E4" w:rsidRPr="00EC6AB6">
        <w:rPr>
          <w:rFonts w:ascii="Garamond" w:hAnsi="Garamond"/>
          <w:sz w:val="24"/>
          <w:szCs w:val="24"/>
          <w:lang w:val="sq-AL"/>
        </w:rPr>
        <w:t>a</w:t>
      </w:r>
      <w:r w:rsidRPr="00EC6AB6">
        <w:rPr>
          <w:rFonts w:ascii="Garamond" w:hAnsi="Garamond"/>
          <w:sz w:val="24"/>
          <w:szCs w:val="24"/>
          <w:lang w:val="sq-AL"/>
        </w:rPr>
        <w:t>ra të borxhit; iii</w:t>
      </w:r>
      <w:r w:rsidR="00E022E4" w:rsidRPr="00EC6AB6">
        <w:rPr>
          <w:rFonts w:ascii="Garamond" w:hAnsi="Garamond"/>
          <w:sz w:val="24"/>
          <w:szCs w:val="24"/>
          <w:lang w:val="sq-AL"/>
        </w:rPr>
        <w:t>.</w:t>
      </w:r>
      <w:r w:rsidRPr="00EC6AB6">
        <w:rPr>
          <w:rFonts w:ascii="Garamond" w:hAnsi="Garamond"/>
          <w:sz w:val="24"/>
          <w:szCs w:val="24"/>
          <w:lang w:val="sq-AL"/>
        </w:rPr>
        <w:t xml:space="preserve"> strategjitë alternative të financimit; dhe iv</w:t>
      </w:r>
      <w:r w:rsidR="00E022E4" w:rsidRPr="00EC6AB6">
        <w:rPr>
          <w:rFonts w:ascii="Garamond" w:hAnsi="Garamond"/>
          <w:sz w:val="24"/>
          <w:szCs w:val="24"/>
          <w:lang w:val="sq-AL"/>
        </w:rPr>
        <w:t>.</w:t>
      </w:r>
      <w:r w:rsidRPr="00EC6AB6">
        <w:rPr>
          <w:rFonts w:ascii="Garamond" w:hAnsi="Garamond"/>
          <w:sz w:val="24"/>
          <w:szCs w:val="24"/>
          <w:lang w:val="sq-AL"/>
        </w:rPr>
        <w:t xml:space="preserve"> treguesit e tregut</w:t>
      </w:r>
      <w:r w:rsidR="000B57E1">
        <w:rPr>
          <w:rFonts w:ascii="Garamond" w:hAnsi="Garamond"/>
          <w:sz w:val="24"/>
          <w:szCs w:val="24"/>
          <w:lang w:val="sq-AL"/>
        </w:rPr>
        <w:t>,</w:t>
      </w:r>
      <w:r w:rsidRPr="00EC6AB6">
        <w:rPr>
          <w:rFonts w:ascii="Garamond" w:hAnsi="Garamond"/>
          <w:sz w:val="24"/>
          <w:szCs w:val="24"/>
          <w:lang w:val="sq-AL"/>
        </w:rPr>
        <w:t xml:space="preserve"> të tillë si normat e interesit dhe kursi i këmbimit.</w:t>
      </w:r>
    </w:p>
    <w:p w14:paraId="4333BA45" w14:textId="44021952" w:rsidR="008B3748" w:rsidRPr="00EC6AB6" w:rsidRDefault="008B3748" w:rsidP="008B3748">
      <w:pPr>
        <w:spacing w:after="0" w:line="240" w:lineRule="auto"/>
        <w:rPr>
          <w:rFonts w:ascii="Garamond" w:hAnsi="Garamond"/>
          <w:sz w:val="24"/>
          <w:szCs w:val="24"/>
          <w:lang w:val="sq-AL"/>
        </w:rPr>
      </w:pPr>
      <w:r w:rsidRPr="00EC6AB6">
        <w:rPr>
          <w:rFonts w:ascii="Garamond" w:hAnsi="Garamond"/>
          <w:i/>
          <w:sz w:val="24"/>
          <w:szCs w:val="24"/>
          <w:lang w:val="sq-AL"/>
        </w:rPr>
        <w:t>Input</w:t>
      </w:r>
      <w:r w:rsidRPr="00EC6AB6">
        <w:rPr>
          <w:rFonts w:ascii="Garamond" w:hAnsi="Garamond"/>
          <w:sz w:val="24"/>
          <w:szCs w:val="24"/>
          <w:lang w:val="sq-AL"/>
        </w:rPr>
        <w:t>-et për flukset e borxhit ekzistues injektohen në model</w:t>
      </w:r>
      <w:r w:rsidR="005A138A">
        <w:rPr>
          <w:rFonts w:ascii="Garamond" w:hAnsi="Garamond"/>
          <w:sz w:val="24"/>
          <w:szCs w:val="24"/>
          <w:lang w:val="sq-AL"/>
        </w:rPr>
        <w:t>,</w:t>
      </w:r>
      <w:r w:rsidRPr="00EC6AB6">
        <w:rPr>
          <w:rFonts w:ascii="Garamond" w:hAnsi="Garamond"/>
          <w:sz w:val="24"/>
          <w:szCs w:val="24"/>
          <w:lang w:val="sq-AL"/>
        </w:rPr>
        <w:t xml:space="preserve"> pasi paraprakisht grupohen sipas karakteristikave të riskut. Në rastin konkret, flukset e borxhit ekzistues janë grupuar në 13 grupe, përkatësisht 7 grupe për instrumentet në monedhë </w:t>
      </w:r>
      <w:r w:rsidR="002B79A7" w:rsidRPr="00EC6AB6">
        <w:rPr>
          <w:rFonts w:ascii="Garamond" w:hAnsi="Garamond"/>
          <w:sz w:val="24"/>
          <w:szCs w:val="24"/>
          <w:lang w:val="sq-AL"/>
        </w:rPr>
        <w:t>vendës</w:t>
      </w:r>
      <w:r w:rsidRPr="00EC6AB6">
        <w:rPr>
          <w:rFonts w:ascii="Garamond" w:hAnsi="Garamond"/>
          <w:sz w:val="24"/>
          <w:szCs w:val="24"/>
          <w:lang w:val="sq-AL"/>
        </w:rPr>
        <w:t>e (borxhi i brendshëm) dhe 6 grupe për instrumentet në monedhë të huaj (borxhi i jashtëm).</w:t>
      </w:r>
    </w:p>
    <w:p w14:paraId="4333BA46" w14:textId="2E2328F1"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Strategjitë alternative të financimit dallojnë nga njëra-tjetra</w:t>
      </w:r>
      <w:r w:rsidR="005A138A">
        <w:rPr>
          <w:rFonts w:ascii="Garamond" w:hAnsi="Garamond"/>
          <w:sz w:val="24"/>
          <w:szCs w:val="24"/>
          <w:lang w:val="sq-AL"/>
        </w:rPr>
        <w:t>,</w:t>
      </w:r>
      <w:r w:rsidRPr="00EC6AB6">
        <w:rPr>
          <w:rFonts w:ascii="Garamond" w:hAnsi="Garamond"/>
          <w:sz w:val="24"/>
          <w:szCs w:val="24"/>
          <w:lang w:val="sq-AL"/>
        </w:rPr>
        <w:t xml:space="preserve"> nga: i</w:t>
      </w:r>
      <w:r w:rsidR="005A138A">
        <w:rPr>
          <w:rFonts w:ascii="Garamond" w:hAnsi="Garamond"/>
          <w:sz w:val="24"/>
          <w:szCs w:val="24"/>
          <w:lang w:val="sq-AL"/>
        </w:rPr>
        <w:t>.</w:t>
      </w:r>
      <w:r w:rsidRPr="00EC6AB6">
        <w:rPr>
          <w:rFonts w:ascii="Garamond" w:hAnsi="Garamond"/>
          <w:sz w:val="24"/>
          <w:szCs w:val="24"/>
          <w:lang w:val="sq-AL"/>
        </w:rPr>
        <w:t xml:space="preserve"> raporti i financimit ndërmjet borxhit të brendshëm dhe të jashtëm; dhe ii</w:t>
      </w:r>
      <w:r w:rsidR="005A138A">
        <w:rPr>
          <w:rFonts w:ascii="Garamond" w:hAnsi="Garamond"/>
          <w:sz w:val="24"/>
          <w:szCs w:val="24"/>
          <w:lang w:val="sq-AL"/>
        </w:rPr>
        <w:t>.</w:t>
      </w:r>
      <w:r w:rsidRPr="00EC6AB6">
        <w:rPr>
          <w:rFonts w:ascii="Garamond" w:hAnsi="Garamond"/>
          <w:sz w:val="24"/>
          <w:szCs w:val="24"/>
          <w:lang w:val="sq-AL"/>
        </w:rPr>
        <w:t xml:space="preserve"> raportet e financimit ndërmjet grupeve me karakteristika risku të ngjashme, përkatësisht për borxhin e brendshëm dhe të jashtëm. </w:t>
      </w:r>
    </w:p>
    <w:p w14:paraId="4333BA48"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1.1.2 </w:t>
      </w:r>
      <w:r w:rsidR="008B3748" w:rsidRPr="00EC6AB6">
        <w:rPr>
          <w:rFonts w:ascii="Garamond" w:hAnsi="Garamond"/>
          <w:i/>
          <w:sz w:val="24"/>
          <w:szCs w:val="24"/>
          <w:lang w:val="sq-AL"/>
        </w:rPr>
        <w:t>Output</w:t>
      </w:r>
      <w:r w:rsidR="008B3748" w:rsidRPr="00EC6AB6">
        <w:rPr>
          <w:rFonts w:ascii="Garamond" w:hAnsi="Garamond"/>
          <w:sz w:val="24"/>
          <w:szCs w:val="24"/>
          <w:lang w:val="sq-AL"/>
        </w:rPr>
        <w:t>-i</w:t>
      </w:r>
    </w:p>
    <w:p w14:paraId="4333BA49" w14:textId="463045B0" w:rsidR="008B3748" w:rsidRPr="00EC6AB6" w:rsidRDefault="008B3748" w:rsidP="008B3748">
      <w:pPr>
        <w:spacing w:after="0" w:line="240" w:lineRule="auto"/>
        <w:rPr>
          <w:rFonts w:ascii="Garamond" w:hAnsi="Garamond"/>
          <w:sz w:val="24"/>
          <w:szCs w:val="24"/>
          <w:lang w:val="sq-AL"/>
        </w:rPr>
      </w:pPr>
      <w:r w:rsidRPr="00EC6AB6">
        <w:rPr>
          <w:rFonts w:ascii="Garamond" w:hAnsi="Garamond"/>
          <w:i/>
          <w:sz w:val="24"/>
          <w:szCs w:val="24"/>
          <w:lang w:val="sq-AL"/>
        </w:rPr>
        <w:lastRenderedPageBreak/>
        <w:t>Output</w:t>
      </w:r>
      <w:r w:rsidRPr="00EC6AB6">
        <w:rPr>
          <w:rFonts w:ascii="Garamond" w:hAnsi="Garamond"/>
          <w:sz w:val="24"/>
          <w:szCs w:val="24"/>
          <w:lang w:val="sq-AL"/>
        </w:rPr>
        <w:t xml:space="preserve">-i i modelit të përdorur konsiston në kuantifikimin e kostos dhe </w:t>
      </w:r>
      <w:r w:rsidR="005A138A">
        <w:rPr>
          <w:rFonts w:ascii="Garamond" w:hAnsi="Garamond"/>
          <w:sz w:val="24"/>
          <w:szCs w:val="24"/>
          <w:lang w:val="sq-AL"/>
        </w:rPr>
        <w:t xml:space="preserve">të </w:t>
      </w:r>
      <w:r w:rsidRPr="00EC6AB6">
        <w:rPr>
          <w:rFonts w:ascii="Garamond" w:hAnsi="Garamond"/>
          <w:sz w:val="24"/>
          <w:szCs w:val="24"/>
          <w:lang w:val="sq-AL"/>
        </w:rPr>
        <w:t>riskut për secilën strategji të analizuar. Modeli ilustron rezultatet që ka secila nga strategjitë e marra në shqyrtim nën efektin e skenarëve të treguesve të tregut, si edhe jep informacion për risqet që do të mbartë struktura e borxhit në fund të periudhës afatmesme për secilën nga strategjitë e konsideruara.</w:t>
      </w:r>
    </w:p>
    <w:p w14:paraId="4333BA4A"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1.1.3 </w:t>
      </w:r>
      <w:r w:rsidR="008B3748" w:rsidRPr="00EC6AB6">
        <w:rPr>
          <w:rFonts w:ascii="Garamond" w:hAnsi="Garamond"/>
          <w:sz w:val="24"/>
          <w:szCs w:val="24"/>
          <w:lang w:val="sq-AL"/>
        </w:rPr>
        <w:t>Skenarët</w:t>
      </w:r>
    </w:p>
    <w:p w14:paraId="4333BA4B" w14:textId="48AF3809"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5A138A">
        <w:rPr>
          <w:rFonts w:ascii="Garamond" w:hAnsi="Garamond"/>
          <w:sz w:val="24"/>
          <w:szCs w:val="24"/>
          <w:lang w:val="sq-AL"/>
        </w:rPr>
        <w:t xml:space="preserve">Skenari bazë </w:t>
      </w:r>
      <w:r w:rsidR="008B3748" w:rsidRPr="00EC6AB6">
        <w:rPr>
          <w:rFonts w:ascii="Garamond" w:hAnsi="Garamond"/>
          <w:sz w:val="24"/>
          <w:szCs w:val="24"/>
          <w:lang w:val="sq-AL"/>
        </w:rPr>
        <w:t>përcaktohet si skenari me probabilitetin më të lartë të ndodhisë (skenari më shumë i pritshëm) për secilën nga strategjitë dhe përdoret për të përcaktuar kostot (borxhi/PBB, interesa/PBB etj.).</w:t>
      </w:r>
    </w:p>
    <w:p w14:paraId="4333BA4C"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Skenarët e stresit, përcaktohen si skenarë alternativë dhe krijohen nga goditjet që aplikohen mbi treguesit e tregut (normat e interesit dhe kursin e këmbimit).</w:t>
      </w:r>
    </w:p>
    <w:p w14:paraId="4333BA4D"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Devijimi i kostove në skenarët e stresit nga kostot e skenarit bazë të secilës strategji përcakton nivelin e riskut.</w:t>
      </w:r>
    </w:p>
    <w:p w14:paraId="4333BA4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Teorikisht mund të aplikohet një pafundësi skenarësh stresi, ndërkohë që në rastin konkret janë aplikuar dy skenarë stresi për normat e interesit dhe dy skenarë stresi për kursin e këmbimit. </w:t>
      </w:r>
    </w:p>
    <w:p w14:paraId="4333BA4F"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1.1.4 </w:t>
      </w:r>
      <w:r w:rsidR="008B3748" w:rsidRPr="00EC6AB6">
        <w:rPr>
          <w:rFonts w:ascii="Garamond" w:hAnsi="Garamond"/>
          <w:sz w:val="24"/>
          <w:szCs w:val="24"/>
          <w:lang w:val="sq-AL"/>
        </w:rPr>
        <w:t>Kohështrirja</w:t>
      </w:r>
    </w:p>
    <w:p w14:paraId="4333BA50" w14:textId="1A6F793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Kohështrirja e analizës është marrë 5 v</w:t>
      </w:r>
      <w:r w:rsidR="0086157B">
        <w:rPr>
          <w:rFonts w:ascii="Garamond" w:hAnsi="Garamond"/>
          <w:sz w:val="24"/>
          <w:szCs w:val="24"/>
          <w:lang w:val="sq-AL"/>
        </w:rPr>
        <w:t>jet,</w:t>
      </w:r>
      <w:r w:rsidRPr="00EC6AB6">
        <w:rPr>
          <w:rFonts w:ascii="Garamond" w:hAnsi="Garamond"/>
          <w:sz w:val="24"/>
          <w:szCs w:val="24"/>
          <w:lang w:val="sq-AL"/>
        </w:rPr>
        <w:t xml:space="preserve"> me qëllim që secila nga strategjitë e konsideruara të japë efekte të dukshme mbi risqet e strukturës dhe kostot e borxhit. Në periudha më të shkurtra kohore diferencimi i </w:t>
      </w:r>
      <w:r w:rsidRPr="00EC6AB6">
        <w:rPr>
          <w:rFonts w:ascii="Garamond" w:hAnsi="Garamond"/>
          <w:i/>
          <w:sz w:val="24"/>
          <w:szCs w:val="24"/>
          <w:lang w:val="sq-AL"/>
        </w:rPr>
        <w:t>output</w:t>
      </w:r>
      <w:r w:rsidRPr="00EC6AB6">
        <w:rPr>
          <w:rFonts w:ascii="Garamond" w:hAnsi="Garamond"/>
          <w:sz w:val="24"/>
          <w:szCs w:val="24"/>
          <w:lang w:val="sq-AL"/>
        </w:rPr>
        <w:t>-ve për secilën prej strategjive të analizuara është relativisht i ulët, duke kufizuar identifikimin e ndryshimeve ndërmjet kostove dhe risqeve për secilën nga strategjitë respektive.</w:t>
      </w:r>
      <w:r w:rsidR="00FA2519" w:rsidRPr="00EC6AB6">
        <w:rPr>
          <w:rFonts w:ascii="Garamond" w:hAnsi="Garamond"/>
          <w:sz w:val="24"/>
          <w:szCs w:val="24"/>
          <w:lang w:val="sq-AL"/>
        </w:rPr>
        <w:t xml:space="preserve"> </w:t>
      </w:r>
    </w:p>
    <w:p w14:paraId="4333BA51" w14:textId="3D96D7A8" w:rsidR="008B3748" w:rsidRPr="00EC6AB6" w:rsidRDefault="00232D45" w:rsidP="008B3748">
      <w:pPr>
        <w:spacing w:after="0" w:line="240" w:lineRule="auto"/>
        <w:rPr>
          <w:rFonts w:ascii="Garamond" w:hAnsi="Garamond"/>
          <w:sz w:val="24"/>
          <w:szCs w:val="24"/>
          <w:lang w:val="sq-AL"/>
        </w:rPr>
      </w:pPr>
      <w:bookmarkStart w:id="139" w:name="_Toc449351175"/>
      <w:bookmarkStart w:id="140" w:name="_Toc448931060"/>
      <w:bookmarkStart w:id="141" w:name="_Toc448399361"/>
      <w:bookmarkStart w:id="142" w:name="_Toc448146928"/>
      <w:r w:rsidRPr="00EC6AB6">
        <w:rPr>
          <w:rFonts w:ascii="Garamond" w:hAnsi="Garamond"/>
          <w:sz w:val="24"/>
          <w:szCs w:val="24"/>
          <w:lang w:val="sq-AL"/>
        </w:rPr>
        <w:t xml:space="preserve">2. </w:t>
      </w:r>
      <w:r w:rsidR="008B3748" w:rsidRPr="00EC6AB6">
        <w:rPr>
          <w:rFonts w:ascii="Garamond" w:hAnsi="Garamond"/>
          <w:sz w:val="24"/>
          <w:szCs w:val="24"/>
          <w:lang w:val="sq-AL"/>
        </w:rPr>
        <w:t xml:space="preserve">Strategjitë </w:t>
      </w:r>
      <w:r w:rsidR="0086157B" w:rsidRPr="00EC6AB6">
        <w:rPr>
          <w:rFonts w:ascii="Garamond" w:hAnsi="Garamond"/>
          <w:sz w:val="24"/>
          <w:szCs w:val="24"/>
          <w:lang w:val="sq-AL"/>
        </w:rPr>
        <w:t xml:space="preserve">alternative </w:t>
      </w:r>
      <w:bookmarkEnd w:id="139"/>
      <w:bookmarkEnd w:id="140"/>
      <w:bookmarkEnd w:id="141"/>
      <w:bookmarkEnd w:id="142"/>
    </w:p>
    <w:p w14:paraId="4333BA52" w14:textId="58AB5AC4"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procesin e hartimit të strategjive alternative të financimit, përveç kufizimeve dhe</w:t>
      </w:r>
      <w:r w:rsidR="00FA2519" w:rsidRPr="00EC6AB6">
        <w:rPr>
          <w:rFonts w:ascii="Garamond" w:hAnsi="Garamond"/>
          <w:sz w:val="24"/>
          <w:szCs w:val="24"/>
          <w:lang w:val="sq-AL"/>
        </w:rPr>
        <w:t xml:space="preserve"> </w:t>
      </w:r>
      <w:r w:rsidRPr="00EC6AB6">
        <w:rPr>
          <w:rFonts w:ascii="Garamond" w:hAnsi="Garamond"/>
          <w:sz w:val="24"/>
          <w:szCs w:val="24"/>
          <w:lang w:val="sq-AL"/>
        </w:rPr>
        <w:t>supozimeve të sipërcituara është konsideruar edhe materializimi i risqeve sistemike në tregun e brendshëm dhe tregjet ndërkombëtare.</w:t>
      </w:r>
    </w:p>
    <w:p w14:paraId="4333BA53"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Në këto kushte, janë vlerësuar katër strategji të mundshme financimi, të cilat praktikisht janë të ngjashme në periudhën afatshkurtër, ndërkohë që diferencohen në periudhën afatmesme. Më konkretisht, strategjitë paraqiten si më poshtë:</w:t>
      </w:r>
    </w:p>
    <w:p w14:paraId="4333BA54" w14:textId="30D45A68"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2.1 </w:t>
      </w:r>
      <w:r w:rsidR="008B3748" w:rsidRPr="00EC6AB6">
        <w:rPr>
          <w:rFonts w:ascii="Garamond" w:hAnsi="Garamond"/>
          <w:sz w:val="24"/>
          <w:szCs w:val="24"/>
          <w:lang w:val="sq-AL"/>
        </w:rPr>
        <w:t>Strategjia 1 (</w:t>
      </w:r>
      <w:r w:rsidR="0086157B" w:rsidRPr="00EC6AB6">
        <w:rPr>
          <w:rFonts w:ascii="Garamond" w:hAnsi="Garamond"/>
          <w:sz w:val="24"/>
          <w:szCs w:val="24"/>
          <w:lang w:val="sq-AL"/>
        </w:rPr>
        <w:t>alternative</w:t>
      </w:r>
      <w:r w:rsidR="008B3748" w:rsidRPr="00EC6AB6">
        <w:rPr>
          <w:rFonts w:ascii="Garamond" w:hAnsi="Garamond"/>
          <w:sz w:val="24"/>
          <w:szCs w:val="24"/>
          <w:lang w:val="sq-AL"/>
        </w:rPr>
        <w:t>)</w:t>
      </w:r>
    </w:p>
    <w:p w14:paraId="4333BA55" w14:textId="77777777"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Supozimet bazë</w:t>
      </w:r>
    </w:p>
    <w:p w14:paraId="4333BA5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Kjo strategji është strategjia aktuale e zbatuar, e cila nuk diferencon shumë me strategjinë bazë të përzgjedhur.</w:t>
      </w:r>
    </w:p>
    <w:p w14:paraId="4333BA57" w14:textId="692F2970"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Pr>
          <w:rFonts w:ascii="Garamond" w:hAnsi="Garamond"/>
          <w:sz w:val="24"/>
          <w:szCs w:val="24"/>
          <w:lang w:val="sq-AL"/>
        </w:rPr>
        <w:t>Financimi i brendshëm,</w:t>
      </w:r>
      <w:r w:rsidR="008B3748" w:rsidRPr="00EC6AB6">
        <w:rPr>
          <w:rFonts w:ascii="Garamond" w:hAnsi="Garamond"/>
          <w:sz w:val="24"/>
          <w:szCs w:val="24"/>
          <w:lang w:val="sq-AL"/>
        </w:rPr>
        <w:t xml:space="preserve"> në terma bruto</w:t>
      </w:r>
      <w:r w:rsidR="0086157B">
        <w:rPr>
          <w:rFonts w:ascii="Garamond" w:hAnsi="Garamond"/>
          <w:sz w:val="24"/>
          <w:szCs w:val="24"/>
          <w:lang w:val="sq-AL"/>
        </w:rPr>
        <w:t>,</w:t>
      </w:r>
      <w:r w:rsidR="008B3748" w:rsidRPr="00EC6AB6">
        <w:rPr>
          <w:rFonts w:ascii="Garamond" w:hAnsi="Garamond"/>
          <w:sz w:val="24"/>
          <w:szCs w:val="24"/>
          <w:lang w:val="sq-AL"/>
        </w:rPr>
        <w:t xml:space="preserve"> do të plotësojë rreth 80% të nevojave për huamarrje. Nëpërmjet këtij financimi do të mundësohet rifinancimi i titujve ekzistues që maturohen dhe mbulimi i pjesshëm i deficitit buxhetor, duke qenë në përputhje me kapacitetet e tregut. I gjithë financimi i brendshëm planifikohet të realizohet nëpërmjet burimeve private, ku si instrumente huaje do të përdoren titujt shtetërorë. </w:t>
      </w:r>
    </w:p>
    <w:p w14:paraId="4333BA5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Mesatarisht rreth 63% e huamarrjes së brendshme planifikohet të realizohet nëpërmjet titujve afatshkurtër dhe do të shërbejë kryesisht për të rifinancuar maturimin e titujve ekzistues, për të menaxhuar likuiditetin afatshkurtër dhe për të përmirësuar strukturën vjetore të maturimeve. </w:t>
      </w:r>
    </w:p>
    <w:p w14:paraId="4333BA59"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Pjesa e mbetur e huamarrjes së brendshme (mesatarisht rreth 37%) do të sigurohet nëpërmjet titujve afatgjatë, karakteristikat e të cilëve do të vlerësohen vit pas viti në varësi të realizimit të objektivave strategjikë, kushteve të tregut dhe preferencave të kërkesës. </w:t>
      </w:r>
    </w:p>
    <w:p w14:paraId="4333BA5A"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Financimi huaj, në terma bruto do të plotësojë deri në 20% të nevojave për huamarrje. Nëpërmjet këtij financimi do të synohet të plotësohet pjesa e mbetur e deficitit buxhetor dhe të plotësohen kërkesat në rritje për financim. Burimet kryesore të financimit të huaj planifikohen të jenë burimet me natyrë shumëpalëshe, dypalëshe dhe private.</w:t>
      </w:r>
    </w:p>
    <w:p w14:paraId="4333BA5B" w14:textId="3E2E5D96"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Pjesa më e madhe e financimit të huaj planifikohet të realizohet nëpërmjet kredive me terma të but</w:t>
      </w:r>
      <w:r w:rsidR="0086157B">
        <w:rPr>
          <w:rFonts w:ascii="Garamond" w:hAnsi="Garamond"/>
          <w:sz w:val="24"/>
          <w:szCs w:val="24"/>
          <w:lang w:val="sq-AL"/>
        </w:rPr>
        <w:t>ë</w:t>
      </w:r>
      <w:r w:rsidRPr="00EC6AB6">
        <w:rPr>
          <w:rFonts w:ascii="Garamond" w:hAnsi="Garamond"/>
          <w:sz w:val="24"/>
          <w:szCs w:val="24"/>
          <w:lang w:val="sq-AL"/>
        </w:rPr>
        <w:t xml:space="preserve"> nga burimet me natyrë shumëpalëshe dhe dypalëshe</w:t>
      </w:r>
      <w:r w:rsidR="0086157B">
        <w:rPr>
          <w:rFonts w:ascii="Garamond" w:hAnsi="Garamond"/>
          <w:sz w:val="24"/>
          <w:szCs w:val="24"/>
          <w:lang w:val="sq-AL"/>
        </w:rPr>
        <w:t>,</w:t>
      </w:r>
      <w:r w:rsidRPr="00EC6AB6">
        <w:rPr>
          <w:rFonts w:ascii="Garamond" w:hAnsi="Garamond"/>
          <w:sz w:val="24"/>
          <w:szCs w:val="24"/>
          <w:lang w:val="sq-AL"/>
        </w:rPr>
        <w:t xml:space="preserve"> si dhe kreditë në formën e mbështetjes buxhetore. Këto kredi kryesisht do të financojnë projektet me natyrë zhvillimore dhe do të mbështesin buxhetin për nevojat në rritje për financim dhe për reformat e ndërmarra nga qeveria.</w:t>
      </w:r>
    </w:p>
    <w:p w14:paraId="4333BA5C" w14:textId="7EC3DCA0"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8B3748" w:rsidRPr="00EC6AB6">
        <w:rPr>
          <w:rFonts w:ascii="Garamond" w:hAnsi="Garamond"/>
          <w:sz w:val="24"/>
          <w:szCs w:val="24"/>
          <w:lang w:val="sq-AL"/>
        </w:rPr>
        <w:t>Pjesa e mbetur e financimit të huaj planifikohet të realizohet nëpërmjet burimeve private, ku si instrument huaje pl</w:t>
      </w:r>
      <w:r w:rsidR="00F9380C" w:rsidRPr="00EC6AB6">
        <w:rPr>
          <w:rFonts w:ascii="Garamond" w:hAnsi="Garamond"/>
          <w:sz w:val="24"/>
          <w:szCs w:val="24"/>
          <w:lang w:val="sq-AL"/>
        </w:rPr>
        <w:t xml:space="preserve">anifikohet të përdoret </w:t>
      </w:r>
      <w:r w:rsidR="00E9550A" w:rsidRPr="00EC6AB6">
        <w:rPr>
          <w:rFonts w:ascii="Garamond" w:hAnsi="Garamond"/>
          <w:sz w:val="24"/>
          <w:szCs w:val="24"/>
          <w:lang w:val="sq-AL"/>
        </w:rPr>
        <w:t>eurobondi</w:t>
      </w:r>
      <w:r w:rsidR="008B3748" w:rsidRPr="00EC6AB6">
        <w:rPr>
          <w:rFonts w:ascii="Garamond" w:hAnsi="Garamond"/>
          <w:sz w:val="24"/>
          <w:szCs w:val="24"/>
          <w:lang w:val="sq-AL"/>
        </w:rPr>
        <w:t xml:space="preserve">, duke mos përjashtuar instrumentet e tjera financiare të tregjeve të kapitalit mbi baza oportuniste. </w:t>
      </w:r>
    </w:p>
    <w:p w14:paraId="4333BA5D" w14:textId="3CBA8477" w:rsidR="008B3748" w:rsidRPr="00EC6AB6" w:rsidRDefault="00F9380C" w:rsidP="008B3748">
      <w:pPr>
        <w:spacing w:after="0" w:line="240" w:lineRule="auto"/>
        <w:rPr>
          <w:rFonts w:ascii="Garamond" w:hAnsi="Garamond"/>
          <w:b/>
          <w:sz w:val="24"/>
          <w:szCs w:val="24"/>
          <w:lang w:val="sq-AL"/>
        </w:rPr>
      </w:pPr>
      <w:r w:rsidRPr="00EC6AB6">
        <w:rPr>
          <w:rFonts w:ascii="Garamond" w:hAnsi="Garamond"/>
          <w:b/>
          <w:sz w:val="24"/>
          <w:szCs w:val="24"/>
          <w:lang w:val="sq-AL"/>
        </w:rPr>
        <w:t>Çfarë</w:t>
      </w:r>
      <w:r w:rsidR="008B3748" w:rsidRPr="00EC6AB6">
        <w:rPr>
          <w:rFonts w:ascii="Garamond" w:hAnsi="Garamond"/>
          <w:b/>
          <w:sz w:val="24"/>
          <w:szCs w:val="24"/>
          <w:lang w:val="sq-AL"/>
        </w:rPr>
        <w:t xml:space="preserve"> pritet të përmbushë strategjia</w:t>
      </w:r>
    </w:p>
    <w:p w14:paraId="4333BA5E" w14:textId="5D9019A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Implementimi i </w:t>
      </w:r>
      <w:r w:rsidR="0086157B" w:rsidRPr="00EC6AB6">
        <w:rPr>
          <w:rFonts w:ascii="Garamond" w:hAnsi="Garamond"/>
          <w:sz w:val="24"/>
          <w:szCs w:val="24"/>
          <w:lang w:val="sq-AL"/>
        </w:rPr>
        <w:t xml:space="preserve">strategjisë </w:t>
      </w:r>
      <w:r w:rsidRPr="00EC6AB6">
        <w:rPr>
          <w:rFonts w:ascii="Garamond" w:hAnsi="Garamond"/>
          <w:sz w:val="24"/>
          <w:szCs w:val="24"/>
          <w:lang w:val="sq-AL"/>
        </w:rPr>
        <w:t>1</w:t>
      </w:r>
      <w:r w:rsidR="0086157B">
        <w:rPr>
          <w:rFonts w:ascii="Garamond" w:hAnsi="Garamond"/>
          <w:sz w:val="24"/>
          <w:szCs w:val="24"/>
          <w:lang w:val="sq-AL"/>
        </w:rPr>
        <w:t>,</w:t>
      </w:r>
      <w:r w:rsidRPr="00EC6AB6">
        <w:rPr>
          <w:rFonts w:ascii="Garamond" w:hAnsi="Garamond"/>
          <w:sz w:val="24"/>
          <w:szCs w:val="24"/>
          <w:lang w:val="sq-AL"/>
        </w:rPr>
        <w:t xml:space="preserve"> në linjë me indikacionet e mësipërme</w:t>
      </w:r>
      <w:r w:rsidR="0086157B">
        <w:rPr>
          <w:rFonts w:ascii="Garamond" w:hAnsi="Garamond"/>
          <w:sz w:val="24"/>
          <w:szCs w:val="24"/>
          <w:lang w:val="sq-AL"/>
        </w:rPr>
        <w:t>,</w:t>
      </w:r>
      <w:r w:rsidRPr="00EC6AB6">
        <w:rPr>
          <w:rFonts w:ascii="Garamond" w:hAnsi="Garamond"/>
          <w:sz w:val="24"/>
          <w:szCs w:val="24"/>
          <w:lang w:val="sq-AL"/>
        </w:rPr>
        <w:t xml:space="preserve"> do të rezultonte në: </w:t>
      </w:r>
    </w:p>
    <w:p w14:paraId="4333BA5F" w14:textId="217A609F"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sidRPr="00EC6AB6">
        <w:rPr>
          <w:rFonts w:ascii="Garamond" w:hAnsi="Garamond"/>
          <w:sz w:val="24"/>
          <w:szCs w:val="24"/>
          <w:lang w:val="sq-AL"/>
        </w:rPr>
        <w:t xml:space="preserve">përmbushjen </w:t>
      </w:r>
      <w:r w:rsidR="008B3748" w:rsidRPr="00EC6AB6">
        <w:rPr>
          <w:rFonts w:ascii="Garamond" w:hAnsi="Garamond"/>
          <w:sz w:val="24"/>
          <w:szCs w:val="24"/>
          <w:lang w:val="sq-AL"/>
        </w:rPr>
        <w:t>e nevojave për financim</w:t>
      </w:r>
      <w:r w:rsidR="0086157B">
        <w:rPr>
          <w:rFonts w:ascii="Garamond" w:hAnsi="Garamond"/>
          <w:sz w:val="24"/>
          <w:szCs w:val="24"/>
          <w:lang w:val="sq-AL"/>
        </w:rPr>
        <w:t>,</w:t>
      </w:r>
      <w:r w:rsidR="008B3748" w:rsidRPr="00EC6AB6">
        <w:rPr>
          <w:rFonts w:ascii="Garamond" w:hAnsi="Garamond"/>
          <w:sz w:val="24"/>
          <w:szCs w:val="24"/>
          <w:lang w:val="sq-AL"/>
        </w:rPr>
        <w:t xml:space="preserve"> në përputhje me projeksionet e </w:t>
      </w:r>
      <w:r w:rsidR="0086157B" w:rsidRPr="00EC6AB6">
        <w:rPr>
          <w:rFonts w:ascii="Garamond" w:hAnsi="Garamond"/>
          <w:sz w:val="24"/>
          <w:szCs w:val="24"/>
          <w:lang w:val="sq-AL"/>
        </w:rPr>
        <w:t>Draftkuadrit makroekonomik dhe fiskal</w:t>
      </w:r>
      <w:r w:rsidR="0086157B">
        <w:rPr>
          <w:rFonts w:ascii="Garamond" w:hAnsi="Garamond"/>
          <w:sz w:val="24"/>
          <w:szCs w:val="24"/>
          <w:lang w:val="sq-AL"/>
        </w:rPr>
        <w:t>,</w:t>
      </w:r>
      <w:r w:rsidR="0086157B" w:rsidRPr="00EC6AB6">
        <w:rPr>
          <w:rFonts w:ascii="Garamond" w:hAnsi="Garamond"/>
          <w:sz w:val="24"/>
          <w:szCs w:val="24"/>
          <w:lang w:val="sq-AL"/>
        </w:rPr>
        <w:t xml:space="preserve"> </w:t>
      </w:r>
      <w:r w:rsidR="008B3748" w:rsidRPr="00EC6AB6">
        <w:rPr>
          <w:rFonts w:ascii="Garamond" w:hAnsi="Garamond"/>
          <w:sz w:val="24"/>
          <w:szCs w:val="24"/>
          <w:lang w:val="sq-AL"/>
        </w:rPr>
        <w:t>2022</w:t>
      </w:r>
      <w:r w:rsidR="00CD788D" w:rsidRPr="00EC6AB6">
        <w:rPr>
          <w:rFonts w:ascii="Garamond" w:hAnsi="Garamond"/>
          <w:sz w:val="24"/>
          <w:szCs w:val="24"/>
          <w:lang w:val="sq-AL"/>
        </w:rPr>
        <w:t>–</w:t>
      </w:r>
      <w:r w:rsidR="008B3748" w:rsidRPr="00EC6AB6">
        <w:rPr>
          <w:rFonts w:ascii="Garamond" w:hAnsi="Garamond"/>
          <w:sz w:val="24"/>
          <w:szCs w:val="24"/>
          <w:lang w:val="sq-AL"/>
        </w:rPr>
        <w:t xml:space="preserve">2024; </w:t>
      </w:r>
    </w:p>
    <w:p w14:paraId="4333BA60" w14:textId="1C9D638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sidRPr="00EC6AB6">
        <w:rPr>
          <w:rFonts w:ascii="Garamond" w:hAnsi="Garamond"/>
          <w:sz w:val="24"/>
          <w:szCs w:val="24"/>
          <w:lang w:val="sq-AL"/>
        </w:rPr>
        <w:t xml:space="preserve">mbajtjen </w:t>
      </w:r>
      <w:r w:rsidR="008B3748" w:rsidRPr="00EC6AB6">
        <w:rPr>
          <w:rFonts w:ascii="Garamond" w:hAnsi="Garamond"/>
          <w:sz w:val="24"/>
          <w:szCs w:val="24"/>
          <w:lang w:val="sq-AL"/>
        </w:rPr>
        <w:t>nën kontroll të riskut të kursit të këmbimit</w:t>
      </w:r>
      <w:r w:rsidR="0086157B">
        <w:rPr>
          <w:rFonts w:ascii="Garamond" w:hAnsi="Garamond"/>
          <w:sz w:val="24"/>
          <w:szCs w:val="24"/>
          <w:lang w:val="sq-AL"/>
        </w:rPr>
        <w:t>,</w:t>
      </w:r>
      <w:r w:rsidR="008B3748" w:rsidRPr="00EC6AB6">
        <w:rPr>
          <w:rFonts w:ascii="Garamond" w:hAnsi="Garamond"/>
          <w:sz w:val="24"/>
          <w:szCs w:val="24"/>
          <w:lang w:val="sq-AL"/>
        </w:rPr>
        <w:t xml:space="preserve"> në përputhje me objektivin strategjik për të ruajtur nivelin e borxhit në valutë brenda kufijve indikativ</w:t>
      </w:r>
      <w:r w:rsidR="0086157B">
        <w:rPr>
          <w:rFonts w:ascii="Garamond" w:hAnsi="Garamond"/>
          <w:sz w:val="24"/>
          <w:szCs w:val="24"/>
          <w:lang w:val="sq-AL"/>
        </w:rPr>
        <w:t>ë</w:t>
      </w:r>
      <w:r w:rsidR="008B3748" w:rsidRPr="00EC6AB6">
        <w:rPr>
          <w:rFonts w:ascii="Garamond" w:hAnsi="Garamond"/>
          <w:sz w:val="24"/>
          <w:szCs w:val="24"/>
          <w:lang w:val="sq-AL"/>
        </w:rPr>
        <w:t>;</w:t>
      </w:r>
    </w:p>
    <w:p w14:paraId="4333BA61" w14:textId="4278E1AD"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sidRPr="00EC6AB6">
        <w:rPr>
          <w:rFonts w:ascii="Garamond" w:hAnsi="Garamond"/>
          <w:sz w:val="24"/>
          <w:szCs w:val="24"/>
          <w:lang w:val="sq-AL"/>
        </w:rPr>
        <w:t xml:space="preserve">sigurimin </w:t>
      </w:r>
      <w:r w:rsidR="008B3748" w:rsidRPr="00EC6AB6">
        <w:rPr>
          <w:rFonts w:ascii="Garamond" w:hAnsi="Garamond"/>
          <w:sz w:val="24"/>
          <w:szCs w:val="24"/>
          <w:lang w:val="sq-AL"/>
        </w:rPr>
        <w:t>e burimeve të nevojshme në valutë për të shërbyer detyrimet e borxhit të huaj;</w:t>
      </w:r>
    </w:p>
    <w:p w14:paraId="4333BA62" w14:textId="60FB78F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sidRPr="00EC6AB6">
        <w:rPr>
          <w:rFonts w:ascii="Garamond" w:hAnsi="Garamond"/>
          <w:sz w:val="24"/>
          <w:szCs w:val="24"/>
          <w:lang w:val="sq-AL"/>
        </w:rPr>
        <w:t xml:space="preserve">raport </w:t>
      </w:r>
      <w:r w:rsidR="008B3748" w:rsidRPr="00EC6AB6">
        <w:rPr>
          <w:rFonts w:ascii="Garamond" w:hAnsi="Garamond"/>
          <w:sz w:val="24"/>
          <w:szCs w:val="24"/>
          <w:lang w:val="sq-AL"/>
        </w:rPr>
        <w:t>kosto/risk relativisht më të favorshëm krahasuar me strategjitë e tjer</w:t>
      </w:r>
      <w:r w:rsidR="00F9380C" w:rsidRPr="00EC6AB6">
        <w:rPr>
          <w:rFonts w:ascii="Garamond" w:hAnsi="Garamond"/>
          <w:sz w:val="24"/>
          <w:szCs w:val="24"/>
          <w:lang w:val="sq-AL"/>
        </w:rPr>
        <w:t>a alternative, për shkak të mir</w:t>
      </w:r>
      <w:r w:rsidR="008B3748" w:rsidRPr="00EC6AB6">
        <w:rPr>
          <w:rFonts w:ascii="Garamond" w:hAnsi="Garamond"/>
          <w:sz w:val="24"/>
          <w:szCs w:val="24"/>
          <w:lang w:val="sq-AL"/>
        </w:rPr>
        <w:t>diversifikimit të burimeve të financimit;</w:t>
      </w:r>
    </w:p>
    <w:p w14:paraId="4333BA63" w14:textId="4C4629BA"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6157B" w:rsidRPr="00EC6AB6">
        <w:rPr>
          <w:rFonts w:ascii="Garamond" w:hAnsi="Garamond"/>
          <w:sz w:val="24"/>
          <w:szCs w:val="24"/>
          <w:lang w:val="sq-AL"/>
        </w:rPr>
        <w:t xml:space="preserve">mbajtjen </w:t>
      </w:r>
      <w:r w:rsidR="008B3748" w:rsidRPr="00EC6AB6">
        <w:rPr>
          <w:rFonts w:ascii="Garamond" w:hAnsi="Garamond"/>
          <w:sz w:val="24"/>
          <w:szCs w:val="24"/>
          <w:lang w:val="sq-AL"/>
        </w:rPr>
        <w:t>e nivelit të huamarrjes së brendshme brenda kapaciteteve që disponon tregu i brendshëm, duke i dhënë hapësirë kreditimit të sektorit privat.</w:t>
      </w:r>
    </w:p>
    <w:p w14:paraId="4333BA6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Risqet</w:t>
      </w:r>
    </w:p>
    <w:p w14:paraId="4333BA66" w14:textId="09BD5131"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Kjo strategji është e ekspozuar ndaj risqeve sistemike të tregjeve ndërkombëtare, materializimi i të cilave do të shoqërohej me rritje të kostove të huamarrjes</w:t>
      </w:r>
      <w:r w:rsidR="0086157B">
        <w:rPr>
          <w:rFonts w:ascii="Garamond" w:hAnsi="Garamond"/>
          <w:sz w:val="24"/>
          <w:szCs w:val="24"/>
          <w:lang w:val="sq-AL"/>
        </w:rPr>
        <w:t>.</w:t>
      </w:r>
    </w:p>
    <w:p w14:paraId="4333BA67" w14:textId="2575154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2.2 </w:t>
      </w:r>
      <w:r w:rsidR="008B3748" w:rsidRPr="00EC6AB6">
        <w:rPr>
          <w:rFonts w:ascii="Garamond" w:hAnsi="Garamond"/>
          <w:sz w:val="24"/>
          <w:szCs w:val="24"/>
          <w:lang w:val="sq-AL"/>
        </w:rPr>
        <w:t>Strategjia 2 (</w:t>
      </w:r>
      <w:r w:rsidR="00F9380C" w:rsidRPr="00EC6AB6">
        <w:rPr>
          <w:rFonts w:ascii="Garamond" w:hAnsi="Garamond"/>
          <w:sz w:val="24"/>
          <w:szCs w:val="24"/>
          <w:lang w:val="sq-AL"/>
        </w:rPr>
        <w:t>bazë</w:t>
      </w:r>
      <w:r w:rsidR="008B3748" w:rsidRPr="00EC6AB6">
        <w:rPr>
          <w:rFonts w:ascii="Garamond" w:hAnsi="Garamond"/>
          <w:sz w:val="24"/>
          <w:szCs w:val="24"/>
          <w:lang w:val="sq-AL"/>
        </w:rPr>
        <w:t>)</w:t>
      </w:r>
    </w:p>
    <w:p w14:paraId="4333BA6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Supozimet baz</w:t>
      </w:r>
      <w:r w:rsidRPr="0086157B">
        <w:rPr>
          <w:rFonts w:ascii="Garamond" w:hAnsi="Garamond"/>
          <w:b/>
          <w:sz w:val="24"/>
          <w:szCs w:val="24"/>
          <w:lang w:val="sq-AL"/>
        </w:rPr>
        <w:t>ë</w:t>
      </w:r>
    </w:p>
    <w:p w14:paraId="4333BA69" w14:textId="43F0B8F3"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Nevojat për financim në periudhën afatmesme janë projektuar në përputhje me bilancin primar të përcaktuar në Draft</w:t>
      </w:r>
      <w:r w:rsidR="002A3C2D">
        <w:rPr>
          <w:rFonts w:ascii="Garamond" w:hAnsi="Garamond"/>
          <w:sz w:val="24"/>
          <w:szCs w:val="24"/>
          <w:lang w:val="sq-AL"/>
        </w:rPr>
        <w:t>k</w:t>
      </w:r>
      <w:r w:rsidR="008B3748" w:rsidRPr="00EC6AB6">
        <w:rPr>
          <w:rFonts w:ascii="Garamond" w:hAnsi="Garamond"/>
          <w:sz w:val="24"/>
          <w:szCs w:val="24"/>
          <w:lang w:val="sq-AL"/>
        </w:rPr>
        <w:t xml:space="preserve">uadrin </w:t>
      </w:r>
      <w:r w:rsidR="002A3C2D" w:rsidRPr="00EC6AB6">
        <w:rPr>
          <w:rFonts w:ascii="Garamond" w:hAnsi="Garamond"/>
          <w:sz w:val="24"/>
          <w:szCs w:val="24"/>
          <w:lang w:val="sq-AL"/>
        </w:rPr>
        <w:t>makroekonomik dhe fiskal</w:t>
      </w:r>
      <w:r w:rsidR="002A3C2D">
        <w:rPr>
          <w:rFonts w:ascii="Garamond" w:hAnsi="Garamond"/>
          <w:sz w:val="24"/>
          <w:szCs w:val="24"/>
          <w:lang w:val="sq-AL"/>
        </w:rPr>
        <w:t>,</w:t>
      </w:r>
      <w:r w:rsidR="002A3C2D" w:rsidRPr="00EC6AB6">
        <w:rPr>
          <w:rFonts w:ascii="Garamond" w:hAnsi="Garamond"/>
          <w:sz w:val="24"/>
          <w:szCs w:val="24"/>
          <w:lang w:val="sq-AL"/>
        </w:rPr>
        <w:t xml:space="preserve"> </w:t>
      </w:r>
      <w:r w:rsidR="008B3748" w:rsidRPr="00EC6AB6">
        <w:rPr>
          <w:rFonts w:ascii="Garamond" w:hAnsi="Garamond"/>
          <w:sz w:val="24"/>
          <w:szCs w:val="24"/>
          <w:lang w:val="sq-AL"/>
        </w:rPr>
        <w:t>2022-2024.</w:t>
      </w:r>
    </w:p>
    <w:p w14:paraId="4333BA6A"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Tregu i brendshëm i titujve shtetërorë dhe tregu i jashtëm i kapitaleve supozohet të jenë të qëndrueshëm, duke i mundësuar Republikës së Shqipërisë në periudhën afatmesme akses për huamarrje nëpërmjet burimeve private të financimit qoftë në tregun e brendshëm ashtu edhe atë të jashtëm.</w:t>
      </w:r>
    </w:p>
    <w:p w14:paraId="4333BA6B"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Normat e interesit supozohet të jenë në nivele të krahasueshme me normat aktuale.</w:t>
      </w:r>
    </w:p>
    <w:p w14:paraId="4333BA6C" w14:textId="77777777"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Financimi</w:t>
      </w:r>
    </w:p>
    <w:p w14:paraId="4333BA6D" w14:textId="0C114A41"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Financimi i brendshëm, në terma bruto</w:t>
      </w:r>
      <w:r w:rsidR="00092F6C">
        <w:rPr>
          <w:rFonts w:ascii="Garamond" w:hAnsi="Garamond"/>
          <w:sz w:val="24"/>
          <w:szCs w:val="24"/>
          <w:lang w:val="sq-AL"/>
        </w:rPr>
        <w:t>,</w:t>
      </w:r>
      <w:r w:rsidR="008B3748" w:rsidRPr="00EC6AB6">
        <w:rPr>
          <w:rFonts w:ascii="Garamond" w:hAnsi="Garamond"/>
          <w:sz w:val="24"/>
          <w:szCs w:val="24"/>
          <w:lang w:val="sq-AL"/>
        </w:rPr>
        <w:t xml:space="preserve"> do të plotësojë rreth 80% të nevojave për huamarrje. Nëpërmjet këtij financimi do të mundësohet rifinancimi i titujve ekzistues që maturohen dhe mbulimi i pjesshëm i deficitit buxhetor, duke qenë në përputhje me kapacitetet e tregut. I gjithë financimi i brendshëm planifikohet të realizohet nëpërmjet burimeve private, ku si instrumente huaje do të përdoren titujt shtetërorë. </w:t>
      </w:r>
    </w:p>
    <w:p w14:paraId="4333BA6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Mesatarisht rreth 60% e huamarrjes së brendshme planifikohet të realizohet nëpërmjet titujve afatshkurtër dhe do të shërbejë kryesisht për të rifinancuar maturimin e titujve ekzistues, për të menaxhuar likuiditetin afatshkurtër dhe për të përmirësuar strukturën vjetore të maturimeve. </w:t>
      </w:r>
    </w:p>
    <w:p w14:paraId="4333BA6F"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Pjesa e mbetur e huamarrjes së brendshme (mesatarisht rreth 40%) do të sigurohet nëpërmjet titujve afatgjatë, karakteristikat e të cilëve do të vlerësohen vit pas viti në varësi të realizimit të objektivave strategjikë, kushteve të tregut dhe preferencave të kërkesës. </w:t>
      </w:r>
    </w:p>
    <w:p w14:paraId="4333BA70" w14:textId="71E4BB9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Në strategjinë bazë, rëndësi do t’i jepet zhvillimit të mëtejshëm të projektit </w:t>
      </w:r>
      <w:r w:rsidRPr="00092F6C">
        <w:rPr>
          <w:rFonts w:ascii="Garamond" w:hAnsi="Garamond"/>
          <w:i/>
          <w:sz w:val="24"/>
          <w:szCs w:val="24"/>
          <w:lang w:val="sq-AL"/>
        </w:rPr>
        <w:t>market maker</w:t>
      </w:r>
      <w:r w:rsidRPr="00EC6AB6">
        <w:rPr>
          <w:rFonts w:ascii="Garamond" w:hAnsi="Garamond"/>
          <w:sz w:val="24"/>
          <w:szCs w:val="24"/>
          <w:lang w:val="sq-AL"/>
        </w:rPr>
        <w:t xml:space="preserve"> për </w:t>
      </w:r>
      <w:r w:rsidR="00E10260" w:rsidRPr="00EC6AB6">
        <w:rPr>
          <w:rFonts w:ascii="Garamond" w:hAnsi="Garamond"/>
          <w:sz w:val="24"/>
          <w:szCs w:val="24"/>
          <w:lang w:val="sq-AL"/>
        </w:rPr>
        <w:t xml:space="preserve">obligacionet </w:t>
      </w:r>
      <w:r w:rsidRPr="00EC6AB6">
        <w:rPr>
          <w:rFonts w:ascii="Garamond" w:hAnsi="Garamond"/>
          <w:sz w:val="24"/>
          <w:szCs w:val="24"/>
          <w:lang w:val="sq-AL"/>
        </w:rPr>
        <w:t>3</w:t>
      </w:r>
      <w:r w:rsidR="00E10260">
        <w:rPr>
          <w:rFonts w:ascii="Garamond" w:hAnsi="Garamond"/>
          <w:sz w:val="24"/>
          <w:szCs w:val="24"/>
          <w:lang w:val="sq-AL"/>
        </w:rPr>
        <w:t>-</w:t>
      </w:r>
      <w:r w:rsidRPr="00EC6AB6">
        <w:rPr>
          <w:rFonts w:ascii="Garamond" w:hAnsi="Garamond"/>
          <w:sz w:val="24"/>
          <w:szCs w:val="24"/>
          <w:lang w:val="sq-AL"/>
        </w:rPr>
        <w:t xml:space="preserve"> dhe 5</w:t>
      </w:r>
      <w:r w:rsidR="00E10260">
        <w:rPr>
          <w:rFonts w:ascii="Garamond" w:hAnsi="Garamond"/>
          <w:sz w:val="24"/>
          <w:szCs w:val="24"/>
          <w:lang w:val="sq-AL"/>
        </w:rPr>
        <w:t>-v</w:t>
      </w:r>
      <w:r w:rsidRPr="00EC6AB6">
        <w:rPr>
          <w:rFonts w:ascii="Garamond" w:hAnsi="Garamond"/>
          <w:sz w:val="24"/>
          <w:szCs w:val="24"/>
          <w:lang w:val="sq-AL"/>
        </w:rPr>
        <w:t>jeçare referencë, duke qenë se rezultatet e këtij projekti kanë treguar se ka pasur rritje të volumit të tregtimit të këtij titulli në tregun sekondar dhe për më tepër edhe rritje të volumit të titujve me maturitet të mbetur 5 v</w:t>
      </w:r>
      <w:r w:rsidR="00E10260">
        <w:rPr>
          <w:rFonts w:ascii="Garamond" w:hAnsi="Garamond"/>
          <w:sz w:val="24"/>
          <w:szCs w:val="24"/>
          <w:lang w:val="sq-AL"/>
        </w:rPr>
        <w:t>jet</w:t>
      </w:r>
      <w:r w:rsidRPr="00EC6AB6">
        <w:rPr>
          <w:rFonts w:ascii="Garamond" w:hAnsi="Garamond"/>
          <w:sz w:val="24"/>
          <w:szCs w:val="24"/>
          <w:lang w:val="sq-AL"/>
        </w:rPr>
        <w:t>.</w:t>
      </w:r>
    </w:p>
    <w:p w14:paraId="4333BA71" w14:textId="122AF7F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Gjithashtu</w:t>
      </w:r>
      <w:r w:rsidR="00CD788D" w:rsidRPr="00EC6AB6">
        <w:rPr>
          <w:rFonts w:ascii="Garamond" w:hAnsi="Garamond"/>
          <w:sz w:val="24"/>
          <w:szCs w:val="24"/>
          <w:lang w:val="sq-AL"/>
        </w:rPr>
        <w:t>,</w:t>
      </w:r>
      <w:r w:rsidRPr="00EC6AB6">
        <w:rPr>
          <w:rFonts w:ascii="Garamond" w:hAnsi="Garamond"/>
          <w:sz w:val="24"/>
          <w:szCs w:val="24"/>
          <w:lang w:val="sq-AL"/>
        </w:rPr>
        <w:t xml:space="preserve"> në këtë strategji do të synohet reduktimi gradual i peshës së instrumenteve afatshkurtra dhe rritja e peshës së instrumenteve afatgjata në portofol. </w:t>
      </w:r>
    </w:p>
    <w:p w14:paraId="4333BA72" w14:textId="2C0C046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Financimi i huaj, në terma bruto</w:t>
      </w:r>
      <w:r w:rsidR="00E10260">
        <w:rPr>
          <w:rFonts w:ascii="Garamond" w:hAnsi="Garamond"/>
          <w:sz w:val="24"/>
          <w:szCs w:val="24"/>
          <w:lang w:val="sq-AL"/>
        </w:rPr>
        <w:t>,</w:t>
      </w:r>
      <w:r w:rsidR="008B3748" w:rsidRPr="00EC6AB6">
        <w:rPr>
          <w:rFonts w:ascii="Garamond" w:hAnsi="Garamond"/>
          <w:sz w:val="24"/>
          <w:szCs w:val="24"/>
          <w:lang w:val="sq-AL"/>
        </w:rPr>
        <w:t xml:space="preserve"> do të plotësojë deri në 20% të nevojave për huamarrje. Nëpërmjet këtij financimi do të synohet të plotësohet pjesa e mbetur e deficitit buxhetor, të plotësohen kërkesat në rritje për financim</w:t>
      </w:r>
      <w:r w:rsidR="00E10260">
        <w:rPr>
          <w:rFonts w:ascii="Garamond" w:hAnsi="Garamond"/>
          <w:sz w:val="24"/>
          <w:szCs w:val="24"/>
          <w:lang w:val="sq-AL"/>
        </w:rPr>
        <w:t>,</w:t>
      </w:r>
      <w:r w:rsidR="008B3748" w:rsidRPr="00EC6AB6">
        <w:rPr>
          <w:rFonts w:ascii="Garamond" w:hAnsi="Garamond"/>
          <w:sz w:val="24"/>
          <w:szCs w:val="24"/>
          <w:lang w:val="sq-AL"/>
        </w:rPr>
        <w:t xml:space="preserve"> në kuadër të rimëkëmbjes së vendit nga dy fatkeqësitë natyrore: tërmeti i nëntorit 2019 dhe përhapja e pandemisë </w:t>
      </w:r>
      <w:r w:rsidR="006E631A" w:rsidRPr="00EC6AB6">
        <w:rPr>
          <w:rFonts w:ascii="Garamond" w:hAnsi="Garamond"/>
          <w:sz w:val="24"/>
          <w:szCs w:val="24"/>
          <w:lang w:val="sq-AL"/>
        </w:rPr>
        <w:t>COVID-19</w:t>
      </w:r>
      <w:r w:rsidR="008B3748" w:rsidRPr="00EC6AB6">
        <w:rPr>
          <w:rFonts w:ascii="Garamond" w:hAnsi="Garamond"/>
          <w:sz w:val="24"/>
          <w:szCs w:val="24"/>
          <w:lang w:val="sq-AL"/>
        </w:rPr>
        <w:t>, si edhe të mundësohet menaxhimi i detyrimeve të borxhit në valutë. Burimet kryesore të financimit të huaj planifikohen të jenë burimet me natyrë shumëpalëshe, dypalëshe dhe private.</w:t>
      </w:r>
    </w:p>
    <w:p w14:paraId="4333BA73" w14:textId="6227C4E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Pjesa më e madhe e financimit të huaj planifikohet të realizohet nëpërmjet kredive me terma të but</w:t>
      </w:r>
      <w:r w:rsidR="0049603F">
        <w:rPr>
          <w:rFonts w:ascii="Garamond" w:hAnsi="Garamond"/>
          <w:sz w:val="24"/>
          <w:szCs w:val="24"/>
          <w:lang w:val="sq-AL"/>
        </w:rPr>
        <w:t>ë</w:t>
      </w:r>
      <w:r w:rsidRPr="00EC6AB6">
        <w:rPr>
          <w:rFonts w:ascii="Garamond" w:hAnsi="Garamond"/>
          <w:sz w:val="24"/>
          <w:szCs w:val="24"/>
          <w:lang w:val="sq-AL"/>
        </w:rPr>
        <w:t xml:space="preserve"> nga burimet me natyrë shumëpalëshe dhe dypalëshe</w:t>
      </w:r>
      <w:r w:rsidR="0049603F">
        <w:rPr>
          <w:rFonts w:ascii="Garamond" w:hAnsi="Garamond"/>
          <w:sz w:val="24"/>
          <w:szCs w:val="24"/>
          <w:lang w:val="sq-AL"/>
        </w:rPr>
        <w:t>,</w:t>
      </w:r>
      <w:r w:rsidRPr="00EC6AB6">
        <w:rPr>
          <w:rFonts w:ascii="Garamond" w:hAnsi="Garamond"/>
          <w:sz w:val="24"/>
          <w:szCs w:val="24"/>
          <w:lang w:val="sq-AL"/>
        </w:rPr>
        <w:t xml:space="preserve"> si dhe kreditë në formën e mbështetjes buxhetore. Këto kredi kryesisht do të financojnë projektet me natyrë zhvillimore dhe do të mbështesin buxhetin për nevojat në rritje për financim dhe për reformat e ndërmarra nga qeveria.</w:t>
      </w:r>
    </w:p>
    <w:p w14:paraId="4333BA74" w14:textId="13E88095"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Pjesa e mbetur e financimit të huaj planifikohet të realizohet nëpërmjet burimeve private, ku si instrument huaje pl</w:t>
      </w:r>
      <w:r w:rsidR="00BE1816" w:rsidRPr="00EC6AB6">
        <w:rPr>
          <w:rFonts w:ascii="Garamond" w:hAnsi="Garamond"/>
          <w:sz w:val="24"/>
          <w:szCs w:val="24"/>
          <w:lang w:val="sq-AL"/>
        </w:rPr>
        <w:t xml:space="preserve">anifikohet të përdoret </w:t>
      </w:r>
      <w:r w:rsidR="00E9550A" w:rsidRPr="00EC6AB6">
        <w:rPr>
          <w:rFonts w:ascii="Garamond" w:hAnsi="Garamond"/>
          <w:sz w:val="24"/>
          <w:szCs w:val="24"/>
          <w:lang w:val="sq-AL"/>
        </w:rPr>
        <w:t>eurobondi</w:t>
      </w:r>
      <w:r w:rsidR="008B3748" w:rsidRPr="00EC6AB6">
        <w:rPr>
          <w:rFonts w:ascii="Garamond" w:hAnsi="Garamond"/>
          <w:sz w:val="24"/>
          <w:szCs w:val="24"/>
          <w:lang w:val="sq-AL"/>
        </w:rPr>
        <w:t>, duke mos përjashtuar instrumentet e tjera financiare të tregjeve të kapitalit mbi baza oportuniste. Huamarrja nëpërmjet këtyre burimeve do të përdoret kryesisht për të menaxhuar detyrimet e borxhit në valutë</w:t>
      </w:r>
      <w:r w:rsidR="0049603F">
        <w:rPr>
          <w:rFonts w:ascii="Garamond" w:hAnsi="Garamond"/>
          <w:sz w:val="24"/>
          <w:szCs w:val="24"/>
          <w:lang w:val="sq-AL"/>
        </w:rPr>
        <w:t>,</w:t>
      </w:r>
      <w:r w:rsidR="008B3748" w:rsidRPr="00EC6AB6">
        <w:rPr>
          <w:rFonts w:ascii="Garamond" w:hAnsi="Garamond"/>
          <w:sz w:val="24"/>
          <w:szCs w:val="24"/>
          <w:lang w:val="sq-AL"/>
        </w:rPr>
        <w:t xml:space="preserve"> duke përfshirë këtu rifinancimin e </w:t>
      </w:r>
      <w:r w:rsidR="00E9550A" w:rsidRPr="00EC6AB6">
        <w:rPr>
          <w:rFonts w:ascii="Garamond" w:hAnsi="Garamond"/>
          <w:sz w:val="24"/>
          <w:szCs w:val="24"/>
          <w:lang w:val="sq-AL"/>
        </w:rPr>
        <w:t xml:space="preserve">eurobondit </w:t>
      </w:r>
      <w:r w:rsidR="008B3748" w:rsidRPr="00EC6AB6">
        <w:rPr>
          <w:rFonts w:ascii="Garamond" w:hAnsi="Garamond"/>
          <w:sz w:val="24"/>
          <w:szCs w:val="24"/>
          <w:lang w:val="sq-AL"/>
        </w:rPr>
        <w:t>që maturohet në vitin 2025.</w:t>
      </w:r>
    </w:p>
    <w:p w14:paraId="4333BA75" w14:textId="5C0859F9" w:rsidR="008B3748" w:rsidRPr="00EC6AB6" w:rsidRDefault="00BE1816" w:rsidP="008B3748">
      <w:pPr>
        <w:spacing w:after="0" w:line="240" w:lineRule="auto"/>
        <w:rPr>
          <w:rFonts w:ascii="Garamond" w:hAnsi="Garamond"/>
          <w:b/>
          <w:sz w:val="24"/>
          <w:szCs w:val="24"/>
          <w:lang w:val="sq-AL"/>
        </w:rPr>
      </w:pPr>
      <w:r w:rsidRPr="00EC6AB6">
        <w:rPr>
          <w:rFonts w:ascii="Garamond" w:hAnsi="Garamond"/>
          <w:b/>
          <w:sz w:val="24"/>
          <w:szCs w:val="24"/>
          <w:lang w:val="sq-AL"/>
        </w:rPr>
        <w:t>Çfarë</w:t>
      </w:r>
      <w:r w:rsidR="008B3748" w:rsidRPr="00EC6AB6">
        <w:rPr>
          <w:rFonts w:ascii="Garamond" w:hAnsi="Garamond"/>
          <w:b/>
          <w:sz w:val="24"/>
          <w:szCs w:val="24"/>
          <w:lang w:val="sq-AL"/>
        </w:rPr>
        <w:t xml:space="preserve"> pritet të përmbushë </w:t>
      </w:r>
      <w:r w:rsidR="0049603F" w:rsidRPr="00EC6AB6">
        <w:rPr>
          <w:rFonts w:ascii="Garamond" w:hAnsi="Garamond"/>
          <w:b/>
          <w:sz w:val="24"/>
          <w:szCs w:val="24"/>
          <w:lang w:val="sq-AL"/>
        </w:rPr>
        <w:t>strategjia</w:t>
      </w:r>
    </w:p>
    <w:p w14:paraId="4333BA76" w14:textId="4770976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Implementimi i </w:t>
      </w:r>
      <w:r w:rsidR="0049603F" w:rsidRPr="00EC6AB6">
        <w:rPr>
          <w:rFonts w:ascii="Garamond" w:hAnsi="Garamond"/>
          <w:sz w:val="24"/>
          <w:szCs w:val="24"/>
          <w:lang w:val="sq-AL"/>
        </w:rPr>
        <w:t xml:space="preserve">strategjisë </w:t>
      </w:r>
      <w:r w:rsidRPr="00EC6AB6">
        <w:rPr>
          <w:rFonts w:ascii="Garamond" w:hAnsi="Garamond"/>
          <w:sz w:val="24"/>
          <w:szCs w:val="24"/>
          <w:lang w:val="sq-AL"/>
        </w:rPr>
        <w:t>2 në linjë me indikacionet e mësipërme do të rezultonte</w:t>
      </w:r>
      <w:r w:rsidR="0049603F">
        <w:rPr>
          <w:rFonts w:ascii="Garamond" w:hAnsi="Garamond"/>
          <w:sz w:val="24"/>
          <w:szCs w:val="24"/>
          <w:lang w:val="sq-AL"/>
        </w:rPr>
        <w:t>,</w:t>
      </w:r>
      <w:r w:rsidRPr="00EC6AB6">
        <w:rPr>
          <w:rFonts w:ascii="Garamond" w:hAnsi="Garamond"/>
          <w:sz w:val="24"/>
          <w:szCs w:val="24"/>
          <w:lang w:val="sq-AL"/>
        </w:rPr>
        <w:t xml:space="preserve"> në: </w:t>
      </w:r>
    </w:p>
    <w:p w14:paraId="4333BA77" w14:textId="19DBD2E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përmbushjen </w:t>
      </w:r>
      <w:r w:rsidR="008B3748" w:rsidRPr="00EC6AB6">
        <w:rPr>
          <w:rFonts w:ascii="Garamond" w:hAnsi="Garamond"/>
          <w:sz w:val="24"/>
          <w:szCs w:val="24"/>
          <w:lang w:val="sq-AL"/>
        </w:rPr>
        <w:t>e nevojave për financim të rritura të qeverisë qendrore</w:t>
      </w:r>
      <w:r w:rsidR="0049603F">
        <w:rPr>
          <w:rFonts w:ascii="Garamond" w:hAnsi="Garamond"/>
          <w:sz w:val="24"/>
          <w:szCs w:val="24"/>
          <w:lang w:val="sq-AL"/>
        </w:rPr>
        <w:t>,</w:t>
      </w:r>
      <w:r w:rsidR="008B3748" w:rsidRPr="00EC6AB6">
        <w:rPr>
          <w:rFonts w:ascii="Garamond" w:hAnsi="Garamond"/>
          <w:sz w:val="24"/>
          <w:szCs w:val="24"/>
          <w:lang w:val="sq-AL"/>
        </w:rPr>
        <w:t xml:space="preserve"> në përputhje me projeksionet e Draft</w:t>
      </w:r>
      <w:r w:rsidR="0049603F">
        <w:rPr>
          <w:rFonts w:ascii="Garamond" w:hAnsi="Garamond"/>
          <w:sz w:val="24"/>
          <w:szCs w:val="24"/>
          <w:lang w:val="sq-AL"/>
        </w:rPr>
        <w:t>k</w:t>
      </w:r>
      <w:r w:rsidR="008B3748" w:rsidRPr="00EC6AB6">
        <w:rPr>
          <w:rFonts w:ascii="Garamond" w:hAnsi="Garamond"/>
          <w:sz w:val="24"/>
          <w:szCs w:val="24"/>
          <w:lang w:val="sq-AL"/>
        </w:rPr>
        <w:t xml:space="preserve">uadrit </w:t>
      </w:r>
      <w:r w:rsidR="0049603F" w:rsidRPr="00EC6AB6">
        <w:rPr>
          <w:rFonts w:ascii="Garamond" w:hAnsi="Garamond"/>
          <w:sz w:val="24"/>
          <w:szCs w:val="24"/>
          <w:lang w:val="sq-AL"/>
        </w:rPr>
        <w:t>makroekonomik dhe fiskal</w:t>
      </w:r>
      <w:r w:rsidR="0049603F">
        <w:rPr>
          <w:rFonts w:ascii="Garamond" w:hAnsi="Garamond"/>
          <w:sz w:val="24"/>
          <w:szCs w:val="24"/>
          <w:lang w:val="sq-AL"/>
        </w:rPr>
        <w:t>,</w:t>
      </w:r>
      <w:r w:rsidR="0049603F" w:rsidRPr="00EC6AB6">
        <w:rPr>
          <w:rFonts w:ascii="Garamond" w:hAnsi="Garamond"/>
          <w:sz w:val="24"/>
          <w:szCs w:val="24"/>
          <w:lang w:val="sq-AL"/>
        </w:rPr>
        <w:t xml:space="preserve"> </w:t>
      </w:r>
      <w:r w:rsidR="008B3748" w:rsidRPr="00EC6AB6">
        <w:rPr>
          <w:rFonts w:ascii="Garamond" w:hAnsi="Garamond"/>
          <w:sz w:val="24"/>
          <w:szCs w:val="24"/>
          <w:lang w:val="sq-AL"/>
        </w:rPr>
        <w:t>2022</w:t>
      </w:r>
      <w:r w:rsidR="0049603F">
        <w:rPr>
          <w:rFonts w:ascii="Garamond" w:hAnsi="Garamond"/>
          <w:sz w:val="24"/>
          <w:szCs w:val="24"/>
          <w:lang w:val="sq-AL"/>
        </w:rPr>
        <w:t>–</w:t>
      </w:r>
      <w:r w:rsidR="008B3748" w:rsidRPr="00EC6AB6">
        <w:rPr>
          <w:rFonts w:ascii="Garamond" w:hAnsi="Garamond"/>
          <w:sz w:val="24"/>
          <w:szCs w:val="24"/>
          <w:lang w:val="sq-AL"/>
        </w:rPr>
        <w:t xml:space="preserve">2024, në kuadër të rimëkëmbjes nga dy fatkeqësitë natyrore: </w:t>
      </w:r>
      <w:r w:rsidR="0049603F" w:rsidRPr="00EC6AB6">
        <w:rPr>
          <w:rFonts w:ascii="Garamond" w:hAnsi="Garamond"/>
          <w:sz w:val="24"/>
          <w:szCs w:val="24"/>
          <w:lang w:val="sq-AL"/>
        </w:rPr>
        <w:t xml:space="preserve">tërmeti </w:t>
      </w:r>
      <w:r w:rsidR="008B3748" w:rsidRPr="00EC6AB6">
        <w:rPr>
          <w:rFonts w:ascii="Garamond" w:hAnsi="Garamond"/>
          <w:sz w:val="24"/>
          <w:szCs w:val="24"/>
          <w:lang w:val="sq-AL"/>
        </w:rPr>
        <w:t xml:space="preserve">i nëntorit 2019 dhe përhapja e pandemisë </w:t>
      </w:r>
      <w:r w:rsidR="006E631A" w:rsidRPr="00EC6AB6">
        <w:rPr>
          <w:rFonts w:ascii="Garamond" w:hAnsi="Garamond"/>
          <w:sz w:val="24"/>
          <w:szCs w:val="24"/>
          <w:lang w:val="sq-AL"/>
        </w:rPr>
        <w:t>COVID-19</w:t>
      </w:r>
      <w:r w:rsidR="008B3748" w:rsidRPr="00EC6AB6">
        <w:rPr>
          <w:rFonts w:ascii="Garamond" w:hAnsi="Garamond"/>
          <w:sz w:val="24"/>
          <w:szCs w:val="24"/>
          <w:lang w:val="sq-AL"/>
        </w:rPr>
        <w:t xml:space="preserve">; </w:t>
      </w:r>
    </w:p>
    <w:p w14:paraId="4333BA78" w14:textId="7A573305"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reduktimin </w:t>
      </w:r>
      <w:r w:rsidR="008B3748" w:rsidRPr="00EC6AB6">
        <w:rPr>
          <w:rFonts w:ascii="Garamond" w:hAnsi="Garamond"/>
          <w:sz w:val="24"/>
          <w:szCs w:val="24"/>
          <w:lang w:val="sq-AL"/>
        </w:rPr>
        <w:t xml:space="preserve">e riskut të rifinancimit dhe </w:t>
      </w:r>
      <w:r w:rsidR="0049603F">
        <w:rPr>
          <w:rFonts w:ascii="Garamond" w:hAnsi="Garamond"/>
          <w:sz w:val="24"/>
          <w:szCs w:val="24"/>
          <w:lang w:val="sq-AL"/>
        </w:rPr>
        <w:t xml:space="preserve">të </w:t>
      </w:r>
      <w:r w:rsidR="008B3748" w:rsidRPr="00EC6AB6">
        <w:rPr>
          <w:rFonts w:ascii="Garamond" w:hAnsi="Garamond"/>
          <w:sz w:val="24"/>
          <w:szCs w:val="24"/>
          <w:lang w:val="sq-AL"/>
        </w:rPr>
        <w:t>riskut të normave të interesit të borxhit të brendshëm shtetëror</w:t>
      </w:r>
      <w:r w:rsidR="00B857AE">
        <w:rPr>
          <w:rFonts w:ascii="Garamond" w:hAnsi="Garamond"/>
          <w:sz w:val="24"/>
          <w:szCs w:val="24"/>
          <w:lang w:val="sq-AL"/>
        </w:rPr>
        <w:t>,</w:t>
      </w:r>
      <w:r w:rsidR="008B3748" w:rsidRPr="00EC6AB6">
        <w:rPr>
          <w:rFonts w:ascii="Garamond" w:hAnsi="Garamond"/>
          <w:sz w:val="24"/>
          <w:szCs w:val="24"/>
          <w:lang w:val="sq-AL"/>
        </w:rPr>
        <w:t xml:space="preserve"> në përputhje me objektivat strategjikë; </w:t>
      </w:r>
    </w:p>
    <w:p w14:paraId="4333BA79" w14:textId="2954143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krijimin </w:t>
      </w:r>
      <w:r w:rsidR="008B3748" w:rsidRPr="00EC6AB6">
        <w:rPr>
          <w:rFonts w:ascii="Garamond" w:hAnsi="Garamond"/>
          <w:sz w:val="24"/>
          <w:szCs w:val="24"/>
          <w:lang w:val="sq-AL"/>
        </w:rPr>
        <w:t>e hapësirës së nevojshme për zhvillimin e mëtejshëm të tregut primar të titujve shtetërorë;</w:t>
      </w:r>
    </w:p>
    <w:p w14:paraId="4333BA7A" w14:textId="2D3A75C5"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mbajtjen </w:t>
      </w:r>
      <w:r w:rsidR="008B3748" w:rsidRPr="00EC6AB6">
        <w:rPr>
          <w:rFonts w:ascii="Garamond" w:hAnsi="Garamond"/>
          <w:sz w:val="24"/>
          <w:szCs w:val="24"/>
          <w:lang w:val="sq-AL"/>
        </w:rPr>
        <w:t>nën kontroll të riskut të kursit të këmbimit</w:t>
      </w:r>
      <w:r w:rsidR="00B857AE">
        <w:rPr>
          <w:rFonts w:ascii="Garamond" w:hAnsi="Garamond"/>
          <w:sz w:val="24"/>
          <w:szCs w:val="24"/>
          <w:lang w:val="sq-AL"/>
        </w:rPr>
        <w:t>,</w:t>
      </w:r>
      <w:r w:rsidR="008B3748" w:rsidRPr="00EC6AB6">
        <w:rPr>
          <w:rFonts w:ascii="Garamond" w:hAnsi="Garamond"/>
          <w:sz w:val="24"/>
          <w:szCs w:val="24"/>
          <w:lang w:val="sq-AL"/>
        </w:rPr>
        <w:t xml:space="preserve"> në përputhje me objektivin strategjik për të ruajtur nivelin e borxhit në valutë brenda kufijve indikativ</w:t>
      </w:r>
      <w:r w:rsidR="00B857AE">
        <w:rPr>
          <w:rFonts w:ascii="Garamond" w:hAnsi="Garamond"/>
          <w:sz w:val="24"/>
          <w:szCs w:val="24"/>
          <w:lang w:val="sq-AL"/>
        </w:rPr>
        <w:t>ë</w:t>
      </w:r>
      <w:r w:rsidR="008B3748" w:rsidRPr="00EC6AB6">
        <w:rPr>
          <w:rFonts w:ascii="Garamond" w:hAnsi="Garamond"/>
          <w:sz w:val="24"/>
          <w:szCs w:val="24"/>
          <w:lang w:val="sq-AL"/>
        </w:rPr>
        <w:t>;</w:t>
      </w:r>
    </w:p>
    <w:p w14:paraId="4333BA7B" w14:textId="06ACC45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sigurimin </w:t>
      </w:r>
      <w:r w:rsidR="008B3748" w:rsidRPr="00EC6AB6">
        <w:rPr>
          <w:rFonts w:ascii="Garamond" w:hAnsi="Garamond"/>
          <w:sz w:val="24"/>
          <w:szCs w:val="24"/>
          <w:lang w:val="sq-AL"/>
        </w:rPr>
        <w:t>e burimeve të nevojshme në valutë për të shërbyer detyrimet e borxhit të huaj;</w:t>
      </w:r>
    </w:p>
    <w:p w14:paraId="4333BA7C" w14:textId="084C5DD4"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raport</w:t>
      </w:r>
      <w:r w:rsidR="0049603F">
        <w:rPr>
          <w:rFonts w:ascii="Garamond" w:hAnsi="Garamond"/>
          <w:sz w:val="24"/>
          <w:szCs w:val="24"/>
          <w:lang w:val="sq-AL"/>
        </w:rPr>
        <w:t>in</w:t>
      </w:r>
      <w:r w:rsidR="0049603F" w:rsidRPr="00EC6AB6">
        <w:rPr>
          <w:rFonts w:ascii="Garamond" w:hAnsi="Garamond"/>
          <w:sz w:val="24"/>
          <w:szCs w:val="24"/>
          <w:lang w:val="sq-AL"/>
        </w:rPr>
        <w:t xml:space="preserve"> </w:t>
      </w:r>
      <w:r w:rsidR="008B3748" w:rsidRPr="00EC6AB6">
        <w:rPr>
          <w:rFonts w:ascii="Garamond" w:hAnsi="Garamond"/>
          <w:sz w:val="24"/>
          <w:szCs w:val="24"/>
          <w:lang w:val="sq-AL"/>
        </w:rPr>
        <w:t>kosto/risk relativisht më të favorshëm krahasuar me strategjitë e tjer</w:t>
      </w:r>
      <w:r w:rsidR="00BE1816" w:rsidRPr="00EC6AB6">
        <w:rPr>
          <w:rFonts w:ascii="Garamond" w:hAnsi="Garamond"/>
          <w:sz w:val="24"/>
          <w:szCs w:val="24"/>
          <w:lang w:val="sq-AL"/>
        </w:rPr>
        <w:t>a alternative, për shkak të mir</w:t>
      </w:r>
      <w:r w:rsidR="00B857AE">
        <w:rPr>
          <w:rFonts w:ascii="Garamond" w:hAnsi="Garamond"/>
          <w:sz w:val="24"/>
          <w:szCs w:val="24"/>
          <w:lang w:val="sq-AL"/>
        </w:rPr>
        <w:t>ë</w:t>
      </w:r>
      <w:r w:rsidR="008B3748" w:rsidRPr="00EC6AB6">
        <w:rPr>
          <w:rFonts w:ascii="Garamond" w:hAnsi="Garamond"/>
          <w:sz w:val="24"/>
          <w:szCs w:val="24"/>
          <w:lang w:val="sq-AL"/>
        </w:rPr>
        <w:t>diversifikimit të burimeve të financimit;</w:t>
      </w:r>
    </w:p>
    <w:p w14:paraId="4333BA7D" w14:textId="3E4FE39D"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49603F" w:rsidRPr="00EC6AB6">
        <w:rPr>
          <w:rFonts w:ascii="Garamond" w:hAnsi="Garamond"/>
          <w:sz w:val="24"/>
          <w:szCs w:val="24"/>
          <w:lang w:val="sq-AL"/>
        </w:rPr>
        <w:t xml:space="preserve">mbajtjen </w:t>
      </w:r>
      <w:r w:rsidR="008B3748" w:rsidRPr="00EC6AB6">
        <w:rPr>
          <w:rFonts w:ascii="Garamond" w:hAnsi="Garamond"/>
          <w:sz w:val="24"/>
          <w:szCs w:val="24"/>
          <w:lang w:val="sq-AL"/>
        </w:rPr>
        <w:t>e nivelit të huamarrjes së brendshme brenda kapaciteteve që disponon tregu i brendshëm, duke i dhënë hapësirë kreditimit të sektorit privat.</w:t>
      </w:r>
    </w:p>
    <w:p w14:paraId="4333BA7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Risqet</w:t>
      </w:r>
    </w:p>
    <w:p w14:paraId="4333BA7F" w14:textId="5AF1D93D"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Kjo strategji është e ekspozuar ndaj risqeve sistemike të tregjeve ndërkombëtare, materializimi i të cilave do të shoqërohej me rritje të kostove të huamarrjes</w:t>
      </w:r>
      <w:r w:rsidR="00B857AE">
        <w:rPr>
          <w:rFonts w:ascii="Garamond" w:hAnsi="Garamond"/>
          <w:sz w:val="24"/>
          <w:szCs w:val="24"/>
          <w:lang w:val="sq-AL"/>
        </w:rPr>
        <w:t>.</w:t>
      </w:r>
    </w:p>
    <w:p w14:paraId="4333BA80" w14:textId="65D2556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2.3 </w:t>
      </w:r>
      <w:r w:rsidR="008B3748" w:rsidRPr="00EC6AB6">
        <w:rPr>
          <w:rFonts w:ascii="Garamond" w:hAnsi="Garamond"/>
          <w:sz w:val="24"/>
          <w:szCs w:val="24"/>
          <w:lang w:val="sq-AL"/>
        </w:rPr>
        <w:t>Strategjia 3 (</w:t>
      </w:r>
      <w:r w:rsidR="00BE1816" w:rsidRPr="00EC6AB6">
        <w:rPr>
          <w:rFonts w:ascii="Garamond" w:hAnsi="Garamond"/>
          <w:sz w:val="24"/>
          <w:szCs w:val="24"/>
          <w:lang w:val="sq-AL"/>
        </w:rPr>
        <w:t>alternative</w:t>
      </w:r>
      <w:r w:rsidR="008B3748" w:rsidRPr="00EC6AB6">
        <w:rPr>
          <w:rFonts w:ascii="Garamond" w:hAnsi="Garamond"/>
          <w:sz w:val="24"/>
          <w:szCs w:val="24"/>
          <w:lang w:val="sq-AL"/>
        </w:rPr>
        <w:t>)</w:t>
      </w:r>
    </w:p>
    <w:p w14:paraId="4333BA81" w14:textId="77777777"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Supozimet bazë</w:t>
      </w:r>
    </w:p>
    <w:p w14:paraId="4333BA82" w14:textId="7D0A8D1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Kjo strategji supozon materializimin e risqeve sistemike në tregun e brendshëm</w:t>
      </w:r>
      <w:r w:rsidRPr="00EC6AB6">
        <w:rPr>
          <w:rFonts w:ascii="Garamond" w:hAnsi="Garamond"/>
          <w:sz w:val="24"/>
          <w:szCs w:val="24"/>
          <w:vertAlign w:val="superscript"/>
          <w:lang w:val="sq-AL"/>
        </w:rPr>
        <w:footnoteReference w:id="14"/>
      </w:r>
      <w:r w:rsidRPr="00EC6AB6">
        <w:rPr>
          <w:rFonts w:ascii="Garamond" w:hAnsi="Garamond"/>
          <w:sz w:val="24"/>
          <w:szCs w:val="24"/>
          <w:lang w:val="sq-AL"/>
        </w:rPr>
        <w:t xml:space="preserve">, duke e ulur aftësinë e qeverisë për të marrë hua në tregun e brendshëm, si edhe duke rritur kostot e huamarrjes së brendshme. Në këto kushte, në periudhën </w:t>
      </w:r>
      <w:r w:rsidR="008B6AF9" w:rsidRPr="00EC6AB6">
        <w:rPr>
          <w:rFonts w:ascii="Garamond" w:hAnsi="Garamond"/>
          <w:sz w:val="24"/>
          <w:szCs w:val="24"/>
          <w:lang w:val="sq-AL"/>
        </w:rPr>
        <w:t>2021–2023</w:t>
      </w:r>
      <w:r w:rsidR="00B857AE">
        <w:rPr>
          <w:rFonts w:ascii="Garamond" w:hAnsi="Garamond"/>
          <w:sz w:val="24"/>
          <w:szCs w:val="24"/>
          <w:lang w:val="sq-AL"/>
        </w:rPr>
        <w:t>,</w:t>
      </w:r>
      <w:r w:rsidRPr="00EC6AB6">
        <w:rPr>
          <w:rFonts w:ascii="Garamond" w:hAnsi="Garamond"/>
          <w:sz w:val="24"/>
          <w:szCs w:val="24"/>
          <w:lang w:val="sq-AL"/>
        </w:rPr>
        <w:t xml:space="preserve"> financimi i huaj nëpërmjet burimeve me terma tregtar</w:t>
      </w:r>
      <w:r w:rsidR="00DD26BB">
        <w:rPr>
          <w:rFonts w:ascii="Garamond" w:hAnsi="Garamond"/>
          <w:sz w:val="24"/>
          <w:szCs w:val="24"/>
          <w:lang w:val="sq-AL"/>
        </w:rPr>
        <w:t>ë</w:t>
      </w:r>
      <w:r w:rsidRPr="00EC6AB6">
        <w:rPr>
          <w:rFonts w:ascii="Garamond" w:hAnsi="Garamond"/>
          <w:sz w:val="24"/>
          <w:szCs w:val="24"/>
          <w:lang w:val="sq-AL"/>
        </w:rPr>
        <w:t xml:space="preserve"> do të rritej, duke tejkaluar ndjeshëm kufijtë referencë.</w:t>
      </w:r>
    </w:p>
    <w:p w14:paraId="4333BA83"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Financimi</w:t>
      </w:r>
    </w:p>
    <w:p w14:paraId="4333BA84" w14:textId="51243992"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Financimi nëpërmjet burimeve të brendshme (në terma bruto rreth 75%) do të mundësojë rifinancimin e pjesshëm të titujve ekzistues që maturohen</w:t>
      </w:r>
      <w:r w:rsidR="00BE1816" w:rsidRPr="00EC6AB6">
        <w:rPr>
          <w:rFonts w:ascii="Garamond" w:hAnsi="Garamond"/>
          <w:sz w:val="24"/>
          <w:szCs w:val="24"/>
          <w:lang w:val="sq-AL"/>
        </w:rPr>
        <w:t>,</w:t>
      </w:r>
      <w:r w:rsidR="008B3748" w:rsidRPr="00EC6AB6">
        <w:rPr>
          <w:rFonts w:ascii="Garamond" w:hAnsi="Garamond"/>
          <w:sz w:val="24"/>
          <w:szCs w:val="24"/>
          <w:lang w:val="sq-AL"/>
        </w:rPr>
        <w:t xml:space="preserve"> duke krijuar një hendek financimi në tregun e brendshëm.</w:t>
      </w:r>
    </w:p>
    <w:p w14:paraId="4333BA85" w14:textId="2A021821"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Financimi i huaj (25%), përveç burimeve të planifikuara që do të financojnë projektet dhe mbështesin reformat, do të plotësohet me emetimin</w:t>
      </w:r>
      <w:r w:rsidR="00FA2519" w:rsidRPr="00EC6AB6">
        <w:rPr>
          <w:rFonts w:ascii="Garamond" w:hAnsi="Garamond"/>
          <w:sz w:val="24"/>
          <w:szCs w:val="24"/>
          <w:lang w:val="sq-AL"/>
        </w:rPr>
        <w:t xml:space="preserve"> </w:t>
      </w:r>
      <w:r w:rsidR="008B3748" w:rsidRPr="00EC6AB6">
        <w:rPr>
          <w:rFonts w:ascii="Garamond" w:hAnsi="Garamond"/>
          <w:sz w:val="24"/>
          <w:szCs w:val="24"/>
          <w:lang w:val="sq-AL"/>
        </w:rPr>
        <w:t>vit pas viti të instrumenteve financiare në tregjet ndërkombëtare për të mundësuar: 1</w:t>
      </w:r>
      <w:r w:rsidR="00BE1816" w:rsidRPr="00EC6AB6">
        <w:rPr>
          <w:rFonts w:ascii="Garamond" w:hAnsi="Garamond"/>
          <w:sz w:val="24"/>
          <w:szCs w:val="24"/>
          <w:lang w:val="sq-AL"/>
        </w:rPr>
        <w:t>.</w:t>
      </w:r>
      <w:r w:rsidR="008B3748" w:rsidRPr="00EC6AB6">
        <w:rPr>
          <w:rFonts w:ascii="Garamond" w:hAnsi="Garamond"/>
          <w:sz w:val="24"/>
          <w:szCs w:val="24"/>
          <w:lang w:val="sq-AL"/>
        </w:rPr>
        <w:t xml:space="preserve"> plotësimin e hendekut të krijuar në tregun e brendshëm; 2</w:t>
      </w:r>
      <w:r w:rsidR="00BE1816" w:rsidRPr="00EC6AB6">
        <w:rPr>
          <w:rFonts w:ascii="Garamond" w:hAnsi="Garamond"/>
          <w:sz w:val="24"/>
          <w:szCs w:val="24"/>
          <w:lang w:val="sq-AL"/>
        </w:rPr>
        <w:t>.</w:t>
      </w:r>
      <w:r w:rsidR="008B3748" w:rsidRPr="00EC6AB6">
        <w:rPr>
          <w:rFonts w:ascii="Garamond" w:hAnsi="Garamond"/>
          <w:sz w:val="24"/>
          <w:szCs w:val="24"/>
          <w:lang w:val="sq-AL"/>
        </w:rPr>
        <w:t xml:space="preserve"> shërbimin e detyrimeve të borxhit në valutë; si edhe 3</w:t>
      </w:r>
      <w:r w:rsidR="00BE1816" w:rsidRPr="00EC6AB6">
        <w:rPr>
          <w:rFonts w:ascii="Garamond" w:hAnsi="Garamond"/>
          <w:sz w:val="24"/>
          <w:szCs w:val="24"/>
          <w:lang w:val="sq-AL"/>
        </w:rPr>
        <w:t>.</w:t>
      </w:r>
      <w:r w:rsidR="008B3748" w:rsidRPr="00EC6AB6">
        <w:rPr>
          <w:rFonts w:ascii="Garamond" w:hAnsi="Garamond"/>
          <w:sz w:val="24"/>
          <w:szCs w:val="24"/>
          <w:lang w:val="sq-AL"/>
        </w:rPr>
        <w:t xml:space="preserve"> menaxhimin e nevojave për likuiditet në periudhën afatmesme.</w:t>
      </w:r>
    </w:p>
    <w:p w14:paraId="4333BA8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Avantazhet</w:t>
      </w:r>
    </w:p>
    <w:p w14:paraId="4333BA87"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 xml:space="preserve">Praktikisht, kjo është një strategji e imponuar nga kushtet e tregjeve dhe nuk ofron asnjë avantazh krahasuar me strategjitë e tjera. </w:t>
      </w:r>
    </w:p>
    <w:p w14:paraId="4333BA8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Risqet</w:t>
      </w:r>
    </w:p>
    <w:p w14:paraId="4333BA89"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8B3748" w:rsidRPr="00EC6AB6">
        <w:rPr>
          <w:rFonts w:ascii="Garamond" w:hAnsi="Garamond"/>
          <w:sz w:val="24"/>
          <w:szCs w:val="24"/>
          <w:lang w:val="sq-AL"/>
        </w:rPr>
        <w:t>Ka kosto relativisht të larta të imponuara nga kufizimi i kërkesës në tregun e brendshëm, si edhe nga primet e riskut që mund të perceptohen nga investitorët e huaj.</w:t>
      </w:r>
    </w:p>
    <w:p w14:paraId="4333BA8A"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Rrit ndjeshëm varësinë e financimit nga tregjet e huaja, si edhe rrit ekspozimin ndaj riskut të rifinancimit dhe riskut të normave të interesit në portofolin e borxhit të huaj.</w:t>
      </w:r>
    </w:p>
    <w:p w14:paraId="4333BA8B" w14:textId="18D4DCF8"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Ul aftësinë për të vijuar me procesin e ristrukturimit të portofolit të borxhit të brendshëm dhe realizimin e objektivave strategjikë</w:t>
      </w:r>
      <w:r w:rsidR="00DD26BB">
        <w:rPr>
          <w:rFonts w:ascii="Garamond" w:hAnsi="Garamond"/>
          <w:sz w:val="24"/>
          <w:szCs w:val="24"/>
          <w:lang w:val="sq-AL"/>
        </w:rPr>
        <w:t>,</w:t>
      </w:r>
      <w:r w:rsidR="008B3748" w:rsidRPr="00EC6AB6">
        <w:rPr>
          <w:rFonts w:ascii="Garamond" w:hAnsi="Garamond"/>
          <w:sz w:val="24"/>
          <w:szCs w:val="24"/>
          <w:lang w:val="sq-AL"/>
        </w:rPr>
        <w:t xml:space="preserve"> në kuadër të reduktimit të riskut të rifinancimit dhe riskut të normave të interesit.</w:t>
      </w:r>
    </w:p>
    <w:p w14:paraId="4333BA8C" w14:textId="19317F5A"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Rrit nivelin e borxhit në valutë dhe ekspozimin ndaj riskut të kursit të këmbimit përtej kufijve strategjikë</w:t>
      </w:r>
      <w:r w:rsidR="003F153A">
        <w:rPr>
          <w:rFonts w:ascii="Garamond" w:hAnsi="Garamond"/>
          <w:sz w:val="24"/>
          <w:szCs w:val="24"/>
          <w:lang w:val="sq-AL"/>
        </w:rPr>
        <w:t>,</w:t>
      </w:r>
      <w:r w:rsidR="008B3748" w:rsidRPr="00EC6AB6">
        <w:rPr>
          <w:rFonts w:ascii="Garamond" w:hAnsi="Garamond"/>
          <w:sz w:val="24"/>
          <w:szCs w:val="24"/>
          <w:lang w:val="sq-AL"/>
        </w:rPr>
        <w:t xml:space="preserve"> duke rrezikuar qëndrueshmërinë e borxhit publik në periudhën afatgjatë.</w:t>
      </w:r>
    </w:p>
    <w:p w14:paraId="4333BA8D" w14:textId="6A9218C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2.4 </w:t>
      </w:r>
      <w:r w:rsidR="008B3748" w:rsidRPr="00EC6AB6">
        <w:rPr>
          <w:rFonts w:ascii="Garamond" w:hAnsi="Garamond"/>
          <w:sz w:val="24"/>
          <w:szCs w:val="24"/>
          <w:lang w:val="sq-AL"/>
        </w:rPr>
        <w:t>Strategjia 4 (</w:t>
      </w:r>
      <w:r w:rsidR="00BE1816" w:rsidRPr="00EC6AB6">
        <w:rPr>
          <w:rFonts w:ascii="Garamond" w:hAnsi="Garamond"/>
          <w:sz w:val="24"/>
          <w:szCs w:val="24"/>
          <w:lang w:val="sq-AL"/>
        </w:rPr>
        <w:t>alternative</w:t>
      </w:r>
      <w:r w:rsidR="008B3748" w:rsidRPr="00EC6AB6">
        <w:rPr>
          <w:rFonts w:ascii="Garamond" w:hAnsi="Garamond"/>
          <w:sz w:val="24"/>
          <w:szCs w:val="24"/>
          <w:lang w:val="sq-AL"/>
        </w:rPr>
        <w:t>)</w:t>
      </w:r>
    </w:p>
    <w:p w14:paraId="4333BA8E" w14:textId="77777777" w:rsidR="008B3748" w:rsidRPr="00EC6AB6" w:rsidRDefault="008B3748" w:rsidP="008B3748">
      <w:pPr>
        <w:spacing w:after="0" w:line="240" w:lineRule="auto"/>
        <w:rPr>
          <w:rFonts w:ascii="Garamond" w:hAnsi="Garamond"/>
          <w:b/>
          <w:sz w:val="24"/>
          <w:szCs w:val="24"/>
          <w:lang w:val="sq-AL"/>
        </w:rPr>
      </w:pPr>
      <w:r w:rsidRPr="00EC6AB6">
        <w:rPr>
          <w:rFonts w:ascii="Garamond" w:hAnsi="Garamond"/>
          <w:b/>
          <w:sz w:val="24"/>
          <w:szCs w:val="24"/>
          <w:lang w:val="sq-AL"/>
        </w:rPr>
        <w:t>Supozimet bazë</w:t>
      </w:r>
    </w:p>
    <w:p w14:paraId="4333BA8F" w14:textId="0A4EC0FE"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Kjo strategji supozon materializimin e risqeve sistemike të tregjeve ndërkombëtare të kapitalit, duke kufizuar dhe shtrenjtuar sigurimin e financimit nëpërmjet burimeve të huaja. Në këto kushte, financimi në periudhën </w:t>
      </w:r>
      <w:r w:rsidR="008B6AF9" w:rsidRPr="00EC6AB6">
        <w:rPr>
          <w:rFonts w:ascii="Garamond" w:hAnsi="Garamond"/>
          <w:sz w:val="24"/>
          <w:szCs w:val="24"/>
          <w:lang w:val="sq-AL"/>
        </w:rPr>
        <w:t>2021–2023</w:t>
      </w:r>
      <w:r w:rsidR="003F153A">
        <w:rPr>
          <w:rFonts w:ascii="Garamond" w:hAnsi="Garamond"/>
          <w:sz w:val="24"/>
          <w:szCs w:val="24"/>
          <w:lang w:val="sq-AL"/>
        </w:rPr>
        <w:t>,</w:t>
      </w:r>
      <w:r w:rsidRPr="00EC6AB6">
        <w:rPr>
          <w:rFonts w:ascii="Garamond" w:hAnsi="Garamond"/>
          <w:sz w:val="24"/>
          <w:szCs w:val="24"/>
          <w:lang w:val="sq-AL"/>
        </w:rPr>
        <w:t xml:space="preserve"> në dallim nga </w:t>
      </w:r>
      <w:r w:rsidR="003F153A" w:rsidRPr="00EC6AB6">
        <w:rPr>
          <w:rFonts w:ascii="Garamond" w:hAnsi="Garamond"/>
          <w:sz w:val="24"/>
          <w:szCs w:val="24"/>
          <w:lang w:val="sq-AL"/>
        </w:rPr>
        <w:t xml:space="preserve">strategjia </w:t>
      </w:r>
      <w:r w:rsidRPr="00EC6AB6">
        <w:rPr>
          <w:rFonts w:ascii="Garamond" w:hAnsi="Garamond"/>
          <w:sz w:val="24"/>
          <w:szCs w:val="24"/>
          <w:lang w:val="sq-AL"/>
        </w:rPr>
        <w:t>2 (bazë) do të mbështetej</w:t>
      </w:r>
      <w:r w:rsidR="00FA2519" w:rsidRPr="00EC6AB6">
        <w:rPr>
          <w:rFonts w:ascii="Garamond" w:hAnsi="Garamond"/>
          <w:sz w:val="24"/>
          <w:szCs w:val="24"/>
          <w:lang w:val="sq-AL"/>
        </w:rPr>
        <w:t xml:space="preserve"> </w:t>
      </w:r>
      <w:r w:rsidRPr="00EC6AB6">
        <w:rPr>
          <w:rFonts w:ascii="Garamond" w:hAnsi="Garamond"/>
          <w:sz w:val="24"/>
          <w:szCs w:val="24"/>
          <w:lang w:val="sq-AL"/>
        </w:rPr>
        <w:t>në burimet e brendshme, duke tejkaluar ndjeshëm kapacitetet e tregut të brendshëm.</w:t>
      </w:r>
    </w:p>
    <w:p w14:paraId="4333BA90"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Financimi</w:t>
      </w:r>
    </w:p>
    <w:p w14:paraId="4333BA91" w14:textId="37F43BEF"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 xml:space="preserve">Financimi nëpërmjet burimeve të brendshme (rreth 90% e financimit në terma bruto) do të mundësojë rifinancimin e titujve ekzistues që maturohen dhe do të financojë për periudhën </w:t>
      </w:r>
      <w:r w:rsidR="008B6AF9" w:rsidRPr="00EC6AB6">
        <w:rPr>
          <w:rFonts w:ascii="Garamond" w:hAnsi="Garamond"/>
          <w:sz w:val="24"/>
          <w:szCs w:val="24"/>
          <w:lang w:val="sq-AL"/>
        </w:rPr>
        <w:t>2021–2023</w:t>
      </w:r>
      <w:r w:rsidR="008B3748" w:rsidRPr="00EC6AB6">
        <w:rPr>
          <w:rFonts w:ascii="Garamond" w:hAnsi="Garamond"/>
          <w:sz w:val="24"/>
          <w:szCs w:val="24"/>
          <w:lang w:val="sq-AL"/>
        </w:rPr>
        <w:t xml:space="preserve"> ndjeshëm mbi kapacitetin optimal të tregut.</w:t>
      </w:r>
    </w:p>
    <w:p w14:paraId="4333BA92" w14:textId="01B6A7B3"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Finan</w:t>
      </w:r>
      <w:r w:rsidR="003F153A">
        <w:rPr>
          <w:rFonts w:ascii="Garamond" w:hAnsi="Garamond"/>
          <w:sz w:val="24"/>
          <w:szCs w:val="24"/>
          <w:lang w:val="sq-AL"/>
        </w:rPr>
        <w:t>cimi i huaj do të mbështetet te</w:t>
      </w:r>
      <w:r w:rsidR="008B3748" w:rsidRPr="00EC6AB6">
        <w:rPr>
          <w:rFonts w:ascii="Garamond" w:hAnsi="Garamond"/>
          <w:sz w:val="24"/>
          <w:szCs w:val="24"/>
          <w:lang w:val="sq-AL"/>
        </w:rPr>
        <w:t xml:space="preserve"> burimet shumëpalëshe dhe dypalëshe të planifikuara, të cilat do të financojnë projektet dhe mbështesin reformat e qeverisë dhe nuk do të ketë instrumente të tregjeve ndërkombëtare të kapitalit.</w:t>
      </w:r>
    </w:p>
    <w:p w14:paraId="4333BA93" w14:textId="77777777" w:rsidR="008B3748" w:rsidRPr="003F153A" w:rsidRDefault="008B3748" w:rsidP="008B3748">
      <w:pPr>
        <w:spacing w:after="0" w:line="240" w:lineRule="auto"/>
        <w:rPr>
          <w:rFonts w:ascii="Garamond" w:hAnsi="Garamond"/>
          <w:b/>
          <w:sz w:val="24"/>
          <w:szCs w:val="24"/>
          <w:lang w:val="sq-AL"/>
        </w:rPr>
      </w:pPr>
      <w:r w:rsidRPr="003F153A">
        <w:rPr>
          <w:rFonts w:ascii="Garamond" w:hAnsi="Garamond"/>
          <w:b/>
          <w:sz w:val="24"/>
          <w:szCs w:val="24"/>
          <w:lang w:val="sq-AL"/>
        </w:rPr>
        <w:t>Avantazhet</w:t>
      </w:r>
    </w:p>
    <w:p w14:paraId="4333BA94" w14:textId="1584FD30"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 xml:space="preserve">Ka një ekspozim më të ulët ndaj riskut të kursit të këmbimit krahasuar me </w:t>
      </w:r>
      <w:r w:rsidR="003F153A" w:rsidRPr="00EC6AB6">
        <w:rPr>
          <w:rFonts w:ascii="Garamond" w:hAnsi="Garamond"/>
          <w:sz w:val="24"/>
          <w:szCs w:val="24"/>
          <w:lang w:val="sq-AL"/>
        </w:rPr>
        <w:t xml:space="preserve">strategjinë </w:t>
      </w:r>
      <w:r w:rsidR="008B3748" w:rsidRPr="00EC6AB6">
        <w:rPr>
          <w:rFonts w:ascii="Garamond" w:hAnsi="Garamond"/>
          <w:sz w:val="24"/>
          <w:szCs w:val="24"/>
          <w:lang w:val="sq-AL"/>
        </w:rPr>
        <w:t>2 (bazë).</w:t>
      </w:r>
    </w:p>
    <w:p w14:paraId="4333BA9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b/>
          <w:sz w:val="24"/>
          <w:szCs w:val="24"/>
          <w:lang w:val="sq-AL"/>
        </w:rPr>
        <w:t>Risqet</w:t>
      </w:r>
    </w:p>
    <w:p w14:paraId="4333BA96"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Rrit ndjeshëm ekspozimin ndaj riskut të rifinancimit, riskut të likuiditetit, riskut të normave të interesit, si edhe risqeve sistemike të tregut të brendshëm, duke ndikuar negativisht në realizimin e objektivave strategjikë për përmirësimin e strukturës së borxhit të brendshëm.</w:t>
      </w:r>
    </w:p>
    <w:p w14:paraId="4333BA97" w14:textId="29F1EA76"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Niveli i lartë i huamarrjes në tregun e brendshëm do të ushtrojë presion rritës mbi normat e interesit të titujve shtetërorë. Në periudhën afatmesme kjo strategji tenton të bëhet më e kushtueshme</w:t>
      </w:r>
      <w:r w:rsidR="003F153A">
        <w:rPr>
          <w:rFonts w:ascii="Garamond" w:hAnsi="Garamond"/>
          <w:sz w:val="24"/>
          <w:szCs w:val="24"/>
          <w:lang w:val="sq-AL"/>
        </w:rPr>
        <w:t>,</w:t>
      </w:r>
      <w:r w:rsidR="008B3748" w:rsidRPr="00EC6AB6">
        <w:rPr>
          <w:rFonts w:ascii="Garamond" w:hAnsi="Garamond"/>
          <w:sz w:val="24"/>
          <w:szCs w:val="24"/>
          <w:lang w:val="sq-AL"/>
        </w:rPr>
        <w:t xml:space="preserve"> për shkak të primeve që burojnë nga niveli në rritje i risqeve në portofolin e borxhit të brendshëm.</w:t>
      </w:r>
    </w:p>
    <w:p w14:paraId="4333BA98"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Nuk krijon burime të mjaftueshme në valutë për të shërbyer detyrimet e borxhit të huaj.</w:t>
      </w:r>
    </w:p>
    <w:p w14:paraId="4333BA99"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Rrit ndërhyrjen e shtetit në tregun e këmbimit valutor, duke qenë se të hyrat në valutë nëpërmjet huamarrjes së huaj janë të kufizuara.</w:t>
      </w:r>
    </w:p>
    <w:p w14:paraId="4333BA9A" w14:textId="77777777"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Akumulon burimet e brendshme të financimit duke kufizuar kreditimin e sektorit privat.</w:t>
      </w:r>
    </w:p>
    <w:p w14:paraId="4333BA9B" w14:textId="77777777" w:rsidR="008B3748" w:rsidRPr="00EC6AB6" w:rsidRDefault="008B3748" w:rsidP="008B3748">
      <w:pPr>
        <w:spacing w:after="0" w:line="240" w:lineRule="auto"/>
        <w:rPr>
          <w:rFonts w:ascii="Garamond" w:hAnsi="Garamond"/>
          <w:sz w:val="24"/>
          <w:szCs w:val="24"/>
          <w:lang w:val="sq-AL"/>
        </w:rPr>
      </w:pPr>
    </w:p>
    <w:p w14:paraId="4333BA9C" w14:textId="77777777" w:rsidR="008B3748" w:rsidRPr="00EC6AB6" w:rsidRDefault="008B3748" w:rsidP="00232D45">
      <w:pPr>
        <w:spacing w:after="0" w:line="240" w:lineRule="auto"/>
        <w:ind w:firstLine="0"/>
        <w:jc w:val="center"/>
        <w:rPr>
          <w:rFonts w:ascii="Garamond" w:hAnsi="Garamond"/>
          <w:sz w:val="24"/>
          <w:szCs w:val="24"/>
          <w:lang w:val="sq-AL"/>
        </w:rPr>
      </w:pPr>
      <w:bookmarkStart w:id="143" w:name="_Toc60129483"/>
      <w:r w:rsidRPr="00EC6AB6">
        <w:rPr>
          <w:rFonts w:ascii="Garamond" w:hAnsi="Garamond"/>
          <w:sz w:val="24"/>
          <w:szCs w:val="24"/>
          <w:lang w:val="sq-AL"/>
        </w:rPr>
        <w:t>ANEKS II</w:t>
      </w:r>
      <w:bookmarkEnd w:id="143"/>
    </w:p>
    <w:p w14:paraId="4333BA9D" w14:textId="77777777" w:rsidR="008B3748" w:rsidRPr="00EC6AB6" w:rsidRDefault="008B3748" w:rsidP="00232D45">
      <w:pPr>
        <w:spacing w:after="0" w:line="240" w:lineRule="auto"/>
        <w:ind w:firstLine="0"/>
        <w:jc w:val="center"/>
        <w:rPr>
          <w:rFonts w:ascii="Garamond" w:hAnsi="Garamond"/>
          <w:sz w:val="24"/>
          <w:szCs w:val="24"/>
          <w:lang w:val="sq-AL"/>
        </w:rPr>
      </w:pPr>
      <w:r w:rsidRPr="00EC6AB6">
        <w:rPr>
          <w:rFonts w:ascii="Garamond" w:hAnsi="Garamond"/>
          <w:sz w:val="24"/>
          <w:szCs w:val="24"/>
          <w:lang w:val="sq-AL"/>
        </w:rPr>
        <w:t>AKRONIME DHE FJALOR TEKNIK</w:t>
      </w:r>
    </w:p>
    <w:p w14:paraId="4333BA9E" w14:textId="77777777" w:rsidR="008B3748" w:rsidRPr="00EC6AB6" w:rsidRDefault="008B3748" w:rsidP="008B3748">
      <w:pPr>
        <w:spacing w:after="0" w:line="240" w:lineRule="auto"/>
        <w:rPr>
          <w:rFonts w:ascii="Garamond" w:hAnsi="Garamond"/>
          <w:sz w:val="24"/>
          <w:szCs w:val="24"/>
          <w:lang w:val="sq-AL"/>
        </w:rPr>
      </w:pPr>
    </w:p>
    <w:p w14:paraId="4333BA9F"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AMF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Autoriteti i Mbikëqyrjes Financiare</w:t>
      </w:r>
    </w:p>
    <w:p w14:paraId="4333BAA1" w14:textId="77777777" w:rsidR="008B3748" w:rsidRPr="003F153A" w:rsidRDefault="008B3748" w:rsidP="008B3748">
      <w:pPr>
        <w:spacing w:after="0" w:line="240" w:lineRule="auto"/>
        <w:rPr>
          <w:rFonts w:ascii="Garamond" w:hAnsi="Garamond"/>
          <w:i/>
          <w:sz w:val="24"/>
          <w:szCs w:val="24"/>
          <w:lang w:val="sq-AL"/>
        </w:rPr>
      </w:pPr>
      <w:r w:rsidRPr="00EC6AB6">
        <w:rPr>
          <w:rFonts w:ascii="Garamond" w:hAnsi="Garamond"/>
          <w:sz w:val="24"/>
          <w:szCs w:val="24"/>
          <w:lang w:val="sq-AL"/>
        </w:rPr>
        <w:t xml:space="preserve">ASPA </w:t>
      </w:r>
      <w:r w:rsidR="00232D45" w:rsidRPr="00EC6AB6">
        <w:rPr>
          <w:rFonts w:ascii="Garamond" w:hAnsi="Garamond"/>
          <w:sz w:val="24"/>
          <w:szCs w:val="24"/>
          <w:lang w:val="sq-AL"/>
        </w:rPr>
        <w:tab/>
      </w:r>
      <w:r w:rsidR="00232D45" w:rsidRPr="00EC6AB6">
        <w:rPr>
          <w:rFonts w:ascii="Garamond" w:hAnsi="Garamond"/>
          <w:sz w:val="24"/>
          <w:szCs w:val="24"/>
          <w:lang w:val="sq-AL"/>
        </w:rPr>
        <w:tab/>
      </w:r>
      <w:r w:rsidRPr="003F153A">
        <w:rPr>
          <w:rFonts w:ascii="Garamond" w:hAnsi="Garamond"/>
          <w:i/>
          <w:sz w:val="24"/>
          <w:szCs w:val="24"/>
          <w:lang w:val="sq-AL"/>
        </w:rPr>
        <w:t xml:space="preserve">Albanian School of Public Administration </w:t>
      </w:r>
    </w:p>
    <w:p w14:paraId="4333BAA2" w14:textId="77777777" w:rsidR="008B3748" w:rsidRPr="00EC6AB6" w:rsidRDefault="008B3748" w:rsidP="00232D45">
      <w:pPr>
        <w:spacing w:after="0" w:line="240" w:lineRule="auto"/>
        <w:ind w:left="1136"/>
        <w:rPr>
          <w:rFonts w:ascii="Garamond" w:hAnsi="Garamond"/>
          <w:sz w:val="24"/>
          <w:szCs w:val="24"/>
          <w:lang w:val="sq-AL"/>
        </w:rPr>
      </w:pPr>
      <w:r w:rsidRPr="00EC6AB6">
        <w:rPr>
          <w:rFonts w:ascii="Garamond" w:hAnsi="Garamond"/>
          <w:sz w:val="24"/>
          <w:szCs w:val="24"/>
          <w:lang w:val="sq-AL"/>
        </w:rPr>
        <w:t>(Shkolla Shqiptare e Administratës Publike)</w:t>
      </w:r>
    </w:p>
    <w:p w14:paraId="4333BAA4"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BB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Banka Botërore</w:t>
      </w:r>
    </w:p>
    <w:p w14:paraId="4333BAA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BE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Bashkimi Evropian</w:t>
      </w:r>
    </w:p>
    <w:p w14:paraId="4333BAA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BKT</w:t>
      </w:r>
      <w:r w:rsidRPr="00EC6AB6">
        <w:rPr>
          <w:rFonts w:ascii="Garamond" w:hAnsi="Garamond"/>
          <w:sz w:val="24"/>
          <w:szCs w:val="24"/>
          <w:lang w:val="sq-AL"/>
        </w:rPr>
        <w:tab/>
      </w:r>
      <w:r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Banka Kombëtare Tregtare</w:t>
      </w:r>
    </w:p>
    <w:p w14:paraId="4333BAAA"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BQE</w:t>
      </w:r>
      <w:r w:rsidRPr="00EC6AB6">
        <w:rPr>
          <w:rFonts w:ascii="Garamond" w:hAnsi="Garamond"/>
          <w:sz w:val="24"/>
          <w:szCs w:val="24"/>
          <w:lang w:val="sq-AL"/>
        </w:rPr>
        <w:tab/>
        <w:t xml:space="preserve"> </w:t>
      </w:r>
      <w:r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Banka Qendrore Evropiane</w:t>
      </w:r>
    </w:p>
    <w:p w14:paraId="4333BAAC"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BSH</w:t>
      </w:r>
      <w:r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 xml:space="preserve">Banka e Shqipërisë </w:t>
      </w:r>
    </w:p>
    <w:p w14:paraId="4333BAA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EUR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Monedha e Bashkimit Evropian</w:t>
      </w:r>
    </w:p>
    <w:p w14:paraId="4333BAAF" w14:textId="77777777" w:rsidR="008B3748" w:rsidRPr="00EC6AB6" w:rsidRDefault="008B3748" w:rsidP="008B3748">
      <w:pPr>
        <w:spacing w:after="0" w:line="240" w:lineRule="auto"/>
        <w:rPr>
          <w:rFonts w:ascii="Garamond" w:hAnsi="Garamond"/>
          <w:sz w:val="24"/>
          <w:szCs w:val="24"/>
          <w:lang w:val="sq-AL"/>
        </w:rPr>
      </w:pPr>
    </w:p>
    <w:p w14:paraId="4333BAB0"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FMN</w:t>
      </w:r>
      <w:r w:rsidRPr="00EC6AB6">
        <w:rPr>
          <w:rFonts w:ascii="Garamond" w:hAnsi="Garamond"/>
          <w:sz w:val="24"/>
          <w:szCs w:val="24"/>
          <w:lang w:val="sq-AL"/>
        </w:rPr>
        <w:tab/>
      </w:r>
      <w:r w:rsidRPr="00EC6AB6">
        <w:rPr>
          <w:rFonts w:ascii="Garamond" w:hAnsi="Garamond"/>
          <w:sz w:val="24"/>
          <w:szCs w:val="24"/>
          <w:lang w:val="sq-AL"/>
        </w:rPr>
        <w:tab/>
        <w:t xml:space="preserve"> </w:t>
      </w:r>
      <w:r w:rsidR="00232D45" w:rsidRPr="00EC6AB6">
        <w:rPr>
          <w:rFonts w:ascii="Garamond" w:hAnsi="Garamond"/>
          <w:sz w:val="24"/>
          <w:szCs w:val="24"/>
          <w:lang w:val="sq-AL"/>
        </w:rPr>
        <w:tab/>
      </w:r>
      <w:r w:rsidRPr="00EC6AB6">
        <w:rPr>
          <w:rFonts w:ascii="Garamond" w:hAnsi="Garamond"/>
          <w:sz w:val="24"/>
          <w:szCs w:val="24"/>
          <w:lang w:val="sq-AL"/>
        </w:rPr>
        <w:t>Fondi Monetar Ndërkombëtar</w:t>
      </w:r>
    </w:p>
    <w:p w14:paraId="4333BAB2" w14:textId="40BC8A68"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INSTAT</w:t>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Instituti i Statistikave</w:t>
      </w:r>
    </w:p>
    <w:p w14:paraId="4333BAB4" w14:textId="783D287E"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KMM</w:t>
      </w:r>
      <w:r w:rsidRPr="00EC6AB6">
        <w:rPr>
          <w:rFonts w:ascii="Garamond" w:hAnsi="Garamond"/>
          <w:sz w:val="24"/>
          <w:szCs w:val="24"/>
          <w:lang w:val="sq-AL"/>
        </w:rPr>
        <w:tab/>
      </w:r>
      <w:r w:rsidRPr="00EC6AB6">
        <w:rPr>
          <w:rFonts w:ascii="Garamond" w:hAnsi="Garamond"/>
          <w:sz w:val="24"/>
          <w:szCs w:val="24"/>
          <w:lang w:val="sq-AL"/>
        </w:rPr>
        <w:tab/>
      </w:r>
      <w:r w:rsidR="008B3748" w:rsidRPr="00EC6AB6">
        <w:rPr>
          <w:rFonts w:ascii="Garamond" w:hAnsi="Garamond"/>
          <w:sz w:val="24"/>
          <w:szCs w:val="24"/>
          <w:lang w:val="sq-AL"/>
        </w:rPr>
        <w:t xml:space="preserve">Koha </w:t>
      </w:r>
      <w:r w:rsidR="00686DC0" w:rsidRPr="00EC6AB6">
        <w:rPr>
          <w:rFonts w:ascii="Garamond" w:hAnsi="Garamond"/>
          <w:sz w:val="24"/>
          <w:szCs w:val="24"/>
          <w:lang w:val="sq-AL"/>
        </w:rPr>
        <w:t xml:space="preserve">mesatare në maturim </w:t>
      </w:r>
    </w:p>
    <w:p w14:paraId="4333BAB6" w14:textId="3613F3E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KMR</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t xml:space="preserve">Koha </w:t>
      </w:r>
      <w:r w:rsidR="00686DC0" w:rsidRPr="00EC6AB6">
        <w:rPr>
          <w:rFonts w:ascii="Garamond" w:hAnsi="Garamond"/>
          <w:sz w:val="24"/>
          <w:szCs w:val="24"/>
          <w:lang w:val="sq-AL"/>
        </w:rPr>
        <w:t>mesatare në rivlerësim</w:t>
      </w:r>
    </w:p>
    <w:p w14:paraId="4333BAB8" w14:textId="1C1693F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LEKË</w:t>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 xml:space="preserve">Monedha </w:t>
      </w:r>
      <w:r w:rsidR="00686DC0" w:rsidRPr="00EC6AB6">
        <w:rPr>
          <w:rFonts w:ascii="Garamond" w:hAnsi="Garamond"/>
          <w:sz w:val="24"/>
          <w:szCs w:val="24"/>
          <w:lang w:val="sq-AL"/>
        </w:rPr>
        <w:t>vendëse</w:t>
      </w:r>
    </w:p>
    <w:p w14:paraId="4333BABA" w14:textId="10D6F99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NPL</w:t>
      </w:r>
      <w:r w:rsidR="00232D45" w:rsidRPr="00EC6AB6">
        <w:rPr>
          <w:rFonts w:ascii="Garamond" w:hAnsi="Garamond"/>
          <w:sz w:val="24"/>
          <w:szCs w:val="24"/>
          <w:lang w:val="sq-AL"/>
        </w:rPr>
        <w:t xml:space="preserve"> </w:t>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i/>
          <w:sz w:val="24"/>
          <w:szCs w:val="24"/>
          <w:lang w:val="sq-AL"/>
        </w:rPr>
        <w:t>Non Performing Loans</w:t>
      </w:r>
      <w:r w:rsidRPr="00EC6AB6">
        <w:rPr>
          <w:rFonts w:ascii="Garamond" w:hAnsi="Garamond"/>
          <w:sz w:val="24"/>
          <w:szCs w:val="24"/>
          <w:lang w:val="sq-AL"/>
        </w:rPr>
        <w:t xml:space="preserve"> (</w:t>
      </w:r>
      <w:r w:rsidR="00686DC0" w:rsidRPr="00EC6AB6">
        <w:rPr>
          <w:rFonts w:ascii="Garamond" w:hAnsi="Garamond"/>
          <w:sz w:val="24"/>
          <w:szCs w:val="24"/>
          <w:lang w:val="sq-AL"/>
        </w:rPr>
        <w:t xml:space="preserve">kredi </w:t>
      </w:r>
      <w:r w:rsidRPr="00EC6AB6">
        <w:rPr>
          <w:rFonts w:ascii="Garamond" w:hAnsi="Garamond"/>
          <w:sz w:val="24"/>
          <w:szCs w:val="24"/>
          <w:lang w:val="sq-AL"/>
        </w:rPr>
        <w:t>me probleme)</w:t>
      </w:r>
    </w:p>
    <w:p w14:paraId="4333BABC" w14:textId="18C226A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PBB</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t xml:space="preserve">Prodhimi i </w:t>
      </w:r>
      <w:r w:rsidR="00686DC0" w:rsidRPr="00EC6AB6">
        <w:rPr>
          <w:rFonts w:ascii="Garamond" w:hAnsi="Garamond"/>
          <w:sz w:val="24"/>
          <w:szCs w:val="24"/>
          <w:lang w:val="sq-AL"/>
        </w:rPr>
        <w:t>brendshëm b</w:t>
      </w:r>
      <w:r w:rsidRPr="00EC6AB6">
        <w:rPr>
          <w:rFonts w:ascii="Garamond" w:hAnsi="Garamond"/>
          <w:sz w:val="24"/>
          <w:szCs w:val="24"/>
          <w:lang w:val="sq-AL"/>
        </w:rPr>
        <w:t>ruto</w:t>
      </w:r>
    </w:p>
    <w:p w14:paraId="4333BABE" w14:textId="0234AA6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PBG</w:t>
      </w:r>
      <w:r w:rsidR="00FA2519" w:rsidRPr="00EC6AB6">
        <w:rPr>
          <w:rFonts w:ascii="Garamond" w:hAnsi="Garamond"/>
          <w:sz w:val="24"/>
          <w:szCs w:val="24"/>
          <w:lang w:val="sq-AL"/>
        </w:rPr>
        <w:t xml:space="preserve"> </w:t>
      </w:r>
      <w:r w:rsidRPr="00EC6AB6">
        <w:rPr>
          <w:rFonts w:ascii="Garamond" w:hAnsi="Garamond"/>
          <w:sz w:val="24"/>
          <w:szCs w:val="24"/>
          <w:lang w:val="sq-AL"/>
        </w:rPr>
        <w:tab/>
      </w:r>
      <w:r w:rsidRPr="00EC6AB6">
        <w:rPr>
          <w:rFonts w:ascii="Garamond" w:hAnsi="Garamond"/>
          <w:sz w:val="24"/>
          <w:szCs w:val="24"/>
          <w:lang w:val="sq-AL"/>
        </w:rPr>
        <w:tab/>
      </w:r>
      <w:r w:rsidR="00686DC0" w:rsidRPr="00EC6AB6">
        <w:rPr>
          <w:rFonts w:ascii="Garamond" w:hAnsi="Garamond"/>
          <w:sz w:val="24"/>
          <w:szCs w:val="24"/>
          <w:lang w:val="sq-AL"/>
        </w:rPr>
        <w:tab/>
      </w:r>
      <w:r w:rsidRPr="00EC6AB6">
        <w:rPr>
          <w:rFonts w:ascii="Garamond" w:hAnsi="Garamond"/>
          <w:i/>
          <w:sz w:val="24"/>
          <w:szCs w:val="24"/>
          <w:lang w:val="sq-AL"/>
        </w:rPr>
        <w:t>Policy Based Guarante</w:t>
      </w:r>
      <w:r w:rsidRPr="00EC6AB6">
        <w:rPr>
          <w:rFonts w:ascii="Garamond" w:hAnsi="Garamond"/>
          <w:sz w:val="24"/>
          <w:szCs w:val="24"/>
          <w:lang w:val="sq-AL"/>
        </w:rPr>
        <w:t>e (</w:t>
      </w:r>
      <w:r w:rsidR="00686DC0" w:rsidRPr="00EC6AB6">
        <w:rPr>
          <w:rFonts w:ascii="Garamond" w:hAnsi="Garamond"/>
          <w:sz w:val="24"/>
          <w:szCs w:val="24"/>
          <w:lang w:val="sq-AL"/>
        </w:rPr>
        <w:t xml:space="preserve">garanci </w:t>
      </w:r>
      <w:r w:rsidRPr="00EC6AB6">
        <w:rPr>
          <w:rFonts w:ascii="Garamond" w:hAnsi="Garamond"/>
          <w:sz w:val="24"/>
          <w:szCs w:val="24"/>
          <w:lang w:val="sq-AL"/>
        </w:rPr>
        <w:t xml:space="preserve">e bazuar në politika) </w:t>
      </w:r>
    </w:p>
    <w:p w14:paraId="4333BAC0"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PB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Pikë bazë</w:t>
      </w:r>
    </w:p>
    <w:p w14:paraId="4333BAC2" w14:textId="29366E6D"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PP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Pikë përqindje</w:t>
      </w:r>
      <w:r w:rsidR="003F153A">
        <w:rPr>
          <w:rFonts w:ascii="Garamond" w:hAnsi="Garamond"/>
          <w:sz w:val="24"/>
          <w:szCs w:val="24"/>
          <w:lang w:val="sq-AL"/>
        </w:rPr>
        <w:t>je</w:t>
      </w:r>
    </w:p>
    <w:p w14:paraId="4333BAC4" w14:textId="7BE25E18" w:rsidR="008B3748" w:rsidRPr="00EC6AB6" w:rsidRDefault="00232D45" w:rsidP="008B3748">
      <w:pPr>
        <w:spacing w:after="0" w:line="240" w:lineRule="auto"/>
        <w:rPr>
          <w:rFonts w:ascii="Garamond" w:hAnsi="Garamond"/>
          <w:sz w:val="24"/>
          <w:szCs w:val="24"/>
          <w:lang w:val="sq-AL"/>
        </w:rPr>
      </w:pPr>
      <w:r w:rsidRPr="00EC6AB6">
        <w:rPr>
          <w:rFonts w:ascii="Garamond" w:hAnsi="Garamond"/>
          <w:sz w:val="24"/>
          <w:szCs w:val="24"/>
          <w:lang w:val="sq-AL"/>
        </w:rPr>
        <w:t>SAMB</w:t>
      </w:r>
      <w:r w:rsidRPr="00EC6AB6">
        <w:rPr>
          <w:rFonts w:ascii="Garamond" w:hAnsi="Garamond"/>
          <w:sz w:val="24"/>
          <w:szCs w:val="24"/>
          <w:lang w:val="sq-AL"/>
        </w:rPr>
        <w:tab/>
      </w:r>
      <w:r w:rsidRPr="00EC6AB6">
        <w:rPr>
          <w:rFonts w:ascii="Garamond" w:hAnsi="Garamond"/>
          <w:sz w:val="24"/>
          <w:szCs w:val="24"/>
          <w:lang w:val="sq-AL"/>
        </w:rPr>
        <w:tab/>
      </w:r>
      <w:r w:rsidR="008B3748" w:rsidRPr="00EC6AB6">
        <w:rPr>
          <w:rFonts w:ascii="Garamond" w:hAnsi="Garamond"/>
          <w:sz w:val="24"/>
          <w:szCs w:val="24"/>
          <w:lang w:val="sq-AL"/>
        </w:rPr>
        <w:t xml:space="preserve">Strategjia </w:t>
      </w:r>
      <w:r w:rsidR="00686DC0" w:rsidRPr="00EC6AB6">
        <w:rPr>
          <w:rFonts w:ascii="Garamond" w:hAnsi="Garamond"/>
          <w:sz w:val="24"/>
          <w:szCs w:val="24"/>
          <w:lang w:val="sq-AL"/>
        </w:rPr>
        <w:t>afatmesme e menaxhimit të borxhit</w:t>
      </w:r>
    </w:p>
    <w:p w14:paraId="4333BAC6"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USD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Monedha kombëtare e Shteteve të Bashkuara të Amerikës</w:t>
      </w:r>
    </w:p>
    <w:p w14:paraId="4333BAC8"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YEN </w:t>
      </w:r>
      <w:r w:rsidR="00232D45" w:rsidRPr="00EC6AB6">
        <w:rPr>
          <w:rFonts w:ascii="Garamond" w:hAnsi="Garamond"/>
          <w:sz w:val="24"/>
          <w:szCs w:val="24"/>
          <w:lang w:val="sq-AL"/>
        </w:rPr>
        <w:tab/>
      </w:r>
      <w:r w:rsidR="00232D45" w:rsidRPr="00EC6AB6">
        <w:rPr>
          <w:rFonts w:ascii="Garamond" w:hAnsi="Garamond"/>
          <w:sz w:val="24"/>
          <w:szCs w:val="24"/>
          <w:lang w:val="sq-AL"/>
        </w:rPr>
        <w:tab/>
      </w:r>
      <w:r w:rsidR="00232D45" w:rsidRPr="00EC6AB6">
        <w:rPr>
          <w:rFonts w:ascii="Garamond" w:hAnsi="Garamond"/>
          <w:sz w:val="24"/>
          <w:szCs w:val="24"/>
          <w:lang w:val="sq-AL"/>
        </w:rPr>
        <w:tab/>
      </w:r>
      <w:r w:rsidRPr="00EC6AB6">
        <w:rPr>
          <w:rFonts w:ascii="Garamond" w:hAnsi="Garamond"/>
          <w:sz w:val="24"/>
          <w:szCs w:val="24"/>
          <w:lang w:val="sq-AL"/>
        </w:rPr>
        <w:t xml:space="preserve">Monedha kombëtare e Japonisë </w:t>
      </w:r>
    </w:p>
    <w:p w14:paraId="4333BACA" w14:textId="0EA5A34F"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YMP</w:t>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sz w:val="24"/>
          <w:szCs w:val="24"/>
          <w:lang w:val="sq-AL"/>
        </w:rPr>
        <w:tab/>
      </w:r>
      <w:r w:rsidRPr="00EC6AB6">
        <w:rPr>
          <w:rFonts w:ascii="Garamond" w:hAnsi="Garamond"/>
          <w:i/>
          <w:sz w:val="24"/>
          <w:szCs w:val="24"/>
          <w:lang w:val="sq-AL"/>
        </w:rPr>
        <w:t>Yield</w:t>
      </w:r>
      <w:r w:rsidRPr="00EC6AB6">
        <w:rPr>
          <w:rFonts w:ascii="Garamond" w:hAnsi="Garamond"/>
          <w:sz w:val="24"/>
          <w:szCs w:val="24"/>
          <w:lang w:val="sq-AL"/>
        </w:rPr>
        <w:t xml:space="preserve">-i </w:t>
      </w:r>
      <w:r w:rsidR="003F153A" w:rsidRPr="00EC6AB6">
        <w:rPr>
          <w:rFonts w:ascii="Garamond" w:hAnsi="Garamond"/>
          <w:sz w:val="24"/>
          <w:szCs w:val="24"/>
          <w:lang w:val="sq-AL"/>
        </w:rPr>
        <w:t>mesatar i ponderuar</w:t>
      </w:r>
    </w:p>
    <w:p w14:paraId="4333BACC" w14:textId="00CB529F" w:rsidR="008B3748" w:rsidRPr="00EC6AB6" w:rsidRDefault="00764A88"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 xml:space="preserve">Ankande shkëmbimi </w:t>
      </w:r>
      <w:r w:rsidR="008B3748" w:rsidRPr="00EC6AB6">
        <w:rPr>
          <w:rFonts w:ascii="Garamond" w:hAnsi="Garamond"/>
          <w:i/>
          <w:sz w:val="24"/>
          <w:szCs w:val="24"/>
          <w:lang w:val="sq-AL"/>
        </w:rPr>
        <w:t>(exchange auctions)</w:t>
      </w:r>
      <w:r w:rsidRPr="00EC6AB6">
        <w:rPr>
          <w:rFonts w:ascii="Garamond" w:hAnsi="Garamond"/>
          <w:sz w:val="24"/>
          <w:szCs w:val="24"/>
          <w:lang w:val="sq-AL"/>
        </w:rPr>
        <w:t>”, p</w:t>
      </w:r>
      <w:r w:rsidR="008B3748" w:rsidRPr="00EC6AB6">
        <w:rPr>
          <w:rFonts w:ascii="Garamond" w:hAnsi="Garamond"/>
          <w:sz w:val="24"/>
          <w:szCs w:val="24"/>
          <w:lang w:val="sq-AL"/>
        </w:rPr>
        <w:t>arablerja e titujve shtetërorë përpara datës së maturimit, ndërkohë që transaksioni kryhet duke e paguar mbajtësin e titullit të parablerë me një titull të emetuar rishtazi.</w:t>
      </w:r>
    </w:p>
    <w:p w14:paraId="4333BACD" w14:textId="7EDC08B5" w:rsidR="008B3748" w:rsidRPr="00EC6AB6" w:rsidRDefault="00764A88"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Borxh</w:t>
      </w:r>
      <w:r w:rsidRPr="00EC6AB6">
        <w:rPr>
          <w:rFonts w:ascii="Garamond" w:hAnsi="Garamond"/>
          <w:sz w:val="24"/>
          <w:szCs w:val="24"/>
          <w:lang w:val="sq-AL"/>
        </w:rPr>
        <w:t xml:space="preserve">”, referuar </w:t>
      </w:r>
      <w:r w:rsidR="008B3748" w:rsidRPr="00EC6AB6">
        <w:rPr>
          <w:rFonts w:ascii="Garamond" w:hAnsi="Garamond"/>
          <w:sz w:val="24"/>
          <w:szCs w:val="24"/>
          <w:lang w:val="sq-AL"/>
        </w:rPr>
        <w:t>si “</w:t>
      </w:r>
      <w:r w:rsidRPr="00EC6AB6">
        <w:rPr>
          <w:rFonts w:ascii="Garamond" w:hAnsi="Garamond"/>
          <w:sz w:val="24"/>
          <w:szCs w:val="24"/>
          <w:lang w:val="sq-AL"/>
        </w:rPr>
        <w:t>borxh total” ose “totali i detyrimeve të borxhit</w:t>
      </w:r>
      <w:r w:rsidR="008B3748" w:rsidRPr="00EC6AB6">
        <w:rPr>
          <w:rFonts w:ascii="Garamond" w:hAnsi="Garamond"/>
          <w:sz w:val="24"/>
          <w:szCs w:val="24"/>
          <w:lang w:val="sq-AL"/>
        </w:rPr>
        <w:t>”, konsiston në të gjitha detyrimet që janë instrumente borxhi.</w:t>
      </w:r>
    </w:p>
    <w:p w14:paraId="4333BACE" w14:textId="4BA0201B"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Borxh afatgjatë</w:t>
      </w:r>
      <w:r w:rsidRPr="00EC6AB6">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 xml:space="preserve">borxh </w:t>
      </w:r>
      <w:r w:rsidR="008B3748" w:rsidRPr="00EC6AB6">
        <w:rPr>
          <w:rFonts w:ascii="Garamond" w:hAnsi="Garamond"/>
          <w:sz w:val="24"/>
          <w:szCs w:val="24"/>
          <w:lang w:val="sq-AL"/>
        </w:rPr>
        <w:t>me afat maturimi më të lartë se një vit.</w:t>
      </w:r>
    </w:p>
    <w:p w14:paraId="4333BACF" w14:textId="33A45536"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Borxh i brendshëm</w:t>
      </w:r>
      <w:r w:rsidRPr="00EC6AB6">
        <w:rPr>
          <w:rFonts w:ascii="Garamond" w:hAnsi="Garamond"/>
          <w:sz w:val="24"/>
          <w:szCs w:val="24"/>
          <w:lang w:val="sq-AL"/>
        </w:rPr>
        <w:t>”, d</w:t>
      </w:r>
      <w:r w:rsidR="008B3748" w:rsidRPr="00EC6AB6">
        <w:rPr>
          <w:rFonts w:ascii="Garamond" w:hAnsi="Garamond"/>
          <w:sz w:val="24"/>
          <w:szCs w:val="24"/>
          <w:lang w:val="sq-AL"/>
        </w:rPr>
        <w:t>etyrimet e borxhit të rezidentëve të një vendi ndaj rezidentëve të po atij vendi.</w:t>
      </w:r>
    </w:p>
    <w:p w14:paraId="4333BAD0" w14:textId="0376B591"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Borxh i jashtëm</w:t>
      </w:r>
      <w:r w:rsidRPr="00EC6AB6">
        <w:rPr>
          <w:rFonts w:ascii="Garamond" w:hAnsi="Garamond"/>
          <w:sz w:val="24"/>
          <w:szCs w:val="24"/>
          <w:lang w:val="sq-AL"/>
        </w:rPr>
        <w:t>”</w:t>
      </w:r>
      <w:r w:rsidR="006563AC" w:rsidRPr="00EC6AB6">
        <w:rPr>
          <w:rFonts w:ascii="Garamond" w:hAnsi="Garamond"/>
          <w:sz w:val="24"/>
          <w:szCs w:val="24"/>
          <w:lang w:val="sq-AL"/>
        </w:rPr>
        <w:t>, d</w:t>
      </w:r>
      <w:r w:rsidR="008B3748" w:rsidRPr="00EC6AB6">
        <w:rPr>
          <w:rFonts w:ascii="Garamond" w:hAnsi="Garamond"/>
          <w:sz w:val="24"/>
          <w:szCs w:val="24"/>
          <w:lang w:val="sq-AL"/>
        </w:rPr>
        <w:t>etyrimet e borxhit të rezidentëve të një vendi ndaj jorezidentëve.</w:t>
      </w:r>
    </w:p>
    <w:p w14:paraId="4333BAD1" w14:textId="6A3B5D91"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Borxhi publik i garantuar</w:t>
      </w:r>
      <w:r w:rsidRPr="00EC6AB6">
        <w:rPr>
          <w:rFonts w:ascii="Garamond" w:hAnsi="Garamond"/>
          <w:sz w:val="24"/>
          <w:szCs w:val="24"/>
          <w:lang w:val="sq-AL"/>
        </w:rPr>
        <w:t>”</w:t>
      </w:r>
      <w:r w:rsidR="006563AC" w:rsidRPr="00EC6AB6">
        <w:rPr>
          <w:rFonts w:ascii="Garamond" w:hAnsi="Garamond"/>
          <w:sz w:val="24"/>
          <w:szCs w:val="24"/>
          <w:lang w:val="sq-AL"/>
        </w:rPr>
        <w:t>, d</w:t>
      </w:r>
      <w:r w:rsidR="008B3748" w:rsidRPr="00EC6AB6">
        <w:rPr>
          <w:rFonts w:ascii="Garamond" w:hAnsi="Garamond"/>
          <w:sz w:val="24"/>
          <w:szCs w:val="24"/>
          <w:lang w:val="sq-AL"/>
        </w:rPr>
        <w:t>etyrimet e borxhit të sektorit publik dhe privat, shërbimi i të cilit është i garantuar me marrëveshje nga njësitë e sektorit publik.</w:t>
      </w:r>
    </w:p>
    <w:p w14:paraId="4333BAD2" w14:textId="5ACD71D4" w:rsidR="008B3748" w:rsidRPr="00EC6AB6" w:rsidRDefault="0043466D" w:rsidP="008B3748">
      <w:pPr>
        <w:spacing w:after="0" w:line="240" w:lineRule="auto"/>
        <w:rPr>
          <w:rFonts w:ascii="Garamond" w:hAnsi="Garamond"/>
          <w:sz w:val="24"/>
          <w:szCs w:val="24"/>
          <w:lang w:val="sq-AL"/>
        </w:rPr>
      </w:pPr>
      <w:r w:rsidRPr="00EC6AB6">
        <w:rPr>
          <w:rFonts w:ascii="Garamond" w:hAnsi="Garamond"/>
          <w:i/>
          <w:sz w:val="24"/>
          <w:szCs w:val="24"/>
          <w:lang w:val="sq-AL"/>
        </w:rPr>
        <w:t>“</w:t>
      </w:r>
      <w:r w:rsidR="008B3748" w:rsidRPr="00EC6AB6">
        <w:rPr>
          <w:rFonts w:ascii="Garamond" w:hAnsi="Garamond"/>
          <w:i/>
          <w:sz w:val="24"/>
          <w:szCs w:val="24"/>
          <w:lang w:val="sq-AL"/>
        </w:rPr>
        <w:t>Buyback</w:t>
      </w:r>
      <w:r w:rsidRPr="00EC6AB6">
        <w:rPr>
          <w:rFonts w:ascii="Garamond" w:hAnsi="Garamond"/>
          <w:i/>
          <w:sz w:val="24"/>
          <w:szCs w:val="24"/>
          <w:lang w:val="sq-AL"/>
        </w:rPr>
        <w:t>”</w:t>
      </w:r>
      <w:r w:rsidR="00656581" w:rsidRPr="00EC6AB6">
        <w:rPr>
          <w:rFonts w:ascii="Garamond" w:hAnsi="Garamond"/>
          <w:sz w:val="24"/>
          <w:szCs w:val="24"/>
          <w:lang w:val="sq-AL"/>
        </w:rPr>
        <w:t xml:space="preserve"> </w:t>
      </w:r>
      <w:r w:rsidRPr="00EC6AB6">
        <w:rPr>
          <w:rFonts w:ascii="Garamond" w:hAnsi="Garamond"/>
          <w:sz w:val="24"/>
          <w:szCs w:val="24"/>
          <w:lang w:val="sq-AL"/>
        </w:rPr>
        <w:t>ë</w:t>
      </w:r>
      <w:r w:rsidR="008B3748" w:rsidRPr="00EC6AB6">
        <w:rPr>
          <w:rFonts w:ascii="Garamond" w:hAnsi="Garamond"/>
          <w:sz w:val="24"/>
          <w:szCs w:val="24"/>
          <w:lang w:val="sq-AL"/>
        </w:rPr>
        <w:t>shtë forma e ndërsjellë e emetimit të titujve shtetërorë, e ci</w:t>
      </w:r>
      <w:r w:rsidRPr="00EC6AB6">
        <w:rPr>
          <w:rFonts w:ascii="Garamond" w:hAnsi="Garamond"/>
          <w:sz w:val="24"/>
          <w:szCs w:val="24"/>
          <w:lang w:val="sq-AL"/>
        </w:rPr>
        <w:t>la mundëson maturimin e parakoh</w:t>
      </w:r>
      <w:r w:rsidR="008B3748" w:rsidRPr="00EC6AB6">
        <w:rPr>
          <w:rFonts w:ascii="Garamond" w:hAnsi="Garamond"/>
          <w:sz w:val="24"/>
          <w:szCs w:val="24"/>
          <w:lang w:val="sq-AL"/>
        </w:rPr>
        <w:t>shëm të një titull shtetëror.</w:t>
      </w:r>
    </w:p>
    <w:p w14:paraId="4333BAD3" w14:textId="5CB58470"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Disbursim</w:t>
      </w:r>
      <w:r w:rsidRPr="00EC6AB6">
        <w:rPr>
          <w:rFonts w:ascii="Garamond" w:hAnsi="Garamond"/>
          <w:sz w:val="24"/>
          <w:szCs w:val="24"/>
          <w:lang w:val="sq-AL"/>
        </w:rPr>
        <w:t>”, t</w:t>
      </w:r>
      <w:r w:rsidR="008B3748" w:rsidRPr="00EC6AB6">
        <w:rPr>
          <w:rFonts w:ascii="Garamond" w:hAnsi="Garamond"/>
          <w:sz w:val="24"/>
          <w:szCs w:val="24"/>
          <w:lang w:val="sq-AL"/>
        </w:rPr>
        <w:t>ransaksioni i vënies në dispozicion të burimeve financiare.</w:t>
      </w:r>
    </w:p>
    <w:p w14:paraId="4333BAD4" w14:textId="4873B7BA"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Eurobond</w:t>
      </w:r>
      <w:r w:rsidRPr="00EC6AB6">
        <w:rPr>
          <w:rFonts w:ascii="Garamond" w:hAnsi="Garamond"/>
          <w:sz w:val="24"/>
          <w:szCs w:val="24"/>
          <w:lang w:val="sq-AL"/>
        </w:rPr>
        <w:t>”, n</w:t>
      </w:r>
      <w:r w:rsidR="008B3748" w:rsidRPr="00EC6AB6">
        <w:rPr>
          <w:rFonts w:ascii="Garamond" w:hAnsi="Garamond"/>
          <w:sz w:val="24"/>
          <w:szCs w:val="24"/>
          <w:lang w:val="sq-AL"/>
        </w:rPr>
        <w:t>jë obligacion (titull financiar) me afat maturimi më shumë se një vit i emetuar dhe tregtuar në tregjet ndërkombëtare financiare, jashtë kufijve të vendit që e emeton atë.</w:t>
      </w:r>
    </w:p>
    <w:p w14:paraId="4333BAD5" w14:textId="4CEF058B"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Kreditor dypalësh</w:t>
      </w:r>
      <w:r w:rsidRPr="00EC6AB6">
        <w:rPr>
          <w:rFonts w:ascii="Garamond" w:hAnsi="Garamond"/>
          <w:sz w:val="24"/>
          <w:szCs w:val="24"/>
          <w:lang w:val="sq-AL"/>
        </w:rPr>
        <w:t>”, t</w:t>
      </w:r>
      <w:r w:rsidR="008B3748" w:rsidRPr="00EC6AB6">
        <w:rPr>
          <w:rFonts w:ascii="Garamond" w:hAnsi="Garamond"/>
          <w:sz w:val="24"/>
          <w:szCs w:val="24"/>
          <w:lang w:val="sq-AL"/>
        </w:rPr>
        <w:t>ipi i kreditorëve</w:t>
      </w:r>
      <w:r w:rsidR="00074CB8">
        <w:rPr>
          <w:rFonts w:ascii="Garamond" w:hAnsi="Garamond"/>
          <w:sz w:val="24"/>
          <w:szCs w:val="24"/>
          <w:lang w:val="sq-AL"/>
        </w:rPr>
        <w:t>,</w:t>
      </w:r>
      <w:r w:rsidR="008B3748" w:rsidRPr="00EC6AB6">
        <w:rPr>
          <w:rFonts w:ascii="Garamond" w:hAnsi="Garamond"/>
          <w:sz w:val="24"/>
          <w:szCs w:val="24"/>
          <w:lang w:val="sq-AL"/>
        </w:rPr>
        <w:t xml:space="preserve"> si qeveritë dhe agjencitë e tyre.</w:t>
      </w:r>
    </w:p>
    <w:p w14:paraId="4333BAD7" w14:textId="57714575"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Kredi koncesionale</w:t>
      </w:r>
      <w:r w:rsidRPr="00EC6AB6">
        <w:rPr>
          <w:rFonts w:ascii="Garamond" w:hAnsi="Garamond"/>
          <w:sz w:val="24"/>
          <w:szCs w:val="24"/>
          <w:lang w:val="sq-AL"/>
        </w:rPr>
        <w:t>”, k</w:t>
      </w:r>
      <w:r w:rsidR="008B3748" w:rsidRPr="00EC6AB6">
        <w:rPr>
          <w:rFonts w:ascii="Garamond" w:hAnsi="Garamond"/>
          <w:sz w:val="24"/>
          <w:szCs w:val="24"/>
          <w:lang w:val="sq-AL"/>
        </w:rPr>
        <w:t>redi me terma më të favorsh</w:t>
      </w:r>
      <w:r w:rsidR="00074CB8">
        <w:rPr>
          <w:rFonts w:ascii="Garamond" w:hAnsi="Garamond"/>
          <w:sz w:val="24"/>
          <w:szCs w:val="24"/>
          <w:lang w:val="sq-AL"/>
        </w:rPr>
        <w:t>ë</w:t>
      </w:r>
      <w:r w:rsidR="008B3748" w:rsidRPr="00EC6AB6">
        <w:rPr>
          <w:rFonts w:ascii="Garamond" w:hAnsi="Garamond"/>
          <w:sz w:val="24"/>
          <w:szCs w:val="24"/>
          <w:lang w:val="sq-AL"/>
        </w:rPr>
        <w:t>m se at</w:t>
      </w:r>
      <w:r w:rsidR="00074CB8">
        <w:rPr>
          <w:rFonts w:ascii="Garamond" w:hAnsi="Garamond"/>
          <w:sz w:val="24"/>
          <w:szCs w:val="24"/>
          <w:lang w:val="sq-AL"/>
        </w:rPr>
        <w:t>o</w:t>
      </w:r>
      <w:r w:rsidR="008B3748" w:rsidRPr="00EC6AB6">
        <w:rPr>
          <w:rFonts w:ascii="Garamond" w:hAnsi="Garamond"/>
          <w:sz w:val="24"/>
          <w:szCs w:val="24"/>
          <w:lang w:val="sq-AL"/>
        </w:rPr>
        <w:t xml:space="preserve"> të tregut.</w:t>
      </w:r>
    </w:p>
    <w:p w14:paraId="4333BAD8" w14:textId="79D2FECB" w:rsidR="008B3748" w:rsidRPr="00EC6AB6" w:rsidRDefault="0043466D" w:rsidP="0043466D">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Kreditor shumëpalësh</w:t>
      </w:r>
      <w:r w:rsidRPr="00EC6AB6">
        <w:rPr>
          <w:rFonts w:ascii="Garamond" w:hAnsi="Garamond"/>
          <w:sz w:val="24"/>
          <w:szCs w:val="24"/>
          <w:lang w:val="sq-AL"/>
        </w:rPr>
        <w:t>”, t</w:t>
      </w:r>
      <w:r w:rsidR="008B3748" w:rsidRPr="00EC6AB6">
        <w:rPr>
          <w:rFonts w:ascii="Garamond" w:hAnsi="Garamond"/>
          <w:sz w:val="24"/>
          <w:szCs w:val="24"/>
          <w:lang w:val="sq-AL"/>
        </w:rPr>
        <w:t>ipi i kreditorëve që përfshinë institucionet fi</w:t>
      </w:r>
      <w:r w:rsidRPr="00EC6AB6">
        <w:rPr>
          <w:rFonts w:ascii="Garamond" w:hAnsi="Garamond"/>
          <w:sz w:val="24"/>
          <w:szCs w:val="24"/>
          <w:lang w:val="sq-AL"/>
        </w:rPr>
        <w:t>nanciare</w:t>
      </w:r>
      <w:r w:rsidR="00953571">
        <w:rPr>
          <w:rFonts w:ascii="Garamond" w:hAnsi="Garamond"/>
          <w:sz w:val="24"/>
          <w:szCs w:val="24"/>
          <w:lang w:val="sq-AL"/>
        </w:rPr>
        <w:t>,</w:t>
      </w:r>
      <w:r w:rsidRPr="00EC6AB6">
        <w:rPr>
          <w:rFonts w:ascii="Garamond" w:hAnsi="Garamond"/>
          <w:sz w:val="24"/>
          <w:szCs w:val="24"/>
          <w:lang w:val="sq-AL"/>
        </w:rPr>
        <w:t xml:space="preserve"> si Banka Botërore, FMN etj.</w:t>
      </w:r>
    </w:p>
    <w:p w14:paraId="4333BAD9" w14:textId="0829C413"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Kreditorë privatë</w:t>
      </w:r>
      <w:r w:rsidRPr="00EC6AB6">
        <w:rPr>
          <w:rFonts w:ascii="Garamond" w:hAnsi="Garamond"/>
          <w:sz w:val="24"/>
          <w:szCs w:val="24"/>
          <w:lang w:val="sq-AL"/>
        </w:rPr>
        <w:t>”, k</w:t>
      </w:r>
      <w:r w:rsidR="008B3748" w:rsidRPr="00EC6AB6">
        <w:rPr>
          <w:rFonts w:ascii="Garamond" w:hAnsi="Garamond"/>
          <w:sz w:val="24"/>
          <w:szCs w:val="24"/>
          <w:lang w:val="sq-AL"/>
        </w:rPr>
        <w:t>reditorët që nuk janë as qeveri dhe as agjenci të sektorit publik. Kët</w:t>
      </w:r>
      <w:r w:rsidR="00211B3D">
        <w:rPr>
          <w:rFonts w:ascii="Garamond" w:hAnsi="Garamond"/>
          <w:sz w:val="24"/>
          <w:szCs w:val="24"/>
          <w:lang w:val="sq-AL"/>
        </w:rPr>
        <w:t>a</w:t>
      </w:r>
      <w:r w:rsidR="008B3748" w:rsidRPr="00EC6AB6">
        <w:rPr>
          <w:rFonts w:ascii="Garamond" w:hAnsi="Garamond"/>
          <w:sz w:val="24"/>
          <w:szCs w:val="24"/>
          <w:lang w:val="sq-AL"/>
        </w:rPr>
        <w:t xml:space="preserve"> përfshijnë mbajtësit privatë të titujve shtetërorë, bankat private dhe institucionet e tjera financiare.</w:t>
      </w:r>
    </w:p>
    <w:p w14:paraId="4333BADA" w14:textId="7BE1F5D2" w:rsidR="008B3748" w:rsidRPr="00EC6AB6" w:rsidRDefault="0043466D"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KMM</w:t>
      </w:r>
      <w:r w:rsidRPr="00EC6AB6">
        <w:rPr>
          <w:rFonts w:ascii="Garamond" w:hAnsi="Garamond"/>
          <w:sz w:val="24"/>
          <w:szCs w:val="24"/>
          <w:lang w:val="sq-AL"/>
        </w:rPr>
        <w:t>”, t</w:t>
      </w:r>
      <w:r w:rsidR="00211B3D">
        <w:rPr>
          <w:rFonts w:ascii="Garamond" w:hAnsi="Garamond"/>
          <w:sz w:val="24"/>
          <w:szCs w:val="24"/>
          <w:lang w:val="sq-AL"/>
        </w:rPr>
        <w:t>regues i riskut të ri</w:t>
      </w:r>
      <w:r w:rsidR="008B3748" w:rsidRPr="00EC6AB6">
        <w:rPr>
          <w:rFonts w:ascii="Garamond" w:hAnsi="Garamond"/>
          <w:sz w:val="24"/>
          <w:szCs w:val="24"/>
          <w:lang w:val="sq-AL"/>
        </w:rPr>
        <w:t>financimit për borxhin. KMM</w:t>
      </w:r>
      <w:r w:rsidR="002022BE">
        <w:rPr>
          <w:rFonts w:ascii="Garamond" w:hAnsi="Garamond"/>
          <w:sz w:val="24"/>
          <w:szCs w:val="24"/>
          <w:lang w:val="sq-AL"/>
        </w:rPr>
        <w:t>-ja</w:t>
      </w:r>
      <w:r w:rsidR="008B3748" w:rsidRPr="00EC6AB6">
        <w:rPr>
          <w:rFonts w:ascii="Garamond" w:hAnsi="Garamond"/>
          <w:sz w:val="24"/>
          <w:szCs w:val="24"/>
          <w:lang w:val="sq-AL"/>
        </w:rPr>
        <w:t xml:space="preserve"> është periudha mesatare e shprehur në ditë ose në vite, që i duhet portofolit të borxhit për t’u maturuar. Sa më larg në kohë të jetë e projektuar data e maturimit të një instrumenti, aq më i ulët është risku i rifinancimit dhe aq më e lartë është vlera e këtij treguesi. KMM</w:t>
      </w:r>
      <w:r w:rsidR="002022BE">
        <w:rPr>
          <w:rFonts w:ascii="Garamond" w:hAnsi="Garamond"/>
          <w:sz w:val="24"/>
          <w:szCs w:val="24"/>
          <w:lang w:val="sq-AL"/>
        </w:rPr>
        <w:t>-ja</w:t>
      </w:r>
      <w:r w:rsidR="008B3748" w:rsidRPr="00EC6AB6">
        <w:rPr>
          <w:rFonts w:ascii="Garamond" w:hAnsi="Garamond"/>
          <w:sz w:val="24"/>
          <w:szCs w:val="24"/>
          <w:lang w:val="sq-AL"/>
        </w:rPr>
        <w:t xml:space="preserve"> për instrumentet financiar</w:t>
      </w:r>
      <w:r w:rsidR="002022BE">
        <w:rPr>
          <w:rFonts w:ascii="Garamond" w:hAnsi="Garamond"/>
          <w:sz w:val="24"/>
          <w:szCs w:val="24"/>
          <w:lang w:val="sq-AL"/>
        </w:rPr>
        <w:t>e</w:t>
      </w:r>
      <w:r w:rsidR="008B3748" w:rsidRPr="00EC6AB6">
        <w:rPr>
          <w:rFonts w:ascii="Garamond" w:hAnsi="Garamond"/>
          <w:sz w:val="24"/>
          <w:szCs w:val="24"/>
          <w:lang w:val="sq-AL"/>
        </w:rPr>
        <w:t xml:space="preserve"> të borxhit përllogaritet sipas formulës së mëposhtme:</w:t>
      </w:r>
    </w:p>
    <w:p w14:paraId="4333BADB" w14:textId="14CB5058" w:rsidR="008B3748" w:rsidRPr="00EC6AB6" w:rsidRDefault="008B3748" w:rsidP="009926F1">
      <w:pPr>
        <w:spacing w:after="0" w:line="240" w:lineRule="auto"/>
        <w:ind w:firstLine="0"/>
        <w:rPr>
          <w:rFonts w:ascii="Garamond" w:hAnsi="Garamond"/>
          <w:sz w:val="24"/>
          <w:szCs w:val="24"/>
          <w:lang w:val="sq-AL"/>
        </w:rPr>
      </w:pPr>
      <m:oMathPara>
        <m:oMathParaPr>
          <m:jc m:val="center"/>
        </m:oMathParaPr>
        <m:oMath>
          <m:r>
            <m:rPr>
              <m:sty m:val="p"/>
            </m:rPr>
            <w:rPr>
              <w:rFonts w:ascii="Cambria Math" w:hAnsi="Cambria Math"/>
              <w:sz w:val="24"/>
              <w:szCs w:val="24"/>
              <w:lang w:val="sq-AL"/>
            </w:rPr>
            <m:t>KMM=</m:t>
          </m:r>
          <m:f>
            <m:fPr>
              <m:ctrlPr>
                <w:rPr>
                  <w:rFonts w:ascii="Cambria Math" w:hAnsi="Cambria Math"/>
                  <w:sz w:val="24"/>
                  <w:szCs w:val="24"/>
                  <w:lang w:val="sq-AL"/>
                </w:rPr>
              </m:ctrlPr>
            </m:fPr>
            <m:num>
              <m:r>
                <m:rPr>
                  <m:sty m:val="p"/>
                </m:rPr>
                <w:rPr>
                  <w:rFonts w:ascii="Cambria Math" w:hAnsi="Cambria Math"/>
                  <w:sz w:val="24"/>
                  <w:szCs w:val="24"/>
                  <w:lang w:val="sq-AL"/>
                </w:rPr>
                <m:t xml:space="preserve"> </m:t>
              </m:r>
              <m:nary>
                <m:naryPr>
                  <m:chr m:val="∑"/>
                  <m:grow m:val="1"/>
                  <m:ctrlPr>
                    <w:rPr>
                      <w:rFonts w:ascii="Cambria Math" w:hAnsi="Cambria Math"/>
                      <w:sz w:val="24"/>
                      <w:szCs w:val="24"/>
                      <w:lang w:val="sq-AL"/>
                    </w:rPr>
                  </m:ctrlPr>
                </m:naryPr>
                <m:sub>
                  <m:r>
                    <w:rPr>
                      <w:rFonts w:ascii="Cambria Math" w:hAnsi="Cambria Math"/>
                      <w:sz w:val="24"/>
                      <w:szCs w:val="24"/>
                      <w:lang w:val="sq-AL"/>
                    </w:rPr>
                    <m:t>t∈T</m:t>
                  </m:r>
                </m:sub>
                <m:sup/>
                <m:e>
                  <m:r>
                    <m:rPr>
                      <m:sty m:val="p"/>
                    </m:rPr>
                    <w:rPr>
                      <w:rFonts w:ascii="Cambria Math" w:hAnsi="Cambria Math"/>
                      <w:sz w:val="24"/>
                      <w:szCs w:val="24"/>
                      <w:lang w:val="sq-AL"/>
                    </w:rPr>
                    <m:t xml:space="preserve"> </m:t>
                  </m:r>
                </m:e>
              </m:nary>
              <m:r>
                <w:rPr>
                  <w:rFonts w:ascii="Cambria Math" w:hAnsi="Cambria Math"/>
                  <w:sz w:val="24"/>
                  <w:szCs w:val="24"/>
                  <w:lang w:val="sq-AL"/>
                </w:rPr>
                <m:t>t Nt</m:t>
              </m:r>
            </m:num>
            <m:den>
              <m:nary>
                <m:naryPr>
                  <m:chr m:val="∑"/>
                  <m:grow m:val="1"/>
                  <m:ctrlPr>
                    <w:rPr>
                      <w:rFonts w:ascii="Cambria Math" w:hAnsi="Cambria Math"/>
                      <w:sz w:val="24"/>
                      <w:szCs w:val="24"/>
                      <w:lang w:val="sq-AL"/>
                    </w:rPr>
                  </m:ctrlPr>
                </m:naryPr>
                <m:sub>
                  <m:r>
                    <w:rPr>
                      <w:rFonts w:ascii="Cambria Math" w:hAnsi="Cambria Math"/>
                      <w:sz w:val="24"/>
                      <w:szCs w:val="24"/>
                      <w:lang w:val="sq-AL"/>
                    </w:rPr>
                    <m:t>t∈T</m:t>
                  </m:r>
                </m:sub>
                <m:sup/>
                <m:e>
                  <m:r>
                    <m:rPr>
                      <m:sty m:val="p"/>
                    </m:rPr>
                    <w:rPr>
                      <w:rFonts w:ascii="Cambria Math" w:hAnsi="Cambria Math"/>
                      <w:sz w:val="24"/>
                      <w:szCs w:val="24"/>
                      <w:lang w:val="sq-AL"/>
                    </w:rPr>
                    <m:t xml:space="preserve"> </m:t>
                  </m:r>
                </m:e>
              </m:nary>
              <m:r>
                <w:rPr>
                  <w:rFonts w:ascii="Cambria Math" w:hAnsi="Cambria Math"/>
                  <w:sz w:val="24"/>
                  <w:szCs w:val="24"/>
                  <w:lang w:val="sq-AL"/>
                </w:rPr>
                <m:t>Nt</m:t>
              </m:r>
            </m:den>
          </m:f>
        </m:oMath>
      </m:oMathPara>
    </w:p>
    <w:p w14:paraId="4333BADC" w14:textId="77777777" w:rsidR="008B3748" w:rsidRPr="00EC6AB6" w:rsidRDefault="008B3748" w:rsidP="008B3748">
      <w:pPr>
        <w:spacing w:after="0" w:line="240" w:lineRule="auto"/>
        <w:rPr>
          <w:rFonts w:ascii="Garamond" w:hAnsi="Garamond"/>
          <w:sz w:val="24"/>
          <w:szCs w:val="24"/>
          <w:lang w:val="sq-AL"/>
        </w:rPr>
      </w:pPr>
    </w:p>
    <w:p w14:paraId="4333BADD"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ku:</w:t>
      </w:r>
    </w:p>
    <w:p w14:paraId="4333BADE"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t – data e maturimit; </w:t>
      </w:r>
    </w:p>
    <w:p w14:paraId="4333BADF"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 – bashkësia e të gjitha datave të maturimit;</w:t>
      </w:r>
    </w:p>
    <w:p w14:paraId="4333BAE0" w14:textId="2BF88892"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Nt – </w:t>
      </w:r>
      <w:r w:rsidR="002022BE" w:rsidRPr="00EC6AB6">
        <w:rPr>
          <w:rFonts w:ascii="Garamond" w:hAnsi="Garamond"/>
          <w:sz w:val="24"/>
          <w:szCs w:val="24"/>
          <w:lang w:val="sq-AL"/>
        </w:rPr>
        <w:t xml:space="preserve">vlera </w:t>
      </w:r>
      <w:r w:rsidRPr="00EC6AB6">
        <w:rPr>
          <w:rFonts w:ascii="Garamond" w:hAnsi="Garamond"/>
          <w:sz w:val="24"/>
          <w:szCs w:val="24"/>
          <w:lang w:val="sq-AL"/>
        </w:rPr>
        <w:t>nominale që do të paguhet në datën t.</w:t>
      </w:r>
    </w:p>
    <w:p w14:paraId="4333BAE1" w14:textId="0D66E16C" w:rsidR="008B3748" w:rsidRPr="00EC6AB6" w:rsidRDefault="002022BE" w:rsidP="008B3748">
      <w:pPr>
        <w:spacing w:after="0" w:line="240" w:lineRule="auto"/>
        <w:rPr>
          <w:rFonts w:ascii="Garamond" w:hAnsi="Garamond"/>
          <w:sz w:val="24"/>
          <w:szCs w:val="24"/>
          <w:lang w:val="sq-AL"/>
        </w:rPr>
      </w:pPr>
      <w:r>
        <w:rPr>
          <w:rFonts w:ascii="Garamond" w:hAnsi="Garamond"/>
          <w:sz w:val="24"/>
          <w:szCs w:val="24"/>
          <w:lang w:val="sq-AL"/>
        </w:rPr>
        <w:lastRenderedPageBreak/>
        <w:t>“</w:t>
      </w:r>
      <w:r w:rsidR="008B3748" w:rsidRPr="00EC6AB6">
        <w:rPr>
          <w:rFonts w:ascii="Garamond" w:hAnsi="Garamond"/>
          <w:sz w:val="24"/>
          <w:szCs w:val="24"/>
          <w:lang w:val="sq-AL"/>
        </w:rPr>
        <w:t>KMR</w:t>
      </w:r>
      <w:r>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 xml:space="preserve">tregues </w:t>
      </w:r>
      <w:r w:rsidR="008B3748" w:rsidRPr="00EC6AB6">
        <w:rPr>
          <w:rFonts w:ascii="Garamond" w:hAnsi="Garamond"/>
          <w:sz w:val="24"/>
          <w:szCs w:val="24"/>
          <w:lang w:val="sq-AL"/>
        </w:rPr>
        <w:t>i riskut të normave të interesit për borxhin. Jep informacion lidhur me ekspozimin e portofolit të borxhit kundrejt ndryshimit të normave të interesit. KMR</w:t>
      </w:r>
      <w:r w:rsidR="000C55B5">
        <w:rPr>
          <w:rFonts w:ascii="Garamond" w:hAnsi="Garamond"/>
          <w:sz w:val="24"/>
          <w:szCs w:val="24"/>
          <w:lang w:val="sq-AL"/>
        </w:rPr>
        <w:t>-ja</w:t>
      </w:r>
      <w:r w:rsidR="008B3748" w:rsidRPr="00EC6AB6">
        <w:rPr>
          <w:rFonts w:ascii="Garamond" w:hAnsi="Garamond"/>
          <w:sz w:val="24"/>
          <w:szCs w:val="24"/>
          <w:lang w:val="sq-AL"/>
        </w:rPr>
        <w:t xml:space="preserve"> interpretohet si koha mesatare (në v</w:t>
      </w:r>
      <w:r w:rsidR="000C55B5">
        <w:rPr>
          <w:rFonts w:ascii="Garamond" w:hAnsi="Garamond"/>
          <w:sz w:val="24"/>
          <w:szCs w:val="24"/>
          <w:lang w:val="sq-AL"/>
        </w:rPr>
        <w:t>jet</w:t>
      </w:r>
      <w:r w:rsidR="008B3748" w:rsidRPr="00EC6AB6">
        <w:rPr>
          <w:rFonts w:ascii="Garamond" w:hAnsi="Garamond"/>
          <w:sz w:val="24"/>
          <w:szCs w:val="24"/>
          <w:lang w:val="sq-AL"/>
        </w:rPr>
        <w:t>) që i duhet portofolit të borxhit për të ripërcaktuar normën e interesit. Sa më e madhe të jetë sasia e instrumenteve afatshkurt</w:t>
      </w:r>
      <w:r w:rsidR="000C55B5">
        <w:rPr>
          <w:rFonts w:ascii="Garamond" w:hAnsi="Garamond"/>
          <w:sz w:val="24"/>
          <w:szCs w:val="24"/>
          <w:lang w:val="sq-AL"/>
        </w:rPr>
        <w:t>ra</w:t>
      </w:r>
      <w:r w:rsidR="008B3748" w:rsidRPr="00EC6AB6">
        <w:rPr>
          <w:rFonts w:ascii="Garamond" w:hAnsi="Garamond"/>
          <w:sz w:val="24"/>
          <w:szCs w:val="24"/>
          <w:lang w:val="sq-AL"/>
        </w:rPr>
        <w:t xml:space="preserve"> dhe sasia e instrumenteve me norma interesi të ndryshueshëm në portofolin e borxhit, aq më i madh është risku i normave të interesit dhe aq më i vogël ky tregues dhe anasjelltas. KMR</w:t>
      </w:r>
      <w:r w:rsidR="000C55B5">
        <w:rPr>
          <w:rFonts w:ascii="Garamond" w:hAnsi="Garamond"/>
          <w:sz w:val="24"/>
          <w:szCs w:val="24"/>
          <w:lang w:val="sq-AL"/>
        </w:rPr>
        <w:t>-ja</w:t>
      </w:r>
      <w:r w:rsidR="008B3748" w:rsidRPr="00EC6AB6">
        <w:rPr>
          <w:rFonts w:ascii="Garamond" w:hAnsi="Garamond"/>
          <w:sz w:val="24"/>
          <w:szCs w:val="24"/>
          <w:lang w:val="sq-AL"/>
        </w:rPr>
        <w:t xml:space="preserve"> për instrumentet financiarë të borxhit përllogaritet sipas formulës së mëposhtme:</w:t>
      </w:r>
    </w:p>
    <w:p w14:paraId="4333BAE2" w14:textId="77777777" w:rsidR="008B3748" w:rsidRPr="00EC6AB6" w:rsidRDefault="008B3748" w:rsidP="008B3748">
      <w:pPr>
        <w:spacing w:after="0" w:line="240" w:lineRule="auto"/>
        <w:rPr>
          <w:rFonts w:ascii="Garamond" w:hAnsi="Garamond"/>
          <w:sz w:val="24"/>
          <w:szCs w:val="24"/>
          <w:lang w:val="sq-AL"/>
        </w:rPr>
      </w:pPr>
    </w:p>
    <w:p w14:paraId="4333BAE3" w14:textId="4AA5EDF7" w:rsidR="008B3748" w:rsidRPr="00EC6AB6" w:rsidRDefault="008B3748" w:rsidP="008B3748">
      <w:pPr>
        <w:spacing w:after="0" w:line="240" w:lineRule="auto"/>
        <w:rPr>
          <w:rFonts w:ascii="Garamond" w:hAnsi="Garamond"/>
          <w:sz w:val="24"/>
          <w:szCs w:val="24"/>
          <w:lang w:val="sq-AL"/>
        </w:rPr>
      </w:pPr>
      <m:oMathPara>
        <m:oMath>
          <m:r>
            <m:rPr>
              <m:sty m:val="p"/>
            </m:rPr>
            <w:rPr>
              <w:rFonts w:ascii="Cambria Math" w:hAnsi="Cambria Math"/>
              <w:sz w:val="24"/>
              <w:szCs w:val="24"/>
              <w:lang w:val="sq-AL"/>
            </w:rPr>
            <m:t>KMR=</m:t>
          </m:r>
          <m:f>
            <m:fPr>
              <m:ctrlPr>
                <w:rPr>
                  <w:rFonts w:ascii="Cambria Math" w:hAnsi="Cambria Math"/>
                  <w:sz w:val="24"/>
                  <w:szCs w:val="24"/>
                  <w:lang w:val="sq-AL"/>
                </w:rPr>
              </m:ctrlPr>
            </m:fPr>
            <m:num>
              <m:r>
                <m:rPr>
                  <m:sty m:val="p"/>
                </m:rPr>
                <w:rPr>
                  <w:rFonts w:ascii="Cambria Math" w:hAnsi="Cambria Math"/>
                  <w:sz w:val="24"/>
                  <w:szCs w:val="24"/>
                  <w:lang w:val="sq-AL"/>
                </w:rPr>
                <m:t xml:space="preserve"> </m:t>
              </m:r>
              <m:nary>
                <m:naryPr>
                  <m:chr m:val="∑"/>
                  <m:grow m:val="1"/>
                  <m:ctrlPr>
                    <w:rPr>
                      <w:rFonts w:ascii="Cambria Math" w:hAnsi="Cambria Math"/>
                      <w:sz w:val="24"/>
                      <w:szCs w:val="24"/>
                      <w:lang w:val="sq-AL"/>
                    </w:rPr>
                  </m:ctrlPr>
                </m:naryPr>
                <m:sub>
                  <m:r>
                    <w:rPr>
                      <w:rFonts w:ascii="Cambria Math" w:hAnsi="Cambria Math"/>
                      <w:sz w:val="24"/>
                      <w:szCs w:val="24"/>
                      <w:lang w:val="sq-AL"/>
                    </w:rPr>
                    <m:t>r∈R</m:t>
                  </m:r>
                </m:sub>
                <m:sup/>
                <m:e>
                  <m:r>
                    <w:rPr>
                      <w:rFonts w:ascii="Cambria Math" w:hAnsi="Cambria Math"/>
                      <w:sz w:val="24"/>
                      <w:szCs w:val="24"/>
                      <w:lang w:val="sq-AL"/>
                    </w:rPr>
                    <m:t xml:space="preserve"> r Nr</m:t>
                  </m:r>
                </m:e>
              </m:nary>
              <m:r>
                <m:rPr>
                  <m:sty m:val="p"/>
                </m:rPr>
                <w:rPr>
                  <w:rFonts w:ascii="Cambria Math" w:hAnsi="Cambria Math"/>
                  <w:sz w:val="24"/>
                  <w:szCs w:val="24"/>
                  <w:lang w:val="sq-AL"/>
                </w:rPr>
                <m:t>+</m:t>
              </m:r>
              <m:nary>
                <m:naryPr>
                  <m:chr m:val="∑"/>
                  <m:grow m:val="1"/>
                  <m:ctrlPr>
                    <w:rPr>
                      <w:rFonts w:ascii="Cambria Math" w:hAnsi="Cambria Math"/>
                      <w:sz w:val="24"/>
                      <w:szCs w:val="24"/>
                      <w:lang w:val="sq-AL"/>
                    </w:rPr>
                  </m:ctrlPr>
                </m:naryPr>
                <m:sub>
                  <m:r>
                    <w:rPr>
                      <w:rFonts w:ascii="Cambria Math" w:hAnsi="Cambria Math"/>
                      <w:sz w:val="24"/>
                      <w:szCs w:val="24"/>
                      <w:lang w:val="sq-AL"/>
                    </w:rPr>
                    <m:t>t∈T</m:t>
                  </m:r>
                </m:sub>
                <m:sup/>
                <m:e>
                  <m:r>
                    <m:rPr>
                      <m:sty m:val="p"/>
                    </m:rPr>
                    <w:rPr>
                      <w:rFonts w:ascii="Cambria Math" w:hAnsi="Cambria Math"/>
                      <w:sz w:val="24"/>
                      <w:szCs w:val="24"/>
                      <w:lang w:val="sq-AL"/>
                    </w:rPr>
                    <m:t xml:space="preserve"> </m:t>
                  </m:r>
                </m:e>
              </m:nary>
              <m:r>
                <w:rPr>
                  <w:rFonts w:ascii="Cambria Math" w:hAnsi="Cambria Math"/>
                  <w:sz w:val="24"/>
                  <w:szCs w:val="24"/>
                  <w:lang w:val="sq-AL"/>
                </w:rPr>
                <m:t>t Nt</m:t>
              </m:r>
            </m:num>
            <m:den>
              <m:nary>
                <m:naryPr>
                  <m:chr m:val="∑"/>
                  <m:grow m:val="1"/>
                  <m:ctrlPr>
                    <w:rPr>
                      <w:rFonts w:ascii="Cambria Math" w:hAnsi="Cambria Math"/>
                      <w:sz w:val="24"/>
                      <w:szCs w:val="24"/>
                      <w:lang w:val="sq-AL"/>
                    </w:rPr>
                  </m:ctrlPr>
                </m:naryPr>
                <m:sub>
                  <m:r>
                    <w:rPr>
                      <w:rFonts w:ascii="Cambria Math" w:hAnsi="Cambria Math"/>
                      <w:sz w:val="24"/>
                      <w:szCs w:val="24"/>
                      <w:lang w:val="sq-AL"/>
                    </w:rPr>
                    <m:t>r∈R</m:t>
                  </m:r>
                </m:sub>
                <m:sup/>
                <m:e>
                  <m:r>
                    <w:rPr>
                      <w:rFonts w:ascii="Cambria Math" w:hAnsi="Cambria Math"/>
                      <w:sz w:val="24"/>
                      <w:szCs w:val="24"/>
                      <w:lang w:val="sq-AL"/>
                    </w:rPr>
                    <m:t xml:space="preserve"> Nr</m:t>
                  </m:r>
                </m:e>
              </m:nary>
              <m:r>
                <m:rPr>
                  <m:sty m:val="p"/>
                </m:rPr>
                <w:rPr>
                  <w:rFonts w:ascii="Cambria Math" w:hAnsi="Cambria Math"/>
                  <w:sz w:val="24"/>
                  <w:szCs w:val="24"/>
                  <w:lang w:val="sq-AL"/>
                </w:rPr>
                <m:t>+</m:t>
              </m:r>
              <m:nary>
                <m:naryPr>
                  <m:chr m:val="∑"/>
                  <m:grow m:val="1"/>
                  <m:ctrlPr>
                    <w:rPr>
                      <w:rFonts w:ascii="Cambria Math" w:hAnsi="Cambria Math"/>
                      <w:sz w:val="24"/>
                      <w:szCs w:val="24"/>
                      <w:lang w:val="sq-AL"/>
                    </w:rPr>
                  </m:ctrlPr>
                </m:naryPr>
                <m:sub>
                  <m:r>
                    <w:rPr>
                      <w:rFonts w:ascii="Cambria Math" w:hAnsi="Cambria Math"/>
                      <w:sz w:val="24"/>
                      <w:szCs w:val="24"/>
                      <w:lang w:val="sq-AL"/>
                    </w:rPr>
                    <m:t>t∈T</m:t>
                  </m:r>
                </m:sub>
                <m:sup/>
                <m:e>
                  <m:r>
                    <m:rPr>
                      <m:sty m:val="p"/>
                    </m:rPr>
                    <w:rPr>
                      <w:rFonts w:ascii="Cambria Math" w:hAnsi="Cambria Math"/>
                      <w:sz w:val="24"/>
                      <w:szCs w:val="24"/>
                      <w:lang w:val="sq-AL"/>
                    </w:rPr>
                    <m:t xml:space="preserve"> </m:t>
                  </m:r>
                </m:e>
              </m:nary>
              <m:r>
                <w:rPr>
                  <w:rFonts w:ascii="Cambria Math" w:hAnsi="Cambria Math"/>
                  <w:sz w:val="24"/>
                  <w:szCs w:val="24"/>
                  <w:lang w:val="sq-AL"/>
                </w:rPr>
                <m:t>Nt</m:t>
              </m:r>
            </m:den>
          </m:f>
        </m:oMath>
      </m:oMathPara>
    </w:p>
    <w:p w14:paraId="4333BAE4" w14:textId="77777777" w:rsidR="008B3748" w:rsidRPr="00EC6AB6" w:rsidRDefault="008B3748" w:rsidP="008B3748">
      <w:pPr>
        <w:spacing w:after="0" w:line="240" w:lineRule="auto"/>
        <w:rPr>
          <w:rFonts w:ascii="Garamond" w:hAnsi="Garamond"/>
          <w:sz w:val="24"/>
          <w:szCs w:val="24"/>
          <w:lang w:val="sq-AL"/>
        </w:rPr>
      </w:pPr>
    </w:p>
    <w:p w14:paraId="4333BAE5"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Nga ku:</w:t>
      </w:r>
    </w:p>
    <w:p w14:paraId="4333BAE7" w14:textId="4A5CB86C"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 –</w:t>
      </w:r>
      <w:r w:rsidR="00FA2519" w:rsidRPr="00EC6AB6">
        <w:rPr>
          <w:rFonts w:ascii="Garamond" w:hAnsi="Garamond"/>
          <w:sz w:val="24"/>
          <w:szCs w:val="24"/>
          <w:lang w:val="sq-AL"/>
        </w:rPr>
        <w:t xml:space="preserve"> </w:t>
      </w:r>
      <w:r w:rsidRPr="00EC6AB6">
        <w:rPr>
          <w:rFonts w:ascii="Garamond" w:hAnsi="Garamond"/>
          <w:sz w:val="24"/>
          <w:szCs w:val="24"/>
          <w:lang w:val="sq-AL"/>
        </w:rPr>
        <w:t>data e pagesës së kuponit të instrumentit me norma interesi të lëvizshme;</w:t>
      </w:r>
    </w:p>
    <w:p w14:paraId="4333BAE8" w14:textId="621BD77B"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 –</w:t>
      </w:r>
      <w:r w:rsidR="00FA2519" w:rsidRPr="00EC6AB6">
        <w:rPr>
          <w:rFonts w:ascii="Garamond" w:hAnsi="Garamond"/>
          <w:sz w:val="24"/>
          <w:szCs w:val="24"/>
          <w:lang w:val="sq-AL"/>
        </w:rPr>
        <w:t xml:space="preserve"> </w:t>
      </w:r>
      <w:r w:rsidRPr="00EC6AB6">
        <w:rPr>
          <w:rFonts w:ascii="Garamond" w:hAnsi="Garamond"/>
          <w:sz w:val="24"/>
          <w:szCs w:val="24"/>
          <w:lang w:val="sq-AL"/>
        </w:rPr>
        <w:t>data e maturimit të instrumentit me norma interesi fikse;</w:t>
      </w:r>
    </w:p>
    <w:p w14:paraId="4333BAE9"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Nr – vlera nominale e instrumentit me norma interesi të lëvizshme;</w:t>
      </w:r>
    </w:p>
    <w:p w14:paraId="4333BAEA" w14:textId="77777777"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Nt – vlera nominale e instrumentit me norma interesi fikse;</w:t>
      </w:r>
    </w:p>
    <w:p w14:paraId="4333BAEB" w14:textId="61267820"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R –</w:t>
      </w:r>
      <w:r w:rsidR="00FA2519" w:rsidRPr="00EC6AB6">
        <w:rPr>
          <w:rFonts w:ascii="Garamond" w:hAnsi="Garamond"/>
          <w:sz w:val="24"/>
          <w:szCs w:val="24"/>
          <w:lang w:val="sq-AL"/>
        </w:rPr>
        <w:t xml:space="preserve"> </w:t>
      </w:r>
      <w:r w:rsidRPr="00EC6AB6">
        <w:rPr>
          <w:rFonts w:ascii="Garamond" w:hAnsi="Garamond"/>
          <w:sz w:val="24"/>
          <w:szCs w:val="24"/>
          <w:lang w:val="sq-AL"/>
        </w:rPr>
        <w:t>bashkësia e të gjitha datave të maturimit për instrumente me norma interesi të lëvizshme;</w:t>
      </w:r>
    </w:p>
    <w:p w14:paraId="4333BAEC" w14:textId="1BDB59CA"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T –</w:t>
      </w:r>
      <w:r w:rsidR="00FA2519" w:rsidRPr="00EC6AB6">
        <w:rPr>
          <w:rFonts w:ascii="Garamond" w:hAnsi="Garamond"/>
          <w:sz w:val="24"/>
          <w:szCs w:val="24"/>
          <w:lang w:val="sq-AL"/>
        </w:rPr>
        <w:t xml:space="preserve"> </w:t>
      </w:r>
      <w:r w:rsidRPr="00EC6AB6">
        <w:rPr>
          <w:rFonts w:ascii="Garamond" w:hAnsi="Garamond"/>
          <w:sz w:val="24"/>
          <w:szCs w:val="24"/>
          <w:lang w:val="sq-AL"/>
        </w:rPr>
        <w:t>bashkësia e të gjitha datave të maturimit për instrumente me norma interesi fikse.</w:t>
      </w:r>
    </w:p>
    <w:p w14:paraId="4333BAED" w14:textId="7364D483"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PBG</w:t>
      </w:r>
      <w:r w:rsidRPr="00EC6AB6">
        <w:rPr>
          <w:rFonts w:ascii="Garamond" w:hAnsi="Garamond"/>
          <w:sz w:val="24"/>
          <w:szCs w:val="24"/>
          <w:lang w:val="sq-AL"/>
        </w:rPr>
        <w:t xml:space="preserve">” është </w:t>
      </w:r>
      <w:r w:rsidR="008B3748" w:rsidRPr="00EC6AB6">
        <w:rPr>
          <w:rFonts w:ascii="Garamond" w:hAnsi="Garamond"/>
          <w:sz w:val="24"/>
          <w:szCs w:val="24"/>
          <w:lang w:val="sq-AL"/>
        </w:rPr>
        <w:t>garanci e emetuar nga Banka Botërore, e cila garanton vlerën e plotë ose të pjesshme të një huaje, me qëllim mundësimin e saj me kosto më të favorshme se ajo e ofruar nga tregu.</w:t>
      </w:r>
    </w:p>
    <w:p w14:paraId="4333BAEE" w14:textId="4292B0FE"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Raport mbulimi</w:t>
      </w:r>
      <w:r w:rsidRPr="00EC6AB6">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 xml:space="preserve">raporti </w:t>
      </w:r>
      <w:r w:rsidR="008B3748" w:rsidRPr="00EC6AB6">
        <w:rPr>
          <w:rFonts w:ascii="Garamond" w:hAnsi="Garamond"/>
          <w:sz w:val="24"/>
          <w:szCs w:val="24"/>
          <w:lang w:val="sq-AL"/>
        </w:rPr>
        <w:t xml:space="preserve">ndërmjet shumës së kërkuar (nga investitorët) dhe shumës së ofruar (nga shteti) në ankandet e titujve shtetërorë. Shërben për të vlerësuar nivelin e plotësimit të ankandeve dhe gjendjen e likuiditetit. </w:t>
      </w:r>
    </w:p>
    <w:p w14:paraId="4333BAEF" w14:textId="33CE109D"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Risku i kursit të këmbimit</w:t>
      </w:r>
      <w:r w:rsidRPr="00EC6AB6">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i</w:t>
      </w:r>
      <w:r w:rsidR="008B3748" w:rsidRPr="00EC6AB6">
        <w:rPr>
          <w:rFonts w:ascii="Garamond" w:hAnsi="Garamond"/>
          <w:sz w:val="24"/>
          <w:szCs w:val="24"/>
          <w:lang w:val="sq-AL"/>
        </w:rPr>
        <w:t xml:space="preserve"> referohet ndikimit të lëvizjes së kursit të këmbimit të një monedhe, mbi nivelin e borxhit dhe shërbimin e tij në një masë të caktuar mbi pritshmëritë. P</w:t>
      </w:r>
      <w:r w:rsidR="00CD5BE5">
        <w:rPr>
          <w:rFonts w:ascii="Garamond" w:hAnsi="Garamond"/>
          <w:sz w:val="24"/>
          <w:szCs w:val="24"/>
          <w:lang w:val="sq-AL"/>
        </w:rPr>
        <w:t>.</w:t>
      </w:r>
      <w:r w:rsidR="008B3748" w:rsidRPr="00EC6AB6">
        <w:rPr>
          <w:rFonts w:ascii="Garamond" w:hAnsi="Garamond"/>
          <w:sz w:val="24"/>
          <w:szCs w:val="24"/>
          <w:lang w:val="sq-AL"/>
        </w:rPr>
        <w:t xml:space="preserve">sh.: “Mbiçmimi ose nënçmimi i monedhës </w:t>
      </w:r>
      <w:r w:rsidR="002B79A7" w:rsidRPr="00EC6AB6">
        <w:rPr>
          <w:rFonts w:ascii="Garamond" w:hAnsi="Garamond"/>
          <w:sz w:val="24"/>
          <w:szCs w:val="24"/>
          <w:lang w:val="sq-AL"/>
        </w:rPr>
        <w:t>vendës</w:t>
      </w:r>
      <w:r w:rsidR="008B3748" w:rsidRPr="00EC6AB6">
        <w:rPr>
          <w:rFonts w:ascii="Garamond" w:hAnsi="Garamond"/>
          <w:sz w:val="24"/>
          <w:szCs w:val="24"/>
          <w:lang w:val="sq-AL"/>
        </w:rPr>
        <w:t xml:space="preserve">e kundrejt një monedhe të huaj, e cila është pjesë përbërëse e portofolit të borxhit, mund të rezultojë në rënie ose rritje proporcionale të volumit të borxhit ose shërbimit të tij (të denominuar në monedhë </w:t>
      </w:r>
      <w:r w:rsidR="002B79A7" w:rsidRPr="00EC6AB6">
        <w:rPr>
          <w:rFonts w:ascii="Garamond" w:hAnsi="Garamond"/>
          <w:sz w:val="24"/>
          <w:szCs w:val="24"/>
          <w:lang w:val="sq-AL"/>
        </w:rPr>
        <w:t>vendës</w:t>
      </w:r>
      <w:r w:rsidR="008B3748" w:rsidRPr="00EC6AB6">
        <w:rPr>
          <w:rFonts w:ascii="Garamond" w:hAnsi="Garamond"/>
          <w:sz w:val="24"/>
          <w:szCs w:val="24"/>
          <w:lang w:val="sq-AL"/>
        </w:rPr>
        <w:t>e)”.</w:t>
      </w:r>
    </w:p>
    <w:p w14:paraId="4333BAF1" w14:textId="6B17106F"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 xml:space="preserve">“Risku i likuiditetit”, risku </w:t>
      </w:r>
      <w:r w:rsidR="008B3748" w:rsidRPr="00EC6AB6">
        <w:rPr>
          <w:rFonts w:ascii="Garamond" w:hAnsi="Garamond"/>
          <w:sz w:val="24"/>
          <w:szCs w:val="24"/>
          <w:lang w:val="sq-AL"/>
        </w:rPr>
        <w:t xml:space="preserve">që lidhet me humbjen e aftësisë së buxhetit të shtetit për të likuiduar detyrimet korrente dhe ekzektutimin në kohë të shpenzimeve buxhetore. Me qëllim minimizimin e këtij risku, shteti duhet të ketë akses mbi një sasi të caktuar asetesh likuide me qëllim garantimin e fondeve në raste krizash të përkohshme, gjatë të cilave bëhet e vështirë ose me kosto të lartë, sigurimi i tyre. </w:t>
      </w:r>
    </w:p>
    <w:p w14:paraId="4333BAF2" w14:textId="722E7712"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Risku i normave të interesit</w:t>
      </w:r>
      <w:r w:rsidRPr="00EC6AB6">
        <w:rPr>
          <w:rFonts w:ascii="Garamond" w:hAnsi="Garamond"/>
          <w:sz w:val="24"/>
          <w:szCs w:val="24"/>
          <w:lang w:val="sq-AL"/>
        </w:rPr>
        <w:t>”, r</w:t>
      </w:r>
      <w:r w:rsidR="008B3748" w:rsidRPr="00EC6AB6">
        <w:rPr>
          <w:rFonts w:ascii="Garamond" w:hAnsi="Garamond"/>
          <w:sz w:val="24"/>
          <w:szCs w:val="24"/>
          <w:lang w:val="sq-AL"/>
        </w:rPr>
        <w:t xml:space="preserve">isku që pagesat e shërbimit të borxhit të ndryshojnë si rrjedhojë e lëvizjes së normave të interesit. Ky risk krijohet nga nevoja për të shërbyer borxhin që maturohet dhe pagesat e kuponëve të instrumenteve me norma interesi të ndryshueshme në të ardhmen. </w:t>
      </w:r>
    </w:p>
    <w:p w14:paraId="4333BAF3" w14:textId="14B640B9"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“Risku operacional”, r</w:t>
      </w:r>
      <w:r w:rsidR="008B3748" w:rsidRPr="00EC6AB6">
        <w:rPr>
          <w:rFonts w:ascii="Garamond" w:hAnsi="Garamond"/>
          <w:sz w:val="24"/>
          <w:szCs w:val="24"/>
          <w:lang w:val="sq-AL"/>
        </w:rPr>
        <w:t>isku që ka të bëjë me rritjen e kostos së menaxhimit të borxhit ose me rritjen e nivelit të risqeve të tjera</w:t>
      </w:r>
      <w:r w:rsidR="00CD5BE5">
        <w:rPr>
          <w:rFonts w:ascii="Garamond" w:hAnsi="Garamond"/>
          <w:sz w:val="24"/>
          <w:szCs w:val="24"/>
          <w:lang w:val="sq-AL"/>
        </w:rPr>
        <w:t>,</w:t>
      </w:r>
      <w:r w:rsidR="008B3748" w:rsidRPr="00EC6AB6">
        <w:rPr>
          <w:rFonts w:ascii="Garamond" w:hAnsi="Garamond"/>
          <w:sz w:val="24"/>
          <w:szCs w:val="24"/>
          <w:lang w:val="sq-AL"/>
        </w:rPr>
        <w:t xml:space="preserve"> si rezultat i gabimeve njerëzore, dëmtimit të pajisje</w:t>
      </w:r>
      <w:r w:rsidR="00CD5BE5">
        <w:rPr>
          <w:rFonts w:ascii="Garamond" w:hAnsi="Garamond"/>
          <w:sz w:val="24"/>
          <w:szCs w:val="24"/>
          <w:lang w:val="sq-AL"/>
        </w:rPr>
        <w:t>ve elektronike, dëmeve natyrore</w:t>
      </w:r>
      <w:r w:rsidR="008B3748" w:rsidRPr="00EC6AB6">
        <w:rPr>
          <w:rFonts w:ascii="Garamond" w:hAnsi="Garamond"/>
          <w:sz w:val="24"/>
          <w:szCs w:val="24"/>
          <w:lang w:val="sq-AL"/>
        </w:rPr>
        <w:t xml:space="preserve"> etj. Risku operacional është një risk relativisht i vështirë për t’u matur dhe </w:t>
      </w:r>
      <w:r w:rsidR="00F14E54">
        <w:rPr>
          <w:rFonts w:ascii="Garamond" w:hAnsi="Garamond"/>
          <w:sz w:val="24"/>
          <w:szCs w:val="24"/>
          <w:lang w:val="sq-AL"/>
        </w:rPr>
        <w:t xml:space="preserve">për t’u </w:t>
      </w:r>
      <w:r w:rsidR="008B3748" w:rsidRPr="00EC6AB6">
        <w:rPr>
          <w:rFonts w:ascii="Garamond" w:hAnsi="Garamond"/>
          <w:sz w:val="24"/>
          <w:szCs w:val="24"/>
          <w:lang w:val="sq-AL"/>
        </w:rPr>
        <w:t xml:space="preserve">vlerësuar. Ulja e ekspozimit të riskut operacional mund të arrihet nëpërmjet integrimit të procedurave të menaxhimit të borxhit në një strukturë organizative, duke pasur strukturën, infrastrukturën dhe procedurat të drejtuara nga aktivitete operacionale </w:t>
      </w:r>
      <w:r w:rsidR="00BE1816" w:rsidRPr="00EC6AB6">
        <w:rPr>
          <w:rFonts w:ascii="Garamond" w:hAnsi="Garamond"/>
          <w:sz w:val="24"/>
          <w:szCs w:val="24"/>
          <w:lang w:val="sq-AL"/>
        </w:rPr>
        <w:t>eficiente</w:t>
      </w:r>
      <w:r w:rsidR="008B3748" w:rsidRPr="00EC6AB6">
        <w:rPr>
          <w:rFonts w:ascii="Garamond" w:hAnsi="Garamond"/>
          <w:sz w:val="24"/>
          <w:szCs w:val="24"/>
          <w:lang w:val="sq-AL"/>
        </w:rPr>
        <w:t xml:space="preserve"> për menaxhimin e administratës shtetërore dhe tregjeve financiare.</w:t>
      </w:r>
    </w:p>
    <w:p w14:paraId="4333BAF4" w14:textId="271287A3"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Risku i rifinancimit</w:t>
      </w:r>
      <w:r w:rsidRPr="00EC6AB6">
        <w:rPr>
          <w:rFonts w:ascii="Garamond" w:hAnsi="Garamond"/>
          <w:sz w:val="24"/>
          <w:szCs w:val="24"/>
          <w:lang w:val="sq-AL"/>
        </w:rPr>
        <w:t>”, r</w:t>
      </w:r>
      <w:r w:rsidR="008B3748" w:rsidRPr="00EC6AB6">
        <w:rPr>
          <w:rFonts w:ascii="Garamond" w:hAnsi="Garamond"/>
          <w:sz w:val="24"/>
          <w:szCs w:val="24"/>
          <w:lang w:val="sq-AL"/>
        </w:rPr>
        <w:t xml:space="preserve">isku që lidhet me aftësinë për të emetuar instrumente ose </w:t>
      </w:r>
      <w:r w:rsidR="00B21625" w:rsidRPr="00EC6AB6">
        <w:rPr>
          <w:rFonts w:ascii="Garamond" w:hAnsi="Garamond"/>
          <w:sz w:val="24"/>
          <w:szCs w:val="24"/>
          <w:lang w:val="sq-AL"/>
        </w:rPr>
        <w:t xml:space="preserve">për të </w:t>
      </w:r>
      <w:r w:rsidR="008B3748" w:rsidRPr="00EC6AB6">
        <w:rPr>
          <w:rFonts w:ascii="Garamond" w:hAnsi="Garamond"/>
          <w:sz w:val="24"/>
          <w:szCs w:val="24"/>
          <w:lang w:val="sq-AL"/>
        </w:rPr>
        <w:t>marrë hua</w:t>
      </w:r>
      <w:r w:rsidR="00B21625">
        <w:rPr>
          <w:rFonts w:ascii="Garamond" w:hAnsi="Garamond"/>
          <w:sz w:val="24"/>
          <w:szCs w:val="24"/>
          <w:lang w:val="sq-AL"/>
        </w:rPr>
        <w:t>,</w:t>
      </w:r>
      <w:r w:rsidR="008B3748" w:rsidRPr="00EC6AB6">
        <w:rPr>
          <w:rFonts w:ascii="Garamond" w:hAnsi="Garamond"/>
          <w:sz w:val="24"/>
          <w:szCs w:val="24"/>
          <w:lang w:val="sq-AL"/>
        </w:rPr>
        <w:t xml:space="preserve"> me qëllim rifinancimin dhe shërbimin e borxhit aktual. Sa më i madh të jetë volumi i shumave që maturohen dhe sa më i afërt në kohë, aq më i lartë është risku i rifinancimit dhe anasjelltas. Risku i rifinancimit ndikohet nga niveli i borxhit ekzistues dhe profili i amortizimit. Rritja e maturitetit të borxhit dhe shpërndarja në kohë e maturimeve ndikon në reduktimin e riskut të rifinancimit. </w:t>
      </w:r>
    </w:p>
    <w:p w14:paraId="4333BAF5" w14:textId="7E7A7DC8"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w:t>
      </w:r>
      <w:r w:rsidR="008B3748" w:rsidRPr="00EC6AB6">
        <w:rPr>
          <w:rFonts w:ascii="Garamond" w:hAnsi="Garamond"/>
          <w:sz w:val="24"/>
          <w:szCs w:val="24"/>
          <w:lang w:val="sq-AL"/>
        </w:rPr>
        <w:t>Stoku i borxhit</w:t>
      </w:r>
      <w:r w:rsidRPr="00EC6AB6">
        <w:rPr>
          <w:rFonts w:ascii="Garamond" w:hAnsi="Garamond"/>
          <w:sz w:val="24"/>
          <w:szCs w:val="24"/>
          <w:lang w:val="sq-AL"/>
        </w:rPr>
        <w:t>”, b</w:t>
      </w:r>
      <w:r w:rsidR="008B3748" w:rsidRPr="00EC6AB6">
        <w:rPr>
          <w:rFonts w:ascii="Garamond" w:hAnsi="Garamond"/>
          <w:sz w:val="24"/>
          <w:szCs w:val="24"/>
          <w:lang w:val="sq-AL"/>
        </w:rPr>
        <w:t>alanca e principalit të borxhit në një moment të dhënë të kohës.</w:t>
      </w:r>
    </w:p>
    <w:p w14:paraId="4333BAF6" w14:textId="3002836B"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Shërbim borxhi</w:t>
      </w:r>
      <w:r w:rsidRPr="00EC6AB6">
        <w:rPr>
          <w:rFonts w:ascii="Garamond" w:hAnsi="Garamond"/>
          <w:sz w:val="24"/>
          <w:szCs w:val="24"/>
          <w:lang w:val="sq-AL"/>
        </w:rPr>
        <w:t>”, p</w:t>
      </w:r>
      <w:r w:rsidR="008B3748" w:rsidRPr="00EC6AB6">
        <w:rPr>
          <w:rFonts w:ascii="Garamond" w:hAnsi="Garamond"/>
          <w:sz w:val="24"/>
          <w:szCs w:val="24"/>
          <w:lang w:val="sq-AL"/>
        </w:rPr>
        <w:t xml:space="preserve">agesat e principalit dhe </w:t>
      </w:r>
      <w:r w:rsidR="00CD15E5">
        <w:rPr>
          <w:rFonts w:ascii="Garamond" w:hAnsi="Garamond"/>
          <w:sz w:val="24"/>
          <w:szCs w:val="24"/>
          <w:lang w:val="sq-AL"/>
        </w:rPr>
        <w:t xml:space="preserve">e </w:t>
      </w:r>
      <w:r w:rsidR="008B3748" w:rsidRPr="00EC6AB6">
        <w:rPr>
          <w:rFonts w:ascii="Garamond" w:hAnsi="Garamond"/>
          <w:sz w:val="24"/>
          <w:szCs w:val="24"/>
          <w:lang w:val="sq-AL"/>
        </w:rPr>
        <w:t>interesit</w:t>
      </w:r>
      <w:r w:rsidR="00CD15E5">
        <w:rPr>
          <w:rFonts w:ascii="Garamond" w:hAnsi="Garamond"/>
          <w:sz w:val="24"/>
          <w:szCs w:val="24"/>
          <w:lang w:val="sq-AL"/>
        </w:rPr>
        <w:t>,</w:t>
      </w:r>
      <w:r w:rsidR="008B3748" w:rsidRPr="00EC6AB6">
        <w:rPr>
          <w:rFonts w:ascii="Garamond" w:hAnsi="Garamond"/>
          <w:sz w:val="24"/>
          <w:szCs w:val="24"/>
          <w:lang w:val="sq-AL"/>
        </w:rPr>
        <w:t xml:space="preserve"> në përputhje me termat e përcaktuar në marrëveshje.</w:t>
      </w:r>
    </w:p>
    <w:p w14:paraId="4333BAF7" w14:textId="5EF32020"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Sistemi</w:t>
      </w:r>
      <w:r w:rsidR="00BE1816" w:rsidRPr="00EC6AB6">
        <w:rPr>
          <w:rFonts w:ascii="Garamond" w:hAnsi="Garamond"/>
          <w:i/>
          <w:sz w:val="24"/>
          <w:szCs w:val="24"/>
          <w:lang w:val="sq-AL"/>
        </w:rPr>
        <w:t xml:space="preserve"> Primary Dealer” </w:t>
      </w:r>
      <w:r w:rsidR="00BE1816" w:rsidRPr="00EC6AB6">
        <w:rPr>
          <w:rFonts w:ascii="Garamond" w:hAnsi="Garamond"/>
          <w:sz w:val="24"/>
          <w:szCs w:val="24"/>
          <w:lang w:val="sq-AL"/>
        </w:rPr>
        <w:t xml:space="preserve">është </w:t>
      </w:r>
      <w:r w:rsidR="008B3748" w:rsidRPr="00EC6AB6">
        <w:rPr>
          <w:rFonts w:ascii="Garamond" w:hAnsi="Garamond"/>
          <w:sz w:val="24"/>
          <w:szCs w:val="24"/>
          <w:lang w:val="sq-AL"/>
        </w:rPr>
        <w:t>një marrëveshje institucionale ndërmjet strukturës përgjegjëse për menaxhimin e borxhit dhe disa ndërmjetësve financiarë (që kanë funksione të specializuara në tregun e titujve shtetërorë), me qëllim zbatimin e një strategjie që ka për funksion sigurimin e nevojave për financim të qeverisë dhe zhvillimin e tregut të titujve.</w:t>
      </w:r>
    </w:p>
    <w:p w14:paraId="4333BAF8" w14:textId="12D92FFE"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Tregu primar</w:t>
      </w:r>
      <w:r w:rsidRPr="00EC6AB6">
        <w:rPr>
          <w:rFonts w:ascii="Garamond" w:hAnsi="Garamond"/>
          <w:sz w:val="24"/>
          <w:szCs w:val="24"/>
          <w:lang w:val="sq-AL"/>
        </w:rPr>
        <w:t>” ë</w:t>
      </w:r>
      <w:r w:rsidR="008B3748" w:rsidRPr="00EC6AB6">
        <w:rPr>
          <w:rFonts w:ascii="Garamond" w:hAnsi="Garamond"/>
          <w:sz w:val="24"/>
          <w:szCs w:val="24"/>
          <w:lang w:val="sq-AL"/>
        </w:rPr>
        <w:t xml:space="preserve">shtë hapësira fizike ose funksionale në të cilin shteti </w:t>
      </w:r>
      <w:r w:rsidR="00CD15E5" w:rsidRPr="00EC6AB6">
        <w:rPr>
          <w:rFonts w:ascii="Garamond" w:hAnsi="Garamond"/>
          <w:sz w:val="24"/>
          <w:szCs w:val="24"/>
          <w:lang w:val="sq-AL"/>
        </w:rPr>
        <w:t xml:space="preserve">shqiptar </w:t>
      </w:r>
      <w:r w:rsidR="008B3748" w:rsidRPr="00EC6AB6">
        <w:rPr>
          <w:rFonts w:ascii="Garamond" w:hAnsi="Garamond"/>
          <w:sz w:val="24"/>
          <w:szCs w:val="24"/>
          <w:lang w:val="sq-AL"/>
        </w:rPr>
        <w:t>emeton për herë të parë titujt.</w:t>
      </w:r>
    </w:p>
    <w:p w14:paraId="4333BAF9" w14:textId="68D0FC3F" w:rsidR="008B3748" w:rsidRPr="00EC6AB6" w:rsidRDefault="00686DC0"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Tregu sekondar</w:t>
      </w:r>
      <w:r w:rsidRPr="00EC6AB6">
        <w:rPr>
          <w:rFonts w:ascii="Garamond" w:hAnsi="Garamond"/>
          <w:sz w:val="24"/>
          <w:szCs w:val="24"/>
          <w:lang w:val="sq-AL"/>
        </w:rPr>
        <w:t>” ë</w:t>
      </w:r>
      <w:r w:rsidR="008B3748" w:rsidRPr="00EC6AB6">
        <w:rPr>
          <w:rFonts w:ascii="Garamond" w:hAnsi="Garamond"/>
          <w:sz w:val="24"/>
          <w:szCs w:val="24"/>
          <w:lang w:val="sq-AL"/>
        </w:rPr>
        <w:t>shtë hapësira fizike ose funksionale ku kryhen transaksionet me titujt</w:t>
      </w:r>
      <w:r w:rsidR="00CD15E5">
        <w:rPr>
          <w:rFonts w:ascii="Garamond" w:hAnsi="Garamond"/>
          <w:sz w:val="24"/>
          <w:szCs w:val="24"/>
          <w:lang w:val="sq-AL"/>
        </w:rPr>
        <w:t>,</w:t>
      </w:r>
      <w:r w:rsidR="008B3748" w:rsidRPr="00EC6AB6">
        <w:rPr>
          <w:rFonts w:ascii="Garamond" w:hAnsi="Garamond"/>
          <w:sz w:val="24"/>
          <w:szCs w:val="24"/>
          <w:lang w:val="sq-AL"/>
        </w:rPr>
        <w:t xml:space="preserve"> pasi janë emetuar në tregun primar.</w:t>
      </w:r>
    </w:p>
    <w:p w14:paraId="4333BAFA" w14:textId="15617761" w:rsidR="008B3748" w:rsidRPr="00EC6AB6" w:rsidRDefault="00BE1816"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Tituj afatmesëm</w:t>
      </w:r>
      <w:r w:rsidRPr="00EC6AB6">
        <w:rPr>
          <w:rFonts w:ascii="Garamond" w:hAnsi="Garamond"/>
          <w:sz w:val="24"/>
          <w:szCs w:val="24"/>
          <w:lang w:val="sq-AL"/>
        </w:rPr>
        <w:t>” u</w:t>
      </w:r>
      <w:r w:rsidR="008B3748" w:rsidRPr="00EC6AB6">
        <w:rPr>
          <w:rFonts w:ascii="Garamond" w:hAnsi="Garamond"/>
          <w:sz w:val="24"/>
          <w:szCs w:val="24"/>
          <w:lang w:val="sq-AL"/>
        </w:rPr>
        <w:t xml:space="preserve"> referohet titujve të borxhit shtetërorë me afat maturimi nga 2 deri në 5 v</w:t>
      </w:r>
      <w:r w:rsidR="00DD0613">
        <w:rPr>
          <w:rFonts w:ascii="Garamond" w:hAnsi="Garamond"/>
          <w:sz w:val="24"/>
          <w:szCs w:val="24"/>
          <w:lang w:val="sq-AL"/>
        </w:rPr>
        <w:t>jet</w:t>
      </w:r>
      <w:r w:rsidR="008B3748" w:rsidRPr="00EC6AB6">
        <w:rPr>
          <w:rFonts w:ascii="Garamond" w:hAnsi="Garamond"/>
          <w:sz w:val="24"/>
          <w:szCs w:val="24"/>
          <w:lang w:val="sq-AL"/>
        </w:rPr>
        <w:t>.</w:t>
      </w:r>
    </w:p>
    <w:p w14:paraId="4333BAFB" w14:textId="19405243" w:rsidR="008B3748" w:rsidRPr="00EC6AB6" w:rsidRDefault="00BE1816"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Tituj afatgjatë</w:t>
      </w:r>
      <w:r w:rsidRPr="00EC6AB6">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u</w:t>
      </w:r>
      <w:r w:rsidR="008B3748" w:rsidRPr="00EC6AB6">
        <w:rPr>
          <w:rFonts w:ascii="Garamond" w:hAnsi="Garamond"/>
          <w:sz w:val="24"/>
          <w:szCs w:val="24"/>
          <w:lang w:val="sq-AL"/>
        </w:rPr>
        <w:t xml:space="preserve"> referohet titujve të borxhit shtetërorë me afat maturimi mbi 5 v</w:t>
      </w:r>
      <w:r w:rsidR="008B0E4F">
        <w:rPr>
          <w:rFonts w:ascii="Garamond" w:hAnsi="Garamond"/>
          <w:sz w:val="24"/>
          <w:szCs w:val="24"/>
          <w:lang w:val="sq-AL"/>
        </w:rPr>
        <w:t>jet</w:t>
      </w:r>
      <w:r w:rsidR="008B3748" w:rsidRPr="00EC6AB6">
        <w:rPr>
          <w:rFonts w:ascii="Garamond" w:hAnsi="Garamond"/>
          <w:sz w:val="24"/>
          <w:szCs w:val="24"/>
          <w:lang w:val="sq-AL"/>
        </w:rPr>
        <w:t>.</w:t>
      </w:r>
    </w:p>
    <w:p w14:paraId="4333BAFC" w14:textId="41814FF2" w:rsidR="008B3748" w:rsidRPr="00EC6AB6" w:rsidRDefault="00BE1816"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 xml:space="preserve">Tituj referencë </w:t>
      </w:r>
      <w:r w:rsidR="008B3748" w:rsidRPr="00EC6AB6">
        <w:rPr>
          <w:rFonts w:ascii="Garamond" w:hAnsi="Garamond"/>
          <w:i/>
          <w:sz w:val="24"/>
          <w:szCs w:val="24"/>
          <w:lang w:val="sq-AL"/>
        </w:rPr>
        <w:t>(benchmark)</w:t>
      </w:r>
      <w:r w:rsidRPr="00EC6AB6">
        <w:rPr>
          <w:rFonts w:ascii="Garamond" w:hAnsi="Garamond"/>
          <w:sz w:val="24"/>
          <w:szCs w:val="24"/>
          <w:lang w:val="sq-AL"/>
        </w:rPr>
        <w:t>”</w:t>
      </w:r>
      <w:r w:rsidR="008B3748" w:rsidRPr="00EC6AB6">
        <w:rPr>
          <w:rFonts w:ascii="Garamond" w:hAnsi="Garamond"/>
          <w:sz w:val="24"/>
          <w:szCs w:val="24"/>
          <w:lang w:val="sq-AL"/>
        </w:rPr>
        <w:t xml:space="preserve"> </w:t>
      </w:r>
      <w:r w:rsidRPr="00EC6AB6">
        <w:rPr>
          <w:rFonts w:ascii="Garamond" w:hAnsi="Garamond"/>
          <w:sz w:val="24"/>
          <w:szCs w:val="24"/>
          <w:lang w:val="sq-AL"/>
        </w:rPr>
        <w:t xml:space="preserve">është </w:t>
      </w:r>
      <w:r w:rsidR="008B3748" w:rsidRPr="00EC6AB6">
        <w:rPr>
          <w:rFonts w:ascii="Garamond" w:hAnsi="Garamond"/>
          <w:sz w:val="24"/>
          <w:szCs w:val="24"/>
          <w:lang w:val="sq-AL"/>
        </w:rPr>
        <w:t>emetimi më i fundit i titujve të shtetit shqiptar për një maturitet të caktuar. Ankandi për titullin referencë mund të rihapet periodikisht deri në arritjen e një vlere të paracaktuar nga Ministria e Financave dhe Ekonomisë. Ky titull përdoret si pikë referimi për vlerësimin e titujve të tjerë shtetërorë me maturitet, shumë emetimi dhe normë kuponi të ngjashëm.</w:t>
      </w:r>
    </w:p>
    <w:p w14:paraId="4333BAFD" w14:textId="01085F09" w:rsidR="008B3748" w:rsidRPr="00EC6AB6" w:rsidRDefault="008B3748" w:rsidP="008B3748">
      <w:pPr>
        <w:spacing w:after="0" w:line="240" w:lineRule="auto"/>
        <w:rPr>
          <w:rFonts w:ascii="Garamond" w:hAnsi="Garamond"/>
          <w:sz w:val="24"/>
          <w:szCs w:val="24"/>
          <w:lang w:val="sq-AL"/>
        </w:rPr>
      </w:pPr>
      <w:r w:rsidRPr="00EC6AB6">
        <w:rPr>
          <w:rFonts w:ascii="Garamond" w:hAnsi="Garamond"/>
          <w:sz w:val="24"/>
          <w:szCs w:val="24"/>
          <w:lang w:val="sq-AL"/>
        </w:rPr>
        <w:t xml:space="preserve">Përgjithësisht, titujt referencë gëzojnë likuiditet më të lartë se emetimet e zakonshme, për shkak të detyrimit që kanë </w:t>
      </w:r>
      <w:r w:rsidR="00EF7100" w:rsidRPr="00EC6AB6">
        <w:rPr>
          <w:rFonts w:ascii="Garamond" w:hAnsi="Garamond"/>
          <w:sz w:val="24"/>
          <w:szCs w:val="24"/>
          <w:lang w:val="sq-AL"/>
        </w:rPr>
        <w:t xml:space="preserve">zhvilluesit e tregut </w:t>
      </w:r>
      <w:r w:rsidRPr="00EC6AB6">
        <w:rPr>
          <w:rFonts w:ascii="Garamond" w:hAnsi="Garamond"/>
          <w:sz w:val="24"/>
          <w:szCs w:val="24"/>
          <w:lang w:val="sq-AL"/>
        </w:rPr>
        <w:t>për të kuotuar çmime blerjeje/shitjeje në tregun sekondar</w:t>
      </w:r>
      <w:r w:rsidR="00EF7100">
        <w:rPr>
          <w:rFonts w:ascii="Garamond" w:hAnsi="Garamond"/>
          <w:sz w:val="24"/>
          <w:szCs w:val="24"/>
          <w:lang w:val="sq-AL"/>
        </w:rPr>
        <w:t>,</w:t>
      </w:r>
      <w:r w:rsidRPr="00EC6AB6">
        <w:rPr>
          <w:rFonts w:ascii="Garamond" w:hAnsi="Garamond"/>
          <w:sz w:val="24"/>
          <w:szCs w:val="24"/>
          <w:lang w:val="sq-AL"/>
        </w:rPr>
        <w:t xml:space="preserve"> sipas kushteve të përcaktuara në kontratën e lidhur me Ministrinë e Financave dhe Ekonomisë.</w:t>
      </w:r>
    </w:p>
    <w:p w14:paraId="4333BAFE" w14:textId="393DF10D" w:rsidR="008B3748" w:rsidRPr="00EC6AB6" w:rsidRDefault="00BE1816" w:rsidP="008B3748">
      <w:pPr>
        <w:spacing w:after="0" w:line="240" w:lineRule="auto"/>
        <w:rPr>
          <w:rFonts w:ascii="Garamond" w:hAnsi="Garamond"/>
          <w:sz w:val="24"/>
          <w:szCs w:val="24"/>
          <w:lang w:val="sq-AL"/>
        </w:rPr>
      </w:pPr>
      <w:r w:rsidRPr="00EC6AB6">
        <w:rPr>
          <w:rFonts w:ascii="Garamond" w:hAnsi="Garamond"/>
          <w:sz w:val="24"/>
          <w:szCs w:val="24"/>
          <w:lang w:val="sq-AL"/>
        </w:rPr>
        <w:t>“</w:t>
      </w:r>
      <w:r w:rsidR="008B3748" w:rsidRPr="00EC6AB6">
        <w:rPr>
          <w:rFonts w:ascii="Garamond" w:hAnsi="Garamond"/>
          <w:sz w:val="24"/>
          <w:szCs w:val="24"/>
          <w:lang w:val="sq-AL"/>
        </w:rPr>
        <w:t>Tituj shtetërorë</w:t>
      </w:r>
      <w:r w:rsidRPr="00EC6AB6">
        <w:rPr>
          <w:rFonts w:ascii="Garamond" w:hAnsi="Garamond"/>
          <w:sz w:val="24"/>
          <w:szCs w:val="24"/>
          <w:lang w:val="sq-AL"/>
        </w:rPr>
        <w:t>” j</w:t>
      </w:r>
      <w:r w:rsidR="008B3748" w:rsidRPr="00EC6AB6">
        <w:rPr>
          <w:rFonts w:ascii="Garamond" w:hAnsi="Garamond"/>
          <w:sz w:val="24"/>
          <w:szCs w:val="24"/>
          <w:lang w:val="sq-AL"/>
        </w:rPr>
        <w:t>anë bonot e thesarit dhe obligacionet shtetërore të emetuara nga Ministria e Financave dhe Ekonomisë</w:t>
      </w:r>
      <w:r w:rsidR="00EF7100">
        <w:rPr>
          <w:rFonts w:ascii="Garamond" w:hAnsi="Garamond"/>
          <w:sz w:val="24"/>
          <w:szCs w:val="24"/>
          <w:lang w:val="sq-AL"/>
        </w:rPr>
        <w:t>,</w:t>
      </w:r>
      <w:r w:rsidR="008B3748" w:rsidRPr="00EC6AB6">
        <w:rPr>
          <w:rFonts w:ascii="Garamond" w:hAnsi="Garamond"/>
          <w:sz w:val="24"/>
          <w:szCs w:val="24"/>
          <w:lang w:val="sq-AL"/>
        </w:rPr>
        <w:t xml:space="preserve"> në përputhje me ligjin </w:t>
      </w:r>
      <w:r w:rsidR="00EF7100" w:rsidRPr="00EC6AB6">
        <w:rPr>
          <w:rFonts w:ascii="Garamond" w:hAnsi="Garamond"/>
          <w:sz w:val="24"/>
          <w:szCs w:val="24"/>
          <w:lang w:val="sq-AL"/>
        </w:rPr>
        <w:t>nr</w:t>
      </w:r>
      <w:r w:rsidR="008B3748" w:rsidRPr="00EC6AB6">
        <w:rPr>
          <w:rFonts w:ascii="Garamond" w:hAnsi="Garamond"/>
          <w:sz w:val="24"/>
          <w:szCs w:val="24"/>
          <w:lang w:val="sq-AL"/>
        </w:rPr>
        <w:t xml:space="preserve">. 9665, datë 18.12.2006, “Për huamarrjen shtetërore, borxhin shtetëror dhe garancitë shtetërore të </w:t>
      </w:r>
      <w:r w:rsidR="002A3781" w:rsidRPr="00EC6AB6">
        <w:rPr>
          <w:rFonts w:ascii="Garamond" w:hAnsi="Garamond"/>
          <w:sz w:val="24"/>
          <w:szCs w:val="24"/>
          <w:lang w:val="sq-AL"/>
        </w:rPr>
        <w:t>huas</w:t>
      </w:r>
      <w:r w:rsidR="008B3748" w:rsidRPr="00EC6AB6">
        <w:rPr>
          <w:rFonts w:ascii="Garamond" w:hAnsi="Garamond"/>
          <w:sz w:val="24"/>
          <w:szCs w:val="24"/>
          <w:lang w:val="sq-AL"/>
        </w:rPr>
        <w:t xml:space="preserve"> në Republikën e Shqipërisë”, të ndryshuar; ligjin </w:t>
      </w:r>
      <w:r w:rsidR="00EF7100" w:rsidRPr="00EC6AB6">
        <w:rPr>
          <w:rFonts w:ascii="Garamond" w:hAnsi="Garamond"/>
          <w:sz w:val="24"/>
          <w:szCs w:val="24"/>
          <w:lang w:val="sq-AL"/>
        </w:rPr>
        <w:t>nr</w:t>
      </w:r>
      <w:r w:rsidR="00EF7100">
        <w:rPr>
          <w:rFonts w:ascii="Garamond" w:hAnsi="Garamond"/>
          <w:sz w:val="24"/>
          <w:szCs w:val="24"/>
          <w:lang w:val="sq-AL"/>
        </w:rPr>
        <w:t>. 9879, datë 21.</w:t>
      </w:r>
      <w:r w:rsidR="008B3748" w:rsidRPr="00EC6AB6">
        <w:rPr>
          <w:rFonts w:ascii="Garamond" w:hAnsi="Garamond"/>
          <w:sz w:val="24"/>
          <w:szCs w:val="24"/>
          <w:lang w:val="sq-AL"/>
        </w:rPr>
        <w:t>2.2008</w:t>
      </w:r>
      <w:r w:rsidR="00EF7100">
        <w:rPr>
          <w:rFonts w:ascii="Garamond" w:hAnsi="Garamond"/>
          <w:sz w:val="24"/>
          <w:szCs w:val="24"/>
          <w:lang w:val="sq-AL"/>
        </w:rPr>
        <w:t>,</w:t>
      </w:r>
      <w:r w:rsidR="008B3748" w:rsidRPr="00EC6AB6">
        <w:rPr>
          <w:rFonts w:ascii="Garamond" w:hAnsi="Garamond"/>
          <w:sz w:val="24"/>
          <w:szCs w:val="24"/>
          <w:lang w:val="sq-AL"/>
        </w:rPr>
        <w:t xml:space="preserve"> “Për titujt”</w:t>
      </w:r>
      <w:r w:rsidR="00EF7100">
        <w:rPr>
          <w:rFonts w:ascii="Garamond" w:hAnsi="Garamond"/>
          <w:sz w:val="24"/>
          <w:szCs w:val="24"/>
          <w:lang w:val="sq-AL"/>
        </w:rPr>
        <w:t>,</w:t>
      </w:r>
      <w:r w:rsidR="008B3748" w:rsidRPr="00EC6AB6">
        <w:rPr>
          <w:rFonts w:ascii="Garamond" w:hAnsi="Garamond"/>
          <w:sz w:val="24"/>
          <w:szCs w:val="24"/>
          <w:lang w:val="sq-AL"/>
        </w:rPr>
        <w:t xml:space="preserve"> si edhe aktet nënligjore.</w:t>
      </w:r>
      <w:bookmarkStart w:id="144" w:name="_Toc491954341"/>
    </w:p>
    <w:p w14:paraId="4333BAFF" w14:textId="77777777" w:rsidR="008B3748" w:rsidRPr="00EC6AB6" w:rsidRDefault="008B3748" w:rsidP="008B3748">
      <w:pPr>
        <w:spacing w:after="0" w:line="240" w:lineRule="auto"/>
        <w:rPr>
          <w:rFonts w:ascii="Garamond" w:hAnsi="Garamond"/>
          <w:sz w:val="24"/>
          <w:szCs w:val="24"/>
          <w:lang w:val="sq-AL"/>
        </w:rPr>
      </w:pPr>
    </w:p>
    <w:p w14:paraId="4333BB02" w14:textId="77777777" w:rsidR="008B3748" w:rsidRPr="00EC6AB6" w:rsidRDefault="008B3748" w:rsidP="009926F1">
      <w:pPr>
        <w:spacing w:after="0" w:line="240" w:lineRule="auto"/>
        <w:ind w:firstLine="0"/>
        <w:jc w:val="center"/>
        <w:rPr>
          <w:rFonts w:ascii="Garamond" w:hAnsi="Garamond"/>
          <w:sz w:val="24"/>
          <w:szCs w:val="24"/>
          <w:lang w:val="sq-AL"/>
        </w:rPr>
      </w:pPr>
      <w:r w:rsidRPr="00EC6AB6">
        <w:rPr>
          <w:rFonts w:ascii="Garamond" w:hAnsi="Garamond"/>
          <w:sz w:val="24"/>
          <w:szCs w:val="24"/>
          <w:lang w:val="sq-AL"/>
        </w:rPr>
        <w:t>ANEKS III</w:t>
      </w:r>
      <w:bookmarkEnd w:id="144"/>
    </w:p>
    <w:p w14:paraId="4333BB03" w14:textId="77777777" w:rsidR="008B3748" w:rsidRPr="00EC6AB6" w:rsidRDefault="008B3748" w:rsidP="009926F1">
      <w:pPr>
        <w:spacing w:after="0" w:line="240" w:lineRule="auto"/>
        <w:ind w:firstLine="0"/>
        <w:jc w:val="center"/>
        <w:rPr>
          <w:rFonts w:ascii="Garamond" w:hAnsi="Garamond"/>
          <w:sz w:val="24"/>
          <w:szCs w:val="24"/>
          <w:lang w:val="sq-AL"/>
        </w:rPr>
      </w:pPr>
      <w:r w:rsidRPr="00EC6AB6">
        <w:rPr>
          <w:rFonts w:ascii="Garamond" w:hAnsi="Garamond"/>
          <w:sz w:val="24"/>
          <w:szCs w:val="24"/>
          <w:lang w:val="sq-AL"/>
        </w:rPr>
        <w:t>INFORMACIONE SHTESË</w:t>
      </w:r>
    </w:p>
    <w:p w14:paraId="4333BB04" w14:textId="77777777" w:rsidR="008B3748" w:rsidRPr="00EC6AB6" w:rsidRDefault="008B3748" w:rsidP="008B3748">
      <w:pPr>
        <w:spacing w:after="0" w:line="240" w:lineRule="auto"/>
        <w:rPr>
          <w:rFonts w:ascii="Garamond" w:hAnsi="Garamond"/>
          <w:sz w:val="24"/>
          <w:szCs w:val="24"/>
          <w:lang w:val="sq-AL"/>
        </w:rPr>
      </w:pPr>
    </w:p>
    <w:p w14:paraId="4333BB05" w14:textId="18554C74"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1. </w:t>
      </w:r>
      <w:r w:rsidR="008B3748" w:rsidRPr="00EC6AB6">
        <w:rPr>
          <w:rFonts w:ascii="Garamond" w:hAnsi="Garamond"/>
          <w:sz w:val="24"/>
          <w:szCs w:val="24"/>
          <w:lang w:val="sq-AL"/>
        </w:rPr>
        <w:t>Baza ligjore dhe aktet nënligjore</w:t>
      </w:r>
      <w:r w:rsidR="00EF7100">
        <w:rPr>
          <w:rFonts w:ascii="Garamond" w:hAnsi="Garamond"/>
          <w:sz w:val="24"/>
          <w:szCs w:val="24"/>
          <w:lang w:val="sq-AL"/>
        </w:rPr>
        <w:t>,</w:t>
      </w:r>
      <w:r w:rsidR="008B3748" w:rsidRPr="00EC6AB6">
        <w:rPr>
          <w:rFonts w:ascii="Garamond" w:hAnsi="Garamond"/>
          <w:sz w:val="24"/>
          <w:szCs w:val="24"/>
          <w:lang w:val="sq-AL"/>
        </w:rPr>
        <w:t xml:space="preserve"> në kuadër të menaxhimit të borxhit publik</w:t>
      </w:r>
      <w:r w:rsidR="00BE1816" w:rsidRPr="00EC6AB6">
        <w:rPr>
          <w:rFonts w:ascii="Garamond" w:hAnsi="Garamond"/>
          <w:sz w:val="24"/>
          <w:szCs w:val="24"/>
          <w:lang w:val="sq-AL"/>
        </w:rPr>
        <w:t>:</w:t>
      </w:r>
      <w:r w:rsidR="008B3748" w:rsidRPr="00EC6AB6">
        <w:rPr>
          <w:rFonts w:ascii="Garamond" w:hAnsi="Garamond"/>
          <w:sz w:val="24"/>
          <w:szCs w:val="24"/>
          <w:lang w:val="sq-AL"/>
        </w:rPr>
        <w:t xml:space="preserve"> </w:t>
      </w:r>
    </w:p>
    <w:p w14:paraId="4333BB06" w14:textId="471823B0"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ligji nr</w:t>
      </w:r>
      <w:r w:rsidR="008B3748" w:rsidRPr="00EC6AB6">
        <w:rPr>
          <w:rFonts w:ascii="Garamond" w:hAnsi="Garamond"/>
          <w:sz w:val="24"/>
          <w:szCs w:val="24"/>
          <w:lang w:val="sq-AL"/>
        </w:rPr>
        <w:t xml:space="preserve">. 9665, datë 18.12.2006, “Për huamarrjen shtetërore, borxhin shtetëror dhe garancitë shtetërore të </w:t>
      </w:r>
      <w:r w:rsidR="002A3781" w:rsidRPr="00EC6AB6">
        <w:rPr>
          <w:rFonts w:ascii="Garamond" w:hAnsi="Garamond"/>
          <w:sz w:val="24"/>
          <w:szCs w:val="24"/>
          <w:lang w:val="sq-AL"/>
        </w:rPr>
        <w:t>huas</w:t>
      </w:r>
      <w:r w:rsidR="008B3748" w:rsidRPr="00EC6AB6">
        <w:rPr>
          <w:rFonts w:ascii="Garamond" w:hAnsi="Garamond"/>
          <w:sz w:val="24"/>
          <w:szCs w:val="24"/>
          <w:lang w:val="sq-AL"/>
        </w:rPr>
        <w:t xml:space="preserve"> në Republikën e Shqipërisë”, i ndryshuar me ligjin </w:t>
      </w:r>
      <w:r w:rsidR="00EF7100" w:rsidRPr="00EC6AB6">
        <w:rPr>
          <w:rFonts w:ascii="Garamond" w:hAnsi="Garamond"/>
          <w:sz w:val="24"/>
          <w:szCs w:val="24"/>
          <w:lang w:val="sq-AL"/>
        </w:rPr>
        <w:t>nr</w:t>
      </w:r>
      <w:r w:rsidR="008B3748" w:rsidRPr="00EC6AB6">
        <w:rPr>
          <w:rFonts w:ascii="Garamond" w:hAnsi="Garamond"/>
          <w:sz w:val="24"/>
          <w:szCs w:val="24"/>
          <w:lang w:val="sq-AL"/>
        </w:rPr>
        <w:t>. 181/2014, datë 24.12.2014;</w:t>
      </w:r>
    </w:p>
    <w:p w14:paraId="4333BB07" w14:textId="041DE2B2"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ligji nr. 9936, datë 26.</w:t>
      </w:r>
      <w:r w:rsidR="008B3748" w:rsidRPr="00EC6AB6">
        <w:rPr>
          <w:rFonts w:ascii="Garamond" w:hAnsi="Garamond"/>
          <w:sz w:val="24"/>
          <w:szCs w:val="24"/>
          <w:lang w:val="sq-AL"/>
        </w:rPr>
        <w:t xml:space="preserve">6.2008, “Për menaxhimin e sistemit buxhetor në Republikën e Shqipërisë”, i ndryshuar me ligjin </w:t>
      </w:r>
      <w:r w:rsidR="00BE1816" w:rsidRPr="00EC6AB6">
        <w:rPr>
          <w:rFonts w:ascii="Garamond" w:hAnsi="Garamond"/>
          <w:sz w:val="24"/>
          <w:szCs w:val="24"/>
          <w:lang w:val="sq-AL"/>
        </w:rPr>
        <w:t>nr</w:t>
      </w:r>
      <w:r w:rsidR="008B3748" w:rsidRPr="00EC6AB6">
        <w:rPr>
          <w:rFonts w:ascii="Garamond" w:hAnsi="Garamond"/>
          <w:sz w:val="24"/>
          <w:szCs w:val="24"/>
          <w:lang w:val="sq-AL"/>
        </w:rPr>
        <w:t xml:space="preserve">. 114/2012, datë 7.12.2012 dhe </w:t>
      </w:r>
      <w:r w:rsidR="00EF7100">
        <w:rPr>
          <w:rFonts w:ascii="Garamond" w:hAnsi="Garamond"/>
          <w:sz w:val="24"/>
          <w:szCs w:val="24"/>
          <w:lang w:val="sq-AL"/>
        </w:rPr>
        <w:t xml:space="preserve">me </w:t>
      </w:r>
      <w:r w:rsidR="008B3748" w:rsidRPr="00EC6AB6">
        <w:rPr>
          <w:rFonts w:ascii="Garamond" w:hAnsi="Garamond"/>
          <w:sz w:val="24"/>
          <w:szCs w:val="24"/>
          <w:lang w:val="sq-AL"/>
        </w:rPr>
        <w:t xml:space="preserve">ligjin </w:t>
      </w:r>
      <w:r w:rsidR="00BE1816" w:rsidRPr="00EC6AB6">
        <w:rPr>
          <w:rFonts w:ascii="Garamond" w:hAnsi="Garamond"/>
          <w:sz w:val="24"/>
          <w:szCs w:val="24"/>
          <w:lang w:val="sq-AL"/>
        </w:rPr>
        <w:t>nr. 57/2016, datë 2.</w:t>
      </w:r>
      <w:r w:rsidR="008B3748" w:rsidRPr="00EC6AB6">
        <w:rPr>
          <w:rFonts w:ascii="Garamond" w:hAnsi="Garamond"/>
          <w:sz w:val="24"/>
          <w:szCs w:val="24"/>
          <w:lang w:val="sq-AL"/>
        </w:rPr>
        <w:t>6.2016;</w:t>
      </w:r>
    </w:p>
    <w:p w14:paraId="4333BB08" w14:textId="2B137416"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ligji nr</w:t>
      </w:r>
      <w:r w:rsidR="00732FDB">
        <w:rPr>
          <w:rFonts w:ascii="Garamond" w:hAnsi="Garamond"/>
          <w:sz w:val="24"/>
          <w:szCs w:val="24"/>
          <w:lang w:val="sq-AL"/>
        </w:rPr>
        <w:t>. 9869, datë 4.</w:t>
      </w:r>
      <w:r w:rsidR="008B3748" w:rsidRPr="00EC6AB6">
        <w:rPr>
          <w:rFonts w:ascii="Garamond" w:hAnsi="Garamond"/>
          <w:sz w:val="24"/>
          <w:szCs w:val="24"/>
          <w:lang w:val="sq-AL"/>
        </w:rPr>
        <w:t xml:space="preserve">2.2008, “Për huamarrjen e qeverisjes vendore”, i ndryshuar me </w:t>
      </w:r>
      <w:r w:rsidR="00732FDB" w:rsidRPr="00EC6AB6">
        <w:rPr>
          <w:rFonts w:ascii="Garamond" w:hAnsi="Garamond"/>
          <w:sz w:val="24"/>
          <w:szCs w:val="24"/>
          <w:lang w:val="sq-AL"/>
        </w:rPr>
        <w:t xml:space="preserve">ligjin </w:t>
      </w:r>
      <w:r w:rsidR="00BE1816" w:rsidRPr="00EC6AB6">
        <w:rPr>
          <w:rFonts w:ascii="Garamond" w:hAnsi="Garamond"/>
          <w:sz w:val="24"/>
          <w:szCs w:val="24"/>
          <w:lang w:val="sq-AL"/>
        </w:rPr>
        <w:t>nr. 68/2017, datë 27.</w:t>
      </w:r>
      <w:r w:rsidR="008B3748" w:rsidRPr="00EC6AB6">
        <w:rPr>
          <w:rFonts w:ascii="Garamond" w:hAnsi="Garamond"/>
          <w:sz w:val="24"/>
          <w:szCs w:val="24"/>
          <w:lang w:val="sq-AL"/>
        </w:rPr>
        <w:t>4.2017;</w:t>
      </w:r>
    </w:p>
    <w:p w14:paraId="4333BB09" w14:textId="7BDBAD84"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ligji nr. 43/2016, datë 21.</w:t>
      </w:r>
      <w:r w:rsidR="008B3748" w:rsidRPr="00EC6AB6">
        <w:rPr>
          <w:rFonts w:ascii="Garamond" w:hAnsi="Garamond"/>
          <w:sz w:val="24"/>
          <w:szCs w:val="24"/>
          <w:lang w:val="sq-AL"/>
        </w:rPr>
        <w:t>4.2016, “Për marrëveshjet ndërkombëtare në Republikën e Shqipërisë”;</w:t>
      </w:r>
    </w:p>
    <w:p w14:paraId="4333BB0A" w14:textId="2DA172C0"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ligji nr</w:t>
      </w:r>
      <w:r w:rsidR="008B3748" w:rsidRPr="00EC6AB6">
        <w:rPr>
          <w:rFonts w:ascii="Garamond" w:hAnsi="Garamond"/>
          <w:sz w:val="24"/>
          <w:szCs w:val="24"/>
          <w:lang w:val="sq-AL"/>
        </w:rPr>
        <w:t>. 8269, datë 23.12.1997, “Për Bankën e Shqipërisë”, i ndryshuar;</w:t>
      </w:r>
    </w:p>
    <w:p w14:paraId="4333BB0B" w14:textId="3014D00C"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ligji </w:t>
      </w:r>
      <w:r w:rsidR="008B3748" w:rsidRPr="00EC6AB6">
        <w:rPr>
          <w:rFonts w:ascii="Garamond" w:hAnsi="Garamond"/>
          <w:sz w:val="24"/>
          <w:szCs w:val="24"/>
          <w:lang w:val="sq-AL"/>
        </w:rPr>
        <w:t>vjetor i buxhetit;</w:t>
      </w:r>
    </w:p>
    <w:p w14:paraId="4333BB0C" w14:textId="4889FDB4"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vendimi </w:t>
      </w:r>
      <w:r w:rsidR="008B3748" w:rsidRPr="00EC6AB6">
        <w:rPr>
          <w:rFonts w:ascii="Garamond" w:hAnsi="Garamond"/>
          <w:sz w:val="24"/>
          <w:szCs w:val="24"/>
          <w:lang w:val="sq-AL"/>
        </w:rPr>
        <w:t xml:space="preserve">i Këshillit të Ministrave </w:t>
      </w:r>
      <w:r w:rsidR="00BE1816" w:rsidRPr="00EC6AB6">
        <w:rPr>
          <w:rFonts w:ascii="Garamond" w:hAnsi="Garamond"/>
          <w:sz w:val="24"/>
          <w:szCs w:val="24"/>
          <w:lang w:val="sq-AL"/>
        </w:rPr>
        <w:t xml:space="preserve">nr. </w:t>
      </w:r>
      <w:r w:rsidR="008B3748" w:rsidRPr="00EC6AB6">
        <w:rPr>
          <w:rFonts w:ascii="Garamond" w:hAnsi="Garamond"/>
          <w:sz w:val="24"/>
          <w:szCs w:val="24"/>
          <w:lang w:val="sq-AL"/>
        </w:rPr>
        <w:t xml:space="preserve">775, datë </w:t>
      </w:r>
      <w:r w:rsidR="00BE1816" w:rsidRPr="00EC6AB6">
        <w:rPr>
          <w:rFonts w:ascii="Garamond" w:hAnsi="Garamond"/>
          <w:sz w:val="24"/>
          <w:szCs w:val="24"/>
          <w:lang w:val="sq-AL"/>
        </w:rPr>
        <w:t>24.</w:t>
      </w:r>
      <w:r w:rsidR="008B3748" w:rsidRPr="00EC6AB6">
        <w:rPr>
          <w:rFonts w:ascii="Garamond" w:hAnsi="Garamond"/>
          <w:sz w:val="24"/>
          <w:szCs w:val="24"/>
          <w:lang w:val="sq-AL"/>
        </w:rPr>
        <w:t>9.2010, “Për administrimin e financimeve të huaja në Republikën e Shqipërisë”;</w:t>
      </w:r>
    </w:p>
    <w:p w14:paraId="4333BB0D" w14:textId="00DF9DE4"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udhëzimi </w:t>
      </w:r>
      <w:r w:rsidR="008B3748" w:rsidRPr="00EC6AB6">
        <w:rPr>
          <w:rFonts w:ascii="Garamond" w:hAnsi="Garamond"/>
          <w:sz w:val="24"/>
          <w:szCs w:val="24"/>
          <w:lang w:val="sq-AL"/>
        </w:rPr>
        <w:t xml:space="preserve">i </w:t>
      </w:r>
      <w:r w:rsidR="00BE1816" w:rsidRPr="00EC6AB6">
        <w:rPr>
          <w:rFonts w:ascii="Garamond" w:hAnsi="Garamond"/>
          <w:sz w:val="24"/>
          <w:szCs w:val="24"/>
          <w:lang w:val="sq-AL"/>
        </w:rPr>
        <w:t xml:space="preserve">ministrit </w:t>
      </w:r>
      <w:r w:rsidR="008B3748" w:rsidRPr="00EC6AB6">
        <w:rPr>
          <w:rFonts w:ascii="Garamond" w:hAnsi="Garamond"/>
          <w:sz w:val="24"/>
          <w:szCs w:val="24"/>
          <w:lang w:val="sq-AL"/>
        </w:rPr>
        <w:t xml:space="preserve">të Financave </w:t>
      </w:r>
      <w:r w:rsidR="00BE1816" w:rsidRPr="00EC6AB6">
        <w:rPr>
          <w:rFonts w:ascii="Garamond" w:hAnsi="Garamond"/>
          <w:sz w:val="24"/>
          <w:szCs w:val="24"/>
          <w:lang w:val="sq-AL"/>
        </w:rPr>
        <w:t xml:space="preserve">nr. 22, datë </w:t>
      </w:r>
      <w:r w:rsidR="008B3748" w:rsidRPr="00EC6AB6">
        <w:rPr>
          <w:rFonts w:ascii="Garamond" w:hAnsi="Garamond"/>
          <w:sz w:val="24"/>
          <w:szCs w:val="24"/>
          <w:lang w:val="sq-AL"/>
        </w:rPr>
        <w:t>5.10.2011, “Për publikimin e të dhënave të borxhit të qeverisjes së përgjithshme dhe hartimin e raportit të tij”;</w:t>
      </w:r>
    </w:p>
    <w:p w14:paraId="4333BB0E" w14:textId="798BF487"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udhëzimi </w:t>
      </w:r>
      <w:r w:rsidR="008B3748" w:rsidRPr="00EC6AB6">
        <w:rPr>
          <w:rFonts w:ascii="Garamond" w:hAnsi="Garamond"/>
          <w:sz w:val="24"/>
          <w:szCs w:val="24"/>
          <w:lang w:val="sq-AL"/>
        </w:rPr>
        <w:t xml:space="preserve">i </w:t>
      </w:r>
      <w:r w:rsidR="00BE1816" w:rsidRPr="00EC6AB6">
        <w:rPr>
          <w:rFonts w:ascii="Garamond" w:hAnsi="Garamond"/>
          <w:sz w:val="24"/>
          <w:szCs w:val="24"/>
          <w:lang w:val="sq-AL"/>
        </w:rPr>
        <w:t xml:space="preserve">ministrit </w:t>
      </w:r>
      <w:r w:rsidR="008B3748" w:rsidRPr="00EC6AB6">
        <w:rPr>
          <w:rFonts w:ascii="Garamond" w:hAnsi="Garamond"/>
          <w:sz w:val="24"/>
          <w:szCs w:val="24"/>
          <w:lang w:val="sq-AL"/>
        </w:rPr>
        <w:t xml:space="preserve">të Financave </w:t>
      </w:r>
      <w:r w:rsidR="00BE1816" w:rsidRPr="00EC6AB6">
        <w:rPr>
          <w:rFonts w:ascii="Garamond" w:hAnsi="Garamond"/>
          <w:sz w:val="24"/>
          <w:szCs w:val="24"/>
          <w:lang w:val="sq-AL"/>
        </w:rPr>
        <w:t>nr</w:t>
      </w:r>
      <w:r w:rsidR="008B3748" w:rsidRPr="00EC6AB6">
        <w:rPr>
          <w:rFonts w:ascii="Garamond" w:hAnsi="Garamond"/>
          <w:sz w:val="24"/>
          <w:szCs w:val="24"/>
          <w:lang w:val="sq-AL"/>
        </w:rPr>
        <w:t>. 30, datë 26.12.2013, “Për emetimin nga qeveria e Republikës së Shqipërisë, të bonove të thesarit në formë regjistrimi”;</w:t>
      </w:r>
    </w:p>
    <w:p w14:paraId="4333BB0F" w14:textId="6EAAB71A"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lastRenderedPageBreak/>
        <w:t xml:space="preserve">- </w:t>
      </w:r>
      <w:r w:rsidR="00BE1816" w:rsidRPr="00EC6AB6">
        <w:rPr>
          <w:rFonts w:ascii="Garamond" w:hAnsi="Garamond"/>
          <w:sz w:val="24"/>
          <w:szCs w:val="24"/>
          <w:lang w:val="sq-AL"/>
        </w:rPr>
        <w:t xml:space="preserve">udhëzimi i ministrit </w:t>
      </w:r>
      <w:r w:rsidR="008B3748" w:rsidRPr="00EC6AB6">
        <w:rPr>
          <w:rFonts w:ascii="Garamond" w:hAnsi="Garamond"/>
          <w:sz w:val="24"/>
          <w:szCs w:val="24"/>
          <w:lang w:val="sq-AL"/>
        </w:rPr>
        <w:t xml:space="preserve">të Financave </w:t>
      </w:r>
      <w:r w:rsidR="00BE1816" w:rsidRPr="00EC6AB6">
        <w:rPr>
          <w:rFonts w:ascii="Garamond" w:hAnsi="Garamond"/>
          <w:sz w:val="24"/>
          <w:szCs w:val="24"/>
          <w:lang w:val="sq-AL"/>
        </w:rPr>
        <w:t>nr</w:t>
      </w:r>
      <w:r w:rsidR="008B3748" w:rsidRPr="00EC6AB6">
        <w:rPr>
          <w:rFonts w:ascii="Garamond" w:hAnsi="Garamond"/>
          <w:sz w:val="24"/>
          <w:szCs w:val="24"/>
          <w:lang w:val="sq-AL"/>
        </w:rPr>
        <w:t xml:space="preserve">. 31, datë 26.12.2013, “Për emetimin nga qeveria e Republikës së Shqipërisë, të obligacioneve në formë regjistrimi”, i shtuar me </w:t>
      </w:r>
      <w:r w:rsidR="00732FDB" w:rsidRPr="00EC6AB6">
        <w:rPr>
          <w:rFonts w:ascii="Garamond" w:hAnsi="Garamond"/>
          <w:sz w:val="24"/>
          <w:szCs w:val="24"/>
          <w:lang w:val="sq-AL"/>
        </w:rPr>
        <w:t xml:space="preserve">udhëzimin </w:t>
      </w:r>
      <w:r w:rsidR="008B3748" w:rsidRPr="00EC6AB6">
        <w:rPr>
          <w:rFonts w:ascii="Garamond" w:hAnsi="Garamond"/>
          <w:sz w:val="24"/>
          <w:szCs w:val="24"/>
          <w:lang w:val="sq-AL"/>
        </w:rPr>
        <w:t xml:space="preserve">e </w:t>
      </w:r>
      <w:r w:rsidR="00732FDB" w:rsidRPr="00EC6AB6">
        <w:rPr>
          <w:rFonts w:ascii="Garamond" w:hAnsi="Garamond"/>
          <w:sz w:val="24"/>
          <w:szCs w:val="24"/>
          <w:lang w:val="sq-AL"/>
        </w:rPr>
        <w:t xml:space="preserve">ministrit </w:t>
      </w:r>
      <w:r w:rsidR="008B3748" w:rsidRPr="00EC6AB6">
        <w:rPr>
          <w:rFonts w:ascii="Garamond" w:hAnsi="Garamond"/>
          <w:sz w:val="24"/>
          <w:szCs w:val="24"/>
          <w:lang w:val="sq-AL"/>
        </w:rPr>
        <w:t xml:space="preserve">të Financave dhe Ekonomisë </w:t>
      </w:r>
      <w:r w:rsidR="00BE1816" w:rsidRPr="00EC6AB6">
        <w:rPr>
          <w:rFonts w:ascii="Garamond" w:hAnsi="Garamond"/>
          <w:sz w:val="24"/>
          <w:szCs w:val="24"/>
          <w:lang w:val="sq-AL"/>
        </w:rPr>
        <w:t>nr. 21, datë 22.</w:t>
      </w:r>
      <w:r w:rsidR="008B3748" w:rsidRPr="00EC6AB6">
        <w:rPr>
          <w:rFonts w:ascii="Garamond" w:hAnsi="Garamond"/>
          <w:sz w:val="24"/>
          <w:szCs w:val="24"/>
          <w:lang w:val="sq-AL"/>
        </w:rPr>
        <w:t>6.2018;</w:t>
      </w:r>
    </w:p>
    <w:p w14:paraId="4333BB10" w14:textId="2E601D1F"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udhëzimi </w:t>
      </w:r>
      <w:r w:rsidR="008B3748" w:rsidRPr="00EC6AB6">
        <w:rPr>
          <w:rFonts w:ascii="Garamond" w:hAnsi="Garamond"/>
          <w:sz w:val="24"/>
          <w:szCs w:val="24"/>
          <w:lang w:val="sq-AL"/>
        </w:rPr>
        <w:t xml:space="preserve">i </w:t>
      </w:r>
      <w:r w:rsidR="00BE1816" w:rsidRPr="00EC6AB6">
        <w:rPr>
          <w:rFonts w:ascii="Garamond" w:hAnsi="Garamond"/>
          <w:sz w:val="24"/>
          <w:szCs w:val="24"/>
          <w:lang w:val="sq-AL"/>
        </w:rPr>
        <w:t xml:space="preserve">ministrit të Financave nr. 35, datë </w:t>
      </w:r>
      <w:r w:rsidR="008B3748" w:rsidRPr="00EC6AB6">
        <w:rPr>
          <w:rFonts w:ascii="Garamond" w:hAnsi="Garamond"/>
          <w:sz w:val="24"/>
          <w:szCs w:val="24"/>
          <w:lang w:val="sq-AL"/>
        </w:rPr>
        <w:t>5.11.2008,</w:t>
      </w:r>
      <w:r w:rsidR="00FA2519" w:rsidRPr="00EC6AB6">
        <w:rPr>
          <w:rFonts w:ascii="Garamond" w:hAnsi="Garamond"/>
          <w:sz w:val="24"/>
          <w:szCs w:val="24"/>
          <w:lang w:val="sq-AL"/>
        </w:rPr>
        <w:t xml:space="preserve"> </w:t>
      </w:r>
      <w:r w:rsidR="008B3748" w:rsidRPr="00EC6AB6">
        <w:rPr>
          <w:rFonts w:ascii="Garamond" w:hAnsi="Garamond"/>
          <w:sz w:val="24"/>
          <w:szCs w:val="24"/>
          <w:lang w:val="sq-AL"/>
        </w:rPr>
        <w:t>“Për zbati</w:t>
      </w:r>
      <w:r w:rsidR="00BE1816" w:rsidRPr="00EC6AB6">
        <w:rPr>
          <w:rFonts w:ascii="Garamond" w:hAnsi="Garamond"/>
          <w:sz w:val="24"/>
          <w:szCs w:val="24"/>
          <w:lang w:val="sq-AL"/>
        </w:rPr>
        <w:t xml:space="preserve">min e ligjit </w:t>
      </w:r>
      <w:r w:rsidR="00732FDB" w:rsidRPr="00EC6AB6">
        <w:rPr>
          <w:rFonts w:ascii="Garamond" w:hAnsi="Garamond"/>
          <w:sz w:val="24"/>
          <w:szCs w:val="24"/>
          <w:lang w:val="sq-AL"/>
        </w:rPr>
        <w:t>nr</w:t>
      </w:r>
      <w:r w:rsidR="00BE1816" w:rsidRPr="00EC6AB6">
        <w:rPr>
          <w:rFonts w:ascii="Garamond" w:hAnsi="Garamond"/>
          <w:sz w:val="24"/>
          <w:szCs w:val="24"/>
          <w:lang w:val="sq-AL"/>
        </w:rPr>
        <w:t>. 9869, datë 4.</w:t>
      </w:r>
      <w:r w:rsidR="008B3748" w:rsidRPr="00EC6AB6">
        <w:rPr>
          <w:rFonts w:ascii="Garamond" w:hAnsi="Garamond"/>
          <w:sz w:val="24"/>
          <w:szCs w:val="24"/>
          <w:lang w:val="sq-AL"/>
        </w:rPr>
        <w:t>2.2008</w:t>
      </w:r>
      <w:r w:rsidR="00BE1816" w:rsidRPr="00EC6AB6">
        <w:rPr>
          <w:rFonts w:ascii="Garamond" w:hAnsi="Garamond"/>
          <w:sz w:val="24"/>
          <w:szCs w:val="24"/>
          <w:lang w:val="sq-AL"/>
        </w:rPr>
        <w:t>,</w:t>
      </w:r>
      <w:r w:rsidR="008B3748" w:rsidRPr="00EC6AB6">
        <w:rPr>
          <w:rFonts w:ascii="Garamond" w:hAnsi="Garamond"/>
          <w:sz w:val="24"/>
          <w:szCs w:val="24"/>
          <w:lang w:val="sq-AL"/>
        </w:rPr>
        <w:t xml:space="preserve"> “Për </w:t>
      </w:r>
      <w:r w:rsidR="00BE1816" w:rsidRPr="00EC6AB6">
        <w:rPr>
          <w:rFonts w:ascii="Garamond" w:hAnsi="Garamond"/>
          <w:sz w:val="24"/>
          <w:szCs w:val="24"/>
          <w:lang w:val="sq-AL"/>
        </w:rPr>
        <w:t>huamarrjen e qeverisjes vendore’</w:t>
      </w:r>
      <w:r w:rsidR="008B3748" w:rsidRPr="00EC6AB6">
        <w:rPr>
          <w:rFonts w:ascii="Garamond" w:hAnsi="Garamond"/>
          <w:sz w:val="24"/>
          <w:szCs w:val="24"/>
          <w:lang w:val="sq-AL"/>
        </w:rPr>
        <w:t>”;</w:t>
      </w:r>
    </w:p>
    <w:p w14:paraId="4333BB11" w14:textId="02EBFE64"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udhëzimi </w:t>
      </w:r>
      <w:r w:rsidR="008B3748" w:rsidRPr="00EC6AB6">
        <w:rPr>
          <w:rFonts w:ascii="Garamond" w:hAnsi="Garamond"/>
          <w:sz w:val="24"/>
          <w:szCs w:val="24"/>
          <w:lang w:val="sq-AL"/>
        </w:rPr>
        <w:t xml:space="preserve">i </w:t>
      </w:r>
      <w:r w:rsidR="00BE1816" w:rsidRPr="00EC6AB6">
        <w:rPr>
          <w:rFonts w:ascii="Garamond" w:hAnsi="Garamond"/>
          <w:sz w:val="24"/>
          <w:szCs w:val="24"/>
          <w:lang w:val="sq-AL"/>
        </w:rPr>
        <w:t>ministrit te Financave nr. 36, datë 10.</w:t>
      </w:r>
      <w:r w:rsidR="008B3748" w:rsidRPr="00EC6AB6">
        <w:rPr>
          <w:rFonts w:ascii="Garamond" w:hAnsi="Garamond"/>
          <w:sz w:val="24"/>
          <w:szCs w:val="24"/>
          <w:lang w:val="sq-AL"/>
        </w:rPr>
        <w:t xml:space="preserve">8.2009, “Për hartimin e regjistrit të borxhit shtetëror dhe garancive shtetërore të </w:t>
      </w:r>
      <w:r w:rsidR="002A3781" w:rsidRPr="00EC6AB6">
        <w:rPr>
          <w:rFonts w:ascii="Garamond" w:hAnsi="Garamond"/>
          <w:sz w:val="24"/>
          <w:szCs w:val="24"/>
          <w:lang w:val="sq-AL"/>
        </w:rPr>
        <w:t>huas</w:t>
      </w:r>
      <w:r w:rsidR="008B3748" w:rsidRPr="00EC6AB6">
        <w:rPr>
          <w:rFonts w:ascii="Garamond" w:hAnsi="Garamond"/>
          <w:sz w:val="24"/>
          <w:szCs w:val="24"/>
          <w:lang w:val="sq-AL"/>
        </w:rPr>
        <w:t>”;</w:t>
      </w:r>
    </w:p>
    <w:p w14:paraId="4333BB12" w14:textId="3849F9F1"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BE1816" w:rsidRPr="00EC6AB6">
        <w:rPr>
          <w:rFonts w:ascii="Garamond" w:hAnsi="Garamond"/>
          <w:sz w:val="24"/>
          <w:szCs w:val="24"/>
          <w:lang w:val="sq-AL"/>
        </w:rPr>
        <w:t xml:space="preserve">marrëveshja </w:t>
      </w:r>
      <w:r w:rsidR="008B3748" w:rsidRPr="00EC6AB6">
        <w:rPr>
          <w:rFonts w:ascii="Garamond" w:hAnsi="Garamond"/>
          <w:sz w:val="24"/>
          <w:szCs w:val="24"/>
          <w:lang w:val="sq-AL"/>
        </w:rPr>
        <w:t>ndërmjet Bankës së Shqipërisë dhe Ministrisë së Financave dhe Ekono</w:t>
      </w:r>
      <w:r w:rsidR="00BE1816" w:rsidRPr="00EC6AB6">
        <w:rPr>
          <w:rFonts w:ascii="Garamond" w:hAnsi="Garamond"/>
          <w:sz w:val="24"/>
          <w:szCs w:val="24"/>
          <w:lang w:val="sq-AL"/>
        </w:rPr>
        <w:t>misë, datë 20.</w:t>
      </w:r>
      <w:r w:rsidR="008B3748" w:rsidRPr="00EC6AB6">
        <w:rPr>
          <w:rFonts w:ascii="Garamond" w:hAnsi="Garamond"/>
          <w:sz w:val="24"/>
          <w:szCs w:val="24"/>
          <w:lang w:val="sq-AL"/>
        </w:rPr>
        <w:t xml:space="preserve">1.2015, “Për organizimin e ankandeve të titujve të shtetit shqiptar, shlyerjen e veprimeve dhe mbajtjen e </w:t>
      </w:r>
      <w:r w:rsidR="00BE1816" w:rsidRPr="00EC6AB6">
        <w:rPr>
          <w:rFonts w:ascii="Garamond" w:hAnsi="Garamond"/>
          <w:sz w:val="24"/>
          <w:szCs w:val="24"/>
          <w:lang w:val="sq-AL"/>
        </w:rPr>
        <w:t>regjistrit</w:t>
      </w:r>
      <w:r w:rsidR="008B3748" w:rsidRPr="00EC6AB6">
        <w:rPr>
          <w:rFonts w:ascii="Garamond" w:hAnsi="Garamond"/>
          <w:sz w:val="24"/>
          <w:szCs w:val="24"/>
          <w:lang w:val="sq-AL"/>
        </w:rPr>
        <w:t xml:space="preserve"> të këty</w:t>
      </w:r>
      <w:r w:rsidR="00BE1816" w:rsidRPr="00EC6AB6">
        <w:rPr>
          <w:rFonts w:ascii="Garamond" w:hAnsi="Garamond"/>
          <w:sz w:val="24"/>
          <w:szCs w:val="24"/>
          <w:lang w:val="sq-AL"/>
        </w:rPr>
        <w:t xml:space="preserve">re titujve”, </w:t>
      </w:r>
      <w:r w:rsidR="00732FDB">
        <w:rPr>
          <w:rFonts w:ascii="Garamond" w:hAnsi="Garamond"/>
          <w:sz w:val="24"/>
          <w:szCs w:val="24"/>
          <w:lang w:val="sq-AL"/>
        </w:rPr>
        <w:t xml:space="preserve">e </w:t>
      </w:r>
      <w:r w:rsidR="00BE1816" w:rsidRPr="00EC6AB6">
        <w:rPr>
          <w:rFonts w:ascii="Garamond" w:hAnsi="Garamond"/>
          <w:sz w:val="24"/>
          <w:szCs w:val="24"/>
          <w:lang w:val="sq-AL"/>
        </w:rPr>
        <w:t>ndryshuar më datë 6.</w:t>
      </w:r>
      <w:r w:rsidR="008B3748" w:rsidRPr="00EC6AB6">
        <w:rPr>
          <w:rFonts w:ascii="Garamond" w:hAnsi="Garamond"/>
          <w:sz w:val="24"/>
          <w:szCs w:val="24"/>
          <w:lang w:val="sq-AL"/>
        </w:rPr>
        <w:t xml:space="preserve">7.2018 (BSH - </w:t>
      </w:r>
      <w:r w:rsidR="00BE1816" w:rsidRPr="00EC6AB6">
        <w:rPr>
          <w:rFonts w:ascii="Garamond" w:hAnsi="Garamond"/>
          <w:sz w:val="24"/>
          <w:szCs w:val="24"/>
          <w:lang w:val="sq-AL"/>
        </w:rPr>
        <w:t>nr</w:t>
      </w:r>
      <w:r w:rsidR="008B3748" w:rsidRPr="00EC6AB6">
        <w:rPr>
          <w:rFonts w:ascii="Garamond" w:hAnsi="Garamond"/>
          <w:sz w:val="24"/>
          <w:szCs w:val="24"/>
          <w:lang w:val="sq-AL"/>
        </w:rPr>
        <w:t xml:space="preserve">. 3632 </w:t>
      </w:r>
      <w:r w:rsidR="00BE1816" w:rsidRPr="00EC6AB6">
        <w:rPr>
          <w:rFonts w:ascii="Garamond" w:hAnsi="Garamond"/>
          <w:sz w:val="24"/>
          <w:szCs w:val="24"/>
          <w:lang w:val="sq-AL"/>
        </w:rPr>
        <w:t>prot</w:t>
      </w:r>
      <w:r w:rsidR="008B3748" w:rsidRPr="00EC6AB6">
        <w:rPr>
          <w:rFonts w:ascii="Garamond" w:hAnsi="Garamond"/>
          <w:sz w:val="24"/>
          <w:szCs w:val="24"/>
          <w:lang w:val="sq-AL"/>
        </w:rPr>
        <w:t xml:space="preserve">., MFE - </w:t>
      </w:r>
      <w:r w:rsidR="00BE1816" w:rsidRPr="00EC6AB6">
        <w:rPr>
          <w:rFonts w:ascii="Garamond" w:hAnsi="Garamond"/>
          <w:sz w:val="24"/>
          <w:szCs w:val="24"/>
          <w:lang w:val="sq-AL"/>
        </w:rPr>
        <w:t>nr</w:t>
      </w:r>
      <w:r w:rsidR="008B3748" w:rsidRPr="00EC6AB6">
        <w:rPr>
          <w:rFonts w:ascii="Garamond" w:hAnsi="Garamond"/>
          <w:sz w:val="24"/>
          <w:szCs w:val="24"/>
          <w:lang w:val="sq-AL"/>
        </w:rPr>
        <w:t xml:space="preserve">. 12981 </w:t>
      </w:r>
      <w:r w:rsidR="00BE1816" w:rsidRPr="00EC6AB6">
        <w:rPr>
          <w:rFonts w:ascii="Garamond" w:hAnsi="Garamond"/>
          <w:sz w:val="24"/>
          <w:szCs w:val="24"/>
          <w:lang w:val="sq-AL"/>
        </w:rPr>
        <w:t>prot</w:t>
      </w:r>
      <w:r w:rsidR="008B3748" w:rsidRPr="00EC6AB6">
        <w:rPr>
          <w:rFonts w:ascii="Garamond" w:hAnsi="Garamond"/>
          <w:sz w:val="24"/>
          <w:szCs w:val="24"/>
          <w:lang w:val="sq-AL"/>
        </w:rPr>
        <w:t>.). </w:t>
      </w:r>
    </w:p>
    <w:p w14:paraId="4333BB13" w14:textId="09065790"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2. </w:t>
      </w:r>
      <w:r w:rsidR="008B3748" w:rsidRPr="00EC6AB6">
        <w:rPr>
          <w:rFonts w:ascii="Garamond" w:hAnsi="Garamond"/>
          <w:sz w:val="24"/>
          <w:szCs w:val="24"/>
          <w:lang w:val="sq-AL"/>
        </w:rPr>
        <w:t>Publikime periodike të Ministrisë së Financave dhe Ekonomisë në lidhje me borxhin</w:t>
      </w:r>
      <w:r w:rsidR="00732FDB">
        <w:rPr>
          <w:rFonts w:ascii="Garamond" w:hAnsi="Garamond"/>
          <w:sz w:val="24"/>
          <w:szCs w:val="24"/>
          <w:lang w:val="sq-AL"/>
        </w:rPr>
        <w:t>:</w:t>
      </w:r>
    </w:p>
    <w:p w14:paraId="4333BB14" w14:textId="77777777"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Buletini i borxhit publik:</w:t>
      </w:r>
    </w:p>
    <w:p w14:paraId="4333BB15" w14:textId="77777777" w:rsidR="008B3748" w:rsidRPr="00EC6AB6" w:rsidRDefault="00B73259" w:rsidP="008B3748">
      <w:pPr>
        <w:spacing w:after="0" w:line="240" w:lineRule="auto"/>
        <w:rPr>
          <w:rFonts w:ascii="Garamond" w:hAnsi="Garamond"/>
          <w:sz w:val="24"/>
          <w:szCs w:val="24"/>
          <w:lang w:val="sq-AL"/>
        </w:rPr>
      </w:pPr>
      <w:hyperlink r:id="rId49" w:history="1">
        <w:r w:rsidR="008B3748" w:rsidRPr="00EC6AB6">
          <w:rPr>
            <w:rStyle w:val="Hyperlink"/>
            <w:rFonts w:ascii="Garamond" w:hAnsi="Garamond"/>
            <w:sz w:val="24"/>
            <w:szCs w:val="24"/>
            <w:lang w:val="sq-AL"/>
          </w:rPr>
          <w:t>http://www.financa.gov.al/al/raportime/borxhi/treguesit-e-borxhit</w:t>
        </w:r>
      </w:hyperlink>
    </w:p>
    <w:p w14:paraId="4333BB16" w14:textId="77777777"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Regjistri i emetimeve të borxhit publik:</w:t>
      </w:r>
    </w:p>
    <w:p w14:paraId="4333BB17" w14:textId="77777777" w:rsidR="008B3748" w:rsidRPr="00EC6AB6" w:rsidRDefault="00B73259" w:rsidP="008B3748">
      <w:pPr>
        <w:spacing w:after="0" w:line="240" w:lineRule="auto"/>
        <w:rPr>
          <w:rFonts w:ascii="Garamond" w:hAnsi="Garamond"/>
          <w:sz w:val="24"/>
          <w:szCs w:val="24"/>
          <w:lang w:val="sq-AL"/>
        </w:rPr>
      </w:pPr>
      <w:hyperlink r:id="rId50" w:history="1">
        <w:r w:rsidR="008B3748" w:rsidRPr="00EC6AB6">
          <w:rPr>
            <w:rStyle w:val="Hyperlink"/>
            <w:rFonts w:ascii="Garamond" w:hAnsi="Garamond"/>
            <w:sz w:val="24"/>
            <w:szCs w:val="24"/>
            <w:lang w:val="sq-AL"/>
          </w:rPr>
          <w:t>http://www.financa.gov.al/al/raportime/borxhi/regjistri-i-borxhit</w:t>
        </w:r>
      </w:hyperlink>
    </w:p>
    <w:p w14:paraId="4333BB18" w14:textId="77777777" w:rsidR="008B3748" w:rsidRPr="00EC6AB6" w:rsidRDefault="009926F1" w:rsidP="008B3748">
      <w:pPr>
        <w:spacing w:after="0" w:line="240" w:lineRule="auto"/>
        <w:rPr>
          <w:rFonts w:ascii="Garamond" w:hAnsi="Garamond"/>
          <w:sz w:val="24"/>
          <w:szCs w:val="24"/>
          <w:lang w:val="sq-AL"/>
        </w:rPr>
      </w:pPr>
      <w:r w:rsidRPr="00EC6AB6">
        <w:rPr>
          <w:rFonts w:ascii="Garamond" w:hAnsi="Garamond"/>
          <w:sz w:val="24"/>
          <w:szCs w:val="24"/>
          <w:lang w:val="sq-AL"/>
        </w:rPr>
        <w:t xml:space="preserve">- </w:t>
      </w:r>
      <w:r w:rsidR="008B3748" w:rsidRPr="00EC6AB6">
        <w:rPr>
          <w:rFonts w:ascii="Garamond" w:hAnsi="Garamond"/>
          <w:sz w:val="24"/>
          <w:szCs w:val="24"/>
          <w:lang w:val="sq-AL"/>
        </w:rPr>
        <w:t>Informacion mbi ankandet e emetimit të titujve shtetërorë të qeverisë:</w:t>
      </w:r>
    </w:p>
    <w:p w14:paraId="4333BB19" w14:textId="77777777" w:rsidR="008B3748" w:rsidRPr="00EC6AB6" w:rsidRDefault="00B73259" w:rsidP="008B3748">
      <w:pPr>
        <w:spacing w:after="0" w:line="240" w:lineRule="auto"/>
        <w:rPr>
          <w:rFonts w:ascii="Garamond" w:hAnsi="Garamond"/>
          <w:sz w:val="24"/>
          <w:szCs w:val="24"/>
          <w:lang w:val="sq-AL"/>
        </w:rPr>
      </w:pPr>
      <w:hyperlink r:id="rId51" w:history="1">
        <w:r w:rsidR="008B3748" w:rsidRPr="00EC6AB6">
          <w:rPr>
            <w:rStyle w:val="Hyperlink"/>
            <w:rFonts w:ascii="Garamond" w:hAnsi="Garamond"/>
            <w:sz w:val="24"/>
            <w:szCs w:val="24"/>
            <w:lang w:val="sq-AL"/>
          </w:rPr>
          <w:t>http://www.financa.gov.al/al/raportime/borxhi/ankandet-e-emetimit-te-letrave-me-vlere-te-qeverise</w:t>
        </w:r>
      </w:hyperlink>
      <w:r w:rsidR="008B3748" w:rsidRPr="00EC6AB6">
        <w:rPr>
          <w:rFonts w:ascii="Garamond" w:hAnsi="Garamond"/>
          <w:sz w:val="24"/>
          <w:szCs w:val="24"/>
          <w:lang w:val="sq-AL"/>
        </w:rPr>
        <w:t xml:space="preserve"> </w:t>
      </w:r>
    </w:p>
    <w:p w14:paraId="4333BB1A" w14:textId="77777777" w:rsidR="008B3748" w:rsidRPr="00EC6AB6" w:rsidRDefault="008B3748" w:rsidP="008B3748">
      <w:pPr>
        <w:spacing w:after="0" w:line="240" w:lineRule="auto"/>
        <w:rPr>
          <w:rFonts w:ascii="Garamond" w:hAnsi="Garamond"/>
          <w:sz w:val="24"/>
          <w:szCs w:val="24"/>
          <w:lang w:val="sq-AL"/>
        </w:rPr>
      </w:pPr>
    </w:p>
    <w:p w14:paraId="4333BB1B" w14:textId="77777777" w:rsidR="008B3748" w:rsidRPr="00EC6AB6" w:rsidRDefault="008B3748" w:rsidP="008B3748">
      <w:pPr>
        <w:spacing w:after="0" w:line="240" w:lineRule="auto"/>
        <w:rPr>
          <w:rFonts w:ascii="Garamond" w:hAnsi="Garamond"/>
          <w:sz w:val="24"/>
          <w:szCs w:val="24"/>
          <w:lang w:val="sq-AL"/>
        </w:rPr>
      </w:pPr>
    </w:p>
    <w:p w14:paraId="4333BB1C" w14:textId="77777777" w:rsidR="008B3748" w:rsidRPr="00EC6AB6" w:rsidRDefault="008B3748" w:rsidP="008B3748">
      <w:pPr>
        <w:spacing w:after="0" w:line="240" w:lineRule="auto"/>
        <w:rPr>
          <w:rFonts w:ascii="Garamond" w:hAnsi="Garamond"/>
          <w:sz w:val="24"/>
          <w:szCs w:val="24"/>
          <w:lang w:val="sq-AL"/>
        </w:rPr>
      </w:pPr>
    </w:p>
    <w:p w14:paraId="4333BB1D" w14:textId="77777777" w:rsidR="008B3748" w:rsidRPr="00EC6AB6" w:rsidRDefault="008B3748" w:rsidP="008B3748">
      <w:pPr>
        <w:spacing w:after="0" w:line="240" w:lineRule="auto"/>
        <w:rPr>
          <w:rFonts w:ascii="Garamond" w:hAnsi="Garamond"/>
          <w:sz w:val="24"/>
          <w:szCs w:val="24"/>
          <w:lang w:val="sq-AL"/>
        </w:rPr>
      </w:pPr>
    </w:p>
    <w:p w14:paraId="4333BB1E" w14:textId="77777777" w:rsidR="008B3748" w:rsidRPr="00EC6AB6" w:rsidRDefault="008B3748" w:rsidP="008B3748">
      <w:pPr>
        <w:spacing w:after="0" w:line="240" w:lineRule="auto"/>
        <w:rPr>
          <w:rFonts w:ascii="Garamond" w:hAnsi="Garamond"/>
          <w:sz w:val="24"/>
          <w:szCs w:val="24"/>
          <w:lang w:val="sq-AL"/>
        </w:rPr>
      </w:pPr>
    </w:p>
    <w:p w14:paraId="4333BB1F" w14:textId="77777777" w:rsidR="008B3748" w:rsidRPr="00EC6AB6" w:rsidRDefault="008B3748" w:rsidP="008B3748">
      <w:pPr>
        <w:spacing w:after="0" w:line="240" w:lineRule="auto"/>
        <w:rPr>
          <w:rFonts w:ascii="Garamond" w:hAnsi="Garamond"/>
          <w:sz w:val="24"/>
          <w:szCs w:val="24"/>
          <w:lang w:val="sq-AL"/>
        </w:rPr>
      </w:pPr>
    </w:p>
    <w:p w14:paraId="4333BB20" w14:textId="77777777" w:rsidR="008B3748" w:rsidRPr="00EC6AB6" w:rsidRDefault="008B3748" w:rsidP="008B3748">
      <w:pPr>
        <w:spacing w:after="0" w:line="240" w:lineRule="auto"/>
        <w:rPr>
          <w:rFonts w:ascii="Garamond" w:hAnsi="Garamond"/>
          <w:sz w:val="24"/>
          <w:szCs w:val="24"/>
          <w:lang w:val="sq-AL"/>
        </w:rPr>
      </w:pPr>
    </w:p>
    <w:p w14:paraId="4333BB21" w14:textId="77777777" w:rsidR="008B3748" w:rsidRPr="00EC6AB6" w:rsidRDefault="008B3748" w:rsidP="008B3748">
      <w:pPr>
        <w:spacing w:after="0" w:line="240" w:lineRule="auto"/>
        <w:rPr>
          <w:rFonts w:ascii="Garamond" w:hAnsi="Garamond"/>
          <w:sz w:val="24"/>
          <w:szCs w:val="24"/>
          <w:lang w:val="sq-AL"/>
        </w:rPr>
      </w:pPr>
    </w:p>
    <w:p w14:paraId="4333BB22" w14:textId="77777777" w:rsidR="008B3748" w:rsidRPr="00EC6AB6" w:rsidRDefault="008B3748" w:rsidP="008B3748">
      <w:pPr>
        <w:spacing w:after="0" w:line="240" w:lineRule="auto"/>
        <w:rPr>
          <w:rFonts w:ascii="Garamond" w:hAnsi="Garamond"/>
          <w:sz w:val="24"/>
          <w:szCs w:val="24"/>
          <w:lang w:val="sq-AL"/>
        </w:rPr>
      </w:pPr>
    </w:p>
    <w:p w14:paraId="4333BB23" w14:textId="77777777" w:rsidR="008B3748" w:rsidRPr="00EC6AB6" w:rsidRDefault="008B3748" w:rsidP="008B3748">
      <w:pPr>
        <w:spacing w:after="0" w:line="240" w:lineRule="auto"/>
        <w:rPr>
          <w:rFonts w:ascii="Garamond" w:hAnsi="Garamond"/>
          <w:sz w:val="24"/>
          <w:szCs w:val="24"/>
          <w:lang w:val="sq-AL"/>
        </w:rPr>
      </w:pPr>
    </w:p>
    <w:p w14:paraId="4333BB24" w14:textId="77777777" w:rsidR="008B3748" w:rsidRPr="00EC6AB6" w:rsidRDefault="008B3748" w:rsidP="008B3748">
      <w:pPr>
        <w:spacing w:after="0" w:line="240" w:lineRule="auto"/>
        <w:rPr>
          <w:rFonts w:ascii="Garamond" w:hAnsi="Garamond"/>
          <w:sz w:val="24"/>
          <w:szCs w:val="24"/>
          <w:lang w:val="sq-AL"/>
        </w:rPr>
      </w:pPr>
    </w:p>
    <w:p w14:paraId="4333BB25" w14:textId="77777777" w:rsidR="008B3748" w:rsidRPr="00EC6AB6" w:rsidRDefault="008B3748" w:rsidP="008B3748">
      <w:pPr>
        <w:spacing w:after="0" w:line="240" w:lineRule="auto"/>
        <w:rPr>
          <w:rFonts w:ascii="Garamond" w:hAnsi="Garamond"/>
          <w:sz w:val="24"/>
          <w:szCs w:val="24"/>
          <w:lang w:val="sq-AL"/>
        </w:rPr>
      </w:pPr>
    </w:p>
    <w:p w14:paraId="4333BB26" w14:textId="77777777" w:rsidR="008B3748" w:rsidRPr="00EC6AB6" w:rsidRDefault="008B3748" w:rsidP="008B3748">
      <w:pPr>
        <w:spacing w:after="0" w:line="240" w:lineRule="auto"/>
        <w:rPr>
          <w:rFonts w:ascii="Garamond" w:hAnsi="Garamond"/>
          <w:sz w:val="24"/>
          <w:szCs w:val="24"/>
          <w:lang w:val="sq-AL"/>
        </w:rPr>
      </w:pPr>
    </w:p>
    <w:p w14:paraId="4333BB27" w14:textId="77777777" w:rsidR="008B3748" w:rsidRPr="00EC6AB6" w:rsidRDefault="008B3748" w:rsidP="008B3748">
      <w:pPr>
        <w:spacing w:after="0" w:line="240" w:lineRule="auto"/>
        <w:rPr>
          <w:rFonts w:ascii="Garamond" w:hAnsi="Garamond"/>
          <w:sz w:val="24"/>
          <w:szCs w:val="24"/>
          <w:lang w:val="sq-AL"/>
        </w:rPr>
      </w:pPr>
    </w:p>
    <w:p w14:paraId="4333BB28" w14:textId="77777777" w:rsidR="008B3748" w:rsidRPr="00EC6AB6" w:rsidRDefault="008B3748" w:rsidP="008B3748">
      <w:pPr>
        <w:spacing w:after="0" w:line="240" w:lineRule="auto"/>
        <w:rPr>
          <w:rFonts w:ascii="Garamond" w:hAnsi="Garamond"/>
          <w:sz w:val="24"/>
          <w:szCs w:val="24"/>
          <w:lang w:val="sq-AL"/>
        </w:rPr>
      </w:pPr>
    </w:p>
    <w:p w14:paraId="4333BB29" w14:textId="77777777" w:rsidR="004D0B64" w:rsidRPr="00EC6AB6" w:rsidRDefault="004D0B64" w:rsidP="008B3748">
      <w:pPr>
        <w:spacing w:after="0" w:line="240" w:lineRule="auto"/>
        <w:rPr>
          <w:rFonts w:ascii="Garamond" w:hAnsi="Garamond"/>
          <w:sz w:val="24"/>
          <w:szCs w:val="24"/>
          <w:lang w:val="sq-AL"/>
        </w:rPr>
      </w:pPr>
    </w:p>
    <w:sectPr w:rsidR="004D0B64" w:rsidRPr="00EC6AB6" w:rsidSect="00721338">
      <w:headerReference w:type="default" r:id="rId52"/>
      <w:footerReference w:type="default" r:id="rId53"/>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53EB27" w14:textId="77777777" w:rsidR="00B73259" w:rsidRDefault="00B73259" w:rsidP="00375B7D">
      <w:pPr>
        <w:spacing w:after="0" w:line="240" w:lineRule="auto"/>
      </w:pPr>
      <w:r>
        <w:separator/>
      </w:r>
    </w:p>
  </w:endnote>
  <w:endnote w:type="continuationSeparator" w:id="0">
    <w:p w14:paraId="7062AA94" w14:textId="77777777" w:rsidR="00B73259" w:rsidRDefault="00B73259" w:rsidP="00375B7D">
      <w:pPr>
        <w:spacing w:after="0" w:line="240" w:lineRule="auto"/>
      </w:pPr>
      <w:r>
        <w:continuationSeparator/>
      </w:r>
    </w:p>
  </w:endnote>
  <w:endnote w:type="continuationNotice" w:id="1">
    <w:p w14:paraId="1AEB8B7B" w14:textId="77777777" w:rsidR="00B73259" w:rsidRDefault="00B732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3BB8B" w14:textId="77777777" w:rsidR="00B73259" w:rsidRDefault="00B7325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25513" w14:textId="77777777" w:rsidR="00B73259" w:rsidRDefault="00B73259" w:rsidP="00375B7D">
      <w:pPr>
        <w:spacing w:after="0" w:line="240" w:lineRule="auto"/>
      </w:pPr>
      <w:r>
        <w:separator/>
      </w:r>
    </w:p>
  </w:footnote>
  <w:footnote w:type="continuationSeparator" w:id="0">
    <w:p w14:paraId="09171726" w14:textId="77777777" w:rsidR="00B73259" w:rsidRDefault="00B73259" w:rsidP="00375B7D">
      <w:pPr>
        <w:spacing w:after="0" w:line="240" w:lineRule="auto"/>
      </w:pPr>
      <w:r>
        <w:continuationSeparator/>
      </w:r>
    </w:p>
  </w:footnote>
  <w:footnote w:type="continuationNotice" w:id="1">
    <w:p w14:paraId="0200516E" w14:textId="77777777" w:rsidR="00B73259" w:rsidRDefault="00B73259">
      <w:pPr>
        <w:spacing w:after="0" w:line="240" w:lineRule="auto"/>
      </w:pPr>
    </w:p>
  </w:footnote>
  <w:footnote w:id="2">
    <w:p w14:paraId="4333BB8C" w14:textId="26FF37D4" w:rsidR="00B73259" w:rsidRPr="002A3781" w:rsidRDefault="00B73259" w:rsidP="006E7BC6">
      <w:pPr>
        <w:spacing w:after="0" w:line="240" w:lineRule="auto"/>
        <w:ind w:firstLine="0"/>
        <w:rPr>
          <w:rFonts w:ascii="Garamond" w:hAnsi="Garamond"/>
          <w:sz w:val="20"/>
          <w:szCs w:val="20"/>
          <w:lang w:val="sq-AL"/>
        </w:rPr>
      </w:pPr>
      <w:r w:rsidRPr="002A3781">
        <w:rPr>
          <w:rFonts w:ascii="Garamond" w:hAnsi="Garamond"/>
          <w:sz w:val="20"/>
          <w:szCs w:val="20"/>
          <w:vertAlign w:val="superscript"/>
          <w:lang w:val="sq-AL"/>
        </w:rPr>
        <w:footnoteRef/>
      </w:r>
      <w:r w:rsidRPr="002A3781">
        <w:rPr>
          <w:rFonts w:ascii="Garamond" w:hAnsi="Garamond"/>
          <w:sz w:val="20"/>
          <w:szCs w:val="20"/>
          <w:lang w:val="sq-AL"/>
        </w:rPr>
        <w:t xml:space="preserve"> Neni 6 i ligjit nr. 9665, datë 18.12.2006, “Për huamarrjen shtetërore, borxhin shtetëror dhe garancitë shtetërore të huas në Republikën e Shqipërisë”, të ndryshuar.</w:t>
      </w:r>
    </w:p>
  </w:footnote>
  <w:footnote w:id="3">
    <w:p w14:paraId="4333BB8F" w14:textId="489359B9" w:rsidR="00B73259" w:rsidRDefault="00B73259" w:rsidP="00383E14">
      <w:pPr>
        <w:spacing w:after="0"/>
        <w:ind w:firstLine="0"/>
        <w:rPr>
          <w:rFonts w:asciiTheme="minorHAnsi" w:hAnsiTheme="minorHAnsi" w:cstheme="minorBidi"/>
          <w:sz w:val="8"/>
          <w:szCs w:val="8"/>
        </w:rPr>
      </w:pPr>
      <w:r w:rsidRPr="002A3781">
        <w:rPr>
          <w:rFonts w:ascii="Garamond" w:hAnsi="Garamond"/>
          <w:sz w:val="20"/>
          <w:szCs w:val="20"/>
          <w:vertAlign w:val="superscript"/>
          <w:lang w:val="sq-AL"/>
        </w:rPr>
        <w:footnoteRef/>
      </w:r>
      <w:r w:rsidRPr="002A3781">
        <w:rPr>
          <w:rFonts w:ascii="Garamond" w:hAnsi="Garamond"/>
          <w:sz w:val="20"/>
          <w:szCs w:val="20"/>
          <w:vertAlign w:val="superscript"/>
          <w:lang w:val="sq-AL"/>
        </w:rPr>
        <w:t xml:space="preserve"> </w:t>
      </w:r>
      <w:r w:rsidRPr="002A3781">
        <w:rPr>
          <w:rFonts w:ascii="Garamond" w:hAnsi="Garamond"/>
          <w:sz w:val="20"/>
          <w:szCs w:val="20"/>
          <w:lang w:val="sq-AL"/>
        </w:rPr>
        <w:t>PBB</w:t>
      </w:r>
      <w:r>
        <w:rPr>
          <w:rFonts w:ascii="Garamond" w:hAnsi="Garamond"/>
          <w:sz w:val="20"/>
          <w:szCs w:val="20"/>
          <w:lang w:val="sq-AL"/>
        </w:rPr>
        <w:t>-ja</w:t>
      </w:r>
      <w:r w:rsidRPr="002A3781">
        <w:rPr>
          <w:rFonts w:ascii="Garamond" w:hAnsi="Garamond"/>
          <w:sz w:val="20"/>
          <w:szCs w:val="20"/>
          <w:lang w:val="sq-AL"/>
        </w:rPr>
        <w:t xml:space="preserve"> u referohet të dhënave të kuadrit makroekonomik dhe fiskal të rishikuar për periudhën 2021</w:t>
      </w:r>
      <w:r>
        <w:rPr>
          <w:rFonts w:ascii="Garamond" w:hAnsi="Garamond"/>
          <w:sz w:val="20"/>
          <w:szCs w:val="20"/>
          <w:lang w:val="sq-AL"/>
        </w:rPr>
        <w:t>–</w:t>
      </w:r>
      <w:r w:rsidRPr="002A3781">
        <w:rPr>
          <w:rFonts w:ascii="Garamond" w:hAnsi="Garamond"/>
          <w:sz w:val="20"/>
          <w:szCs w:val="20"/>
          <w:lang w:val="sq-AL"/>
        </w:rPr>
        <w:t>2023, miratuar me VKM</w:t>
      </w:r>
      <w:r>
        <w:rPr>
          <w:rFonts w:ascii="Garamond" w:hAnsi="Garamond"/>
          <w:sz w:val="20"/>
          <w:szCs w:val="20"/>
          <w:lang w:val="sq-AL"/>
        </w:rPr>
        <w:t>-në</w:t>
      </w:r>
      <w:r w:rsidRPr="002A3781">
        <w:rPr>
          <w:rFonts w:ascii="Garamond" w:hAnsi="Garamond"/>
          <w:sz w:val="20"/>
          <w:szCs w:val="20"/>
          <w:lang w:val="sq-AL"/>
        </w:rPr>
        <w:t xml:space="preserve"> nr. 574, </w:t>
      </w:r>
      <w:r>
        <w:rPr>
          <w:rFonts w:ascii="Garamond" w:hAnsi="Garamond"/>
          <w:sz w:val="20"/>
          <w:szCs w:val="20"/>
          <w:lang w:val="sq-AL"/>
        </w:rPr>
        <w:t>datë 22.</w:t>
      </w:r>
      <w:r w:rsidRPr="002A3781">
        <w:rPr>
          <w:rFonts w:ascii="Garamond" w:hAnsi="Garamond"/>
          <w:sz w:val="20"/>
          <w:szCs w:val="20"/>
          <w:lang w:val="sq-AL"/>
        </w:rPr>
        <w:t>7.2020.</w:t>
      </w:r>
    </w:p>
  </w:footnote>
  <w:footnote w:id="4">
    <w:p w14:paraId="4333BB90" w14:textId="77777777" w:rsidR="00B73259" w:rsidRPr="00155298" w:rsidRDefault="00B73259" w:rsidP="00155298">
      <w:pPr>
        <w:spacing w:after="0"/>
        <w:ind w:firstLine="0"/>
        <w:rPr>
          <w:rFonts w:ascii="Garamond" w:hAnsi="Garamond"/>
          <w:sz w:val="20"/>
          <w:szCs w:val="20"/>
          <w:lang w:val="sq-AL"/>
        </w:rPr>
      </w:pPr>
      <w:r w:rsidRPr="00155298">
        <w:rPr>
          <w:rFonts w:ascii="Garamond" w:hAnsi="Garamond"/>
          <w:sz w:val="20"/>
          <w:szCs w:val="20"/>
          <w:vertAlign w:val="superscript"/>
          <w:lang w:val="sq-AL"/>
        </w:rPr>
        <w:footnoteRef/>
      </w:r>
      <w:r w:rsidRPr="00155298">
        <w:rPr>
          <w:rFonts w:ascii="Garamond" w:hAnsi="Garamond"/>
          <w:sz w:val="20"/>
          <w:szCs w:val="20"/>
          <w:lang w:val="sq-AL"/>
        </w:rPr>
        <w:t xml:space="preserve"> </w:t>
      </w:r>
      <w:r w:rsidRPr="00155298">
        <w:rPr>
          <w:rFonts w:ascii="Garamond" w:hAnsi="Garamond"/>
          <w:sz w:val="20"/>
          <w:szCs w:val="20"/>
          <w:lang w:val="sq-AL"/>
        </w:rPr>
        <w:t>Titujt afatshkurtër nga pikëpamja e riskut të normave të interesit konsiderohen si instrumente me norma interesi të ndryshueshme.</w:t>
      </w:r>
    </w:p>
  </w:footnote>
  <w:footnote w:id="5">
    <w:p w14:paraId="4333BB91" w14:textId="0D580AD0" w:rsidR="00B73259" w:rsidRPr="002E2A73" w:rsidRDefault="00B73259" w:rsidP="008B3748">
      <w:pPr>
        <w:pStyle w:val="FootnoteText"/>
        <w:ind w:left="284" w:right="380" w:hanging="284"/>
        <w:rPr>
          <w:rFonts w:ascii="Garamond" w:hAnsi="Garamond"/>
          <w:lang w:val="it-IT"/>
        </w:rPr>
      </w:pPr>
      <w:r w:rsidRPr="002E2A73">
        <w:rPr>
          <w:rStyle w:val="FootnoteReference"/>
          <w:rFonts w:ascii="Garamond" w:hAnsi="Garamond"/>
        </w:rPr>
        <w:footnoteRef/>
      </w:r>
      <w:r>
        <w:rPr>
          <w:rFonts w:ascii="Garamond" w:hAnsi="Garamond"/>
        </w:rPr>
        <w:t xml:space="preserve"> </w:t>
      </w:r>
      <w:r w:rsidRPr="002E2A73">
        <w:rPr>
          <w:rFonts w:ascii="Garamond" w:hAnsi="Garamond"/>
        </w:rPr>
        <w:t>Duke përfshirë edhe peshën që mban monedha EUR brenda shportës së monedhave SDR dhe ACU.</w:t>
      </w:r>
    </w:p>
  </w:footnote>
  <w:footnote w:id="6">
    <w:p w14:paraId="4333BB92" w14:textId="05A37341" w:rsidR="00B73259" w:rsidRPr="00B6338F" w:rsidRDefault="00B73259" w:rsidP="008B3748">
      <w:pPr>
        <w:pStyle w:val="FootnoteText"/>
        <w:ind w:left="426" w:hanging="426"/>
        <w:rPr>
          <w:rFonts w:ascii="Garamond" w:hAnsi="Garamond" w:cstheme="minorBidi"/>
          <w:lang w:val="it-IT"/>
        </w:rPr>
      </w:pPr>
      <w:r w:rsidRPr="00B6338F">
        <w:rPr>
          <w:rStyle w:val="FootnoteReference"/>
          <w:rFonts w:ascii="Garamond" w:hAnsi="Garamond"/>
        </w:rPr>
        <w:footnoteRef/>
      </w:r>
      <w:r w:rsidRPr="00B6338F">
        <w:rPr>
          <w:rFonts w:ascii="Garamond" w:hAnsi="Garamond"/>
        </w:rPr>
        <w:t xml:space="preserve"> </w:t>
      </w:r>
      <w:r w:rsidRPr="00B6338F">
        <w:rPr>
          <w:rFonts w:ascii="Garamond" w:hAnsi="Garamond"/>
        </w:rPr>
        <w:t>I referohet borxhit shtetëror të brendshëm dhe atij të huaj me maturitet të mbetur deri në një vit.</w:t>
      </w:r>
    </w:p>
  </w:footnote>
  <w:footnote w:id="7">
    <w:p w14:paraId="4333BB93" w14:textId="6A894619" w:rsidR="00B73259" w:rsidRPr="000542E3" w:rsidRDefault="00B73259" w:rsidP="008B3748">
      <w:pPr>
        <w:pStyle w:val="FootnoteText"/>
        <w:ind w:left="284" w:hanging="284"/>
        <w:rPr>
          <w:rFonts w:ascii="Garamond" w:hAnsi="Garamond"/>
          <w:lang w:val="it-IT"/>
        </w:rPr>
      </w:pPr>
      <w:r w:rsidRPr="000542E3">
        <w:rPr>
          <w:rStyle w:val="FootnoteReference"/>
          <w:rFonts w:ascii="Garamond" w:hAnsi="Garamond"/>
        </w:rPr>
        <w:footnoteRef/>
      </w:r>
      <w:r>
        <w:rPr>
          <w:rFonts w:ascii="Garamond" w:hAnsi="Garamond"/>
        </w:rPr>
        <w:t xml:space="preserve"> </w:t>
      </w:r>
      <w:r w:rsidRPr="000542E3">
        <w:rPr>
          <w:rFonts w:ascii="Garamond" w:hAnsi="Garamond"/>
          <w:lang w:val="it-IT"/>
        </w:rPr>
        <w:t>Bazuar në normën mesatare të ponderuar të titujve shtetërorë të emetuar në tregun primar.</w:t>
      </w:r>
    </w:p>
  </w:footnote>
  <w:footnote w:id="8">
    <w:p w14:paraId="4333BB94" w14:textId="44723E4F" w:rsidR="00B73259" w:rsidRPr="00432520" w:rsidRDefault="00B73259" w:rsidP="00432520">
      <w:pPr>
        <w:spacing w:after="0" w:line="240" w:lineRule="auto"/>
        <w:ind w:firstLine="0"/>
        <w:rPr>
          <w:rFonts w:ascii="Garamond" w:hAnsi="Garamond"/>
          <w:sz w:val="20"/>
          <w:szCs w:val="20"/>
          <w:lang w:val="sq-AL"/>
        </w:rPr>
      </w:pPr>
      <w:r w:rsidRPr="00432520">
        <w:rPr>
          <w:rFonts w:ascii="Garamond" w:hAnsi="Garamond"/>
          <w:sz w:val="20"/>
          <w:szCs w:val="20"/>
          <w:vertAlign w:val="superscript"/>
          <w:lang w:val="sq-AL"/>
        </w:rPr>
        <w:footnoteRef/>
      </w:r>
      <w:r w:rsidRPr="00432520">
        <w:rPr>
          <w:rFonts w:ascii="Garamond" w:hAnsi="Garamond"/>
          <w:sz w:val="20"/>
          <w:szCs w:val="20"/>
          <w:lang w:val="sq-AL"/>
        </w:rPr>
        <w:t xml:space="preserve"> </w:t>
      </w:r>
      <w:r w:rsidRPr="00432520">
        <w:rPr>
          <w:rFonts w:ascii="Garamond" w:hAnsi="Garamond"/>
          <w:sz w:val="20"/>
          <w:szCs w:val="20"/>
          <w:lang w:val="sq-AL"/>
        </w:rPr>
        <w:t>Kosto</w:t>
      </w:r>
      <w:r>
        <w:rPr>
          <w:rFonts w:ascii="Garamond" w:hAnsi="Garamond"/>
          <w:sz w:val="20"/>
          <w:szCs w:val="20"/>
          <w:lang w:val="sq-AL"/>
        </w:rPr>
        <w:t>ja</w:t>
      </w:r>
      <w:r w:rsidRPr="00432520">
        <w:rPr>
          <w:rFonts w:ascii="Garamond" w:hAnsi="Garamond"/>
          <w:sz w:val="20"/>
          <w:szCs w:val="20"/>
          <w:lang w:val="sq-AL"/>
        </w:rPr>
        <w:t xml:space="preserve"> e borxhit të huaj për njësi është relativisht më e ulët se ajo e borxhit të brendshëm, por shoqërohet me rritje të ekspozimit ndaj riskut të kursit të këmbimit, materializimi i të cilit mund të rezultojë në kosto shtesë.</w:t>
      </w:r>
    </w:p>
  </w:footnote>
  <w:footnote w:id="9">
    <w:p w14:paraId="4333BB95" w14:textId="2F5323D8" w:rsidR="00B73259" w:rsidRPr="001A7FBF" w:rsidRDefault="00B73259" w:rsidP="008B3748">
      <w:pPr>
        <w:pStyle w:val="FootnoteText"/>
        <w:ind w:left="284" w:hanging="284"/>
        <w:rPr>
          <w:rFonts w:ascii="Garamond" w:hAnsi="Garamond"/>
          <w:lang w:val="it-IT"/>
        </w:rPr>
      </w:pPr>
      <w:r w:rsidRPr="001A7FBF">
        <w:rPr>
          <w:rStyle w:val="FootnoteReference"/>
          <w:rFonts w:ascii="Garamond" w:hAnsi="Garamond"/>
        </w:rPr>
        <w:footnoteRef/>
      </w:r>
      <w:r>
        <w:rPr>
          <w:rFonts w:ascii="Garamond" w:hAnsi="Garamond"/>
        </w:rPr>
        <w:t xml:space="preserve"> </w:t>
      </w:r>
      <w:r w:rsidRPr="001A7FBF">
        <w:rPr>
          <w:rFonts w:ascii="Garamond" w:hAnsi="Garamond"/>
          <w:lang w:val="it-IT"/>
        </w:rPr>
        <w:t>Proces në vazhdimësi.</w:t>
      </w:r>
    </w:p>
  </w:footnote>
  <w:footnote w:id="10">
    <w:p w14:paraId="4333BB96" w14:textId="331CEFB9" w:rsidR="00B73259" w:rsidRPr="00043D51" w:rsidRDefault="00B73259" w:rsidP="00043D51">
      <w:pPr>
        <w:spacing w:after="0" w:line="240" w:lineRule="auto"/>
        <w:ind w:firstLine="0"/>
        <w:rPr>
          <w:rFonts w:ascii="Garamond" w:hAnsi="Garamond"/>
          <w:sz w:val="20"/>
          <w:szCs w:val="20"/>
          <w:lang w:val="sq-AL"/>
        </w:rPr>
      </w:pPr>
      <w:r w:rsidRPr="00043D51">
        <w:rPr>
          <w:rFonts w:ascii="Garamond" w:hAnsi="Garamond"/>
          <w:sz w:val="20"/>
          <w:szCs w:val="20"/>
          <w:vertAlign w:val="superscript"/>
          <w:lang w:val="sq-AL"/>
        </w:rPr>
        <w:footnoteRef/>
      </w:r>
      <w:r w:rsidRPr="00043D51">
        <w:rPr>
          <w:rFonts w:ascii="Garamond" w:hAnsi="Garamond"/>
          <w:sz w:val="20"/>
          <w:szCs w:val="20"/>
          <w:lang w:val="sq-AL"/>
        </w:rPr>
        <w:t xml:space="preserve"> </w:t>
      </w:r>
      <w:r w:rsidRPr="00043D51">
        <w:rPr>
          <w:rFonts w:ascii="Garamond" w:hAnsi="Garamond"/>
          <w:sz w:val="20"/>
          <w:szCs w:val="20"/>
          <w:lang w:val="sq-AL"/>
        </w:rPr>
        <w:t xml:space="preserve">U referohet pagesave të interesave të borxhit shtetëror dhe atyre të borxhit shtetëror të garantuar që paguhen nga buxheti i shtetit, në pamundësi për t’u paguar nga subjektet për të cilat është emetuar garanci. </w:t>
      </w:r>
    </w:p>
  </w:footnote>
  <w:footnote w:id="11">
    <w:p w14:paraId="4333BB97" w14:textId="5660E1F7" w:rsidR="00B73259" w:rsidRPr="00232D45" w:rsidRDefault="00B73259" w:rsidP="008B3748">
      <w:pPr>
        <w:pStyle w:val="FootnoteText"/>
        <w:rPr>
          <w:rFonts w:ascii="Garamond" w:hAnsi="Garamond" w:cstheme="minorBidi"/>
          <w:lang w:val="it-IT"/>
        </w:rPr>
      </w:pPr>
      <w:r w:rsidRPr="00232D45">
        <w:rPr>
          <w:rStyle w:val="FootnoteReference"/>
          <w:rFonts w:ascii="Garamond" w:hAnsi="Garamond"/>
        </w:rPr>
        <w:footnoteRef/>
      </w:r>
      <w:r>
        <w:rPr>
          <w:rFonts w:ascii="Garamond" w:hAnsi="Garamond"/>
        </w:rPr>
        <w:t xml:space="preserve"> </w:t>
      </w:r>
      <w:r w:rsidRPr="00232D45">
        <w:rPr>
          <w:rFonts w:ascii="Garamond" w:hAnsi="Garamond"/>
        </w:rPr>
        <w:t>I referohet normës nominale të kursit të këmbimit në 10 vitet e fundit.</w:t>
      </w:r>
    </w:p>
  </w:footnote>
  <w:footnote w:id="12">
    <w:p w14:paraId="4333BB98" w14:textId="5B8947BF" w:rsidR="00B73259" w:rsidRPr="004D5CA5" w:rsidRDefault="00B73259" w:rsidP="004D5CA5">
      <w:pPr>
        <w:spacing w:after="0" w:line="240" w:lineRule="auto"/>
        <w:ind w:firstLine="0"/>
        <w:rPr>
          <w:rFonts w:ascii="Garamond" w:hAnsi="Garamond"/>
          <w:sz w:val="20"/>
          <w:szCs w:val="20"/>
          <w:lang w:val="sq-AL"/>
        </w:rPr>
      </w:pPr>
      <w:r w:rsidRPr="00232885">
        <w:rPr>
          <w:rFonts w:ascii="Garamond" w:hAnsi="Garamond"/>
          <w:sz w:val="20"/>
          <w:szCs w:val="20"/>
          <w:vertAlign w:val="superscript"/>
          <w:lang w:val="sq-AL"/>
        </w:rPr>
        <w:footnoteRef/>
      </w:r>
      <w:r w:rsidRPr="004D5CA5">
        <w:rPr>
          <w:rFonts w:ascii="Garamond" w:hAnsi="Garamond"/>
          <w:sz w:val="20"/>
          <w:szCs w:val="20"/>
          <w:lang w:val="sq-AL"/>
        </w:rPr>
        <w:t>Norma e interesit rritet si diferencë ndërmjet normës reale mesatare të përdorur gjatë parashikimit dhe maksimumit të normës reale historike.</w:t>
      </w:r>
    </w:p>
  </w:footnote>
  <w:footnote w:id="13">
    <w:p w14:paraId="4333BB99" w14:textId="44EE3AE4" w:rsidR="00B73259" w:rsidRPr="00E022E4" w:rsidRDefault="00B73259" w:rsidP="00E022E4">
      <w:pPr>
        <w:pStyle w:val="Default1"/>
        <w:jc w:val="both"/>
        <w:rPr>
          <w:rFonts w:ascii="Garamond" w:hAnsi="Garamond"/>
          <w:sz w:val="20"/>
          <w:szCs w:val="20"/>
          <w:lang w:val="sq-AL"/>
        </w:rPr>
      </w:pPr>
      <w:r w:rsidRPr="00383D2B">
        <w:rPr>
          <w:rFonts w:ascii="Garamond" w:hAnsi="Garamond"/>
          <w:sz w:val="20"/>
          <w:szCs w:val="20"/>
          <w:vertAlign w:val="superscript"/>
          <w:lang w:val="sq-AL"/>
        </w:rPr>
        <w:footnoteRef/>
      </w:r>
      <w:r w:rsidRPr="00383D2B">
        <w:rPr>
          <w:rFonts w:ascii="Garamond" w:hAnsi="Garamond"/>
          <w:sz w:val="20"/>
          <w:szCs w:val="20"/>
          <w:vertAlign w:val="superscript"/>
          <w:lang w:val="sq-AL"/>
        </w:rPr>
        <w:t xml:space="preserve"> </w:t>
      </w:r>
      <w:r w:rsidRPr="00E022E4">
        <w:rPr>
          <w:rFonts w:ascii="Garamond" w:hAnsi="Garamond"/>
          <w:sz w:val="20"/>
          <w:szCs w:val="20"/>
          <w:lang w:val="sq-AL"/>
        </w:rPr>
        <w:t>Treguesit makrofiskal</w:t>
      </w:r>
      <w:r>
        <w:rPr>
          <w:rFonts w:ascii="Garamond" w:hAnsi="Garamond"/>
          <w:sz w:val="20"/>
          <w:szCs w:val="20"/>
          <w:lang w:val="sq-AL"/>
        </w:rPr>
        <w:t>ë</w:t>
      </w:r>
      <w:r w:rsidRPr="00E022E4">
        <w:rPr>
          <w:rFonts w:ascii="Garamond" w:hAnsi="Garamond"/>
          <w:sz w:val="20"/>
          <w:szCs w:val="20"/>
          <w:lang w:val="sq-AL"/>
        </w:rPr>
        <w:t xml:space="preserve"> </w:t>
      </w:r>
      <w:r>
        <w:rPr>
          <w:rFonts w:ascii="Garamond" w:hAnsi="Garamond"/>
          <w:sz w:val="20"/>
          <w:szCs w:val="20"/>
          <w:lang w:val="sq-AL"/>
        </w:rPr>
        <w:t>u referohen të dhënave të draft</w:t>
      </w:r>
      <w:r w:rsidRPr="00E022E4">
        <w:rPr>
          <w:rFonts w:ascii="Garamond" w:hAnsi="Garamond"/>
          <w:sz w:val="20"/>
          <w:szCs w:val="20"/>
          <w:lang w:val="sq-AL"/>
        </w:rPr>
        <w:t>kuadrit makroekonomik dhe fiskal për periudhën 2022</w:t>
      </w:r>
      <w:r>
        <w:rPr>
          <w:rFonts w:ascii="Garamond" w:hAnsi="Garamond"/>
          <w:sz w:val="20"/>
          <w:szCs w:val="20"/>
          <w:lang w:val="sq-AL"/>
        </w:rPr>
        <w:t>–2</w:t>
      </w:r>
      <w:r w:rsidRPr="00E022E4">
        <w:rPr>
          <w:rFonts w:ascii="Garamond" w:hAnsi="Garamond"/>
          <w:sz w:val="20"/>
          <w:szCs w:val="20"/>
          <w:lang w:val="sq-AL"/>
        </w:rPr>
        <w:t>024.</w:t>
      </w:r>
    </w:p>
  </w:footnote>
  <w:footnote w:id="14">
    <w:p w14:paraId="4333BB9A" w14:textId="7D6B2302" w:rsidR="00B73259" w:rsidRPr="00232D45" w:rsidRDefault="00B73259" w:rsidP="008B3748">
      <w:pPr>
        <w:pStyle w:val="FootnoteText"/>
        <w:ind w:left="284" w:right="238" w:hanging="284"/>
        <w:rPr>
          <w:rFonts w:ascii="Garamond" w:hAnsi="Garamond" w:cstheme="minorBidi"/>
          <w:lang w:val="it-IT"/>
        </w:rPr>
      </w:pPr>
      <w:r w:rsidRPr="00232D45">
        <w:rPr>
          <w:rStyle w:val="FootnoteReference"/>
          <w:rFonts w:ascii="Garamond" w:hAnsi="Garamond"/>
        </w:rPr>
        <w:footnoteRef/>
      </w:r>
      <w:r>
        <w:rPr>
          <w:rFonts w:ascii="Garamond" w:hAnsi="Garamond"/>
        </w:rPr>
        <w:t xml:space="preserve"> </w:t>
      </w:r>
      <w:r w:rsidRPr="00232D45">
        <w:rPr>
          <w:rFonts w:ascii="Garamond" w:hAnsi="Garamond"/>
        </w:rPr>
        <w:t>P.sh.</w:t>
      </w:r>
      <w:r>
        <w:rPr>
          <w:rFonts w:ascii="Garamond" w:hAnsi="Garamond"/>
        </w:rPr>
        <w:t>,</w:t>
      </w:r>
      <w:r w:rsidRPr="00232D45">
        <w:rPr>
          <w:rFonts w:ascii="Garamond" w:hAnsi="Garamond"/>
        </w:rPr>
        <w:t xml:space="preserve"> një krizë e një ose disa bankave të cilat zotërojnë një pjesë të konsiderueshme të titujve shtetërorë.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3BB8A" w14:textId="77777777" w:rsidR="00B73259" w:rsidRDefault="00B7325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476C"/>
    <w:rsid w:val="000254B8"/>
    <w:rsid w:val="00025CCC"/>
    <w:rsid w:val="00033D58"/>
    <w:rsid w:val="00035B62"/>
    <w:rsid w:val="00040D88"/>
    <w:rsid w:val="00041C84"/>
    <w:rsid w:val="000422F2"/>
    <w:rsid w:val="000429F4"/>
    <w:rsid w:val="00042D1D"/>
    <w:rsid w:val="00043608"/>
    <w:rsid w:val="00043D51"/>
    <w:rsid w:val="000457CE"/>
    <w:rsid w:val="00051A20"/>
    <w:rsid w:val="00053B9D"/>
    <w:rsid w:val="000542E3"/>
    <w:rsid w:val="000547F7"/>
    <w:rsid w:val="00054A72"/>
    <w:rsid w:val="00054CEB"/>
    <w:rsid w:val="00055C5D"/>
    <w:rsid w:val="00056469"/>
    <w:rsid w:val="000572A3"/>
    <w:rsid w:val="00061471"/>
    <w:rsid w:val="00064378"/>
    <w:rsid w:val="00065619"/>
    <w:rsid w:val="000737C8"/>
    <w:rsid w:val="00073939"/>
    <w:rsid w:val="0007429D"/>
    <w:rsid w:val="00074591"/>
    <w:rsid w:val="00074CB8"/>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2F6C"/>
    <w:rsid w:val="00093294"/>
    <w:rsid w:val="000973DA"/>
    <w:rsid w:val="000A0431"/>
    <w:rsid w:val="000A38AD"/>
    <w:rsid w:val="000A4C36"/>
    <w:rsid w:val="000A4C53"/>
    <w:rsid w:val="000A6288"/>
    <w:rsid w:val="000A68AE"/>
    <w:rsid w:val="000A7ADF"/>
    <w:rsid w:val="000B1560"/>
    <w:rsid w:val="000B3F4C"/>
    <w:rsid w:val="000B57E1"/>
    <w:rsid w:val="000B7A36"/>
    <w:rsid w:val="000C05C5"/>
    <w:rsid w:val="000C2D42"/>
    <w:rsid w:val="000C31AA"/>
    <w:rsid w:val="000C395D"/>
    <w:rsid w:val="000C4C2F"/>
    <w:rsid w:val="000C4D55"/>
    <w:rsid w:val="000C55B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582E"/>
    <w:rsid w:val="00137B1D"/>
    <w:rsid w:val="00141B6B"/>
    <w:rsid w:val="0014288A"/>
    <w:rsid w:val="00144D91"/>
    <w:rsid w:val="00145F8B"/>
    <w:rsid w:val="0014703A"/>
    <w:rsid w:val="00147F8A"/>
    <w:rsid w:val="00150338"/>
    <w:rsid w:val="001517DA"/>
    <w:rsid w:val="00152690"/>
    <w:rsid w:val="00153607"/>
    <w:rsid w:val="00153FC2"/>
    <w:rsid w:val="0015421A"/>
    <w:rsid w:val="00154B0C"/>
    <w:rsid w:val="00155298"/>
    <w:rsid w:val="00155509"/>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5AB2"/>
    <w:rsid w:val="001A7FBF"/>
    <w:rsid w:val="001B27C7"/>
    <w:rsid w:val="001B2FEB"/>
    <w:rsid w:val="001B3BAF"/>
    <w:rsid w:val="001B43E5"/>
    <w:rsid w:val="001B5EEC"/>
    <w:rsid w:val="001B7359"/>
    <w:rsid w:val="001C0B47"/>
    <w:rsid w:val="001C0CE8"/>
    <w:rsid w:val="001C22F7"/>
    <w:rsid w:val="001C2677"/>
    <w:rsid w:val="001C27EC"/>
    <w:rsid w:val="001C2960"/>
    <w:rsid w:val="001C4C20"/>
    <w:rsid w:val="001C6151"/>
    <w:rsid w:val="001D13BA"/>
    <w:rsid w:val="001D15CD"/>
    <w:rsid w:val="001D1860"/>
    <w:rsid w:val="001D227F"/>
    <w:rsid w:val="001D672E"/>
    <w:rsid w:val="001D76C5"/>
    <w:rsid w:val="001D77FD"/>
    <w:rsid w:val="001D7A64"/>
    <w:rsid w:val="001E3A7D"/>
    <w:rsid w:val="001E3EC8"/>
    <w:rsid w:val="001E7A37"/>
    <w:rsid w:val="001F63DF"/>
    <w:rsid w:val="001F6C07"/>
    <w:rsid w:val="002017AA"/>
    <w:rsid w:val="002022BE"/>
    <w:rsid w:val="0020454E"/>
    <w:rsid w:val="00205BEC"/>
    <w:rsid w:val="00211B3D"/>
    <w:rsid w:val="00211F8E"/>
    <w:rsid w:val="0021473A"/>
    <w:rsid w:val="00215C44"/>
    <w:rsid w:val="0021618D"/>
    <w:rsid w:val="00217CEA"/>
    <w:rsid w:val="00221879"/>
    <w:rsid w:val="00226B43"/>
    <w:rsid w:val="00226CF6"/>
    <w:rsid w:val="002303AC"/>
    <w:rsid w:val="00230D00"/>
    <w:rsid w:val="00232885"/>
    <w:rsid w:val="00232D45"/>
    <w:rsid w:val="0023399C"/>
    <w:rsid w:val="00234B71"/>
    <w:rsid w:val="00240D32"/>
    <w:rsid w:val="00241082"/>
    <w:rsid w:val="002419B1"/>
    <w:rsid w:val="00243E3B"/>
    <w:rsid w:val="00245004"/>
    <w:rsid w:val="00245357"/>
    <w:rsid w:val="002458F2"/>
    <w:rsid w:val="0024772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69D0"/>
    <w:rsid w:val="00277011"/>
    <w:rsid w:val="00280C99"/>
    <w:rsid w:val="00282273"/>
    <w:rsid w:val="00285128"/>
    <w:rsid w:val="002855C3"/>
    <w:rsid w:val="00286C09"/>
    <w:rsid w:val="00287D85"/>
    <w:rsid w:val="00290BFA"/>
    <w:rsid w:val="00295A6F"/>
    <w:rsid w:val="0029613D"/>
    <w:rsid w:val="00296F6E"/>
    <w:rsid w:val="00297E5D"/>
    <w:rsid w:val="002A0D99"/>
    <w:rsid w:val="002A3781"/>
    <w:rsid w:val="002A3C2D"/>
    <w:rsid w:val="002A45D6"/>
    <w:rsid w:val="002A4B16"/>
    <w:rsid w:val="002A4E93"/>
    <w:rsid w:val="002A6049"/>
    <w:rsid w:val="002B15AB"/>
    <w:rsid w:val="002B366C"/>
    <w:rsid w:val="002B65D7"/>
    <w:rsid w:val="002B7117"/>
    <w:rsid w:val="002B73EA"/>
    <w:rsid w:val="002B742C"/>
    <w:rsid w:val="002B79A7"/>
    <w:rsid w:val="002C0487"/>
    <w:rsid w:val="002C05F2"/>
    <w:rsid w:val="002C0CCC"/>
    <w:rsid w:val="002C35D8"/>
    <w:rsid w:val="002C3AB5"/>
    <w:rsid w:val="002C4731"/>
    <w:rsid w:val="002C68FE"/>
    <w:rsid w:val="002C6EBB"/>
    <w:rsid w:val="002C6EED"/>
    <w:rsid w:val="002D17BF"/>
    <w:rsid w:val="002D2BED"/>
    <w:rsid w:val="002D6058"/>
    <w:rsid w:val="002E26BA"/>
    <w:rsid w:val="002E2A73"/>
    <w:rsid w:val="002E302F"/>
    <w:rsid w:val="002E642D"/>
    <w:rsid w:val="002E6D88"/>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36B9B"/>
    <w:rsid w:val="00342524"/>
    <w:rsid w:val="003438BA"/>
    <w:rsid w:val="00345CBC"/>
    <w:rsid w:val="00346DD1"/>
    <w:rsid w:val="00347DC4"/>
    <w:rsid w:val="0035110B"/>
    <w:rsid w:val="003522FC"/>
    <w:rsid w:val="00353169"/>
    <w:rsid w:val="00353263"/>
    <w:rsid w:val="00355153"/>
    <w:rsid w:val="00356E64"/>
    <w:rsid w:val="00357007"/>
    <w:rsid w:val="0036088C"/>
    <w:rsid w:val="0036352A"/>
    <w:rsid w:val="00363A7D"/>
    <w:rsid w:val="00363BDC"/>
    <w:rsid w:val="00364328"/>
    <w:rsid w:val="00365328"/>
    <w:rsid w:val="00367F83"/>
    <w:rsid w:val="00370D9E"/>
    <w:rsid w:val="00371C1D"/>
    <w:rsid w:val="00373717"/>
    <w:rsid w:val="00374DBA"/>
    <w:rsid w:val="003751D8"/>
    <w:rsid w:val="003752AB"/>
    <w:rsid w:val="00375B7D"/>
    <w:rsid w:val="00380F26"/>
    <w:rsid w:val="00382FF3"/>
    <w:rsid w:val="00383966"/>
    <w:rsid w:val="00383D2B"/>
    <w:rsid w:val="00383E14"/>
    <w:rsid w:val="003846F0"/>
    <w:rsid w:val="00384B3D"/>
    <w:rsid w:val="00385E2C"/>
    <w:rsid w:val="0038629F"/>
    <w:rsid w:val="003864F8"/>
    <w:rsid w:val="00390196"/>
    <w:rsid w:val="00391DC0"/>
    <w:rsid w:val="0039416B"/>
    <w:rsid w:val="00394502"/>
    <w:rsid w:val="00397AD7"/>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53A"/>
    <w:rsid w:val="003F16DA"/>
    <w:rsid w:val="003F1F29"/>
    <w:rsid w:val="003F216A"/>
    <w:rsid w:val="003F5F6E"/>
    <w:rsid w:val="003F7165"/>
    <w:rsid w:val="003F7E2C"/>
    <w:rsid w:val="00406126"/>
    <w:rsid w:val="0040658F"/>
    <w:rsid w:val="00410AC6"/>
    <w:rsid w:val="0041125E"/>
    <w:rsid w:val="00412282"/>
    <w:rsid w:val="00412B3D"/>
    <w:rsid w:val="00413FAE"/>
    <w:rsid w:val="00415F17"/>
    <w:rsid w:val="0042111C"/>
    <w:rsid w:val="004279C5"/>
    <w:rsid w:val="004304C5"/>
    <w:rsid w:val="00430B9E"/>
    <w:rsid w:val="00432419"/>
    <w:rsid w:val="00432520"/>
    <w:rsid w:val="00434573"/>
    <w:rsid w:val="0043466D"/>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3F"/>
    <w:rsid w:val="004960E1"/>
    <w:rsid w:val="004978BE"/>
    <w:rsid w:val="004A1BD1"/>
    <w:rsid w:val="004A1E11"/>
    <w:rsid w:val="004A2EBD"/>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5CA5"/>
    <w:rsid w:val="004D6564"/>
    <w:rsid w:val="004E14F4"/>
    <w:rsid w:val="004E45D3"/>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71DD"/>
    <w:rsid w:val="00517C79"/>
    <w:rsid w:val="00521DCF"/>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FB0"/>
    <w:rsid w:val="005649F6"/>
    <w:rsid w:val="00566801"/>
    <w:rsid w:val="00570FF5"/>
    <w:rsid w:val="00573445"/>
    <w:rsid w:val="0057353E"/>
    <w:rsid w:val="00575079"/>
    <w:rsid w:val="00580EB9"/>
    <w:rsid w:val="00580FB8"/>
    <w:rsid w:val="00581D1E"/>
    <w:rsid w:val="005851B4"/>
    <w:rsid w:val="005853BD"/>
    <w:rsid w:val="005854A2"/>
    <w:rsid w:val="00594A2E"/>
    <w:rsid w:val="005A138A"/>
    <w:rsid w:val="005A2AE1"/>
    <w:rsid w:val="005A47F1"/>
    <w:rsid w:val="005A6153"/>
    <w:rsid w:val="005A7B0B"/>
    <w:rsid w:val="005B0F08"/>
    <w:rsid w:val="005B1F48"/>
    <w:rsid w:val="005B38DD"/>
    <w:rsid w:val="005B4361"/>
    <w:rsid w:val="005B54A2"/>
    <w:rsid w:val="005C19F0"/>
    <w:rsid w:val="005C2434"/>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1EC9"/>
    <w:rsid w:val="006527C2"/>
    <w:rsid w:val="0065336F"/>
    <w:rsid w:val="00655282"/>
    <w:rsid w:val="006563AC"/>
    <w:rsid w:val="00656460"/>
    <w:rsid w:val="00656581"/>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C0"/>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4FB4"/>
    <w:rsid w:val="006B646E"/>
    <w:rsid w:val="006B7F45"/>
    <w:rsid w:val="006C3FE2"/>
    <w:rsid w:val="006C5DF2"/>
    <w:rsid w:val="006C73EB"/>
    <w:rsid w:val="006D197E"/>
    <w:rsid w:val="006D1E61"/>
    <w:rsid w:val="006D4072"/>
    <w:rsid w:val="006D4DAE"/>
    <w:rsid w:val="006D4ECF"/>
    <w:rsid w:val="006D5C06"/>
    <w:rsid w:val="006D664B"/>
    <w:rsid w:val="006D7713"/>
    <w:rsid w:val="006E05ED"/>
    <w:rsid w:val="006E2110"/>
    <w:rsid w:val="006E29A7"/>
    <w:rsid w:val="006E3043"/>
    <w:rsid w:val="006E47AB"/>
    <w:rsid w:val="006E487A"/>
    <w:rsid w:val="006E631A"/>
    <w:rsid w:val="006E7BC6"/>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2E81"/>
    <w:rsid w:val="00713731"/>
    <w:rsid w:val="00715298"/>
    <w:rsid w:val="00715785"/>
    <w:rsid w:val="00720913"/>
    <w:rsid w:val="00721338"/>
    <w:rsid w:val="0072149E"/>
    <w:rsid w:val="00721B26"/>
    <w:rsid w:val="00731C2E"/>
    <w:rsid w:val="00732745"/>
    <w:rsid w:val="00732FDB"/>
    <w:rsid w:val="00733D80"/>
    <w:rsid w:val="007350ED"/>
    <w:rsid w:val="007356D5"/>
    <w:rsid w:val="0073656D"/>
    <w:rsid w:val="007441AB"/>
    <w:rsid w:val="00746EFC"/>
    <w:rsid w:val="00747387"/>
    <w:rsid w:val="00751044"/>
    <w:rsid w:val="00751EAF"/>
    <w:rsid w:val="00753C75"/>
    <w:rsid w:val="007543F1"/>
    <w:rsid w:val="00756512"/>
    <w:rsid w:val="007578AF"/>
    <w:rsid w:val="00762578"/>
    <w:rsid w:val="0076315F"/>
    <w:rsid w:val="007634A3"/>
    <w:rsid w:val="00764A88"/>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5F8B"/>
    <w:rsid w:val="007B68FE"/>
    <w:rsid w:val="007B6E92"/>
    <w:rsid w:val="007C0177"/>
    <w:rsid w:val="007C0F44"/>
    <w:rsid w:val="007C219A"/>
    <w:rsid w:val="007C4E9F"/>
    <w:rsid w:val="007C722B"/>
    <w:rsid w:val="007D076D"/>
    <w:rsid w:val="007D1718"/>
    <w:rsid w:val="007D1B3C"/>
    <w:rsid w:val="007E049B"/>
    <w:rsid w:val="007E06E4"/>
    <w:rsid w:val="007E195A"/>
    <w:rsid w:val="007E24F9"/>
    <w:rsid w:val="007E527B"/>
    <w:rsid w:val="007E5BA2"/>
    <w:rsid w:val="007E65F4"/>
    <w:rsid w:val="007F03AC"/>
    <w:rsid w:val="007F1013"/>
    <w:rsid w:val="007F17C2"/>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57B"/>
    <w:rsid w:val="00861CF3"/>
    <w:rsid w:val="00861D8B"/>
    <w:rsid w:val="00863F61"/>
    <w:rsid w:val="00863F88"/>
    <w:rsid w:val="00867C64"/>
    <w:rsid w:val="00870DED"/>
    <w:rsid w:val="00872B75"/>
    <w:rsid w:val="0087387F"/>
    <w:rsid w:val="00876A54"/>
    <w:rsid w:val="008776D6"/>
    <w:rsid w:val="0088345D"/>
    <w:rsid w:val="0088397F"/>
    <w:rsid w:val="00884CDD"/>
    <w:rsid w:val="0088590A"/>
    <w:rsid w:val="008863BA"/>
    <w:rsid w:val="00887B05"/>
    <w:rsid w:val="00891658"/>
    <w:rsid w:val="00894E80"/>
    <w:rsid w:val="00897FEA"/>
    <w:rsid w:val="008A1638"/>
    <w:rsid w:val="008A378D"/>
    <w:rsid w:val="008A4B94"/>
    <w:rsid w:val="008A628A"/>
    <w:rsid w:val="008A66FC"/>
    <w:rsid w:val="008A7324"/>
    <w:rsid w:val="008B0278"/>
    <w:rsid w:val="008B0911"/>
    <w:rsid w:val="008B0E4F"/>
    <w:rsid w:val="008B150B"/>
    <w:rsid w:val="008B2A17"/>
    <w:rsid w:val="008B3748"/>
    <w:rsid w:val="008B39F0"/>
    <w:rsid w:val="008B64E2"/>
    <w:rsid w:val="008B6AAE"/>
    <w:rsid w:val="008B6AF9"/>
    <w:rsid w:val="008B7126"/>
    <w:rsid w:val="008B76D7"/>
    <w:rsid w:val="008B7F0C"/>
    <w:rsid w:val="008C01FC"/>
    <w:rsid w:val="008C06BC"/>
    <w:rsid w:val="008C06D9"/>
    <w:rsid w:val="008C156B"/>
    <w:rsid w:val="008C1CAB"/>
    <w:rsid w:val="008C2C86"/>
    <w:rsid w:val="008C4E2A"/>
    <w:rsid w:val="008D0202"/>
    <w:rsid w:val="008D1BD9"/>
    <w:rsid w:val="008D3025"/>
    <w:rsid w:val="008D585D"/>
    <w:rsid w:val="008E01AE"/>
    <w:rsid w:val="008E1E8A"/>
    <w:rsid w:val="008E2022"/>
    <w:rsid w:val="008E515B"/>
    <w:rsid w:val="008F05BA"/>
    <w:rsid w:val="008F0CC6"/>
    <w:rsid w:val="008F1CC6"/>
    <w:rsid w:val="008F28F2"/>
    <w:rsid w:val="008F458D"/>
    <w:rsid w:val="008F5130"/>
    <w:rsid w:val="008F61A7"/>
    <w:rsid w:val="008F6AD3"/>
    <w:rsid w:val="00900F6C"/>
    <w:rsid w:val="0090194D"/>
    <w:rsid w:val="00906613"/>
    <w:rsid w:val="00907891"/>
    <w:rsid w:val="00912195"/>
    <w:rsid w:val="00914C00"/>
    <w:rsid w:val="0091556F"/>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43F8"/>
    <w:rsid w:val="00946587"/>
    <w:rsid w:val="00950D6E"/>
    <w:rsid w:val="00951A5A"/>
    <w:rsid w:val="00953044"/>
    <w:rsid w:val="00953571"/>
    <w:rsid w:val="00954E28"/>
    <w:rsid w:val="0095537E"/>
    <w:rsid w:val="009601B9"/>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5518"/>
    <w:rsid w:val="0098764C"/>
    <w:rsid w:val="0099031F"/>
    <w:rsid w:val="00991F42"/>
    <w:rsid w:val="009926F1"/>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4654"/>
    <w:rsid w:val="00A063B5"/>
    <w:rsid w:val="00A0663D"/>
    <w:rsid w:val="00A13055"/>
    <w:rsid w:val="00A17AD9"/>
    <w:rsid w:val="00A2779A"/>
    <w:rsid w:val="00A315A9"/>
    <w:rsid w:val="00A329DB"/>
    <w:rsid w:val="00A3757B"/>
    <w:rsid w:val="00A37BE9"/>
    <w:rsid w:val="00A40D1C"/>
    <w:rsid w:val="00A42772"/>
    <w:rsid w:val="00A427F7"/>
    <w:rsid w:val="00A4298E"/>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2234"/>
    <w:rsid w:val="00A83280"/>
    <w:rsid w:val="00A83536"/>
    <w:rsid w:val="00A84E38"/>
    <w:rsid w:val="00A8508D"/>
    <w:rsid w:val="00A85F7A"/>
    <w:rsid w:val="00A8731F"/>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3B42"/>
    <w:rsid w:val="00AF689A"/>
    <w:rsid w:val="00AF7AA2"/>
    <w:rsid w:val="00B003D4"/>
    <w:rsid w:val="00B01042"/>
    <w:rsid w:val="00B03044"/>
    <w:rsid w:val="00B0375E"/>
    <w:rsid w:val="00B046B5"/>
    <w:rsid w:val="00B05053"/>
    <w:rsid w:val="00B060FC"/>
    <w:rsid w:val="00B06206"/>
    <w:rsid w:val="00B0670C"/>
    <w:rsid w:val="00B121F6"/>
    <w:rsid w:val="00B128A3"/>
    <w:rsid w:val="00B16361"/>
    <w:rsid w:val="00B16A73"/>
    <w:rsid w:val="00B21466"/>
    <w:rsid w:val="00B21625"/>
    <w:rsid w:val="00B217AD"/>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5161"/>
    <w:rsid w:val="00B57344"/>
    <w:rsid w:val="00B60351"/>
    <w:rsid w:val="00B63004"/>
    <w:rsid w:val="00B630DC"/>
    <w:rsid w:val="00B6338F"/>
    <w:rsid w:val="00B64E10"/>
    <w:rsid w:val="00B65C76"/>
    <w:rsid w:val="00B66E6D"/>
    <w:rsid w:val="00B71456"/>
    <w:rsid w:val="00B71911"/>
    <w:rsid w:val="00B7225F"/>
    <w:rsid w:val="00B72307"/>
    <w:rsid w:val="00B73259"/>
    <w:rsid w:val="00B737B0"/>
    <w:rsid w:val="00B752AE"/>
    <w:rsid w:val="00B75EE3"/>
    <w:rsid w:val="00B75FF0"/>
    <w:rsid w:val="00B763D6"/>
    <w:rsid w:val="00B76824"/>
    <w:rsid w:val="00B813C6"/>
    <w:rsid w:val="00B82216"/>
    <w:rsid w:val="00B831B2"/>
    <w:rsid w:val="00B857AE"/>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3083"/>
    <w:rsid w:val="00BB433C"/>
    <w:rsid w:val="00BB5269"/>
    <w:rsid w:val="00BB6201"/>
    <w:rsid w:val="00BB7429"/>
    <w:rsid w:val="00BB7613"/>
    <w:rsid w:val="00BC0431"/>
    <w:rsid w:val="00BC08B7"/>
    <w:rsid w:val="00BC16DD"/>
    <w:rsid w:val="00BC216E"/>
    <w:rsid w:val="00BC2483"/>
    <w:rsid w:val="00BC3B92"/>
    <w:rsid w:val="00BC58E6"/>
    <w:rsid w:val="00BC77AE"/>
    <w:rsid w:val="00BD0376"/>
    <w:rsid w:val="00BD0F95"/>
    <w:rsid w:val="00BD34F2"/>
    <w:rsid w:val="00BD38CB"/>
    <w:rsid w:val="00BD4C76"/>
    <w:rsid w:val="00BD6052"/>
    <w:rsid w:val="00BD76B0"/>
    <w:rsid w:val="00BD77D2"/>
    <w:rsid w:val="00BD79A4"/>
    <w:rsid w:val="00BE0030"/>
    <w:rsid w:val="00BE1816"/>
    <w:rsid w:val="00BE2350"/>
    <w:rsid w:val="00BE2616"/>
    <w:rsid w:val="00BE2E09"/>
    <w:rsid w:val="00BE6EBC"/>
    <w:rsid w:val="00BE74FA"/>
    <w:rsid w:val="00BF168B"/>
    <w:rsid w:val="00BF2A28"/>
    <w:rsid w:val="00BF3DEB"/>
    <w:rsid w:val="00BF4044"/>
    <w:rsid w:val="00BF498B"/>
    <w:rsid w:val="00BF5618"/>
    <w:rsid w:val="00BF6EE9"/>
    <w:rsid w:val="00BF7188"/>
    <w:rsid w:val="00BF7F4C"/>
    <w:rsid w:val="00C00549"/>
    <w:rsid w:val="00C0291E"/>
    <w:rsid w:val="00C036B2"/>
    <w:rsid w:val="00C039E4"/>
    <w:rsid w:val="00C04E20"/>
    <w:rsid w:val="00C05673"/>
    <w:rsid w:val="00C061AD"/>
    <w:rsid w:val="00C12675"/>
    <w:rsid w:val="00C128EA"/>
    <w:rsid w:val="00C13C52"/>
    <w:rsid w:val="00C14B96"/>
    <w:rsid w:val="00C16BB2"/>
    <w:rsid w:val="00C21BD6"/>
    <w:rsid w:val="00C21C66"/>
    <w:rsid w:val="00C2234C"/>
    <w:rsid w:val="00C253CB"/>
    <w:rsid w:val="00C263B5"/>
    <w:rsid w:val="00C300B1"/>
    <w:rsid w:val="00C31E85"/>
    <w:rsid w:val="00C31FDB"/>
    <w:rsid w:val="00C3262B"/>
    <w:rsid w:val="00C36938"/>
    <w:rsid w:val="00C37852"/>
    <w:rsid w:val="00C428B6"/>
    <w:rsid w:val="00C43834"/>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6817"/>
    <w:rsid w:val="00C87CFF"/>
    <w:rsid w:val="00C92EAE"/>
    <w:rsid w:val="00C94157"/>
    <w:rsid w:val="00C958BD"/>
    <w:rsid w:val="00C962BB"/>
    <w:rsid w:val="00CA04A5"/>
    <w:rsid w:val="00CA1382"/>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15E5"/>
    <w:rsid w:val="00CD3C97"/>
    <w:rsid w:val="00CD4F0B"/>
    <w:rsid w:val="00CD5BE5"/>
    <w:rsid w:val="00CD788D"/>
    <w:rsid w:val="00CE0A1F"/>
    <w:rsid w:val="00CE1308"/>
    <w:rsid w:val="00CE43DC"/>
    <w:rsid w:val="00CE49C0"/>
    <w:rsid w:val="00CE5583"/>
    <w:rsid w:val="00CE5CCC"/>
    <w:rsid w:val="00CE6942"/>
    <w:rsid w:val="00CE6BE8"/>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557"/>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269F"/>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0613"/>
    <w:rsid w:val="00DD14F0"/>
    <w:rsid w:val="00DD1AE2"/>
    <w:rsid w:val="00DD26BB"/>
    <w:rsid w:val="00DD2937"/>
    <w:rsid w:val="00DD39BA"/>
    <w:rsid w:val="00DD463B"/>
    <w:rsid w:val="00DE03F9"/>
    <w:rsid w:val="00DE201E"/>
    <w:rsid w:val="00DE2452"/>
    <w:rsid w:val="00DE3179"/>
    <w:rsid w:val="00DE31BA"/>
    <w:rsid w:val="00DE35EA"/>
    <w:rsid w:val="00DE5B0A"/>
    <w:rsid w:val="00DE7381"/>
    <w:rsid w:val="00DF08A4"/>
    <w:rsid w:val="00DF25E6"/>
    <w:rsid w:val="00DF3A12"/>
    <w:rsid w:val="00DF5A19"/>
    <w:rsid w:val="00E022E4"/>
    <w:rsid w:val="00E06461"/>
    <w:rsid w:val="00E0674A"/>
    <w:rsid w:val="00E06F03"/>
    <w:rsid w:val="00E10260"/>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1332"/>
    <w:rsid w:val="00E82F98"/>
    <w:rsid w:val="00E843C8"/>
    <w:rsid w:val="00E847EE"/>
    <w:rsid w:val="00E84962"/>
    <w:rsid w:val="00E851EA"/>
    <w:rsid w:val="00E90DFE"/>
    <w:rsid w:val="00E91287"/>
    <w:rsid w:val="00E9173C"/>
    <w:rsid w:val="00E91A8A"/>
    <w:rsid w:val="00E92153"/>
    <w:rsid w:val="00E94EC7"/>
    <w:rsid w:val="00E95363"/>
    <w:rsid w:val="00E9550A"/>
    <w:rsid w:val="00E96A81"/>
    <w:rsid w:val="00EA10F4"/>
    <w:rsid w:val="00EA704B"/>
    <w:rsid w:val="00EB2483"/>
    <w:rsid w:val="00EB7DCF"/>
    <w:rsid w:val="00EC4290"/>
    <w:rsid w:val="00EC657A"/>
    <w:rsid w:val="00EC6AB6"/>
    <w:rsid w:val="00ED1065"/>
    <w:rsid w:val="00ED3CAA"/>
    <w:rsid w:val="00ED5F90"/>
    <w:rsid w:val="00ED6F3E"/>
    <w:rsid w:val="00EE1674"/>
    <w:rsid w:val="00EE1858"/>
    <w:rsid w:val="00EE38EA"/>
    <w:rsid w:val="00EE6A6F"/>
    <w:rsid w:val="00EF04EF"/>
    <w:rsid w:val="00EF0BA3"/>
    <w:rsid w:val="00EF1F7B"/>
    <w:rsid w:val="00EF3AC1"/>
    <w:rsid w:val="00EF6A1A"/>
    <w:rsid w:val="00EF6F8B"/>
    <w:rsid w:val="00EF7100"/>
    <w:rsid w:val="00EF744F"/>
    <w:rsid w:val="00EF77C9"/>
    <w:rsid w:val="00F02E57"/>
    <w:rsid w:val="00F04B3B"/>
    <w:rsid w:val="00F05295"/>
    <w:rsid w:val="00F06705"/>
    <w:rsid w:val="00F11B1D"/>
    <w:rsid w:val="00F12915"/>
    <w:rsid w:val="00F14E54"/>
    <w:rsid w:val="00F14FD5"/>
    <w:rsid w:val="00F16203"/>
    <w:rsid w:val="00F1695F"/>
    <w:rsid w:val="00F1721E"/>
    <w:rsid w:val="00F213E0"/>
    <w:rsid w:val="00F22F0A"/>
    <w:rsid w:val="00F23A81"/>
    <w:rsid w:val="00F31626"/>
    <w:rsid w:val="00F33104"/>
    <w:rsid w:val="00F3393A"/>
    <w:rsid w:val="00F33E68"/>
    <w:rsid w:val="00F40A10"/>
    <w:rsid w:val="00F4522D"/>
    <w:rsid w:val="00F46972"/>
    <w:rsid w:val="00F533AE"/>
    <w:rsid w:val="00F57C50"/>
    <w:rsid w:val="00F60B13"/>
    <w:rsid w:val="00F61DAC"/>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33AA"/>
    <w:rsid w:val="00F840FD"/>
    <w:rsid w:val="00F842C2"/>
    <w:rsid w:val="00F84499"/>
    <w:rsid w:val="00F870DD"/>
    <w:rsid w:val="00F92555"/>
    <w:rsid w:val="00F92F91"/>
    <w:rsid w:val="00F9380C"/>
    <w:rsid w:val="00F948DD"/>
    <w:rsid w:val="00F9625C"/>
    <w:rsid w:val="00FA031B"/>
    <w:rsid w:val="00FA2519"/>
    <w:rsid w:val="00FA2A1A"/>
    <w:rsid w:val="00FA4CC2"/>
    <w:rsid w:val="00FA4DD1"/>
    <w:rsid w:val="00FA529D"/>
    <w:rsid w:val="00FB19DB"/>
    <w:rsid w:val="00FB4A36"/>
    <w:rsid w:val="00FB4E98"/>
    <w:rsid w:val="00FB68F3"/>
    <w:rsid w:val="00FB7757"/>
    <w:rsid w:val="00FC00D4"/>
    <w:rsid w:val="00FC44E3"/>
    <w:rsid w:val="00FC4D15"/>
    <w:rsid w:val="00FC5CA2"/>
    <w:rsid w:val="00FC7411"/>
    <w:rsid w:val="00FD117C"/>
    <w:rsid w:val="00FD433B"/>
    <w:rsid w:val="00FD5072"/>
    <w:rsid w:val="00FD6FB0"/>
    <w:rsid w:val="00FD76FC"/>
    <w:rsid w:val="00FE06F5"/>
    <w:rsid w:val="00FE14F8"/>
    <w:rsid w:val="00FE35D8"/>
    <w:rsid w:val="00FE3925"/>
    <w:rsid w:val="00FE6E78"/>
    <w:rsid w:val="00FF1026"/>
    <w:rsid w:val="00FF29A6"/>
    <w:rsid w:val="00FF3555"/>
    <w:rsid w:val="00FF384A"/>
    <w:rsid w:val="00FF44A1"/>
    <w:rsid w:val="00FF5418"/>
    <w:rsid w:val="00FF5B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33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lp"/>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lp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lp"/>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lp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1315922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chart" Target="charts/chart5.xml"/><Relationship Id="rId26" Type="http://schemas.openxmlformats.org/officeDocument/2006/relationships/chart" Target="charts/chart12.xml"/><Relationship Id="rId39" Type="http://schemas.openxmlformats.org/officeDocument/2006/relationships/chart" Target="charts/chart24.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chart" Target="charts/chart27.xml"/><Relationship Id="rId47" Type="http://schemas.openxmlformats.org/officeDocument/2006/relationships/image" Target="media/image5.png"/><Relationship Id="rId50" Type="http://schemas.openxmlformats.org/officeDocument/2006/relationships/hyperlink" Target="http://www.financa.gov.al/al/raportime/borxhi/regjistri-i-borxhit" TargetMode="External"/><Relationship Id="rId55"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chart" Target="charts/chart15.xml"/><Relationship Id="rId11" Type="http://schemas.openxmlformats.org/officeDocument/2006/relationships/webSettings" Target="webSettings.xm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5.xml"/><Relationship Id="rId45" Type="http://schemas.openxmlformats.org/officeDocument/2006/relationships/image" Target="media/image3.png"/><Relationship Id="rId53"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chart" Target="charts/chart6.xml"/><Relationship Id="rId31" Type="http://schemas.openxmlformats.org/officeDocument/2006/relationships/chart" Target="charts/chart17.xml"/><Relationship Id="rId44" Type="http://schemas.openxmlformats.org/officeDocument/2006/relationships/chart" Target="charts/chart29.xml"/><Relationship Id="rId52" Type="http://schemas.openxmlformats.org/officeDocument/2006/relationships/header" Target="head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openxmlformats.org/officeDocument/2006/relationships/chart" Target="charts/chart28.xml"/><Relationship Id="rId48" Type="http://schemas.openxmlformats.org/officeDocument/2006/relationships/image" Target="media/image6.png"/><Relationship Id="rId8" Type="http://schemas.openxmlformats.org/officeDocument/2006/relationships/styles" Target="styles.xml"/><Relationship Id="rId51" Type="http://schemas.openxmlformats.org/officeDocument/2006/relationships/hyperlink" Target="http://www.financa.gov.al/al/raportime/borxhi/ankandet-e-emetimit-te-letrave-me-vlere-te-qeverise"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chart" Target="charts/chart4.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image" Target="media/image2.png"/><Relationship Id="rId46" Type="http://schemas.openxmlformats.org/officeDocument/2006/relationships/image" Target="media/image4.png"/><Relationship Id="rId20" Type="http://schemas.openxmlformats.org/officeDocument/2006/relationships/image" Target="media/image1.png"/><Relationship Id="rId41" Type="http://schemas.openxmlformats.org/officeDocument/2006/relationships/chart" Target="charts/chart26.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49" Type="http://schemas.openxmlformats.org/officeDocument/2006/relationships/hyperlink" Target="http://www.financa.gov.al/al/raportime/borxhi/treguesit-e-borxhi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19900397065752"/>
          <c:y val="4.8198956119078276E-2"/>
          <c:w val="0.81975839558516728"/>
          <c:h val="0.71049361855519133"/>
        </c:manualLayout>
      </c:layout>
      <c:barChart>
        <c:barDir val="col"/>
        <c:grouping val="clustered"/>
        <c:varyColors val="0"/>
        <c:ser>
          <c:idx val="0"/>
          <c:order val="0"/>
          <c:tx>
            <c:strRef>
              <c:f>'Stoku i Borxhit'!$A$26</c:f>
              <c:strCache>
                <c:ptCount val="1"/>
                <c:pt idx="0">
                  <c:v>Borxhi Shtetëror</c:v>
                </c:pt>
              </c:strCache>
            </c:strRef>
          </c:tx>
          <c:spPr>
            <a:solidFill>
              <a:srgbClr val="C00000"/>
            </a:solidFill>
            <a:ln>
              <a:noFill/>
            </a:ln>
            <a:effectLst/>
          </c:spPr>
          <c:invertIfNegative val="0"/>
          <c:dLbls>
            <c:dLbl>
              <c:idx val="0"/>
              <c:layout>
                <c:manualLayout>
                  <c:x val="-4.8240123830675212E-3"/>
                  <c:y val="0.4294408390264556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330-4D80-8C11-6B2F1212A131}"/>
                </c:ext>
                <c:ext xmlns:c15="http://schemas.microsoft.com/office/drawing/2012/chart" uri="{CE6537A1-D6FC-4f65-9D91-7224C49458BB}">
                  <c15:layout/>
                </c:ext>
              </c:extLst>
            </c:dLbl>
            <c:dLbl>
              <c:idx val="1"/>
              <c:layout>
                <c:manualLayout>
                  <c:x val="-1.428427215828869E-3"/>
                  <c:y val="0.4420886634258617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330-4D80-8C11-6B2F1212A131}"/>
                </c:ext>
                <c:ext xmlns:c15="http://schemas.microsoft.com/office/drawing/2012/chart" uri="{CE6537A1-D6FC-4f65-9D91-7224C49458BB}">
                  <c15:layout/>
                </c:ext>
              </c:extLst>
            </c:dLbl>
            <c:dLbl>
              <c:idx val="2"/>
              <c:layout>
                <c:manualLayout>
                  <c:x val="0"/>
                  <c:y val="0.4595064965379844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330-4D80-8C11-6B2F1212A131}"/>
                </c:ext>
                <c:ext xmlns:c15="http://schemas.microsoft.com/office/drawing/2012/chart" uri="{CE6537A1-D6FC-4f65-9D91-7224C49458BB}">
                  <c15:layout/>
                </c:ext>
              </c:extLst>
            </c:dLbl>
            <c:dLbl>
              <c:idx val="3"/>
              <c:layout>
                <c:manualLayout>
                  <c:x val="-1.7824865066353877E-3"/>
                  <c:y val="0.4853667962185131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330-4D80-8C11-6B2F1212A131}"/>
                </c:ext>
                <c:ext xmlns:c15="http://schemas.microsoft.com/office/drawing/2012/chart" uri="{CE6537A1-D6FC-4f65-9D91-7224C49458BB}">
                  <c15:layout/>
                </c:ext>
              </c:extLst>
            </c:dLbl>
            <c:dLbl>
              <c:idx val="4"/>
              <c:layout>
                <c:manualLayout>
                  <c:x val="3.5416246046167306E-4"/>
                  <c:y val="0.4420311214976100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330-4D80-8C11-6B2F1212A131}"/>
                </c:ext>
                <c:ext xmlns:c15="http://schemas.microsoft.com/office/drawing/2012/chart" uri="{CE6537A1-D6FC-4f65-9D91-7224C49458BB}">
                  <c15:layout/>
                </c:ext>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Borxhit'!$B$25:$F$25</c:f>
              <c:strCache>
                <c:ptCount val="5"/>
                <c:pt idx="0">
                  <c:v>2016</c:v>
                </c:pt>
                <c:pt idx="1">
                  <c:v>2017</c:v>
                </c:pt>
                <c:pt idx="2">
                  <c:v>2018</c:v>
                </c:pt>
                <c:pt idx="3">
                  <c:v>2019</c:v>
                </c:pt>
                <c:pt idx="4">
                  <c:v>Shtator  2020</c:v>
                </c:pt>
              </c:strCache>
            </c:strRef>
          </c:cat>
          <c:val>
            <c:numRef>
              <c:f>'Stoku i Borxhit'!$B$26:$F$26</c:f>
              <c:numCache>
                <c:formatCode>_(* #,##0.0_);_(* \(#,##0.0\);_(* "-"??_);_(@_)</c:formatCode>
                <c:ptCount val="5"/>
                <c:pt idx="0">
                  <c:v>1012.241</c:v>
                </c:pt>
                <c:pt idx="1">
                  <c:v>1037.4566964684852</c:v>
                </c:pt>
                <c:pt idx="2">
                  <c:v>1061.8967513634955</c:v>
                </c:pt>
                <c:pt idx="3">
                  <c:v>1070.1914054458098</c:v>
                </c:pt>
                <c:pt idx="4">
                  <c:v>1211.2269547589419</c:v>
                </c:pt>
              </c:numCache>
            </c:numRef>
          </c:val>
          <c:extLst xmlns:c16r2="http://schemas.microsoft.com/office/drawing/2015/06/chart">
            <c:ext xmlns:c16="http://schemas.microsoft.com/office/drawing/2014/chart" uri="{C3380CC4-5D6E-409C-BE32-E72D297353CC}">
              <c16:uniqueId val="{00000005-3330-4D80-8C11-6B2F1212A131}"/>
            </c:ext>
          </c:extLst>
        </c:ser>
        <c:ser>
          <c:idx val="1"/>
          <c:order val="1"/>
          <c:tx>
            <c:strRef>
              <c:f>'Stoku i Borxhit'!$A$27</c:f>
              <c:strCache>
                <c:ptCount val="1"/>
                <c:pt idx="0">
                  <c:v>Borxhi i Garantuar</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'Stoku i Borxhit'!$B$25:$F$25</c:f>
              <c:strCache>
                <c:ptCount val="5"/>
                <c:pt idx="0">
                  <c:v>2016</c:v>
                </c:pt>
                <c:pt idx="1">
                  <c:v>2017</c:v>
                </c:pt>
                <c:pt idx="2">
                  <c:v>2018</c:v>
                </c:pt>
                <c:pt idx="3">
                  <c:v>2019</c:v>
                </c:pt>
                <c:pt idx="4">
                  <c:v>Shtator  2020</c:v>
                </c:pt>
              </c:strCache>
            </c:strRef>
          </c:cat>
          <c:val>
            <c:numRef>
              <c:f>'Stoku i Borxhit'!$B$27:$F$27</c:f>
              <c:numCache>
                <c:formatCode>_(* #,##0.0_);_(* \(#,##0.0\);_(* "-"??_);_(@_)</c:formatCode>
                <c:ptCount val="5"/>
                <c:pt idx="0">
                  <c:v>53.468000000000004</c:v>
                </c:pt>
                <c:pt idx="1">
                  <c:v>49.885175518906451</c:v>
                </c:pt>
                <c:pt idx="2">
                  <c:v>44.672074609123086</c:v>
                </c:pt>
                <c:pt idx="3">
                  <c:v>41.852794389665405</c:v>
                </c:pt>
                <c:pt idx="4">
                  <c:v>49.086530433015653</c:v>
                </c:pt>
              </c:numCache>
            </c:numRef>
          </c:val>
          <c:extLst xmlns:c16r2="http://schemas.microsoft.com/office/drawing/2015/06/chart">
            <c:ext xmlns:c16="http://schemas.microsoft.com/office/drawing/2014/chart" uri="{C3380CC4-5D6E-409C-BE32-E72D297353CC}">
              <c16:uniqueId val="{00000006-3330-4D80-8C11-6B2F1212A131}"/>
            </c:ext>
          </c:extLst>
        </c:ser>
        <c:dLbls>
          <c:showLegendKey val="0"/>
          <c:showVal val="0"/>
          <c:showCatName val="0"/>
          <c:showSerName val="0"/>
          <c:showPercent val="0"/>
          <c:showBubbleSize val="0"/>
        </c:dLbls>
        <c:gapWidth val="148"/>
        <c:axId val="196860416"/>
        <c:axId val="137881280"/>
      </c:barChart>
      <c:lineChart>
        <c:grouping val="standard"/>
        <c:varyColors val="0"/>
        <c:ser>
          <c:idx val="3"/>
          <c:order val="2"/>
          <c:tx>
            <c:strRef>
              <c:f>'Stoku i Borxhit'!$A$28</c:f>
              <c:strCache>
                <c:ptCount val="1"/>
                <c:pt idx="0">
                  <c:v>   Borxhi i Qeverisjes Qendrore/PBB</c:v>
                </c:pt>
              </c:strCache>
            </c:strRef>
          </c:tx>
          <c:spPr>
            <a:ln w="22225" cap="rnd">
              <a:solidFill>
                <a:schemeClr val="bg1">
                  <a:lumMod val="50000"/>
                </a:schemeClr>
              </a:solidFill>
              <a:round/>
            </a:ln>
            <a:effectLst/>
          </c:spPr>
          <c:marker>
            <c:symbol val="diamond"/>
            <c:size val="5"/>
            <c:spPr>
              <a:solidFill>
                <a:schemeClr val="bg1">
                  <a:lumMod val="50000"/>
                </a:schemeClr>
              </a:solidFill>
              <a:ln w="9525">
                <a:noFill/>
              </a:ln>
              <a:effectLst/>
            </c:spPr>
          </c:marker>
          <c:dLbls>
            <c:dLbl>
              <c:idx val="0"/>
              <c:layout>
                <c:manualLayout>
                  <c:x val="-4.5514307752537496E-3"/>
                  <c:y val="-4.5901714349208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330-4D80-8C11-6B2F1212A131}"/>
                </c:ext>
                <c:ext xmlns:c15="http://schemas.microsoft.com/office/drawing/2012/chart" uri="{CE6537A1-D6FC-4f65-9D91-7224C49458BB}">
                  <c15:layout/>
                </c:ext>
              </c:extLst>
            </c:dLbl>
            <c:dLbl>
              <c:idx val="1"/>
              <c:layout>
                <c:manualLayout>
                  <c:x val="-6.0282685798705386E-3"/>
                  <c:y val="-4.09501757814574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3330-4D80-8C11-6B2F1212A131}"/>
                </c:ext>
                <c:ext xmlns:c15="http://schemas.microsoft.com/office/drawing/2012/chart" uri="{CE6537A1-D6FC-4f65-9D91-7224C49458BB}">
                  <c15:layout/>
                </c:ext>
              </c:extLst>
            </c:dLbl>
            <c:dLbl>
              <c:idx val="2"/>
              <c:layout>
                <c:manualLayout>
                  <c:x val="-1.2959428996565693E-2"/>
                  <c:y val="-4.14187356970758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3330-4D80-8C11-6B2F1212A131}"/>
                </c:ext>
                <c:ext xmlns:c15="http://schemas.microsoft.com/office/drawing/2012/chart" uri="{CE6537A1-D6FC-4f65-9D91-7224C49458BB}">
                  <c15:layout/>
                </c:ext>
              </c:extLst>
            </c:dLbl>
            <c:dLbl>
              <c:idx val="3"/>
              <c:layout>
                <c:manualLayout>
                  <c:x val="-1.6284593127639607E-2"/>
                  <c:y val="-6.99265418970998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3330-4D80-8C11-6B2F1212A131}"/>
                </c:ext>
                <c:ext xmlns:c15="http://schemas.microsoft.com/office/drawing/2012/chart" uri="{CE6537A1-D6FC-4f65-9D91-7224C49458BB}">
                  <c15:layout/>
                </c:ext>
              </c:extLst>
            </c:dLbl>
            <c:dLbl>
              <c:idx val="4"/>
              <c:layout>
                <c:manualLayout>
                  <c:x val="-4.35201209021676E-3"/>
                  <c:y val="-2.9993962235786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3330-4D80-8C11-6B2F1212A131}"/>
                </c:ext>
                <c:ext xmlns:c15="http://schemas.microsoft.com/office/drawing/2012/chart" uri="{CE6537A1-D6FC-4f65-9D91-7224C49458BB}">
                  <c15:layout/>
                </c:ext>
              </c:extLst>
            </c:dLbl>
            <c:dLbl>
              <c:idx val="140"/>
              <c:layout>
                <c:manualLayout>
                  <c:x val="-7.5011720581340839E-3"/>
                  <c:y val="-4.94845467942845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3330-4D80-8C11-6B2F1212A131}"/>
                </c:ext>
                <c:ext xmlns:c15="http://schemas.microsoft.com/office/drawing/2012/chart" uri="{CE6537A1-D6FC-4f65-9D91-7224C49458BB}"/>
              </c:extLst>
            </c:dLbl>
            <c:dLbl>
              <c:idx val="142"/>
              <c:layout>
                <c:manualLayout>
                  <c:x val="-1.6877637130801686E-2"/>
                  <c:y val="-7.14776787028555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3330-4D80-8C11-6B2F1212A13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'Stoku i Borxhit'!$B$25:$F$25</c:f>
              <c:strCache>
                <c:ptCount val="5"/>
                <c:pt idx="0">
                  <c:v>2016</c:v>
                </c:pt>
                <c:pt idx="1">
                  <c:v>2017</c:v>
                </c:pt>
                <c:pt idx="2">
                  <c:v>2018</c:v>
                </c:pt>
                <c:pt idx="3">
                  <c:v>2019</c:v>
                </c:pt>
                <c:pt idx="4">
                  <c:v>Shtator  2020</c:v>
                </c:pt>
              </c:strCache>
            </c:strRef>
          </c:cat>
          <c:val>
            <c:numRef>
              <c:f>'Stoku i Borxhit'!$B$28:$F$28</c:f>
              <c:numCache>
                <c:formatCode>0.0%</c:formatCode>
                <c:ptCount val="5"/>
                <c:pt idx="0">
                  <c:v>0.72375108660219489</c:v>
                </c:pt>
                <c:pt idx="1">
                  <c:v>0.70121953974438478</c:v>
                </c:pt>
                <c:pt idx="2">
                  <c:v>0.6765046636930141</c:v>
                </c:pt>
                <c:pt idx="3">
                  <c:v>0.66254974956732327</c:v>
                </c:pt>
                <c:pt idx="4">
                  <c:v>0.79718257804745885</c:v>
                </c:pt>
              </c:numCache>
            </c:numRef>
          </c:val>
          <c:smooth val="1"/>
          <c:extLst xmlns:c16r2="http://schemas.microsoft.com/office/drawing/2015/06/chart">
            <c:ext xmlns:c16="http://schemas.microsoft.com/office/drawing/2014/chart" uri="{C3380CC4-5D6E-409C-BE32-E72D297353CC}">
              <c16:uniqueId val="{0000000E-3330-4D80-8C11-6B2F1212A131}"/>
            </c:ext>
          </c:extLst>
        </c:ser>
        <c:dLbls>
          <c:showLegendKey val="0"/>
          <c:showVal val="0"/>
          <c:showCatName val="0"/>
          <c:showSerName val="0"/>
          <c:showPercent val="0"/>
          <c:showBubbleSize val="0"/>
        </c:dLbls>
        <c:marker val="1"/>
        <c:smooth val="0"/>
        <c:axId val="196860928"/>
        <c:axId val="137881856"/>
      </c:lineChart>
      <c:catAx>
        <c:axId val="1968604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7881280"/>
        <c:crosses val="autoZero"/>
        <c:auto val="1"/>
        <c:lblAlgn val="ctr"/>
        <c:lblOffset val="100"/>
        <c:noMultiLvlLbl val="0"/>
      </c:catAx>
      <c:valAx>
        <c:axId val="137881280"/>
        <c:scaling>
          <c:orientation val="minMax"/>
          <c:max val="12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2.312739753684635E-2"/>
              <c:y val="0.14671088411245889"/>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6860416"/>
        <c:crosses val="autoZero"/>
        <c:crossBetween val="between"/>
        <c:majorUnit val="300"/>
      </c:valAx>
      <c:valAx>
        <c:axId val="137881856"/>
        <c:scaling>
          <c:orientation val="minMax"/>
          <c:max val="0.9"/>
          <c:min val="0.5"/>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6860928"/>
        <c:crosses val="max"/>
        <c:crossBetween val="between"/>
        <c:majorUnit val="0.1"/>
      </c:valAx>
      <c:catAx>
        <c:axId val="196860928"/>
        <c:scaling>
          <c:orientation val="minMax"/>
        </c:scaling>
        <c:delete val="1"/>
        <c:axPos val="b"/>
        <c:numFmt formatCode="General" sourceLinked="1"/>
        <c:majorTickMark val="none"/>
        <c:minorTickMark val="none"/>
        <c:tickLblPos val="nextTo"/>
        <c:crossAx val="137881856"/>
        <c:crosses val="autoZero"/>
        <c:auto val="1"/>
        <c:lblAlgn val="ctr"/>
        <c:lblOffset val="100"/>
        <c:noMultiLvlLbl val="0"/>
      </c:catAx>
      <c:spPr>
        <a:noFill/>
        <a:ln>
          <a:noFill/>
        </a:ln>
        <a:effectLst/>
      </c:spPr>
    </c:plotArea>
    <c:legend>
      <c:legendPos val="b"/>
      <c:layout>
        <c:manualLayout>
          <c:xMode val="edge"/>
          <c:yMode val="edge"/>
          <c:x val="8.4927786433112953E-2"/>
          <c:y val="0.89923894494176826"/>
          <c:w val="0.87502990278707826"/>
          <c:h val="8.55519295829466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76637054983512"/>
          <c:y val="6.4081028337287113E-2"/>
          <c:w val="0.89865199542364893"/>
          <c:h val="0.70230148756620792"/>
        </c:manualLayout>
      </c:layout>
      <c:barChart>
        <c:barDir val="col"/>
        <c:grouping val="clustered"/>
        <c:varyColors val="0"/>
        <c:ser>
          <c:idx val="0"/>
          <c:order val="0"/>
          <c:tx>
            <c:strRef>
              <c:f>'Kompozimi '!$A$14</c:f>
              <c:strCache>
                <c:ptCount val="1"/>
                <c:pt idx="0">
                  <c:v>Instrumente të tregtueshme</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'!$B$13:$F$13</c:f>
              <c:strCache>
                <c:ptCount val="5"/>
                <c:pt idx="0">
                  <c:v>2016</c:v>
                </c:pt>
                <c:pt idx="1">
                  <c:v>2017</c:v>
                </c:pt>
                <c:pt idx="2">
                  <c:v>2018</c:v>
                </c:pt>
                <c:pt idx="3">
                  <c:v>2019</c:v>
                </c:pt>
                <c:pt idx="4">
                  <c:v>Shtator 2020</c:v>
                </c:pt>
              </c:strCache>
            </c:strRef>
          </c:cat>
          <c:val>
            <c:numRef>
              <c:f>'Kompozimi '!$B$14:$F$14</c:f>
              <c:numCache>
                <c:formatCode>0.0%</c:formatCode>
                <c:ptCount val="5"/>
                <c:pt idx="0">
                  <c:v>0.55520555867142884</c:v>
                </c:pt>
                <c:pt idx="1">
                  <c:v>0.5580271147371606</c:v>
                </c:pt>
                <c:pt idx="2">
                  <c:v>0.59432138359154785</c:v>
                </c:pt>
                <c:pt idx="3">
                  <c:v>0.60560819290190038</c:v>
                </c:pt>
                <c:pt idx="4">
                  <c:v>0.63495476610345258</c:v>
                </c:pt>
              </c:numCache>
            </c:numRef>
          </c:val>
          <c:extLst xmlns:c16r2="http://schemas.microsoft.com/office/drawing/2015/06/chart">
            <c:ext xmlns:c16="http://schemas.microsoft.com/office/drawing/2014/chart" uri="{C3380CC4-5D6E-409C-BE32-E72D297353CC}">
              <c16:uniqueId val="{00000000-1A38-4DD9-ACCC-F41F65C5FE69}"/>
            </c:ext>
          </c:extLst>
        </c:ser>
        <c:ser>
          <c:idx val="1"/>
          <c:order val="1"/>
          <c:tx>
            <c:strRef>
              <c:f>'Kompozimi '!$A$15</c:f>
              <c:strCache>
                <c:ptCount val="1"/>
                <c:pt idx="0">
                  <c:v>Hua për financim projektesh</c:v>
                </c:pt>
              </c:strCache>
            </c:strRef>
          </c:tx>
          <c:spPr>
            <a:solidFill>
              <a:srgbClr val="7030A0"/>
            </a:solidFill>
            <a:ln>
              <a:noFill/>
            </a:ln>
            <a:effectLst/>
          </c:spPr>
          <c:invertIfNegative val="0"/>
          <c:dLbls>
            <c:dLbl>
              <c:idx val="0"/>
              <c:layout>
                <c:manualLayout>
                  <c:x val="1.4288983107880746E-3"/>
                  <c:y val="1.5180262630496471E-2"/>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01-1A38-4DD9-ACCC-F41F65C5FE69}"/>
                </c:ext>
                <c:ext xmlns:c15="http://schemas.microsoft.com/office/drawing/2012/chart" uri="{CE6537A1-D6FC-4f65-9D91-7224C49458BB}">
                  <c15:layout/>
                </c:ext>
              </c:extLst>
            </c:dLbl>
            <c:dLbl>
              <c:idx val="1"/>
              <c:layout>
                <c:manualLayout>
                  <c:x val="-3.2074836799252516E-4"/>
                  <c:y val="1.6096656437586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A38-4DD9-ACCC-F41F65C5FE69}"/>
                </c:ext>
                <c:ext xmlns:c15="http://schemas.microsoft.com/office/drawing/2012/chart" uri="{CE6537A1-D6FC-4f65-9D91-7224C49458BB}">
                  <c15:layout/>
                </c:ext>
              </c:extLst>
            </c:dLbl>
            <c:dLbl>
              <c:idx val="2"/>
              <c:layout>
                <c:manualLayout>
                  <c:x val="8.0838500765100104E-4"/>
                  <c:y val="1.60966564375867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A38-4DD9-ACCC-F41F65C5FE69}"/>
                </c:ext>
                <c:ext xmlns:c15="http://schemas.microsoft.com/office/drawing/2012/chart" uri="{CE6537A1-D6FC-4f65-9D91-7224C49458BB}">
                  <c15:layout/>
                </c:ext>
              </c:extLst>
            </c:dLbl>
            <c:dLbl>
              <c:idx val="3"/>
              <c:layout>
                <c:manualLayout>
                  <c:x val="1.6103059581320451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A38-4DD9-ACCC-F41F65C5FE69}"/>
                </c:ext>
                <c:ext xmlns:c15="http://schemas.microsoft.com/office/drawing/2012/chart" uri="{CE6537A1-D6FC-4f65-9D91-7224C49458BB}">
                  <c15:layout/>
                </c:ext>
              </c:extLst>
            </c:dLbl>
            <c:dLbl>
              <c:idx val="4"/>
              <c:layout>
                <c:manualLayout>
                  <c:x val="-9.6230999013569517E-4"/>
                  <c:y val="5.365684956558949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A38-4DD9-ACCC-F41F65C5FE69}"/>
                </c:ext>
                <c:ext xmlns:c15="http://schemas.microsoft.com/office/drawing/2012/chart" uri="{CE6537A1-D6FC-4f65-9D91-7224C49458BB}">
                  <c15:layout/>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7030A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'!$B$13:$F$13</c:f>
              <c:strCache>
                <c:ptCount val="5"/>
                <c:pt idx="0">
                  <c:v>2016</c:v>
                </c:pt>
                <c:pt idx="1">
                  <c:v>2017</c:v>
                </c:pt>
                <c:pt idx="2">
                  <c:v>2018</c:v>
                </c:pt>
                <c:pt idx="3">
                  <c:v>2019</c:v>
                </c:pt>
                <c:pt idx="4">
                  <c:v>Shtator 2020</c:v>
                </c:pt>
              </c:strCache>
            </c:strRef>
          </c:cat>
          <c:val>
            <c:numRef>
              <c:f>'Kompozimi '!$B$15:$F$15</c:f>
              <c:numCache>
                <c:formatCode>0.0%</c:formatCode>
                <c:ptCount val="5"/>
                <c:pt idx="0">
                  <c:v>0.27481036005416565</c:v>
                </c:pt>
                <c:pt idx="1">
                  <c:v>0.25990098210582335</c:v>
                </c:pt>
                <c:pt idx="2">
                  <c:v>0.24205469206337524</c:v>
                </c:pt>
                <c:pt idx="3">
                  <c:v>0.23879148934858418</c:v>
                </c:pt>
                <c:pt idx="4">
                  <c:v>0.20744326252864498</c:v>
                </c:pt>
              </c:numCache>
            </c:numRef>
          </c:val>
          <c:extLst xmlns:c16r2="http://schemas.microsoft.com/office/drawing/2015/06/chart">
            <c:ext xmlns:c16="http://schemas.microsoft.com/office/drawing/2014/chart" uri="{C3380CC4-5D6E-409C-BE32-E72D297353CC}">
              <c16:uniqueId val="{00000006-1A38-4DD9-ACCC-F41F65C5FE69}"/>
            </c:ext>
          </c:extLst>
        </c:ser>
        <c:ser>
          <c:idx val="2"/>
          <c:order val="2"/>
          <c:tx>
            <c:strRef>
              <c:f>'Kompozimi '!$A$16</c:f>
              <c:strCache>
                <c:ptCount val="1"/>
                <c:pt idx="0">
                  <c:v>Mbështetje Buxhetore</c:v>
                </c:pt>
              </c:strCache>
            </c:strRef>
          </c:tx>
          <c:spPr>
            <a:solidFill>
              <a:srgbClr val="C00000"/>
            </a:solidFill>
            <a:ln>
              <a:noFill/>
            </a:ln>
            <a:effectLst/>
          </c:spPr>
          <c:invertIfNegative val="0"/>
          <c:dLbls>
            <c:dLbl>
              <c:idx val="0"/>
              <c:layout>
                <c:manualLayout>
                  <c:x val="-2.0915114694328709E-3"/>
                  <c:y val="0"/>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07-1A38-4DD9-ACCC-F41F65C5FE69}"/>
                </c:ext>
                <c:ext xmlns:c15="http://schemas.microsoft.com/office/drawing/2012/chart" uri="{CE6537A1-D6FC-4f65-9D91-7224C49458BB}">
                  <c15:layout/>
                </c:ext>
              </c:extLst>
            </c:dLbl>
            <c:dLbl>
              <c:idx val="1"/>
              <c:layout>
                <c:manualLayout>
                  <c:x val="-5.7932399884277411E-3"/>
                  <c:y val="-4.6383599988100755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A38-4DD9-ACCC-F41F65C5FE69}"/>
                </c:ext>
                <c:ext xmlns:c15="http://schemas.microsoft.com/office/drawing/2012/chart" uri="{CE6537A1-D6FC-4f65-9D91-7224C49458BB}">
                  <c15:layout/>
                </c:ext>
              </c:extLst>
            </c:dLbl>
            <c:dLbl>
              <c:idx val="2"/>
              <c:layout>
                <c:manualLayout>
                  <c:x val="-3.7017285189949517E-3"/>
                  <c:y val="1.60966564375867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1A38-4DD9-ACCC-F41F65C5FE69}"/>
                </c:ext>
                <c:ext xmlns:c15="http://schemas.microsoft.com/office/drawing/2012/chart" uri="{CE6537A1-D6FC-4f65-9D91-7224C49458BB}">
                  <c15:layout/>
                </c:ext>
              </c:extLst>
            </c:dLbl>
            <c:dLbl>
              <c:idx val="3"/>
              <c:layout>
                <c:manualLayout>
                  <c:x val="-2.0915114694328549E-3"/>
                  <c:y val="1.51802626304964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A38-4DD9-ACCC-F41F65C5FE69}"/>
                </c:ext>
                <c:ext xmlns:c15="http://schemas.microsoft.com/office/drawing/2012/chart" uri="{CE6537A1-D6FC-4f65-9D91-7224C49458BB}">
                  <c15:layout/>
                </c:ext>
              </c:extLst>
            </c:dLbl>
            <c:dLbl>
              <c:idx val="4"/>
              <c:layout>
                <c:manualLayout>
                  <c:x val="-3.5413899955732625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1A38-4DD9-ACCC-F41F65C5FE69}"/>
                </c:ext>
                <c:ext xmlns:c15="http://schemas.microsoft.com/office/drawing/2012/chart" uri="{CE6537A1-D6FC-4f65-9D91-7224C49458BB}">
                  <c15:layout/>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'!$B$13:$F$13</c:f>
              <c:strCache>
                <c:ptCount val="5"/>
                <c:pt idx="0">
                  <c:v>2016</c:v>
                </c:pt>
                <c:pt idx="1">
                  <c:v>2017</c:v>
                </c:pt>
                <c:pt idx="2">
                  <c:v>2018</c:v>
                </c:pt>
                <c:pt idx="3">
                  <c:v>2019</c:v>
                </c:pt>
                <c:pt idx="4">
                  <c:v>Shtator 2020</c:v>
                </c:pt>
              </c:strCache>
            </c:strRef>
          </c:cat>
          <c:val>
            <c:numRef>
              <c:f>'Kompozimi '!$B$16:$F$16</c:f>
              <c:numCache>
                <c:formatCode>0.0%</c:formatCode>
                <c:ptCount val="5"/>
                <c:pt idx="0">
                  <c:v>0.1198128113028905</c:v>
                </c:pt>
                <c:pt idx="1">
                  <c:v>0.1361938064424964</c:v>
                </c:pt>
                <c:pt idx="2">
                  <c:v>0.12325402314242208</c:v>
                </c:pt>
                <c:pt idx="3">
                  <c:v>0.11796440857773015</c:v>
                </c:pt>
                <c:pt idx="4">
                  <c:v>0.11865409779894508</c:v>
                </c:pt>
              </c:numCache>
            </c:numRef>
          </c:val>
          <c:extLst xmlns:c16r2="http://schemas.microsoft.com/office/drawing/2015/06/chart">
            <c:ext xmlns:c16="http://schemas.microsoft.com/office/drawing/2014/chart" uri="{C3380CC4-5D6E-409C-BE32-E72D297353CC}">
              <c16:uniqueId val="{0000000C-1A38-4DD9-ACCC-F41F65C5FE69}"/>
            </c:ext>
          </c:extLst>
        </c:ser>
        <c:ser>
          <c:idx val="3"/>
          <c:order val="3"/>
          <c:tx>
            <c:strRef>
              <c:f>'Kompozimi '!$A$17</c:f>
              <c:strCache>
                <c:ptCount val="1"/>
                <c:pt idx="0">
                  <c:v>Garanci</c:v>
                </c:pt>
              </c:strCache>
            </c:strRef>
          </c:tx>
          <c:spPr>
            <a:solidFill>
              <a:schemeClr val="bg1">
                <a:lumMod val="50000"/>
              </a:schemeClr>
            </a:solidFill>
            <a:ln>
              <a:noFill/>
            </a:ln>
            <a:effectLst/>
          </c:spPr>
          <c:invertIfNegative val="0"/>
          <c:dLbls>
            <c:dLbl>
              <c:idx val="0"/>
              <c:layout>
                <c:manualLayout>
                  <c:x val="-3.2081647164625599E-4"/>
                  <c:y val="5.3656849565589491E-3"/>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0D-1A38-4DD9-ACCC-F41F65C5FE69}"/>
                </c:ext>
                <c:ext xmlns:c15="http://schemas.microsoft.com/office/drawing/2012/chart" uri="{CE6537A1-D6FC-4f65-9D91-7224C49458BB}">
                  <c15:layout/>
                </c:ext>
              </c:extLst>
            </c:dLbl>
            <c:dLbl>
              <c:idx val="1"/>
              <c:layout>
                <c:manualLayout>
                  <c:x val="0"/>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1A38-4DD9-ACCC-F41F65C5FE69}"/>
                </c:ext>
                <c:ext xmlns:c15="http://schemas.microsoft.com/office/drawing/2012/chart" uri="{CE6537A1-D6FC-4f65-9D91-7224C49458BB}">
                  <c15:layout/>
                </c:ext>
              </c:extLst>
            </c:dLbl>
            <c:dLbl>
              <c:idx val="2"/>
              <c:layout>
                <c:manualLayout>
                  <c:x val="-2.251849992854479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1A38-4DD9-ACCC-F41F65C5FE69}"/>
                </c:ext>
                <c:ext xmlns:c15="http://schemas.microsoft.com/office/drawing/2012/chart" uri="{CE6537A1-D6FC-4f65-9D91-7224C49458BB}">
                  <c15:layout/>
                </c:ext>
              </c:extLst>
            </c:dLbl>
            <c:dLbl>
              <c:idx val="3"/>
              <c:layout>
                <c:manualLayout>
                  <c:x val="-3.2081647164622351E-4"/>
                  <c:y val="5.365684956558949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1A38-4DD9-ACCC-F41F65C5FE69}"/>
                </c:ext>
                <c:ext xmlns:c15="http://schemas.microsoft.com/office/drawing/2012/chart" uri="{CE6537A1-D6FC-4f65-9D91-7224C49458BB}">
                  <c15:layout/>
                </c:ext>
              </c:extLst>
            </c:dLbl>
            <c:dLbl>
              <c:idx val="4"/>
              <c:layout>
                <c:manualLayout>
                  <c:x val="-2.2518499928546086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1A38-4DD9-ACCC-F41F65C5FE69}"/>
                </c:ext>
                <c:ext xmlns:c15="http://schemas.microsoft.com/office/drawing/2012/chart" uri="{CE6537A1-D6FC-4f65-9D91-7224C49458BB}">
                  <c15:layout/>
                </c:ext>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'!$B$13:$F$13</c:f>
              <c:strCache>
                <c:ptCount val="5"/>
                <c:pt idx="0">
                  <c:v>2016</c:v>
                </c:pt>
                <c:pt idx="1">
                  <c:v>2017</c:v>
                </c:pt>
                <c:pt idx="2">
                  <c:v>2018</c:v>
                </c:pt>
                <c:pt idx="3">
                  <c:v>2019</c:v>
                </c:pt>
                <c:pt idx="4">
                  <c:v>Shtator 2020</c:v>
                </c:pt>
              </c:strCache>
            </c:strRef>
          </c:cat>
          <c:val>
            <c:numRef>
              <c:f>'Kompozimi '!$B$17:$F$17</c:f>
              <c:numCache>
                <c:formatCode>0.0%</c:formatCode>
                <c:ptCount val="5"/>
                <c:pt idx="0">
                  <c:v>5.0171269971514935E-2</c:v>
                </c:pt>
                <c:pt idx="1">
                  <c:v>4.5878096714519791E-2</c:v>
                </c:pt>
                <c:pt idx="2">
                  <c:v>4.036990120265483E-2</c:v>
                </c:pt>
                <c:pt idx="3">
                  <c:v>3.7635909171785456E-2</c:v>
                </c:pt>
                <c:pt idx="4">
                  <c:v>3.8947873568957334E-2</c:v>
                </c:pt>
              </c:numCache>
            </c:numRef>
          </c:val>
          <c:extLst xmlns:c16r2="http://schemas.microsoft.com/office/drawing/2015/06/chart">
            <c:ext xmlns:c16="http://schemas.microsoft.com/office/drawing/2014/chart" uri="{C3380CC4-5D6E-409C-BE32-E72D297353CC}">
              <c16:uniqueId val="{00000012-1A38-4DD9-ACCC-F41F65C5FE69}"/>
            </c:ext>
          </c:extLst>
        </c:ser>
        <c:dLbls>
          <c:showLegendKey val="0"/>
          <c:showVal val="0"/>
          <c:showCatName val="0"/>
          <c:showSerName val="0"/>
          <c:showPercent val="0"/>
          <c:showBubbleSize val="0"/>
        </c:dLbls>
        <c:gapWidth val="118"/>
        <c:axId val="211497472"/>
        <c:axId val="137883584"/>
      </c:barChart>
      <c:catAx>
        <c:axId val="2114974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7883584"/>
        <c:crosses val="autoZero"/>
        <c:auto val="1"/>
        <c:lblAlgn val="ctr"/>
        <c:lblOffset val="100"/>
        <c:noMultiLvlLbl val="0"/>
      </c:catAx>
      <c:valAx>
        <c:axId val="137883584"/>
        <c:scaling>
          <c:orientation val="minMax"/>
          <c:max val="0.8"/>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497472"/>
        <c:crosses val="autoZero"/>
        <c:crossBetween val="between"/>
        <c:majorUnit val="0.2"/>
      </c:valAx>
      <c:spPr>
        <a:noFill/>
        <a:ln>
          <a:noFill/>
        </a:ln>
        <a:effectLst/>
      </c:spPr>
    </c:plotArea>
    <c:legend>
      <c:legendPos val="b"/>
      <c:layout>
        <c:manualLayout>
          <c:xMode val="edge"/>
          <c:yMode val="edge"/>
          <c:x val="7.844084393296992E-2"/>
          <c:y val="0.89103048048642164"/>
          <c:w val="0.8889250609826207"/>
          <c:h val="9.152534325169152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'Huamarrja Total'!$A$16</c:f>
              <c:strCache>
                <c:ptCount val="1"/>
                <c:pt idx="0">
                  <c:v>Huamarrja e Brendshme</c:v>
                </c:pt>
              </c:strCache>
            </c:strRef>
          </c:tx>
          <c:spPr>
            <a:solidFill>
              <a:schemeClr val="accent1"/>
            </a:solidFill>
            <a:ln>
              <a:noFill/>
            </a:ln>
            <a:effectLst/>
          </c:spPr>
          <c:invertIfNegative val="0"/>
          <c:dPt>
            <c:idx val="4"/>
            <c:invertIfNegative val="0"/>
            <c:bubble3D val="0"/>
            <c:spPr>
              <a:pattFill prst="wdUpDiag">
                <a:fgClr>
                  <a:schemeClr val="accent1"/>
                </a:fgClr>
                <a:bgClr>
                  <a:schemeClr val="bg1"/>
                </a:bgClr>
              </a:pattFill>
              <a:ln>
                <a:noFill/>
              </a:ln>
              <a:effectLst/>
            </c:spPr>
            <c:extLst xmlns:c16r2="http://schemas.microsoft.com/office/drawing/2015/06/chart">
              <c:ext xmlns:c16="http://schemas.microsoft.com/office/drawing/2014/chart" uri="{C3380CC4-5D6E-409C-BE32-E72D297353CC}">
                <c16:uniqueId val="{00000001-64D5-4401-A762-5104C3B01E8D}"/>
              </c:ext>
            </c:extLst>
          </c:dPt>
          <c:dLbls>
            <c:dLbl>
              <c:idx val="4"/>
              <c:layout>
                <c:manualLayout>
                  <c:x val="4.6838407494145202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4D5-4401-A762-5104C3B01E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'Huamarrja Total'!$B$15:$F$15</c:f>
              <c:strCache>
                <c:ptCount val="5"/>
                <c:pt idx="0">
                  <c:v>2016</c:v>
                </c:pt>
                <c:pt idx="1">
                  <c:v>2017</c:v>
                </c:pt>
                <c:pt idx="2">
                  <c:v>2018</c:v>
                </c:pt>
                <c:pt idx="3">
                  <c:v>2019</c:v>
                </c:pt>
                <c:pt idx="4">
                  <c:v>Plan 2020</c:v>
                </c:pt>
              </c:strCache>
            </c:strRef>
          </c:cat>
          <c:val>
            <c:numRef>
              <c:f>'Huamarrja Total'!$B$16:$F$16</c:f>
              <c:numCache>
                <c:formatCode>0.0</c:formatCode>
                <c:ptCount val="5"/>
                <c:pt idx="0">
                  <c:v>341.94574581115995</c:v>
                </c:pt>
                <c:pt idx="1">
                  <c:v>322.98814272017</c:v>
                </c:pt>
                <c:pt idx="2">
                  <c:v>302.97028800759</c:v>
                </c:pt>
                <c:pt idx="3">
                  <c:v>301.19120821613001</c:v>
                </c:pt>
                <c:pt idx="4">
                  <c:v>350.98720927483998</c:v>
                </c:pt>
              </c:numCache>
            </c:numRef>
          </c:val>
          <c:extLst xmlns:c16r2="http://schemas.microsoft.com/office/drawing/2015/06/chart">
            <c:ext xmlns:c16="http://schemas.microsoft.com/office/drawing/2014/chart" uri="{C3380CC4-5D6E-409C-BE32-E72D297353CC}">
              <c16:uniqueId val="{00000002-64D5-4401-A762-5104C3B01E8D}"/>
            </c:ext>
          </c:extLst>
        </c:ser>
        <c:ser>
          <c:idx val="1"/>
          <c:order val="1"/>
          <c:tx>
            <c:strRef>
              <c:f>'Huamarrja Total'!$A$17</c:f>
              <c:strCache>
                <c:ptCount val="1"/>
                <c:pt idx="0">
                  <c:v>Huamarja e Huaj</c:v>
                </c:pt>
              </c:strCache>
            </c:strRef>
          </c:tx>
          <c:spPr>
            <a:solidFill>
              <a:srgbClr val="C00000"/>
            </a:solidFill>
            <a:ln>
              <a:noFill/>
            </a:ln>
            <a:effectLst/>
          </c:spPr>
          <c:invertIfNegative val="0"/>
          <c:dPt>
            <c:idx val="4"/>
            <c:invertIfNegative val="0"/>
            <c:bubble3D val="0"/>
            <c:spPr>
              <a:pattFill prst="wdUpDiag">
                <a:fgClr>
                  <a:srgbClr val="C00000"/>
                </a:fgClr>
                <a:bgClr>
                  <a:schemeClr val="bg1"/>
                </a:bgClr>
              </a:pattFill>
              <a:ln>
                <a:noFill/>
              </a:ln>
              <a:effectLst/>
            </c:spPr>
            <c:extLst xmlns:c16r2="http://schemas.microsoft.com/office/drawing/2015/06/chart">
              <c:ext xmlns:c16="http://schemas.microsoft.com/office/drawing/2014/chart" uri="{C3380CC4-5D6E-409C-BE32-E72D297353CC}">
                <c16:uniqueId val="{00000004-64D5-4401-A762-5104C3B01E8D}"/>
              </c:ext>
            </c:extLst>
          </c:dPt>
          <c:dLbls>
            <c:dLbl>
              <c:idx val="2"/>
              <c:layout>
                <c:manualLayout>
                  <c:x val="-7.3849432215705091E-17"/>
                  <c:y val="2.12060923266505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4D5-4401-A762-5104C3B01E8D}"/>
                </c:ext>
                <c:ext xmlns:c15="http://schemas.microsoft.com/office/drawing/2012/chart" uri="{CE6537A1-D6FC-4f65-9D91-7224C49458BB}">
                  <c15:layout/>
                </c:ext>
              </c:extLst>
            </c:dLbl>
            <c:dLbl>
              <c:idx val="4"/>
              <c:layout>
                <c:manualLayout>
                  <c:x val="4.8790007806401248E-2"/>
                  <c:y val="1.59047054422164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4D5-4401-A762-5104C3B01E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'Huamarrja Total'!$B$15:$F$15</c:f>
              <c:strCache>
                <c:ptCount val="5"/>
                <c:pt idx="0">
                  <c:v>2016</c:v>
                </c:pt>
                <c:pt idx="1">
                  <c:v>2017</c:v>
                </c:pt>
                <c:pt idx="2">
                  <c:v>2018</c:v>
                </c:pt>
                <c:pt idx="3">
                  <c:v>2019</c:v>
                </c:pt>
                <c:pt idx="4">
                  <c:v>Plan 2020</c:v>
                </c:pt>
              </c:strCache>
            </c:strRef>
          </c:cat>
          <c:val>
            <c:numRef>
              <c:f>'Huamarrja Total'!$B$17:$F$17</c:f>
              <c:numCache>
                <c:formatCode>0.0</c:formatCode>
                <c:ptCount val="5"/>
                <c:pt idx="0">
                  <c:v>40.099108000000001</c:v>
                </c:pt>
                <c:pt idx="1">
                  <c:v>58.653800046744003</c:v>
                </c:pt>
                <c:pt idx="2">
                  <c:v>82.060717000000011</c:v>
                </c:pt>
                <c:pt idx="3">
                  <c:v>21.389974999999996</c:v>
                </c:pt>
                <c:pt idx="4">
                  <c:v>145.19384600000001</c:v>
                </c:pt>
              </c:numCache>
            </c:numRef>
          </c:val>
          <c:extLst xmlns:c16r2="http://schemas.microsoft.com/office/drawing/2015/06/chart">
            <c:ext xmlns:c16="http://schemas.microsoft.com/office/drawing/2014/chart" uri="{C3380CC4-5D6E-409C-BE32-E72D297353CC}">
              <c16:uniqueId val="{00000006-64D5-4401-A762-5104C3B01E8D}"/>
            </c:ext>
          </c:extLst>
        </c:ser>
        <c:dLbls>
          <c:showLegendKey val="0"/>
          <c:showVal val="0"/>
          <c:showCatName val="0"/>
          <c:showSerName val="0"/>
          <c:showPercent val="0"/>
          <c:showBubbleSize val="0"/>
        </c:dLbls>
        <c:gapWidth val="219"/>
        <c:overlap val="100"/>
        <c:axId val="211498496"/>
        <c:axId val="137884736"/>
      </c:barChart>
      <c:lineChart>
        <c:grouping val="standard"/>
        <c:varyColors val="0"/>
        <c:ser>
          <c:idx val="2"/>
          <c:order val="2"/>
          <c:tx>
            <c:strRef>
              <c:f>'Huamarrja Total'!$A$22</c:f>
              <c:strCache>
                <c:ptCount val="1"/>
                <c:pt idx="0">
                  <c:v>Huamarrja/PBB</c:v>
                </c:pt>
              </c:strCache>
            </c:strRef>
          </c:tx>
          <c:spPr>
            <a:ln w="22225" cap="rnd">
              <a:solidFill>
                <a:sysClr val="window" lastClr="FFFFFF">
                  <a:lumMod val="50000"/>
                </a:sysClr>
              </a:solidFill>
              <a:round/>
            </a:ln>
            <a:effectLst/>
          </c:spPr>
          <c:marker>
            <c:symbol val="diamond"/>
            <c:size val="5"/>
            <c:spPr>
              <a:solidFill>
                <a:sysClr val="window" lastClr="FFFFFF">
                  <a:lumMod val="50000"/>
                </a:sysClr>
              </a:solidFill>
              <a:ln w="9525">
                <a:noFill/>
              </a:ln>
              <a:effectLst/>
            </c:spPr>
          </c:marker>
          <c:dPt>
            <c:idx val="4"/>
            <c:bubble3D val="0"/>
            <c:spPr>
              <a:ln w="22225" cap="rnd">
                <a:solidFill>
                  <a:sysClr val="window" lastClr="FFFFFF">
                    <a:lumMod val="50000"/>
                  </a:sysClr>
                </a:solidFill>
                <a:prstDash val="dash"/>
                <a:round/>
              </a:ln>
              <a:effectLst/>
            </c:spPr>
            <c:extLst xmlns:c16r2="http://schemas.microsoft.com/office/drawing/2015/06/chart">
              <c:ext xmlns:c16="http://schemas.microsoft.com/office/drawing/2014/chart" uri="{C3380CC4-5D6E-409C-BE32-E72D297353CC}">
                <c16:uniqueId val="{00000008-64D5-4401-A762-5104C3B01E8D}"/>
              </c:ext>
            </c:extLst>
          </c:dPt>
          <c:dLbls>
            <c:dLbl>
              <c:idx val="0"/>
              <c:layout>
                <c:manualLayout>
                  <c:x val="-2.014098690835851E-2"/>
                  <c:y val="-6.36182769799519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4D5-4401-A762-5104C3B01E8D}"/>
                </c:ext>
                <c:ext xmlns:c15="http://schemas.microsoft.com/office/drawing/2012/chart" uri="{CE6537A1-D6FC-4f65-9D91-7224C49458BB}">
                  <c15:layout/>
                </c:ext>
              </c:extLst>
            </c:dLbl>
            <c:dLbl>
              <c:idx val="1"/>
              <c:layout>
                <c:manualLayout>
                  <c:x val="-6.0422960725075902E-3"/>
                  <c:y val="-5.30152308166265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4D5-4401-A762-5104C3B01E8D}"/>
                </c:ext>
                <c:ext xmlns:c15="http://schemas.microsoft.com/office/drawing/2012/chart" uri="{CE6537A1-D6FC-4f65-9D91-7224C49458BB}">
                  <c15:layout/>
                </c:ext>
              </c:extLst>
            </c:dLbl>
            <c:dLbl>
              <c:idx val="2"/>
              <c:layout>
                <c:manualLayout>
                  <c:x val="-4.0281973816717756E-3"/>
                  <c:y val="-6.89198000616146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4D5-4401-A762-5104C3B01E8D}"/>
                </c:ext>
                <c:ext xmlns:c15="http://schemas.microsoft.com/office/drawing/2012/chart" uri="{CE6537A1-D6FC-4f65-9D91-7224C49458BB}">
                  <c15:layout/>
                </c:ext>
              </c:extLst>
            </c:dLbl>
            <c:dLbl>
              <c:idx val="3"/>
              <c:layout>
                <c:manualLayout>
                  <c:x val="-4.0281973816718494E-3"/>
                  <c:y val="-9.01258923882651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64D5-4401-A762-5104C3B01E8D}"/>
                </c:ext>
                <c:ext xmlns:c15="http://schemas.microsoft.com/office/drawing/2012/chart" uri="{CE6537A1-D6FC-4f65-9D91-7224C49458BB}">
                  <c15:layout/>
                </c:ext>
              </c:extLst>
            </c:dLbl>
            <c:dLbl>
              <c:idx val="4"/>
              <c:layout>
                <c:manualLayout>
                  <c:x val="-6.0422960725075529E-3"/>
                  <c:y val="-6.891980006161457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4D5-4401-A762-5104C3B01E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'Huamarrja Total'!$B$15:$F$15</c:f>
              <c:strCache>
                <c:ptCount val="5"/>
                <c:pt idx="0">
                  <c:v>2016</c:v>
                </c:pt>
                <c:pt idx="1">
                  <c:v>2017</c:v>
                </c:pt>
                <c:pt idx="2">
                  <c:v>2018</c:v>
                </c:pt>
                <c:pt idx="3">
                  <c:v>2019</c:v>
                </c:pt>
                <c:pt idx="4">
                  <c:v>Plan 2020</c:v>
                </c:pt>
              </c:strCache>
            </c:strRef>
          </c:cat>
          <c:val>
            <c:numRef>
              <c:f>'Huamarrja Total'!$B$22:$F$22</c:f>
              <c:numCache>
                <c:formatCode>0.0%</c:formatCode>
                <c:ptCount val="5"/>
                <c:pt idx="0">
                  <c:v>0.25945673544710962</c:v>
                </c:pt>
                <c:pt idx="1">
                  <c:v>0.24611835003193125</c:v>
                </c:pt>
                <c:pt idx="2">
                  <c:v>0.23539003127536889</c:v>
                </c:pt>
                <c:pt idx="3">
                  <c:v>0.19219207490727269</c:v>
                </c:pt>
                <c:pt idx="4">
                  <c:v>0.31384802072641482</c:v>
                </c:pt>
              </c:numCache>
            </c:numRef>
          </c:val>
          <c:smooth val="1"/>
          <c:extLst xmlns:c16r2="http://schemas.microsoft.com/office/drawing/2015/06/chart">
            <c:ext xmlns:c16="http://schemas.microsoft.com/office/drawing/2014/chart" uri="{C3380CC4-5D6E-409C-BE32-E72D297353CC}">
              <c16:uniqueId val="{0000000D-64D5-4401-A762-5104C3B01E8D}"/>
            </c:ext>
          </c:extLst>
        </c:ser>
        <c:dLbls>
          <c:showLegendKey val="0"/>
          <c:showVal val="0"/>
          <c:showCatName val="0"/>
          <c:showSerName val="0"/>
          <c:showPercent val="0"/>
          <c:showBubbleSize val="0"/>
        </c:dLbls>
        <c:marker val="1"/>
        <c:smooth val="0"/>
        <c:axId val="211499008"/>
        <c:axId val="197070208"/>
      </c:lineChart>
      <c:catAx>
        <c:axId val="2114984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7884736"/>
        <c:crosses val="autoZero"/>
        <c:auto val="1"/>
        <c:lblAlgn val="ctr"/>
        <c:lblOffset val="100"/>
        <c:noMultiLvlLbl val="0"/>
      </c:catAx>
      <c:valAx>
        <c:axId val="13788473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1.4957264957264958E-2"/>
              <c:y val="0.1616976891165611"/>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498496"/>
        <c:crosses val="autoZero"/>
        <c:crossBetween val="between"/>
        <c:majorUnit val="200"/>
      </c:valAx>
      <c:valAx>
        <c:axId val="197070208"/>
        <c:scaling>
          <c:orientation val="minMax"/>
          <c:max val="0.4"/>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499008"/>
        <c:crosses val="max"/>
        <c:crossBetween val="between"/>
        <c:majorUnit val="0.1"/>
      </c:valAx>
      <c:catAx>
        <c:axId val="211499008"/>
        <c:scaling>
          <c:orientation val="minMax"/>
        </c:scaling>
        <c:delete val="1"/>
        <c:axPos val="b"/>
        <c:numFmt formatCode="General" sourceLinked="1"/>
        <c:majorTickMark val="out"/>
        <c:minorTickMark val="none"/>
        <c:tickLblPos val="nextTo"/>
        <c:crossAx val="197070208"/>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20550910517627"/>
          <c:y val="9.3004006078187595E-2"/>
          <c:w val="0.81787034352664678"/>
          <c:h val="0.63306031190545631"/>
        </c:manualLayout>
      </c:layout>
      <c:barChart>
        <c:barDir val="col"/>
        <c:grouping val="clustered"/>
        <c:varyColors val="0"/>
        <c:ser>
          <c:idx val="0"/>
          <c:order val="0"/>
          <c:tx>
            <c:strRef>
              <c:f>'Huamarrja e Brendshme'!$A$3</c:f>
              <c:strCache>
                <c:ptCount val="1"/>
                <c:pt idx="0">
                  <c:v>Tituj Afatshkurtër (B. Thesari)</c:v>
                </c:pt>
              </c:strCache>
            </c:strRef>
          </c:tx>
          <c:spPr>
            <a:solidFill>
              <a:schemeClr val="accent1"/>
            </a:solidFill>
            <a:ln>
              <a:noFill/>
            </a:ln>
            <a:effectLst/>
          </c:spPr>
          <c:invertIfNegative val="0"/>
          <c:dPt>
            <c:idx val="4"/>
            <c:invertIfNegative val="0"/>
            <c:bubble3D val="0"/>
            <c:spPr>
              <a:pattFill prst="wdDnDiag">
                <a:fgClr>
                  <a:srgbClr val="5B9BD5"/>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0-7A24-4139-A681-E07CF7D3C8E2}"/>
              </c:ext>
            </c:extLst>
          </c:dPt>
          <c:dPt>
            <c:idx val="5"/>
            <c:invertIfNegative val="0"/>
            <c:bubble3D val="0"/>
            <c:extLst xmlns:c16r2="http://schemas.microsoft.com/office/drawing/2015/06/chart">
              <c:ext xmlns:c16="http://schemas.microsoft.com/office/drawing/2014/chart" uri="{C3380CC4-5D6E-409C-BE32-E72D297353CC}">
                <c16:uniqueId val="{00000001-7A24-4139-A681-E07CF7D3C8E2}"/>
              </c:ext>
            </c:extLst>
          </c:dPt>
          <c:dLbls>
            <c:dLbl>
              <c:idx val="2"/>
              <c:numFmt formatCode="#,##0" sourceLinked="0"/>
              <c:spPr>
                <a:noFill/>
                <a:ln>
                  <a:noFill/>
                </a:ln>
                <a:effectLst/>
              </c:spPr>
              <c:txPr>
                <a:bodyPr rot="-540000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3"/>
              <c:numFmt formatCode="#,##0" sourceLinked="0"/>
              <c:spPr>
                <a:noFill/>
                <a:ln>
                  <a:noFill/>
                </a:ln>
                <a:effectLst/>
              </c:spPr>
              <c:txPr>
                <a:bodyPr rot="-540000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4"/>
              <c:layout>
                <c:manualLayout>
                  <c:x val="2.136752136752137E-3"/>
                  <c:y val="0.2903120558546782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A24-4139-A681-E07CF7D3C8E2}"/>
                </c:ext>
                <c:ext xmlns:c15="http://schemas.microsoft.com/office/drawing/2012/chart" uri="{CE6537A1-D6FC-4f65-9D91-7224C49458BB}">
                  <c15:layout/>
                </c:ext>
              </c:extLst>
            </c:dLbl>
            <c:dLbl>
              <c:idx val="5"/>
              <c:numFmt formatCode="#,##0" sourceLinked="0"/>
              <c:spPr>
                <a:noFill/>
                <a:ln>
                  <a:noFill/>
                </a:ln>
                <a:effectLst/>
              </c:spPr>
              <c:txPr>
                <a:bodyPr rot="-540000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34"/>
              <c:numFmt formatCode="#,##0" sourceLinked="0"/>
              <c:spPr>
                <a:noFill/>
                <a:ln>
                  <a:noFill/>
                </a:ln>
                <a:effectLst/>
              </c:spPr>
              <c:txPr>
                <a:bodyPr rot="-540000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numFmt formatCode="#,##0" sourceLinked="0"/>
            <c:spPr>
              <a:noFill/>
              <a:ln>
                <a:noFill/>
              </a:ln>
              <a:effectLst/>
            </c:spPr>
            <c:txPr>
              <a:bodyPr rot="-540000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'Huamarrja e Brendshme'!$B$2:$F$2</c:f>
              <c:strCache>
                <c:ptCount val="5"/>
                <c:pt idx="0">
                  <c:v>2016</c:v>
                </c:pt>
                <c:pt idx="1">
                  <c:v>2017</c:v>
                </c:pt>
                <c:pt idx="2">
                  <c:v>2018</c:v>
                </c:pt>
                <c:pt idx="3">
                  <c:v>2019</c:v>
                </c:pt>
                <c:pt idx="4">
                  <c:v>Plan 2020</c:v>
                </c:pt>
              </c:strCache>
            </c:strRef>
          </c:cat>
          <c:val>
            <c:numRef>
              <c:f>'Huamarrja e Brendshme'!$B$3:$F$3</c:f>
              <c:numCache>
                <c:formatCode>_(* #,##0.0_);_(* \(#,##0.0\);_(* "-"??_);_(@_)</c:formatCode>
                <c:ptCount val="5"/>
                <c:pt idx="0">
                  <c:v>249.58177110471996</c:v>
                </c:pt>
                <c:pt idx="1">
                  <c:v>217.70614473777999</c:v>
                </c:pt>
                <c:pt idx="2">
                  <c:v>204.41113024713999</c:v>
                </c:pt>
                <c:pt idx="3">
                  <c:v>197.70888496056997</c:v>
                </c:pt>
                <c:pt idx="4">
                  <c:v>224.68728751728</c:v>
                </c:pt>
              </c:numCache>
            </c:numRef>
          </c:val>
          <c:extLst xmlns:c16r2="http://schemas.microsoft.com/office/drawing/2015/06/chart">
            <c:ext xmlns:c16="http://schemas.microsoft.com/office/drawing/2014/chart" uri="{C3380CC4-5D6E-409C-BE32-E72D297353CC}">
              <c16:uniqueId val="{00000005-7A24-4139-A681-E07CF7D3C8E2}"/>
            </c:ext>
          </c:extLst>
        </c:ser>
        <c:ser>
          <c:idx val="1"/>
          <c:order val="1"/>
          <c:tx>
            <c:strRef>
              <c:f>'Huamarrja e Brendshme'!$A$4</c:f>
              <c:strCache>
                <c:ptCount val="1"/>
                <c:pt idx="0">
                  <c:v>Tituj Afatgjatë (Obligacione)</c:v>
                </c:pt>
              </c:strCache>
            </c:strRef>
          </c:tx>
          <c:spPr>
            <a:solidFill>
              <a:srgbClr val="C00000"/>
            </a:solidFill>
            <a:ln w="25400" cap="rnd">
              <a:noFill/>
              <a:round/>
            </a:ln>
            <a:effectLst/>
          </c:spPr>
          <c:invertIfNegative val="0"/>
          <c:dPt>
            <c:idx val="4"/>
            <c:invertIfNegative val="0"/>
            <c:bubble3D val="0"/>
            <c:spPr>
              <a:pattFill prst="wdDnDiag">
                <a:fgClr>
                  <a:srgbClr val="C00000"/>
                </a:fgClr>
                <a:bgClr>
                  <a:sysClr val="window" lastClr="FFFFFF"/>
                </a:bgClr>
              </a:pattFill>
              <a:ln w="25400" cap="rnd">
                <a:noFill/>
                <a:round/>
              </a:ln>
              <a:effectLst/>
            </c:spPr>
            <c:extLst xmlns:c16r2="http://schemas.microsoft.com/office/drawing/2015/06/chart">
              <c:ext xmlns:c16="http://schemas.microsoft.com/office/drawing/2014/chart" uri="{C3380CC4-5D6E-409C-BE32-E72D297353CC}">
                <c16:uniqueId val="{00000006-7A24-4139-A681-E07CF7D3C8E2}"/>
              </c:ext>
            </c:extLst>
          </c:dPt>
          <c:dPt>
            <c:idx val="5"/>
            <c:invertIfNegative val="0"/>
            <c:bubble3D val="0"/>
            <c:spPr>
              <a:solidFill>
                <a:srgbClr val="C00000"/>
              </a:solidFill>
              <a:ln w="25400" cap="rnd">
                <a:noFill/>
                <a:prstDash val="sysDash"/>
                <a:round/>
              </a:ln>
              <a:effectLst/>
            </c:spPr>
            <c:extLst xmlns:c16r2="http://schemas.microsoft.com/office/drawing/2015/06/chart">
              <c:ext xmlns:c16="http://schemas.microsoft.com/office/drawing/2014/chart" uri="{C3380CC4-5D6E-409C-BE32-E72D297353CC}">
                <c16:uniqueId val="{00000008-7A24-4139-A681-E07CF7D3C8E2}"/>
              </c:ext>
            </c:extLst>
          </c:dPt>
          <c:dLbls>
            <c:dLbl>
              <c:idx val="0"/>
              <c:layout>
                <c:manualLayout>
                  <c:x val="-1.937984496124031E-3"/>
                  <c:y val="0.12698410159048087"/>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09-7A24-4139-A681-E07CF7D3C8E2}"/>
                </c:ext>
                <c:ext xmlns:c15="http://schemas.microsoft.com/office/drawing/2012/chart" uri="{CE6537A1-D6FC-4f65-9D91-7224C49458BB}">
                  <c15:layout/>
                </c:ext>
              </c:extLst>
            </c:dLbl>
            <c:dLbl>
              <c:idx val="1"/>
              <c:layout>
                <c:manualLayout>
                  <c:x val="0"/>
                  <c:y val="0.1563510835849076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A24-4139-A681-E07CF7D3C8E2}"/>
                </c:ext>
                <c:ext xmlns:c15="http://schemas.microsoft.com/office/drawing/2012/chart" uri="{CE6537A1-D6FC-4f65-9D91-7224C49458BB}">
                  <c15:layout/>
                </c:ext>
              </c:extLst>
            </c:dLbl>
            <c:dLbl>
              <c:idx val="2"/>
              <c:layout>
                <c:manualLayout>
                  <c:x val="-7.1058610649413908E-17"/>
                  <c:y val="0.116825373463242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A24-4139-A681-E07CF7D3C8E2}"/>
                </c:ext>
                <c:ext xmlns:c15="http://schemas.microsoft.com/office/drawing/2012/chart" uri="{CE6537A1-D6FC-4f65-9D91-7224C49458BB}">
                  <c15:layout/>
                </c:ext>
              </c:extLst>
            </c:dLbl>
            <c:dLbl>
              <c:idx val="3"/>
              <c:layout>
                <c:manualLayout>
                  <c:x val="-1.9379844961241732E-3"/>
                  <c:y val="0.1523809219085770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A24-4139-A681-E07CF7D3C8E2}"/>
                </c:ext>
                <c:ext xmlns:c15="http://schemas.microsoft.com/office/drawing/2012/chart" uri="{CE6537A1-D6FC-4f65-9D91-7224C49458BB}">
                  <c15:layout/>
                </c:ext>
              </c:extLst>
            </c:dLbl>
            <c:dLbl>
              <c:idx val="4"/>
              <c:layout>
                <c:manualLayout>
                  <c:x val="6.41025641025641E-3"/>
                  <c:y val="0.20731640264334553"/>
                </c:manualLayout>
              </c:layout>
              <c:numFmt formatCode="#,##0" sourceLinked="0"/>
              <c:spPr>
                <a:noFill/>
                <a:ln>
                  <a:noFill/>
                </a:ln>
                <a:effectLst/>
              </c:spPr>
              <c:txPr>
                <a:bodyPr rot="-5400000" vert="horz" wrap="square" lIns="38100" tIns="19050" rIns="38100" bIns="19050" anchor="ctr">
                  <a:noAutofit/>
                </a:bodyPr>
                <a:lstStyle/>
                <a:p>
                  <a:pPr>
                    <a:defRPr sz="800" b="1">
                      <a:solidFill>
                        <a:sysClr val="windowText" lastClr="000000"/>
                      </a:solidFill>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A24-4139-A681-E07CF7D3C8E2}"/>
                </c:ext>
                <c:ext xmlns:c15="http://schemas.microsoft.com/office/drawing/2012/chart" uri="{CE6537A1-D6FC-4f65-9D91-7224C49458BB}">
                  <c15:layout>
                    <c:manualLayout>
                      <c:w val="4.0096237970253717E-2"/>
                      <c:h val="0.1551150817686251"/>
                    </c:manualLayout>
                  </c15:layout>
                </c:ext>
              </c:extLst>
            </c:dLbl>
            <c:dLbl>
              <c:idx val="5"/>
              <c:layout>
                <c:manualLayout>
                  <c:x val="0"/>
                  <c:y val="0.1471859936776795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A24-4139-A681-E07CF7D3C8E2}"/>
                </c:ext>
                <c:ext xmlns:c15="http://schemas.microsoft.com/office/drawing/2012/chart" uri="{CE6537A1-D6FC-4f65-9D91-7224C49458BB}"/>
              </c:extLst>
            </c:dLbl>
            <c:numFmt formatCode="#,##0" sourceLinked="0"/>
            <c:spPr>
              <a:noFill/>
              <a:ln>
                <a:noFill/>
              </a:ln>
              <a:effectLst/>
            </c:spPr>
            <c:txPr>
              <a:bodyPr rot="-5400000" vert="horz" wrap="square" lIns="38100" tIns="19050" rIns="38100" bIns="19050" anchor="ctr">
                <a:spAutoFit/>
              </a:bodyPr>
              <a:lstStyle/>
              <a:p>
                <a:pPr>
                  <a:defRPr sz="800" b="1">
                    <a:solidFill>
                      <a:sysClr val="windowText" lastClr="000000"/>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'Huamarrja e Brendshme'!$B$2:$F$2</c:f>
              <c:strCache>
                <c:ptCount val="5"/>
                <c:pt idx="0">
                  <c:v>2016</c:v>
                </c:pt>
                <c:pt idx="1">
                  <c:v>2017</c:v>
                </c:pt>
                <c:pt idx="2">
                  <c:v>2018</c:v>
                </c:pt>
                <c:pt idx="3">
                  <c:v>2019</c:v>
                </c:pt>
                <c:pt idx="4">
                  <c:v>Plan 2020</c:v>
                </c:pt>
              </c:strCache>
            </c:strRef>
          </c:cat>
          <c:val>
            <c:numRef>
              <c:f>'Huamarrja e Brendshme'!$B$4:$F$4</c:f>
              <c:numCache>
                <c:formatCode>_(* #,##0.0_);_(* \(#,##0.0\);_(* "-"??_);_(@_)</c:formatCode>
                <c:ptCount val="5"/>
                <c:pt idx="0">
                  <c:v>92.36397470643999</c:v>
                </c:pt>
                <c:pt idx="1">
                  <c:v>105.28199798239</c:v>
                </c:pt>
                <c:pt idx="2">
                  <c:v>98.559157760449992</c:v>
                </c:pt>
                <c:pt idx="3">
                  <c:v>103.48232325555999</c:v>
                </c:pt>
                <c:pt idx="4">
                  <c:v>126.19992175755999</c:v>
                </c:pt>
              </c:numCache>
            </c:numRef>
          </c:val>
          <c:extLst xmlns:c16r2="http://schemas.microsoft.com/office/drawing/2015/06/chart">
            <c:ext xmlns:c16="http://schemas.microsoft.com/office/drawing/2014/chart" uri="{C3380CC4-5D6E-409C-BE32-E72D297353CC}">
              <c16:uniqueId val="{0000000D-7A24-4139-A681-E07CF7D3C8E2}"/>
            </c:ext>
          </c:extLst>
        </c:ser>
        <c:dLbls>
          <c:showLegendKey val="0"/>
          <c:showVal val="0"/>
          <c:showCatName val="0"/>
          <c:showSerName val="0"/>
          <c:showPercent val="0"/>
          <c:showBubbleSize val="0"/>
        </c:dLbls>
        <c:gapWidth val="150"/>
        <c:axId val="211499520"/>
        <c:axId val="197070784"/>
      </c:barChart>
      <c:lineChart>
        <c:grouping val="standard"/>
        <c:varyColors val="0"/>
        <c:ser>
          <c:idx val="2"/>
          <c:order val="2"/>
          <c:tx>
            <c:strRef>
              <c:f>'Huamarrja e Brendshme'!$A$7</c:f>
              <c:strCache>
                <c:ptCount val="1"/>
                <c:pt idx="0">
                  <c:v>Gjithsesj Tituj Shtetërorë/PBB</c:v>
                </c:pt>
              </c:strCache>
            </c:strRef>
          </c:tx>
          <c:spPr>
            <a:ln w="22225">
              <a:solidFill>
                <a:sysClr val="window" lastClr="FFFFFF">
                  <a:lumMod val="50000"/>
                </a:sysClr>
              </a:solidFill>
            </a:ln>
          </c:spPr>
          <c:marker>
            <c:symbol val="diamond"/>
            <c:size val="5"/>
            <c:spPr>
              <a:solidFill>
                <a:sysClr val="window" lastClr="FFFFFF">
                  <a:lumMod val="50000"/>
                </a:sysClr>
              </a:solidFill>
              <a:ln>
                <a:noFill/>
              </a:ln>
            </c:spPr>
          </c:marker>
          <c:dPt>
            <c:idx val="4"/>
            <c:bubble3D val="0"/>
            <c:spPr>
              <a:ln w="22225">
                <a:solidFill>
                  <a:sysClr val="window" lastClr="FFFFFF">
                    <a:lumMod val="50000"/>
                  </a:sysClr>
                </a:solidFill>
                <a:prstDash val="dash"/>
              </a:ln>
            </c:spPr>
            <c:extLst xmlns:c16r2="http://schemas.microsoft.com/office/drawing/2015/06/chart">
              <c:ext xmlns:c16="http://schemas.microsoft.com/office/drawing/2014/chart" uri="{C3380CC4-5D6E-409C-BE32-E72D297353CC}">
                <c16:uniqueId val="{0000000F-7A24-4139-A681-E07CF7D3C8E2}"/>
              </c:ext>
            </c:extLst>
          </c:dPt>
          <c:dPt>
            <c:idx val="5"/>
            <c:bubble3D val="0"/>
            <c:spPr>
              <a:ln w="22225">
                <a:solidFill>
                  <a:sysClr val="window" lastClr="FFFFFF">
                    <a:lumMod val="50000"/>
                  </a:sysClr>
                </a:solidFill>
                <a:prstDash val="sysDash"/>
              </a:ln>
            </c:spPr>
            <c:extLst xmlns:c16r2="http://schemas.microsoft.com/office/drawing/2015/06/chart">
              <c:ext xmlns:c16="http://schemas.microsoft.com/office/drawing/2014/chart" uri="{C3380CC4-5D6E-409C-BE32-E72D297353CC}">
                <c16:uniqueId val="{00000011-7A24-4139-A681-E07CF7D3C8E2}"/>
              </c:ext>
            </c:extLst>
          </c:dPt>
          <c:dLbls>
            <c:dLbl>
              <c:idx val="0"/>
              <c:layout>
                <c:manualLayout>
                  <c:x val="-1.4447884416924683E-2"/>
                  <c:y val="-4.3626439167954494E-2"/>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12-7A24-4139-A681-E07CF7D3C8E2}"/>
                </c:ext>
                <c:ext xmlns:c15="http://schemas.microsoft.com/office/drawing/2012/chart" uri="{CE6537A1-D6FC-4f65-9D91-7224C49458BB}">
                  <c15:layout/>
                </c:ext>
              </c:extLst>
            </c:dLbl>
            <c:dLbl>
              <c:idx val="1"/>
              <c:layout>
                <c:manualLayout>
                  <c:x val="-1.2383900928792532E-2"/>
                  <c:y val="-5.45330489599431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7A24-4139-A681-E07CF7D3C8E2}"/>
                </c:ext>
                <c:ext xmlns:c15="http://schemas.microsoft.com/office/drawing/2012/chart" uri="{CE6537A1-D6FC-4f65-9D91-7224C49458BB}">
                  <c15:layout/>
                </c:ext>
              </c:extLst>
            </c:dLbl>
            <c:dLbl>
              <c:idx val="2"/>
              <c:layout>
                <c:manualLayout>
                  <c:x val="-1.238390092879257E-2"/>
                  <c:y val="-3.817313427196019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7A24-4139-A681-E07CF7D3C8E2}"/>
                </c:ext>
                <c:ext xmlns:c15="http://schemas.microsoft.com/office/drawing/2012/chart" uri="{CE6537A1-D6FC-4f65-9D91-7224C49458BB}">
                  <c15:layout/>
                </c:ext>
              </c:extLst>
            </c:dLbl>
            <c:dLbl>
              <c:idx val="3"/>
              <c:layout>
                <c:manualLayout>
                  <c:x val="-4.1279669762642659E-3"/>
                  <c:y val="-4.36264391679545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7A24-4139-A681-E07CF7D3C8E2}"/>
                </c:ext>
                <c:ext xmlns:c15="http://schemas.microsoft.com/office/drawing/2012/chart" uri="{CE6537A1-D6FC-4f65-9D91-7224C49458BB}">
                  <c15:layout/>
                </c:ext>
              </c:extLst>
            </c:dLbl>
            <c:dLbl>
              <c:idx val="4"/>
              <c:layout>
                <c:manualLayout>
                  <c:x val="-8.2559339525283791E-3"/>
                  <c:y val="-5.45330489599431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7A24-4139-A681-E07CF7D3C8E2}"/>
                </c:ext>
                <c:ext xmlns:c15="http://schemas.microsoft.com/office/drawing/2012/chart" uri="{CE6537A1-D6FC-4f65-9D91-7224C49458BB}">
                  <c15:layout/>
                </c:ext>
              </c:extLst>
            </c:dLbl>
            <c:dLbl>
              <c:idx val="5"/>
              <c:layout>
                <c:manualLayout>
                  <c:x val="-8.2559339525283791E-3"/>
                  <c:y val="-4.90797440639487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7A24-4139-A681-E07CF7D3C8E2}"/>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800" b="1">
                    <a:solidFill>
                      <a:schemeClr val="tx1"/>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'Huamarrja e Brendshme'!$B$2:$E$2</c:f>
              <c:numCache>
                <c:formatCode>General</c:formatCode>
                <c:ptCount val="4"/>
                <c:pt idx="0">
                  <c:v>2016</c:v>
                </c:pt>
                <c:pt idx="1">
                  <c:v>2017</c:v>
                </c:pt>
                <c:pt idx="2">
                  <c:v>2018</c:v>
                </c:pt>
                <c:pt idx="3">
                  <c:v>2019</c:v>
                </c:pt>
              </c:numCache>
            </c:numRef>
          </c:cat>
          <c:val>
            <c:numRef>
              <c:f>'Huamarrja e Brendshme'!$B$7:$F$7</c:f>
              <c:numCache>
                <c:formatCode>0.0%</c:formatCode>
                <c:ptCount val="5"/>
                <c:pt idx="0">
                  <c:v>0.23222437371723892</c:v>
                </c:pt>
                <c:pt idx="1">
                  <c:v>0.20829290457395122</c:v>
                </c:pt>
                <c:pt idx="2">
                  <c:v>0.185221929252706</c:v>
                </c:pt>
                <c:pt idx="3">
                  <c:v>0.17944804676378878</c:v>
                </c:pt>
                <c:pt idx="4">
                  <c:v>0.22194570904792862</c:v>
                </c:pt>
              </c:numCache>
            </c:numRef>
          </c:val>
          <c:smooth val="1"/>
          <c:extLst xmlns:c16r2="http://schemas.microsoft.com/office/drawing/2015/06/chart">
            <c:ext xmlns:c16="http://schemas.microsoft.com/office/drawing/2014/chart" uri="{C3380CC4-5D6E-409C-BE32-E72D297353CC}">
              <c16:uniqueId val="{00000016-7A24-4139-A681-E07CF7D3C8E2}"/>
            </c:ext>
          </c:extLst>
        </c:ser>
        <c:dLbls>
          <c:showLegendKey val="0"/>
          <c:showVal val="0"/>
          <c:showCatName val="0"/>
          <c:showSerName val="0"/>
          <c:showPercent val="0"/>
          <c:showBubbleSize val="0"/>
        </c:dLbls>
        <c:marker val="1"/>
        <c:smooth val="0"/>
        <c:axId val="212578304"/>
        <c:axId val="197071360"/>
      </c:lineChart>
      <c:catAx>
        <c:axId val="2114995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7070784"/>
        <c:crosses val="autoZero"/>
        <c:auto val="1"/>
        <c:lblAlgn val="ctr"/>
        <c:lblOffset val="100"/>
        <c:noMultiLvlLbl val="0"/>
      </c:catAx>
      <c:valAx>
        <c:axId val="197070784"/>
        <c:scaling>
          <c:orientation val="minMax"/>
          <c:max val="300"/>
        </c:scaling>
        <c:delete val="0"/>
        <c:axPos val="l"/>
        <c:title>
          <c:tx>
            <c:rich>
              <a:bodyPr/>
              <a:lstStyle/>
              <a:p>
                <a:pPr>
                  <a:defRPr sz="900">
                    <a:latin typeface="+mn-lt"/>
                  </a:defRPr>
                </a:pPr>
                <a:r>
                  <a:rPr lang="en-US" sz="900">
                    <a:latin typeface="+mn-lt"/>
                  </a:rPr>
                  <a:t>në miliard lek</a:t>
                </a:r>
              </a:p>
            </c:rich>
          </c:tx>
          <c:layout>
            <c:manualLayout>
              <c:xMode val="edge"/>
              <c:yMode val="edge"/>
              <c:x val="1.9698499226058281E-2"/>
              <c:y val="0.16773366487083849"/>
            </c:manualLayout>
          </c:layout>
          <c:overlay val="0"/>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499520"/>
        <c:crosses val="autoZero"/>
        <c:crossBetween val="between"/>
        <c:majorUnit val="100"/>
      </c:valAx>
      <c:valAx>
        <c:axId val="197071360"/>
        <c:scaling>
          <c:orientation val="minMax"/>
          <c:max val="0.35000000000000003"/>
        </c:scaling>
        <c:delete val="0"/>
        <c:axPos val="r"/>
        <c:numFmt formatCode="0%" sourceLinked="0"/>
        <c:majorTickMark val="none"/>
        <c:minorTickMark val="none"/>
        <c:tickLblPos val="nextTo"/>
        <c:spPr>
          <a:ln>
            <a:solidFill>
              <a:schemeClr val="tx1"/>
            </a:solidFill>
          </a:ln>
        </c:spPr>
        <c:txPr>
          <a:bodyPr/>
          <a:lstStyle/>
          <a:p>
            <a:pPr>
              <a:defRPr sz="900"/>
            </a:pPr>
            <a:endParaRPr lang="en-US"/>
          </a:p>
        </c:txPr>
        <c:crossAx val="212578304"/>
        <c:crosses val="max"/>
        <c:crossBetween val="between"/>
        <c:majorUnit val="0.1"/>
      </c:valAx>
      <c:catAx>
        <c:axId val="212578304"/>
        <c:scaling>
          <c:orientation val="minMax"/>
        </c:scaling>
        <c:delete val="1"/>
        <c:axPos val="b"/>
        <c:numFmt formatCode="General" sourceLinked="1"/>
        <c:majorTickMark val="out"/>
        <c:minorTickMark val="none"/>
        <c:tickLblPos val="nextTo"/>
        <c:crossAx val="197071360"/>
        <c:crosses val="autoZero"/>
        <c:auto val="1"/>
        <c:lblAlgn val="ctr"/>
        <c:lblOffset val="100"/>
        <c:noMultiLvlLbl val="0"/>
      </c:catAx>
      <c:spPr>
        <a:noFill/>
        <a:ln>
          <a:noFill/>
        </a:ln>
        <a:effectLst/>
      </c:spPr>
    </c:plotArea>
    <c:legend>
      <c:legendPos val="b"/>
      <c:layout>
        <c:manualLayout>
          <c:xMode val="edge"/>
          <c:yMode val="edge"/>
          <c:x val="8.6695605357022656E-2"/>
          <c:y val="0.89097770027691636"/>
          <c:w val="0.84732720909886283"/>
          <c:h val="8.571486849846400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39818363412539"/>
          <c:y val="5.3236529481300143E-2"/>
          <c:w val="0.87196571667479617"/>
          <c:h val="0.78281858652250758"/>
        </c:manualLayout>
      </c:layout>
      <c:barChart>
        <c:barDir val="col"/>
        <c:grouping val="stacked"/>
        <c:varyColors val="0"/>
        <c:ser>
          <c:idx val="0"/>
          <c:order val="0"/>
          <c:tx>
            <c:strRef>
              <c:f>'Huamarrja e Brendshme'!$A$12</c:f>
              <c:strCache>
                <c:ptCount val="1"/>
                <c:pt idx="0">
                  <c:v>Tituj Afatshkurtër</c:v>
                </c:pt>
              </c:strCache>
            </c:strRef>
          </c:tx>
          <c:spPr>
            <a:solidFill>
              <a:srgbClr val="C00000"/>
            </a:solidFill>
            <a:ln>
              <a:noFill/>
            </a:ln>
            <a:effectLst/>
          </c:spPr>
          <c:invertIfNegative val="0"/>
          <c:dPt>
            <c:idx val="4"/>
            <c:invertIfNegative val="0"/>
            <c:bubble3D val="0"/>
            <c:spPr>
              <a:pattFill prst="wdUpDiag">
                <a:fgClr>
                  <a:srgbClr val="C00000"/>
                </a:fgClr>
                <a:bgClr>
                  <a:schemeClr val="bg1"/>
                </a:bgClr>
              </a:pattFill>
              <a:ln>
                <a:noFill/>
              </a:ln>
              <a:effectLst/>
            </c:spPr>
            <c:extLst xmlns:c16r2="http://schemas.microsoft.com/office/drawing/2015/06/chart">
              <c:ext xmlns:c16="http://schemas.microsoft.com/office/drawing/2014/chart" uri="{C3380CC4-5D6E-409C-BE32-E72D297353CC}">
                <c16:uniqueId val="{00000001-490C-4B82-A241-74745604B744}"/>
              </c:ext>
            </c:extLst>
          </c:dPt>
          <c:dPt>
            <c:idx val="5"/>
            <c:invertIfNegative val="0"/>
            <c:bubble3D val="0"/>
            <c:extLst xmlns:c16r2="http://schemas.microsoft.com/office/drawing/2015/06/chart">
              <c:ext xmlns:c16="http://schemas.microsoft.com/office/drawing/2014/chart" uri="{C3380CC4-5D6E-409C-BE32-E72D297353CC}">
                <c16:uniqueId val="{00000003-490C-4B82-A241-74745604B744}"/>
              </c:ext>
            </c:extLst>
          </c:dPt>
          <c:cat>
            <c:strRef>
              <c:f>'Huamarrja e Brendshme'!$B$11:$F$11</c:f>
              <c:strCache>
                <c:ptCount val="5"/>
                <c:pt idx="0">
                  <c:v>2016</c:v>
                </c:pt>
                <c:pt idx="1">
                  <c:v>2017</c:v>
                </c:pt>
                <c:pt idx="2">
                  <c:v>2018</c:v>
                </c:pt>
                <c:pt idx="3">
                  <c:v>2019</c:v>
                </c:pt>
                <c:pt idx="4">
                  <c:v>Plan 2020</c:v>
                </c:pt>
              </c:strCache>
            </c:strRef>
          </c:cat>
          <c:val>
            <c:numRef>
              <c:f>'Huamarrja e Brendshme'!$B$12:$F$12</c:f>
              <c:numCache>
                <c:formatCode>_(* #,##0.0_);_(* \(#,##0.0\);_(* "-"??_);_(@_)</c:formatCode>
                <c:ptCount val="5"/>
                <c:pt idx="0">
                  <c:v>-14.384717895468873</c:v>
                </c:pt>
                <c:pt idx="1">
                  <c:v>-14.36227226301998</c:v>
                </c:pt>
                <c:pt idx="2">
                  <c:v>-0.501596713590025</c:v>
                </c:pt>
                <c:pt idx="3">
                  <c:v>-0.80566663792998838</c:v>
                </c:pt>
                <c:pt idx="4">
                  <c:v>7.53071674934003</c:v>
                </c:pt>
              </c:numCache>
            </c:numRef>
          </c:val>
          <c:extLst xmlns:c16r2="http://schemas.microsoft.com/office/drawing/2015/06/chart">
            <c:ext xmlns:c16="http://schemas.microsoft.com/office/drawing/2014/chart" uri="{C3380CC4-5D6E-409C-BE32-E72D297353CC}">
              <c16:uniqueId val="{00000004-490C-4B82-A241-74745604B744}"/>
            </c:ext>
          </c:extLst>
        </c:ser>
        <c:ser>
          <c:idx val="1"/>
          <c:order val="1"/>
          <c:tx>
            <c:strRef>
              <c:f>'Huamarrja e Brendshme'!$A$13</c:f>
              <c:strCache>
                <c:ptCount val="1"/>
                <c:pt idx="0">
                  <c:v>Tituj Afatgjatë </c:v>
                </c:pt>
              </c:strCache>
            </c:strRef>
          </c:tx>
          <c:spPr>
            <a:solidFill>
              <a:schemeClr val="accent1"/>
            </a:solidFill>
            <a:ln>
              <a:noFill/>
            </a:ln>
            <a:effectLst/>
          </c:spPr>
          <c:invertIfNegative val="0"/>
          <c:dPt>
            <c:idx val="4"/>
            <c:invertIfNegative val="0"/>
            <c:bubble3D val="0"/>
            <c:spPr>
              <a:pattFill prst="wdUpDiag">
                <a:fgClr>
                  <a:schemeClr val="accent1"/>
                </a:fgClr>
                <a:bgClr>
                  <a:schemeClr val="bg1"/>
                </a:bgClr>
              </a:pattFill>
              <a:ln>
                <a:noFill/>
              </a:ln>
              <a:effectLst/>
            </c:spPr>
            <c:extLst xmlns:c16r2="http://schemas.microsoft.com/office/drawing/2015/06/chart">
              <c:ext xmlns:c16="http://schemas.microsoft.com/office/drawing/2014/chart" uri="{C3380CC4-5D6E-409C-BE32-E72D297353CC}">
                <c16:uniqueId val="{00000006-490C-4B82-A241-74745604B744}"/>
              </c:ext>
            </c:extLst>
          </c:dPt>
          <c:dPt>
            <c:idx val="5"/>
            <c:invertIfNegative val="0"/>
            <c:bubble3D val="0"/>
            <c:extLst xmlns:c16r2="http://schemas.microsoft.com/office/drawing/2015/06/chart">
              <c:ext xmlns:c16="http://schemas.microsoft.com/office/drawing/2014/chart" uri="{C3380CC4-5D6E-409C-BE32-E72D297353CC}">
                <c16:uniqueId val="{00000008-490C-4B82-A241-74745604B744}"/>
              </c:ext>
            </c:extLst>
          </c:dPt>
          <c:cat>
            <c:strRef>
              <c:f>'Huamarrja e Brendshme'!$B$11:$F$11</c:f>
              <c:strCache>
                <c:ptCount val="5"/>
                <c:pt idx="0">
                  <c:v>2016</c:v>
                </c:pt>
                <c:pt idx="1">
                  <c:v>2017</c:v>
                </c:pt>
                <c:pt idx="2">
                  <c:v>2018</c:v>
                </c:pt>
                <c:pt idx="3">
                  <c:v>2019</c:v>
                </c:pt>
                <c:pt idx="4">
                  <c:v>Plan 2020</c:v>
                </c:pt>
              </c:strCache>
            </c:strRef>
          </c:cat>
          <c:val>
            <c:numRef>
              <c:f>'Huamarrja e Brendshme'!$B$13:$F$13</c:f>
              <c:numCache>
                <c:formatCode>_(* #,##0.0_);_(* \(#,##0.0\);_(* "-"??_);_(@_)</c:formatCode>
                <c:ptCount val="5"/>
                <c:pt idx="0">
                  <c:v>25.076536516439997</c:v>
                </c:pt>
                <c:pt idx="1">
                  <c:v>30.75088222239</c:v>
                </c:pt>
                <c:pt idx="2">
                  <c:v>20.233857760449997</c:v>
                </c:pt>
                <c:pt idx="3">
                  <c:v>18.813243995559986</c:v>
                </c:pt>
                <c:pt idx="4">
                  <c:v>42.324121757559993</c:v>
                </c:pt>
              </c:numCache>
            </c:numRef>
          </c:val>
          <c:extLst xmlns:c16r2="http://schemas.microsoft.com/office/drawing/2015/06/chart">
            <c:ext xmlns:c16="http://schemas.microsoft.com/office/drawing/2014/chart" uri="{C3380CC4-5D6E-409C-BE32-E72D297353CC}">
              <c16:uniqueId val="{00000009-490C-4B82-A241-74745604B744}"/>
            </c:ext>
          </c:extLst>
        </c:ser>
        <c:dLbls>
          <c:showLegendKey val="0"/>
          <c:showVal val="0"/>
          <c:showCatName val="0"/>
          <c:showSerName val="0"/>
          <c:showPercent val="0"/>
          <c:showBubbleSize val="0"/>
        </c:dLbls>
        <c:gapWidth val="219"/>
        <c:overlap val="100"/>
        <c:axId val="212579328"/>
        <c:axId val="197071936"/>
      </c:barChart>
      <c:lineChart>
        <c:grouping val="standard"/>
        <c:varyColors val="0"/>
        <c:ser>
          <c:idx val="2"/>
          <c:order val="2"/>
          <c:tx>
            <c:strRef>
              <c:f>'Huamarrja e Brendshme'!$A$14</c:f>
              <c:strCache>
                <c:ptCount val="1"/>
                <c:pt idx="0">
                  <c:v>Financimi Neto</c:v>
                </c:pt>
              </c:strCache>
            </c:strRef>
          </c:tx>
          <c:spPr>
            <a:ln w="22225" cap="rnd">
              <a:solidFill>
                <a:sysClr val="window" lastClr="FFFFFF">
                  <a:lumMod val="50000"/>
                </a:sysClr>
              </a:solidFill>
              <a:round/>
            </a:ln>
            <a:effectLst/>
          </c:spPr>
          <c:marker>
            <c:symbol val="diamond"/>
            <c:size val="5"/>
            <c:spPr>
              <a:solidFill>
                <a:sysClr val="window" lastClr="FFFFFF">
                  <a:lumMod val="50000"/>
                </a:sysClr>
              </a:solidFill>
              <a:ln w="9525">
                <a:noFill/>
              </a:ln>
              <a:effectLst/>
            </c:spPr>
          </c:marker>
          <c:dPt>
            <c:idx val="4"/>
            <c:bubble3D val="0"/>
            <c:spPr>
              <a:ln w="22225" cap="rnd">
                <a:solidFill>
                  <a:sysClr val="window" lastClr="FFFFFF">
                    <a:lumMod val="50000"/>
                  </a:sysClr>
                </a:solidFill>
                <a:prstDash val="dash"/>
                <a:round/>
              </a:ln>
              <a:effectLst/>
            </c:spPr>
            <c:extLst xmlns:c16r2="http://schemas.microsoft.com/office/drawing/2015/06/chart">
              <c:ext xmlns:c16="http://schemas.microsoft.com/office/drawing/2014/chart" uri="{C3380CC4-5D6E-409C-BE32-E72D297353CC}">
                <c16:uniqueId val="{0000000B-490C-4B82-A241-74745604B744}"/>
              </c:ext>
            </c:extLst>
          </c:dPt>
          <c:dPt>
            <c:idx val="5"/>
            <c:bubble3D val="0"/>
            <c:spPr>
              <a:ln w="22225" cap="rnd">
                <a:solidFill>
                  <a:sysClr val="window" lastClr="FFFFFF">
                    <a:lumMod val="50000"/>
                  </a:sysClr>
                </a:solidFill>
                <a:prstDash val="dash"/>
                <a:round/>
              </a:ln>
              <a:effectLst/>
            </c:spPr>
            <c:extLst xmlns:c16r2="http://schemas.microsoft.com/office/drawing/2015/06/chart">
              <c:ext xmlns:c16="http://schemas.microsoft.com/office/drawing/2014/chart" uri="{C3380CC4-5D6E-409C-BE32-E72D297353CC}">
                <c16:uniqueId val="{0000000D-490C-4B82-A241-74745604B744}"/>
              </c:ext>
            </c:extLst>
          </c:dPt>
          <c:dLbls>
            <c:dLbl>
              <c:idx val="0"/>
              <c:layout>
                <c:manualLayout>
                  <c:x val="-5.8997050147492625E-3"/>
                  <c:y val="2.03174562544768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490C-4B82-A241-74745604B744}"/>
                </c:ext>
                <c:ext xmlns:c15="http://schemas.microsoft.com/office/drawing/2012/chart" uri="{CE6537A1-D6FC-4f65-9D91-7224C49458BB}">
                  <c15:layout/>
                </c:ext>
              </c:extLst>
            </c:dLbl>
            <c:dLbl>
              <c:idx val="1"/>
              <c:layout>
                <c:manualLayout>
                  <c:x val="-1.7936032332242376E-3"/>
                  <c:y val="3.01586241402575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490C-4B82-A241-74745604B744}"/>
                </c:ext>
                <c:ext xmlns:c15="http://schemas.microsoft.com/office/drawing/2012/chart" uri="{CE6537A1-D6FC-4f65-9D91-7224C49458BB}">
                  <c15:layout/>
                </c:ext>
              </c:extLst>
            </c:dLbl>
            <c:dLbl>
              <c:idx val="2"/>
              <c:layout>
                <c:manualLayout>
                  <c:x val="3.9100684261973865E-3"/>
                  <c:y val="-5.55555555555556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490C-4B82-A241-74745604B744}"/>
                </c:ext>
                <c:ext xmlns:c15="http://schemas.microsoft.com/office/drawing/2012/chart" uri="{CE6537A1-D6FC-4f65-9D91-7224C49458BB}">
                  <c15:layout/>
                </c:ext>
              </c:extLst>
            </c:dLbl>
            <c:dLbl>
              <c:idx val="3"/>
              <c:layout>
                <c:manualLayout>
                  <c:x val="-2.4776229894340286E-2"/>
                  <c:y val="-7.40740740740741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490C-4B82-A241-74745604B744}"/>
                </c:ext>
                <c:ext xmlns:c15="http://schemas.microsoft.com/office/drawing/2012/chart" uri="{CE6537A1-D6FC-4f65-9D91-7224C49458BB}">
                  <c15:layout/>
                </c:ext>
              </c:extLst>
            </c:dLbl>
            <c:dLbl>
              <c:idx val="4"/>
              <c:layout>
                <c:manualLayout>
                  <c:x val="-2.0866309980483208E-2"/>
                  <c:y val="-7.16941534956105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490C-4B82-A241-74745604B744}"/>
                </c:ext>
                <c:ext xmlns:c15="http://schemas.microsoft.com/office/drawing/2012/chart" uri="{CE6537A1-D6FC-4f65-9D91-7224C49458BB}">
                  <c15:layout/>
                </c:ext>
              </c:extLst>
            </c:dLbl>
            <c:dLbl>
              <c:idx val="5"/>
              <c:layout>
                <c:manualLayout>
                  <c:x val="5.8651026392960446E-3"/>
                  <c:y val="-2.31481481481481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490C-4B82-A241-74745604B74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'Huamarrja e Brendshme'!$B$11:$E$11</c:f>
              <c:numCache>
                <c:formatCode>General</c:formatCode>
                <c:ptCount val="4"/>
                <c:pt idx="0">
                  <c:v>2016</c:v>
                </c:pt>
                <c:pt idx="1">
                  <c:v>2017</c:v>
                </c:pt>
                <c:pt idx="2">
                  <c:v>2018</c:v>
                </c:pt>
                <c:pt idx="3">
                  <c:v>2019</c:v>
                </c:pt>
              </c:numCache>
            </c:numRef>
          </c:cat>
          <c:val>
            <c:numRef>
              <c:f>'Huamarrja e Brendshme'!$B$14:$F$14</c:f>
              <c:numCache>
                <c:formatCode>_(* #,##0.0_);_(* \(#,##0.0\);_(* "-"??_);_(@_)</c:formatCode>
                <c:ptCount val="5"/>
                <c:pt idx="0">
                  <c:v>10.691818620971125</c:v>
                </c:pt>
                <c:pt idx="1">
                  <c:v>16.388609959370022</c:v>
                </c:pt>
                <c:pt idx="2">
                  <c:v>19.732261046859971</c:v>
                </c:pt>
                <c:pt idx="3">
                  <c:v>18.007577357629998</c:v>
                </c:pt>
                <c:pt idx="4">
                  <c:v>49.854838506900023</c:v>
                </c:pt>
              </c:numCache>
            </c:numRef>
          </c:val>
          <c:smooth val="1"/>
          <c:extLst xmlns:c16r2="http://schemas.microsoft.com/office/drawing/2015/06/chart">
            <c:ext xmlns:c16="http://schemas.microsoft.com/office/drawing/2014/chart" uri="{C3380CC4-5D6E-409C-BE32-E72D297353CC}">
              <c16:uniqueId val="{00000012-490C-4B82-A241-74745604B744}"/>
            </c:ext>
          </c:extLst>
        </c:ser>
        <c:dLbls>
          <c:showLegendKey val="0"/>
          <c:showVal val="0"/>
          <c:showCatName val="0"/>
          <c:showSerName val="0"/>
          <c:showPercent val="0"/>
          <c:showBubbleSize val="0"/>
        </c:dLbls>
        <c:marker val="1"/>
        <c:smooth val="0"/>
        <c:axId val="212579328"/>
        <c:axId val="197071936"/>
      </c:lineChart>
      <c:catAx>
        <c:axId val="2125793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7071936"/>
        <c:crosses val="autoZero"/>
        <c:auto val="1"/>
        <c:lblAlgn val="ctr"/>
        <c:lblOffset val="100"/>
        <c:noMultiLvlLbl val="0"/>
      </c:catAx>
      <c:valAx>
        <c:axId val="19707193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2.3495019853287571E-2"/>
              <c:y val="0.20608771255617969"/>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2579328"/>
        <c:crosses val="autoZero"/>
        <c:crossBetween val="between"/>
        <c:majorUnit val="20"/>
      </c:valAx>
      <c:spPr>
        <a:noFill/>
        <a:ln>
          <a:noFill/>
        </a:ln>
        <a:effectLst/>
      </c:spPr>
    </c:plotArea>
    <c:legend>
      <c:legendPos val="b"/>
      <c:layout>
        <c:manualLayout>
          <c:xMode val="edge"/>
          <c:yMode val="edge"/>
          <c:x val="0.22919341813042601"/>
          <c:y val="0.8559264982842878"/>
          <c:w val="0.60184955245978877"/>
          <c:h val="8.167024752509205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05078525659775"/>
          <c:y val="5.0925925925925923E-2"/>
          <c:w val="0.87215624792814717"/>
          <c:h val="0.67454640444825908"/>
        </c:manualLayout>
      </c:layout>
      <c:barChart>
        <c:barDir val="col"/>
        <c:grouping val="stacked"/>
        <c:varyColors val="0"/>
        <c:ser>
          <c:idx val="0"/>
          <c:order val="0"/>
          <c:tx>
            <c:strRef>
              <c:f>'Huamarrja e Brendshme'!$A$19</c:f>
              <c:strCache>
                <c:ptCount val="1"/>
                <c:pt idx="0">
                  <c:v>Obligacione (Normë Fikse)</c:v>
                </c:pt>
              </c:strCache>
            </c:strRef>
          </c:tx>
          <c:spPr>
            <a:solidFill>
              <a:schemeClr val="accent1"/>
            </a:solidFill>
            <a:ln>
              <a:noFill/>
            </a:ln>
            <a:effectLst/>
          </c:spPr>
          <c:invertIfNegative val="0"/>
          <c:dPt>
            <c:idx val="4"/>
            <c:invertIfNegative val="0"/>
            <c:bubble3D val="0"/>
            <c:spPr>
              <a:pattFill prst="wdDnDiag">
                <a:fgClr>
                  <a:srgbClr val="5B9BD5"/>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1-F1E4-4C3A-941D-5CDB5A9A8AE9}"/>
              </c:ext>
            </c:extLst>
          </c:dPt>
          <c:dPt>
            <c:idx val="5"/>
            <c:invertIfNegative val="0"/>
            <c:bubble3D val="0"/>
            <c:extLst xmlns:c16r2="http://schemas.microsoft.com/office/drawing/2015/06/chart">
              <c:ext xmlns:c16="http://schemas.microsoft.com/office/drawing/2014/chart" uri="{C3380CC4-5D6E-409C-BE32-E72D297353CC}">
                <c16:uniqueId val="{00000003-F1E4-4C3A-941D-5CDB5A9A8AE9}"/>
              </c:ext>
            </c:extLst>
          </c:dPt>
          <c:dLbls>
            <c:dLbl>
              <c:idx val="4"/>
              <c:layout>
                <c:manualLayout>
                  <c:x val="5.7692307692307536E-2"/>
                  <c:y val="-1.6047900514310916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1E4-4C3A-941D-5CDB5A9A8A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'Huamarrja e Brendshme'!$B$18:$F$18</c:f>
              <c:strCache>
                <c:ptCount val="5"/>
                <c:pt idx="0">
                  <c:v>2016</c:v>
                </c:pt>
                <c:pt idx="1">
                  <c:v>2017</c:v>
                </c:pt>
                <c:pt idx="2">
                  <c:v>2018</c:v>
                </c:pt>
                <c:pt idx="3">
                  <c:v>2019</c:v>
                </c:pt>
                <c:pt idx="4">
                  <c:v>Plan 2020</c:v>
                </c:pt>
              </c:strCache>
            </c:strRef>
          </c:cat>
          <c:val>
            <c:numRef>
              <c:f>'Huamarrja e Brendshme'!$B$19:$F$19</c:f>
              <c:numCache>
                <c:formatCode>_(* #,##0.0_);_(* \(#,##0.0\);_(* "-"??_);_(@_)</c:formatCode>
                <c:ptCount val="5"/>
                <c:pt idx="0">
                  <c:v>86.2</c:v>
                </c:pt>
                <c:pt idx="1">
                  <c:v>105.328</c:v>
                </c:pt>
                <c:pt idx="2">
                  <c:v>98.559157760449992</c:v>
                </c:pt>
                <c:pt idx="3">
                  <c:v>103.48232325555999</c:v>
                </c:pt>
                <c:pt idx="4">
                  <c:v>126.29992175755999</c:v>
                </c:pt>
              </c:numCache>
            </c:numRef>
          </c:val>
          <c:extLst xmlns:c16r2="http://schemas.microsoft.com/office/drawing/2015/06/chart">
            <c:ext xmlns:c16="http://schemas.microsoft.com/office/drawing/2014/chart" uri="{C3380CC4-5D6E-409C-BE32-E72D297353CC}">
              <c16:uniqueId val="{00000004-F1E4-4C3A-941D-5CDB5A9A8AE9}"/>
            </c:ext>
          </c:extLst>
        </c:ser>
        <c:ser>
          <c:idx val="1"/>
          <c:order val="1"/>
          <c:tx>
            <c:strRef>
              <c:f>'Huamarrja e Brendshme'!$A$20</c:f>
              <c:strCache>
                <c:ptCount val="1"/>
                <c:pt idx="0">
                  <c:v>Obligacione (Normë të Ndryshueshme)</c:v>
                </c:pt>
              </c:strCache>
            </c:strRef>
          </c:tx>
          <c:spPr>
            <a:solidFill>
              <a:srgbClr val="C00000"/>
            </a:solidFill>
            <a:ln>
              <a:noFill/>
            </a:ln>
            <a:effectLst/>
          </c:spPr>
          <c:invertIfNegative val="0"/>
          <c:dLbls>
            <c:dLbl>
              <c:idx val="0"/>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1E4-4C3A-941D-5CDB5A9A8AE9}"/>
                </c:ext>
                <c:ext xmlns:c15="http://schemas.microsoft.com/office/drawing/2012/chart" uri="{CE6537A1-D6FC-4f65-9D91-7224C49458BB}">
                  <c15:layout/>
                </c:ext>
              </c:extLst>
            </c:dLbl>
            <c:dLbl>
              <c:idx val="1"/>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1E4-4C3A-941D-5CDB5A9A8AE9}"/>
                </c:ext>
                <c:ext xmlns:c15="http://schemas.microsoft.com/office/drawing/2012/chart" uri="{CE6537A1-D6FC-4f65-9D91-7224C49458BB}"/>
              </c:extLst>
            </c:dLbl>
            <c:dLbl>
              <c:idx val="2"/>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1E4-4C3A-941D-5CDB5A9A8A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'Huamarrja e Brendshme'!$B$18:$F$18</c:f>
              <c:strCache>
                <c:ptCount val="5"/>
                <c:pt idx="0">
                  <c:v>2016</c:v>
                </c:pt>
                <c:pt idx="1">
                  <c:v>2017</c:v>
                </c:pt>
                <c:pt idx="2">
                  <c:v>2018</c:v>
                </c:pt>
                <c:pt idx="3">
                  <c:v>2019</c:v>
                </c:pt>
                <c:pt idx="4">
                  <c:v>Plan 2020</c:v>
                </c:pt>
              </c:strCache>
            </c:strRef>
          </c:cat>
          <c:val>
            <c:numRef>
              <c:f>'Huamarrja e Brendshme'!$B$20:$E$20</c:f>
              <c:numCache>
                <c:formatCode>_(* #,##0.0_);_(* \(#,##0.0\);_(* "-"??_);_(@_)</c:formatCode>
                <c:ptCount val="4"/>
                <c:pt idx="0">
                  <c:v>6.1909999999999998</c:v>
                </c:pt>
                <c:pt idx="1">
                  <c:v>0</c:v>
                </c:pt>
                <c:pt idx="2">
                  <c:v>0</c:v>
                </c:pt>
                <c:pt idx="3">
                  <c:v>0</c:v>
                </c:pt>
              </c:numCache>
            </c:numRef>
          </c:val>
          <c:extLst xmlns:c16r2="http://schemas.microsoft.com/office/drawing/2015/06/chart">
            <c:ext xmlns:c16="http://schemas.microsoft.com/office/drawing/2014/chart" uri="{C3380CC4-5D6E-409C-BE32-E72D297353CC}">
              <c16:uniqueId val="{00000008-F1E4-4C3A-941D-5CDB5A9A8AE9}"/>
            </c:ext>
          </c:extLst>
        </c:ser>
        <c:dLbls>
          <c:showLegendKey val="0"/>
          <c:showVal val="0"/>
          <c:showCatName val="0"/>
          <c:showSerName val="0"/>
          <c:showPercent val="0"/>
          <c:showBubbleSize val="0"/>
        </c:dLbls>
        <c:gapWidth val="219"/>
        <c:overlap val="100"/>
        <c:axId val="212578816"/>
        <c:axId val="197073664"/>
      </c:barChart>
      <c:catAx>
        <c:axId val="2125788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7073664"/>
        <c:crosses val="autoZero"/>
        <c:auto val="1"/>
        <c:lblAlgn val="ctr"/>
        <c:lblOffset val="100"/>
        <c:noMultiLvlLbl val="0"/>
      </c:catAx>
      <c:valAx>
        <c:axId val="197073664"/>
        <c:scaling>
          <c:orientation val="minMax"/>
          <c:max val="10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ek</a:t>
                </a:r>
              </a:p>
            </c:rich>
          </c:tx>
          <c:layout>
            <c:manualLayout>
              <c:xMode val="edge"/>
              <c:yMode val="edge"/>
              <c:x val="2.6096137021333871E-2"/>
              <c:y val="0.19269999338318006"/>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2578816"/>
        <c:crosses val="autoZero"/>
        <c:crossBetween val="between"/>
        <c:majorUnit val="20"/>
      </c:valAx>
      <c:spPr>
        <a:noFill/>
        <a:ln>
          <a:noFill/>
        </a:ln>
        <a:effectLst/>
      </c:spPr>
    </c:plotArea>
    <c:legend>
      <c:legendPos val="b"/>
      <c:layout>
        <c:manualLayout>
          <c:xMode val="edge"/>
          <c:yMode val="edge"/>
          <c:x val="0.24375550381610916"/>
          <c:y val="0.8900895433847309"/>
          <c:w val="0.61551013404156574"/>
          <c:h val="9.594947737141573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149618778320626E-2"/>
          <c:y val="5.0925925925925923E-2"/>
          <c:w val="0.88937625868155079"/>
          <c:h val="0.70702711554469899"/>
        </c:manualLayout>
      </c:layout>
      <c:barChart>
        <c:barDir val="col"/>
        <c:grouping val="stacked"/>
        <c:varyColors val="0"/>
        <c:ser>
          <c:idx val="0"/>
          <c:order val="0"/>
          <c:tx>
            <c:strRef>
              <c:f>'Kompozimi '!$A$44</c:f>
              <c:strCache>
                <c:ptCount val="1"/>
                <c:pt idx="0">
                  <c:v>Tituj Shtetërorë Vendas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'!$B$43:$F$43</c:f>
              <c:strCache>
                <c:ptCount val="5"/>
                <c:pt idx="0">
                  <c:v>2016</c:v>
                </c:pt>
                <c:pt idx="1">
                  <c:v>2017</c:v>
                </c:pt>
                <c:pt idx="2">
                  <c:v>2018</c:v>
                </c:pt>
                <c:pt idx="3">
                  <c:v>2019</c:v>
                </c:pt>
                <c:pt idx="4">
                  <c:v>Shtator 2020</c:v>
                </c:pt>
              </c:strCache>
            </c:strRef>
          </c:cat>
          <c:val>
            <c:numRef>
              <c:f>'Kompozimi '!$B$44:$F$44</c:f>
              <c:numCache>
                <c:formatCode>0.0%</c:formatCode>
                <c:ptCount val="5"/>
                <c:pt idx="0">
                  <c:v>0.52441471617272073</c:v>
                </c:pt>
                <c:pt idx="1">
                  <c:v>0.52719188125054073</c:v>
                </c:pt>
                <c:pt idx="2">
                  <c:v>0.53215391762800057</c:v>
                </c:pt>
                <c:pt idx="3">
                  <c:v>0.54395463759693086</c:v>
                </c:pt>
                <c:pt idx="4">
                  <c:v>0.5173035922062289</c:v>
                </c:pt>
              </c:numCache>
            </c:numRef>
          </c:val>
          <c:extLst xmlns:c16r2="http://schemas.microsoft.com/office/drawing/2015/06/chart">
            <c:ext xmlns:c16="http://schemas.microsoft.com/office/drawing/2014/chart" uri="{C3380CC4-5D6E-409C-BE32-E72D297353CC}">
              <c16:uniqueId val="{00000000-1B3A-4728-A207-A8F68FE072DE}"/>
            </c:ext>
          </c:extLst>
        </c:ser>
        <c:ser>
          <c:idx val="1"/>
          <c:order val="1"/>
          <c:tx>
            <c:strRef>
              <c:f>'Kompozimi '!$A$45</c:f>
              <c:strCache>
                <c:ptCount val="1"/>
                <c:pt idx="0">
                  <c:v>Tituj Ndërkombëtarë</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'!$B$43:$F$43</c:f>
              <c:strCache>
                <c:ptCount val="5"/>
                <c:pt idx="0">
                  <c:v>2016</c:v>
                </c:pt>
                <c:pt idx="1">
                  <c:v>2017</c:v>
                </c:pt>
                <c:pt idx="2">
                  <c:v>2018</c:v>
                </c:pt>
                <c:pt idx="3">
                  <c:v>2019</c:v>
                </c:pt>
                <c:pt idx="4">
                  <c:v>Shtator 2020</c:v>
                </c:pt>
              </c:strCache>
            </c:strRef>
          </c:cat>
          <c:val>
            <c:numRef>
              <c:f>'Kompozimi '!$B$45:$F$45</c:f>
              <c:numCache>
                <c:formatCode>0.0%</c:formatCode>
                <c:ptCount val="5"/>
                <c:pt idx="0">
                  <c:v>6.0117569616085005E-2</c:v>
                </c:pt>
                <c:pt idx="1">
                  <c:v>5.766746724111086E-2</c:v>
                </c:pt>
                <c:pt idx="2">
                  <c:v>8.7169490773194941E-2</c:v>
                </c:pt>
                <c:pt idx="3">
                  <c:v>8.5337538486562989E-2</c:v>
                </c:pt>
                <c:pt idx="4">
                  <c:v>0.14338353249887612</c:v>
                </c:pt>
              </c:numCache>
            </c:numRef>
          </c:val>
          <c:extLst xmlns:c16r2="http://schemas.microsoft.com/office/drawing/2015/06/chart">
            <c:ext xmlns:c16="http://schemas.microsoft.com/office/drawing/2014/chart" uri="{C3380CC4-5D6E-409C-BE32-E72D297353CC}">
              <c16:uniqueId val="{00000001-1B3A-4728-A207-A8F68FE072DE}"/>
            </c:ext>
          </c:extLst>
        </c:ser>
        <c:ser>
          <c:idx val="2"/>
          <c:order val="2"/>
          <c:tx>
            <c:strRef>
              <c:f>'Kompozimi '!$A$46</c:f>
              <c:strCache>
                <c:ptCount val="1"/>
                <c:pt idx="0">
                  <c:v>Hua (terma konsesionale)</c:v>
                </c:pt>
              </c:strCache>
            </c:strRef>
          </c:tx>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'!$B$43:$F$43</c:f>
              <c:strCache>
                <c:ptCount val="5"/>
                <c:pt idx="0">
                  <c:v>2016</c:v>
                </c:pt>
                <c:pt idx="1">
                  <c:v>2017</c:v>
                </c:pt>
                <c:pt idx="2">
                  <c:v>2018</c:v>
                </c:pt>
                <c:pt idx="3">
                  <c:v>2019</c:v>
                </c:pt>
                <c:pt idx="4">
                  <c:v>Shtator 2020</c:v>
                </c:pt>
              </c:strCache>
            </c:strRef>
          </c:cat>
          <c:val>
            <c:numRef>
              <c:f>'Kompozimi '!$B$46:$F$46</c:f>
              <c:numCache>
                <c:formatCode>0.0%</c:formatCode>
                <c:ptCount val="5"/>
                <c:pt idx="0">
                  <c:v>0.23837070574414806</c:v>
                </c:pt>
                <c:pt idx="1">
                  <c:v>0.23874347488201014</c:v>
                </c:pt>
                <c:pt idx="2">
                  <c:v>0.21839607793539587</c:v>
                </c:pt>
                <c:pt idx="3">
                  <c:v>0.21027132013156263</c:v>
                </c:pt>
                <c:pt idx="4">
                  <c:v>0.18337505485646169</c:v>
                </c:pt>
              </c:numCache>
            </c:numRef>
          </c:val>
          <c:extLst xmlns:c16r2="http://schemas.microsoft.com/office/drawing/2015/06/chart">
            <c:ext xmlns:c16="http://schemas.microsoft.com/office/drawing/2014/chart" uri="{C3380CC4-5D6E-409C-BE32-E72D297353CC}">
              <c16:uniqueId val="{00000002-1B3A-4728-A207-A8F68FE072DE}"/>
            </c:ext>
          </c:extLst>
        </c:ser>
        <c:ser>
          <c:idx val="3"/>
          <c:order val="3"/>
          <c:tx>
            <c:strRef>
              <c:f>'Kompozimi '!$A$47</c:f>
              <c:strCache>
                <c:ptCount val="1"/>
                <c:pt idx="0">
                  <c:v>Hua (terma jo-konsesionale)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'!$B$43:$F$43</c:f>
              <c:strCache>
                <c:ptCount val="5"/>
                <c:pt idx="0">
                  <c:v>2016</c:v>
                </c:pt>
                <c:pt idx="1">
                  <c:v>2017</c:v>
                </c:pt>
                <c:pt idx="2">
                  <c:v>2018</c:v>
                </c:pt>
                <c:pt idx="3">
                  <c:v>2019</c:v>
                </c:pt>
                <c:pt idx="4">
                  <c:v>Shtator 2020</c:v>
                </c:pt>
              </c:strCache>
            </c:strRef>
          </c:cat>
          <c:val>
            <c:numRef>
              <c:f>'Kompozimi '!$B$47:$F$47</c:f>
              <c:numCache>
                <c:formatCode>0.0%</c:formatCode>
                <c:ptCount val="5"/>
                <c:pt idx="0">
                  <c:v>0.17709700846704618</c:v>
                </c:pt>
                <c:pt idx="1">
                  <c:v>0.17639717662633841</c:v>
                </c:pt>
                <c:pt idx="2">
                  <c:v>0.16228051366340859</c:v>
                </c:pt>
                <c:pt idx="3">
                  <c:v>0.16043650378494348</c:v>
                </c:pt>
                <c:pt idx="4">
                  <c:v>0.15593782043843332</c:v>
                </c:pt>
              </c:numCache>
            </c:numRef>
          </c:val>
          <c:extLst xmlns:c16r2="http://schemas.microsoft.com/office/drawing/2015/06/chart">
            <c:ext xmlns:c16="http://schemas.microsoft.com/office/drawing/2014/chart" uri="{C3380CC4-5D6E-409C-BE32-E72D297353CC}">
              <c16:uniqueId val="{00000003-1B3A-4728-A207-A8F68FE072DE}"/>
            </c:ext>
          </c:extLst>
        </c:ser>
        <c:dLbls>
          <c:showLegendKey val="0"/>
          <c:showVal val="0"/>
          <c:showCatName val="0"/>
          <c:showSerName val="0"/>
          <c:showPercent val="0"/>
          <c:showBubbleSize val="0"/>
        </c:dLbls>
        <c:gapWidth val="177"/>
        <c:overlap val="100"/>
        <c:axId val="214102016"/>
        <c:axId val="197074240"/>
      </c:barChart>
      <c:catAx>
        <c:axId val="2141020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7074240"/>
        <c:crosses val="autoZero"/>
        <c:auto val="1"/>
        <c:lblAlgn val="ctr"/>
        <c:lblOffset val="100"/>
        <c:noMultiLvlLbl val="0"/>
      </c:catAx>
      <c:valAx>
        <c:axId val="197074240"/>
        <c:scaling>
          <c:orientation val="minMax"/>
          <c:max val="1"/>
          <c:min val="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4102016"/>
        <c:crosses val="autoZero"/>
        <c:crossBetween val="between"/>
        <c:majorUnit val="0.2"/>
      </c:valAx>
      <c:spPr>
        <a:noFill/>
        <a:ln>
          <a:noFill/>
        </a:ln>
        <a:effectLst/>
      </c:spPr>
    </c:plotArea>
    <c:legend>
      <c:legendPos val="b"/>
      <c:layout>
        <c:manualLayout>
          <c:xMode val="edge"/>
          <c:yMode val="edge"/>
          <c:x val="7.4836294501648845E-2"/>
          <c:y val="0.88275495025860073"/>
          <c:w val="0.88005383942391813"/>
          <c:h val="9.014489042528221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mn-lt"/>
                <a:ea typeface="+mn-ea"/>
                <a:cs typeface="+mn-cs"/>
              </a:defRPr>
            </a:pPr>
            <a:r>
              <a:rPr lang="en-US" sz="900" b="1">
                <a:solidFill>
                  <a:sysClr val="windowText" lastClr="000000"/>
                </a:solidFill>
              </a:rPr>
              <a:t>Total Borxhi Shtetëror</a:t>
            </a:r>
          </a:p>
        </c:rich>
      </c:tx>
      <c:layout>
        <c:manualLayout>
          <c:xMode val="edge"/>
          <c:yMode val="edge"/>
          <c:x val="0.38087813873565207"/>
          <c:y val="3.6488180912869761E-2"/>
        </c:manualLayout>
      </c:layout>
      <c:overlay val="0"/>
      <c:spPr>
        <a:noFill/>
        <a:ln>
          <a:noFill/>
        </a:ln>
        <a:effectLst/>
      </c:spPr>
    </c:title>
    <c:autoTitleDeleted val="0"/>
    <c:plotArea>
      <c:layout>
        <c:manualLayout>
          <c:layoutTarget val="inner"/>
          <c:xMode val="edge"/>
          <c:yMode val="edge"/>
          <c:x val="0.13531851432742564"/>
          <c:y val="0.12205974253218348"/>
          <c:w val="0.815131940842724"/>
          <c:h val="0.62943140171994627"/>
        </c:manualLayout>
      </c:layout>
      <c:barChart>
        <c:barDir val="col"/>
        <c:grouping val="percentStacked"/>
        <c:varyColors val="0"/>
        <c:ser>
          <c:idx val="0"/>
          <c:order val="0"/>
          <c:tx>
            <c:strRef>
              <c:f>'BB sipas titujve'!$A$54</c:f>
              <c:strCache>
                <c:ptCount val="1"/>
                <c:pt idx="0">
                  <c:v>Maturitet nën 1 vit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titujve'!$B$47:$F$47</c:f>
              <c:strCache>
                <c:ptCount val="5"/>
                <c:pt idx="0">
                  <c:v>2016</c:v>
                </c:pt>
                <c:pt idx="1">
                  <c:v>2017</c:v>
                </c:pt>
                <c:pt idx="2">
                  <c:v>2018</c:v>
                </c:pt>
                <c:pt idx="3">
                  <c:v>2019</c:v>
                </c:pt>
                <c:pt idx="4">
                  <c:v>Shtator 2020</c:v>
                </c:pt>
              </c:strCache>
            </c:strRef>
          </c:cat>
          <c:val>
            <c:numRef>
              <c:f>'BB sipas titujve'!$B$54:$F$54</c:f>
              <c:numCache>
                <c:formatCode>0.0%</c:formatCode>
                <c:ptCount val="5"/>
                <c:pt idx="0">
                  <c:v>0.20687636480482013</c:v>
                </c:pt>
                <c:pt idx="1">
                  <c:v>0.18800451127449003</c:v>
                </c:pt>
                <c:pt idx="2">
                  <c:v>0.18320514014362566</c:v>
                </c:pt>
                <c:pt idx="3">
                  <c:v>0.18103236068595971</c:v>
                </c:pt>
                <c:pt idx="4">
                  <c:v>0.16524783291839432</c:v>
                </c:pt>
              </c:numCache>
            </c:numRef>
          </c:val>
          <c:extLst xmlns:c16r2="http://schemas.microsoft.com/office/drawing/2015/06/chart">
            <c:ext xmlns:c16="http://schemas.microsoft.com/office/drawing/2014/chart" uri="{C3380CC4-5D6E-409C-BE32-E72D297353CC}">
              <c16:uniqueId val="{00000000-0069-4D8C-BA8E-E127CF7ABA04}"/>
            </c:ext>
          </c:extLst>
        </c:ser>
        <c:ser>
          <c:idx val="1"/>
          <c:order val="1"/>
          <c:tx>
            <c:strRef>
              <c:f>'BB sipas titujve'!$A$55</c:f>
              <c:strCache>
                <c:ptCount val="1"/>
                <c:pt idx="0">
                  <c:v>Maturitet mbi 1 vit</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titujve'!$B$47:$F$47</c:f>
              <c:strCache>
                <c:ptCount val="5"/>
                <c:pt idx="0">
                  <c:v>2016</c:v>
                </c:pt>
                <c:pt idx="1">
                  <c:v>2017</c:v>
                </c:pt>
                <c:pt idx="2">
                  <c:v>2018</c:v>
                </c:pt>
                <c:pt idx="3">
                  <c:v>2019</c:v>
                </c:pt>
                <c:pt idx="4">
                  <c:v>Shtator 2020</c:v>
                </c:pt>
              </c:strCache>
            </c:strRef>
          </c:cat>
          <c:val>
            <c:numRef>
              <c:f>'BB sipas titujve'!$B$55:$F$55</c:f>
              <c:numCache>
                <c:formatCode>0.0%</c:formatCode>
                <c:ptCount val="5"/>
                <c:pt idx="0">
                  <c:v>0.79312363519517992</c:v>
                </c:pt>
                <c:pt idx="1">
                  <c:v>0.81199548872550997</c:v>
                </c:pt>
                <c:pt idx="2">
                  <c:v>0.81679485985637434</c:v>
                </c:pt>
                <c:pt idx="3">
                  <c:v>0.81896763931404037</c:v>
                </c:pt>
                <c:pt idx="4">
                  <c:v>0.8347521670816056</c:v>
                </c:pt>
              </c:numCache>
            </c:numRef>
          </c:val>
          <c:extLst xmlns:c16r2="http://schemas.microsoft.com/office/drawing/2015/06/chart">
            <c:ext xmlns:c16="http://schemas.microsoft.com/office/drawing/2014/chart" uri="{C3380CC4-5D6E-409C-BE32-E72D297353CC}">
              <c16:uniqueId val="{00000001-0069-4D8C-BA8E-E127CF7ABA04}"/>
            </c:ext>
          </c:extLst>
        </c:ser>
        <c:dLbls>
          <c:showLegendKey val="0"/>
          <c:showVal val="0"/>
          <c:showCatName val="0"/>
          <c:showSerName val="0"/>
          <c:showPercent val="0"/>
          <c:showBubbleSize val="0"/>
        </c:dLbls>
        <c:gapWidth val="100"/>
        <c:overlap val="100"/>
        <c:axId val="214105088"/>
        <c:axId val="150015360"/>
      </c:barChart>
      <c:catAx>
        <c:axId val="2141050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50015360"/>
        <c:crosses val="autoZero"/>
        <c:auto val="1"/>
        <c:lblAlgn val="ctr"/>
        <c:lblOffset val="100"/>
        <c:noMultiLvlLbl val="0"/>
      </c:catAx>
      <c:valAx>
        <c:axId val="15001536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4105088"/>
        <c:crosses val="autoZero"/>
        <c:crossBetween val="between"/>
        <c:majorUnit val="0.2"/>
      </c:valAx>
      <c:spPr>
        <a:noFill/>
        <a:ln>
          <a:noFill/>
        </a:ln>
        <a:effectLst/>
      </c:spPr>
    </c:plotArea>
    <c:legend>
      <c:legendPos val="b"/>
      <c:layout>
        <c:manualLayout>
          <c:xMode val="edge"/>
          <c:yMode val="edge"/>
          <c:x val="0.12320066778079886"/>
          <c:y val="0.90951598020634661"/>
          <c:w val="0.79795404815914972"/>
          <c:h val="7.02359813223802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ysClr val="windowText" lastClr="000000"/>
                </a:solidFill>
              </a:rPr>
              <a:t>Borxhi i Brendshëm Shtetëror</a:t>
            </a:r>
          </a:p>
        </c:rich>
      </c:tx>
      <c:layout>
        <c:manualLayout>
          <c:xMode val="edge"/>
          <c:yMode val="edge"/>
          <c:x val="0.27245445260765"/>
          <c:y val="2.0661157024793389E-2"/>
        </c:manualLayout>
      </c:layout>
      <c:overlay val="0"/>
      <c:spPr>
        <a:noFill/>
        <a:ln>
          <a:noFill/>
        </a:ln>
        <a:effectLst/>
      </c:spPr>
    </c:title>
    <c:autoTitleDeleted val="0"/>
    <c:plotArea>
      <c:layout>
        <c:manualLayout>
          <c:layoutTarget val="inner"/>
          <c:xMode val="edge"/>
          <c:yMode val="edge"/>
          <c:x val="0.14118382082918013"/>
          <c:y val="0.12396694214876033"/>
          <c:w val="0.81439865443833448"/>
          <c:h val="0.6258597969675278"/>
        </c:manualLayout>
      </c:layout>
      <c:barChart>
        <c:barDir val="col"/>
        <c:grouping val="stacked"/>
        <c:varyColors val="0"/>
        <c:ser>
          <c:idx val="0"/>
          <c:order val="0"/>
          <c:tx>
            <c:strRef>
              <c:f>'BB sipas titujve'!$A$22</c:f>
              <c:strCache>
                <c:ptCount val="1"/>
                <c:pt idx="0">
                  <c:v>Deri në 1 vit</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titujve'!$B$21:$F$21</c:f>
              <c:strCache>
                <c:ptCount val="5"/>
                <c:pt idx="0">
                  <c:v>2016</c:v>
                </c:pt>
                <c:pt idx="1">
                  <c:v>2017</c:v>
                </c:pt>
                <c:pt idx="2">
                  <c:v>2018</c:v>
                </c:pt>
                <c:pt idx="3">
                  <c:v>2019</c:v>
                </c:pt>
                <c:pt idx="4">
                  <c:v>Shtator 2020</c:v>
                </c:pt>
              </c:strCache>
            </c:strRef>
          </c:cat>
          <c:val>
            <c:numRef>
              <c:f>'BB sipas titujve'!$B$22:$F$22</c:f>
              <c:numCache>
                <c:formatCode>0.0%</c:formatCode>
                <c:ptCount val="5"/>
                <c:pt idx="0">
                  <c:v>0.39448993948019762</c:v>
                </c:pt>
                <c:pt idx="1">
                  <c:v>0.35661495929817533</c:v>
                </c:pt>
                <c:pt idx="2">
                  <c:v>0.3442709566429682</c:v>
                </c:pt>
                <c:pt idx="3">
                  <c:v>0.33280782747200321</c:v>
                </c:pt>
                <c:pt idx="4">
                  <c:v>0.32775792428257861</c:v>
                </c:pt>
              </c:numCache>
            </c:numRef>
          </c:val>
          <c:extLst xmlns:c16r2="http://schemas.microsoft.com/office/drawing/2015/06/chart">
            <c:ext xmlns:c16="http://schemas.microsoft.com/office/drawing/2014/chart" uri="{C3380CC4-5D6E-409C-BE32-E72D297353CC}">
              <c16:uniqueId val="{00000000-5C06-41EB-A3DE-C0DEF50F192B}"/>
            </c:ext>
          </c:extLst>
        </c:ser>
        <c:ser>
          <c:idx val="1"/>
          <c:order val="1"/>
          <c:tx>
            <c:strRef>
              <c:f>'BB sipas titujve'!$A$23</c:f>
              <c:strCache>
                <c:ptCount val="1"/>
                <c:pt idx="0">
                  <c:v>1 deri në 3 vite</c:v>
                </c:pt>
              </c:strCache>
            </c:strRef>
          </c:tx>
          <c:spPr>
            <a:solidFill>
              <a:srgbClr val="C0000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titujve'!$B$21:$F$21</c:f>
              <c:strCache>
                <c:ptCount val="5"/>
                <c:pt idx="0">
                  <c:v>2016</c:v>
                </c:pt>
                <c:pt idx="1">
                  <c:v>2017</c:v>
                </c:pt>
                <c:pt idx="2">
                  <c:v>2018</c:v>
                </c:pt>
                <c:pt idx="3">
                  <c:v>2019</c:v>
                </c:pt>
                <c:pt idx="4">
                  <c:v>Shtator 2020</c:v>
                </c:pt>
              </c:strCache>
            </c:strRef>
          </c:cat>
          <c:val>
            <c:numRef>
              <c:f>'BB sipas titujve'!$B$23:$F$23</c:f>
              <c:numCache>
                <c:formatCode>0.0%</c:formatCode>
                <c:ptCount val="5"/>
                <c:pt idx="0">
                  <c:v>0.21210635631980793</c:v>
                </c:pt>
                <c:pt idx="1">
                  <c:v>0.21967232831650157</c:v>
                </c:pt>
                <c:pt idx="2">
                  <c:v>0.211345530552463</c:v>
                </c:pt>
                <c:pt idx="3">
                  <c:v>0.19409928641828114</c:v>
                </c:pt>
                <c:pt idx="4">
                  <c:v>0.2129022489401273</c:v>
                </c:pt>
              </c:numCache>
            </c:numRef>
          </c:val>
          <c:extLst xmlns:c16r2="http://schemas.microsoft.com/office/drawing/2015/06/chart">
            <c:ext xmlns:c16="http://schemas.microsoft.com/office/drawing/2014/chart" uri="{C3380CC4-5D6E-409C-BE32-E72D297353CC}">
              <c16:uniqueId val="{00000001-5C06-41EB-A3DE-C0DEF50F192B}"/>
            </c:ext>
          </c:extLst>
        </c:ser>
        <c:ser>
          <c:idx val="2"/>
          <c:order val="2"/>
          <c:tx>
            <c:strRef>
              <c:f>'BB sipas titujve'!$A$24</c:f>
              <c:strCache>
                <c:ptCount val="1"/>
                <c:pt idx="0">
                  <c:v>3 deri në 5 vite</c:v>
                </c:pt>
              </c:strCache>
            </c:strRef>
          </c:tx>
          <c:spPr>
            <a:solidFill>
              <a:schemeClr val="bg1">
                <a:lumMod val="7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titujve'!$B$21:$F$21</c:f>
              <c:strCache>
                <c:ptCount val="5"/>
                <c:pt idx="0">
                  <c:v>2016</c:v>
                </c:pt>
                <c:pt idx="1">
                  <c:v>2017</c:v>
                </c:pt>
                <c:pt idx="2">
                  <c:v>2018</c:v>
                </c:pt>
                <c:pt idx="3">
                  <c:v>2019</c:v>
                </c:pt>
                <c:pt idx="4">
                  <c:v>Shtator 2020</c:v>
                </c:pt>
              </c:strCache>
            </c:strRef>
          </c:cat>
          <c:val>
            <c:numRef>
              <c:f>'BB sipas titujve'!$B$24:$F$24</c:f>
              <c:numCache>
                <c:formatCode>0.0%</c:formatCode>
                <c:ptCount val="5"/>
                <c:pt idx="0">
                  <c:v>0.18542036666349801</c:v>
                </c:pt>
                <c:pt idx="1">
                  <c:v>0.18854049117130847</c:v>
                </c:pt>
                <c:pt idx="2">
                  <c:v>0.17920198206823099</c:v>
                </c:pt>
                <c:pt idx="3">
                  <c:v>0.18478358708844891</c:v>
                </c:pt>
                <c:pt idx="4">
                  <c:v>0.17978746225714176</c:v>
                </c:pt>
              </c:numCache>
            </c:numRef>
          </c:val>
          <c:extLst xmlns:c16r2="http://schemas.microsoft.com/office/drawing/2015/06/chart">
            <c:ext xmlns:c16="http://schemas.microsoft.com/office/drawing/2014/chart" uri="{C3380CC4-5D6E-409C-BE32-E72D297353CC}">
              <c16:uniqueId val="{00000002-5C06-41EB-A3DE-C0DEF50F192B}"/>
            </c:ext>
          </c:extLst>
        </c:ser>
        <c:ser>
          <c:idx val="3"/>
          <c:order val="3"/>
          <c:tx>
            <c:strRef>
              <c:f>'BB sipas titujve'!$A$25</c:f>
              <c:strCache>
                <c:ptCount val="1"/>
                <c:pt idx="0">
                  <c:v>Mbi 5 vite</c:v>
                </c:pt>
              </c:strCache>
            </c:strRef>
          </c:tx>
          <c:spPr>
            <a:solidFill>
              <a:schemeClr val="accent6">
                <a:lumMod val="7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titujve'!$B$21:$F$21</c:f>
              <c:strCache>
                <c:ptCount val="5"/>
                <c:pt idx="0">
                  <c:v>2016</c:v>
                </c:pt>
                <c:pt idx="1">
                  <c:v>2017</c:v>
                </c:pt>
                <c:pt idx="2">
                  <c:v>2018</c:v>
                </c:pt>
                <c:pt idx="3">
                  <c:v>2019</c:v>
                </c:pt>
                <c:pt idx="4">
                  <c:v>Shtator 2020</c:v>
                </c:pt>
              </c:strCache>
            </c:strRef>
          </c:cat>
          <c:val>
            <c:numRef>
              <c:f>'BB sipas titujve'!$B$25:$F$25</c:f>
              <c:numCache>
                <c:formatCode>0.0%</c:formatCode>
                <c:ptCount val="5"/>
                <c:pt idx="0">
                  <c:v>0.20798333753649637</c:v>
                </c:pt>
                <c:pt idx="1">
                  <c:v>0.23517222121401465</c:v>
                </c:pt>
                <c:pt idx="2">
                  <c:v>0.26518153073633771</c:v>
                </c:pt>
                <c:pt idx="3">
                  <c:v>0.28830929902126662</c:v>
                </c:pt>
                <c:pt idx="4">
                  <c:v>0.27955236452015253</c:v>
                </c:pt>
              </c:numCache>
            </c:numRef>
          </c:val>
          <c:extLst xmlns:c16r2="http://schemas.microsoft.com/office/drawing/2015/06/chart">
            <c:ext xmlns:c16="http://schemas.microsoft.com/office/drawing/2014/chart" uri="{C3380CC4-5D6E-409C-BE32-E72D297353CC}">
              <c16:uniqueId val="{00000003-5C06-41EB-A3DE-C0DEF50F192B}"/>
            </c:ext>
          </c:extLst>
        </c:ser>
        <c:dLbls>
          <c:showLegendKey val="0"/>
          <c:showVal val="0"/>
          <c:showCatName val="0"/>
          <c:showSerName val="0"/>
          <c:showPercent val="0"/>
          <c:showBubbleSize val="0"/>
        </c:dLbls>
        <c:gapWidth val="100"/>
        <c:overlap val="100"/>
        <c:axId val="216084992"/>
        <c:axId val="150017088"/>
      </c:barChart>
      <c:catAx>
        <c:axId val="2160849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50017088"/>
        <c:crosses val="autoZero"/>
        <c:auto val="1"/>
        <c:lblAlgn val="ctr"/>
        <c:lblOffset val="100"/>
        <c:noMultiLvlLbl val="0"/>
      </c:catAx>
      <c:valAx>
        <c:axId val="150017088"/>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6084992"/>
        <c:crosses val="autoZero"/>
        <c:crossBetween val="between"/>
        <c:majorUnit val="0.2"/>
      </c:valAx>
      <c:spPr>
        <a:noFill/>
        <a:ln>
          <a:noFill/>
        </a:ln>
        <a:effectLst/>
      </c:spPr>
    </c:plotArea>
    <c:legend>
      <c:legendPos val="b"/>
      <c:layout>
        <c:manualLayout>
          <c:xMode val="edge"/>
          <c:yMode val="edge"/>
          <c:x val="1.6498247061249742E-2"/>
          <c:y val="0.9006178011322965"/>
          <c:w val="0.9650808755113075"/>
          <c:h val="8.093581827451425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lang="en-US" sz="900" b="1" i="0" u="none" strike="noStrike" kern="1200" spc="0" baseline="0">
                <a:solidFill>
                  <a:sysClr val="windowText" lastClr="000000"/>
                </a:solidFill>
                <a:latin typeface="+mn-lt"/>
                <a:ea typeface="+mn-ea"/>
                <a:cs typeface="+mn-cs"/>
              </a:defRPr>
            </a:pPr>
            <a:r>
              <a:rPr lang="en-US" sz="900" b="1" i="0" u="none" strike="noStrike" kern="1200" spc="0" baseline="0">
                <a:solidFill>
                  <a:sysClr val="windowText" lastClr="000000"/>
                </a:solidFill>
                <a:latin typeface="+mn-lt"/>
                <a:ea typeface="+mn-ea"/>
                <a:cs typeface="+mn-cs"/>
              </a:rPr>
              <a:t>Borxhi Shtetëror</a:t>
            </a:r>
          </a:p>
        </c:rich>
      </c:tx>
      <c:layout>
        <c:manualLayout>
          <c:xMode val="edge"/>
          <c:yMode val="edge"/>
          <c:x val="0.39787611727409722"/>
          <c:y val="2.7777777777777776E-2"/>
        </c:manualLayout>
      </c:layout>
      <c:overlay val="0"/>
      <c:spPr>
        <a:noFill/>
        <a:ln>
          <a:noFill/>
        </a:ln>
        <a:effectLst/>
      </c:spPr>
    </c:title>
    <c:autoTitleDeleted val="0"/>
    <c:plotArea>
      <c:layout>
        <c:manualLayout>
          <c:layoutTarget val="inner"/>
          <c:xMode val="edge"/>
          <c:yMode val="edge"/>
          <c:x val="0.14805917098601082"/>
          <c:y val="0.15958889677937929"/>
          <c:w val="0.80536026581263409"/>
          <c:h val="0.6072177177060003"/>
        </c:manualLayout>
      </c:layout>
      <c:barChart>
        <c:barDir val="col"/>
        <c:grouping val="stacked"/>
        <c:varyColors val="0"/>
        <c:ser>
          <c:idx val="0"/>
          <c:order val="0"/>
          <c:tx>
            <c:strRef>
              <c:f>'Kompozimi sipas interesit'!$A$33</c:f>
              <c:strCache>
                <c:ptCount val="1"/>
                <c:pt idx="0">
                  <c:v>Fiks</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sipas interesit'!$B$32:$F$32</c:f>
              <c:strCache>
                <c:ptCount val="5"/>
                <c:pt idx="0">
                  <c:v>2016</c:v>
                </c:pt>
                <c:pt idx="1">
                  <c:v>2017</c:v>
                </c:pt>
                <c:pt idx="2">
                  <c:v>2018</c:v>
                </c:pt>
                <c:pt idx="3">
                  <c:v>2019</c:v>
                </c:pt>
                <c:pt idx="4">
                  <c:v>Shtator 2020</c:v>
                </c:pt>
              </c:strCache>
            </c:strRef>
          </c:cat>
          <c:val>
            <c:numRef>
              <c:f>'Kompozimi sipas interesit'!$B$33:$F$33</c:f>
              <c:numCache>
                <c:formatCode>0.0%</c:formatCode>
                <c:ptCount val="5"/>
                <c:pt idx="0">
                  <c:v>0.71422199614528725</c:v>
                </c:pt>
                <c:pt idx="1">
                  <c:v>0.71687443726567102</c:v>
                </c:pt>
                <c:pt idx="2">
                  <c:v>0.74382834026204292</c:v>
                </c:pt>
                <c:pt idx="3">
                  <c:v>0.7537215460889195</c:v>
                </c:pt>
                <c:pt idx="4">
                  <c:v>0.77589640687214578</c:v>
                </c:pt>
              </c:numCache>
            </c:numRef>
          </c:val>
          <c:extLst xmlns:c16r2="http://schemas.microsoft.com/office/drawing/2015/06/chart">
            <c:ext xmlns:c16="http://schemas.microsoft.com/office/drawing/2014/chart" uri="{C3380CC4-5D6E-409C-BE32-E72D297353CC}">
              <c16:uniqueId val="{00000000-520E-49AA-BEAD-F142D2C185E7}"/>
            </c:ext>
          </c:extLst>
        </c:ser>
        <c:ser>
          <c:idx val="1"/>
          <c:order val="1"/>
          <c:tx>
            <c:strRef>
              <c:f>'Kompozimi sipas interesit'!$A$34</c:f>
              <c:strCache>
                <c:ptCount val="1"/>
                <c:pt idx="0">
                  <c:v>Me norma të ndryshueshme</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sipas interesit'!$B$32:$F$32</c:f>
              <c:strCache>
                <c:ptCount val="5"/>
                <c:pt idx="0">
                  <c:v>2016</c:v>
                </c:pt>
                <c:pt idx="1">
                  <c:v>2017</c:v>
                </c:pt>
                <c:pt idx="2">
                  <c:v>2018</c:v>
                </c:pt>
                <c:pt idx="3">
                  <c:v>2019</c:v>
                </c:pt>
                <c:pt idx="4">
                  <c:v>Shtator 2020</c:v>
                </c:pt>
              </c:strCache>
            </c:strRef>
          </c:cat>
          <c:val>
            <c:numRef>
              <c:f>'Kompozimi sipas interesit'!$B$34:$F$34</c:f>
              <c:numCache>
                <c:formatCode>0.0%</c:formatCode>
                <c:ptCount val="5"/>
                <c:pt idx="0">
                  <c:v>0.28577800385471275</c:v>
                </c:pt>
                <c:pt idx="1">
                  <c:v>0.28312556273432904</c:v>
                </c:pt>
                <c:pt idx="2">
                  <c:v>0.25617165973795708</c:v>
                </c:pt>
                <c:pt idx="3">
                  <c:v>0.24627845391108058</c:v>
                </c:pt>
                <c:pt idx="4">
                  <c:v>0.22410359312785419</c:v>
                </c:pt>
              </c:numCache>
            </c:numRef>
          </c:val>
          <c:extLst xmlns:c16r2="http://schemas.microsoft.com/office/drawing/2015/06/chart">
            <c:ext xmlns:c16="http://schemas.microsoft.com/office/drawing/2014/chart" uri="{C3380CC4-5D6E-409C-BE32-E72D297353CC}">
              <c16:uniqueId val="{00000001-520E-49AA-BEAD-F142D2C185E7}"/>
            </c:ext>
          </c:extLst>
        </c:ser>
        <c:dLbls>
          <c:showLegendKey val="0"/>
          <c:showVal val="0"/>
          <c:showCatName val="0"/>
          <c:showSerName val="0"/>
          <c:showPercent val="0"/>
          <c:showBubbleSize val="0"/>
        </c:dLbls>
        <c:gapWidth val="100"/>
        <c:overlap val="100"/>
        <c:axId val="219324928"/>
        <c:axId val="150015936"/>
      </c:barChart>
      <c:catAx>
        <c:axId val="2193249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50015936"/>
        <c:crosses val="autoZero"/>
        <c:auto val="1"/>
        <c:lblAlgn val="ctr"/>
        <c:lblOffset val="100"/>
        <c:noMultiLvlLbl val="0"/>
      </c:catAx>
      <c:valAx>
        <c:axId val="150015936"/>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9324928"/>
        <c:crosses val="autoZero"/>
        <c:crossBetween val="between"/>
        <c:majorUnit val="0.2"/>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lang="en-US" sz="900" b="1" i="0" u="none" strike="noStrike" kern="1200" spc="0" baseline="0">
                <a:solidFill>
                  <a:sysClr val="windowText" lastClr="000000"/>
                </a:solidFill>
                <a:latin typeface="+mn-lt"/>
                <a:ea typeface="+mn-ea"/>
                <a:cs typeface="+mn-cs"/>
              </a:defRPr>
            </a:pPr>
            <a:r>
              <a:rPr lang="en-US" sz="900" b="1" i="0" u="none" strike="noStrike" kern="1200" spc="0" baseline="0">
                <a:solidFill>
                  <a:sysClr val="windowText" lastClr="000000"/>
                </a:solidFill>
                <a:latin typeface="+mn-lt"/>
                <a:ea typeface="+mn-ea"/>
                <a:cs typeface="+mn-cs"/>
              </a:rPr>
              <a:t>Borxhi i Brendshëm</a:t>
            </a:r>
          </a:p>
        </c:rich>
      </c:tx>
      <c:layout/>
      <c:overlay val="0"/>
      <c:spPr>
        <a:noFill/>
        <a:ln>
          <a:noFill/>
        </a:ln>
        <a:effectLst/>
      </c:spPr>
    </c:title>
    <c:autoTitleDeleted val="0"/>
    <c:plotArea>
      <c:layout>
        <c:manualLayout>
          <c:layoutTarget val="inner"/>
          <c:xMode val="edge"/>
          <c:yMode val="edge"/>
          <c:x val="0.18049740111572643"/>
          <c:y val="0.1736842105263158"/>
          <c:w val="0.77199666064199324"/>
          <c:h val="0.5976059742317249"/>
        </c:manualLayout>
      </c:layout>
      <c:barChart>
        <c:barDir val="col"/>
        <c:grouping val="stacked"/>
        <c:varyColors val="0"/>
        <c:ser>
          <c:idx val="0"/>
          <c:order val="0"/>
          <c:tx>
            <c:strRef>
              <c:f>'Kompozimi sipas interesit'!$A$9</c:f>
              <c:strCache>
                <c:ptCount val="1"/>
                <c:pt idx="0">
                  <c:v>Fiks</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sipas interesit'!$B$8:$F$8</c:f>
              <c:strCache>
                <c:ptCount val="5"/>
                <c:pt idx="0">
                  <c:v>2016</c:v>
                </c:pt>
                <c:pt idx="1">
                  <c:v>2017</c:v>
                </c:pt>
                <c:pt idx="2">
                  <c:v>2018</c:v>
                </c:pt>
                <c:pt idx="3">
                  <c:v>2019</c:v>
                </c:pt>
                <c:pt idx="4">
                  <c:v>Shtator 2020</c:v>
                </c:pt>
              </c:strCache>
            </c:strRef>
          </c:cat>
          <c:val>
            <c:numRef>
              <c:f>'Kompozimi sipas interesit'!$B$9:$F$9</c:f>
              <c:numCache>
                <c:formatCode>0.0%</c:formatCode>
                <c:ptCount val="5"/>
                <c:pt idx="0">
                  <c:v>0.87327515660342026</c:v>
                </c:pt>
                <c:pt idx="1">
                  <c:v>0.9120890588503141</c:v>
                </c:pt>
                <c:pt idx="2">
                  <c:v>0.93514088654326621</c:v>
                </c:pt>
                <c:pt idx="3">
                  <c:v>0.95232828722443164</c:v>
                </c:pt>
                <c:pt idx="4">
                  <c:v>0.96941107517593983</c:v>
                </c:pt>
              </c:numCache>
            </c:numRef>
          </c:val>
          <c:extLst xmlns:c16r2="http://schemas.microsoft.com/office/drawing/2015/06/chart">
            <c:ext xmlns:c16="http://schemas.microsoft.com/office/drawing/2014/chart" uri="{C3380CC4-5D6E-409C-BE32-E72D297353CC}">
              <c16:uniqueId val="{00000000-E4E3-4E23-A22A-1D5AA1761A98}"/>
            </c:ext>
          </c:extLst>
        </c:ser>
        <c:ser>
          <c:idx val="1"/>
          <c:order val="1"/>
          <c:tx>
            <c:strRef>
              <c:f>'Kompozimi sipas interesit'!$A$10</c:f>
              <c:strCache>
                <c:ptCount val="1"/>
                <c:pt idx="0">
                  <c:v>Me norma të ndryshueshme</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'Kompozimi sipas interesit'!$B$8:$F$8</c:f>
              <c:strCache>
                <c:ptCount val="5"/>
                <c:pt idx="0">
                  <c:v>2016</c:v>
                </c:pt>
                <c:pt idx="1">
                  <c:v>2017</c:v>
                </c:pt>
                <c:pt idx="2">
                  <c:v>2018</c:v>
                </c:pt>
                <c:pt idx="3">
                  <c:v>2019</c:v>
                </c:pt>
                <c:pt idx="4">
                  <c:v>Shtator 2020</c:v>
                </c:pt>
              </c:strCache>
            </c:strRef>
          </c:cat>
          <c:val>
            <c:numRef>
              <c:f>'Kompozimi sipas interesit'!$B$10:$F$10</c:f>
              <c:numCache>
                <c:formatCode>0.0%</c:formatCode>
                <c:ptCount val="5"/>
                <c:pt idx="0">
                  <c:v>0.12672484339657963</c:v>
                </c:pt>
                <c:pt idx="1">
                  <c:v>8.7910941149686006E-2</c:v>
                </c:pt>
                <c:pt idx="2">
                  <c:v>6.485911345673373E-2</c:v>
                </c:pt>
                <c:pt idx="3">
                  <c:v>4.7671712775568281E-2</c:v>
                </c:pt>
                <c:pt idx="4">
                  <c:v>3.0588924824060289E-2</c:v>
                </c:pt>
              </c:numCache>
            </c:numRef>
          </c:val>
          <c:extLst xmlns:c16r2="http://schemas.microsoft.com/office/drawing/2015/06/chart">
            <c:ext xmlns:c16="http://schemas.microsoft.com/office/drawing/2014/chart" uri="{C3380CC4-5D6E-409C-BE32-E72D297353CC}">
              <c16:uniqueId val="{00000001-E4E3-4E23-A22A-1D5AA1761A98}"/>
            </c:ext>
          </c:extLst>
        </c:ser>
        <c:dLbls>
          <c:showLegendKey val="0"/>
          <c:showVal val="0"/>
          <c:showCatName val="0"/>
          <c:showSerName val="0"/>
          <c:showPercent val="0"/>
          <c:showBubbleSize val="0"/>
        </c:dLbls>
        <c:gapWidth val="100"/>
        <c:overlap val="100"/>
        <c:axId val="216940544"/>
        <c:axId val="150018240"/>
      </c:barChart>
      <c:catAx>
        <c:axId val="2169405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50018240"/>
        <c:crosses val="autoZero"/>
        <c:auto val="1"/>
        <c:lblAlgn val="ctr"/>
        <c:lblOffset val="100"/>
        <c:noMultiLvlLbl val="0"/>
      </c:catAx>
      <c:valAx>
        <c:axId val="150018240"/>
        <c:scaling>
          <c:orientation val="minMax"/>
          <c:max val="1"/>
          <c:min val="0.2"/>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6940544"/>
        <c:crosses val="autoZero"/>
        <c:crossBetween val="between"/>
        <c:majorUnit val="0.2"/>
      </c:valAx>
      <c:spPr>
        <a:noFill/>
        <a:ln>
          <a:noFill/>
        </a:ln>
        <a:effectLst/>
      </c:spPr>
    </c:plotArea>
    <c:legend>
      <c:legendPos val="b"/>
      <c:layout>
        <c:manualLayout>
          <c:xMode val="edge"/>
          <c:yMode val="edge"/>
          <c:x val="0.21273138741483702"/>
          <c:y val="0.88533775383340241"/>
          <c:w val="0.7127363182387777"/>
          <c:h val="8.4587058196672782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US" sz="800">
                <a:solidFill>
                  <a:sysClr val="windowText" lastClr="000000"/>
                </a:solidFill>
              </a:rPr>
              <a:t>Borxhi i Brendshëm </a:t>
            </a:r>
          </a:p>
        </c:rich>
      </c:tx>
      <c:layout>
        <c:manualLayout>
          <c:xMode val="edge"/>
          <c:yMode val="edge"/>
          <c:x val="0.25176201128589143"/>
          <c:y val="8.1297745130101545E-3"/>
        </c:manualLayout>
      </c:layout>
      <c:overlay val="0"/>
      <c:spPr>
        <a:noFill/>
        <a:ln>
          <a:noFill/>
        </a:ln>
        <a:effectLst/>
      </c:spPr>
    </c:title>
    <c:autoTitleDeleted val="0"/>
    <c:plotArea>
      <c:layout>
        <c:manualLayout>
          <c:layoutTarget val="inner"/>
          <c:xMode val="edge"/>
          <c:yMode val="edge"/>
          <c:x val="0.23969761880744556"/>
          <c:y val="0.18784852372686645"/>
          <c:w val="0.61563133744972531"/>
          <c:h val="0.80350005545081515"/>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ACE0-4602-9813-4D0731B0F3B9}"/>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3-ACE0-4602-9813-4D0731B0F3B9}"/>
              </c:ext>
            </c:extLst>
          </c:dPt>
          <c:dLbls>
            <c:dLbl>
              <c:idx val="0"/>
              <c:layout>
                <c:manualLayout>
                  <c:x val="-0.19066620909674425"/>
                  <c:y val="-0.1720016088362235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CE0-4602-9813-4D0731B0F3B9}"/>
                </c:ext>
                <c:ext xmlns:c15="http://schemas.microsoft.com/office/drawing/2012/chart" uri="{CE6537A1-D6FC-4f65-9D91-7224C49458BB}">
                  <c15:layout>
                    <c:manualLayout>
                      <c:w val="0.24455205811138014"/>
                      <c:h val="0.29508840864440072"/>
                    </c:manualLayout>
                  </c15:layout>
                </c:ext>
              </c:extLst>
            </c:dLbl>
            <c:dLbl>
              <c:idx val="1"/>
              <c:layout>
                <c:manualLayout>
                  <c:x val="0.13758873361168836"/>
                  <c:y val="0.1910389884957896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CE0-4602-9813-4D0731B0F3B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'B.Shteteror sipas Monedhes '!$A$6:$A$7</c:f>
              <c:strCache>
                <c:ptCount val="2"/>
                <c:pt idx="0">
                  <c:v>LEK</c:v>
                </c:pt>
                <c:pt idx="1">
                  <c:v>EUR</c:v>
                </c:pt>
              </c:strCache>
            </c:strRef>
          </c:cat>
          <c:val>
            <c:numRef>
              <c:f>'B.Shteteror sipas Monedhes '!$O$6:$O$7</c:f>
              <c:numCache>
                <c:formatCode>0.0%</c:formatCode>
                <c:ptCount val="2"/>
                <c:pt idx="0">
                  <c:v>0.97991789714539146</c:v>
                </c:pt>
                <c:pt idx="1">
                  <c:v>2.0082102854608586E-2</c:v>
                </c:pt>
              </c:numCache>
            </c:numRef>
          </c:val>
          <c:extLst xmlns:c16r2="http://schemas.microsoft.com/office/drawing/2015/06/chart">
            <c:ext xmlns:c16="http://schemas.microsoft.com/office/drawing/2014/chart" uri="{C3380CC4-5D6E-409C-BE32-E72D297353CC}">
              <c16:uniqueId val="{00000004-ACE0-4602-9813-4D0731B0F3B9}"/>
            </c:ext>
          </c:extLst>
        </c:ser>
        <c:dLbls>
          <c:showLegendKey val="0"/>
          <c:showVal val="0"/>
          <c:showCatName val="0"/>
          <c:showSerName val="0"/>
          <c:showPercent val="0"/>
          <c:showBubbleSize val="0"/>
          <c:showLeaderLines val="1"/>
        </c:dLbls>
        <c:firstSliceAng val="34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US" sz="800">
                <a:solidFill>
                  <a:sysClr val="windowText" lastClr="000000"/>
                </a:solidFill>
              </a:rPr>
              <a:t>Borxhi</a:t>
            </a:r>
            <a:r>
              <a:rPr lang="en-US" sz="800" baseline="0">
                <a:solidFill>
                  <a:sysClr val="windowText" lastClr="000000"/>
                </a:solidFill>
              </a:rPr>
              <a:t> Shtetëror </a:t>
            </a:r>
          </a:p>
        </c:rich>
      </c:tx>
      <c:layout>
        <c:manualLayout>
          <c:xMode val="edge"/>
          <c:yMode val="edge"/>
          <c:x val="0.25629502549605848"/>
          <c:y val="3.0674846625766871E-2"/>
        </c:manualLayout>
      </c:layout>
      <c:overlay val="0"/>
      <c:spPr>
        <a:noFill/>
        <a:ln>
          <a:noFill/>
        </a:ln>
        <a:effectLst/>
      </c:spPr>
    </c:title>
    <c:autoTitleDeleted val="0"/>
    <c:plotArea>
      <c:layout>
        <c:manualLayout>
          <c:layoutTarget val="inner"/>
          <c:xMode val="edge"/>
          <c:yMode val="edge"/>
          <c:x val="0.16742214433227195"/>
          <c:y val="0.21328813065033536"/>
          <c:w val="0.62689408338064312"/>
          <c:h val="0.69437226596675405"/>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0C8B-4668-9ED1-75D261FC1606}"/>
              </c:ext>
            </c:extLst>
          </c:dPt>
          <c:dPt>
            <c:idx val="1"/>
            <c:bubble3D val="0"/>
            <c:spPr>
              <a:solidFill>
                <a:srgbClr val="C00000"/>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3-0C8B-4668-9ED1-75D261FC1606}"/>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5-0C8B-4668-9ED1-75D261FC1606}"/>
              </c:ext>
            </c:extLst>
          </c:dPt>
          <c:dPt>
            <c:idx val="3"/>
            <c:bubble3D val="0"/>
            <c:spPr>
              <a:solidFill>
                <a:srgbClr val="7030A0"/>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7-0C8B-4668-9ED1-75D261FC1606}"/>
              </c:ext>
            </c:extLst>
          </c:dPt>
          <c:dPt>
            <c:idx val="4"/>
            <c:bubble3D val="0"/>
            <c:spPr>
              <a:solidFill>
                <a:schemeClr val="accent6"/>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9-0C8B-4668-9ED1-75D261FC1606}"/>
              </c:ext>
            </c:extLst>
          </c:dPt>
          <c:dLbls>
            <c:dLbl>
              <c:idx val="0"/>
              <c:layout>
                <c:manualLayout>
                  <c:x val="-0.24237871437593281"/>
                  <c:y val="-1.79653056302841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C8B-4668-9ED1-75D261FC1606}"/>
                </c:ext>
                <c:ext xmlns:c15="http://schemas.microsoft.com/office/drawing/2012/chart" uri="{CE6537A1-D6FC-4f65-9D91-7224C49458BB}">
                  <c15:layout/>
                </c:ext>
              </c:extLst>
            </c:dLbl>
            <c:dLbl>
              <c:idx val="1"/>
              <c:layout>
                <c:manualLayout>
                  <c:x val="0.19849237079068929"/>
                  <c:y val="-9.95305560043174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C8B-4668-9ED1-75D261FC1606}"/>
                </c:ext>
                <c:ext xmlns:c15="http://schemas.microsoft.com/office/drawing/2012/chart" uri="{CE6537A1-D6FC-4f65-9D91-7224C49458BB}">
                  <c15:layout/>
                </c:ext>
              </c:extLst>
            </c:dLbl>
            <c:dLbl>
              <c:idx val="3"/>
              <c:layout>
                <c:manualLayout>
                  <c:x val="3.6174586016939582E-3"/>
                  <c:y val="2.566699679935193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C8B-4668-9ED1-75D261FC1606}"/>
                </c:ext>
                <c:ext xmlns:c15="http://schemas.microsoft.com/office/drawing/2012/chart" uri="{CE6537A1-D6FC-4f65-9D91-7224C49458BB}">
                  <c15:layout/>
                </c:ext>
              </c:extLst>
            </c:dLbl>
            <c:dLbl>
              <c:idx val="4"/>
              <c:layout>
                <c:manualLayout>
                  <c:x val="6.4977491495655487E-2"/>
                  <c:y val="2.69605333075696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0C8B-4668-9ED1-75D261FC160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15:layout/>
              </c:ext>
            </c:extLst>
          </c:dLbls>
          <c:cat>
            <c:strRef>
              <c:f>'B.Shteteror sipas Monedhes '!$A$32:$A$36</c:f>
              <c:strCache>
                <c:ptCount val="5"/>
                <c:pt idx="0">
                  <c:v>LEK</c:v>
                </c:pt>
                <c:pt idx="1">
                  <c:v>EUR</c:v>
                </c:pt>
                <c:pt idx="2">
                  <c:v>USD</c:v>
                </c:pt>
                <c:pt idx="3">
                  <c:v>JPY</c:v>
                </c:pt>
                <c:pt idx="4">
                  <c:v>Të tjera</c:v>
                </c:pt>
              </c:strCache>
            </c:strRef>
          </c:cat>
          <c:val>
            <c:numRef>
              <c:f>'B.Shteteror sipas Monedhes '!$K$32:$K$36</c:f>
              <c:numCache>
                <c:formatCode>0.0%</c:formatCode>
                <c:ptCount val="5"/>
                <c:pt idx="0">
                  <c:v>0.50450802305496545</c:v>
                </c:pt>
                <c:pt idx="1">
                  <c:v>0.35351687331690917</c:v>
                </c:pt>
                <c:pt idx="2">
                  <c:v>9.4017569557487371E-2</c:v>
                </c:pt>
                <c:pt idx="3">
                  <c:v>1.5610614738658084E-2</c:v>
                </c:pt>
                <c:pt idx="4">
                  <c:v>3.2346919331980105E-2</c:v>
                </c:pt>
              </c:numCache>
            </c:numRef>
          </c:val>
          <c:extLst xmlns:c16r2="http://schemas.microsoft.com/office/drawing/2015/06/chart">
            <c:ext xmlns:c16="http://schemas.microsoft.com/office/drawing/2014/chart" uri="{C3380CC4-5D6E-409C-BE32-E72D297353CC}">
              <c16:uniqueId val="{0000000A-0C8B-4668-9ED1-75D261FC160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797661655929372"/>
          <c:y val="0.89872630504520268"/>
          <c:w val="0.66554570960761572"/>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US" sz="800">
                <a:solidFill>
                  <a:sysClr val="windowText" lastClr="000000"/>
                </a:solidFill>
              </a:rPr>
              <a:t>Borxhi i Jashtëm</a:t>
            </a:r>
            <a:endParaRPr lang="en-US" sz="800" baseline="0">
              <a:solidFill>
                <a:sysClr val="windowText" lastClr="000000"/>
              </a:solidFill>
            </a:endParaRPr>
          </a:p>
        </c:rich>
      </c:tx>
      <c:layout>
        <c:manualLayout>
          <c:xMode val="edge"/>
          <c:yMode val="edge"/>
          <c:x val="0.28126664023112224"/>
          <c:y val="5.6377718282761335E-2"/>
        </c:manualLayout>
      </c:layout>
      <c:overlay val="0"/>
      <c:spPr>
        <a:noFill/>
        <a:ln>
          <a:noFill/>
        </a:ln>
        <a:effectLst/>
      </c:spPr>
    </c:title>
    <c:autoTitleDeleted val="0"/>
    <c:plotArea>
      <c:layout>
        <c:manualLayout>
          <c:layoutTarget val="inner"/>
          <c:xMode val="edge"/>
          <c:yMode val="edge"/>
          <c:x val="0.20321917591626348"/>
          <c:y val="0.19666100644879642"/>
          <c:w val="0.64727921599728078"/>
          <c:h val="0.76086081229194058"/>
        </c:manualLayout>
      </c:layout>
      <c:pieChart>
        <c:varyColors val="1"/>
        <c:ser>
          <c:idx val="0"/>
          <c:order val="0"/>
          <c:dPt>
            <c:idx val="0"/>
            <c:bubble3D val="0"/>
            <c:spPr>
              <a:solidFill>
                <a:srgbClr val="C00000"/>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3DF1-47AF-B2E9-AA1DF9C4CCEC}"/>
              </c:ext>
            </c:extLst>
          </c:dPt>
          <c:dPt>
            <c:idx val="1"/>
            <c:bubble3D val="0"/>
            <c:spPr>
              <a:solidFill>
                <a:schemeClr val="accent3"/>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3-3DF1-47AF-B2E9-AA1DF9C4CCEC}"/>
              </c:ext>
            </c:extLst>
          </c:dPt>
          <c:dPt>
            <c:idx val="2"/>
            <c:bubble3D val="0"/>
            <c:spPr>
              <a:solidFill>
                <a:srgbClr val="7030A0"/>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5-3DF1-47AF-B2E9-AA1DF9C4CCEC}"/>
              </c:ext>
            </c:extLst>
          </c:dPt>
          <c:dPt>
            <c:idx val="3"/>
            <c:bubble3D val="0"/>
            <c:spPr>
              <a:solidFill>
                <a:schemeClr val="accent6"/>
              </a:soli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7-3DF1-47AF-B2E9-AA1DF9C4CCEC}"/>
              </c:ext>
            </c:extLst>
          </c:dPt>
          <c:dLbls>
            <c:dLbl>
              <c:idx val="0"/>
              <c:layout>
                <c:manualLayout>
                  <c:x val="-0.23264998482559446"/>
                  <c:y val="-0.1405997759694264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DF1-47AF-B2E9-AA1DF9C4CCEC}"/>
                </c:ext>
                <c:ext xmlns:c15="http://schemas.microsoft.com/office/drawing/2012/chart" uri="{CE6537A1-D6FC-4f65-9D91-7224C49458BB}">
                  <c15:layout/>
                </c:ext>
              </c:extLst>
            </c:dLbl>
            <c:dLbl>
              <c:idx val="1"/>
              <c:layout>
                <c:manualLayout>
                  <c:x val="0.18376938905508475"/>
                  <c:y val="9.1730224360030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DF1-47AF-B2E9-AA1DF9C4CCEC}"/>
                </c:ext>
                <c:ext xmlns:c15="http://schemas.microsoft.com/office/drawing/2012/chart" uri="{CE6537A1-D6FC-4f65-9D91-7224C49458BB}">
                  <c15:layout>
                    <c:manualLayout>
                      <c:w val="0.2736128759000423"/>
                      <c:h val="0.23566945606694556"/>
                    </c:manualLayout>
                  </c15:layout>
                </c:ext>
              </c:extLst>
            </c:dLbl>
            <c:dLbl>
              <c:idx val="2"/>
              <c:layout>
                <c:manualLayout>
                  <c:x val="3.3971992382781847E-2"/>
                  <c:y val="0.1073057028959246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DF1-47AF-B2E9-AA1DF9C4CCEC}"/>
                </c:ext>
                <c:ext xmlns:c15="http://schemas.microsoft.com/office/drawing/2012/chart" uri="{CE6537A1-D6FC-4f65-9D91-7224C49458BB}">
                  <c15:layout/>
                </c:ext>
              </c:extLst>
            </c:dLbl>
            <c:dLbl>
              <c:idx val="3"/>
              <c:layout>
                <c:manualLayout>
                  <c:x val="9.9153901823263196E-2"/>
                  <c:y val="0.146428689091687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DF1-47AF-B2E9-AA1DF9C4CC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'B.Shteteror sipas Monedhes '!$A$42:$A$45</c:f>
              <c:strCache>
                <c:ptCount val="4"/>
                <c:pt idx="0">
                  <c:v>EUR</c:v>
                </c:pt>
                <c:pt idx="1">
                  <c:v>USD</c:v>
                </c:pt>
                <c:pt idx="2">
                  <c:v>JPY</c:v>
                </c:pt>
                <c:pt idx="3">
                  <c:v>Të tjera</c:v>
                </c:pt>
              </c:strCache>
            </c:strRef>
          </c:cat>
          <c:val>
            <c:numRef>
              <c:f>'B.Shteteror sipas Monedhes '!$K$42:$K$45</c:f>
              <c:numCache>
                <c:formatCode>0.0%</c:formatCode>
                <c:ptCount val="4"/>
                <c:pt idx="0">
                  <c:v>0.70738682424029342</c:v>
                </c:pt>
                <c:pt idx="1">
                  <c:v>0.19377185789900378</c:v>
                </c:pt>
                <c:pt idx="2">
                  <c:v>3.2173750449970562E-2</c:v>
                </c:pt>
                <c:pt idx="3">
                  <c:v>6.666756741073214E-2</c:v>
                </c:pt>
              </c:numCache>
            </c:numRef>
          </c:val>
          <c:extLst xmlns:c16r2="http://schemas.microsoft.com/office/drawing/2015/06/chart">
            <c:ext xmlns:c16="http://schemas.microsoft.com/office/drawing/2014/chart" uri="{C3380CC4-5D6E-409C-BE32-E72D297353CC}">
              <c16:uniqueId val="{00000008-3DF1-47AF-B2E9-AA1DF9C4CCEC}"/>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98172454782344"/>
          <c:y val="7.1055172118918111E-2"/>
          <c:w val="0.85684529217883332"/>
          <c:h val="0.63854059540071062"/>
        </c:manualLayout>
      </c:layout>
      <c:barChart>
        <c:barDir val="col"/>
        <c:grouping val="percentStacked"/>
        <c:varyColors val="0"/>
        <c:ser>
          <c:idx val="0"/>
          <c:order val="0"/>
          <c:tx>
            <c:strRef>
              <c:f>'Garancite '!$A$17</c:f>
              <c:strCache>
                <c:ptCount val="1"/>
                <c:pt idx="0">
                  <c:v>Energjia</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'!$B$17:$F$17</c:f>
              <c:numCache>
                <c:formatCode>0.0%</c:formatCode>
                <c:ptCount val="5"/>
                <c:pt idx="0">
                  <c:v>0.83266211012670877</c:v>
                </c:pt>
                <c:pt idx="1">
                  <c:v>0.83114701626977761</c:v>
                </c:pt>
                <c:pt idx="2">
                  <c:v>0.84032379084761044</c:v>
                </c:pt>
                <c:pt idx="3">
                  <c:v>0.83189498470392853</c:v>
                </c:pt>
                <c:pt idx="4">
                  <c:v>0.68944188134814477</c:v>
                </c:pt>
              </c:numCache>
            </c:numRef>
          </c:val>
          <c:extLst xmlns:c16r2="http://schemas.microsoft.com/office/drawing/2015/06/chart">
            <c:ext xmlns:c16="http://schemas.microsoft.com/office/drawing/2014/chart" uri="{C3380CC4-5D6E-409C-BE32-E72D297353CC}">
              <c16:uniqueId val="{00000000-02BA-44F1-A564-B17EB9B1F51B}"/>
            </c:ext>
          </c:extLst>
        </c:ser>
        <c:ser>
          <c:idx val="1"/>
          <c:order val="1"/>
          <c:tx>
            <c:strRef>
              <c:f>'Garancite '!$A$18</c:f>
              <c:strCache>
                <c:ptCount val="1"/>
                <c:pt idx="0">
                  <c:v>Media Vizive</c:v>
                </c:pt>
              </c:strCache>
            </c:strRef>
          </c:tx>
          <c:spPr>
            <a:solidFill>
              <a:schemeClr val="accent1"/>
            </a:solidFill>
            <a:ln>
              <a:noFill/>
            </a:ln>
            <a:effectLst/>
          </c:spPr>
          <c:invertIfNegative val="0"/>
          <c:dLbls>
            <c:dLbl>
              <c:idx val="2"/>
              <c:layout>
                <c:manualLayout>
                  <c:x val="0"/>
                  <c:y val="4.179728317659352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2BA-44F1-A564-B17EB9B1F51B}"/>
                </c:ext>
                <c:ext xmlns:c15="http://schemas.microsoft.com/office/drawing/2012/chart" uri="{CE6537A1-D6FC-4f65-9D91-7224C49458BB}">
                  <c15:layout/>
                </c:ext>
              </c:extLst>
            </c:dLbl>
            <c:dLbl>
              <c:idx val="3"/>
              <c:layout>
                <c:manualLayout>
                  <c:x val="0"/>
                  <c:y val="1.25391849529780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2BA-44F1-A564-B17EB9B1F51B}"/>
                </c:ext>
                <c:ext xmlns:c15="http://schemas.microsoft.com/office/drawing/2012/chart" uri="{CE6537A1-D6FC-4f65-9D91-7224C49458BB}">
                  <c15:layout/>
                </c:ext>
              </c:extLst>
            </c:dLbl>
            <c:dLbl>
              <c:idx val="4"/>
              <c:layout>
                <c:manualLayout>
                  <c:x val="-1.3713412883072886E-16"/>
                  <c:y val="8.359456635318705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2BA-44F1-A564-B17EB9B1F51B}"/>
                </c:ext>
                <c:ext xmlns:c15="http://schemas.microsoft.com/office/drawing/2012/chart" uri="{CE6537A1-D6FC-4f65-9D91-7224C49458BB}">
                  <c15:layout/>
                </c:ext>
              </c:extLst>
            </c:dLbl>
            <c:dLbl>
              <c:idx val="5"/>
              <c:layout>
                <c:manualLayout>
                  <c:x val="1.8700324502165069E-3"/>
                  <c:y val="1.25391849529780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2BA-44F1-A564-B17EB9B1F51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'!$B$18:$F$18</c:f>
              <c:numCache>
                <c:formatCode>0.0%</c:formatCode>
                <c:ptCount val="5"/>
                <c:pt idx="0">
                  <c:v>4.6308088234610828E-2</c:v>
                </c:pt>
                <c:pt idx="1">
                  <c:v>4.5542790805710845E-2</c:v>
                </c:pt>
                <c:pt idx="2">
                  <c:v>4.0371644912797981E-2</c:v>
                </c:pt>
                <c:pt idx="3">
                  <c:v>3.5429221536443012E-2</c:v>
                </c:pt>
                <c:pt idx="4">
                  <c:v>2.6956295151914583E-2</c:v>
                </c:pt>
              </c:numCache>
            </c:numRef>
          </c:val>
          <c:extLst xmlns:c16r2="http://schemas.microsoft.com/office/drawing/2015/06/chart">
            <c:ext xmlns:c16="http://schemas.microsoft.com/office/drawing/2014/chart" uri="{C3380CC4-5D6E-409C-BE32-E72D297353CC}">
              <c16:uniqueId val="{00000005-02BA-44F1-A564-B17EB9B1F51B}"/>
            </c:ext>
          </c:extLst>
        </c:ser>
        <c:ser>
          <c:idx val="2"/>
          <c:order val="2"/>
          <c:tx>
            <c:strRef>
              <c:f>'Garancite '!$A$19</c:f>
              <c:strCache>
                <c:ptCount val="1"/>
                <c:pt idx="0">
                  <c:v>Ujesjellës Kanalizime</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'!$B$19:$F$19</c:f>
              <c:numCache>
                <c:formatCode>0.0%</c:formatCode>
                <c:ptCount val="5"/>
                <c:pt idx="0">
                  <c:v>7.2149463377601641E-2</c:v>
                </c:pt>
                <c:pt idx="1">
                  <c:v>7.5931517744006236E-2</c:v>
                </c:pt>
                <c:pt idx="2">
                  <c:v>7.7570636400784584E-2</c:v>
                </c:pt>
                <c:pt idx="3">
                  <c:v>9.755049456664068E-2</c:v>
                </c:pt>
                <c:pt idx="4">
                  <c:v>9.2003121184842981E-2</c:v>
                </c:pt>
              </c:numCache>
            </c:numRef>
          </c:val>
          <c:extLst xmlns:c16r2="http://schemas.microsoft.com/office/drawing/2015/06/chart">
            <c:ext xmlns:c16="http://schemas.microsoft.com/office/drawing/2014/chart" uri="{C3380CC4-5D6E-409C-BE32-E72D297353CC}">
              <c16:uniqueId val="{00000006-02BA-44F1-A564-B17EB9B1F51B}"/>
            </c:ext>
          </c:extLst>
        </c:ser>
        <c:ser>
          <c:idx val="3"/>
          <c:order val="3"/>
          <c:tx>
            <c:strRef>
              <c:f>'Garancite '!$A$20</c:f>
              <c:strCache>
                <c:ptCount val="1"/>
                <c:pt idx="0">
                  <c:v>Transporti</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'!$B$20:$F$20</c:f>
              <c:numCache>
                <c:formatCode>0.0%</c:formatCode>
                <c:ptCount val="5"/>
                <c:pt idx="0">
                  <c:v>2.8560321827801924E-2</c:v>
                </c:pt>
                <c:pt idx="1">
                  <c:v>2.6838656233575644E-2</c:v>
                </c:pt>
                <c:pt idx="2">
                  <c:v>2.1887568039031149E-2</c:v>
                </c:pt>
                <c:pt idx="3">
                  <c:v>1.6298815291693174E-2</c:v>
                </c:pt>
                <c:pt idx="4">
                  <c:v>1.0752990612201578E-2</c:v>
                </c:pt>
              </c:numCache>
            </c:numRef>
          </c:val>
          <c:extLst xmlns:c16r2="http://schemas.microsoft.com/office/drawing/2015/06/chart">
            <c:ext xmlns:c16="http://schemas.microsoft.com/office/drawing/2014/chart" uri="{C3380CC4-5D6E-409C-BE32-E72D297353CC}">
              <c16:uniqueId val="{00000007-02BA-44F1-A564-B17EB9B1F51B}"/>
            </c:ext>
          </c:extLst>
        </c:ser>
        <c:ser>
          <c:idx val="4"/>
          <c:order val="4"/>
          <c:tx>
            <c:strRef>
              <c:f>'Garancite '!$A$22</c:f>
              <c:strCache>
                <c:ptCount val="1"/>
                <c:pt idx="0">
                  <c:v>Të Tjera</c:v>
                </c:pt>
              </c:strCache>
            </c:strRef>
          </c:tx>
          <c:spPr>
            <a:solidFill>
              <a:schemeClr val="accent6">
                <a:lumMod val="75000"/>
              </a:schemeClr>
            </a:solidFill>
            <a:ln>
              <a:noFill/>
            </a:ln>
            <a:effectLst/>
          </c:spPr>
          <c:invertIfNegative val="0"/>
          <c:dLbls>
            <c:dLbl>
              <c:idx val="2"/>
              <c:layout>
                <c:manualLayout>
                  <c:x val="-6.8567064415364431E-17"/>
                  <c:y val="1.3348801619233333E-3"/>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02BA-44F1-A564-B17EB9B1F51B}"/>
                </c:ext>
                <c:ext xmlns:c15="http://schemas.microsoft.com/office/drawing/2012/chart" uri="{CE6537A1-D6FC-4f65-9D91-7224C49458BB}">
                  <c15:layout/>
                </c:ext>
              </c:extLst>
            </c:dLbl>
            <c:dLbl>
              <c:idx val="3"/>
              <c:layout>
                <c:manualLayout>
                  <c:x val="-1.3713412883072886E-16"/>
                  <c:y val="-2.6789754728934745E-3"/>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02BA-44F1-A564-B17EB9B1F51B}"/>
                </c:ext>
                <c:ext xmlns:c15="http://schemas.microsoft.com/office/drawing/2012/chart" uri="{CE6537A1-D6FC-4f65-9D91-7224C49458BB}">
                  <c15:layout/>
                </c:ext>
              </c:extLst>
            </c:dLbl>
            <c:dLbl>
              <c:idx val="4"/>
              <c:layout>
                <c:manualLayout>
                  <c:x val="0"/>
                  <c:y val="-2.2674644949175579E-2"/>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02BA-44F1-A564-B17EB9B1F51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'!$B$22:$F$22</c:f>
              <c:numCache>
                <c:formatCode>0.0%</c:formatCode>
                <c:ptCount val="5"/>
                <c:pt idx="0">
                  <c:v>2.0320016433276713E-2</c:v>
                </c:pt>
                <c:pt idx="1">
                  <c:v>2.0540018946929563E-2</c:v>
                </c:pt>
                <c:pt idx="2">
                  <c:v>1.9846359799775771E-2</c:v>
                </c:pt>
                <c:pt idx="3">
                  <c:v>1.8826483901294596E-2</c:v>
                </c:pt>
                <c:pt idx="4">
                  <c:v>1.5930032016571765E-2</c:v>
                </c:pt>
              </c:numCache>
            </c:numRef>
          </c:val>
          <c:extLst xmlns:c16r2="http://schemas.microsoft.com/office/drawing/2015/06/chart">
            <c:ext xmlns:c16="http://schemas.microsoft.com/office/drawing/2014/chart" uri="{C3380CC4-5D6E-409C-BE32-E72D297353CC}">
              <c16:uniqueId val="{0000000B-02BA-44F1-A564-B17EB9B1F51B}"/>
            </c:ext>
          </c:extLst>
        </c:ser>
        <c:ser>
          <c:idx val="5"/>
          <c:order val="5"/>
          <c:tx>
            <c:strRef>
              <c:f>'Garancite '!$A$21</c:f>
              <c:strCache>
                <c:ptCount val="1"/>
                <c:pt idx="0">
                  <c:v>Garancitë për Biznesin për Covid</c:v>
                </c:pt>
              </c:strCache>
            </c:strRef>
          </c:tx>
          <c:spPr>
            <a:solidFill>
              <a:schemeClr val="accent6"/>
            </a:solidFill>
            <a:ln>
              <a:noFill/>
            </a:ln>
            <a:effectLst/>
          </c:spPr>
          <c:invertIfNegative val="0"/>
          <c:dPt>
            <c:idx val="4"/>
            <c:invertIfNegative val="0"/>
            <c:bubble3D val="0"/>
            <c:spPr>
              <a:solidFill>
                <a:schemeClr val="accent3">
                  <a:lumMod val="60000"/>
                  <a:lumOff val="40000"/>
                </a:schemeClr>
              </a:solidFill>
              <a:ln>
                <a:noFill/>
              </a:ln>
              <a:effectLst/>
            </c:spPr>
            <c:extLst xmlns:c16r2="http://schemas.microsoft.com/office/drawing/2015/06/chart">
              <c:ext xmlns:c16="http://schemas.microsoft.com/office/drawing/2014/chart" uri="{C3380CC4-5D6E-409C-BE32-E72D297353CC}">
                <c16:uniqueId val="{0000000D-02BA-44F1-A564-B17EB9B1F51B}"/>
              </c:ext>
            </c:extLst>
          </c:dPt>
          <c:dLbls>
            <c:dLbl>
              <c:idx val="4"/>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02BA-44F1-A564-B17EB9B1F51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'Garancite '!$B$16:$F$16</c:f>
              <c:strCache>
                <c:ptCount val="5"/>
                <c:pt idx="0">
                  <c:v>2016</c:v>
                </c:pt>
                <c:pt idx="1">
                  <c:v>2017</c:v>
                </c:pt>
                <c:pt idx="2">
                  <c:v>2018</c:v>
                </c:pt>
                <c:pt idx="3">
                  <c:v>2019</c:v>
                </c:pt>
                <c:pt idx="4">
                  <c:v>Shtator 2020</c:v>
                </c:pt>
              </c:strCache>
            </c:strRef>
          </c:cat>
          <c:val>
            <c:numRef>
              <c:f>'Garancite '!$B$21:$F$21</c:f>
              <c:numCache>
                <c:formatCode>General</c:formatCode>
                <c:ptCount val="5"/>
                <c:pt idx="4" formatCode="0.0%">
                  <c:v>0.16491567968632423</c:v>
                </c:pt>
              </c:numCache>
            </c:numRef>
          </c:val>
          <c:extLst xmlns:c16r2="http://schemas.microsoft.com/office/drawing/2015/06/chart">
            <c:ext xmlns:c16="http://schemas.microsoft.com/office/drawing/2014/chart" uri="{C3380CC4-5D6E-409C-BE32-E72D297353CC}">
              <c16:uniqueId val="{0000000E-02BA-44F1-A564-B17EB9B1F51B}"/>
            </c:ext>
          </c:extLst>
        </c:ser>
        <c:dLbls>
          <c:showLegendKey val="0"/>
          <c:showVal val="0"/>
          <c:showCatName val="0"/>
          <c:showSerName val="0"/>
          <c:showPercent val="0"/>
          <c:showBubbleSize val="0"/>
        </c:dLbls>
        <c:gapWidth val="100"/>
        <c:overlap val="100"/>
        <c:axId val="217648128"/>
        <c:axId val="150018816"/>
      </c:barChart>
      <c:catAx>
        <c:axId val="2176481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50018816"/>
        <c:crosses val="autoZero"/>
        <c:auto val="1"/>
        <c:lblAlgn val="ctr"/>
        <c:lblOffset val="100"/>
        <c:noMultiLvlLbl val="0"/>
      </c:catAx>
      <c:valAx>
        <c:axId val="150018816"/>
        <c:scaling>
          <c:orientation val="minMax"/>
          <c:max val="1"/>
          <c:min val="0.5"/>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7648128"/>
        <c:crosses val="autoZero"/>
        <c:crossBetween val="between"/>
        <c:majorUnit val="0.1"/>
      </c:valAx>
      <c:spPr>
        <a:noFill/>
        <a:ln>
          <a:noFill/>
        </a:ln>
        <a:effectLst/>
      </c:spPr>
    </c:plotArea>
    <c:legend>
      <c:legendPos val="b"/>
      <c:layout>
        <c:manualLayout>
          <c:xMode val="edge"/>
          <c:yMode val="edge"/>
          <c:x val="0"/>
          <c:y val="0.84278972844884814"/>
          <c:w val="0.99650547608250539"/>
          <c:h val="0.1572102715511518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767332858634111"/>
          <c:y val="6.2875107173478134E-2"/>
          <c:w val="0.85711564917423055"/>
          <c:h val="0.64571654893524133"/>
        </c:manualLayout>
      </c:layout>
      <c:barChart>
        <c:barDir val="col"/>
        <c:grouping val="stacked"/>
        <c:varyColors val="0"/>
        <c:ser>
          <c:idx val="0"/>
          <c:order val="0"/>
          <c:tx>
            <c:strRef>
              <c:f>'Garancite '!$A$30</c:f>
              <c:strCache>
                <c:ptCount val="1"/>
                <c:pt idx="0">
                  <c:v>Garanci të brendshme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'!$B$26:$F$26</c:f>
              <c:strCache>
                <c:ptCount val="5"/>
                <c:pt idx="0">
                  <c:v>2016</c:v>
                </c:pt>
                <c:pt idx="1">
                  <c:v>2017</c:v>
                </c:pt>
                <c:pt idx="2">
                  <c:v>2018</c:v>
                </c:pt>
                <c:pt idx="3">
                  <c:v>2019</c:v>
                </c:pt>
                <c:pt idx="4">
                  <c:v>Shtator 2020</c:v>
                </c:pt>
              </c:strCache>
            </c:strRef>
          </c:cat>
          <c:val>
            <c:numRef>
              <c:f>'Garancite '!$B$30:$F$30</c:f>
              <c:numCache>
                <c:formatCode>0.0%</c:formatCode>
                <c:ptCount val="5"/>
                <c:pt idx="0">
                  <c:v>0.56643225854716839</c:v>
                </c:pt>
                <c:pt idx="1">
                  <c:v>0.60372585014932323</c:v>
                </c:pt>
                <c:pt idx="2">
                  <c:v>0.34065539673485801</c:v>
                </c:pt>
                <c:pt idx="3">
                  <c:v>0.36208871464582637</c:v>
                </c:pt>
                <c:pt idx="4">
                  <c:v>0.35064846150078233</c:v>
                </c:pt>
              </c:numCache>
            </c:numRef>
          </c:val>
          <c:extLst xmlns:c16r2="http://schemas.microsoft.com/office/drawing/2015/06/chart">
            <c:ext xmlns:c16="http://schemas.microsoft.com/office/drawing/2014/chart" uri="{C3380CC4-5D6E-409C-BE32-E72D297353CC}">
              <c16:uniqueId val="{00000000-9E62-45DE-B43C-C1B9D76A0757}"/>
            </c:ext>
          </c:extLst>
        </c:ser>
        <c:ser>
          <c:idx val="1"/>
          <c:order val="1"/>
          <c:tx>
            <c:strRef>
              <c:f>'Garancite '!$A$31</c:f>
              <c:strCache>
                <c:ptCount val="1"/>
                <c:pt idx="0">
                  <c:v>Garanci të huaja</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'Garancite '!$B$26:$F$26</c:f>
              <c:strCache>
                <c:ptCount val="5"/>
                <c:pt idx="0">
                  <c:v>2016</c:v>
                </c:pt>
                <c:pt idx="1">
                  <c:v>2017</c:v>
                </c:pt>
                <c:pt idx="2">
                  <c:v>2018</c:v>
                </c:pt>
                <c:pt idx="3">
                  <c:v>2019</c:v>
                </c:pt>
                <c:pt idx="4">
                  <c:v>Shtator 2020</c:v>
                </c:pt>
              </c:strCache>
            </c:strRef>
          </c:cat>
          <c:val>
            <c:numRef>
              <c:f>'Garancite '!$B$31:$F$31</c:f>
              <c:numCache>
                <c:formatCode>0.0%</c:formatCode>
                <c:ptCount val="5"/>
                <c:pt idx="0">
                  <c:v>0.43356774145283161</c:v>
                </c:pt>
                <c:pt idx="1">
                  <c:v>0.39627414985067683</c:v>
                </c:pt>
                <c:pt idx="2">
                  <c:v>0.65934460326514188</c:v>
                </c:pt>
                <c:pt idx="3">
                  <c:v>0.63791128535417363</c:v>
                </c:pt>
                <c:pt idx="4">
                  <c:v>0.64935153849921756</c:v>
                </c:pt>
              </c:numCache>
            </c:numRef>
          </c:val>
          <c:extLst xmlns:c16r2="http://schemas.microsoft.com/office/drawing/2015/06/chart">
            <c:ext xmlns:c16="http://schemas.microsoft.com/office/drawing/2014/chart" uri="{C3380CC4-5D6E-409C-BE32-E72D297353CC}">
              <c16:uniqueId val="{00000001-9E62-45DE-B43C-C1B9D76A0757}"/>
            </c:ext>
          </c:extLst>
        </c:ser>
        <c:dLbls>
          <c:showLegendKey val="0"/>
          <c:showVal val="0"/>
          <c:showCatName val="0"/>
          <c:showSerName val="0"/>
          <c:showPercent val="0"/>
          <c:showBubbleSize val="0"/>
        </c:dLbls>
        <c:gapWidth val="100"/>
        <c:overlap val="100"/>
        <c:axId val="218614784"/>
        <c:axId val="219239488"/>
      </c:barChart>
      <c:catAx>
        <c:axId val="218614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9239488"/>
        <c:crosses val="autoZero"/>
        <c:auto val="1"/>
        <c:lblAlgn val="ctr"/>
        <c:lblOffset val="100"/>
        <c:noMultiLvlLbl val="0"/>
      </c:catAx>
      <c:valAx>
        <c:axId val="219239488"/>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18614784"/>
        <c:crosses val="autoZero"/>
        <c:crossBetween val="between"/>
        <c:majorUnit val="0.2"/>
      </c:valAx>
      <c:spPr>
        <a:noFill/>
        <a:ln>
          <a:noFill/>
        </a:ln>
        <a:effectLst/>
      </c:spPr>
    </c:plotArea>
    <c:legend>
      <c:legendPos val="b"/>
      <c:layout>
        <c:manualLayout>
          <c:xMode val="edge"/>
          <c:yMode val="edge"/>
          <c:x val="8.1685089729247526E-2"/>
          <c:y val="0.86924768156481158"/>
          <c:w val="0.882312421088981"/>
          <c:h val="9.6456805431473114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15911853300216"/>
          <c:y val="4.1666666666666664E-2"/>
          <c:w val="0.81095654318377985"/>
          <c:h val="0.73577136191309422"/>
        </c:manualLayout>
      </c:layout>
      <c:barChart>
        <c:barDir val="col"/>
        <c:grouping val="clustered"/>
        <c:varyColors val="0"/>
        <c:ser>
          <c:idx val="0"/>
          <c:order val="0"/>
          <c:tx>
            <c:strRef>
              <c:f>'Sherbimi i Borxhit'!$A$21</c:f>
              <c:strCache>
                <c:ptCount val="1"/>
                <c:pt idx="0">
                  <c:v>Borxhi Shtetëror</c:v>
                </c:pt>
              </c:strCache>
            </c:strRef>
          </c:tx>
          <c:spPr>
            <a:solidFill>
              <a:schemeClr val="accent1"/>
            </a:solidFill>
            <a:ln>
              <a:noFill/>
            </a:ln>
            <a:effectLst/>
          </c:spPr>
          <c:invertIfNegative val="0"/>
          <c:dPt>
            <c:idx val="4"/>
            <c:invertIfNegative val="0"/>
            <c:bubble3D val="0"/>
            <c:spPr>
              <a:pattFill prst="wdUpDiag">
                <a:fgClr>
                  <a:srgbClr val="5B9BD5"/>
                </a:fgClr>
                <a:bgClr>
                  <a:sysClr val="window" lastClr="FFFFFF"/>
                </a:bgClr>
              </a:pattFill>
              <a:ln>
                <a:noFill/>
              </a:ln>
              <a:effectLst/>
            </c:spPr>
            <c:extLst xmlns:c16r2="http://schemas.microsoft.com/office/drawing/2015/06/chart">
              <c:ext xmlns:c16="http://schemas.microsoft.com/office/drawing/2014/chart" uri="{C3380CC4-5D6E-409C-BE32-E72D297353CC}">
                <c16:uniqueId val="{00000014-63A5-4E38-9DA0-7ECB8576CA7A}"/>
              </c:ext>
            </c:extLst>
          </c:dPt>
          <c:dLbls>
            <c:dLbl>
              <c:idx val="4"/>
              <c:layout>
                <c:manualLayout>
                  <c:x val="8.1734975435762832E-4"/>
                  <c:y val="0.27021350265414862"/>
                </c:manualLayout>
              </c:layout>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63A5-4E38-9DA0-7ECB8576CA7A}"/>
                </c:ext>
                <c:ext xmlns:c15="http://schemas.microsoft.com/office/drawing/2012/chart" uri="{CE6537A1-D6FC-4f65-9D91-7224C49458BB}">
                  <c15:layout/>
                </c:ext>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'Sherbimi i Borxhit'!$B$20:$F$20</c:f>
              <c:strCache>
                <c:ptCount val="5"/>
                <c:pt idx="0">
                  <c:v>2016</c:v>
                </c:pt>
                <c:pt idx="1">
                  <c:v>2017</c:v>
                </c:pt>
                <c:pt idx="2">
                  <c:v>2018</c:v>
                </c:pt>
                <c:pt idx="3">
                  <c:v>2019</c:v>
                </c:pt>
                <c:pt idx="4">
                  <c:v>Prsh 2020</c:v>
                </c:pt>
              </c:strCache>
            </c:strRef>
          </c:cat>
          <c:val>
            <c:numRef>
              <c:f>'Sherbimi i Borxhit'!$B$21:$F$21</c:f>
              <c:numCache>
                <c:formatCode>_-* #,##0.0_L_e_k_-;\-* #,##0.0_L_e_k_-;_-* "-"??_L_e_k_-;_-@_-</c:formatCode>
                <c:ptCount val="5"/>
                <c:pt idx="0">
                  <c:v>1012.241</c:v>
                </c:pt>
                <c:pt idx="1">
                  <c:v>1037.4566964684852</c:v>
                </c:pt>
                <c:pt idx="2">
                  <c:v>1061.8967513634955</c:v>
                </c:pt>
                <c:pt idx="3">
                  <c:v>1070.1914054458098</c:v>
                </c:pt>
                <c:pt idx="4">
                  <c:v>1202.6852514458099</c:v>
                </c:pt>
              </c:numCache>
            </c:numRef>
          </c:val>
          <c:extLst xmlns:c16r2="http://schemas.microsoft.com/office/drawing/2015/06/chart">
            <c:ext xmlns:c16="http://schemas.microsoft.com/office/drawing/2014/chart" uri="{C3380CC4-5D6E-409C-BE32-E72D297353CC}">
              <c16:uniqueId val="{00000000-63A5-4E38-9DA0-7ECB8576CA7A}"/>
            </c:ext>
          </c:extLst>
        </c:ser>
        <c:ser>
          <c:idx val="1"/>
          <c:order val="1"/>
          <c:tx>
            <c:strRef>
              <c:f>'Sherbimi i Borxhit'!$A$22</c:f>
              <c:strCache>
                <c:ptCount val="1"/>
                <c:pt idx="0">
                  <c:v>Interesa</c:v>
                </c:pt>
              </c:strCache>
            </c:strRef>
          </c:tx>
          <c:spPr>
            <a:solidFill>
              <a:srgbClr val="C00000"/>
            </a:solidFill>
            <a:ln>
              <a:noFill/>
            </a:ln>
            <a:effectLst/>
          </c:spPr>
          <c:invertIfNegative val="0"/>
          <c:dPt>
            <c:idx val="4"/>
            <c:invertIfNegative val="0"/>
            <c:bubble3D val="0"/>
            <c:spPr>
              <a:pattFill prst="wdUpDiag">
                <a:fgClr>
                  <a:srgbClr val="C00000"/>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5-63A5-4E38-9DA0-7ECB8576CA7A}"/>
              </c:ext>
            </c:extLst>
          </c:dPt>
          <c:dLbls>
            <c:dLbl>
              <c:idx val="0"/>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3A5-4E38-9DA0-7ECB8576CA7A}"/>
                </c:ext>
                <c:ext xmlns:c15="http://schemas.microsoft.com/office/drawing/2012/chart" uri="{CE6537A1-D6FC-4f65-9D91-7224C49458BB}">
                  <c15:layout/>
                </c:ext>
              </c:extLst>
            </c:dLbl>
            <c:dLbl>
              <c:idx val="1"/>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3A5-4E38-9DA0-7ECB8576CA7A}"/>
                </c:ext>
                <c:ext xmlns:c15="http://schemas.microsoft.com/office/drawing/2012/chart" uri="{CE6537A1-D6FC-4f65-9D91-7224C49458BB}">
                  <c15:layout/>
                </c:ext>
              </c:extLst>
            </c:dLbl>
            <c:dLbl>
              <c:idx val="2"/>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3A5-4E38-9DA0-7ECB8576CA7A}"/>
                </c:ext>
                <c:ext xmlns:c15="http://schemas.microsoft.com/office/drawing/2012/chart" uri="{CE6537A1-D6FC-4f65-9D91-7224C49458BB}">
                  <c15:layout/>
                </c:ext>
              </c:extLst>
            </c:dLbl>
            <c:dLbl>
              <c:idx val="3"/>
              <c:layout>
                <c:manualLayout>
                  <c:x val="-1.2437809727170277E-3"/>
                  <c:y val="2.4577569001041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3A5-4E38-9DA0-7ECB8576CA7A}"/>
                </c:ext>
                <c:ext xmlns:c15="http://schemas.microsoft.com/office/drawing/2012/chart" uri="{CE6537A1-D6FC-4f65-9D91-7224C49458BB}">
                  <c15:layout/>
                </c:ext>
              </c:extLst>
            </c:dLbl>
            <c:dLbl>
              <c:idx val="4"/>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3A5-4E38-9DA0-7ECB8576CA7A}"/>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Borxhit'!$B$20:$F$20</c:f>
              <c:strCache>
                <c:ptCount val="5"/>
                <c:pt idx="0">
                  <c:v>2016</c:v>
                </c:pt>
                <c:pt idx="1">
                  <c:v>2017</c:v>
                </c:pt>
                <c:pt idx="2">
                  <c:v>2018</c:v>
                </c:pt>
                <c:pt idx="3">
                  <c:v>2019</c:v>
                </c:pt>
                <c:pt idx="4">
                  <c:v>Prsh 2020</c:v>
                </c:pt>
              </c:strCache>
            </c:strRef>
          </c:cat>
          <c:val>
            <c:numRef>
              <c:f>'Sherbimi i Borxhit'!$B$22:$F$22</c:f>
              <c:numCache>
                <c:formatCode>_(* #,##0.00_);_(* \(#,##0.00\);_(* "-"??_);_(@_)</c:formatCode>
                <c:ptCount val="5"/>
                <c:pt idx="0">
                  <c:v>36.259449999999994</c:v>
                </c:pt>
                <c:pt idx="1">
                  <c:v>31.903782</c:v>
                </c:pt>
                <c:pt idx="2">
                  <c:v>36.513370000000002</c:v>
                </c:pt>
                <c:pt idx="3">
                  <c:v>35.142821032270191</c:v>
                </c:pt>
                <c:pt idx="4">
                  <c:v>36.200000000000003</c:v>
                </c:pt>
              </c:numCache>
            </c:numRef>
          </c:val>
          <c:extLst xmlns:c16r2="http://schemas.microsoft.com/office/drawing/2015/06/chart">
            <c:ext xmlns:c16="http://schemas.microsoft.com/office/drawing/2014/chart" uri="{C3380CC4-5D6E-409C-BE32-E72D297353CC}">
              <c16:uniqueId val="{00000006-63A5-4E38-9DA0-7ECB8576CA7A}"/>
            </c:ext>
          </c:extLst>
        </c:ser>
        <c:dLbls>
          <c:showLegendKey val="0"/>
          <c:showVal val="0"/>
          <c:showCatName val="0"/>
          <c:showSerName val="0"/>
          <c:showPercent val="0"/>
          <c:showBubbleSize val="0"/>
        </c:dLbls>
        <c:gapWidth val="219"/>
        <c:overlap val="-27"/>
        <c:axId val="219325440"/>
        <c:axId val="223470720"/>
      </c:barChart>
      <c:lineChart>
        <c:grouping val="standard"/>
        <c:varyColors val="0"/>
        <c:ser>
          <c:idx val="2"/>
          <c:order val="2"/>
          <c:tx>
            <c:strRef>
              <c:f>'Sherbimi i Borxhit'!$A$23</c:f>
              <c:strCache>
                <c:ptCount val="1"/>
                <c:pt idx="0">
                  <c:v>Interesa/PBB</c:v>
                </c:pt>
              </c:strCache>
            </c:strRef>
          </c:tx>
          <c:spPr>
            <a:ln w="22225" cap="rnd">
              <a:solidFill>
                <a:sysClr val="window" lastClr="FFFFFF">
                  <a:lumMod val="50000"/>
                </a:sysClr>
              </a:solidFill>
              <a:round/>
            </a:ln>
            <a:effectLst/>
          </c:spPr>
          <c:marker>
            <c:symbol val="square"/>
            <c:size val="5"/>
            <c:spPr>
              <a:solidFill>
                <a:schemeClr val="bg1">
                  <a:lumMod val="50000"/>
                </a:schemeClr>
              </a:solidFill>
              <a:ln w="9525">
                <a:noFill/>
              </a:ln>
              <a:effectLst/>
            </c:spPr>
          </c:marker>
          <c:dPt>
            <c:idx val="4"/>
            <c:bubble3D val="0"/>
            <c:spPr>
              <a:ln w="22225" cap="rnd">
                <a:solidFill>
                  <a:sysClr val="window" lastClr="FFFFFF">
                    <a:lumMod val="50000"/>
                  </a:sysClr>
                </a:solidFill>
                <a:prstDash val="dash"/>
                <a:round/>
              </a:ln>
              <a:effectLst/>
            </c:spPr>
            <c:extLst xmlns:c16r2="http://schemas.microsoft.com/office/drawing/2015/06/chart">
              <c:ext xmlns:c16="http://schemas.microsoft.com/office/drawing/2014/chart" uri="{C3380CC4-5D6E-409C-BE32-E72D297353CC}">
                <c16:uniqueId val="{0000000B-63A5-4E38-9DA0-7ECB8576CA7A}"/>
              </c:ext>
            </c:extLst>
          </c:dPt>
          <c:dLbls>
            <c:dLbl>
              <c:idx val="0"/>
              <c:layout>
                <c:manualLayout>
                  <c:x val="-2.0047594698985906E-2"/>
                  <c:y val="-4.62961409991264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3A5-4E38-9DA0-7ECB8576CA7A}"/>
                </c:ext>
                <c:ext xmlns:c15="http://schemas.microsoft.com/office/drawing/2012/chart" uri="{CE6537A1-D6FC-4f65-9D91-7224C49458BB}">
                  <c15:layout/>
                </c:ext>
              </c:extLst>
            </c:dLbl>
            <c:dLbl>
              <c:idx val="1"/>
              <c:layout>
                <c:manualLayout>
                  <c:x val="-1.6076407717670774E-2"/>
                  <c:y val="-4.45589390747222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3A5-4E38-9DA0-7ECB8576CA7A}"/>
                </c:ext>
                <c:ext xmlns:c15="http://schemas.microsoft.com/office/drawing/2012/chart" uri="{CE6537A1-D6FC-4f65-9D91-7224C49458BB}">
                  <c15:layout/>
                </c:ext>
              </c:extLst>
            </c:dLbl>
            <c:dLbl>
              <c:idx val="2"/>
              <c:layout>
                <c:manualLayout>
                  <c:x val="-2.3285911294986514E-2"/>
                  <c:y val="-5.29497409530555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3A5-4E38-9DA0-7ECB8576CA7A}"/>
                </c:ext>
                <c:ext xmlns:c15="http://schemas.microsoft.com/office/drawing/2012/chart" uri="{CE6537A1-D6FC-4f65-9D91-7224C49458BB}">
                  <c15:layout/>
                </c:ext>
              </c:extLst>
            </c:dLbl>
            <c:dLbl>
              <c:idx val="3"/>
              <c:layout>
                <c:manualLayout>
                  <c:x val="-2.0427388605458084E-2"/>
                  <c:y val="-5.73144393540420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3A5-4E38-9DA0-7ECB8576CA7A}"/>
                </c:ext>
                <c:ext xmlns:c15="http://schemas.microsoft.com/office/drawing/2012/chart" uri="{CE6537A1-D6FC-4f65-9D91-7224C49458BB}">
                  <c15:layout/>
                </c:ext>
              </c:extLst>
            </c:dLbl>
            <c:dLbl>
              <c:idx val="4"/>
              <c:layout>
                <c:manualLayout>
                  <c:x val="-1.4925371672604333E-2"/>
                  <c:y val="-7.05111747303886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3A5-4E38-9DA0-7ECB8576CA7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Borxhit'!$B$20:$F$20</c:f>
              <c:strCache>
                <c:ptCount val="5"/>
                <c:pt idx="0">
                  <c:v>2016</c:v>
                </c:pt>
                <c:pt idx="1">
                  <c:v>2017</c:v>
                </c:pt>
                <c:pt idx="2">
                  <c:v>2018</c:v>
                </c:pt>
                <c:pt idx="3">
                  <c:v>2019</c:v>
                </c:pt>
                <c:pt idx="4">
                  <c:v>Prsh 2020</c:v>
                </c:pt>
              </c:strCache>
            </c:strRef>
          </c:cat>
          <c:val>
            <c:numRef>
              <c:f>'Sherbimi i Borxhit'!$B$23:$F$23</c:f>
              <c:numCache>
                <c:formatCode>0.00%</c:formatCode>
                <c:ptCount val="5"/>
                <c:pt idx="0">
                  <c:v>2.4624748723242419E-2</c:v>
                </c:pt>
                <c:pt idx="1">
                  <c:v>2.0574536773108464E-2</c:v>
                </c:pt>
                <c:pt idx="2">
                  <c:v>2.2322574531626845E-2</c:v>
                </c:pt>
                <c:pt idx="3">
                  <c:v>2.0937897322304892E-2</c:v>
                </c:pt>
                <c:pt idx="4">
                  <c:v>2.2897485160942053E-2</c:v>
                </c:pt>
              </c:numCache>
            </c:numRef>
          </c:val>
          <c:smooth val="1"/>
          <c:extLst xmlns:c16r2="http://schemas.microsoft.com/office/drawing/2015/06/chart">
            <c:ext xmlns:c16="http://schemas.microsoft.com/office/drawing/2014/chart" uri="{C3380CC4-5D6E-409C-BE32-E72D297353CC}">
              <c16:uniqueId val="{0000000C-63A5-4E38-9DA0-7ECB8576CA7A}"/>
            </c:ext>
          </c:extLst>
        </c:ser>
        <c:ser>
          <c:idx val="3"/>
          <c:order val="3"/>
          <c:tx>
            <c:strRef>
              <c:f>'Sherbimi i Borxhit'!$A$24</c:f>
              <c:strCache>
                <c:ptCount val="1"/>
                <c:pt idx="0">
                  <c:v>Interesa/Të Ardhura Tatimore</c:v>
                </c:pt>
              </c:strCache>
            </c:strRef>
          </c:tx>
          <c:spPr>
            <a:ln w="22225" cap="rnd">
              <a:solidFill>
                <a:srgbClr val="C00000"/>
              </a:solidFill>
              <a:round/>
            </a:ln>
            <a:effectLst/>
          </c:spPr>
          <c:marker>
            <c:symbol val="diamond"/>
            <c:size val="5"/>
            <c:spPr>
              <a:solidFill>
                <a:srgbClr val="C00000"/>
              </a:solidFill>
              <a:ln w="9525">
                <a:noFill/>
              </a:ln>
              <a:effectLst/>
            </c:spPr>
          </c:marker>
          <c:dPt>
            <c:idx val="4"/>
            <c:bubble3D val="0"/>
            <c:spPr>
              <a:ln w="22225" cap="rnd">
                <a:solidFill>
                  <a:srgbClr val="C00000"/>
                </a:solidFill>
                <a:prstDash val="dash"/>
                <a:round/>
              </a:ln>
              <a:effectLst/>
            </c:spPr>
            <c:extLst xmlns:c16r2="http://schemas.microsoft.com/office/drawing/2015/06/chart">
              <c:ext xmlns:c16="http://schemas.microsoft.com/office/drawing/2014/chart" uri="{C3380CC4-5D6E-409C-BE32-E72D297353CC}">
                <c16:uniqueId val="{00000011-63A5-4E38-9DA0-7ECB8576CA7A}"/>
              </c:ext>
            </c:extLst>
          </c:dPt>
          <c:dLbls>
            <c:dLbl>
              <c:idx val="0"/>
              <c:layout>
                <c:manualLayout>
                  <c:x val="-6.626173384870278E-3"/>
                  <c:y val="-4.87825292006167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63A5-4E38-9DA0-7ECB8576CA7A}"/>
                </c:ext>
                <c:ext xmlns:c15="http://schemas.microsoft.com/office/drawing/2012/chart" uri="{CE6537A1-D6FC-4f65-9D91-7224C49458BB}">
                  <c15:layout/>
                </c:ext>
              </c:extLst>
            </c:dLbl>
            <c:dLbl>
              <c:idx val="1"/>
              <c:layout>
                <c:manualLayout>
                  <c:x val="-1.5041587498967418E-2"/>
                  <c:y val="-7.40909758947009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63A5-4E38-9DA0-7ECB8576CA7A}"/>
                </c:ext>
                <c:ext xmlns:c15="http://schemas.microsoft.com/office/drawing/2012/chart" uri="{CE6537A1-D6FC-4f65-9D91-7224C49458BB}">
                  <c15:layout/>
                </c:ext>
              </c:extLst>
            </c:dLbl>
            <c:dLbl>
              <c:idx val="2"/>
              <c:layout>
                <c:manualLayout>
                  <c:x val="0"/>
                  <c:y val="-5.16431924882629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63A5-4E38-9DA0-7ECB8576CA7A}"/>
                </c:ext>
                <c:ext xmlns:c15="http://schemas.microsoft.com/office/drawing/2012/chart" uri="{CE6537A1-D6FC-4f65-9D91-7224C49458BB}">
                  <c15:layout/>
                </c:ext>
              </c:extLst>
            </c:dLbl>
            <c:dLbl>
              <c:idx val="3"/>
              <c:layout>
                <c:manualLayout>
                  <c:x val="-5.9969996113755373E-3"/>
                  <c:y val="-5.63380281690140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63A5-4E38-9DA0-7ECB8576CA7A}"/>
                </c:ext>
                <c:ext xmlns:c15="http://schemas.microsoft.com/office/drawing/2012/chart" uri="{CE6537A1-D6FC-4f65-9D91-7224C49458BB}">
                  <c15:layout/>
                </c:ext>
              </c:extLst>
            </c:dLbl>
            <c:dLbl>
              <c:idx val="4"/>
              <c:layout>
                <c:manualLayout>
                  <c:x val="-7.9959994818340485E-3"/>
                  <c:y val="-5.63380281690141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63A5-4E38-9DA0-7ECB8576CA7A}"/>
                </c:ex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Borxhit'!$B$20:$F$20</c:f>
              <c:strCache>
                <c:ptCount val="5"/>
                <c:pt idx="0">
                  <c:v>2016</c:v>
                </c:pt>
                <c:pt idx="1">
                  <c:v>2017</c:v>
                </c:pt>
                <c:pt idx="2">
                  <c:v>2018</c:v>
                </c:pt>
                <c:pt idx="3">
                  <c:v>2019</c:v>
                </c:pt>
                <c:pt idx="4">
                  <c:v>Prsh 2020</c:v>
                </c:pt>
              </c:strCache>
            </c:strRef>
          </c:cat>
          <c:val>
            <c:numRef>
              <c:f>'Sherbimi i Borxhit'!$B$24:$F$24</c:f>
              <c:numCache>
                <c:formatCode>0.00%</c:formatCode>
                <c:ptCount val="5"/>
                <c:pt idx="0">
                  <c:v>9.8029247007169806E-2</c:v>
                </c:pt>
                <c:pt idx="1">
                  <c:v>8.0033770749243033E-2</c:v>
                </c:pt>
                <c:pt idx="2">
                  <c:v>8.7074878437900197E-2</c:v>
                </c:pt>
                <c:pt idx="3">
                  <c:v>8.2442439275179857E-2</c:v>
                </c:pt>
                <c:pt idx="4">
                  <c:v>8.8715705375632586E-2</c:v>
                </c:pt>
              </c:numCache>
            </c:numRef>
          </c:val>
          <c:smooth val="1"/>
          <c:extLst xmlns:c16r2="http://schemas.microsoft.com/office/drawing/2015/06/chart">
            <c:ext xmlns:c16="http://schemas.microsoft.com/office/drawing/2014/chart" uri="{C3380CC4-5D6E-409C-BE32-E72D297353CC}">
              <c16:uniqueId val="{00000012-63A5-4E38-9DA0-7ECB8576CA7A}"/>
            </c:ext>
          </c:extLst>
        </c:ser>
        <c:dLbls>
          <c:showLegendKey val="0"/>
          <c:showVal val="0"/>
          <c:showCatName val="0"/>
          <c:showSerName val="0"/>
          <c:showPercent val="0"/>
          <c:showBubbleSize val="0"/>
        </c:dLbls>
        <c:marker val="1"/>
        <c:smooth val="0"/>
        <c:axId val="219325952"/>
        <c:axId val="223471296"/>
      </c:lineChart>
      <c:catAx>
        <c:axId val="2193254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470720"/>
        <c:crosses val="autoZero"/>
        <c:auto val="1"/>
        <c:lblAlgn val="ctr"/>
        <c:lblOffset val="100"/>
        <c:noMultiLvlLbl val="0"/>
      </c:catAx>
      <c:valAx>
        <c:axId val="223470720"/>
        <c:scaling>
          <c:orientation val="minMax"/>
          <c:max val="100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2.7599771182448347E-2"/>
              <c:y val="0.18484133646533665"/>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9325440"/>
        <c:crosses val="autoZero"/>
        <c:crossBetween val="between"/>
        <c:majorUnit val="250"/>
      </c:valAx>
      <c:valAx>
        <c:axId val="223471296"/>
        <c:scaling>
          <c:orientation val="minMax"/>
          <c:max val="0.12000000000000001"/>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9325952"/>
        <c:crosses val="max"/>
        <c:crossBetween val="between"/>
        <c:majorUnit val="3.0000000000000006E-2"/>
      </c:valAx>
      <c:catAx>
        <c:axId val="219325952"/>
        <c:scaling>
          <c:orientation val="minMax"/>
        </c:scaling>
        <c:delete val="1"/>
        <c:axPos val="b"/>
        <c:numFmt formatCode="General" sourceLinked="1"/>
        <c:majorTickMark val="none"/>
        <c:minorTickMark val="none"/>
        <c:tickLblPos val="nextTo"/>
        <c:crossAx val="223471296"/>
        <c:crosses val="autoZero"/>
        <c:auto val="1"/>
        <c:lblAlgn val="ctr"/>
        <c:lblOffset val="100"/>
        <c:noMultiLvlLbl val="0"/>
      </c:catAx>
      <c:spPr>
        <a:noFill/>
        <a:ln>
          <a:noFill/>
        </a:ln>
        <a:effectLst/>
      </c:spPr>
    </c:plotArea>
    <c:legend>
      <c:legendPos val="b"/>
      <c:layout>
        <c:manualLayout>
          <c:xMode val="edge"/>
          <c:yMode val="edge"/>
          <c:x val="0.11193805101285416"/>
          <c:y val="0.9066143226876775"/>
          <c:w val="0.82487738024613511"/>
          <c:h val="7.922590662082733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14382604811259"/>
          <c:y val="0.16096576076601113"/>
          <c:w val="0.86204032126484942"/>
          <c:h val="0.57881335550187696"/>
        </c:manualLayout>
      </c:layout>
      <c:lineChart>
        <c:grouping val="standard"/>
        <c:varyColors val="0"/>
        <c:ser>
          <c:idx val="0"/>
          <c:order val="0"/>
          <c:tx>
            <c:strRef>
              <c:f>'Sherbimi i Borxhit'!$A$51</c:f>
              <c:strCache>
                <c:ptCount val="1"/>
                <c:pt idx="0">
                  <c:v>Kosto Mesatare e Borxhit të Jashtëm</c:v>
                </c:pt>
              </c:strCache>
            </c:strRef>
          </c:tx>
          <c:spPr>
            <a:ln w="22225" cap="rnd">
              <a:solidFill>
                <a:schemeClr val="accent1"/>
              </a:solidFill>
              <a:round/>
            </a:ln>
            <a:effectLst/>
          </c:spPr>
          <c:marker>
            <c:symbol val="diamond"/>
            <c:size val="5"/>
            <c:spPr>
              <a:solidFill>
                <a:schemeClr val="accent1"/>
              </a:solidFill>
              <a:ln w="9525">
                <a:solidFill>
                  <a:schemeClr val="accent1"/>
                </a:solidFill>
              </a:ln>
              <a:effectLst/>
            </c:spPr>
          </c:marker>
          <c:dPt>
            <c:idx val="4"/>
            <c:bubble3D val="0"/>
            <c:spPr>
              <a:ln w="22225" cap="rnd">
                <a:solidFill>
                  <a:srgbClr val="5B9BD5"/>
                </a:solidFill>
                <a:prstDash val="dash"/>
                <a:round/>
              </a:ln>
              <a:effectLst/>
            </c:spPr>
            <c:extLst xmlns:c16r2="http://schemas.microsoft.com/office/drawing/2015/06/chart">
              <c:ext xmlns:c16="http://schemas.microsoft.com/office/drawing/2014/chart" uri="{C3380CC4-5D6E-409C-BE32-E72D297353CC}">
                <c16:uniqueId val="{00000004-A39C-4A53-BBCD-F28EF311EB01}"/>
              </c:ext>
            </c:extLst>
          </c:dPt>
          <c:dLbls>
            <c:dLbl>
              <c:idx val="0"/>
              <c:layout>
                <c:manualLayout>
                  <c:x val="-4.9066666666666668E-2"/>
                  <c:y val="3.21931521532022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39C-4A53-BBCD-F28EF311EB01}"/>
                </c:ext>
                <c:ext xmlns:c15="http://schemas.microsoft.com/office/drawing/2012/chart" uri="{CE6537A1-D6FC-4f65-9D91-7224C49458BB}">
                  <c15:layout/>
                </c:ext>
              </c:extLst>
            </c:dLbl>
            <c:dLbl>
              <c:idx val="1"/>
              <c:layout>
                <c:manualLayout>
                  <c:x val="-4.48E-2"/>
                  <c:y val="5.90207789475374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39C-4A53-BBCD-F28EF311EB01}"/>
                </c:ext>
                <c:ext xmlns:c15="http://schemas.microsoft.com/office/drawing/2012/chart" uri="{CE6537A1-D6FC-4f65-9D91-7224C49458BB}">
                  <c15:layout/>
                </c:ext>
              </c:extLst>
            </c:dLbl>
            <c:dLbl>
              <c:idx val="2"/>
              <c:layout>
                <c:manualLayout>
                  <c:x val="-4.48E-2"/>
                  <c:y val="6.43863043064044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39C-4A53-BBCD-F28EF311EB01}"/>
                </c:ext>
                <c:ext xmlns:c15="http://schemas.microsoft.com/office/drawing/2012/chart" uri="{CE6537A1-D6FC-4f65-9D91-7224C49458BB}">
                  <c15:layout/>
                </c:ext>
              </c:extLst>
            </c:dLbl>
            <c:dLbl>
              <c:idx val="3"/>
              <c:layout>
                <c:manualLayout>
                  <c:x val="-4.0533333333333331E-2"/>
                  <c:y val="4.82897282298033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39C-4A53-BBCD-F28EF311EB01}"/>
                </c:ext>
                <c:ext xmlns:c15="http://schemas.microsoft.com/office/drawing/2012/chart" uri="{CE6537A1-D6FC-4f65-9D91-7224C49458BB}">
                  <c15:layout/>
                </c:ext>
              </c:extLst>
            </c:dLbl>
            <c:dLbl>
              <c:idx val="4"/>
              <c:layout>
                <c:manualLayout>
                  <c:x val="-4.6933333333333487E-2"/>
                  <c:y val="4.82897282298032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39C-4A53-BBCD-F28EF311EB01}"/>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Borxhit'!$B$50:$F$50</c:f>
              <c:strCache>
                <c:ptCount val="5"/>
                <c:pt idx="0">
                  <c:v>2016</c:v>
                </c:pt>
                <c:pt idx="1">
                  <c:v>2017</c:v>
                </c:pt>
                <c:pt idx="2">
                  <c:v>2018</c:v>
                </c:pt>
                <c:pt idx="3">
                  <c:v>2019</c:v>
                </c:pt>
                <c:pt idx="4">
                  <c:v>Prsh 2020</c:v>
                </c:pt>
              </c:strCache>
            </c:strRef>
          </c:cat>
          <c:val>
            <c:numRef>
              <c:f>'Sherbimi i Borxhit'!$B$51:$F$51</c:f>
              <c:numCache>
                <c:formatCode>0.00%</c:formatCode>
                <c:ptCount val="5"/>
                <c:pt idx="0">
                  <c:v>2.229506003024612E-2</c:v>
                </c:pt>
                <c:pt idx="1">
                  <c:v>2.1383894376851547E-2</c:v>
                </c:pt>
                <c:pt idx="2">
                  <c:v>2.688262138581363E-2</c:v>
                </c:pt>
                <c:pt idx="3">
                  <c:v>2.6021613199022145E-2</c:v>
                </c:pt>
                <c:pt idx="4">
                  <c:v>2.2781052142973979E-2</c:v>
                </c:pt>
              </c:numCache>
            </c:numRef>
          </c:val>
          <c:smooth val="1"/>
          <c:extLst xmlns:c16r2="http://schemas.microsoft.com/office/drawing/2015/06/chart">
            <c:ext xmlns:c16="http://schemas.microsoft.com/office/drawing/2014/chart" uri="{C3380CC4-5D6E-409C-BE32-E72D297353CC}">
              <c16:uniqueId val="{00000005-A39C-4A53-BBCD-F28EF311EB01}"/>
            </c:ext>
          </c:extLst>
        </c:ser>
        <c:dLbls>
          <c:showLegendKey val="0"/>
          <c:showVal val="0"/>
          <c:showCatName val="0"/>
          <c:showSerName val="0"/>
          <c:showPercent val="0"/>
          <c:showBubbleSize val="0"/>
        </c:dLbls>
        <c:marker val="1"/>
        <c:smooth val="0"/>
        <c:axId val="225767424"/>
        <c:axId val="223474176"/>
      </c:lineChart>
      <c:lineChart>
        <c:grouping val="standard"/>
        <c:varyColors val="0"/>
        <c:ser>
          <c:idx val="1"/>
          <c:order val="1"/>
          <c:tx>
            <c:strRef>
              <c:f>'Sherbimi i Borxhit'!$A$52</c:f>
              <c:strCache>
                <c:ptCount val="1"/>
                <c:pt idx="0">
                  <c:v>Kosto Mesatare e Borxhit të Brendshëm</c:v>
                </c:pt>
              </c:strCache>
            </c:strRef>
          </c:tx>
          <c:spPr>
            <a:ln w="22225" cap="rnd">
              <a:solidFill>
                <a:srgbClr val="C00000"/>
              </a:solidFill>
              <a:round/>
            </a:ln>
            <a:effectLst/>
          </c:spPr>
          <c:marker>
            <c:symbol val="square"/>
            <c:size val="5"/>
            <c:spPr>
              <a:solidFill>
                <a:srgbClr val="C00000"/>
              </a:solidFill>
              <a:ln w="9525">
                <a:solidFill>
                  <a:srgbClr val="C00000"/>
                </a:solidFill>
              </a:ln>
              <a:effectLst/>
            </c:spPr>
          </c:marker>
          <c:dPt>
            <c:idx val="4"/>
            <c:bubble3D val="0"/>
            <c:spPr>
              <a:ln w="22225" cap="rnd">
                <a:solidFill>
                  <a:srgbClr val="C00000"/>
                </a:solidFill>
                <a:prstDash val="dash"/>
                <a:round/>
              </a:ln>
              <a:effectLst/>
            </c:spPr>
            <c:extLst xmlns:c16r2="http://schemas.microsoft.com/office/drawing/2015/06/chart">
              <c:ext xmlns:c16="http://schemas.microsoft.com/office/drawing/2014/chart" uri="{C3380CC4-5D6E-409C-BE32-E72D297353CC}">
                <c16:uniqueId val="{0000000A-A39C-4A53-BBCD-F28EF311EB01}"/>
              </c:ext>
            </c:extLst>
          </c:dPt>
          <c:dLbls>
            <c:dLbl>
              <c:idx val="0"/>
              <c:layout>
                <c:manualLayout>
                  <c:x val="-2.3466666666666667E-2"/>
                  <c:y val="-6.97518296652715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39C-4A53-BBCD-F28EF311EB01}"/>
                </c:ext>
                <c:ext xmlns:c15="http://schemas.microsoft.com/office/drawing/2012/chart" uri="{CE6537A1-D6FC-4f65-9D91-7224C49458BB}">
                  <c15:layout/>
                </c:ext>
              </c:extLst>
            </c:dLbl>
            <c:dLbl>
              <c:idx val="1"/>
              <c:layout>
                <c:manualLayout>
                  <c:x val="-1.2800000000000001E-2"/>
                  <c:y val="-9.12139311007396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39C-4A53-BBCD-F28EF311EB01}"/>
                </c:ext>
                <c:ext xmlns:c15="http://schemas.microsoft.com/office/drawing/2012/chart" uri="{CE6537A1-D6FC-4f65-9D91-7224C49458BB}">
                  <c15:layout/>
                </c:ext>
              </c:extLst>
            </c:dLbl>
            <c:dLbl>
              <c:idx val="2"/>
              <c:layout>
                <c:manualLayout>
                  <c:x val="-3.2000000000000077E-2"/>
                  <c:y val="-6.43863043064044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39C-4A53-BBCD-F28EF311EB01}"/>
                </c:ext>
                <c:ext xmlns:c15="http://schemas.microsoft.com/office/drawing/2012/chart" uri="{CE6537A1-D6FC-4f65-9D91-7224C49458BB}">
                  <c15:layout/>
                </c:ext>
              </c:extLst>
            </c:dLbl>
            <c:dLbl>
              <c:idx val="3"/>
              <c:layout>
                <c:manualLayout>
                  <c:x val="-2.3466666666666743E-2"/>
                  <c:y val="-7.51173550241385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39C-4A53-BBCD-F28EF311EB01}"/>
                </c:ext>
                <c:ext xmlns:c15="http://schemas.microsoft.com/office/drawing/2012/chart" uri="{CE6537A1-D6FC-4f65-9D91-7224C49458BB}">
                  <c15:layout/>
                </c:ext>
              </c:extLst>
            </c:dLbl>
            <c:dLbl>
              <c:idx val="4"/>
              <c:layout>
                <c:manualLayout>
                  <c:x val="-3.2000000000000153E-2"/>
                  <c:y val="-5.90207789475374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39C-4A53-BBCD-F28EF311EB01}"/>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Borxhit'!$B$50:$F$50</c:f>
              <c:strCache>
                <c:ptCount val="5"/>
                <c:pt idx="0">
                  <c:v>2016</c:v>
                </c:pt>
                <c:pt idx="1">
                  <c:v>2017</c:v>
                </c:pt>
                <c:pt idx="2">
                  <c:v>2018</c:v>
                </c:pt>
                <c:pt idx="3">
                  <c:v>2019</c:v>
                </c:pt>
                <c:pt idx="4">
                  <c:v>Prsh 2020</c:v>
                </c:pt>
              </c:strCache>
            </c:strRef>
          </c:cat>
          <c:val>
            <c:numRef>
              <c:f>'Sherbimi i Borxhit'!$B$52:$F$52</c:f>
              <c:numCache>
                <c:formatCode>0.00%</c:formatCode>
                <c:ptCount val="5"/>
                <c:pt idx="0">
                  <c:v>4.3700000000000003E-2</c:v>
                </c:pt>
                <c:pt idx="1">
                  <c:v>4.3299999999999998E-2</c:v>
                </c:pt>
                <c:pt idx="2">
                  <c:v>4.1829999999999999E-2</c:v>
                </c:pt>
                <c:pt idx="3">
                  <c:v>3.8350000000000002E-2</c:v>
                </c:pt>
                <c:pt idx="4">
                  <c:v>3.6706794462380787E-2</c:v>
                </c:pt>
              </c:numCache>
            </c:numRef>
          </c:val>
          <c:smooth val="1"/>
          <c:extLst xmlns:c16r2="http://schemas.microsoft.com/office/drawing/2015/06/chart">
            <c:ext xmlns:c16="http://schemas.microsoft.com/office/drawing/2014/chart" uri="{C3380CC4-5D6E-409C-BE32-E72D297353CC}">
              <c16:uniqueId val="{0000000B-A39C-4A53-BBCD-F28EF311EB01}"/>
            </c:ext>
          </c:extLst>
        </c:ser>
        <c:dLbls>
          <c:showLegendKey val="0"/>
          <c:showVal val="0"/>
          <c:showCatName val="0"/>
          <c:showSerName val="0"/>
          <c:showPercent val="0"/>
          <c:showBubbleSize val="0"/>
        </c:dLbls>
        <c:marker val="1"/>
        <c:smooth val="0"/>
        <c:axId val="219327488"/>
        <c:axId val="223474752"/>
      </c:lineChart>
      <c:catAx>
        <c:axId val="22576742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474176"/>
        <c:crosses val="autoZero"/>
        <c:auto val="1"/>
        <c:lblAlgn val="ctr"/>
        <c:lblOffset val="100"/>
        <c:noMultiLvlLbl val="0"/>
      </c:catAx>
      <c:valAx>
        <c:axId val="223474176"/>
        <c:scaling>
          <c:orientation val="minMax"/>
          <c:max val="5.5000000000000007E-2"/>
          <c:min val="0"/>
        </c:scaling>
        <c:delete val="0"/>
        <c:axPos val="l"/>
        <c:title>
          <c:tx>
            <c:rich>
              <a:bodyPr rot="0" spcFirstLastPara="1" vertOverflow="ellipsis"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NMP</a:t>
                </a:r>
              </a:p>
            </c:rich>
          </c:tx>
          <c:layout>
            <c:manualLayout>
              <c:xMode val="edge"/>
              <c:yMode val="edge"/>
              <c:x val="4.7392321152163672E-2"/>
              <c:y val="4.4457864081730816E-2"/>
            </c:manualLayout>
          </c:layout>
          <c:overlay val="0"/>
          <c:spPr>
            <a:noFill/>
            <a:ln>
              <a:noFill/>
            </a:ln>
            <a:effectLst/>
          </c:spPr>
        </c:title>
        <c:numFmt formatCode="0.0%" sourceLinked="0"/>
        <c:majorTickMark val="none"/>
        <c:minorTickMark val="none"/>
        <c:tickLblPos val="nextTo"/>
        <c:spPr>
          <a:noFill/>
          <a:ln w="635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5767424"/>
        <c:crosses val="autoZero"/>
        <c:crossBetween val="between"/>
      </c:valAx>
      <c:valAx>
        <c:axId val="223474752"/>
        <c:scaling>
          <c:orientation val="minMax"/>
          <c:min val="600"/>
        </c:scaling>
        <c:delete val="1"/>
        <c:axPos val="r"/>
        <c:numFmt formatCode="0.00%" sourceLinked="1"/>
        <c:majorTickMark val="none"/>
        <c:minorTickMark val="none"/>
        <c:tickLblPos val="nextTo"/>
        <c:crossAx val="219327488"/>
        <c:crosses val="max"/>
        <c:crossBetween val="between"/>
        <c:majorUnit val="50"/>
      </c:valAx>
      <c:catAx>
        <c:axId val="219327488"/>
        <c:scaling>
          <c:orientation val="minMax"/>
        </c:scaling>
        <c:delete val="1"/>
        <c:axPos val="b"/>
        <c:numFmt formatCode="General" sourceLinked="1"/>
        <c:majorTickMark val="out"/>
        <c:minorTickMark val="none"/>
        <c:tickLblPos val="nextTo"/>
        <c:crossAx val="223474752"/>
        <c:crosses val="autoZero"/>
        <c:auto val="1"/>
        <c:lblAlgn val="ctr"/>
        <c:lblOffset val="100"/>
        <c:noMultiLvlLbl val="0"/>
      </c:catAx>
      <c:spPr>
        <a:noFill/>
        <a:ln>
          <a:noFill/>
        </a:ln>
        <a:effectLst/>
      </c:spPr>
    </c:plotArea>
    <c:legend>
      <c:legendPos val="b"/>
      <c:layout>
        <c:manualLayout>
          <c:xMode val="edge"/>
          <c:yMode val="edge"/>
          <c:x val="0.10708207147183527"/>
          <c:y val="0.89335954976905008"/>
          <c:w val="0.77076620230163539"/>
          <c:h val="9.05438741543488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n-US" sz="800" b="1">
                <a:solidFill>
                  <a:sysClr val="windowText" lastClr="000000"/>
                </a:solidFill>
                <a:latin typeface="+mn-lt"/>
              </a:rPr>
              <a:t>Koha Mesatare në Maturim</a:t>
            </a:r>
          </a:p>
        </c:rich>
      </c:tx>
      <c:layout>
        <c:manualLayout>
          <c:xMode val="edge"/>
          <c:yMode val="edge"/>
          <c:x val="0.32040372483803897"/>
          <c:y val="3.7104610678507469E-2"/>
        </c:manualLayout>
      </c:layout>
      <c:overlay val="0"/>
      <c:spPr>
        <a:noFill/>
        <a:ln>
          <a:noFill/>
        </a:ln>
        <a:effectLst/>
      </c:spPr>
    </c:title>
    <c:autoTitleDeleted val="0"/>
    <c:plotArea>
      <c:layout>
        <c:manualLayout>
          <c:layoutTarget val="inner"/>
          <c:xMode val="edge"/>
          <c:yMode val="edge"/>
          <c:x val="7.2886482939632541E-2"/>
          <c:y val="0.13816647726643586"/>
          <c:w val="0.87461286089238843"/>
          <c:h val="0.60176566197072623"/>
        </c:manualLayout>
      </c:layout>
      <c:lineChart>
        <c:grouping val="standard"/>
        <c:varyColors val="0"/>
        <c:ser>
          <c:idx val="0"/>
          <c:order val="0"/>
          <c:tx>
            <c:strRef>
              <c:f>'Slide 8 Risqet'!$A$6</c:f>
              <c:strCache>
                <c:ptCount val="1"/>
                <c:pt idx="0">
                  <c:v>KMM</c:v>
                </c:pt>
              </c:strCache>
            </c:strRef>
          </c:tx>
          <c:spPr>
            <a:ln w="22225"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1.6388888888888939E-2"/>
                  <c:y val="4.44144409540616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495-4BD8-AC30-4BE2743571FF}"/>
                </c:ext>
                <c:ext xmlns:c15="http://schemas.microsoft.com/office/drawing/2012/chart" uri="{CE6537A1-D6FC-4f65-9D91-7224C49458BB}">
                  <c15:layout/>
                </c:ext>
              </c:extLst>
            </c:dLbl>
            <c:dLbl>
              <c:idx val="1"/>
              <c:layout>
                <c:manualLayout>
                  <c:x val="-3.5833333333333335E-2"/>
                  <c:y val="4.44144409540616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495-4BD8-AC30-4BE2743571FF}"/>
                </c:ex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'Slide 8 Risqet'!$B$3:$H$3</c:f>
              <c:strCache>
                <c:ptCount val="5"/>
                <c:pt idx="0">
                  <c:v>2016</c:v>
                </c:pt>
                <c:pt idx="1">
                  <c:v>2017</c:v>
                </c:pt>
                <c:pt idx="2">
                  <c:v>2018</c:v>
                </c:pt>
                <c:pt idx="3">
                  <c:v>2019</c:v>
                </c:pt>
                <c:pt idx="4">
                  <c:v>Shtator 2020</c:v>
                </c:pt>
              </c:strCache>
            </c:strRef>
          </c:cat>
          <c:val>
            <c:numRef>
              <c:f>'Slide 8 Risqet'!$B$6:$H$6</c:f>
              <c:numCache>
                <c:formatCode>0.00</c:formatCode>
                <c:ptCount val="5"/>
                <c:pt idx="0">
                  <c:v>2.0920507427879671</c:v>
                </c:pt>
                <c:pt idx="1">
                  <c:v>2.1667770659807037</c:v>
                </c:pt>
                <c:pt idx="2">
                  <c:v>2.1740274747397952</c:v>
                </c:pt>
                <c:pt idx="3">
                  <c:v>2.19</c:v>
                </c:pt>
                <c:pt idx="4">
                  <c:v>2.2173389689500147</c:v>
                </c:pt>
              </c:numCache>
            </c:numRef>
          </c:val>
          <c:smooth val="1"/>
          <c:extLst xmlns:c16r2="http://schemas.microsoft.com/office/drawing/2015/06/chart">
            <c:ext xmlns:c16="http://schemas.microsoft.com/office/drawing/2014/chart" uri="{C3380CC4-5D6E-409C-BE32-E72D297353CC}">
              <c16:uniqueId val="{00000002-9495-4BD8-AC30-4BE2743571FF}"/>
            </c:ext>
          </c:extLst>
        </c:ser>
        <c:ser>
          <c:idx val="1"/>
          <c:order val="1"/>
          <c:tx>
            <c:strRef>
              <c:f>'Slide 8 Risqet'!$A$7</c:f>
              <c:strCache>
                <c:ptCount val="1"/>
                <c:pt idx="0">
                  <c:v>Objektivi strategjik 2022</c:v>
                </c:pt>
              </c:strCache>
            </c:strRef>
          </c:tx>
          <c:spPr>
            <a:ln w="22225" cap="rnd">
              <a:solidFill>
                <a:srgbClr val="C00000"/>
              </a:solidFill>
              <a:prstDash val="sysDash"/>
              <a:round/>
            </a:ln>
            <a:effectLst/>
          </c:spPr>
          <c:marker>
            <c:symbol val="diamond"/>
            <c:size val="5"/>
            <c:spPr>
              <a:solidFill>
                <a:srgbClr val="C00000"/>
              </a:solidFill>
              <a:ln w="9525">
                <a:noFill/>
              </a:ln>
              <a:effectLst/>
            </c:spPr>
          </c:marker>
          <c:dLbls>
            <c:dLbl>
              <c:idx val="2"/>
              <c:layout>
                <c:manualLayout>
                  <c:x val="0.18522178654793647"/>
                  <c:y val="-6.037369982874996E-2"/>
                </c:manualLayout>
              </c:layout>
              <c:tx>
                <c:rich>
                  <a:bodyPr/>
                  <a:lstStyle/>
                  <a:p>
                    <a:r>
                      <a:rPr lang="en-US" sz="800" b="1">
                        <a:solidFill>
                          <a:srgbClr val="C00000"/>
                        </a:solidFill>
                      </a:rPr>
                      <a:t>2.2-2.4 vite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495-4BD8-AC30-4BE2743571F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Risqet'!$B$3:$H$3</c:f>
              <c:strCache>
                <c:ptCount val="5"/>
                <c:pt idx="0">
                  <c:v>2016</c:v>
                </c:pt>
                <c:pt idx="1">
                  <c:v>2017</c:v>
                </c:pt>
                <c:pt idx="2">
                  <c:v>2018</c:v>
                </c:pt>
                <c:pt idx="3">
                  <c:v>2019</c:v>
                </c:pt>
                <c:pt idx="4">
                  <c:v>Shtator 2020</c:v>
                </c:pt>
              </c:strCache>
            </c:strRef>
          </c:cat>
          <c:val>
            <c:numRef>
              <c:f>'Slide 8 Risqet'!$B$7:$H$7</c:f>
              <c:numCache>
                <c:formatCode>0.00</c:formatCode>
                <c:ptCount val="5"/>
                <c:pt idx="0">
                  <c:v>2.4</c:v>
                </c:pt>
                <c:pt idx="1">
                  <c:v>2.4</c:v>
                </c:pt>
                <c:pt idx="2">
                  <c:v>2.4</c:v>
                </c:pt>
                <c:pt idx="3">
                  <c:v>2.4</c:v>
                </c:pt>
                <c:pt idx="4">
                  <c:v>2.4</c:v>
                </c:pt>
              </c:numCache>
            </c:numRef>
          </c:val>
          <c:smooth val="0"/>
          <c:extLst xmlns:c16r2="http://schemas.microsoft.com/office/drawing/2015/06/chart">
            <c:ext xmlns:c16="http://schemas.microsoft.com/office/drawing/2014/chart" uri="{C3380CC4-5D6E-409C-BE32-E72D297353CC}">
              <c16:uniqueId val="{00000004-9495-4BD8-AC30-4BE2743571FF}"/>
            </c:ext>
          </c:extLst>
        </c:ser>
        <c:dLbls>
          <c:showLegendKey val="0"/>
          <c:showVal val="0"/>
          <c:showCatName val="0"/>
          <c:showSerName val="0"/>
          <c:showPercent val="0"/>
          <c:showBubbleSize val="0"/>
        </c:dLbls>
        <c:marker val="1"/>
        <c:smooth val="0"/>
        <c:axId val="220034560"/>
        <c:axId val="223473024"/>
      </c:lineChart>
      <c:catAx>
        <c:axId val="2200345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3473024"/>
        <c:crosses val="autoZero"/>
        <c:auto val="1"/>
        <c:lblAlgn val="ctr"/>
        <c:lblOffset val="100"/>
        <c:noMultiLvlLbl val="0"/>
      </c:catAx>
      <c:valAx>
        <c:axId val="223473024"/>
        <c:scaling>
          <c:orientation val="minMax"/>
          <c:min val="1.5"/>
        </c:scaling>
        <c:delete val="0"/>
        <c:axPos val="l"/>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0034560"/>
        <c:crosses val="autoZero"/>
        <c:crossBetween val="between"/>
        <c:majorUnit val="0.5"/>
      </c:valAx>
      <c:spPr>
        <a:noFill/>
        <a:ln>
          <a:noFill/>
        </a:ln>
        <a:effectLst/>
      </c:spPr>
    </c:plotArea>
    <c:legend>
      <c:legendPos val="r"/>
      <c:layout>
        <c:manualLayout>
          <c:xMode val="edge"/>
          <c:yMode val="edge"/>
          <c:x val="0.20305485119444819"/>
          <c:y val="0.87744859230725647"/>
          <c:w val="0.6636117672790901"/>
          <c:h val="9.9467948354823102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n-US" sz="800" b="1">
                <a:solidFill>
                  <a:sysClr val="windowText" lastClr="000000"/>
                </a:solidFill>
                <a:latin typeface="+mn-lt"/>
              </a:rPr>
              <a:t>Borxhi që maturohet brenda një viti</a:t>
            </a:r>
          </a:p>
        </c:rich>
      </c:tx>
      <c:layout/>
      <c:overlay val="0"/>
      <c:spPr>
        <a:noFill/>
        <a:ln>
          <a:noFill/>
        </a:ln>
        <a:effectLst/>
      </c:spPr>
    </c:title>
    <c:autoTitleDeleted val="0"/>
    <c:plotArea>
      <c:layout>
        <c:manualLayout>
          <c:layoutTarget val="inner"/>
          <c:xMode val="edge"/>
          <c:yMode val="edge"/>
          <c:x val="0.11609492563429571"/>
          <c:y val="0.17171296296296296"/>
          <c:w val="0.83915419947506553"/>
          <c:h val="0.56569922561332731"/>
        </c:manualLayout>
      </c:layout>
      <c:lineChart>
        <c:grouping val="standard"/>
        <c:varyColors val="0"/>
        <c:ser>
          <c:idx val="0"/>
          <c:order val="0"/>
          <c:tx>
            <c:strRef>
              <c:f>'Slide 8 Risqet'!$A$4</c:f>
              <c:strCache>
                <c:ptCount val="1"/>
                <c:pt idx="0">
                  <c:v>Borxhi që maturuhet brenda një viti</c:v>
                </c:pt>
              </c:strCache>
            </c:strRef>
          </c:tx>
          <c:spPr>
            <a:ln w="22225"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4.5541776027996549E-2"/>
                  <c:y val="-4.399627465921605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DF9-4317-9E35-51635DB3EE3A}"/>
                </c:ext>
                <c:ext xmlns:c15="http://schemas.microsoft.com/office/drawing/2012/chart" uri="{CE6537A1-D6FC-4f65-9D91-7224C49458BB}">
                  <c15:layout/>
                </c:ext>
              </c:extLst>
            </c:dLbl>
            <c:dLbl>
              <c:idx val="1"/>
              <c:layout>
                <c:manualLayout>
                  <c:x val="-4.8319553805774275E-2"/>
                  <c:y val="-4.399627465921598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DF9-4317-9E35-51635DB3EE3A}"/>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'Slide 8 Risqet'!$B$3:$H$3</c:f>
              <c:strCache>
                <c:ptCount val="5"/>
                <c:pt idx="0">
                  <c:v>2016</c:v>
                </c:pt>
                <c:pt idx="1">
                  <c:v>2017</c:v>
                </c:pt>
                <c:pt idx="2">
                  <c:v>2018</c:v>
                </c:pt>
                <c:pt idx="3">
                  <c:v>2019</c:v>
                </c:pt>
                <c:pt idx="4">
                  <c:v>Shtator 2020</c:v>
                </c:pt>
              </c:strCache>
            </c:strRef>
          </c:cat>
          <c:val>
            <c:numRef>
              <c:f>'Slide 8 Risqet'!$B$4:$H$4</c:f>
              <c:numCache>
                <c:formatCode>0.00%</c:formatCode>
                <c:ptCount val="5"/>
                <c:pt idx="0" formatCode="0.0%">
                  <c:v>0.53500000000000003</c:v>
                </c:pt>
                <c:pt idx="1">
                  <c:v>0.50037776722366856</c:v>
                </c:pt>
                <c:pt idx="2">
                  <c:v>0.49418902417538746</c:v>
                </c:pt>
                <c:pt idx="3" formatCode="0.0%">
                  <c:v>0.47710000000000002</c:v>
                </c:pt>
                <c:pt idx="4" formatCode="0.0%">
                  <c:v>0.45083826681725619</c:v>
                </c:pt>
              </c:numCache>
            </c:numRef>
          </c:val>
          <c:smooth val="1"/>
          <c:extLst xmlns:c16r2="http://schemas.microsoft.com/office/drawing/2015/06/chart">
            <c:ext xmlns:c16="http://schemas.microsoft.com/office/drawing/2014/chart" uri="{C3380CC4-5D6E-409C-BE32-E72D297353CC}">
              <c16:uniqueId val="{00000002-1DF9-4317-9E35-51635DB3EE3A}"/>
            </c:ext>
          </c:extLst>
        </c:ser>
        <c:ser>
          <c:idx val="1"/>
          <c:order val="1"/>
          <c:tx>
            <c:strRef>
              <c:f>'Slide 8 Risqet'!$A$5</c:f>
              <c:strCache>
                <c:ptCount val="1"/>
                <c:pt idx="0">
                  <c:v>Objektivi strategjik 2022</c:v>
                </c:pt>
              </c:strCache>
            </c:strRef>
          </c:tx>
          <c:spPr>
            <a:ln w="22225" cap="sq" cmpd="sng">
              <a:solidFill>
                <a:srgbClr val="C00000"/>
              </a:solidFill>
              <a:prstDash val="sysDash"/>
              <a:round/>
            </a:ln>
            <a:effectLst/>
          </c:spPr>
          <c:marker>
            <c:symbol val="diamond"/>
            <c:size val="4"/>
            <c:spPr>
              <a:solidFill>
                <a:srgbClr val="C00000"/>
              </a:solidFill>
              <a:ln w="9525">
                <a:noFill/>
              </a:ln>
              <a:effectLst/>
            </c:spPr>
          </c:marker>
          <c:dLbls>
            <c:dLbl>
              <c:idx val="1"/>
              <c:layout>
                <c:manualLayout>
                  <c:x val="0.31877201445015485"/>
                  <c:y val="6.6782499295026138E-2"/>
                </c:manualLayout>
              </c:layout>
              <c:tx>
                <c:rich>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j-lt"/>
                        <a:ea typeface="+mn-ea"/>
                        <a:cs typeface="+mn-cs"/>
                      </a:defRPr>
                    </a:pPr>
                    <a:r>
                      <a:rPr lang="en-US" sz="800" b="1">
                        <a:solidFill>
                          <a:srgbClr val="C00000"/>
                        </a:solidFill>
                      </a:rPr>
                      <a:t>Maks 45%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DF9-4317-9E35-51635DB3EE3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C00000"/>
                    </a:solidFill>
                    <a:latin typeface="+mj-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Risqet'!$B$3:$H$3</c:f>
              <c:strCache>
                <c:ptCount val="5"/>
                <c:pt idx="0">
                  <c:v>2016</c:v>
                </c:pt>
                <c:pt idx="1">
                  <c:v>2017</c:v>
                </c:pt>
                <c:pt idx="2">
                  <c:v>2018</c:v>
                </c:pt>
                <c:pt idx="3">
                  <c:v>2019</c:v>
                </c:pt>
                <c:pt idx="4">
                  <c:v>Shtator 2020</c:v>
                </c:pt>
              </c:strCache>
            </c:strRef>
          </c:cat>
          <c:val>
            <c:numRef>
              <c:f>'Slide 8 Risqet'!$B$5:$H$5</c:f>
              <c:numCache>
                <c:formatCode>0.0%</c:formatCode>
                <c:ptCount val="5"/>
                <c:pt idx="0">
                  <c:v>0.45</c:v>
                </c:pt>
                <c:pt idx="1">
                  <c:v>0.45</c:v>
                </c:pt>
                <c:pt idx="2">
                  <c:v>0.45</c:v>
                </c:pt>
                <c:pt idx="3">
                  <c:v>0.45</c:v>
                </c:pt>
                <c:pt idx="4">
                  <c:v>0.45</c:v>
                </c:pt>
              </c:numCache>
            </c:numRef>
          </c:val>
          <c:smooth val="0"/>
          <c:extLst xmlns:c16r2="http://schemas.microsoft.com/office/drawing/2015/06/chart">
            <c:ext xmlns:c16="http://schemas.microsoft.com/office/drawing/2014/chart" uri="{C3380CC4-5D6E-409C-BE32-E72D297353CC}">
              <c16:uniqueId val="{00000004-1DF9-4317-9E35-51635DB3EE3A}"/>
            </c:ext>
          </c:extLst>
        </c:ser>
        <c:dLbls>
          <c:showLegendKey val="0"/>
          <c:showVal val="0"/>
          <c:showCatName val="0"/>
          <c:showSerName val="0"/>
          <c:showPercent val="0"/>
          <c:showBubbleSize val="0"/>
        </c:dLbls>
        <c:marker val="1"/>
        <c:smooth val="0"/>
        <c:axId val="221667328"/>
        <c:axId val="223475904"/>
      </c:lineChart>
      <c:catAx>
        <c:axId val="2216673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3475904"/>
        <c:crosses val="autoZero"/>
        <c:auto val="1"/>
        <c:lblAlgn val="ctr"/>
        <c:lblOffset val="100"/>
        <c:noMultiLvlLbl val="0"/>
      </c:catAx>
      <c:valAx>
        <c:axId val="223475904"/>
        <c:scaling>
          <c:orientation val="minMax"/>
          <c:min val="0.4"/>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1667328"/>
        <c:crosses val="autoZero"/>
        <c:crossBetween val="between"/>
        <c:majorUnit val="8.0000000000000016E-2"/>
      </c:valAx>
      <c:spPr>
        <a:noFill/>
        <a:ln>
          <a:noFill/>
        </a:ln>
        <a:effectLst/>
      </c:spPr>
    </c:plotArea>
    <c:legend>
      <c:legendPos val="r"/>
      <c:layout>
        <c:manualLayout>
          <c:xMode val="edge"/>
          <c:yMode val="edge"/>
          <c:x val="4.722212822829007E-2"/>
          <c:y val="0.89455152816641714"/>
          <c:w val="0.9027777777777779"/>
          <c:h val="0.1033261751371987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n-US" sz="800" b="1">
                <a:solidFill>
                  <a:sysClr val="windowText" lastClr="000000"/>
                </a:solidFill>
                <a:latin typeface="+mn-lt"/>
              </a:rPr>
              <a:t>Borxhi që rifiksohet brenda një viti</a:t>
            </a:r>
          </a:p>
        </c:rich>
      </c:tx>
      <c:layout>
        <c:manualLayout>
          <c:xMode val="edge"/>
          <c:yMode val="edge"/>
          <c:x val="0.23854409114054298"/>
          <c:y val="3.064320453038415E-2"/>
        </c:manualLayout>
      </c:layout>
      <c:overlay val="0"/>
      <c:spPr>
        <a:noFill/>
        <a:ln>
          <a:noFill/>
        </a:ln>
        <a:effectLst/>
      </c:spPr>
    </c:title>
    <c:autoTitleDeleted val="0"/>
    <c:plotArea>
      <c:layout>
        <c:manualLayout>
          <c:layoutTarget val="inner"/>
          <c:xMode val="edge"/>
          <c:yMode val="edge"/>
          <c:x val="0.10594206231615198"/>
          <c:y val="0.11934816027769071"/>
          <c:w val="0.87251160144905826"/>
          <c:h val="0.57958342128436224"/>
        </c:manualLayout>
      </c:layout>
      <c:lineChart>
        <c:grouping val="standard"/>
        <c:varyColors val="0"/>
        <c:ser>
          <c:idx val="0"/>
          <c:order val="0"/>
          <c:tx>
            <c:strRef>
              <c:f>'Slide 8 Risqet'!$A$12</c:f>
              <c:strCache>
                <c:ptCount val="1"/>
                <c:pt idx="0">
                  <c:v>Borxhi që rifiksohet brenda një viti</c:v>
                </c:pt>
              </c:strCache>
            </c:strRef>
          </c:tx>
          <c:spPr>
            <a:ln w="25400"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3.3954472420985399E-2"/>
                  <c:y val="-5.219889180519101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00D-4473-B12E-55C849E5C70D}"/>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'Slide 8 Risqet'!$B$11:$H$11</c:f>
              <c:strCache>
                <c:ptCount val="5"/>
                <c:pt idx="0">
                  <c:v>2016</c:v>
                </c:pt>
                <c:pt idx="1">
                  <c:v>2017</c:v>
                </c:pt>
                <c:pt idx="2">
                  <c:v>2018</c:v>
                </c:pt>
                <c:pt idx="3">
                  <c:v>2019</c:v>
                </c:pt>
                <c:pt idx="4">
                  <c:v>Shtator 2020</c:v>
                </c:pt>
              </c:strCache>
            </c:strRef>
          </c:cat>
          <c:val>
            <c:numRef>
              <c:f>'Slide 8 Risqet'!$B$12:$H$12</c:f>
              <c:numCache>
                <c:formatCode>0.0%</c:formatCode>
                <c:ptCount val="5"/>
                <c:pt idx="0">
                  <c:v>0.626</c:v>
                </c:pt>
                <c:pt idx="1">
                  <c:v>0.5673896585724667</c:v>
                </c:pt>
                <c:pt idx="2">
                  <c:v>0.54329850433666915</c:v>
                </c:pt>
                <c:pt idx="3">
                  <c:v>0.50870000000000004</c:v>
                </c:pt>
                <c:pt idx="4">
                  <c:v>0.47111008726961101</c:v>
                </c:pt>
              </c:numCache>
            </c:numRef>
          </c:val>
          <c:smooth val="1"/>
          <c:extLst xmlns:c16r2="http://schemas.microsoft.com/office/drawing/2015/06/chart">
            <c:ext xmlns:c16="http://schemas.microsoft.com/office/drawing/2014/chart" uri="{C3380CC4-5D6E-409C-BE32-E72D297353CC}">
              <c16:uniqueId val="{00000001-600D-4473-B12E-55C849E5C70D}"/>
            </c:ext>
          </c:extLst>
        </c:ser>
        <c:ser>
          <c:idx val="1"/>
          <c:order val="1"/>
          <c:tx>
            <c:strRef>
              <c:f>'Slide 8 Risqet'!$A$13</c:f>
              <c:strCache>
                <c:ptCount val="1"/>
                <c:pt idx="0">
                  <c:v>Objektivi strategjik 2022</c:v>
                </c:pt>
              </c:strCache>
            </c:strRef>
          </c:tx>
          <c:spPr>
            <a:ln w="22225" cap="rnd">
              <a:solidFill>
                <a:srgbClr val="C00000"/>
              </a:solidFill>
              <a:prstDash val="sysDash"/>
              <a:round/>
            </a:ln>
            <a:effectLst/>
          </c:spPr>
          <c:marker>
            <c:symbol val="diamond"/>
            <c:size val="4"/>
            <c:spPr>
              <a:solidFill>
                <a:srgbClr val="C00000"/>
              </a:solidFill>
              <a:ln w="25400">
                <a:noFill/>
                <a:prstDash val="sysDash"/>
              </a:ln>
              <a:effectLst/>
            </c:spPr>
          </c:marker>
          <c:dLbls>
            <c:dLbl>
              <c:idx val="2"/>
              <c:layout>
                <c:manualLayout>
                  <c:x val="7.3401543088607848E-3"/>
                  <c:y val="3.6218766724021398E-2"/>
                </c:manualLayout>
              </c:layout>
              <c:tx>
                <c:rich>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mn-lt"/>
                        <a:ea typeface="+mn-ea"/>
                        <a:cs typeface="+mn-cs"/>
                      </a:defRPr>
                    </a:pPr>
                    <a:r>
                      <a:rPr lang="en-US" sz="800">
                        <a:latin typeface="+mn-lt"/>
                      </a:rPr>
                      <a:t>Maks</a:t>
                    </a:r>
                    <a:r>
                      <a:rPr lang="en-US" sz="800" baseline="0">
                        <a:latin typeface="+mn-lt"/>
                      </a:rPr>
                      <a:t> </a:t>
                    </a:r>
                    <a:r>
                      <a:rPr lang="en-US" sz="800">
                        <a:latin typeface="+mn-lt"/>
                      </a:rPr>
                      <a:t>48%</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00D-4473-B12E-55C849E5C70D}"/>
                </c:ext>
                <c:ext xmlns:c15="http://schemas.microsoft.com/office/drawing/2012/chart" uri="{CE6537A1-D6FC-4f65-9D91-7224C49458BB}">
                  <c15:layout>
                    <c:manualLayout>
                      <c:w val="0.21142971778209252"/>
                      <c:h val="7.3228159647303878E-2"/>
                    </c:manualLayout>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Risqet'!$B$11:$H$11</c:f>
              <c:strCache>
                <c:ptCount val="5"/>
                <c:pt idx="0">
                  <c:v>2016</c:v>
                </c:pt>
                <c:pt idx="1">
                  <c:v>2017</c:v>
                </c:pt>
                <c:pt idx="2">
                  <c:v>2018</c:v>
                </c:pt>
                <c:pt idx="3">
                  <c:v>2019</c:v>
                </c:pt>
                <c:pt idx="4">
                  <c:v>Shtator 2020</c:v>
                </c:pt>
              </c:strCache>
            </c:strRef>
          </c:cat>
          <c:val>
            <c:numRef>
              <c:f>'Slide 8 Risqet'!$B$13:$H$13</c:f>
              <c:numCache>
                <c:formatCode>0.0%</c:formatCode>
                <c:ptCount val="5"/>
                <c:pt idx="0">
                  <c:v>0.48</c:v>
                </c:pt>
                <c:pt idx="1">
                  <c:v>0.48</c:v>
                </c:pt>
                <c:pt idx="2">
                  <c:v>0.48</c:v>
                </c:pt>
                <c:pt idx="3">
                  <c:v>0.48</c:v>
                </c:pt>
                <c:pt idx="4">
                  <c:v>0.48</c:v>
                </c:pt>
              </c:numCache>
            </c:numRef>
          </c:val>
          <c:smooth val="0"/>
          <c:extLst xmlns:c16r2="http://schemas.microsoft.com/office/drawing/2015/06/chart">
            <c:ext xmlns:c16="http://schemas.microsoft.com/office/drawing/2014/chart" uri="{C3380CC4-5D6E-409C-BE32-E72D297353CC}">
              <c16:uniqueId val="{00000003-600D-4473-B12E-55C849E5C70D}"/>
            </c:ext>
          </c:extLst>
        </c:ser>
        <c:dLbls>
          <c:showLegendKey val="0"/>
          <c:showVal val="0"/>
          <c:showCatName val="0"/>
          <c:showSerName val="0"/>
          <c:showPercent val="0"/>
          <c:showBubbleSize val="0"/>
        </c:dLbls>
        <c:marker val="1"/>
        <c:smooth val="0"/>
        <c:axId val="221669376"/>
        <c:axId val="226527488"/>
      </c:lineChart>
      <c:catAx>
        <c:axId val="2216693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6527488"/>
        <c:crosses val="autoZero"/>
        <c:auto val="1"/>
        <c:lblAlgn val="ctr"/>
        <c:lblOffset val="100"/>
        <c:noMultiLvlLbl val="0"/>
      </c:catAx>
      <c:valAx>
        <c:axId val="226527488"/>
        <c:scaling>
          <c:orientation val="minMax"/>
          <c:max val="0.70000000000000007"/>
          <c:min val="0.45"/>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1669376"/>
        <c:crosses val="autoZero"/>
        <c:crossBetween val="between"/>
        <c:majorUnit val="8.0000000000000016E-2"/>
      </c:valAx>
      <c:spPr>
        <a:noFill/>
        <a:ln>
          <a:noFill/>
        </a:ln>
        <a:effectLst/>
      </c:spPr>
    </c:plotArea>
    <c:legend>
      <c:legendPos val="r"/>
      <c:layout>
        <c:manualLayout>
          <c:xMode val="edge"/>
          <c:yMode val="edge"/>
          <c:x val="3.674376236646857E-2"/>
          <c:y val="0.86164595128088339"/>
          <c:w val="0.9391530185549205"/>
          <c:h val="0.10884536127198975"/>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n-US" sz="800" b="1">
                <a:solidFill>
                  <a:sysClr val="windowText" lastClr="000000"/>
                </a:solidFill>
                <a:latin typeface="+mn-lt"/>
              </a:rPr>
              <a:t>Koha Mesatare në Rifiksim</a:t>
            </a:r>
          </a:p>
        </c:rich>
      </c:tx>
      <c:layout>
        <c:manualLayout>
          <c:xMode val="edge"/>
          <c:yMode val="edge"/>
          <c:x val="0.30928990040628479"/>
          <c:y val="2.6367265981003189E-2"/>
        </c:manualLayout>
      </c:layout>
      <c:overlay val="0"/>
      <c:spPr>
        <a:noFill/>
        <a:ln>
          <a:noFill/>
        </a:ln>
        <a:effectLst/>
      </c:spPr>
    </c:title>
    <c:autoTitleDeleted val="0"/>
    <c:plotArea>
      <c:layout>
        <c:manualLayout>
          <c:layoutTarget val="inner"/>
          <c:xMode val="edge"/>
          <c:yMode val="edge"/>
          <c:x val="8.5553149606299214E-2"/>
          <c:y val="0.12561149725991091"/>
          <c:w val="0.871181539807524"/>
          <c:h val="0.57392042199936733"/>
        </c:manualLayout>
      </c:layout>
      <c:lineChart>
        <c:grouping val="standard"/>
        <c:varyColors val="0"/>
        <c:ser>
          <c:idx val="0"/>
          <c:order val="0"/>
          <c:tx>
            <c:strRef>
              <c:f>'Slide 8 Risqet'!$A$15</c:f>
              <c:strCache>
                <c:ptCount val="1"/>
                <c:pt idx="0">
                  <c:v>KMR</c:v>
                </c:pt>
              </c:strCache>
            </c:strRef>
          </c:tx>
          <c:spPr>
            <a:ln w="25400"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3.8239962995279819E-2"/>
                  <c:y val="5.91985107292897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304-4D8F-8FC2-EA2CB470C96E}"/>
                </c:ext>
                <c:ext xmlns:c15="http://schemas.microsoft.com/office/drawing/2012/chart" uri="{CE6537A1-D6FC-4f65-9D91-7224C49458BB}">
                  <c15:layout/>
                </c:ext>
              </c:extLst>
            </c:dLbl>
            <c:dLbl>
              <c:idx val="1"/>
              <c:layout>
                <c:manualLayout>
                  <c:x val="-6.4942232688203691E-2"/>
                  <c:y val="5.91985107292897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304-4D8F-8FC2-EA2CB470C96E}"/>
                </c:ext>
                <c:ext xmlns:c15="http://schemas.microsoft.com/office/drawing/2012/chart" uri="{CE6537A1-D6FC-4f65-9D91-7224C49458BB}">
                  <c15:layout/>
                </c:ext>
              </c:extLst>
            </c:dLbl>
            <c:dLbl>
              <c:idx val="2"/>
              <c:layout>
                <c:manualLayout>
                  <c:x val="-4.0170095560484849E-2"/>
                  <c:y val="6.295187542451757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304-4D8F-8FC2-EA2CB470C96E}"/>
                </c:ext>
                <c:ext xmlns:c15="http://schemas.microsoft.com/office/drawing/2012/chart" uri="{CE6537A1-D6FC-4f65-9D91-7224C49458BB}">
                  <c15:layout/>
                </c:ext>
              </c:extLst>
            </c:dLbl>
            <c:dLbl>
              <c:idx val="3"/>
              <c:layout>
                <c:manualLayout>
                  <c:x val="-4.269034127743386E-2"/>
                  <c:y val="4.322406983472113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304-4D8F-8FC2-EA2CB470C96E}"/>
                </c:ext>
                <c:ext xmlns:c15="http://schemas.microsoft.com/office/drawing/2012/chart" uri="{CE6537A1-D6FC-4f65-9D91-7224C49458BB}">
                  <c15:layout/>
                </c:ext>
              </c:extLst>
            </c:dLbl>
            <c:dLbl>
              <c:idx val="4"/>
              <c:layout>
                <c:manualLayout>
                  <c:x val="-4.2690341277433777E-2"/>
                  <c:y val="4.322406983472108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304-4D8F-8FC2-EA2CB470C96E}"/>
                </c:ex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'Slide 8 Risqet'!$B$11:$H$11</c:f>
              <c:strCache>
                <c:ptCount val="5"/>
                <c:pt idx="0">
                  <c:v>2016</c:v>
                </c:pt>
                <c:pt idx="1">
                  <c:v>2017</c:v>
                </c:pt>
                <c:pt idx="2">
                  <c:v>2018</c:v>
                </c:pt>
                <c:pt idx="3">
                  <c:v>2019</c:v>
                </c:pt>
                <c:pt idx="4">
                  <c:v>Shtator 2020</c:v>
                </c:pt>
              </c:strCache>
            </c:strRef>
          </c:cat>
          <c:val>
            <c:numRef>
              <c:f>'Slide 8 Risqet'!$B$15:$H$15</c:f>
              <c:numCache>
                <c:formatCode>0.00</c:formatCode>
                <c:ptCount val="5"/>
                <c:pt idx="0">
                  <c:v>1.8005221567574401</c:v>
                </c:pt>
                <c:pt idx="1">
                  <c:v>1.9559997436502097</c:v>
                </c:pt>
                <c:pt idx="2">
                  <c:v>2.0556297124619634</c:v>
                </c:pt>
                <c:pt idx="3">
                  <c:v>2.11</c:v>
                </c:pt>
                <c:pt idx="4">
                  <c:v>2.1743213230372755</c:v>
                </c:pt>
              </c:numCache>
            </c:numRef>
          </c:val>
          <c:smooth val="1"/>
          <c:extLst xmlns:c16r2="http://schemas.microsoft.com/office/drawing/2015/06/chart">
            <c:ext xmlns:c16="http://schemas.microsoft.com/office/drawing/2014/chart" uri="{C3380CC4-5D6E-409C-BE32-E72D297353CC}">
              <c16:uniqueId val="{00000005-2304-4D8F-8FC2-EA2CB470C96E}"/>
            </c:ext>
          </c:extLst>
        </c:ser>
        <c:ser>
          <c:idx val="1"/>
          <c:order val="1"/>
          <c:tx>
            <c:strRef>
              <c:f>'Slide 8 Risqet'!$A$16</c:f>
              <c:strCache>
                <c:ptCount val="1"/>
                <c:pt idx="0">
                  <c:v>Objektivi strategjik 2022</c:v>
                </c:pt>
              </c:strCache>
            </c:strRef>
          </c:tx>
          <c:spPr>
            <a:ln w="22225" cap="rnd">
              <a:solidFill>
                <a:srgbClr val="C00000"/>
              </a:solidFill>
              <a:prstDash val="sysDash"/>
              <a:round/>
            </a:ln>
            <a:effectLst/>
          </c:spPr>
          <c:marker>
            <c:symbol val="diamond"/>
            <c:size val="4"/>
            <c:spPr>
              <a:solidFill>
                <a:srgbClr val="C00000"/>
              </a:solidFill>
              <a:ln w="9525">
                <a:noFill/>
              </a:ln>
              <a:effectLst/>
            </c:spPr>
          </c:marker>
          <c:dLbls>
            <c:dLbl>
              <c:idx val="2"/>
              <c:layout>
                <c:manualLayout>
                  <c:x val="0.14217328148431774"/>
                  <c:y val="-6.0765426217317217E-2"/>
                </c:manualLayout>
              </c:layout>
              <c:tx>
                <c:rich>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mn-lt"/>
                        <a:ea typeface="+mn-ea"/>
                        <a:cs typeface="+mn-cs"/>
                      </a:defRPr>
                    </a:pPr>
                    <a:r>
                      <a:rPr lang="en-US" sz="800" b="1">
                        <a:solidFill>
                          <a:srgbClr val="C00000"/>
                        </a:solidFill>
                        <a:latin typeface="+mn-lt"/>
                      </a:rPr>
                      <a:t>Min</a:t>
                    </a:r>
                    <a:r>
                      <a:rPr lang="en-US" sz="800" b="1" i="0" u="none" strike="noStrike" kern="1200" baseline="0">
                        <a:solidFill>
                          <a:srgbClr val="C00000"/>
                        </a:solidFill>
                        <a:latin typeface="+mn-lt"/>
                        <a:ea typeface="+mn-ea"/>
                        <a:cs typeface="+mn-cs"/>
                      </a:rPr>
                      <a:t> </a:t>
                    </a:r>
                    <a:r>
                      <a:rPr lang="en-US" sz="800" b="1">
                        <a:solidFill>
                          <a:srgbClr val="C00000"/>
                        </a:solidFill>
                        <a:latin typeface="+mn-lt"/>
                      </a:rPr>
                      <a:t>2.2 vite</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304-4D8F-8FC2-EA2CB470C96E}"/>
                </c:ext>
                <c:ext xmlns:c15="http://schemas.microsoft.com/office/drawing/2012/chart" uri="{CE6537A1-D6FC-4f65-9D91-7224C49458BB}">
                  <c15:layout>
                    <c:manualLayout>
                      <c:w val="0.23958077158163449"/>
                      <c:h val="8.3493077742279015E-2"/>
                    </c:manualLayout>
                  </c15:layout>
                </c:ext>
              </c:extLst>
            </c:dLbl>
            <c:dLbl>
              <c:idx val="5"/>
              <c:layout>
                <c:manualLayout>
                  <c:x val="-4.7337268304157992E-2"/>
                  <c:y val="-7.4807506668228191E-2"/>
                </c:manualLayout>
              </c:layout>
              <c:tx>
                <c:rich>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r>
                      <a:rPr lang="en-US" sz="800" b="1">
                        <a:solidFill>
                          <a:srgbClr val="C00000"/>
                        </a:solidFill>
                        <a:latin typeface="+mn-lt"/>
                      </a:rPr>
                      <a:t>Min </a:t>
                    </a:r>
                  </a:p>
                  <a:p>
                    <a:pPr>
                      <a:defRPr sz="800" b="1" i="0" u="none" strike="noStrike" kern="1200" baseline="0">
                        <a:solidFill>
                          <a:srgbClr val="C00000"/>
                        </a:solidFill>
                        <a:latin typeface="+mn-lt"/>
                        <a:ea typeface="+mn-ea"/>
                        <a:cs typeface="+mn-cs"/>
                      </a:defRPr>
                    </a:pPr>
                    <a:fld id="{8D2D8FFB-4786-401C-883A-2D8946E5577A}" type="VALUE">
                      <a:rPr lang="en-US" sz="800" b="1">
                        <a:solidFill>
                          <a:srgbClr val="C00000"/>
                        </a:solidFill>
                        <a:latin typeface="+mn-lt"/>
                      </a:rPr>
                      <a:pPr>
                        <a:defRPr sz="800" b="1" i="0" u="none" strike="noStrike" kern="1200" baseline="0">
                          <a:solidFill>
                            <a:srgbClr val="C00000"/>
                          </a:solidFill>
                          <a:latin typeface="+mn-lt"/>
                          <a:ea typeface="+mn-ea"/>
                          <a:cs typeface="+mn-cs"/>
                        </a:defRPr>
                      </a:pPr>
                      <a:t>[VALUE]</a:t>
                    </a:fld>
                    <a:endParaRPr lang="en-US"/>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304-4D8F-8FC2-EA2CB470C96E}"/>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Risqet'!$B$11:$H$11</c:f>
              <c:strCache>
                <c:ptCount val="5"/>
                <c:pt idx="0">
                  <c:v>2016</c:v>
                </c:pt>
                <c:pt idx="1">
                  <c:v>2017</c:v>
                </c:pt>
                <c:pt idx="2">
                  <c:v>2018</c:v>
                </c:pt>
                <c:pt idx="3">
                  <c:v>2019</c:v>
                </c:pt>
                <c:pt idx="4">
                  <c:v>Shtator 2020</c:v>
                </c:pt>
              </c:strCache>
            </c:strRef>
          </c:cat>
          <c:val>
            <c:numRef>
              <c:f>'Slide 8 Risqet'!$B$16:$H$16</c:f>
              <c:numCache>
                <c:formatCode>0.00</c:formatCode>
                <c:ptCount val="5"/>
                <c:pt idx="0">
                  <c:v>2.2000000000000002</c:v>
                </c:pt>
                <c:pt idx="1">
                  <c:v>2.2000000000000002</c:v>
                </c:pt>
                <c:pt idx="2">
                  <c:v>2.2000000000000002</c:v>
                </c:pt>
                <c:pt idx="3">
                  <c:v>2.2000000000000002</c:v>
                </c:pt>
                <c:pt idx="4">
                  <c:v>2.2000000000000002</c:v>
                </c:pt>
              </c:numCache>
            </c:numRef>
          </c:val>
          <c:smooth val="0"/>
          <c:extLst xmlns:c16r2="http://schemas.microsoft.com/office/drawing/2015/06/chart">
            <c:ext xmlns:c16="http://schemas.microsoft.com/office/drawing/2014/chart" uri="{C3380CC4-5D6E-409C-BE32-E72D297353CC}">
              <c16:uniqueId val="{00000008-2304-4D8F-8FC2-EA2CB470C96E}"/>
            </c:ext>
          </c:extLst>
        </c:ser>
        <c:dLbls>
          <c:showLegendKey val="0"/>
          <c:showVal val="0"/>
          <c:showCatName val="0"/>
          <c:showSerName val="0"/>
          <c:showPercent val="0"/>
          <c:showBubbleSize val="0"/>
        </c:dLbls>
        <c:marker val="1"/>
        <c:smooth val="0"/>
        <c:axId val="221732864"/>
        <c:axId val="226529792"/>
      </c:lineChart>
      <c:catAx>
        <c:axId val="2217328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6529792"/>
        <c:crosses val="autoZero"/>
        <c:auto val="1"/>
        <c:lblAlgn val="ctr"/>
        <c:lblOffset val="100"/>
        <c:noMultiLvlLbl val="0"/>
      </c:catAx>
      <c:valAx>
        <c:axId val="226529792"/>
        <c:scaling>
          <c:orientation val="minMax"/>
          <c:min val="1"/>
        </c:scaling>
        <c:delete val="0"/>
        <c:axPos val="l"/>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1732864"/>
        <c:crosses val="autoZero"/>
        <c:crossBetween val="between"/>
        <c:majorUnit val="0.5"/>
      </c:valAx>
      <c:spPr>
        <a:noFill/>
        <a:ln>
          <a:noFill/>
        </a:ln>
        <a:effectLst/>
      </c:spPr>
    </c:plotArea>
    <c:legend>
      <c:legendPos val="r"/>
      <c:layout>
        <c:manualLayout>
          <c:xMode val="edge"/>
          <c:yMode val="edge"/>
          <c:x val="0.24609786790349836"/>
          <c:y val="0.85380996704485423"/>
          <c:w val="0.68499514615467583"/>
          <c:h val="0.1143598064618919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'Slide 8 Risqet'!$A$21</c:f>
              <c:strCache>
                <c:ptCount val="1"/>
                <c:pt idx="0">
                  <c:v>Borxhi në monedhë të huaj/Totalit</c:v>
                </c:pt>
              </c:strCache>
            </c:strRef>
          </c:tx>
          <c:spPr>
            <a:ln w="22225" cap="rnd">
              <a:solidFill>
                <a:schemeClr val="accent1"/>
              </a:solidFill>
              <a:round/>
            </a:ln>
            <a:effectLst/>
          </c:spPr>
          <c:marker>
            <c:symbol val="diamond"/>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'Slide 8 Risqet'!$B$20:$H$20</c:f>
              <c:strCache>
                <c:ptCount val="5"/>
                <c:pt idx="0">
                  <c:v>2016</c:v>
                </c:pt>
                <c:pt idx="1">
                  <c:v>2017</c:v>
                </c:pt>
                <c:pt idx="2">
                  <c:v>2018</c:v>
                </c:pt>
                <c:pt idx="3">
                  <c:v>2019</c:v>
                </c:pt>
                <c:pt idx="4">
                  <c:v>Shtator 2020</c:v>
                </c:pt>
              </c:strCache>
            </c:strRef>
          </c:cat>
          <c:val>
            <c:numRef>
              <c:f>'Slide 8 Risqet'!$B$21:$H$21</c:f>
              <c:numCache>
                <c:formatCode>0.0%</c:formatCode>
                <c:ptCount val="5"/>
                <c:pt idx="0">
                  <c:v>0.4859587183289355</c:v>
                </c:pt>
                <c:pt idx="1">
                  <c:v>0.48742541080493795</c:v>
                </c:pt>
                <c:pt idx="2">
                  <c:v>0.47703536860947149</c:v>
                </c:pt>
                <c:pt idx="3">
                  <c:v>0.45604536389340583</c:v>
                </c:pt>
                <c:pt idx="4">
                  <c:v>0.49293808702581143</c:v>
                </c:pt>
              </c:numCache>
            </c:numRef>
          </c:val>
          <c:smooth val="1"/>
          <c:extLst xmlns:c16r2="http://schemas.microsoft.com/office/drawing/2015/06/chart">
            <c:ext xmlns:c16="http://schemas.microsoft.com/office/drawing/2014/chart" uri="{C3380CC4-5D6E-409C-BE32-E72D297353CC}">
              <c16:uniqueId val="{00000000-9CEF-4407-884E-226C5A963E5D}"/>
            </c:ext>
          </c:extLst>
        </c:ser>
        <c:ser>
          <c:idx val="1"/>
          <c:order val="1"/>
          <c:tx>
            <c:strRef>
              <c:f>'Slide 8 Risqet'!$A$22</c:f>
              <c:strCache>
                <c:ptCount val="1"/>
                <c:pt idx="0">
                  <c:v>Kufiri strategjik 2022</c:v>
                </c:pt>
              </c:strCache>
            </c:strRef>
          </c:tx>
          <c:spPr>
            <a:ln w="22225" cap="rnd">
              <a:solidFill>
                <a:srgbClr val="C00000"/>
              </a:solidFill>
              <a:prstDash val="sysDash"/>
              <a:round/>
            </a:ln>
            <a:effectLst/>
          </c:spPr>
          <c:marker>
            <c:symbol val="diamond"/>
            <c:size val="5"/>
            <c:spPr>
              <a:solidFill>
                <a:srgbClr val="C00000"/>
              </a:solidFill>
              <a:ln w="9525">
                <a:noFill/>
              </a:ln>
              <a:effectLst/>
            </c:spPr>
          </c:marker>
          <c:dLbls>
            <c:dLbl>
              <c:idx val="2"/>
              <c:layout>
                <c:manualLayout>
                  <c:x val="0.36587926509186336"/>
                  <c:y val="2.788656237930565E-2"/>
                </c:manualLayout>
              </c:layout>
              <c:tx>
                <c:rich>
                  <a:bodyPr/>
                  <a:lstStyle/>
                  <a:p>
                    <a:r>
                      <a:rPr lang="en-US"/>
                      <a:t>Max </a:t>
                    </a:r>
                    <a:fld id="{0C85D8EA-1DCE-4645-BF88-E22F0C792BC5}" type="VALUE">
                      <a:rPr lang="en-US"/>
                      <a:pPr/>
                      <a:t>[VALUE]</a:t>
                    </a:fld>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CEF-4407-884E-226C5A963E5D}"/>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Risqet'!$B$20:$H$20</c:f>
              <c:strCache>
                <c:ptCount val="5"/>
                <c:pt idx="0">
                  <c:v>2016</c:v>
                </c:pt>
                <c:pt idx="1">
                  <c:v>2017</c:v>
                </c:pt>
                <c:pt idx="2">
                  <c:v>2018</c:v>
                </c:pt>
                <c:pt idx="3">
                  <c:v>2019</c:v>
                </c:pt>
                <c:pt idx="4">
                  <c:v>Shtator 2020</c:v>
                </c:pt>
              </c:strCache>
            </c:strRef>
          </c:cat>
          <c:val>
            <c:numRef>
              <c:f>'Slide 8 Risqet'!$B$22:$H$22</c:f>
              <c:numCache>
                <c:formatCode>0%</c:formatCode>
                <c:ptCount val="5"/>
                <c:pt idx="0">
                  <c:v>0.55000000000000004</c:v>
                </c:pt>
                <c:pt idx="1">
                  <c:v>0.55000000000000004</c:v>
                </c:pt>
                <c:pt idx="2">
                  <c:v>0.55000000000000004</c:v>
                </c:pt>
                <c:pt idx="3">
                  <c:v>0.55000000000000004</c:v>
                </c:pt>
                <c:pt idx="4">
                  <c:v>0.55000000000000004</c:v>
                </c:pt>
              </c:numCache>
            </c:numRef>
          </c:val>
          <c:smooth val="0"/>
          <c:extLst xmlns:c16r2="http://schemas.microsoft.com/office/drawing/2015/06/chart">
            <c:ext xmlns:c16="http://schemas.microsoft.com/office/drawing/2014/chart" uri="{C3380CC4-5D6E-409C-BE32-E72D297353CC}">
              <c16:uniqueId val="{00000002-9CEF-4407-884E-226C5A963E5D}"/>
            </c:ext>
          </c:extLst>
        </c:ser>
        <c:ser>
          <c:idx val="2"/>
          <c:order val="2"/>
          <c:tx>
            <c:strRef>
              <c:f>'Slide 8 Risqet'!$A$23</c:f>
              <c:strCache>
                <c:ptCount val="1"/>
                <c:pt idx="0">
                  <c:v>Kufizimi i Qendrueshmërisë së Borxhit</c:v>
                </c:pt>
              </c:strCache>
            </c:strRef>
          </c:tx>
          <c:spPr>
            <a:ln w="22225" cap="rnd">
              <a:solidFill>
                <a:schemeClr val="accent3"/>
              </a:solidFill>
              <a:prstDash val="sysDash"/>
              <a:round/>
            </a:ln>
            <a:effectLst/>
          </c:spPr>
          <c:marker>
            <c:symbol val="square"/>
            <c:size val="5"/>
            <c:spPr>
              <a:solidFill>
                <a:schemeClr val="accent3"/>
              </a:solidFill>
              <a:ln w="9525">
                <a:solidFill>
                  <a:schemeClr val="accent3"/>
                </a:solidFill>
              </a:ln>
              <a:effectLst/>
            </c:spPr>
          </c:marker>
          <c:dPt>
            <c:idx val="3"/>
            <c:marker>
              <c:symbol val="square"/>
              <c:size val="4"/>
            </c:marker>
            <c:bubble3D val="0"/>
            <c:extLst xmlns:c16r2="http://schemas.microsoft.com/office/drawing/2015/06/chart">
              <c:ext xmlns:c16="http://schemas.microsoft.com/office/drawing/2014/chart" uri="{C3380CC4-5D6E-409C-BE32-E72D297353CC}">
                <c16:uniqueId val="{00000001-B576-4C9A-AB41-741710BB0E29}"/>
              </c:ext>
            </c:extLst>
          </c:dPt>
          <c:dLbls>
            <c:dLbl>
              <c:idx val="2"/>
              <c:layout>
                <c:manualLayout>
                  <c:x val="0.36587236691567399"/>
                  <c:y val="-1.1383500510125488E-2"/>
                </c:manualLayout>
              </c:layout>
              <c:tx>
                <c:rich>
                  <a:bodyPr/>
                  <a:lstStyle/>
                  <a:p>
                    <a:r>
                      <a:rPr lang="en-US"/>
                      <a:t>Max </a:t>
                    </a:r>
                    <a:fld id="{AE11AB0C-9A5D-4C95-B250-0BE2682539DD}" type="VALUE">
                      <a:rPr lang="en-US"/>
                      <a:pPr/>
                      <a:t>[VALUE]</a:t>
                    </a:fld>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CEF-4407-884E-226C5A963E5D}"/>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3">
                        <a:lumMod val="7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'Slide 8 Risqet'!$B$20:$H$20</c:f>
              <c:strCache>
                <c:ptCount val="5"/>
                <c:pt idx="0">
                  <c:v>2016</c:v>
                </c:pt>
                <c:pt idx="1">
                  <c:v>2017</c:v>
                </c:pt>
                <c:pt idx="2">
                  <c:v>2018</c:v>
                </c:pt>
                <c:pt idx="3">
                  <c:v>2019</c:v>
                </c:pt>
                <c:pt idx="4">
                  <c:v>Shtator 2020</c:v>
                </c:pt>
              </c:strCache>
            </c:strRef>
          </c:cat>
          <c:val>
            <c:numRef>
              <c:f>'Slide 8 Risqet'!$B$23:$H$23</c:f>
              <c:numCache>
                <c:formatCode>0%</c:formatCode>
                <c:ptCount val="5"/>
                <c:pt idx="0">
                  <c:v>0.6</c:v>
                </c:pt>
                <c:pt idx="1">
                  <c:v>0.6</c:v>
                </c:pt>
                <c:pt idx="2">
                  <c:v>0.6</c:v>
                </c:pt>
                <c:pt idx="3">
                  <c:v>0.6</c:v>
                </c:pt>
                <c:pt idx="4">
                  <c:v>0.6</c:v>
                </c:pt>
              </c:numCache>
            </c:numRef>
          </c:val>
          <c:smooth val="0"/>
          <c:extLst xmlns:c16r2="http://schemas.microsoft.com/office/drawing/2015/06/chart">
            <c:ext xmlns:c16="http://schemas.microsoft.com/office/drawing/2014/chart" uri="{C3380CC4-5D6E-409C-BE32-E72D297353CC}">
              <c16:uniqueId val="{00000004-9CEF-4407-884E-226C5A963E5D}"/>
            </c:ext>
          </c:extLst>
        </c:ser>
        <c:dLbls>
          <c:showLegendKey val="0"/>
          <c:showVal val="0"/>
          <c:showCatName val="0"/>
          <c:showSerName val="0"/>
          <c:showPercent val="0"/>
          <c:showBubbleSize val="0"/>
        </c:dLbls>
        <c:marker val="1"/>
        <c:smooth val="0"/>
        <c:axId val="223265792"/>
        <c:axId val="226528640"/>
      </c:lineChart>
      <c:catAx>
        <c:axId val="2232657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6528640"/>
        <c:crosses val="autoZero"/>
        <c:auto val="1"/>
        <c:lblAlgn val="ctr"/>
        <c:lblOffset val="100"/>
        <c:noMultiLvlLbl val="0"/>
      </c:catAx>
      <c:valAx>
        <c:axId val="226528640"/>
        <c:scaling>
          <c:orientation val="minMax"/>
          <c:max val="0.60000000000000009"/>
          <c:min val="0.30000000000000004"/>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23265792"/>
        <c:crosses val="autoZero"/>
        <c:crossBetween val="between"/>
        <c:majorUnit val="0.1"/>
      </c:valAx>
      <c:spPr>
        <a:noFill/>
        <a:ln>
          <a:noFill/>
        </a:ln>
        <a:effectLst/>
      </c:spPr>
    </c:plotArea>
    <c:legend>
      <c:legendPos val="b"/>
      <c:layout>
        <c:manualLayout>
          <c:xMode val="edge"/>
          <c:yMode val="edge"/>
          <c:x val="3.583266034053436E-2"/>
          <c:y val="0.84536607581586554"/>
          <c:w val="0.95067912330894333"/>
          <c:h val="9.37510936132983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'Slide 8 Risqet'!$A$44</c:f>
              <c:strCache>
                <c:ptCount val="1"/>
                <c:pt idx="0">
                  <c:v>Borxhi në valutë/Eksporte</c:v>
                </c:pt>
              </c:strCache>
            </c:strRef>
          </c:tx>
          <c:spPr>
            <a:ln w="22225" cap="rnd">
              <a:solidFill>
                <a:schemeClr val="accent1"/>
              </a:solidFill>
              <a:round/>
            </a:ln>
            <a:effectLst/>
          </c:spPr>
          <c:marker>
            <c:symbol val="square"/>
            <c:size val="5"/>
            <c:spPr>
              <a:solidFill>
                <a:schemeClr val="accent1"/>
              </a:solidFill>
              <a:ln w="9525">
                <a:noFill/>
              </a:ln>
              <a:effectLst/>
            </c:spPr>
          </c:marker>
          <c:dLbls>
            <c:dLbl>
              <c:idx val="0"/>
              <c:layout>
                <c:manualLayout>
                  <c:x val="-2.1709633649932124E-2"/>
                  <c:y val="-7.60352858464891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065-4A75-AF50-6F3BB1A47A5E}"/>
                </c:ext>
                <c:ext xmlns:c15="http://schemas.microsoft.com/office/drawing/2012/chart" uri="{CE6537A1-D6FC-4f65-9D91-7224C49458BB}">
                  <c15:layout/>
                </c:ext>
              </c:extLst>
            </c:dLbl>
            <c:dLbl>
              <c:idx val="1"/>
              <c:layout>
                <c:manualLayout>
                  <c:x val="-2.1709633649932156E-2"/>
                  <c:y val="-5.97420103079557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065-4A75-AF50-6F3BB1A47A5E}"/>
                </c:ext>
                <c:ext xmlns:c15="http://schemas.microsoft.com/office/drawing/2012/chart" uri="{CE6537A1-D6FC-4f65-9D91-7224C49458BB}">
                  <c15:layout/>
                </c:ext>
              </c:extLst>
            </c:dLbl>
            <c:dLbl>
              <c:idx val="2"/>
              <c:layout>
                <c:manualLayout>
                  <c:x val="-1.9900497512437811E-2"/>
                  <c:y val="-7.60352858464891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065-4A75-AF50-6F3BB1A47A5E}"/>
                </c:ext>
                <c:ext xmlns:c15="http://schemas.microsoft.com/office/drawing/2012/chart" uri="{CE6537A1-D6FC-4f65-9D91-7224C49458BB}">
                  <c15:layout/>
                </c:ext>
              </c:extLst>
            </c:dLbl>
            <c:dLbl>
              <c:idx val="3"/>
              <c:layout>
                <c:manualLayout>
                  <c:x val="-1.0854816824966078E-2"/>
                  <c:y val="-7.0604194000311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065-4A75-AF50-6F3BB1A47A5E}"/>
                </c:ext>
                <c:ext xmlns:c15="http://schemas.microsoft.com/office/drawing/2012/chart" uri="{CE6537A1-D6FC-4f65-9D91-7224C49458BB}">
                  <c15:layout/>
                </c:ext>
              </c:extLst>
            </c:dLbl>
            <c:dLbl>
              <c:idx val="4"/>
              <c:layout>
                <c:manualLayout>
                  <c:x val="-2.3518769787426504E-2"/>
                  <c:y val="-5.97420103079557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065-4A75-AF50-6F3BB1A47A5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'Slide 8 Risqet'!$B$40:$F$40</c:f>
              <c:strCache>
                <c:ptCount val="5"/>
                <c:pt idx="0">
                  <c:v>2015</c:v>
                </c:pt>
                <c:pt idx="1">
                  <c:v>2016</c:v>
                </c:pt>
                <c:pt idx="2">
                  <c:v>2017</c:v>
                </c:pt>
                <c:pt idx="3">
                  <c:v>2018</c:v>
                </c:pt>
                <c:pt idx="4">
                  <c:v>2019</c:v>
                </c:pt>
              </c:strCache>
            </c:strRef>
          </c:cat>
          <c:val>
            <c:numRef>
              <c:f>'Slide 8 Risqet'!$B$44:$F$44</c:f>
              <c:numCache>
                <c:formatCode>0.0%</c:formatCode>
                <c:ptCount val="5"/>
                <c:pt idx="0">
                  <c:v>1.9723704231258057</c:v>
                </c:pt>
                <c:pt idx="1">
                  <c:v>2.0201715949795029</c:v>
                </c:pt>
                <c:pt idx="2">
                  <c:v>1.8523992134030993</c:v>
                </c:pt>
                <c:pt idx="3">
                  <c:v>1.6317773433141363</c:v>
                </c:pt>
                <c:pt idx="4">
                  <c:v>1.6334310898119255</c:v>
                </c:pt>
              </c:numCache>
            </c:numRef>
          </c:val>
          <c:smooth val="1"/>
          <c:extLst xmlns:c16r2="http://schemas.microsoft.com/office/drawing/2015/06/chart">
            <c:ext xmlns:c16="http://schemas.microsoft.com/office/drawing/2014/chart" uri="{C3380CC4-5D6E-409C-BE32-E72D297353CC}">
              <c16:uniqueId val="{00000005-2065-4A75-AF50-6F3BB1A47A5E}"/>
            </c:ext>
          </c:extLst>
        </c:ser>
        <c:ser>
          <c:idx val="1"/>
          <c:order val="1"/>
          <c:tx>
            <c:strRef>
              <c:f>'Slide 8 Risqet'!$A$45</c:f>
              <c:strCache>
                <c:ptCount val="1"/>
                <c:pt idx="0">
                  <c:v>Borxhi në valutë/Rezervës Valutore</c:v>
                </c:pt>
              </c:strCache>
            </c:strRef>
          </c:tx>
          <c:spPr>
            <a:ln w="22225" cap="rnd">
              <a:solidFill>
                <a:srgbClr val="C00000"/>
              </a:solidFill>
              <a:round/>
            </a:ln>
            <a:effectLst/>
          </c:spPr>
          <c:marker>
            <c:symbol val="diamond"/>
            <c:size val="5"/>
            <c:spPr>
              <a:solidFill>
                <a:srgbClr val="C00000"/>
              </a:solidFill>
              <a:ln w="9525">
                <a:noFill/>
              </a:ln>
              <a:effectLst/>
            </c:spPr>
          </c:marker>
          <c:dLbls>
            <c:dLbl>
              <c:idx val="0"/>
              <c:layout>
                <c:manualLayout>
                  <c:x val="-1.6282225237449117E-2"/>
                  <c:y val="7.0604194000311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065-4A75-AF50-6F3BB1A47A5E}"/>
                </c:ext>
                <c:ext xmlns:c15="http://schemas.microsoft.com/office/drawing/2012/chart" uri="{CE6537A1-D6FC-4f65-9D91-7224C49458BB}">
                  <c15:layout/>
                </c:ext>
              </c:extLst>
            </c:dLbl>
            <c:dLbl>
              <c:idx val="1"/>
              <c:layout>
                <c:manualLayout>
                  <c:x val="-5.4274084124830389E-3"/>
                  <c:y val="8.14663776926669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065-4A75-AF50-6F3BB1A47A5E}"/>
                </c:ext>
                <c:ext xmlns:c15="http://schemas.microsoft.com/office/drawing/2012/chart" uri="{CE6537A1-D6FC-4f65-9D91-7224C49458BB}">
                  <c15:layout/>
                </c:ext>
              </c:extLst>
            </c:dLbl>
            <c:dLbl>
              <c:idx val="2"/>
              <c:layout>
                <c:manualLayout>
                  <c:x val="-5.4274084124831057E-3"/>
                  <c:y val="7.60352858464891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065-4A75-AF50-6F3BB1A47A5E}"/>
                </c:ext>
                <c:ext xmlns:c15="http://schemas.microsoft.com/office/drawing/2012/chart" uri="{CE6537A1-D6FC-4f65-9D91-7224C49458BB}">
                  <c15:layout/>
                </c:ext>
              </c:extLst>
            </c:dLbl>
            <c:dLbl>
              <c:idx val="3"/>
              <c:layout>
                <c:manualLayout>
                  <c:x val="0"/>
                  <c:y val="7.0604194000311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065-4A75-AF50-6F3BB1A47A5E}"/>
                </c:ext>
                <c:ext xmlns:c15="http://schemas.microsoft.com/office/drawing/2012/chart" uri="{CE6537A1-D6FC-4f65-9D91-7224C49458BB}">
                  <c15:layout/>
                </c:ext>
              </c:extLst>
            </c:dLbl>
            <c:dLbl>
              <c:idx val="4"/>
              <c:layout>
                <c:manualLayout>
                  <c:x val="-1.0854816824966078E-2"/>
                  <c:y val="8.689746953884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065-4A75-AF50-6F3BB1A47A5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'Slide 8 Risqet'!$B$40:$F$40</c:f>
              <c:strCache>
                <c:ptCount val="5"/>
                <c:pt idx="0">
                  <c:v>2015</c:v>
                </c:pt>
                <c:pt idx="1">
                  <c:v>2016</c:v>
                </c:pt>
                <c:pt idx="2">
                  <c:v>2017</c:v>
                </c:pt>
                <c:pt idx="3">
                  <c:v>2018</c:v>
                </c:pt>
                <c:pt idx="4">
                  <c:v>2019</c:v>
                </c:pt>
              </c:strCache>
            </c:strRef>
          </c:cat>
          <c:val>
            <c:numRef>
              <c:f>'Slide 8 Risqet'!$B$45:$F$45</c:f>
              <c:numCache>
                <c:formatCode>0.0%</c:formatCode>
                <c:ptCount val="5"/>
                <c:pt idx="0">
                  <c:v>1.2131707616201144</c:v>
                </c:pt>
                <c:pt idx="1">
                  <c:v>1.2441809395032051</c:v>
                </c:pt>
                <c:pt idx="2">
                  <c:v>1.2790230947002206</c:v>
                </c:pt>
                <c:pt idx="3">
                  <c:v>1.2075250959402763</c:v>
                </c:pt>
                <c:pt idx="4">
                  <c:v>1.193003246103703</c:v>
                </c:pt>
              </c:numCache>
            </c:numRef>
          </c:val>
          <c:smooth val="1"/>
          <c:extLst xmlns:c16r2="http://schemas.microsoft.com/office/drawing/2015/06/chart">
            <c:ext xmlns:c16="http://schemas.microsoft.com/office/drawing/2014/chart" uri="{C3380CC4-5D6E-409C-BE32-E72D297353CC}">
              <c16:uniqueId val="{0000000B-2065-4A75-AF50-6F3BB1A47A5E}"/>
            </c:ext>
          </c:extLst>
        </c:ser>
        <c:dLbls>
          <c:showLegendKey val="0"/>
          <c:showVal val="0"/>
          <c:showCatName val="0"/>
          <c:showSerName val="0"/>
          <c:showPercent val="0"/>
          <c:showBubbleSize val="0"/>
        </c:dLbls>
        <c:marker val="1"/>
        <c:smooth val="0"/>
        <c:axId val="221735936"/>
        <c:axId val="226530368"/>
      </c:lineChart>
      <c:catAx>
        <c:axId val="2217359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6530368"/>
        <c:crosses val="autoZero"/>
        <c:auto val="1"/>
        <c:lblAlgn val="ctr"/>
        <c:lblOffset val="100"/>
        <c:noMultiLvlLbl val="0"/>
      </c:catAx>
      <c:valAx>
        <c:axId val="226530368"/>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17359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6627633084326"/>
          <c:y val="6.6405070932689408E-2"/>
          <c:w val="0.82162746483612625"/>
          <c:h val="0.65923028109261772"/>
        </c:manualLayout>
      </c:layout>
      <c:barChart>
        <c:barDir val="col"/>
        <c:grouping val="clustered"/>
        <c:varyColors val="0"/>
        <c:ser>
          <c:idx val="0"/>
          <c:order val="0"/>
          <c:tx>
            <c:strRef>
              <c:f>'Sherbimi i Borxhit'!$A$75</c:f>
              <c:strCache>
                <c:ptCount val="1"/>
                <c:pt idx="0">
                  <c:v>Borxh Afatshkurtër</c:v>
                </c:pt>
              </c:strCache>
            </c:strRef>
          </c:tx>
          <c:spPr>
            <a:solidFill>
              <a:schemeClr val="accent1"/>
            </a:solidFill>
            <a:ln>
              <a:noFill/>
            </a:ln>
            <a:effectLst/>
          </c:spPr>
          <c:invertIfNegative val="0"/>
          <c:dPt>
            <c:idx val="4"/>
            <c:invertIfNegative val="0"/>
            <c:bubble3D val="0"/>
            <c:spPr>
              <a:pattFill prst="wdUpDiag">
                <a:fgClr>
                  <a:srgbClr val="4472C4"/>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E-5760-4304-838E-B00869E8C7B0}"/>
              </c:ext>
            </c:extLst>
          </c:dPt>
          <c:cat>
            <c:strRef>
              <c:f>'Sherbimi i Borxhit'!$B$72:$G$72</c:f>
              <c:strCache>
                <c:ptCount val="5"/>
                <c:pt idx="0">
                  <c:v>2016</c:v>
                </c:pt>
                <c:pt idx="1">
                  <c:v>2017</c:v>
                </c:pt>
                <c:pt idx="2">
                  <c:v>2018</c:v>
                </c:pt>
                <c:pt idx="3">
                  <c:v>2019</c:v>
                </c:pt>
                <c:pt idx="4">
                  <c:v>Prsh 2020</c:v>
                </c:pt>
              </c:strCache>
            </c:strRef>
          </c:cat>
          <c:val>
            <c:numRef>
              <c:f>'Sherbimi i Borxhit'!$B$75:$G$75</c:f>
              <c:numCache>
                <c:formatCode>#,##0.0</c:formatCode>
                <c:ptCount val="5"/>
                <c:pt idx="0">
                  <c:v>313.13623733817002</c:v>
                </c:pt>
                <c:pt idx="1">
                  <c:v>309.83060116806996</c:v>
                </c:pt>
                <c:pt idx="2">
                  <c:v>325.35446986506997</c:v>
                </c:pt>
                <c:pt idx="3">
                  <c:v>309.05308111666847</c:v>
                </c:pt>
                <c:pt idx="4">
                  <c:v>340.31507651368003</c:v>
                </c:pt>
              </c:numCache>
            </c:numRef>
          </c:val>
          <c:extLst xmlns:c16r2="http://schemas.microsoft.com/office/drawing/2015/06/chart">
            <c:ext xmlns:c16="http://schemas.microsoft.com/office/drawing/2014/chart" uri="{C3380CC4-5D6E-409C-BE32-E72D297353CC}">
              <c16:uniqueId val="{00000000-5760-4304-838E-B00869E8C7B0}"/>
            </c:ext>
          </c:extLst>
        </c:ser>
        <c:ser>
          <c:idx val="1"/>
          <c:order val="1"/>
          <c:tx>
            <c:strRef>
              <c:f>'Sherbimi i Borxhit'!$A$76</c:f>
              <c:strCache>
                <c:ptCount val="1"/>
                <c:pt idx="0">
                  <c:v>Interesa të borxhit</c:v>
                </c:pt>
              </c:strCache>
            </c:strRef>
          </c:tx>
          <c:spPr>
            <a:solidFill>
              <a:srgbClr val="C00000"/>
            </a:solidFill>
            <a:ln>
              <a:noFill/>
            </a:ln>
            <a:effectLst/>
          </c:spPr>
          <c:invertIfNegative val="0"/>
          <c:dPt>
            <c:idx val="4"/>
            <c:invertIfNegative val="0"/>
            <c:bubble3D val="0"/>
            <c:spPr>
              <a:pattFill prst="wdUpDiag">
                <a:fgClr>
                  <a:srgbClr val="C00000"/>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F-5760-4304-838E-B00869E8C7B0}"/>
              </c:ext>
            </c:extLst>
          </c:dPt>
          <c:cat>
            <c:strRef>
              <c:f>'Sherbimi i Borxhit'!$B$72:$G$72</c:f>
              <c:strCache>
                <c:ptCount val="5"/>
                <c:pt idx="0">
                  <c:v>2016</c:v>
                </c:pt>
                <c:pt idx="1">
                  <c:v>2017</c:v>
                </c:pt>
                <c:pt idx="2">
                  <c:v>2018</c:v>
                </c:pt>
                <c:pt idx="3">
                  <c:v>2019</c:v>
                </c:pt>
                <c:pt idx="4">
                  <c:v>Prsh 2020</c:v>
                </c:pt>
              </c:strCache>
            </c:strRef>
          </c:cat>
          <c:val>
            <c:numRef>
              <c:f>'Sherbimi i Borxhit'!$B$76:$G$76</c:f>
              <c:numCache>
                <c:formatCode>#,##0.0</c:formatCode>
                <c:ptCount val="5"/>
                <c:pt idx="0">
                  <c:v>36.259449999999994</c:v>
                </c:pt>
                <c:pt idx="1">
                  <c:v>31.903782</c:v>
                </c:pt>
                <c:pt idx="2">
                  <c:v>36.513370000000002</c:v>
                </c:pt>
                <c:pt idx="3">
                  <c:v>35.142821032270191</c:v>
                </c:pt>
                <c:pt idx="4">
                  <c:v>36.200000000000003</c:v>
                </c:pt>
              </c:numCache>
            </c:numRef>
          </c:val>
          <c:extLst xmlns:c16r2="http://schemas.microsoft.com/office/drawing/2015/06/chart">
            <c:ext xmlns:c16="http://schemas.microsoft.com/office/drawing/2014/chart" uri="{C3380CC4-5D6E-409C-BE32-E72D297353CC}">
              <c16:uniqueId val="{00000001-5760-4304-838E-B00869E8C7B0}"/>
            </c:ext>
          </c:extLst>
        </c:ser>
        <c:dLbls>
          <c:showLegendKey val="0"/>
          <c:showVal val="0"/>
          <c:showCatName val="0"/>
          <c:showSerName val="0"/>
          <c:showPercent val="0"/>
          <c:showBubbleSize val="0"/>
        </c:dLbls>
        <c:gapWidth val="150"/>
        <c:axId val="231295488"/>
        <c:axId val="228049472"/>
      </c:barChart>
      <c:lineChart>
        <c:grouping val="standard"/>
        <c:varyColors val="0"/>
        <c:ser>
          <c:idx val="2"/>
          <c:order val="2"/>
          <c:tx>
            <c:strRef>
              <c:f>'Sherbimi i Borxhit'!$A$77</c:f>
              <c:strCache>
                <c:ptCount val="1"/>
                <c:pt idx="0">
                  <c:v>Interesa/Të ardhura tatimore</c:v>
                </c:pt>
              </c:strCache>
            </c:strRef>
          </c:tx>
          <c:spPr>
            <a:ln w="22225" cap="rnd">
              <a:solidFill>
                <a:sysClr val="window" lastClr="FFFFFF">
                  <a:lumMod val="50000"/>
                </a:sysClr>
              </a:solidFill>
              <a:round/>
            </a:ln>
            <a:effectLst/>
          </c:spPr>
          <c:marker>
            <c:symbol val="diamond"/>
            <c:size val="5"/>
            <c:spPr>
              <a:solidFill>
                <a:schemeClr val="bg1">
                  <a:lumMod val="50000"/>
                </a:schemeClr>
              </a:solidFill>
              <a:ln w="9525">
                <a:noFill/>
              </a:ln>
              <a:effectLst/>
            </c:spPr>
          </c:marker>
          <c:dPt>
            <c:idx val="4"/>
            <c:bubble3D val="0"/>
            <c:spPr>
              <a:ln w="22225" cap="rnd">
                <a:solidFill>
                  <a:sysClr val="window" lastClr="FFFFFF">
                    <a:lumMod val="50000"/>
                  </a:sysClr>
                </a:solidFill>
                <a:prstDash val="dash"/>
                <a:round/>
              </a:ln>
              <a:effectLst/>
            </c:spPr>
            <c:extLst xmlns:c16r2="http://schemas.microsoft.com/office/drawing/2015/06/chart">
              <c:ext xmlns:c16="http://schemas.microsoft.com/office/drawing/2014/chart" uri="{C3380CC4-5D6E-409C-BE32-E72D297353CC}">
                <c16:uniqueId val="{00000006-5760-4304-838E-B00869E8C7B0}"/>
              </c:ext>
            </c:extLst>
          </c:dPt>
          <c:dLbls>
            <c:dLbl>
              <c:idx val="0"/>
              <c:layout>
                <c:manualLayout>
                  <c:x val="-1.6574585635359115E-2"/>
                  <c:y val="-5.09259259259260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760-4304-838E-B00869E8C7B0}"/>
                </c:ext>
                <c:ext xmlns:c15="http://schemas.microsoft.com/office/drawing/2012/chart" uri="{CE6537A1-D6FC-4f65-9D91-7224C49458BB}">
                  <c15:layout/>
                </c:ext>
              </c:extLst>
            </c:dLbl>
            <c:dLbl>
              <c:idx val="1"/>
              <c:layout>
                <c:manualLayout>
                  <c:x val="-5.5248618784530384E-3"/>
                  <c:y val="-3.70370370370371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760-4304-838E-B00869E8C7B0}"/>
                </c:ext>
                <c:ext xmlns:c15="http://schemas.microsoft.com/office/drawing/2012/chart" uri="{CE6537A1-D6FC-4f65-9D91-7224C49458BB}">
                  <c15:layout/>
                </c:ext>
              </c:extLst>
            </c:dLbl>
            <c:dLbl>
              <c:idx val="2"/>
              <c:layout>
                <c:manualLayout>
                  <c:x val="-1.6574585635359115E-2"/>
                  <c:y val="-4.62962962962963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760-4304-838E-B00869E8C7B0}"/>
                </c:ext>
                <c:ext xmlns:c15="http://schemas.microsoft.com/office/drawing/2012/chart" uri="{CE6537A1-D6FC-4f65-9D91-7224C49458BB}">
                  <c15:layout/>
                </c:ext>
              </c:extLst>
            </c:dLbl>
            <c:dLbl>
              <c:idx val="3"/>
              <c:layout>
                <c:manualLayout>
                  <c:x val="-1.2891344383057226E-2"/>
                  <c:y val="-4.1666666666666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760-4304-838E-B00869E8C7B0}"/>
                </c:ext>
                <c:ext xmlns:c15="http://schemas.microsoft.com/office/drawing/2012/chart" uri="{CE6537A1-D6FC-4f65-9D91-7224C49458BB}">
                  <c15:layout/>
                </c:ext>
              </c:extLst>
            </c:dLbl>
            <c:dLbl>
              <c:idx val="4"/>
              <c:layout>
                <c:manualLayout>
                  <c:x val="-6.1274509803923068E-3"/>
                  <c:y val="-2.68276324614352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760-4304-838E-B00869E8C7B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Borxhit'!$B$72:$G$72</c:f>
              <c:strCache>
                <c:ptCount val="5"/>
                <c:pt idx="0">
                  <c:v>2016</c:v>
                </c:pt>
                <c:pt idx="1">
                  <c:v>2017</c:v>
                </c:pt>
                <c:pt idx="2">
                  <c:v>2018</c:v>
                </c:pt>
                <c:pt idx="3">
                  <c:v>2019</c:v>
                </c:pt>
                <c:pt idx="4">
                  <c:v>Prsh 2020</c:v>
                </c:pt>
              </c:strCache>
            </c:strRef>
          </c:cat>
          <c:val>
            <c:numRef>
              <c:f>'Sherbimi i Borxhit'!$B$77:$G$77</c:f>
              <c:numCache>
                <c:formatCode>0.0%</c:formatCode>
                <c:ptCount val="5"/>
                <c:pt idx="0">
                  <c:v>9.8029247007169806E-2</c:v>
                </c:pt>
                <c:pt idx="1">
                  <c:v>8.0033770749243033E-2</c:v>
                </c:pt>
                <c:pt idx="2">
                  <c:v>8.7074878437900197E-2</c:v>
                </c:pt>
                <c:pt idx="3">
                  <c:v>8.2442439275179857E-2</c:v>
                </c:pt>
                <c:pt idx="4">
                  <c:v>8.8715705375632586E-2</c:v>
                </c:pt>
              </c:numCache>
            </c:numRef>
          </c:val>
          <c:smooth val="0"/>
          <c:extLst xmlns:c16r2="http://schemas.microsoft.com/office/drawing/2015/06/chart">
            <c:ext xmlns:c16="http://schemas.microsoft.com/office/drawing/2014/chart" uri="{C3380CC4-5D6E-409C-BE32-E72D297353CC}">
              <c16:uniqueId val="{00000007-5760-4304-838E-B00869E8C7B0}"/>
            </c:ext>
          </c:extLst>
        </c:ser>
        <c:ser>
          <c:idx val="3"/>
          <c:order val="3"/>
          <c:tx>
            <c:strRef>
              <c:f>'Sherbimi i Borxhit'!$A$78</c:f>
              <c:strCache>
                <c:ptCount val="1"/>
                <c:pt idx="0">
                  <c:v>Borxh Afatshkurtër/ Të Ardhura tatimore</c:v>
                </c:pt>
              </c:strCache>
            </c:strRef>
          </c:tx>
          <c:spPr>
            <a:ln w="22225" cap="rnd">
              <a:solidFill>
                <a:srgbClr val="ED7D31"/>
              </a:solidFill>
              <a:round/>
            </a:ln>
            <a:effectLst/>
          </c:spPr>
          <c:marker>
            <c:symbol val="square"/>
            <c:size val="5"/>
            <c:spPr>
              <a:solidFill>
                <a:srgbClr val="ED7D31"/>
              </a:solidFill>
              <a:ln w="9525">
                <a:noFill/>
              </a:ln>
              <a:effectLst/>
            </c:spPr>
          </c:marker>
          <c:dPt>
            <c:idx val="4"/>
            <c:bubble3D val="0"/>
            <c:spPr>
              <a:ln w="22225" cap="rnd">
                <a:solidFill>
                  <a:srgbClr val="ED7D31"/>
                </a:solidFill>
                <a:prstDash val="dash"/>
                <a:round/>
              </a:ln>
              <a:effectLst/>
            </c:spPr>
            <c:extLst xmlns:c16r2="http://schemas.microsoft.com/office/drawing/2015/06/chart">
              <c:ext xmlns:c16="http://schemas.microsoft.com/office/drawing/2014/chart" uri="{C3380CC4-5D6E-409C-BE32-E72D297353CC}">
                <c16:uniqueId val="{00000010-5760-4304-838E-B00869E8C7B0}"/>
              </c:ext>
            </c:extLst>
          </c:dPt>
          <c:dLbls>
            <c:dLbl>
              <c:idx val="0"/>
              <c:layout>
                <c:manualLayout>
                  <c:x val="-2.7624309392265192E-2"/>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760-4304-838E-B00869E8C7B0}"/>
                </c:ext>
                <c:ext xmlns:c15="http://schemas.microsoft.com/office/drawing/2012/chart" uri="{CE6537A1-D6FC-4f65-9D91-7224C49458BB}">
                  <c15:layout/>
                </c:ext>
              </c:extLst>
            </c:dLbl>
            <c:dLbl>
              <c:idx val="1"/>
              <c:layout>
                <c:manualLayout>
                  <c:x val="-1.289134438305709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760-4304-838E-B00869E8C7B0}"/>
                </c:ext>
                <c:ext xmlns:c15="http://schemas.microsoft.com/office/drawing/2012/chart" uri="{CE6537A1-D6FC-4f65-9D91-7224C49458BB}">
                  <c15:layout/>
                </c:ext>
              </c:extLst>
            </c:dLbl>
            <c:dLbl>
              <c:idx val="2"/>
              <c:layout>
                <c:manualLayout>
                  <c:x val="-1.841620626151013E-2"/>
                  <c:y val="-4.6296296296296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5760-4304-838E-B00869E8C7B0}"/>
                </c:ext>
                <c:ext xmlns:c15="http://schemas.microsoft.com/office/drawing/2012/chart" uri="{CE6537A1-D6FC-4f65-9D91-7224C49458BB}">
                  <c15:layout/>
                </c:ext>
              </c:extLst>
            </c:dLbl>
            <c:dLbl>
              <c:idx val="3"/>
              <c:layout>
                <c:manualLayout>
                  <c:x val="-1.1049723756906077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760-4304-838E-B00869E8C7B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'Sherbimi i Borxhit'!$B$72:$G$72</c:f>
              <c:strCache>
                <c:ptCount val="5"/>
                <c:pt idx="0">
                  <c:v>2016</c:v>
                </c:pt>
                <c:pt idx="1">
                  <c:v>2017</c:v>
                </c:pt>
                <c:pt idx="2">
                  <c:v>2018</c:v>
                </c:pt>
                <c:pt idx="3">
                  <c:v>2019</c:v>
                </c:pt>
                <c:pt idx="4">
                  <c:v>Prsh 2020</c:v>
                </c:pt>
              </c:strCache>
            </c:strRef>
          </c:cat>
          <c:val>
            <c:numRef>
              <c:f>'Sherbimi i Borxhit'!$B$78:$G$78</c:f>
              <c:numCache>
                <c:formatCode>0.0%</c:formatCode>
                <c:ptCount val="5"/>
                <c:pt idx="0">
                  <c:v>0.84657956910320531</c:v>
                </c:pt>
                <c:pt idx="1">
                  <c:v>0.77724049471581347</c:v>
                </c:pt>
                <c:pt idx="2">
                  <c:v>0.77588568003250391</c:v>
                </c:pt>
                <c:pt idx="3">
                  <c:v>0.72501549745741201</c:v>
                </c:pt>
                <c:pt idx="4">
                  <c:v>0.83401359289705801</c:v>
                </c:pt>
              </c:numCache>
            </c:numRef>
          </c:val>
          <c:smooth val="1"/>
          <c:extLst xmlns:c16r2="http://schemas.microsoft.com/office/drawing/2015/06/chart">
            <c:ext xmlns:c16="http://schemas.microsoft.com/office/drawing/2014/chart" uri="{C3380CC4-5D6E-409C-BE32-E72D297353CC}">
              <c16:uniqueId val="{0000000C-5760-4304-838E-B00869E8C7B0}"/>
            </c:ext>
          </c:extLst>
        </c:ser>
        <c:dLbls>
          <c:showLegendKey val="0"/>
          <c:showVal val="0"/>
          <c:showCatName val="0"/>
          <c:showSerName val="0"/>
          <c:showPercent val="0"/>
          <c:showBubbleSize val="0"/>
        </c:dLbls>
        <c:marker val="1"/>
        <c:smooth val="0"/>
        <c:axId val="223267328"/>
        <c:axId val="228050048"/>
      </c:lineChart>
      <c:catAx>
        <c:axId val="2312954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049472"/>
        <c:crosses val="autoZero"/>
        <c:auto val="1"/>
        <c:lblAlgn val="ctr"/>
        <c:lblOffset val="100"/>
        <c:noMultiLvlLbl val="0"/>
      </c:catAx>
      <c:valAx>
        <c:axId val="228049472"/>
        <c:scaling>
          <c:orientation val="minMax"/>
          <c:max val="50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1.9230769230769232E-2"/>
              <c:y val="0.20573926146343088"/>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31295488"/>
        <c:crosses val="autoZero"/>
        <c:crossBetween val="between"/>
        <c:majorUnit val="100"/>
      </c:valAx>
      <c:valAx>
        <c:axId val="228050048"/>
        <c:scaling>
          <c:orientation val="minMax"/>
          <c:max val="1"/>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267328"/>
        <c:crosses val="max"/>
        <c:crossBetween val="between"/>
        <c:majorUnit val="0.2"/>
      </c:valAx>
      <c:catAx>
        <c:axId val="223267328"/>
        <c:scaling>
          <c:orientation val="minMax"/>
        </c:scaling>
        <c:delete val="1"/>
        <c:axPos val="b"/>
        <c:numFmt formatCode="General" sourceLinked="1"/>
        <c:majorTickMark val="none"/>
        <c:minorTickMark val="none"/>
        <c:tickLblPos val="nextTo"/>
        <c:crossAx val="228050048"/>
        <c:crosses val="autoZero"/>
        <c:auto val="1"/>
        <c:lblAlgn val="ctr"/>
        <c:lblOffset val="100"/>
        <c:noMultiLvlLbl val="0"/>
      </c:catAx>
      <c:spPr>
        <a:noFill/>
        <a:ln>
          <a:noFill/>
        </a:ln>
        <a:effectLst/>
      </c:spPr>
    </c:plotArea>
    <c:legend>
      <c:legendPos val="b"/>
      <c:layout>
        <c:manualLayout>
          <c:xMode val="edge"/>
          <c:yMode val="edge"/>
          <c:x val="0.10691113130089508"/>
          <c:y val="0.84153192743451588"/>
          <c:w val="0.82036577158624402"/>
          <c:h val="0.1403575986747505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712803971792685E-2"/>
          <c:y val="5.3527980535279802E-2"/>
          <c:w val="0.85513882300856969"/>
          <c:h val="0.70732678909966384"/>
        </c:manualLayout>
      </c:layout>
      <c:barChart>
        <c:barDir val="col"/>
        <c:grouping val="clustered"/>
        <c:varyColors val="0"/>
        <c:ser>
          <c:idx val="0"/>
          <c:order val="0"/>
          <c:tx>
            <c:strRef>
              <c:f>'Tregu primar ankandet'!$A$102</c:f>
              <c:strCache>
                <c:ptCount val="1"/>
                <c:pt idx="0">
                  <c:v>Kërkesa</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'Tregu primar ankandet'!$B$101:$F$101</c:f>
              <c:strCache>
                <c:ptCount val="5"/>
                <c:pt idx="0">
                  <c:v>2016</c:v>
                </c:pt>
                <c:pt idx="1">
                  <c:v>2017</c:v>
                </c:pt>
                <c:pt idx="2">
                  <c:v>2018</c:v>
                </c:pt>
                <c:pt idx="3">
                  <c:v>2019</c:v>
                </c:pt>
                <c:pt idx="4">
                  <c:v>9M 2020</c:v>
                </c:pt>
              </c:strCache>
            </c:strRef>
          </c:cat>
          <c:val>
            <c:numRef>
              <c:f>'Tregu primar ankandet'!$B$102:$F$102</c:f>
              <c:numCache>
                <c:formatCode>0.0</c:formatCode>
                <c:ptCount val="5"/>
                <c:pt idx="0">
                  <c:v>440.29675219999996</c:v>
                </c:pt>
                <c:pt idx="1">
                  <c:v>422.54903517000002</c:v>
                </c:pt>
                <c:pt idx="2">
                  <c:v>401.13025000000005</c:v>
                </c:pt>
                <c:pt idx="3">
                  <c:v>398.39225999999996</c:v>
                </c:pt>
                <c:pt idx="4">
                  <c:v>370.09493103999995</c:v>
                </c:pt>
              </c:numCache>
            </c:numRef>
          </c:val>
          <c:extLst xmlns:c16r2="http://schemas.microsoft.com/office/drawing/2015/06/chart">
            <c:ext xmlns:c16="http://schemas.microsoft.com/office/drawing/2014/chart" uri="{C3380CC4-5D6E-409C-BE32-E72D297353CC}">
              <c16:uniqueId val="{00000000-7A31-47E6-8DB1-777B3B0F58B9}"/>
            </c:ext>
          </c:extLst>
        </c:ser>
        <c:ser>
          <c:idx val="1"/>
          <c:order val="1"/>
          <c:tx>
            <c:strRef>
              <c:f>'Tregu primar ankandet'!$A$103</c:f>
              <c:strCache>
                <c:ptCount val="1"/>
                <c:pt idx="0">
                  <c:v>Oferta</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'Tregu primar ankandet'!$B$101:$F$101</c:f>
              <c:strCache>
                <c:ptCount val="5"/>
                <c:pt idx="0">
                  <c:v>2016</c:v>
                </c:pt>
                <c:pt idx="1">
                  <c:v>2017</c:v>
                </c:pt>
                <c:pt idx="2">
                  <c:v>2018</c:v>
                </c:pt>
                <c:pt idx="3">
                  <c:v>2019</c:v>
                </c:pt>
                <c:pt idx="4">
                  <c:v>9M 2020</c:v>
                </c:pt>
              </c:strCache>
            </c:strRef>
          </c:cat>
          <c:val>
            <c:numRef>
              <c:f>'Tregu primar ankandet'!$B$103:$F$103</c:f>
              <c:numCache>
                <c:formatCode>0.0</c:formatCode>
                <c:ptCount val="5"/>
                <c:pt idx="0">
                  <c:v>365.65650000000005</c:v>
                </c:pt>
                <c:pt idx="1">
                  <c:v>339.99564999999996</c:v>
                </c:pt>
                <c:pt idx="2">
                  <c:v>311.3</c:v>
                </c:pt>
                <c:pt idx="3">
                  <c:v>308.59999999999997</c:v>
                </c:pt>
                <c:pt idx="4">
                  <c:v>285.66320000000002</c:v>
                </c:pt>
              </c:numCache>
            </c:numRef>
          </c:val>
          <c:extLst xmlns:c16r2="http://schemas.microsoft.com/office/drawing/2015/06/chart">
            <c:ext xmlns:c16="http://schemas.microsoft.com/office/drawing/2014/chart" uri="{C3380CC4-5D6E-409C-BE32-E72D297353CC}">
              <c16:uniqueId val="{00000001-7A31-47E6-8DB1-777B3B0F58B9}"/>
            </c:ext>
          </c:extLst>
        </c:ser>
        <c:dLbls>
          <c:showLegendKey val="0"/>
          <c:showVal val="0"/>
          <c:showCatName val="0"/>
          <c:showSerName val="0"/>
          <c:showPercent val="0"/>
          <c:showBubbleSize val="0"/>
        </c:dLbls>
        <c:gapWidth val="150"/>
        <c:axId val="223267840"/>
        <c:axId val="228052928"/>
      </c:barChart>
      <c:lineChart>
        <c:grouping val="standard"/>
        <c:varyColors val="0"/>
        <c:ser>
          <c:idx val="2"/>
          <c:order val="2"/>
          <c:tx>
            <c:strRef>
              <c:f>'Tregu primar ankandet'!$A$104</c:f>
              <c:strCache>
                <c:ptCount val="1"/>
                <c:pt idx="0">
                  <c:v>Raporti i Mbulimit</c:v>
                </c:pt>
              </c:strCache>
            </c:strRef>
          </c:tx>
          <c:spPr>
            <a:ln w="25400" cap="rnd">
              <a:solidFill>
                <a:schemeClr val="accent6">
                  <a:lumMod val="75000"/>
                </a:schemeClr>
              </a:solidFill>
              <a:round/>
            </a:ln>
            <a:effectLst/>
          </c:spPr>
          <c:marker>
            <c:symbol val="diamond"/>
            <c:size val="5"/>
            <c:spPr>
              <a:solidFill>
                <a:schemeClr val="accent6">
                  <a:lumMod val="75000"/>
                </a:schemeClr>
              </a:solidFill>
              <a:ln w="9525">
                <a:noFill/>
              </a:ln>
              <a:effectLst/>
            </c:spPr>
          </c:marker>
          <c:dLbls>
            <c:dLbl>
              <c:idx val="0"/>
              <c:layout>
                <c:manualLayout>
                  <c:x val="-1.1104085474164214E-2"/>
                  <c:y val="-6.48717439731798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A31-47E6-8DB1-777B3B0F58B9}"/>
                </c:ext>
                <c:ext xmlns:c15="http://schemas.microsoft.com/office/drawing/2012/chart" uri="{CE6537A1-D6FC-4f65-9D91-7224C49458BB}">
                  <c15:layout/>
                </c:ext>
              </c:extLst>
            </c:dLbl>
            <c:dLbl>
              <c:idx val="1"/>
              <c:layout>
                <c:manualLayout>
                  <c:x val="-2.1296296296296296E-2"/>
                  <c:y val="-6.656873773131299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A31-47E6-8DB1-777B3B0F58B9}"/>
                </c:ext>
                <c:ext xmlns:c15="http://schemas.microsoft.com/office/drawing/2012/chart" uri="{CE6537A1-D6FC-4f65-9D91-7224C49458BB}">
                  <c15:layout/>
                </c:ext>
              </c:extLst>
            </c:dLbl>
            <c:dLbl>
              <c:idx val="2"/>
              <c:layout>
                <c:manualLayout>
                  <c:x val="-2.3669370874095284E-2"/>
                  <c:y val="-6.41430115353227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A31-47E6-8DB1-777B3B0F58B9}"/>
                </c:ext>
                <c:ext xmlns:c15="http://schemas.microsoft.com/office/drawing/2012/chart" uri="{CE6537A1-D6FC-4f65-9D91-7224C49458BB}">
                  <c15:layout/>
                </c:ext>
              </c:extLst>
            </c:dLbl>
            <c:dLbl>
              <c:idx val="3"/>
              <c:layout>
                <c:manualLayout>
                  <c:x val="-2.4483416845621695E-2"/>
                  <c:y val="-7.36059463155340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A31-47E6-8DB1-777B3B0F58B9}"/>
                </c:ext>
                <c:ext xmlns:c15="http://schemas.microsoft.com/office/drawing/2012/chart" uri="{CE6537A1-D6FC-4f65-9D91-7224C49458BB}">
                  <c15:layout/>
                </c:ext>
              </c:extLst>
            </c:dLbl>
            <c:dLbl>
              <c:idx val="4"/>
              <c:layout>
                <c:manualLayout>
                  <c:x val="-4.5305681486783975E-2"/>
                  <c:y val="-6.76949204878801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A31-47E6-8DB1-777B3B0F58B9}"/>
                </c:ext>
                <c:ext xmlns:c15="http://schemas.microsoft.com/office/drawing/2012/chart" uri="{CE6537A1-D6FC-4f65-9D91-7224C49458BB}">
                  <c15:layout/>
                </c:ext>
              </c:extLst>
            </c:dLbl>
            <c:dLbl>
              <c:idx val="5"/>
              <c:layout>
                <c:manualLayout>
                  <c:x val="-1.2787524366471735E-2"/>
                  <c:y val="8.7949242565151797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A31-47E6-8DB1-777B3B0F58B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6">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'Tregu primar ankandet'!$B$101:$F$101</c:f>
              <c:strCache>
                <c:ptCount val="5"/>
                <c:pt idx="0">
                  <c:v>2016</c:v>
                </c:pt>
                <c:pt idx="1">
                  <c:v>2017</c:v>
                </c:pt>
                <c:pt idx="2">
                  <c:v>2018</c:v>
                </c:pt>
                <c:pt idx="3">
                  <c:v>2019</c:v>
                </c:pt>
                <c:pt idx="4">
                  <c:v>9M 2020</c:v>
                </c:pt>
              </c:strCache>
            </c:strRef>
          </c:cat>
          <c:val>
            <c:numRef>
              <c:f>'Tregu primar ankandet'!$B$104:$F$104</c:f>
              <c:numCache>
                <c:formatCode>0.00</c:formatCode>
                <c:ptCount val="5"/>
                <c:pt idx="0">
                  <c:v>1.2041266932216435</c:v>
                </c:pt>
                <c:pt idx="1">
                  <c:v>1.2428071805330454</c:v>
                </c:pt>
                <c:pt idx="2">
                  <c:v>1.2885648891744299</c:v>
                </c:pt>
                <c:pt idx="3">
                  <c:v>1.2909664938431626</c:v>
                </c:pt>
                <c:pt idx="4">
                  <c:v>1.2955639054662971</c:v>
                </c:pt>
              </c:numCache>
            </c:numRef>
          </c:val>
          <c:smooth val="1"/>
          <c:extLst xmlns:c16r2="http://schemas.microsoft.com/office/drawing/2015/06/chart">
            <c:ext xmlns:c16="http://schemas.microsoft.com/office/drawing/2014/chart" uri="{C3380CC4-5D6E-409C-BE32-E72D297353CC}">
              <c16:uniqueId val="{00000008-7A31-47E6-8DB1-777B3B0F58B9}"/>
            </c:ext>
          </c:extLst>
        </c:ser>
        <c:dLbls>
          <c:showLegendKey val="0"/>
          <c:showVal val="0"/>
          <c:showCatName val="0"/>
          <c:showSerName val="0"/>
          <c:showPercent val="0"/>
          <c:showBubbleSize val="0"/>
        </c:dLbls>
        <c:marker val="1"/>
        <c:smooth val="0"/>
        <c:axId val="224863744"/>
        <c:axId val="228053504"/>
      </c:lineChart>
      <c:catAx>
        <c:axId val="2232678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052928"/>
        <c:crosses val="autoZero"/>
        <c:auto val="1"/>
        <c:lblAlgn val="ctr"/>
        <c:lblOffset val="100"/>
        <c:noMultiLvlLbl val="0"/>
      </c:catAx>
      <c:valAx>
        <c:axId val="228052928"/>
        <c:scaling>
          <c:orientation val="minMax"/>
          <c:max val="5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a:t>
                </a:r>
              </a:p>
            </c:rich>
          </c:tx>
          <c:layout>
            <c:manualLayout>
              <c:xMode val="edge"/>
              <c:yMode val="edge"/>
              <c:x val="1.063951140722794E-2"/>
              <c:y val="8.4806977252843391E-2"/>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267840"/>
        <c:crosses val="autoZero"/>
        <c:crossBetween val="between"/>
        <c:majorUnit val="100"/>
      </c:valAx>
      <c:valAx>
        <c:axId val="228053504"/>
        <c:scaling>
          <c:orientation val="minMax"/>
          <c:max val="1.5"/>
          <c:min val="0"/>
        </c:scaling>
        <c:delete val="0"/>
        <c:axPos val="r"/>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4863744"/>
        <c:crosses val="max"/>
        <c:crossBetween val="between"/>
        <c:majorUnit val="0.30000000000000004"/>
      </c:valAx>
      <c:catAx>
        <c:axId val="224863744"/>
        <c:scaling>
          <c:orientation val="minMax"/>
        </c:scaling>
        <c:delete val="1"/>
        <c:axPos val="b"/>
        <c:numFmt formatCode="General" sourceLinked="1"/>
        <c:majorTickMark val="out"/>
        <c:minorTickMark val="none"/>
        <c:tickLblPos val="nextTo"/>
        <c:crossAx val="228053504"/>
        <c:crosses val="autoZero"/>
        <c:auto val="1"/>
        <c:lblAlgn val="ctr"/>
        <c:lblOffset val="100"/>
        <c:noMultiLvlLbl val="0"/>
      </c:catAx>
      <c:spPr>
        <a:noFill/>
        <a:ln>
          <a:noFill/>
        </a:ln>
        <a:effectLst/>
      </c:spPr>
    </c:plotArea>
    <c:legend>
      <c:legendPos val="b"/>
      <c:layout>
        <c:manualLayout>
          <c:xMode val="edge"/>
          <c:yMode val="edge"/>
          <c:x val="0.27279658025202985"/>
          <c:y val="0.90815027683583349"/>
          <c:w val="0.44660956854077449"/>
          <c:h val="8.211736306684291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698149134182132E-2"/>
          <c:y val="0.11000006118443896"/>
          <c:w val="0.8978574106986158"/>
          <c:h val="0.66624385669992559"/>
        </c:manualLayout>
      </c:layout>
      <c:barChart>
        <c:barDir val="col"/>
        <c:grouping val="clustered"/>
        <c:varyColors val="0"/>
        <c:ser>
          <c:idx val="0"/>
          <c:order val="0"/>
          <c:tx>
            <c:strRef>
              <c:f>'Mbajtesit e Borxhit'!$A$3</c:f>
              <c:strCache>
                <c:ptCount val="1"/>
                <c:pt idx="0">
                  <c:v>BSH</c:v>
                </c:pt>
              </c:strCache>
            </c:strRef>
          </c:tx>
          <c:spPr>
            <a:solidFill>
              <a:schemeClr val="accent1"/>
            </a:solidFill>
            <a:ln>
              <a:noFill/>
            </a:ln>
            <a:effectLst/>
            <a:sp3d/>
          </c:spPr>
          <c:invertIfNegative val="0"/>
          <c:dLbls>
            <c:dLbl>
              <c:idx val="1"/>
              <c:layout>
                <c:manualLayout>
                  <c:x val="-2.3335956497686043E-3"/>
                  <c:y val="-1.29411804666297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73A-4093-BCA3-2FE4B83C7E72}"/>
                </c:ext>
                <c:ext xmlns:c15="http://schemas.microsoft.com/office/drawing/2012/chart" uri="{CE6537A1-D6FC-4f65-9D91-7224C49458BB}">
                  <c15:layout/>
                </c:ext>
              </c:extLst>
            </c:dLbl>
            <c:dLbl>
              <c:idx val="2"/>
              <c:layout>
                <c:manualLayout>
                  <c:x val="-6.3309340039100744E-3"/>
                  <c:y val="-2.588236093325959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73A-4093-BCA3-2FE4B83C7E72}"/>
                </c:ext>
                <c:ext xmlns:c15="http://schemas.microsoft.com/office/drawing/2012/chart" uri="{CE6537A1-D6FC-4f65-9D91-7224C49458BB}">
                  <c15:layout/>
                </c:ext>
              </c:extLst>
            </c:dLbl>
            <c:dLbl>
              <c:idx val="3"/>
              <c:layout>
                <c:manualLayout>
                  <c:x val="-4.2205846305673261E-3"/>
                  <c:y val="-1.72549072888396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73A-4093-BCA3-2FE4B83C7E72}"/>
                </c:ext>
                <c:ext xmlns:c15="http://schemas.microsoft.com/office/drawing/2012/chart" uri="{CE6537A1-D6FC-4f65-9D91-7224C49458BB}">
                  <c15:layout/>
                </c:ext>
              </c:extLst>
            </c:dLbl>
            <c:dLbl>
              <c:idx val="4"/>
              <c:layout>
                <c:manualLayout>
                  <c:x val="-3.432384602357928E-3"/>
                  <c:y val="-8.627453644419837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73A-4093-BCA3-2FE4B83C7E72}"/>
                </c:ext>
                <c:ext xmlns:c15="http://schemas.microsoft.com/office/drawing/2012/chart" uri="{CE6537A1-D6FC-4f65-9D91-7224C49458BB}">
                  <c15:layout/>
                </c:ext>
              </c:extLst>
            </c:dLbl>
            <c:dLbl>
              <c:idx val="5"/>
              <c:layout>
                <c:manualLayout>
                  <c:x val="-4.2206215247377436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73A-4093-BCA3-2FE4B83C7E72}"/>
                </c:ext>
                <c:ext xmlns:c15="http://schemas.microsoft.com/office/drawing/2012/chart" uri="{CE6537A1-D6FC-4f65-9D91-7224C49458BB}"/>
              </c:extLst>
            </c:dLbl>
            <c:spPr>
              <a:noFill/>
              <a:ln>
                <a:noFill/>
              </a:ln>
              <a:effectLst/>
            </c:spPr>
            <c:txPr>
              <a:bodyPr rot="-540000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'Mbajtesit e Borxhit'!$B$2:$F$2</c:f>
              <c:strCache>
                <c:ptCount val="5"/>
                <c:pt idx="0">
                  <c:v>2016</c:v>
                </c:pt>
                <c:pt idx="1">
                  <c:v>2017</c:v>
                </c:pt>
                <c:pt idx="2">
                  <c:v>2018</c:v>
                </c:pt>
                <c:pt idx="3">
                  <c:v>2019</c:v>
                </c:pt>
                <c:pt idx="4">
                  <c:v>9M 2020</c:v>
                </c:pt>
              </c:strCache>
            </c:strRef>
          </c:cat>
          <c:val>
            <c:numRef>
              <c:f>'Mbajtesit e Borxhit'!$B$3:$F$3</c:f>
              <c:numCache>
                <c:formatCode>0.0%</c:formatCode>
                <c:ptCount val="5"/>
                <c:pt idx="0">
                  <c:v>9.2799999999999994E-2</c:v>
                </c:pt>
                <c:pt idx="1">
                  <c:v>7.9399999999999998E-2</c:v>
                </c:pt>
                <c:pt idx="2">
                  <c:v>8.0199999999999994E-2</c:v>
                </c:pt>
                <c:pt idx="3">
                  <c:v>8.1000000000000003E-2</c:v>
                </c:pt>
                <c:pt idx="4">
                  <c:v>9.0592080486528573E-2</c:v>
                </c:pt>
              </c:numCache>
            </c:numRef>
          </c:val>
          <c:extLst xmlns:c16r2="http://schemas.microsoft.com/office/drawing/2015/06/chart">
            <c:ext xmlns:c16="http://schemas.microsoft.com/office/drawing/2014/chart" uri="{C3380CC4-5D6E-409C-BE32-E72D297353CC}">
              <c16:uniqueId val="{00000005-E73A-4093-BCA3-2FE4B83C7E72}"/>
            </c:ext>
          </c:extLst>
        </c:ser>
        <c:ser>
          <c:idx val="1"/>
          <c:order val="1"/>
          <c:tx>
            <c:strRef>
              <c:f>'Mbajtesit e Borxhit'!$A$4</c:f>
              <c:strCache>
                <c:ptCount val="1"/>
                <c:pt idx="0">
                  <c:v>Institucione Financiare_Banka</c:v>
                </c:pt>
              </c:strCache>
            </c:strRef>
          </c:tx>
          <c:spPr>
            <a:solidFill>
              <a:srgbClr val="C00000"/>
            </a:solidFill>
            <a:ln>
              <a:noFill/>
            </a:ln>
            <a:effectLst/>
            <a:sp3d/>
          </c:spPr>
          <c:invertIfNegative val="0"/>
          <c:dLbls>
            <c:dLbl>
              <c:idx val="0"/>
              <c:spPr>
                <a:noFill/>
                <a:ln>
                  <a:noFill/>
                </a:ln>
                <a:effectLst/>
              </c:spPr>
              <c:txPr>
                <a:bodyPr rot="-5400000" spcFirstLastPara="1" vertOverflow="ellipsis" vert="horz" wrap="square" lIns="38100" tIns="19050" rIns="38100" bIns="19050" anchor="ctr" anchorCtr="1">
                  <a:no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dLbl>
            <c:dLbl>
              <c:idx val="1"/>
              <c:layout>
                <c:manualLayout>
                  <c:x val="2.4062790065403458E-3"/>
                  <c:y val="1.9771019538623958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73A-4093-BCA3-2FE4B83C7E72}"/>
                </c:ext>
                <c:ext xmlns:c15="http://schemas.microsoft.com/office/drawing/2012/chart" uri="{CE6537A1-D6FC-4f65-9D91-7224C49458BB}">
                  <c15:layout/>
                </c:ext>
              </c:extLst>
            </c:dLbl>
            <c:dLbl>
              <c:idx val="2"/>
              <c:layout>
                <c:manualLayout>
                  <c:x val="2.406279006540384E-3"/>
                  <c:y val="1.72549072888396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73A-4093-BCA3-2FE4B83C7E72}"/>
                </c:ext>
                <c:ext xmlns:c15="http://schemas.microsoft.com/office/drawing/2012/chart" uri="{CE6537A1-D6FC-4f65-9D91-7224C49458BB}">
                  <c15:layout/>
                </c:ext>
              </c:extLst>
            </c:dLbl>
            <c:dLbl>
              <c:idx val="3"/>
              <c:layout>
                <c:manualLayout>
                  <c:x val="-3.3724552448116928E-4"/>
                  <c:y val="1.72549072888396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73A-4093-BCA3-2FE4B83C7E72}"/>
                </c:ext>
                <c:ext xmlns:c15="http://schemas.microsoft.com/office/drawing/2012/chart" uri="{CE6537A1-D6FC-4f65-9D91-7224C49458BB}">
                  <c15:layout/>
                </c:ext>
              </c:extLst>
            </c:dLbl>
            <c:dLbl>
              <c:idx val="4"/>
              <c:layout>
                <c:manualLayout>
                  <c:x val="4.5027147191741826E-3"/>
                  <c:y val="4.313726822209918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73A-4093-BCA3-2FE4B83C7E72}"/>
                </c:ext>
                <c:ext xmlns:c15="http://schemas.microsoft.com/office/drawing/2012/chart" uri="{CE6537A1-D6FC-4f65-9D91-7224C49458BB}">
                  <c15:layout/>
                </c:ext>
              </c:extLst>
            </c:dLbl>
            <c:spPr>
              <a:noFill/>
              <a:ln>
                <a:noFill/>
              </a:ln>
              <a:effectLst/>
            </c:spPr>
            <c:txPr>
              <a:bodyPr rot="-540000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'Mbajtesit e Borxhit'!$B$2:$F$2</c:f>
              <c:strCache>
                <c:ptCount val="5"/>
                <c:pt idx="0">
                  <c:v>2016</c:v>
                </c:pt>
                <c:pt idx="1">
                  <c:v>2017</c:v>
                </c:pt>
                <c:pt idx="2">
                  <c:v>2018</c:v>
                </c:pt>
                <c:pt idx="3">
                  <c:v>2019</c:v>
                </c:pt>
                <c:pt idx="4">
                  <c:v>9M 2020</c:v>
                </c:pt>
              </c:strCache>
            </c:strRef>
          </c:cat>
          <c:val>
            <c:numRef>
              <c:f>'Mbajtesit e Borxhit'!$B$4:$F$4</c:f>
              <c:numCache>
                <c:formatCode>0.0%</c:formatCode>
                <c:ptCount val="5"/>
                <c:pt idx="0">
                  <c:v>0.60329999999999995</c:v>
                </c:pt>
                <c:pt idx="1">
                  <c:v>0.60960000000000003</c:v>
                </c:pt>
                <c:pt idx="2">
                  <c:v>0.61246</c:v>
                </c:pt>
                <c:pt idx="3">
                  <c:v>0.62219999999999998</c:v>
                </c:pt>
                <c:pt idx="4">
                  <c:v>0.62812000000000001</c:v>
                </c:pt>
              </c:numCache>
            </c:numRef>
          </c:val>
          <c:extLst xmlns:c16r2="http://schemas.microsoft.com/office/drawing/2015/06/chart">
            <c:ext xmlns:c16="http://schemas.microsoft.com/office/drawing/2014/chart" uri="{C3380CC4-5D6E-409C-BE32-E72D297353CC}">
              <c16:uniqueId val="{0000000B-E73A-4093-BCA3-2FE4B83C7E72}"/>
            </c:ext>
          </c:extLst>
        </c:ser>
        <c:ser>
          <c:idx val="3"/>
          <c:order val="2"/>
          <c:tx>
            <c:strRef>
              <c:f>'Mbajtesit e Borxhit'!$A$6</c:f>
              <c:strCache>
                <c:ptCount val="1"/>
                <c:pt idx="0">
                  <c:v>Institucione Financiare_Jo Banka</c:v>
                </c:pt>
              </c:strCache>
            </c:strRef>
          </c:tx>
          <c:spPr>
            <a:solidFill>
              <a:schemeClr val="accent4"/>
            </a:solidFill>
            <a:ln>
              <a:noFill/>
            </a:ln>
            <a:effectLst/>
            <a:sp3d/>
          </c:spPr>
          <c:invertIfNegative val="0"/>
          <c:dLbls>
            <c:dLbl>
              <c:idx val="0"/>
              <c:layout>
                <c:manualLayout>
                  <c:x val="8.3197133792692159E-5"/>
                  <c:y val="0"/>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0C-E73A-4093-BCA3-2FE4B83C7E72}"/>
                </c:ext>
                <c:ext xmlns:c15="http://schemas.microsoft.com/office/drawing/2012/chart" uri="{CE6537A1-D6FC-4f65-9D91-7224C49458BB}">
                  <c15:layout/>
                </c:ext>
              </c:extLst>
            </c:dLbl>
            <c:dLbl>
              <c:idx val="1"/>
              <c:layout>
                <c:manualLayout>
                  <c:x val="-6.7729730149109944E-4"/>
                  <c:y val="1.29160453654609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E73A-4093-BCA3-2FE4B83C7E72}"/>
                </c:ext>
                <c:ext xmlns:c15="http://schemas.microsoft.com/office/drawing/2012/chart" uri="{CE6537A1-D6FC-4f65-9D91-7224C49458BB}">
                  <c15:layout/>
                </c:ext>
              </c:extLst>
            </c:dLbl>
            <c:dLbl>
              <c:idx val="2"/>
              <c:layout>
                <c:manualLayout>
                  <c:x val="-1.9855062009101832E-3"/>
                  <c:y val="1.29286129160453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E73A-4093-BCA3-2FE4B83C7E72}"/>
                </c:ext>
                <c:ext xmlns:c15="http://schemas.microsoft.com/office/drawing/2012/chart" uri="{CE6537A1-D6FC-4f65-9D91-7224C49458BB}">
                  <c15:layout/>
                </c:ext>
              </c:extLst>
            </c:dLbl>
            <c:dLbl>
              <c:idx val="3"/>
              <c:layout>
                <c:manualLayout>
                  <c:x val="-7.0486460574388152E-4"/>
                  <c:y val="-2.5135101168782203E-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E73A-4093-BCA3-2FE4B83C7E72}"/>
                </c:ext>
                <c:ext xmlns:c15="http://schemas.microsoft.com/office/drawing/2012/chart" uri="{CE6537A1-D6FC-4f65-9D91-7224C49458BB}">
                  <c15:layout/>
                </c:ext>
              </c:extLst>
            </c:dLbl>
            <c:dLbl>
              <c:idx val="4"/>
              <c:layout>
                <c:manualLayout>
                  <c:x val="7.4431721482407854E-4"/>
                  <c:y val="8.627453644419837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E73A-4093-BCA3-2FE4B83C7E72}"/>
                </c:ext>
                <c:ext xmlns:c15="http://schemas.microsoft.com/office/drawing/2012/chart" uri="{CE6537A1-D6FC-4f65-9D91-7224C49458BB}">
                  <c15:layout/>
                </c:ext>
              </c:extLst>
            </c:dLbl>
            <c:dLbl>
              <c:idx val="5"/>
              <c:layout>
                <c:manualLayout>
                  <c:x val="1.6882486098950975E-2"/>
                  <c:y val="7.8852162393034302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E73A-4093-BCA3-2FE4B83C7E72}"/>
                </c:ext>
                <c:ext xmlns:c15="http://schemas.microsoft.com/office/drawing/2012/chart" uri="{CE6537A1-D6FC-4f65-9D91-7224C49458BB}"/>
              </c:extLst>
            </c:dLbl>
            <c:spPr>
              <a:noFill/>
              <a:ln>
                <a:noFill/>
              </a:ln>
              <a:effectLst/>
            </c:spPr>
            <c:txPr>
              <a:bodyPr rot="-5400000" spcFirstLastPara="1" vertOverflow="ellipsis" vert="horz" wrap="square" lIns="38100" tIns="19050" rIns="38100" bIns="19050" anchor="ctr" anchorCtr="1">
                <a:spAutoFit/>
              </a:bodyPr>
              <a:lstStyle/>
              <a:p>
                <a:pPr>
                  <a:defRPr sz="800" b="1" i="0" u="none" strike="noStrike" kern="1200" baseline="0">
                    <a:solidFill>
                      <a:schemeClr val="accent4"/>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'Mbajtesit e Borxhit'!$B$2:$F$2</c:f>
              <c:strCache>
                <c:ptCount val="5"/>
                <c:pt idx="0">
                  <c:v>2016</c:v>
                </c:pt>
                <c:pt idx="1">
                  <c:v>2017</c:v>
                </c:pt>
                <c:pt idx="2">
                  <c:v>2018</c:v>
                </c:pt>
                <c:pt idx="3">
                  <c:v>2019</c:v>
                </c:pt>
                <c:pt idx="4">
                  <c:v>9M 2020</c:v>
                </c:pt>
              </c:strCache>
            </c:strRef>
          </c:cat>
          <c:val>
            <c:numRef>
              <c:f>'Mbajtesit e Borxhit'!$B$6:$F$6</c:f>
              <c:numCache>
                <c:formatCode>0.0%</c:formatCode>
                <c:ptCount val="5"/>
                <c:pt idx="0">
                  <c:v>0.13950000000000001</c:v>
                </c:pt>
                <c:pt idx="1">
                  <c:v>0.14973</c:v>
                </c:pt>
                <c:pt idx="2">
                  <c:v>0.1398934</c:v>
                </c:pt>
                <c:pt idx="3">
                  <c:v>0.1416451</c:v>
                </c:pt>
                <c:pt idx="4">
                  <c:v>0.13933999999999999</c:v>
                </c:pt>
              </c:numCache>
            </c:numRef>
          </c:val>
          <c:extLst xmlns:c16r2="http://schemas.microsoft.com/office/drawing/2015/06/chart">
            <c:ext xmlns:c16="http://schemas.microsoft.com/office/drawing/2014/chart" uri="{C3380CC4-5D6E-409C-BE32-E72D297353CC}">
              <c16:uniqueId val="{00000012-E73A-4093-BCA3-2FE4B83C7E72}"/>
            </c:ext>
          </c:extLst>
        </c:ser>
        <c:ser>
          <c:idx val="4"/>
          <c:order val="3"/>
          <c:tx>
            <c:strRef>
              <c:f>'Mbajtesit e Borxhit'!$A$7</c:f>
              <c:strCache>
                <c:ptCount val="1"/>
                <c:pt idx="0">
                  <c:v>Institucione Jo Financiare</c:v>
                </c:pt>
              </c:strCache>
            </c:strRef>
          </c:tx>
          <c:spPr>
            <a:solidFill>
              <a:schemeClr val="bg1">
                <a:lumMod val="50000"/>
              </a:schemeClr>
            </a:solidFill>
            <a:ln>
              <a:noFill/>
            </a:ln>
            <a:effectLst/>
            <a:sp3d/>
          </c:spPr>
          <c:invertIfNegative val="0"/>
          <c:dLbls>
            <c:dLbl>
              <c:idx val="0"/>
              <c:layout>
                <c:manualLayout>
                  <c:x val="2.8985494015522266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E73A-4093-BCA3-2FE4B83C7E72}"/>
                </c:ext>
                <c:ext xmlns:c15="http://schemas.microsoft.com/office/drawing/2012/chart" uri="{CE6537A1-D6FC-4f65-9D91-7224C49458BB}">
                  <c15:layout/>
                </c:ext>
              </c:extLst>
            </c:dLbl>
            <c:dLbl>
              <c:idx val="1"/>
              <c:layout>
                <c:manualLayout>
                  <c:x val="2.8985494015521997E-3"/>
                  <c:y val="-7.90840781544958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E73A-4093-BCA3-2FE4B83C7E72}"/>
                </c:ext>
                <c:ext xmlns:c15="http://schemas.microsoft.com/office/drawing/2012/chart" uri="{CE6537A1-D6FC-4f65-9D91-7224C49458BB}">
                  <c15:layout/>
                </c:ext>
              </c:extLst>
            </c:dLbl>
            <c:dLbl>
              <c:idx val="2"/>
              <c:layout>
                <c:manualLayout>
                  <c:x val="2.8985494015521468E-3"/>
                  <c:y val="-7.90840781544958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E73A-4093-BCA3-2FE4B83C7E72}"/>
                </c:ext>
                <c:ext xmlns:c15="http://schemas.microsoft.com/office/drawing/2012/chart" uri="{CE6537A1-D6FC-4f65-9D91-7224C49458BB}">
                  <c15:layout/>
                </c:ext>
              </c:extLst>
            </c:dLbl>
            <c:dLbl>
              <c:idx val="3"/>
              <c:layout>
                <c:manualLayout>
                  <c:x val="4.3478241023283794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E73A-4093-BCA3-2FE4B83C7E72}"/>
                </c:ext>
                <c:ext xmlns:c15="http://schemas.microsoft.com/office/drawing/2012/chart" uri="{CE6537A1-D6FC-4f65-9D91-7224C49458BB}">
                  <c15:layout/>
                </c:ext>
              </c:extLst>
            </c:dLbl>
            <c:dLbl>
              <c:idx val="4"/>
              <c:layout>
                <c:manualLayout>
                  <c:x val="2.8985494015521468E-3"/>
                  <c:y val="-7.90840781544958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E73A-4093-BCA3-2FE4B83C7E72}"/>
                </c:ext>
                <c:ext xmlns:c15="http://schemas.microsoft.com/office/drawing/2012/chart" uri="{CE6537A1-D6FC-4f65-9D91-7224C49458BB}">
                  <c15:layout/>
                </c:ext>
              </c:extLst>
            </c:dLbl>
            <c:dLbl>
              <c:idx val="5"/>
              <c:layout>
                <c:manualLayout>
                  <c:x val="5.5632790872250613E-3"/>
                  <c:y val="-7.90840781544958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E73A-4093-BCA3-2FE4B83C7E72}"/>
                </c:ext>
                <c:ext xmlns:c15="http://schemas.microsoft.com/office/drawing/2012/chart" uri="{CE6537A1-D6FC-4f65-9D91-7224C49458BB}"/>
              </c:extLst>
            </c:dLbl>
            <c:spPr>
              <a:noFill/>
              <a:ln>
                <a:noFill/>
              </a:ln>
              <a:effectLst/>
            </c:spPr>
            <c:txPr>
              <a:bodyPr rot="-5400000" vert="horz" wrap="square" lIns="38100" tIns="19050" rIns="38100" bIns="19050" anchor="ctr">
                <a:spAutoFit/>
              </a:bodyPr>
              <a:lstStyle/>
              <a:p>
                <a:pPr>
                  <a:defRPr sz="800" b="1">
                    <a:latin typeface="+mn-lt"/>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'Mbajtesit e Borxhit'!$B$2:$F$2</c:f>
              <c:strCache>
                <c:ptCount val="5"/>
                <c:pt idx="0">
                  <c:v>2016</c:v>
                </c:pt>
                <c:pt idx="1">
                  <c:v>2017</c:v>
                </c:pt>
                <c:pt idx="2">
                  <c:v>2018</c:v>
                </c:pt>
                <c:pt idx="3">
                  <c:v>2019</c:v>
                </c:pt>
                <c:pt idx="4">
                  <c:v>9M 2020</c:v>
                </c:pt>
              </c:strCache>
            </c:strRef>
          </c:cat>
          <c:val>
            <c:numRef>
              <c:f>'Mbajtesit e Borxhit'!$B$7:$F$7</c:f>
              <c:numCache>
                <c:formatCode>0.0%</c:formatCode>
                <c:ptCount val="5"/>
                <c:pt idx="0">
                  <c:v>1.374E-2</c:v>
                </c:pt>
                <c:pt idx="1">
                  <c:v>1.269E-2</c:v>
                </c:pt>
                <c:pt idx="2">
                  <c:v>1.5949999999999999E-2</c:v>
                </c:pt>
                <c:pt idx="3">
                  <c:v>2.1090000000000001E-2</c:v>
                </c:pt>
                <c:pt idx="4">
                  <c:v>1.949E-2</c:v>
                </c:pt>
              </c:numCache>
            </c:numRef>
          </c:val>
          <c:extLst xmlns:c16r2="http://schemas.microsoft.com/office/drawing/2015/06/chart">
            <c:ext xmlns:c16="http://schemas.microsoft.com/office/drawing/2014/chart" uri="{C3380CC4-5D6E-409C-BE32-E72D297353CC}">
              <c16:uniqueId val="{00000019-E73A-4093-BCA3-2FE4B83C7E72}"/>
            </c:ext>
          </c:extLst>
        </c:ser>
        <c:ser>
          <c:idx val="5"/>
          <c:order val="4"/>
          <c:tx>
            <c:strRef>
              <c:f>'Mbajtesit e Borxhit'!$A$8</c:f>
              <c:strCache>
                <c:ptCount val="1"/>
                <c:pt idx="0">
                  <c:v>Individë</c:v>
                </c:pt>
              </c:strCache>
            </c:strRef>
          </c:tx>
          <c:spPr>
            <a:solidFill>
              <a:schemeClr val="accent6"/>
            </a:solidFill>
            <a:ln>
              <a:noFill/>
            </a:ln>
            <a:effectLst/>
            <a:sp3d/>
          </c:spPr>
          <c:invertIfNegative val="0"/>
          <c:dLbls>
            <c:dLbl>
              <c:idx val="0"/>
              <c:layout>
                <c:manualLayout>
                  <c:x val="8.0209300218012807E-4"/>
                  <c:y val="1.5663243990503006E-2"/>
                </c:manualLayout>
              </c:layout>
              <c:showLegendKey val="0"/>
              <c:showVal val="1"/>
              <c:showCatName val="0"/>
              <c:showSerName val="0"/>
              <c:showPercent val="0"/>
              <c:showBubbleSize val="0"/>
              <c:extLst xmlns:c16r2="http://schemas.microsoft.com/office/drawing/2015/06/chart" xmlns:c15="http://schemas.microsoft.com/office/drawing/2012/chart">
                <c:ext xmlns:c16="http://schemas.microsoft.com/office/drawing/2014/chart" uri="{C3380CC4-5D6E-409C-BE32-E72D297353CC}">
                  <c16:uniqueId val="{0000001A-E73A-4093-BCA3-2FE4B83C7E72}"/>
                </c:ext>
                <c:ext xmlns:c15="http://schemas.microsoft.com/office/drawing/2012/chart" uri="{CE6537A1-D6FC-4f65-9D91-7224C49458BB}">
                  <c15:layout/>
                </c:ext>
              </c:extLst>
            </c:dLbl>
            <c:dLbl>
              <c:idx val="1"/>
              <c:layout>
                <c:manualLayout>
                  <c:x val="2.0305713150479019E-3"/>
                  <c:y val="1.13495171682930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E73A-4093-BCA3-2FE4B83C7E72}"/>
                </c:ext>
                <c:ext xmlns:c15="http://schemas.microsoft.com/office/drawing/2012/chart" uri="{CE6537A1-D6FC-4f65-9D91-7224C49458BB}">
                  <c15:layout/>
                </c:ext>
              </c:extLst>
            </c:dLbl>
            <c:dLbl>
              <c:idx val="2"/>
              <c:layout>
                <c:manualLayout>
                  <c:x val="-7.4893927781263933E-4"/>
                  <c:y val="-9.888284665210642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C-E73A-4093-BCA3-2FE4B83C7E72}"/>
                </c:ext>
                <c:ext xmlns:c15="http://schemas.microsoft.com/office/drawing/2012/chart" uri="{CE6537A1-D6FC-4f65-9D91-7224C49458BB}">
                  <c15:layout/>
                </c:ext>
              </c:extLst>
            </c:dLbl>
            <c:dLbl>
              <c:idx val="3"/>
              <c:layout>
                <c:manualLayout>
                  <c:x val="-1.437626663096827E-3"/>
                  <c:y val="7.195092541328560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E73A-4093-BCA3-2FE4B83C7E72}"/>
                </c:ext>
                <c:ext xmlns:c15="http://schemas.microsoft.com/office/drawing/2012/chart" uri="{CE6537A1-D6FC-4f65-9D91-7224C49458BB}">
                  <c15:layout/>
                </c:ext>
              </c:extLst>
            </c:dLbl>
            <c:dLbl>
              <c:idx val="4"/>
              <c:layout>
                <c:manualLayout>
                  <c:x val="-2.0569831035535248E-3"/>
                  <c:y val="3.040328250834722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E73A-4093-BCA3-2FE4B83C7E72}"/>
                </c:ext>
                <c:ext xmlns:c15="http://schemas.microsoft.com/office/drawing/2012/chart" uri="{CE6537A1-D6FC-4f65-9D91-7224C49458BB}">
                  <c15:layout/>
                </c:ext>
              </c:extLst>
            </c:dLbl>
            <c:dLbl>
              <c:idx val="5"/>
              <c:layout>
                <c:manualLayout>
                  <c:x val="3.5367811380091728E-2"/>
                  <c:y val="-2.25627034333090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F-E73A-4093-BCA3-2FE4B83C7E72}"/>
                </c:ext>
                <c:ext xmlns:c15="http://schemas.microsoft.com/office/drawing/2012/chart" uri="{CE6537A1-D6FC-4f65-9D91-7224C49458BB}"/>
              </c:extLst>
            </c:dLbl>
            <c:spPr>
              <a:solidFill>
                <a:schemeClr val="bg1"/>
              </a:solidFill>
              <a:ln>
                <a:noFill/>
              </a:ln>
              <a:effectLst/>
            </c:spPr>
            <c:txPr>
              <a:bodyPr rot="-5400000" spcFirstLastPara="1" vertOverflow="ellipsis" vert="horz" wrap="square" lIns="38100" tIns="19050" rIns="38100" bIns="19050" anchor="ctr" anchorCtr="1">
                <a:spAutoFit/>
              </a:bodyPr>
              <a:lstStyle/>
              <a:p>
                <a:pPr>
                  <a:defRPr sz="800" b="1" i="0" u="none" strike="noStrike" kern="1200" baseline="0">
                    <a:solidFill>
                      <a:schemeClr val="accent6"/>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'Mbajtesit e Borxhit'!$B$2:$F$2</c:f>
              <c:strCache>
                <c:ptCount val="5"/>
                <c:pt idx="0">
                  <c:v>2016</c:v>
                </c:pt>
                <c:pt idx="1">
                  <c:v>2017</c:v>
                </c:pt>
                <c:pt idx="2">
                  <c:v>2018</c:v>
                </c:pt>
                <c:pt idx="3">
                  <c:v>2019</c:v>
                </c:pt>
                <c:pt idx="4">
                  <c:v>9M 2020</c:v>
                </c:pt>
              </c:strCache>
            </c:strRef>
          </c:cat>
          <c:val>
            <c:numRef>
              <c:f>'Mbajtesit e Borxhit'!$B$8:$F$8</c:f>
              <c:numCache>
                <c:formatCode>0.0%</c:formatCode>
                <c:ptCount val="5"/>
                <c:pt idx="0">
                  <c:v>0.1507</c:v>
                </c:pt>
                <c:pt idx="1">
                  <c:v>0.14859</c:v>
                </c:pt>
                <c:pt idx="2">
                  <c:v>0.15146999999999999</c:v>
                </c:pt>
                <c:pt idx="3">
                  <c:v>0.13406000000000001</c:v>
                </c:pt>
                <c:pt idx="4">
                  <c:v>0.12244936886754094</c:v>
                </c:pt>
              </c:numCache>
            </c:numRef>
          </c:val>
          <c:extLst xmlns:c16r2="http://schemas.microsoft.com/office/drawing/2015/06/chart">
            <c:ext xmlns:c16="http://schemas.microsoft.com/office/drawing/2014/chart" uri="{C3380CC4-5D6E-409C-BE32-E72D297353CC}">
              <c16:uniqueId val="{00000020-E73A-4093-BCA3-2FE4B83C7E72}"/>
            </c:ext>
          </c:extLst>
        </c:ser>
        <c:dLbls>
          <c:showLegendKey val="0"/>
          <c:showVal val="0"/>
          <c:showCatName val="0"/>
          <c:showSerName val="0"/>
          <c:showPercent val="0"/>
          <c:showBubbleSize val="0"/>
        </c:dLbls>
        <c:gapWidth val="129"/>
        <c:axId val="224865792"/>
        <c:axId val="228051776"/>
        <c:extLst xmlns:c16r2="http://schemas.microsoft.com/office/drawing/2015/06/chart">
          <c:ext xmlns:c15="http://schemas.microsoft.com/office/drawing/2012/chart" uri="{02D57815-91ED-43cb-92C2-25804820EDAC}">
            <c15:filteredBarSeries>
              <c15:ser>
                <c:idx val="2"/>
                <c:order val="2"/>
                <c:tx>
                  <c:strRef>
                    <c:extLst xmlns:c16r2="http://schemas.microsoft.com/office/drawing/2015/06/chart">
                      <c:ext uri="{02D57815-91ED-43cb-92C2-25804820EDAC}">
                        <c15:formulaRef>
                          <c15:sqref>'Mbajtesit e Borxhit'!$A$5</c15:sqref>
                        </c15:formulaRef>
                      </c:ext>
                    </c:extLst>
                    <c:strCache>
                      <c:ptCount val="1"/>
                      <c:pt idx="0">
                        <c:v>Institucione Financiare_Banka</c:v>
                      </c:pt>
                    </c:strCache>
                  </c:strRef>
                </c:tx>
                <c:invertIfNegative val="0"/>
                <c:dLbls>
                  <c:spPr>
                    <a:noFill/>
                    <a:ln>
                      <a:noFill/>
                    </a:ln>
                    <a:effectLst/>
                  </c:spPr>
                  <c:txPr>
                    <a:bodyPr rot="-5400000" vert="horz" wrap="square" lIns="38100" tIns="19050" rIns="38100" bIns="19050" anchor="ctr">
                      <a:spAutoFit/>
                    </a:bodyPr>
                    <a:lstStyle/>
                    <a:p>
                      <a:pPr>
                        <a:defRPr b="1">
                          <a:solidFill>
                            <a:schemeClr val="accent3"/>
                          </a:solidFill>
                        </a:defRPr>
                      </a:pPr>
                      <a:endParaRPr lang="en-US"/>
                    </a:p>
                  </c:txPr>
                  <c:showLegendKey val="0"/>
                  <c:showVal val="1"/>
                  <c:showCatName val="0"/>
                  <c:showSerName val="0"/>
                  <c:showPercent val="0"/>
                  <c:showBubbleSize val="0"/>
                  <c:showLeaderLines val="0"/>
                  <c:extLst xmlns:c16r2="http://schemas.microsoft.com/office/drawing/2015/06/chart">
                    <c:ext uri="{CE6537A1-D6FC-4f65-9D91-7224C49458BB}">
                      <c15:showLeaderLines val="1"/>
                    </c:ext>
                  </c:extLst>
                </c:dLbls>
                <c:cat>
                  <c:strRef>
                    <c:extLst xmlns:c16r2="http://schemas.microsoft.com/office/drawing/2015/06/chart">
                      <c:ext uri="{02D57815-91ED-43cb-92C2-25804820EDAC}">
                        <c15:formulaRef>
                          <c15:sqref>'Mbajtesit e Borxhit'!$B$2:$F$2</c15:sqref>
                        </c15:formulaRef>
                      </c:ext>
                    </c:extLst>
                    <c:strCache>
                      <c:ptCount val="5"/>
                      <c:pt idx="0">
                        <c:v>2016</c:v>
                      </c:pt>
                      <c:pt idx="1">
                        <c:v>2017</c:v>
                      </c:pt>
                      <c:pt idx="2">
                        <c:v>2018</c:v>
                      </c:pt>
                      <c:pt idx="3">
                        <c:v>2019</c:v>
                      </c:pt>
                      <c:pt idx="4">
                        <c:v>9M 2020</c:v>
                      </c:pt>
                    </c:strCache>
                  </c:strRef>
                </c:cat>
                <c:val>
                  <c:numRef>
                    <c:extLst xmlns:c16r2="http://schemas.microsoft.com/office/drawing/2015/06/chart">
                      <c:ext uri="{02D57815-91ED-43cb-92C2-25804820EDAC}">
                        <c15:formulaRef>
                          <c15:sqref>'Mbajtesit e Borxhit'!$B$5:$F$5</c15:sqref>
                        </c15:formulaRef>
                      </c:ext>
                    </c:extLst>
                  </c:numRef>
                </c:val>
                <c:extLst xmlns:c16r2="http://schemas.microsoft.com/office/drawing/2015/06/chart">
                  <c:ext xmlns:c16="http://schemas.microsoft.com/office/drawing/2014/chart" uri="{C3380CC4-5D6E-409C-BE32-E72D297353CC}">
                    <c16:uniqueId val="{00000021-E73A-4093-BCA3-2FE4B83C7E72}"/>
                  </c:ext>
                </c:extLst>
              </c15:ser>
            </c15:filteredBarSeries>
          </c:ext>
        </c:extLst>
      </c:barChart>
      <c:catAx>
        <c:axId val="224865792"/>
        <c:scaling>
          <c:orientation val="minMax"/>
        </c:scaling>
        <c:delete val="0"/>
        <c:axPos val="b"/>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051776"/>
        <c:crosses val="autoZero"/>
        <c:auto val="1"/>
        <c:lblAlgn val="ctr"/>
        <c:lblOffset val="100"/>
        <c:noMultiLvlLbl val="0"/>
      </c:catAx>
      <c:valAx>
        <c:axId val="228051776"/>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4865792"/>
        <c:crosses val="autoZero"/>
        <c:crossBetween val="between"/>
        <c:majorUnit val="0.2"/>
      </c:valAx>
      <c:spPr>
        <a:noFill/>
        <a:ln>
          <a:noFill/>
        </a:ln>
        <a:effectLst/>
        <a:sp3d/>
      </c:spPr>
    </c:plotArea>
    <c:legend>
      <c:legendPos val="b"/>
      <c:layout>
        <c:manualLayout>
          <c:xMode val="edge"/>
          <c:yMode val="edge"/>
          <c:x val="4.6728245507773068E-2"/>
          <c:y val="0.89404613896947083"/>
          <c:w val="0.93190423312470561"/>
          <c:h val="7.279464962008634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56710938770843"/>
          <c:y val="5.0925925925925923E-2"/>
          <c:w val="0.86386560976360371"/>
          <c:h val="0.73577136191309422"/>
        </c:manualLayout>
      </c:layout>
      <c:barChart>
        <c:barDir val="col"/>
        <c:grouping val="stacked"/>
        <c:varyColors val="0"/>
        <c:ser>
          <c:idx val="0"/>
          <c:order val="0"/>
          <c:tx>
            <c:strRef>
              <c:f>'Tregu primar ankandet'!$A$123</c:f>
              <c:strCache>
                <c:ptCount val="1"/>
                <c:pt idx="0">
                  <c:v>Bono Thesari</c:v>
                </c:pt>
              </c:strCache>
            </c:strRef>
          </c:tx>
          <c:spPr>
            <a:solidFill>
              <a:schemeClr val="accent1"/>
            </a:solidFill>
            <a:ln>
              <a:noFill/>
            </a:ln>
            <a:effectLst/>
          </c:spPr>
          <c:invertIfNegative val="0"/>
          <c:dPt>
            <c:idx val="4"/>
            <c:invertIfNegative val="0"/>
            <c:bubble3D val="0"/>
            <c:spPr>
              <a:pattFill prst="wdDnDiag">
                <a:fgClr>
                  <a:srgbClr val="5B9BD5"/>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0-A484-4F7B-9C9A-1903DF3B1BEE}"/>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'Tregu primar ankandet'!$B$122:$F$122</c:f>
              <c:strCache>
                <c:ptCount val="5"/>
                <c:pt idx="0">
                  <c:v>2016</c:v>
                </c:pt>
                <c:pt idx="1">
                  <c:v>2017</c:v>
                </c:pt>
                <c:pt idx="2">
                  <c:v>2018</c:v>
                </c:pt>
                <c:pt idx="3">
                  <c:v>2019</c:v>
                </c:pt>
                <c:pt idx="4">
                  <c:v>Plan 2020</c:v>
                </c:pt>
              </c:strCache>
            </c:strRef>
          </c:cat>
          <c:val>
            <c:numRef>
              <c:f>'Tregu primar ankandet'!$B$123:$F$123</c:f>
              <c:numCache>
                <c:formatCode>0</c:formatCode>
                <c:ptCount val="5"/>
                <c:pt idx="0">
                  <c:v>42</c:v>
                </c:pt>
                <c:pt idx="1">
                  <c:v>32</c:v>
                </c:pt>
                <c:pt idx="2">
                  <c:v>27</c:v>
                </c:pt>
                <c:pt idx="3">
                  <c:v>25</c:v>
                </c:pt>
                <c:pt idx="4">
                  <c:v>33</c:v>
                </c:pt>
              </c:numCache>
            </c:numRef>
          </c:val>
          <c:extLst xmlns:c16r2="http://schemas.microsoft.com/office/drawing/2015/06/chart">
            <c:ext xmlns:c16="http://schemas.microsoft.com/office/drawing/2014/chart" uri="{C3380CC4-5D6E-409C-BE32-E72D297353CC}">
              <c16:uniqueId val="{00000000-D391-4C2F-AACF-138DA62D1061}"/>
            </c:ext>
          </c:extLst>
        </c:ser>
        <c:ser>
          <c:idx val="1"/>
          <c:order val="1"/>
          <c:tx>
            <c:strRef>
              <c:f>'Tregu primar ankandet'!$A$124</c:f>
              <c:strCache>
                <c:ptCount val="1"/>
                <c:pt idx="0">
                  <c:v>Obligacione</c:v>
                </c:pt>
              </c:strCache>
            </c:strRef>
          </c:tx>
          <c:spPr>
            <a:solidFill>
              <a:srgbClr val="C00000"/>
            </a:solidFill>
            <a:ln>
              <a:noFill/>
            </a:ln>
            <a:effectLst/>
          </c:spPr>
          <c:invertIfNegative val="0"/>
          <c:dPt>
            <c:idx val="4"/>
            <c:invertIfNegative val="0"/>
            <c:bubble3D val="0"/>
            <c:spPr>
              <a:pattFill prst="wdDnDiag">
                <a:fgClr>
                  <a:srgbClr val="C00000"/>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1-A484-4F7B-9C9A-1903DF3B1BEE}"/>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'Tregu primar ankandet'!$B$122:$F$122</c:f>
              <c:strCache>
                <c:ptCount val="5"/>
                <c:pt idx="0">
                  <c:v>2016</c:v>
                </c:pt>
                <c:pt idx="1">
                  <c:v>2017</c:v>
                </c:pt>
                <c:pt idx="2">
                  <c:v>2018</c:v>
                </c:pt>
                <c:pt idx="3">
                  <c:v>2019</c:v>
                </c:pt>
                <c:pt idx="4">
                  <c:v>Plan 2020</c:v>
                </c:pt>
              </c:strCache>
            </c:strRef>
          </c:cat>
          <c:val>
            <c:numRef>
              <c:f>'Tregu primar ankandet'!$B$124:$F$124</c:f>
              <c:numCache>
                <c:formatCode>0</c:formatCode>
                <c:ptCount val="5"/>
                <c:pt idx="0">
                  <c:v>27</c:v>
                </c:pt>
                <c:pt idx="1">
                  <c:v>22</c:v>
                </c:pt>
                <c:pt idx="2">
                  <c:v>22</c:v>
                </c:pt>
                <c:pt idx="3">
                  <c:v>10</c:v>
                </c:pt>
                <c:pt idx="4">
                  <c:v>11</c:v>
                </c:pt>
              </c:numCache>
            </c:numRef>
          </c:val>
          <c:extLst xmlns:c16r2="http://schemas.microsoft.com/office/drawing/2015/06/chart">
            <c:ext xmlns:c16="http://schemas.microsoft.com/office/drawing/2014/chart" uri="{C3380CC4-5D6E-409C-BE32-E72D297353CC}">
              <c16:uniqueId val="{00000001-D391-4C2F-AACF-138DA62D1061}"/>
            </c:ext>
          </c:extLst>
        </c:ser>
        <c:ser>
          <c:idx val="2"/>
          <c:order val="2"/>
          <c:tx>
            <c:strRef>
              <c:f>'Tregu primar ankandet'!$A$125</c:f>
              <c:strCache>
                <c:ptCount val="1"/>
                <c:pt idx="0">
                  <c:v>Rihapje Obligacionesh</c:v>
                </c:pt>
              </c:strCache>
            </c:strRef>
          </c:tx>
          <c:spPr>
            <a:solidFill>
              <a:schemeClr val="accent6"/>
            </a:solidFill>
            <a:ln>
              <a:noFill/>
            </a:ln>
            <a:effectLst/>
          </c:spPr>
          <c:invertIfNegative val="0"/>
          <c:dPt>
            <c:idx val="4"/>
            <c:invertIfNegative val="0"/>
            <c:bubble3D val="0"/>
            <c:spPr>
              <a:pattFill prst="wdDnDiag">
                <a:fgClr>
                  <a:srgbClr val="FFC000"/>
                </a:fgClr>
                <a:bgClr>
                  <a:sysClr val="window" lastClr="FFFFFF"/>
                </a:bgClr>
              </a:pattFill>
              <a:ln>
                <a:noFill/>
              </a:ln>
              <a:effectLst/>
            </c:spPr>
            <c:extLst xmlns:c16r2="http://schemas.microsoft.com/office/drawing/2015/06/chart">
              <c:ext xmlns:c16="http://schemas.microsoft.com/office/drawing/2014/chart" uri="{C3380CC4-5D6E-409C-BE32-E72D297353CC}">
                <c16:uniqueId val="{00000002-A484-4F7B-9C9A-1903DF3B1BEE}"/>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'Tregu primar ankandet'!$B$122:$F$122</c:f>
              <c:strCache>
                <c:ptCount val="5"/>
                <c:pt idx="0">
                  <c:v>2016</c:v>
                </c:pt>
                <c:pt idx="1">
                  <c:v>2017</c:v>
                </c:pt>
                <c:pt idx="2">
                  <c:v>2018</c:v>
                </c:pt>
                <c:pt idx="3">
                  <c:v>2019</c:v>
                </c:pt>
                <c:pt idx="4">
                  <c:v>Plan 2020</c:v>
                </c:pt>
              </c:strCache>
            </c:strRef>
          </c:cat>
          <c:val>
            <c:numRef>
              <c:f>'Tregu primar ankandet'!$B$125:$F$125</c:f>
              <c:numCache>
                <c:formatCode>0</c:formatCode>
                <c:ptCount val="5"/>
                <c:pt idx="0">
                  <c:v>5</c:v>
                </c:pt>
                <c:pt idx="1">
                  <c:v>5</c:v>
                </c:pt>
                <c:pt idx="2">
                  <c:v>8</c:v>
                </c:pt>
                <c:pt idx="3">
                  <c:v>22</c:v>
                </c:pt>
                <c:pt idx="4">
                  <c:v>21</c:v>
                </c:pt>
              </c:numCache>
            </c:numRef>
          </c:val>
          <c:extLst xmlns:c16r2="http://schemas.microsoft.com/office/drawing/2015/06/chart">
            <c:ext xmlns:c16="http://schemas.microsoft.com/office/drawing/2014/chart" uri="{C3380CC4-5D6E-409C-BE32-E72D297353CC}">
              <c16:uniqueId val="{00000002-D391-4C2F-AACF-138DA62D1061}"/>
            </c:ext>
          </c:extLst>
        </c:ser>
        <c:dLbls>
          <c:showLegendKey val="0"/>
          <c:showVal val="0"/>
          <c:showCatName val="0"/>
          <c:showSerName val="0"/>
          <c:showPercent val="0"/>
          <c:showBubbleSize val="0"/>
        </c:dLbls>
        <c:gapWidth val="150"/>
        <c:overlap val="100"/>
        <c:axId val="227382272"/>
        <c:axId val="232873984"/>
      </c:barChart>
      <c:catAx>
        <c:axId val="2273822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32873984"/>
        <c:crosses val="autoZero"/>
        <c:auto val="1"/>
        <c:lblAlgn val="ctr"/>
        <c:lblOffset val="100"/>
        <c:noMultiLvlLbl val="0"/>
      </c:catAx>
      <c:valAx>
        <c:axId val="23287398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numri i ankandeve</a:t>
                </a:r>
              </a:p>
            </c:rich>
          </c:tx>
          <c:layout>
            <c:manualLayout>
              <c:xMode val="edge"/>
              <c:yMode val="edge"/>
              <c:x val="3.3211245676948407E-2"/>
              <c:y val="0.11368840433407364"/>
            </c:manualLayout>
          </c:layout>
          <c:overlay val="0"/>
          <c:spPr>
            <a:noFill/>
            <a:ln>
              <a:noFill/>
            </a:ln>
            <a:effectLst/>
          </c:sp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7382272"/>
        <c:crosses val="autoZero"/>
        <c:crossBetween val="between"/>
        <c:majorUnit val="20"/>
      </c:valAx>
      <c:spPr>
        <a:noFill/>
        <a:ln>
          <a:noFill/>
        </a:ln>
        <a:effectLst/>
      </c:spPr>
    </c:plotArea>
    <c:legend>
      <c:legendPos val="b"/>
      <c:layout>
        <c:manualLayout>
          <c:xMode val="edge"/>
          <c:yMode val="edge"/>
          <c:x val="0.23003627059180418"/>
          <c:y val="0.91314480056190162"/>
          <c:w val="0.5399274588163917"/>
          <c:h val="8.685519943809839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028178769320498E-2"/>
          <c:y val="5.7172017352253905E-2"/>
          <c:w val="0.91671314523184599"/>
          <c:h val="0.71290765529831523"/>
        </c:manualLayout>
      </c:layout>
      <c:lineChart>
        <c:grouping val="standard"/>
        <c:varyColors val="0"/>
        <c:ser>
          <c:idx val="0"/>
          <c:order val="0"/>
          <c:tx>
            <c:strRef>
              <c:f>'Yeld Mesatar i Ponderuar'!$D$4</c:f>
              <c:strCache>
                <c:ptCount val="1"/>
                <c:pt idx="0">
                  <c:v>2018</c:v>
                </c:pt>
              </c:strCache>
            </c:strRef>
          </c:tx>
          <c:spPr>
            <a:ln w="25400" cap="rnd">
              <a:solidFill>
                <a:srgbClr val="C00000"/>
              </a:solidFill>
              <a:round/>
            </a:ln>
            <a:effectLst/>
          </c:spPr>
          <c:marker>
            <c:symbol val="diamond"/>
            <c:size val="5"/>
            <c:spPr>
              <a:solidFill>
                <a:srgbClr val="C00000"/>
              </a:solidFill>
              <a:ln w="9525">
                <a:noFill/>
              </a:ln>
              <a:effectLst/>
            </c:spPr>
          </c:marker>
          <c:dLbls>
            <c:dLbl>
              <c:idx val="0"/>
              <c:layout>
                <c:manualLayout>
                  <c:x val="-2.6733503934837609E-2"/>
                  <c:y val="-3.92878839027563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DF3-479C-98B1-0F9DEF7BF558}"/>
                </c:ext>
                <c:ext xmlns:c15="http://schemas.microsoft.com/office/drawing/2012/chart" uri="{CE6537A1-D6FC-4f65-9D91-7224C49458BB}">
                  <c15:layout/>
                </c:ext>
              </c:extLst>
            </c:dLbl>
            <c:dLbl>
              <c:idx val="1"/>
              <c:layout>
                <c:manualLayout>
                  <c:x val="-6.2109588486529161E-3"/>
                  <c:y val="-3.92878839027563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DF3-479C-98B1-0F9DEF7BF558}"/>
                </c:ext>
                <c:ext xmlns:c15="http://schemas.microsoft.com/office/drawing/2012/chart" uri="{CE6537A1-D6FC-4f65-9D91-7224C49458BB}">
                  <c15:layout/>
                </c:ext>
              </c:extLst>
            </c:dLbl>
            <c:dLbl>
              <c:idx val="2"/>
              <c:layout>
                <c:manualLayout>
                  <c:x val="-5.0125319877821128E-3"/>
                  <c:y val="-4.419886939060083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DF3-479C-98B1-0F9DEF7BF558}"/>
                </c:ext>
                <c:ext xmlns:c15="http://schemas.microsoft.com/office/drawing/2012/chart" uri="{CE6537A1-D6FC-4f65-9D91-7224C49458BB}">
                  <c15:layout/>
                </c:ext>
              </c:extLst>
            </c:dLbl>
            <c:dLbl>
              <c:idx val="3"/>
              <c:layout>
                <c:manualLayout>
                  <c:x val="-8.3542199796368139E-3"/>
                  <c:y val="-6.38428113419789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DF3-479C-98B1-0F9DEF7BF558}"/>
                </c:ext>
                <c:ext xmlns:c15="http://schemas.microsoft.com/office/drawing/2012/chart" uri="{CE6537A1-D6FC-4f65-9D91-7224C49458BB}">
                  <c15:layout/>
                </c:ext>
              </c:extLst>
            </c:dLbl>
            <c:dLbl>
              <c:idx val="4"/>
              <c:layout>
                <c:manualLayout>
                  <c:x val="-2.7777777777777776E-2"/>
                  <c:y val="-4.4198869390600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DF3-479C-98B1-0F9DEF7BF558}"/>
                </c:ext>
                <c:ext xmlns:c15="http://schemas.microsoft.com/office/drawing/2012/chart" uri="{CE6537A1-D6FC-4f65-9D91-7224C49458BB}">
                  <c15:layout/>
                </c:ext>
              </c:extLst>
            </c:dLbl>
            <c:dLbl>
              <c:idx val="5"/>
              <c:layout>
                <c:manualLayout>
                  <c:x val="-3.7188025018723557E-2"/>
                  <c:y val="-4.91098548784453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DF3-479C-98B1-0F9DEF7BF558}"/>
                </c:ext>
                <c:ext xmlns:c15="http://schemas.microsoft.com/office/drawing/2012/chart" uri="{CE6537A1-D6FC-4f65-9D91-7224C49458BB}">
                  <c15:layout/>
                </c:ext>
              </c:extLst>
            </c:dLbl>
            <c:dLbl>
              <c:idx val="6"/>
              <c:layout>
                <c:manualLayout>
                  <c:x val="-3.9935901328529304E-2"/>
                  <c:y val="-4.41988693906008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DF3-479C-98B1-0F9DEF7BF558}"/>
                </c:ext>
                <c:ext xmlns:c15="http://schemas.microsoft.com/office/drawing/2012/chart" uri="{CE6537A1-D6FC-4f65-9D91-7224C49458BB}">
                  <c15:layout/>
                </c:ext>
              </c:extLst>
            </c:dLbl>
            <c:dLbl>
              <c:idx val="7"/>
              <c:layout>
                <c:manualLayout>
                  <c:x val="-4.9571078679432549E-2"/>
                  <c:y val="-2.455492743922268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DF3-479C-98B1-0F9DEF7BF558}"/>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Ponderuar'!$D$5:$D$12</c:f>
              <c:numCache>
                <c:formatCode>0.00%</c:formatCode>
                <c:ptCount val="8"/>
                <c:pt idx="0">
                  <c:v>1.3100000000000001E-2</c:v>
                </c:pt>
                <c:pt idx="1">
                  <c:v>1.7399999999999999E-2</c:v>
                </c:pt>
                <c:pt idx="2">
                  <c:v>2.129E-2</c:v>
                </c:pt>
                <c:pt idx="3">
                  <c:v>2.6280000000000001E-2</c:v>
                </c:pt>
                <c:pt idx="4">
                  <c:v>3.61E-2</c:v>
                </c:pt>
                <c:pt idx="5">
                  <c:v>5.2752E-2</c:v>
                </c:pt>
                <c:pt idx="6">
                  <c:v>5.5960000000000003E-2</c:v>
                </c:pt>
                <c:pt idx="7">
                  <c:v>6.8190000000000001E-2</c:v>
                </c:pt>
              </c:numCache>
            </c:numRef>
          </c:val>
          <c:smooth val="1"/>
          <c:extLst xmlns:c16r2="http://schemas.microsoft.com/office/drawing/2015/06/chart">
            <c:ext xmlns:c16="http://schemas.microsoft.com/office/drawing/2014/chart" uri="{C3380CC4-5D6E-409C-BE32-E72D297353CC}">
              <c16:uniqueId val="{00000008-CDF3-479C-98B1-0F9DEF7BF558}"/>
            </c:ext>
          </c:extLst>
        </c:ser>
        <c:ser>
          <c:idx val="1"/>
          <c:order val="1"/>
          <c:tx>
            <c:strRef>
              <c:f>'Yeld Mesatar i Ponderuar'!$E$4</c:f>
              <c:strCache>
                <c:ptCount val="1"/>
                <c:pt idx="0">
                  <c:v>2019</c:v>
                </c:pt>
              </c:strCache>
            </c:strRef>
          </c:tx>
          <c:spPr>
            <a:ln w="25400" cap="rnd">
              <a:solidFill>
                <a:schemeClr val="bg1">
                  <a:lumMod val="50000"/>
                </a:schemeClr>
              </a:solidFill>
              <a:round/>
            </a:ln>
            <a:effectLst/>
          </c:spPr>
          <c:marker>
            <c:symbol val="circle"/>
            <c:size val="5"/>
            <c:spPr>
              <a:solidFill>
                <a:schemeClr val="bg1">
                  <a:lumMod val="50000"/>
                </a:schemeClr>
              </a:solidFill>
              <a:ln w="9525">
                <a:noFill/>
              </a:ln>
              <a:effectLst/>
            </c:spPr>
          </c:marker>
          <c:dLbls>
            <c:dLbl>
              <c:idx val="0"/>
              <c:layout>
                <c:manualLayout>
                  <c:x val="-2.3838071088571555E-2"/>
                  <c:y val="-9.593676736294559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DF3-479C-98B1-0F9DEF7BF558}"/>
                </c:ext>
                <c:ext xmlns:c15="http://schemas.microsoft.com/office/drawing/2012/chart" uri="{CE6537A1-D6FC-4f65-9D91-7224C49458BB}"/>
              </c:extLst>
            </c:dLbl>
            <c:dLbl>
              <c:idx val="1"/>
              <c:layout>
                <c:manualLayout>
                  <c:x val="-2.3976377952755947E-2"/>
                  <c:y val="2.104685969546476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DF3-479C-98B1-0F9DEF7BF558}"/>
                </c:ext>
                <c:ext xmlns:c15="http://schemas.microsoft.com/office/drawing/2012/chart" uri="{CE6537A1-D6FC-4f65-9D91-7224C49458BB}">
                  <c15:layout/>
                </c:ext>
              </c:extLst>
            </c:dLbl>
            <c:dLbl>
              <c:idx val="2"/>
              <c:layout>
                <c:manualLayout>
                  <c:x val="-1.4112908122988483E-2"/>
                  <c:y val="7.36353937430951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DF3-479C-98B1-0F9DEF7BF558}"/>
                </c:ext>
                <c:ext xmlns:c15="http://schemas.microsoft.com/office/drawing/2012/chart" uri="{CE6537A1-D6FC-4f65-9D91-7224C49458BB}">
                  <c15:layout/>
                </c:ext>
              </c:extLst>
            </c:dLbl>
            <c:dLbl>
              <c:idx val="3"/>
              <c:layout>
                <c:manualLayout>
                  <c:x val="-2.8076567549879515E-3"/>
                  <c:y val="7.02885764677175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CDF3-479C-98B1-0F9DEF7BF558}"/>
                </c:ext>
                <c:ext xmlns:c15="http://schemas.microsoft.com/office/drawing/2012/chart" uri="{CE6537A1-D6FC-4f65-9D91-7224C49458BB}">
                  <c15:layout/>
                </c:ext>
              </c:extLst>
            </c:dLbl>
            <c:dLbl>
              <c:idx val="4"/>
              <c:layout>
                <c:manualLayout>
                  <c:x val="6.0582531350247886E-3"/>
                  <c:y val="-1.3453006702528461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CDF3-479C-98B1-0F9DEF7BF558}"/>
                </c:ext>
                <c:ext xmlns:c15="http://schemas.microsoft.com/office/drawing/2012/chart" uri="{CE6537A1-D6FC-4f65-9D91-7224C49458BB}">
                  <c15:layout/>
                </c:ext>
              </c:extLst>
            </c:dLbl>
            <c:dLbl>
              <c:idx val="5"/>
              <c:layout>
                <c:manualLayout>
                  <c:x val="-1.4631635055900788E-2"/>
                  <c:y val="5.45977844881689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CDF3-479C-98B1-0F9DEF7BF558}"/>
                </c:ext>
                <c:ext xmlns:c15="http://schemas.microsoft.com/office/drawing/2012/chart" uri="{CE6537A1-D6FC-4f65-9D91-7224C49458BB}">
                  <c15:layout/>
                </c:ext>
              </c:extLst>
            </c:dLbl>
            <c:dLbl>
              <c:idx val="6"/>
              <c:layout>
                <c:manualLayout>
                  <c:x val="-2.6850463014552524E-2"/>
                  <c:y val="-6.230803170408489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CDF3-479C-98B1-0F9DEF7BF558}"/>
                </c:ext>
                <c:ext xmlns:c15="http://schemas.microsoft.com/office/drawing/2012/chart" uri="{CE6537A1-D6FC-4f65-9D91-7224C49458BB}">
                  <c15:layout/>
                </c:ext>
              </c:extLst>
            </c:dLbl>
            <c:dLbl>
              <c:idx val="7"/>
              <c:layout>
                <c:manualLayout>
                  <c:x val="-3.4015383493729949E-2"/>
                  <c:y val="-6.817801278325655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CDF3-479C-98B1-0F9DEF7BF558}"/>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Ponderuar'!$E$5:$E$12</c:f>
              <c:numCache>
                <c:formatCode>0.00%</c:formatCode>
                <c:ptCount val="8"/>
                <c:pt idx="1">
                  <c:v>1.0291233866495501E-2</c:v>
                </c:pt>
                <c:pt idx="2">
                  <c:v>1.5713999999999999E-2</c:v>
                </c:pt>
                <c:pt idx="3">
                  <c:v>1.9650000000000001E-2</c:v>
                </c:pt>
                <c:pt idx="4">
                  <c:v>2.2409999999999999E-2</c:v>
                </c:pt>
                <c:pt idx="5">
                  <c:v>3.2759000000000003E-2</c:v>
                </c:pt>
                <c:pt idx="6">
                  <c:v>3.9320000000000001E-2</c:v>
                </c:pt>
                <c:pt idx="7">
                  <c:v>5.3969999999999997E-2</c:v>
                </c:pt>
              </c:numCache>
            </c:numRef>
          </c:val>
          <c:smooth val="1"/>
          <c:extLst xmlns:c16r2="http://schemas.microsoft.com/office/drawing/2015/06/chart">
            <c:ext xmlns:c16="http://schemas.microsoft.com/office/drawing/2014/chart" uri="{C3380CC4-5D6E-409C-BE32-E72D297353CC}">
              <c16:uniqueId val="{00000011-CDF3-479C-98B1-0F9DEF7BF558}"/>
            </c:ext>
          </c:extLst>
        </c:ser>
        <c:ser>
          <c:idx val="2"/>
          <c:order val="2"/>
          <c:tx>
            <c:strRef>
              <c:f>'Yeld Mesatar i Ponderuar'!$F$4</c:f>
              <c:strCache>
                <c:ptCount val="1"/>
                <c:pt idx="0">
                  <c:v>Shtator 2020</c:v>
                </c:pt>
              </c:strCache>
            </c:strRef>
          </c:tx>
          <c:spPr>
            <a:ln w="25400" cap="rnd">
              <a:solidFill>
                <a:schemeClr val="accent1"/>
              </a:solidFill>
              <a:round/>
            </a:ln>
            <a:effectLst/>
          </c:spPr>
          <c:marker>
            <c:symbol val="square"/>
            <c:size val="5"/>
            <c:spPr>
              <a:solidFill>
                <a:schemeClr val="accent1"/>
              </a:solidFill>
              <a:ln w="9525">
                <a:noFill/>
              </a:ln>
              <a:effectLst/>
            </c:spPr>
          </c:marker>
          <c:dLbls>
            <c:dLbl>
              <c:idx val="0"/>
              <c:layout>
                <c:manualLayout>
                  <c:x val="-1.0955818022747157E-2"/>
                  <c:y val="4.243262526433459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CDF3-479C-98B1-0F9DEF7BF558}"/>
                </c:ext>
                <c:ext xmlns:c15="http://schemas.microsoft.com/office/drawing/2012/chart" uri="{CE6537A1-D6FC-4f65-9D91-7224C49458BB}">
                  <c15:layout/>
                </c:ext>
              </c:extLst>
            </c:dLbl>
            <c:dLbl>
              <c:idx val="1"/>
              <c:layout>
                <c:manualLayout>
                  <c:x val="9.5647419072615921E-3"/>
                  <c:y val="3.195454346420632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DF3-479C-98B1-0F9DEF7BF558}"/>
                </c:ext>
                <c:ext xmlns:c15="http://schemas.microsoft.com/office/drawing/2012/chart" uri="{CE6537A1-D6FC-4f65-9D91-7224C49458BB}">
                  <c15:layout/>
                </c:ext>
              </c:extLst>
            </c:dLbl>
            <c:dLbl>
              <c:idx val="2"/>
              <c:layout>
                <c:manualLayout>
                  <c:x val="8.6978523571443027E-3"/>
                  <c:y val="4.41988693906007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CDF3-479C-98B1-0F9DEF7BF558}"/>
                </c:ext>
                <c:ext xmlns:c15="http://schemas.microsoft.com/office/drawing/2012/chart" uri="{CE6537A1-D6FC-4f65-9D91-7224C49458BB}">
                  <c15:layout/>
                </c:ext>
              </c:extLst>
            </c:dLbl>
            <c:dLbl>
              <c:idx val="3"/>
              <c:layout>
                <c:manualLayout>
                  <c:x val="2.253709288909574E-2"/>
                  <c:y val="-3.43768984149117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CDF3-479C-98B1-0F9DEF7BF558}"/>
                </c:ext>
                <c:ext xmlns:c15="http://schemas.microsoft.com/office/drawing/2012/chart" uri="{CE6537A1-D6FC-4f65-9D91-7224C49458BB}">
                  <c15:layout/>
                </c:ext>
              </c:extLst>
            </c:dLbl>
            <c:dLbl>
              <c:idx val="4"/>
              <c:layout>
                <c:manualLayout>
                  <c:x val="-1.8207531256536503E-2"/>
                  <c:y val="-5.89318258541344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CDF3-479C-98B1-0F9DEF7BF558}"/>
                </c:ext>
                <c:ext xmlns:c15="http://schemas.microsoft.com/office/drawing/2012/chart" uri="{CE6537A1-D6FC-4f65-9D91-7224C49458BB}">
                  <c15:layout/>
                </c:ext>
              </c:extLst>
            </c:dLbl>
            <c:dLbl>
              <c:idx val="5"/>
              <c:layout>
                <c:manualLayout>
                  <c:x val="-2.5578068808237018E-2"/>
                  <c:y val="-4.419886939060083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CDF3-479C-98B1-0F9DEF7BF558}"/>
                </c:ext>
                <c:ext xmlns:c15="http://schemas.microsoft.com/office/drawing/2012/chart" uri="{CE6537A1-D6FC-4f65-9D91-7224C49458BB}">
                  <c15:layout/>
                </c:ext>
              </c:extLst>
            </c:dLbl>
            <c:dLbl>
              <c:idx val="6"/>
              <c:layout>
                <c:manualLayout>
                  <c:x val="-1.6708439959274733E-3"/>
                  <c:y val="2.94659129270672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CDF3-479C-98B1-0F9DEF7BF558}"/>
                </c:ext>
                <c:ext xmlns:c15="http://schemas.microsoft.com/office/drawing/2012/chart" uri="{CE6537A1-D6FC-4f65-9D91-7224C49458BB}">
                  <c15:layout/>
                </c:ext>
              </c:extLst>
            </c:dLbl>
            <c:dLbl>
              <c:idx val="7"/>
              <c:layout>
                <c:manualLayout>
                  <c:x val="-1.3573737087491313E-2"/>
                  <c:y val="4.9109854878445373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CDF3-479C-98B1-0F9DEF7BF558}"/>
                </c:ext>
                <c:ext xmlns:c15="http://schemas.microsoft.com/office/drawing/2012/chart" uri="{CE6537A1-D6FC-4f65-9D91-7224C49458BB}">
                  <c15:layout>
                    <c:manualLayout>
                      <c:w val="6.5242417614464865E-2"/>
                      <c:h val="7.0595609733650574E-2"/>
                    </c:manualLayout>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Ponderuar'!$F$5:$F$12</c:f>
              <c:numCache>
                <c:formatCode>0.00%</c:formatCode>
                <c:ptCount val="8"/>
                <c:pt idx="0">
                  <c:v>1.1930234500728E-2</c:v>
                </c:pt>
                <c:pt idx="1">
                  <c:v>1.60214635989743E-2</c:v>
                </c:pt>
                <c:pt idx="2">
                  <c:v>1.89185061173246E-2</c:v>
                </c:pt>
                <c:pt idx="3">
                  <c:v>2.2052234236011201E-2</c:v>
                </c:pt>
                <c:pt idx="4">
                  <c:v>2.6956062069569301E-2</c:v>
                </c:pt>
                <c:pt idx="5">
                  <c:v>3.4022519706670702E-2</c:v>
                </c:pt>
                <c:pt idx="6">
                  <c:v>4.0271864797388132E-2</c:v>
                </c:pt>
                <c:pt idx="7">
                  <c:v>5.2109516281107437E-2</c:v>
                </c:pt>
              </c:numCache>
            </c:numRef>
          </c:val>
          <c:smooth val="1"/>
          <c:extLst xmlns:c16r2="http://schemas.microsoft.com/office/drawing/2015/06/chart">
            <c:ext xmlns:c16="http://schemas.microsoft.com/office/drawing/2014/chart" uri="{C3380CC4-5D6E-409C-BE32-E72D297353CC}">
              <c16:uniqueId val="{0000001A-CDF3-479C-98B1-0F9DEF7BF558}"/>
            </c:ext>
          </c:extLst>
        </c:ser>
        <c:dLbls>
          <c:showLegendKey val="0"/>
          <c:showVal val="0"/>
          <c:showCatName val="0"/>
          <c:showSerName val="0"/>
          <c:showPercent val="0"/>
          <c:showBubbleSize val="0"/>
        </c:dLbls>
        <c:marker val="1"/>
        <c:smooth val="0"/>
        <c:axId val="233713664"/>
        <c:axId val="232874560"/>
      </c:lineChart>
      <c:catAx>
        <c:axId val="233713664"/>
        <c:scaling>
          <c:orientation val="minMax"/>
        </c:scaling>
        <c:delete val="0"/>
        <c:axPos val="b"/>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en-US"/>
          </a:p>
        </c:txPr>
        <c:crossAx val="232874560"/>
        <c:crosses val="autoZero"/>
        <c:auto val="1"/>
        <c:lblAlgn val="ctr"/>
        <c:lblOffset val="100"/>
        <c:noMultiLvlLbl val="0"/>
      </c:catAx>
      <c:valAx>
        <c:axId val="232874560"/>
        <c:scaling>
          <c:orientation val="minMax"/>
        </c:scaling>
        <c:delete val="0"/>
        <c:axPos val="l"/>
        <c:numFmt formatCode="0%" sourceLinked="0"/>
        <c:majorTickMark val="none"/>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33713664"/>
        <c:crosses val="autoZero"/>
        <c:crossBetween val="between"/>
        <c:majorUnit val="2.0000000000000004E-2"/>
      </c:valAx>
      <c:spPr>
        <a:noFill/>
        <a:ln>
          <a:noFill/>
        </a:ln>
        <a:effectLst/>
      </c:spPr>
    </c:plotArea>
    <c:legend>
      <c:legendPos val="b"/>
      <c:layout>
        <c:manualLayout>
          <c:xMode val="edge"/>
          <c:yMode val="edge"/>
          <c:x val="0.29650207786526683"/>
          <c:y val="0.90730456887927835"/>
          <c:w val="0.40468084718576847"/>
          <c:h val="8.287346014503262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2021-02-01T08:38:47Z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2021-01-28T23:00:00Z</Date_x0020_protokolli>
    <Titulli xmlns="0e656187-b300-4fb0-8bf4-3a50f872073c">Për miratimin e strategjisë afatmesme të menaxhimit të borxhit 2021-2023</Titulli>
    <Modifikuesi xmlns="0e656187-b300-4fb0-8bf4-3a50f872073c">alma.lisaku</Modifikuesi>
    <Nr_x002e__x0020_prot_x0020_QBZ xmlns="0e656187-b300-4fb0-8bf4-3a50f872073c">178</Nr_x002e__x0020_prot_x0020_QBZ>
    <Data_x0020_e_x0020_Modifikimit xmlns="0e656187-b300-4fb0-8bf4-3a50f872073c">2021-02-02T06:59:38Z</Data_x0020_e_x0020_Modifikimit>
    <Dekretuar xmlns="0e656187-b300-4fb0-8bf4-3a50f872073c">false</Dekretuar>
    <Data xmlns="0e656187-b300-4fb0-8bf4-3a50f872073c">2021-01-26T23:00:00Z</Data>
    <Nr_x002e__x0020_protokolli_x0020_i_x0020_aktit xmlns="0e656187-b300-4fb0-8bf4-3a50f872073c">534/1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BA98A3157154C12BA67B8FF320025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BA98A3157154C12BA67B8FF320025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78F2A-537F-4E9B-BC2B-7CD880759E17}">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purl.org/dc/dcmitype/"/>
    <ds:schemaRef ds:uri="http://purl.org/dc/elements/1.1/"/>
  </ds:schemaRefs>
</ds:datastoreItem>
</file>

<file path=customXml/itemProps2.xml><?xml version="1.0" encoding="utf-8"?>
<ds:datastoreItem xmlns:ds="http://schemas.openxmlformats.org/officeDocument/2006/customXml" ds:itemID="{C16A8FE4-B083-4B0B-A179-F978A0524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687ED3-18AD-4780-AB1C-7E3FCDE55C8A}">
  <ds:schemaRefs>
    <ds:schemaRef ds:uri="http://schemas.microsoft.com/sharepoint/v3/contenttype/forms"/>
  </ds:schemaRefs>
</ds:datastoreItem>
</file>

<file path=customXml/itemProps4.xml><?xml version="1.0" encoding="utf-8"?>
<ds:datastoreItem xmlns:ds="http://schemas.openxmlformats.org/officeDocument/2006/customXml" ds:itemID="{86C366FE-976C-4341-ACD7-3FF55028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8C8E51E-1D1D-476F-9D30-09B7EF05D5AB}">
  <ds:schemaRefs>
    <ds:schemaRef ds:uri="http://schemas.microsoft.com/sharepoint/v3/contenttype/forms"/>
  </ds:schemaRefs>
</ds:datastoreItem>
</file>

<file path=customXml/itemProps6.xml><?xml version="1.0" encoding="utf-8"?>
<ds:datastoreItem xmlns:ds="http://schemas.openxmlformats.org/officeDocument/2006/customXml" ds:itemID="{8AC7DDF4-530E-4D58-9775-FC4BCC0AB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38</Pages>
  <Words>15273</Words>
  <Characters>87061</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Për miratimin e strategjisë afatmesme të menaxhimit të borxhit 2021-2023</vt:lpstr>
    </vt:vector>
  </TitlesOfParts>
  <Company>Your Company Name</Company>
  <LinksUpToDate>false</LinksUpToDate>
  <CharactersWithSpaces>102130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afatmesme të menaxhimit të borxhit 2021-2023</dc:title>
  <dc:creator>Your User Name</dc:creator>
  <cp:lastModifiedBy>Amarilda Muja</cp:lastModifiedBy>
  <cp:revision>130</cp:revision>
  <cp:lastPrinted>2020-12-21T08:48:00Z</cp:lastPrinted>
  <dcterms:created xsi:type="dcterms:W3CDTF">2021-02-01T09:35:00Z</dcterms:created>
  <dcterms:modified xsi:type="dcterms:W3CDTF">2021-02-02T08:53:00Z</dcterms:modified>
</cp:coreProperties>
</file>