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3F0B4" w14:textId="77777777" w:rsidR="00DB0EE8" w:rsidRPr="002A71DF" w:rsidRDefault="00DB0EE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 w:eastAsia="sq-AL"/>
        </w:rPr>
      </w:pP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VENDIM</w:t>
      </w:r>
    </w:p>
    <w:p w14:paraId="09E3F0B5" w14:textId="1A773751" w:rsidR="00436838" w:rsidRPr="002A71DF" w:rsidRDefault="0043683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 w:eastAsia="sq-AL"/>
        </w:rPr>
      </w:pP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Nr. 418, datë</w:t>
      </w:r>
      <w:r w:rsidR="002A71DF" w:rsidRPr="002A71DF">
        <w:rPr>
          <w:rFonts w:ascii="Garamond" w:eastAsia="Calibri" w:hAnsi="Garamond"/>
          <w:b/>
          <w:bCs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8.7.2021</w:t>
      </w:r>
    </w:p>
    <w:p w14:paraId="09E3F0B6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 w:eastAsia="sq-AL"/>
        </w:rPr>
      </w:pPr>
    </w:p>
    <w:p w14:paraId="09E3F0B7" w14:textId="2A8B69DD" w:rsidR="00436838" w:rsidRPr="002A71DF" w:rsidRDefault="0043683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lang w:val="sq-AL" w:eastAsia="sq-AL"/>
        </w:rPr>
      </w:pP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PËR NJË NDRYSHIM NË VENDIMIN NR.</w:t>
      </w:r>
      <w:r w:rsidR="002A71DF">
        <w:rPr>
          <w:rFonts w:ascii="Garamond" w:eastAsia="Calibri" w:hAnsi="Garamond"/>
          <w:b/>
          <w:bCs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953, DATË 29.12.2014, TË KËSHILLIT TË MINISTRAVE, “PËR DISPOZITAT ZBATUESE TË LIGJIT NR.</w:t>
      </w:r>
      <w:r w:rsidR="002A71DF">
        <w:rPr>
          <w:rFonts w:ascii="Garamond" w:eastAsia="Calibri" w:hAnsi="Garamond"/>
          <w:b/>
          <w:bCs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 xml:space="preserve">92/2014, </w:t>
      </w:r>
      <w:r w:rsidR="002A71DF">
        <w:rPr>
          <w:rFonts w:ascii="Garamond" w:eastAsia="Calibri" w:hAnsi="Garamond"/>
          <w:b/>
          <w:bCs/>
          <w:color w:val="000000"/>
          <w:lang w:val="sq-AL" w:eastAsia="sq-AL"/>
        </w:rPr>
        <w:t>‘</w:t>
      </w: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PËR TATIMIN MBI VLERËN E SHTUAR NË REPUBLIKËN E SHQIPËRISË</w:t>
      </w:r>
      <w:r w:rsidR="002A71DF">
        <w:rPr>
          <w:rFonts w:ascii="Garamond" w:eastAsia="Calibri" w:hAnsi="Garamond"/>
          <w:b/>
          <w:bCs/>
          <w:color w:val="000000"/>
          <w:lang w:val="sq-AL" w:eastAsia="sq-AL"/>
        </w:rPr>
        <w:t>’</w:t>
      </w:r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”, TË NDRYSHUAR</w:t>
      </w:r>
    </w:p>
    <w:p w14:paraId="09E3F0B8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Cs/>
          <w:color w:val="000000"/>
          <w:lang w:val="sq-AL" w:eastAsia="sq-AL"/>
        </w:rPr>
      </w:pPr>
    </w:p>
    <w:p w14:paraId="09E3F0B9" w14:textId="3CE55E4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Në mbështetje të nenit 100 të Kushtetutës dhe të nenit 77, pika 3, të</w:t>
      </w:r>
      <w:r w:rsidR="00DB0EE8" w:rsidRP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>ligjit nr.</w:t>
      </w:r>
      <w:r w:rsid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>92/2014, “Për tatimin mbi vlerën e shtuar në Republikën e Shqipërisë”, të ndryshuar, me propozimin e ministrit të Financave dhe Ekonomisë, Këshilli i Ministrave</w:t>
      </w:r>
    </w:p>
    <w:p w14:paraId="09E3F0BA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 Bold"/>
          <w:bCs/>
          <w:color w:val="000000"/>
          <w:lang w:val="sq-AL" w:eastAsia="sq-AL"/>
        </w:rPr>
      </w:pPr>
    </w:p>
    <w:p w14:paraId="09E3F0BB" w14:textId="77777777" w:rsidR="00436838" w:rsidRPr="002A71DF" w:rsidRDefault="00DB0EE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Times New Roman Bold"/>
          <w:bCs/>
          <w:color w:val="000000"/>
          <w:lang w:val="sq-AL" w:eastAsia="sq-AL"/>
        </w:rPr>
      </w:pPr>
      <w:r w:rsidRPr="002A71DF">
        <w:rPr>
          <w:rFonts w:ascii="Garamond" w:eastAsia="Calibri" w:hAnsi="Garamond" w:cs="Times New Roman Bold"/>
          <w:bCs/>
          <w:color w:val="000000"/>
          <w:lang w:val="sq-AL" w:eastAsia="sq-AL"/>
        </w:rPr>
        <w:t>VENDOSI:</w:t>
      </w:r>
    </w:p>
    <w:p w14:paraId="09E3F0BC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20"/>
          <w:lang w:val="sq-AL" w:eastAsia="sq-AL"/>
        </w:rPr>
      </w:pPr>
    </w:p>
    <w:p w14:paraId="09E3F0BD" w14:textId="12090DEA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Neni 10, “Përcaktimi i kategorisë së eksportuesve për qëllim të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rimbursimit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të TVSH-së”, në vendimin nr.</w:t>
      </w:r>
      <w:r w:rsid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>953, datë 29.12.2014, të Këshillit të Ministrave, të ndryshuar, ndryshohet, si më poshtë vijon:</w:t>
      </w:r>
    </w:p>
    <w:p w14:paraId="09E3F0BE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 w:val="16"/>
          <w:lang w:val="sq-AL" w:eastAsia="sq-AL"/>
        </w:rPr>
      </w:pPr>
    </w:p>
    <w:p w14:paraId="09E3F0BF" w14:textId="77777777" w:rsidR="00436838" w:rsidRPr="002A71DF" w:rsidRDefault="00436838" w:rsidP="00436838">
      <w:pPr>
        <w:tabs>
          <w:tab w:val="center" w:pos="4680"/>
          <w:tab w:val="left" w:pos="7440"/>
        </w:tabs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“Neni 10</w:t>
      </w:r>
    </w:p>
    <w:p w14:paraId="09E3F0C0" w14:textId="77777777" w:rsidR="00436838" w:rsidRPr="002A71DF" w:rsidRDefault="00436838" w:rsidP="002A71D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  <w:lang w:val="sq-AL" w:eastAsia="sq-AL"/>
        </w:rPr>
      </w:pPr>
      <w:r w:rsidRPr="002A71DF">
        <w:rPr>
          <w:rFonts w:ascii="Garamond" w:eastAsia="Calibri" w:hAnsi="Garamond"/>
          <w:b/>
          <w:color w:val="000000"/>
          <w:lang w:val="sq-AL" w:eastAsia="sq-AL"/>
        </w:rPr>
        <w:t xml:space="preserve">Përcaktimi i kategorisë së eksportuesve për qëllim të </w:t>
      </w:r>
      <w:proofErr w:type="spellStart"/>
      <w:r w:rsidRPr="002A71DF">
        <w:rPr>
          <w:rFonts w:ascii="Garamond" w:eastAsia="Calibri" w:hAnsi="Garamond"/>
          <w:b/>
          <w:color w:val="000000"/>
          <w:lang w:val="sq-AL" w:eastAsia="sq-AL"/>
        </w:rPr>
        <w:t>rimbursimit</w:t>
      </w:r>
      <w:proofErr w:type="spellEnd"/>
      <w:r w:rsidRPr="002A71DF">
        <w:rPr>
          <w:rFonts w:ascii="Garamond" w:eastAsia="Calibri" w:hAnsi="Garamond"/>
          <w:b/>
          <w:color w:val="000000"/>
          <w:lang w:val="sq-AL" w:eastAsia="sq-AL"/>
        </w:rPr>
        <w:t xml:space="preserve"> të TVSH-së</w:t>
      </w:r>
    </w:p>
    <w:p w14:paraId="09E3F0C1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</w:p>
    <w:p w14:paraId="09E3F0C2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1.</w:t>
      </w:r>
      <w:r w:rsidR="004E6946" w:rsidRP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Në zbatim të pikës 3, të nenit 77, të ligjit, kërkesat për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rimbursimin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e TVSH-së të bëra nga personat e tatueshëm eksportues dhe personat e tatueshëm që rieksportojnë mallrat joshqiptare nën regjimin e përpunimit aktiv në Republikën e Shqipërisë, siç përcaktohet në Kodin Doganor, ndahen sipas kategorive të parashikuara në këtë nen.</w:t>
      </w:r>
    </w:p>
    <w:p w14:paraId="09E3F0C3" w14:textId="77777777" w:rsidR="00436838" w:rsidRPr="002A71DF" w:rsidRDefault="00DB0EE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2. </w:t>
      </w:r>
      <w:proofErr w:type="spellStart"/>
      <w:r w:rsidR="00436838" w:rsidRPr="002A71DF">
        <w:rPr>
          <w:rFonts w:ascii="Garamond" w:eastAsia="Calibri" w:hAnsi="Garamond"/>
          <w:color w:val="000000"/>
          <w:lang w:val="sq-AL" w:eastAsia="sq-AL"/>
        </w:rPr>
        <w:t>Rimbursohen</w:t>
      </w:r>
      <w:proofErr w:type="spellEnd"/>
      <w:r w:rsidR="00436838" w:rsidRPr="002A71DF">
        <w:rPr>
          <w:rFonts w:ascii="Garamond" w:eastAsia="Calibri" w:hAnsi="Garamond"/>
          <w:color w:val="000000"/>
          <w:lang w:val="sq-AL" w:eastAsia="sq-AL"/>
        </w:rPr>
        <w:t xml:space="preserve"> automatikisht, brenda 30 (tridhjetë) ditëve nga data e paraqitjes, kërkesat për </w:t>
      </w:r>
      <w:proofErr w:type="spellStart"/>
      <w:r w:rsidR="00436838" w:rsidRPr="002A71DF">
        <w:rPr>
          <w:rFonts w:ascii="Garamond" w:eastAsia="Calibri" w:hAnsi="Garamond"/>
          <w:color w:val="000000"/>
          <w:lang w:val="sq-AL" w:eastAsia="sq-AL"/>
        </w:rPr>
        <w:t>rimbursim</w:t>
      </w:r>
      <w:proofErr w:type="spellEnd"/>
      <w:r w:rsidR="00436838" w:rsidRPr="002A71DF">
        <w:rPr>
          <w:rFonts w:ascii="Garamond" w:eastAsia="Calibri" w:hAnsi="Garamond"/>
          <w:color w:val="000000"/>
          <w:lang w:val="sq-AL" w:eastAsia="sq-AL"/>
        </w:rPr>
        <w:t xml:space="preserve"> të TVSH-së, të vlerësuara si kërkesa të bëra nga personat e tatueshëm të përmendur në pikën 1, të këtij neni, me risk zero, të cilët plotësojnë njëkohësisht kriteret e mëposhtme:</w:t>
      </w:r>
    </w:p>
    <w:p w14:paraId="09E3F0C4" w14:textId="5ADD47C3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a)</w:t>
      </w:r>
      <w:r w:rsidR="00DB0EE8" w:rsidRP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="002A71DF">
        <w:rPr>
          <w:rFonts w:ascii="Garamond" w:eastAsia="Calibri" w:hAnsi="Garamond"/>
          <w:color w:val="000000"/>
          <w:lang w:val="sq-AL" w:eastAsia="sq-AL"/>
        </w:rPr>
        <w:t>k</w:t>
      </w:r>
      <w:r w:rsidRPr="002A71DF">
        <w:rPr>
          <w:rFonts w:ascii="Garamond" w:eastAsia="Calibri" w:hAnsi="Garamond"/>
          <w:color w:val="000000"/>
          <w:lang w:val="sq-AL" w:eastAsia="sq-AL"/>
        </w:rPr>
        <w:t>anë status të aktivitetit “aktiv”;</w:t>
      </w:r>
    </w:p>
    <w:p w14:paraId="09E3F0C5" w14:textId="7616EFBC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b) </w:t>
      </w:r>
      <w:r w:rsidR="002A71DF">
        <w:rPr>
          <w:rFonts w:ascii="Garamond" w:eastAsia="Calibri" w:hAnsi="Garamond"/>
          <w:color w:val="000000"/>
          <w:lang w:val="sq-AL" w:eastAsia="sq-AL"/>
        </w:rPr>
        <w:t>v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lera e eksporteve të kryera në periudhën/at tatimore, për të cilën/at kërkohet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>, është më shumë se 70 (shtatëdhjetë) % e vlerës së përgjithshme të shitjeve, përfshirë eksportet, e verifikuar edhe nga raportet dog</w:t>
      </w:r>
      <w:r w:rsidR="002A71DF">
        <w:rPr>
          <w:rFonts w:ascii="Garamond" w:eastAsia="Calibri" w:hAnsi="Garamond"/>
          <w:color w:val="000000"/>
          <w:lang w:val="sq-AL" w:eastAsia="sq-AL"/>
        </w:rPr>
        <w:t>anore të eksporteve në sistem;</w:t>
      </w:r>
    </w:p>
    <w:p w14:paraId="09E3F0C6" w14:textId="416903B9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c) </w:t>
      </w:r>
      <w:bookmarkStart w:id="0" w:name="_GoBack"/>
      <w:bookmarkEnd w:id="0"/>
      <w:r w:rsidR="002A71DF">
        <w:rPr>
          <w:rFonts w:ascii="Garamond" w:eastAsia="Calibri" w:hAnsi="Garamond"/>
          <w:color w:val="000000"/>
          <w:lang w:val="sq-AL" w:eastAsia="sq-AL"/>
        </w:rPr>
        <w:t>k</w:t>
      </w:r>
      <w:r w:rsidRPr="002A71DF">
        <w:rPr>
          <w:rFonts w:ascii="Garamond" w:eastAsia="Calibri" w:hAnsi="Garamond"/>
          <w:color w:val="000000"/>
          <w:lang w:val="sq-AL" w:eastAsia="sq-AL"/>
        </w:rPr>
        <w:t>anë aktivi</w:t>
      </w:r>
      <w:r w:rsidR="002A71DF">
        <w:rPr>
          <w:rFonts w:ascii="Garamond" w:eastAsia="Calibri" w:hAnsi="Garamond"/>
          <w:color w:val="000000"/>
          <w:lang w:val="sq-AL" w:eastAsia="sq-AL"/>
        </w:rPr>
        <w:t>tet eksportues mbi 1 (një) vit;</w:t>
      </w:r>
    </w:p>
    <w:p w14:paraId="09E3F0C7" w14:textId="0A8DC038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ç) </w:t>
      </w:r>
      <w:r w:rsidR="002A71DF">
        <w:rPr>
          <w:rFonts w:ascii="Garamond" w:eastAsia="Calibri" w:hAnsi="Garamond"/>
          <w:color w:val="000000"/>
          <w:lang w:val="sq-AL" w:eastAsia="sq-AL"/>
        </w:rPr>
        <w:t>n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uk kanë detyrime të papaguara të kontributeve të sigurimeve shoqërore dhe shëndetësore. </w:t>
      </w:r>
    </w:p>
    <w:p w14:paraId="09E3F0C8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3.</w:t>
      </w:r>
      <w:r w:rsidR="004E6946" w:rsidRP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Kërkesat e personave të tatueshëm, vlera e eksporteve të të cilëve, të kryera në periudhën/at tatimore për të cilën/at kërkohet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rimbursimi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>, përbën më shumë se 50 (pesëdhje</w:t>
      </w:r>
      <w:r w:rsidR="002A71DF">
        <w:rPr>
          <w:rFonts w:ascii="Garamond" w:eastAsia="Calibri" w:hAnsi="Garamond"/>
          <w:color w:val="000000"/>
          <w:lang w:val="sq-AL" w:eastAsia="sq-AL"/>
        </w:rPr>
        <w:t xml:space="preserve">të) % deri në 70 (shtatëdhjetë) 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% të vlerës së përgjithshme të shitjeve, përfshirë eksportet,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rimbursohen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brenda 30 (tridhjetë) ditëve nga data e paraqitjes së kërkesës për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të TVSH-së, duke iu nënshtruar më parë procedurës së analizës së riskut. Në këtë kategori bëjnë pjesë edhe kërkesat e personave të tatueshëm, vlera e eksporteve të të cilëve është mbi 70 (shtatëdhjetë) %, por që nuk plotësojnë njëkohësisht kriteret e përcaktuara në pikën 2, të këtij neni.</w:t>
      </w:r>
    </w:p>
    <w:p w14:paraId="09E3F0C9" w14:textId="44A17592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 xml:space="preserve">Nëse nga analiza e riskut rezulton se personi i tatueshëm që klasifikohet në këtë kategori duhet t’i nënshtrohet procesit të kontrollit tatimor, e gjithë procedura, përfshirë kontrollin, përfundon brenda 30 (tridhjetë) ditëve nga data e paraqitjes së kërkesës. Edhe nëse nuk ka përfunduar në afat procedura e kontrollit, brenda afatit 30-ditor nga data e paraqitjes së kërkesës për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, kryhet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rimbursimi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i TVSH-së nëpërmjet sistemit të thesarit, me përjashtim të kërkesave të personave të tatueshëm që rezultojnë me status të aktivitetit “pasiv”, të cilët detyrimisht do të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rimbursohen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pas përfundimit të pr</w:t>
      </w:r>
      <w:r w:rsidR="002A71DF">
        <w:rPr>
          <w:rFonts w:ascii="Garamond" w:eastAsia="Calibri" w:hAnsi="Garamond"/>
          <w:color w:val="000000"/>
          <w:lang w:val="sq-AL" w:eastAsia="sq-AL"/>
        </w:rPr>
        <w:t>ocedurës së kontrollit tatimor.</w:t>
      </w:r>
    </w:p>
    <w:p w14:paraId="09E3F0CA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4.</w:t>
      </w:r>
      <w:r w:rsidR="00DB0EE8" w:rsidRPr="002A71DF">
        <w:rPr>
          <w:rFonts w:ascii="Garamond" w:eastAsia="Calibri" w:hAnsi="Garamond"/>
          <w:color w:val="000000"/>
          <w:lang w:val="sq-AL" w:eastAsia="sq-AL"/>
        </w:rPr>
        <w:t xml:space="preserve"> </w:t>
      </w:r>
      <w:r w:rsidRPr="002A71DF">
        <w:rPr>
          <w:rFonts w:ascii="Garamond" w:eastAsia="Calibri" w:hAnsi="Garamond"/>
          <w:color w:val="000000"/>
          <w:lang w:val="sq-AL" w:eastAsia="sq-AL"/>
        </w:rPr>
        <w:t xml:space="preserve">Të gjithë personat e tjerë të tatueshëm që kryejnë eksporte, por që nuk klasifikohen në pikat 2 dhe 3, të këtij neni,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rimbursohen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 xml:space="preserve"> brenda 60 (gjashtëdhjetë) ditëve nga data e paraqitjes së kërkesës për </w:t>
      </w:r>
      <w:proofErr w:type="spellStart"/>
      <w:r w:rsidRPr="002A71DF">
        <w:rPr>
          <w:rFonts w:ascii="Garamond" w:eastAsia="Calibri" w:hAnsi="Garamond"/>
          <w:color w:val="000000"/>
          <w:lang w:val="sq-AL" w:eastAsia="sq-AL"/>
        </w:rPr>
        <w:t>rimbursim</w:t>
      </w:r>
      <w:proofErr w:type="spellEnd"/>
      <w:r w:rsidRPr="002A71DF">
        <w:rPr>
          <w:rFonts w:ascii="Garamond" w:eastAsia="Calibri" w:hAnsi="Garamond"/>
          <w:color w:val="000000"/>
          <w:lang w:val="sq-AL" w:eastAsia="sq-AL"/>
        </w:rPr>
        <w:t>, duke iu nënshtruar procedurës së analizës së riskut.”.</w:t>
      </w:r>
    </w:p>
    <w:p w14:paraId="09E3F0CB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 w:eastAsia="sq-AL"/>
        </w:rPr>
      </w:pPr>
      <w:r w:rsidRPr="002A71DF">
        <w:rPr>
          <w:rFonts w:ascii="Garamond" w:eastAsia="Calibri" w:hAnsi="Garamond"/>
          <w:color w:val="000000"/>
          <w:lang w:val="sq-AL" w:eastAsia="sq-AL"/>
        </w:rPr>
        <w:t>Ky vendim hyn në fuqi pas botimit në Fletoren Zyrtare.</w:t>
      </w:r>
    </w:p>
    <w:p w14:paraId="09E3F0CC" w14:textId="77777777" w:rsidR="00436838" w:rsidRPr="002A71DF" w:rsidRDefault="00436838" w:rsidP="00436838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lang w:val="sq-AL" w:eastAsia="sq-AL"/>
        </w:rPr>
      </w:pPr>
    </w:p>
    <w:p w14:paraId="09E3F0CD" w14:textId="77777777" w:rsidR="00436838" w:rsidRPr="002A71DF" w:rsidRDefault="00436838" w:rsidP="00DB0EE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lang w:val="sq-AL" w:eastAsia="sq-AL"/>
        </w:rPr>
      </w:pPr>
      <w:r w:rsidRPr="002A71DF">
        <w:rPr>
          <w:rFonts w:ascii="Garamond" w:eastAsia="Calibri" w:hAnsi="Garamond"/>
          <w:bCs/>
          <w:color w:val="000000"/>
          <w:lang w:val="sq-AL" w:eastAsia="sq-AL"/>
        </w:rPr>
        <w:t>ZËVENDËSKRYEMINIST</w:t>
      </w:r>
      <w:r w:rsidR="004E6946" w:rsidRPr="002A71DF">
        <w:rPr>
          <w:rFonts w:ascii="Garamond" w:eastAsia="Calibri" w:hAnsi="Garamond"/>
          <w:bCs/>
          <w:color w:val="000000"/>
          <w:lang w:val="sq-AL" w:eastAsia="sq-AL"/>
        </w:rPr>
        <w:t>ËR</w:t>
      </w:r>
    </w:p>
    <w:p w14:paraId="09E3F0CE" w14:textId="77777777" w:rsidR="00436838" w:rsidRPr="002A71DF" w:rsidRDefault="00DB0EE8" w:rsidP="00DB0EE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bCs/>
          <w:color w:val="000000"/>
          <w:lang w:val="sq-AL" w:eastAsia="sq-AL"/>
        </w:rPr>
      </w:pPr>
      <w:proofErr w:type="spellStart"/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Erion</w:t>
      </w:r>
      <w:proofErr w:type="spellEnd"/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 xml:space="preserve"> </w:t>
      </w:r>
      <w:proofErr w:type="spellStart"/>
      <w:r w:rsidRPr="002A71DF">
        <w:rPr>
          <w:rFonts w:ascii="Garamond" w:eastAsia="Calibri" w:hAnsi="Garamond"/>
          <w:b/>
          <w:bCs/>
          <w:color w:val="000000"/>
          <w:lang w:val="sq-AL" w:eastAsia="sq-AL"/>
        </w:rPr>
        <w:t>Braçe</w:t>
      </w:r>
      <w:proofErr w:type="spellEnd"/>
    </w:p>
    <w:sectPr w:rsidR="00436838" w:rsidRPr="002A71DF" w:rsidSect="00451733">
      <w:footerReference w:type="default" r:id="rId14"/>
      <w:pgSz w:w="11907" w:h="16839" w:code="9"/>
      <w:pgMar w:top="1170" w:right="1440" w:bottom="9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6A435" w14:textId="77777777" w:rsidR="002A71DF" w:rsidRDefault="002A71DF">
      <w:r>
        <w:separator/>
      </w:r>
    </w:p>
  </w:endnote>
  <w:endnote w:type="continuationSeparator" w:id="0">
    <w:p w14:paraId="3872FBD2" w14:textId="77777777" w:rsidR="002A71DF" w:rsidRDefault="002A71DF">
      <w:r>
        <w:continuationSeparator/>
      </w:r>
    </w:p>
  </w:endnote>
  <w:endnote w:type="continuationNotice" w:id="1">
    <w:p w14:paraId="3DD3956F" w14:textId="77777777" w:rsidR="00876892" w:rsidRDefault="008768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E3F0D3" w14:textId="77777777" w:rsidR="002A71DF" w:rsidRDefault="002A71D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060C">
      <w:rPr>
        <w:noProof/>
      </w:rPr>
      <w:t>1</w:t>
    </w:r>
    <w:r>
      <w:rPr>
        <w:noProof/>
      </w:rPr>
      <w:fldChar w:fldCharType="end"/>
    </w:r>
  </w:p>
  <w:p w14:paraId="09E3F0D4" w14:textId="77777777" w:rsidR="002A71DF" w:rsidRDefault="002A71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46E5A" w14:textId="77777777" w:rsidR="002A71DF" w:rsidRDefault="002A71DF">
      <w:r>
        <w:separator/>
      </w:r>
    </w:p>
  </w:footnote>
  <w:footnote w:type="continuationSeparator" w:id="0">
    <w:p w14:paraId="52ECA8F4" w14:textId="77777777" w:rsidR="002A71DF" w:rsidRDefault="002A71DF">
      <w:r>
        <w:continuationSeparator/>
      </w:r>
    </w:p>
  </w:footnote>
  <w:footnote w:type="continuationNotice" w:id="1">
    <w:p w14:paraId="08149A64" w14:textId="77777777" w:rsidR="00876892" w:rsidRDefault="008768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C151D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91041D"/>
    <w:multiLevelType w:val="hybridMultilevel"/>
    <w:tmpl w:val="A6A825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66E98"/>
    <w:multiLevelType w:val="hybridMultilevel"/>
    <w:tmpl w:val="67464DF4"/>
    <w:lvl w:ilvl="0" w:tplc="18F283AE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3630949"/>
    <w:multiLevelType w:val="hybridMultilevel"/>
    <w:tmpl w:val="D2384EE0"/>
    <w:lvl w:ilvl="0" w:tplc="9530D53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D63D6"/>
    <w:multiLevelType w:val="hybridMultilevel"/>
    <w:tmpl w:val="87A444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54960A3"/>
    <w:multiLevelType w:val="hybridMultilevel"/>
    <w:tmpl w:val="A7DACFC2"/>
    <w:lvl w:ilvl="0" w:tplc="6058AD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020274"/>
    <w:multiLevelType w:val="hybridMultilevel"/>
    <w:tmpl w:val="785272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6339B5"/>
    <w:multiLevelType w:val="hybridMultilevel"/>
    <w:tmpl w:val="9508E7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AB2FD6"/>
    <w:multiLevelType w:val="hybridMultilevel"/>
    <w:tmpl w:val="C74AD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03"/>
    <w:rsid w:val="000171DE"/>
    <w:rsid w:val="00034EBC"/>
    <w:rsid w:val="000631DB"/>
    <w:rsid w:val="0007793A"/>
    <w:rsid w:val="000849EE"/>
    <w:rsid w:val="00085CA3"/>
    <w:rsid w:val="000A2230"/>
    <w:rsid w:val="000A4379"/>
    <w:rsid w:val="000B4B9B"/>
    <w:rsid w:val="000F5B5B"/>
    <w:rsid w:val="000F67F3"/>
    <w:rsid w:val="001244A2"/>
    <w:rsid w:val="0013609E"/>
    <w:rsid w:val="00157670"/>
    <w:rsid w:val="001725F0"/>
    <w:rsid w:val="0018229C"/>
    <w:rsid w:val="001951CC"/>
    <w:rsid w:val="001D6529"/>
    <w:rsid w:val="001E033F"/>
    <w:rsid w:val="001E4845"/>
    <w:rsid w:val="001F174E"/>
    <w:rsid w:val="00213A84"/>
    <w:rsid w:val="0025558D"/>
    <w:rsid w:val="0027752F"/>
    <w:rsid w:val="002A4605"/>
    <w:rsid w:val="002A5661"/>
    <w:rsid w:val="002A71DF"/>
    <w:rsid w:val="002D2056"/>
    <w:rsid w:val="002D6751"/>
    <w:rsid w:val="002F0569"/>
    <w:rsid w:val="002F240C"/>
    <w:rsid w:val="002F3939"/>
    <w:rsid w:val="002F71A2"/>
    <w:rsid w:val="0030485F"/>
    <w:rsid w:val="00317330"/>
    <w:rsid w:val="00330705"/>
    <w:rsid w:val="0033491C"/>
    <w:rsid w:val="00346C2A"/>
    <w:rsid w:val="00361801"/>
    <w:rsid w:val="003877F5"/>
    <w:rsid w:val="003878AB"/>
    <w:rsid w:val="003C2AF9"/>
    <w:rsid w:val="003C3331"/>
    <w:rsid w:val="003C48FA"/>
    <w:rsid w:val="003E30C7"/>
    <w:rsid w:val="003E3D80"/>
    <w:rsid w:val="003E73FA"/>
    <w:rsid w:val="003F2F59"/>
    <w:rsid w:val="003F4741"/>
    <w:rsid w:val="00404A2F"/>
    <w:rsid w:val="004063F0"/>
    <w:rsid w:val="004156FE"/>
    <w:rsid w:val="004176C6"/>
    <w:rsid w:val="004330A1"/>
    <w:rsid w:val="00436838"/>
    <w:rsid w:val="00451733"/>
    <w:rsid w:val="00462EE2"/>
    <w:rsid w:val="004B060C"/>
    <w:rsid w:val="004B5CDD"/>
    <w:rsid w:val="004C35BD"/>
    <w:rsid w:val="004E624E"/>
    <w:rsid w:val="004E6946"/>
    <w:rsid w:val="004F5A28"/>
    <w:rsid w:val="0050147A"/>
    <w:rsid w:val="0051665E"/>
    <w:rsid w:val="00516DB7"/>
    <w:rsid w:val="00567346"/>
    <w:rsid w:val="00570DC2"/>
    <w:rsid w:val="00584410"/>
    <w:rsid w:val="005B1C12"/>
    <w:rsid w:val="005B2221"/>
    <w:rsid w:val="0061204F"/>
    <w:rsid w:val="006121B8"/>
    <w:rsid w:val="00632C4F"/>
    <w:rsid w:val="006331DC"/>
    <w:rsid w:val="006435C8"/>
    <w:rsid w:val="00653AA6"/>
    <w:rsid w:val="00684D73"/>
    <w:rsid w:val="006873E0"/>
    <w:rsid w:val="006A0816"/>
    <w:rsid w:val="006A799D"/>
    <w:rsid w:val="006B509E"/>
    <w:rsid w:val="006F3085"/>
    <w:rsid w:val="007510CE"/>
    <w:rsid w:val="007632AD"/>
    <w:rsid w:val="00767665"/>
    <w:rsid w:val="007937EE"/>
    <w:rsid w:val="0079479F"/>
    <w:rsid w:val="007A23C4"/>
    <w:rsid w:val="00804AF6"/>
    <w:rsid w:val="0080790C"/>
    <w:rsid w:val="00810312"/>
    <w:rsid w:val="00812146"/>
    <w:rsid w:val="00836E9D"/>
    <w:rsid w:val="00840578"/>
    <w:rsid w:val="00876892"/>
    <w:rsid w:val="00890315"/>
    <w:rsid w:val="008B24B6"/>
    <w:rsid w:val="008C2026"/>
    <w:rsid w:val="008C2D65"/>
    <w:rsid w:val="008C6518"/>
    <w:rsid w:val="008D17CA"/>
    <w:rsid w:val="008D7D8B"/>
    <w:rsid w:val="00907102"/>
    <w:rsid w:val="00907DE4"/>
    <w:rsid w:val="00927118"/>
    <w:rsid w:val="00927614"/>
    <w:rsid w:val="00940620"/>
    <w:rsid w:val="00952EDC"/>
    <w:rsid w:val="00956B23"/>
    <w:rsid w:val="00996F75"/>
    <w:rsid w:val="009A71BE"/>
    <w:rsid w:val="009B133A"/>
    <w:rsid w:val="009B2CA3"/>
    <w:rsid w:val="009B69FA"/>
    <w:rsid w:val="009B7651"/>
    <w:rsid w:val="00A03595"/>
    <w:rsid w:val="00A0523E"/>
    <w:rsid w:val="00A06A15"/>
    <w:rsid w:val="00A1019A"/>
    <w:rsid w:val="00A10676"/>
    <w:rsid w:val="00A1447F"/>
    <w:rsid w:val="00A205A9"/>
    <w:rsid w:val="00A3102A"/>
    <w:rsid w:val="00A32D98"/>
    <w:rsid w:val="00A356C0"/>
    <w:rsid w:val="00A56644"/>
    <w:rsid w:val="00A7509E"/>
    <w:rsid w:val="00A818AB"/>
    <w:rsid w:val="00A85331"/>
    <w:rsid w:val="00AA3C12"/>
    <w:rsid w:val="00AB3318"/>
    <w:rsid w:val="00AC00D5"/>
    <w:rsid w:val="00AC0B5C"/>
    <w:rsid w:val="00AC36B6"/>
    <w:rsid w:val="00AC7FFC"/>
    <w:rsid w:val="00AD333D"/>
    <w:rsid w:val="00AD37C3"/>
    <w:rsid w:val="00AD7AB1"/>
    <w:rsid w:val="00AE1DCA"/>
    <w:rsid w:val="00AF022E"/>
    <w:rsid w:val="00B03CCB"/>
    <w:rsid w:val="00B258BF"/>
    <w:rsid w:val="00B27918"/>
    <w:rsid w:val="00B34AA1"/>
    <w:rsid w:val="00B50F55"/>
    <w:rsid w:val="00B672EA"/>
    <w:rsid w:val="00BA40C2"/>
    <w:rsid w:val="00BA4EAF"/>
    <w:rsid w:val="00BC52A3"/>
    <w:rsid w:val="00BC578E"/>
    <w:rsid w:val="00BC6001"/>
    <w:rsid w:val="00BD1F4A"/>
    <w:rsid w:val="00C079C4"/>
    <w:rsid w:val="00C16185"/>
    <w:rsid w:val="00C21F27"/>
    <w:rsid w:val="00C24BA3"/>
    <w:rsid w:val="00C24BDA"/>
    <w:rsid w:val="00C26FA7"/>
    <w:rsid w:val="00C43165"/>
    <w:rsid w:val="00C703A2"/>
    <w:rsid w:val="00C74CD5"/>
    <w:rsid w:val="00C765F7"/>
    <w:rsid w:val="00CD0F47"/>
    <w:rsid w:val="00CD113E"/>
    <w:rsid w:val="00CD41FD"/>
    <w:rsid w:val="00CD6BF8"/>
    <w:rsid w:val="00CD7F7C"/>
    <w:rsid w:val="00CE62D1"/>
    <w:rsid w:val="00CE762A"/>
    <w:rsid w:val="00D00BCE"/>
    <w:rsid w:val="00D13F16"/>
    <w:rsid w:val="00D17347"/>
    <w:rsid w:val="00D310E3"/>
    <w:rsid w:val="00D37F43"/>
    <w:rsid w:val="00D405E6"/>
    <w:rsid w:val="00D65B68"/>
    <w:rsid w:val="00D7184C"/>
    <w:rsid w:val="00D76103"/>
    <w:rsid w:val="00D944BC"/>
    <w:rsid w:val="00DB0EE8"/>
    <w:rsid w:val="00DB28BD"/>
    <w:rsid w:val="00DB34A1"/>
    <w:rsid w:val="00DB5A94"/>
    <w:rsid w:val="00DD6C50"/>
    <w:rsid w:val="00E20CED"/>
    <w:rsid w:val="00E3730A"/>
    <w:rsid w:val="00E622F2"/>
    <w:rsid w:val="00E75BED"/>
    <w:rsid w:val="00E86FFE"/>
    <w:rsid w:val="00EA5D18"/>
    <w:rsid w:val="00EB2A58"/>
    <w:rsid w:val="00EB6B92"/>
    <w:rsid w:val="00EC2EFF"/>
    <w:rsid w:val="00ED71F9"/>
    <w:rsid w:val="00EF1D1E"/>
    <w:rsid w:val="00F02CAB"/>
    <w:rsid w:val="00F165EB"/>
    <w:rsid w:val="00F16D97"/>
    <w:rsid w:val="00F33A44"/>
    <w:rsid w:val="00F46752"/>
    <w:rsid w:val="00F47DCC"/>
    <w:rsid w:val="00F524D8"/>
    <w:rsid w:val="00F53B4D"/>
    <w:rsid w:val="00F61CD7"/>
    <w:rsid w:val="00F85689"/>
    <w:rsid w:val="00FD5736"/>
    <w:rsid w:val="00FE5A9A"/>
    <w:rsid w:val="00FF212F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3F0B4"/>
  <w15:docId w15:val="{AA49897F-CE52-4297-B687-47CC43AA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103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76103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eastAsia="en-US"/>
    </w:rPr>
  </w:style>
  <w:style w:type="paragraph" w:customStyle="1" w:styleId="Autoriteti">
    <w:name w:val="Autoriteti"/>
    <w:next w:val="Normal"/>
    <w:rsid w:val="00D76103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eastAsia="en-US"/>
    </w:rPr>
  </w:style>
  <w:style w:type="paragraph" w:customStyle="1" w:styleId="AutoritetiEmer">
    <w:name w:val="Autoriteti_Emer"/>
    <w:next w:val="Normal"/>
    <w:rsid w:val="00D76103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eastAsia="en-US"/>
    </w:rPr>
  </w:style>
  <w:style w:type="paragraph" w:customStyle="1" w:styleId="BazLigjPropozues">
    <w:name w:val="Baz_Ligj_Propozues"/>
    <w:rsid w:val="00D76103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eastAsia="en-US"/>
    </w:rPr>
  </w:style>
  <w:style w:type="paragraph" w:customStyle="1" w:styleId="NumriData">
    <w:name w:val="Numri_Data"/>
    <w:next w:val="Normal"/>
    <w:rsid w:val="00D76103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eastAsia="en-US"/>
    </w:rPr>
  </w:style>
  <w:style w:type="paragraph" w:customStyle="1" w:styleId="Paragrafi">
    <w:name w:val="Paragrafi"/>
    <w:rsid w:val="00D76103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uiPriority w:val="99"/>
    <w:rsid w:val="00D76103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eastAsia="en-US"/>
    </w:rPr>
  </w:style>
  <w:style w:type="paragraph" w:customStyle="1" w:styleId="VENDOSI">
    <w:name w:val="VENDOSI"/>
    <w:next w:val="Normal"/>
    <w:rsid w:val="00D76103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eastAsia="en-US"/>
    </w:rPr>
  </w:style>
  <w:style w:type="paragraph" w:styleId="Title">
    <w:name w:val="Title"/>
    <w:basedOn w:val="Normal"/>
    <w:link w:val="TitleChar"/>
    <w:qFormat/>
    <w:rsid w:val="00213A84"/>
    <w:pPr>
      <w:jc w:val="center"/>
    </w:pPr>
    <w:rPr>
      <w:rFonts w:eastAsia="MS Mincho"/>
      <w:b/>
      <w:bCs/>
      <w:sz w:val="32"/>
    </w:rPr>
  </w:style>
  <w:style w:type="character" w:customStyle="1" w:styleId="TitleChar">
    <w:name w:val="Title Char"/>
    <w:link w:val="Title"/>
    <w:rsid w:val="00213A84"/>
    <w:rPr>
      <w:rFonts w:ascii="Times New Roman" w:eastAsia="MS Mincho" w:hAnsi="Times New Roman" w:cs="Times New Roman"/>
      <w:b/>
      <w:bCs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B5A9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4379"/>
    <w:pPr>
      <w:widowControl w:val="0"/>
    </w:pPr>
    <w:rPr>
      <w:rFonts w:ascii="Calibri" w:eastAsia="Calibri" w:hAnsi="Calibri"/>
      <w:sz w:val="22"/>
      <w:szCs w:val="22"/>
      <w:lang w:val="sq-AL"/>
    </w:rPr>
  </w:style>
  <w:style w:type="character" w:customStyle="1" w:styleId="TitulliChar">
    <w:name w:val="Titulli Char"/>
    <w:link w:val="Titulli"/>
    <w:uiPriority w:val="99"/>
    <w:locked/>
    <w:rsid w:val="005B2221"/>
    <w:rPr>
      <w:rFonts w:ascii="CG Times" w:eastAsia="Times New Roman" w:hAnsi="CG Times"/>
      <w:b/>
      <w:caps/>
      <w:sz w:val="22"/>
      <w:szCs w:val="22"/>
      <w:lang w:val="en-GB"/>
    </w:rPr>
  </w:style>
  <w:style w:type="paragraph" w:styleId="NoSpacing">
    <w:name w:val="No Spacing"/>
    <w:uiPriority w:val="1"/>
    <w:qFormat/>
    <w:rsid w:val="005B2221"/>
    <w:rPr>
      <w:rFonts w:ascii="Cambria" w:eastAsia="Cambria" w:hAnsi="Cambria"/>
      <w:sz w:val="22"/>
      <w:szCs w:val="22"/>
      <w:lang w:val="en-US" w:eastAsia="en-US"/>
    </w:rPr>
  </w:style>
  <w:style w:type="paragraph" w:styleId="NormalWeb">
    <w:name w:val="Normal (Web)"/>
    <w:basedOn w:val="Normal"/>
    <w:unhideWhenUsed/>
    <w:rsid w:val="009B69FA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B69F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9B69F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B69F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E73F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E73FA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xmsolistparagraph">
    <w:name w:val="x_msolistparagraph"/>
    <w:basedOn w:val="Normal"/>
    <w:rsid w:val="00085CA3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085CA3"/>
    <w:pPr>
      <w:spacing w:before="100" w:beforeAutospacing="1" w:after="100" w:afterAutospacing="1"/>
    </w:pPr>
  </w:style>
  <w:style w:type="character" w:styleId="CommentReference">
    <w:name w:val="annotation reference"/>
    <w:uiPriority w:val="99"/>
    <w:semiHidden/>
    <w:unhideWhenUsed/>
    <w:rsid w:val="00346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C2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46C2A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C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46C2A"/>
    <w:rPr>
      <w:rFonts w:ascii="Times New Roman" w:eastAsia="Times New Roman" w:hAnsi="Times New Roman"/>
      <w:b/>
      <w:bCs/>
    </w:rPr>
  </w:style>
  <w:style w:type="character" w:customStyle="1" w:styleId="fontstyle01">
    <w:name w:val="fontstyle01"/>
    <w:rsid w:val="002D20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2021-07-13T13:43:45Z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një ndryshim në vendimin nr.953, datë 29.12.2014, të Këshillit të Ministrave, “Për dispozitat zbatuese të ligjit nr.92/2014, “Për tatimin mbi vlerën e shtuar në Republikën e Shqipërisë””, të ndryshuar</Titulli>
    <Modifikuesi xmlns="0e656187-b300-4fb0-8bf4-3a50f872073c">nevila.samarxhi</Modifikuesi>
    <Nr_x002e__x0020_prot_x0020_QBZ xmlns="0e656187-b300-4fb0-8bf4-3a50f872073c">1031</Nr_x002e__x0020_prot_x0020_QBZ>
    <Data_x0020_e_x0020_Modifikimit xmlns="0e656187-b300-4fb0-8bf4-3a50f872073c">2021-07-14T06:56:42Z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5D92EFB5546639DB9C2ABB06D8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5D92EFB5546639DB9C2ABB06D8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788D2-C4F8-4F1D-B59C-A50B1EA17D9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2FE5C1C-46B7-43D4-907F-0F2FDBFA8608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7A2CEE0-1F16-4093-9F44-B730A5F231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211C2-BEBF-4435-8CA0-03742FB91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5E2194-C74B-4E31-A1C2-8844B1AE4A0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2DC0F0-162A-45D7-ACD4-9FCF182B0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13D2D4E-6248-40F5-BAE7-C66B46689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Projekvendim“Për përcaktimin dhe shtrirjen territoriale të Zonës së Lirë Doganore, Porto Romano”</vt:lpstr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Projekvendim“Për përcaktimin dhe shtrirjen territoriale të Zonës së Lirë Doganore, Porto Romano”</dc:title>
  <dc:creator>Berla Huta</dc:creator>
  <cp:lastModifiedBy>Fjora Cahani</cp:lastModifiedBy>
  <cp:revision>10</cp:revision>
  <cp:lastPrinted>2021-07-08T10:13:00Z</cp:lastPrinted>
  <dcterms:created xsi:type="dcterms:W3CDTF">2021-07-08T09:12:00Z</dcterms:created>
  <dcterms:modified xsi:type="dcterms:W3CDTF">2021-07-14T07:41:00Z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Projekvendim“Për përcaktimin dhe shtrirjen territoriale të Zonës së Lirë Doganore, Porto Romano”</vt:lpwstr>
  </property>
</Properties>
</file>