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8583C" w14:textId="77777777" w:rsidR="00BB33F8" w:rsidRPr="003D2C87" w:rsidRDefault="00BB33F8" w:rsidP="00BB33F8">
      <w:pPr>
        <w:autoSpaceDE w:val="0"/>
        <w:autoSpaceDN w:val="0"/>
        <w:adjustRightInd w:val="0"/>
        <w:ind w:left="0" w:firstLine="284"/>
        <w:jc w:val="center"/>
        <w:rPr>
          <w:rFonts w:ascii="Garamond" w:eastAsiaTheme="minorHAnsi" w:hAnsi="Garamond"/>
          <w:b/>
          <w:bCs/>
          <w:color w:val="000000"/>
          <w:sz w:val="24"/>
          <w:szCs w:val="24"/>
          <w:lang w:val="sq-AL"/>
        </w:rPr>
      </w:pPr>
      <w:r w:rsidRPr="003D2C87">
        <w:rPr>
          <w:rFonts w:ascii="Garamond" w:eastAsiaTheme="minorHAnsi" w:hAnsi="Garamond"/>
          <w:b/>
          <w:bCs/>
          <w:color w:val="000000"/>
          <w:sz w:val="24"/>
          <w:szCs w:val="24"/>
          <w:lang w:val="sq-AL"/>
        </w:rPr>
        <w:t>VENDIM</w:t>
      </w:r>
    </w:p>
    <w:p w14:paraId="306DE405" w14:textId="063CA0B8" w:rsidR="00BB33F8" w:rsidRPr="003D2C87" w:rsidRDefault="00BB33F8" w:rsidP="00BB33F8">
      <w:pPr>
        <w:autoSpaceDE w:val="0"/>
        <w:autoSpaceDN w:val="0"/>
        <w:adjustRightInd w:val="0"/>
        <w:ind w:left="0" w:firstLine="284"/>
        <w:jc w:val="center"/>
        <w:rPr>
          <w:rFonts w:ascii="Garamond" w:eastAsiaTheme="minorHAnsi" w:hAnsi="Garamond"/>
          <w:b/>
          <w:bCs/>
          <w:color w:val="000000"/>
          <w:sz w:val="24"/>
          <w:szCs w:val="24"/>
          <w:lang w:val="sq-AL"/>
        </w:rPr>
      </w:pPr>
      <w:r w:rsidRPr="003D2C87">
        <w:rPr>
          <w:rFonts w:ascii="Garamond" w:eastAsiaTheme="minorHAnsi" w:hAnsi="Garamond"/>
          <w:b/>
          <w:bCs/>
          <w:color w:val="000000"/>
          <w:sz w:val="24"/>
          <w:szCs w:val="24"/>
          <w:lang w:val="sq-AL"/>
        </w:rPr>
        <w:t>Nr.</w:t>
      </w:r>
      <w:r w:rsidR="003D2C87" w:rsidRPr="003D2C87">
        <w:rPr>
          <w:rFonts w:ascii="Garamond" w:eastAsiaTheme="minorHAnsi" w:hAnsi="Garamond"/>
          <w:b/>
          <w:bCs/>
          <w:color w:val="000000"/>
          <w:sz w:val="24"/>
          <w:szCs w:val="24"/>
          <w:lang w:val="sq-AL"/>
        </w:rPr>
        <w:t xml:space="preserve"> </w:t>
      </w:r>
      <w:r w:rsidRPr="003D2C87">
        <w:rPr>
          <w:rFonts w:ascii="Garamond" w:eastAsiaTheme="minorHAnsi" w:hAnsi="Garamond"/>
          <w:b/>
          <w:bCs/>
          <w:color w:val="000000"/>
          <w:sz w:val="24"/>
          <w:szCs w:val="24"/>
          <w:lang w:val="sq-AL"/>
        </w:rPr>
        <w:t>429, datë 15.7.2021</w:t>
      </w:r>
    </w:p>
    <w:p w14:paraId="02D14EB7" w14:textId="77777777" w:rsidR="00BB33F8" w:rsidRPr="003D2C87" w:rsidRDefault="00BB33F8" w:rsidP="00BB33F8">
      <w:pPr>
        <w:autoSpaceDE w:val="0"/>
        <w:autoSpaceDN w:val="0"/>
        <w:adjustRightInd w:val="0"/>
        <w:ind w:left="0" w:firstLine="284"/>
        <w:rPr>
          <w:rFonts w:ascii="Garamond" w:eastAsiaTheme="minorHAnsi" w:hAnsi="Garamond"/>
          <w:b/>
          <w:bCs/>
          <w:color w:val="000000"/>
          <w:sz w:val="24"/>
          <w:szCs w:val="24"/>
          <w:lang w:val="sq-AL"/>
        </w:rPr>
      </w:pPr>
    </w:p>
    <w:p w14:paraId="32C56D1E" w14:textId="77777777" w:rsidR="00BB33F8" w:rsidRPr="003D2C87" w:rsidRDefault="00BB33F8" w:rsidP="00BB33F8">
      <w:pPr>
        <w:autoSpaceDE w:val="0"/>
        <w:autoSpaceDN w:val="0"/>
        <w:adjustRightInd w:val="0"/>
        <w:ind w:left="0" w:firstLine="284"/>
        <w:jc w:val="center"/>
        <w:rPr>
          <w:rFonts w:ascii="Garamond" w:eastAsiaTheme="minorHAnsi" w:hAnsi="Garamond"/>
          <w:b/>
          <w:bCs/>
          <w:color w:val="000000"/>
          <w:sz w:val="24"/>
          <w:szCs w:val="24"/>
          <w:lang w:val="sq-AL"/>
        </w:rPr>
      </w:pPr>
      <w:r w:rsidRPr="003D2C87">
        <w:rPr>
          <w:rFonts w:ascii="Garamond" w:eastAsiaTheme="minorHAnsi" w:hAnsi="Garamond"/>
          <w:b/>
          <w:bCs/>
          <w:color w:val="000000"/>
          <w:sz w:val="24"/>
          <w:szCs w:val="24"/>
          <w:lang w:val="sq-AL"/>
        </w:rPr>
        <w:t>PËR PËRCAKTIMIN E RREGULLAVE TË HOLLËSISHME TË HARTIMIT TË PLANIT TË RILEVIMIT PËR ZONAT E STIMULUARA</w:t>
      </w:r>
    </w:p>
    <w:p w14:paraId="5AF7D8F0" w14:textId="77777777" w:rsidR="00BB33F8" w:rsidRPr="003D2C87" w:rsidRDefault="00BB33F8" w:rsidP="00BB33F8">
      <w:pPr>
        <w:autoSpaceDE w:val="0"/>
        <w:autoSpaceDN w:val="0"/>
        <w:adjustRightInd w:val="0"/>
        <w:ind w:left="0" w:firstLine="284"/>
        <w:rPr>
          <w:rFonts w:ascii="Garamond" w:eastAsiaTheme="minorHAnsi" w:hAnsi="Garamond" w:cs="Garamond"/>
          <w:color w:val="000000"/>
          <w:sz w:val="24"/>
          <w:szCs w:val="24"/>
          <w:lang w:val="sq-AL"/>
        </w:rPr>
      </w:pPr>
    </w:p>
    <w:p w14:paraId="714A5324" w14:textId="787A288B"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Në mbështetje të nenit 100 të Kushtetutës dhe të pikës 3, të nenit 48, të ligjit nr.</w:t>
      </w:r>
      <w:r w:rsidR="009E7590">
        <w:rPr>
          <w:rFonts w:ascii="Garamond" w:eastAsiaTheme="minorHAnsi" w:hAnsi="Garamond"/>
          <w:color w:val="000000"/>
          <w:sz w:val="24"/>
          <w:szCs w:val="24"/>
          <w:lang w:val="sq-AL"/>
        </w:rPr>
        <w:t xml:space="preserve"> </w:t>
      </w:r>
      <w:r w:rsidRPr="003D2C87">
        <w:rPr>
          <w:rFonts w:ascii="Garamond" w:eastAsiaTheme="minorHAnsi" w:hAnsi="Garamond"/>
          <w:color w:val="000000"/>
          <w:sz w:val="24"/>
          <w:szCs w:val="24"/>
          <w:lang w:val="sq-AL"/>
        </w:rPr>
        <w:t xml:space="preserve">20/2020, “Për përfundimin e proceseve kalimtare të pronësisë në Republikën e Shqipërisë”, me propozimin e </w:t>
      </w:r>
      <w:r w:rsidR="009E7590">
        <w:rPr>
          <w:rFonts w:ascii="Garamond" w:eastAsiaTheme="minorHAnsi" w:hAnsi="Garamond"/>
          <w:color w:val="000000"/>
          <w:sz w:val="24"/>
          <w:szCs w:val="24"/>
          <w:lang w:val="sq-AL"/>
        </w:rPr>
        <w:t>z</w:t>
      </w:r>
      <w:r w:rsidRPr="003D2C87">
        <w:rPr>
          <w:rFonts w:ascii="Garamond" w:eastAsiaTheme="minorHAnsi" w:hAnsi="Garamond"/>
          <w:color w:val="000000"/>
          <w:sz w:val="24"/>
          <w:szCs w:val="24"/>
          <w:lang w:val="sq-AL"/>
        </w:rPr>
        <w:t>ëvendëskryeministrit, Këshilli i Ministrave</w:t>
      </w:r>
    </w:p>
    <w:p w14:paraId="730BE37E" w14:textId="77777777"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p>
    <w:p w14:paraId="4B6471C1" w14:textId="77777777" w:rsidR="00BB33F8" w:rsidRPr="003D2C87" w:rsidRDefault="00BB33F8" w:rsidP="00BB33F8">
      <w:pPr>
        <w:autoSpaceDE w:val="0"/>
        <w:autoSpaceDN w:val="0"/>
        <w:adjustRightInd w:val="0"/>
        <w:ind w:left="0" w:firstLine="284"/>
        <w:jc w:val="center"/>
        <w:rPr>
          <w:rFonts w:ascii="Garamond" w:eastAsiaTheme="minorHAnsi" w:hAnsi="Garamond"/>
          <w:bCs/>
          <w:color w:val="000000"/>
          <w:sz w:val="24"/>
          <w:szCs w:val="24"/>
          <w:lang w:val="sq-AL"/>
        </w:rPr>
      </w:pPr>
      <w:r w:rsidRPr="003D2C87">
        <w:rPr>
          <w:rFonts w:ascii="Garamond" w:eastAsiaTheme="minorHAnsi" w:hAnsi="Garamond"/>
          <w:bCs/>
          <w:color w:val="000000"/>
          <w:sz w:val="24"/>
          <w:szCs w:val="24"/>
          <w:lang w:val="sq-AL"/>
        </w:rPr>
        <w:t>VENDOSI:</w:t>
      </w:r>
    </w:p>
    <w:p w14:paraId="676CE5AF" w14:textId="77777777" w:rsidR="00BB33F8" w:rsidRPr="003D2C87" w:rsidRDefault="00BB33F8" w:rsidP="00BB33F8">
      <w:pPr>
        <w:autoSpaceDE w:val="0"/>
        <w:autoSpaceDN w:val="0"/>
        <w:adjustRightInd w:val="0"/>
        <w:ind w:left="0" w:firstLine="284"/>
        <w:jc w:val="center"/>
        <w:rPr>
          <w:rFonts w:ascii="Garamond" w:eastAsiaTheme="minorHAnsi" w:hAnsi="Garamond"/>
          <w:b/>
          <w:bCs/>
          <w:color w:val="000000"/>
          <w:sz w:val="24"/>
          <w:szCs w:val="24"/>
          <w:lang w:val="sq-AL"/>
        </w:rPr>
      </w:pPr>
      <w:bookmarkStart w:id="0" w:name="_GoBack"/>
      <w:bookmarkEnd w:id="0"/>
    </w:p>
    <w:p w14:paraId="57B44BFB" w14:textId="1A4CDCEF"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1. Plan rilevimi është harta digjitale dhe manuale, e hartuar nga Agjencia Shtetërore e Kadastrës (në vijim, ASHK), që përftohet nga verifikimi në terren, ku pasqyrohet gjendja faktike ndërtimore, kufijtë e zonës së stimuluar, si dhe</w:t>
      </w:r>
      <w:r w:rsidR="009E7590">
        <w:rPr>
          <w:rFonts w:ascii="Garamond" w:eastAsiaTheme="minorHAnsi" w:hAnsi="Garamond"/>
          <w:color w:val="000000"/>
          <w:sz w:val="24"/>
          <w:szCs w:val="24"/>
          <w:lang w:val="sq-AL"/>
        </w:rPr>
        <w:t xml:space="preserve"> të dhënat e hartës kadastrale.</w:t>
      </w:r>
    </w:p>
    <w:p w14:paraId="67BE4D0E" w14:textId="3B78604D"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2. Plani i rilevimit i zonës së stimuluar pasqyron kufijtë, përmasat dhe pozicionin gjeografik për:</w:t>
      </w:r>
    </w:p>
    <w:p w14:paraId="11BBC782" w14:textId="419ED9ED"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a) njësitë ndërtimore;</w:t>
      </w:r>
    </w:p>
    <w:p w14:paraId="6BE188B0" w14:textId="5ADA45BD"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b) truallin funksional të njësive ndërtimore;</w:t>
      </w:r>
    </w:p>
    <w:p w14:paraId="4645A632" w14:textId="0ECAFCB0"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c) truallin e lirë brenda zonës së stimuluar.</w:t>
      </w:r>
    </w:p>
    <w:p w14:paraId="6BA9A468" w14:textId="42C04BDB"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3. Plani i rilevimit shoqërohet në çdo rast nga relacioni shpjegues i gjendjes juridike të pasurive brenda zonës së stimuluar, i cili përmban:</w:t>
      </w:r>
    </w:p>
    <w:p w14:paraId="2445AC1B" w14:textId="1FD47981" w:rsidR="00BB33F8" w:rsidRPr="003D2C87" w:rsidRDefault="00BB33F8" w:rsidP="009E7590">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a) të dhënat kadastrale të pasurive (të dhënat e</w:t>
      </w:r>
      <w:r w:rsidR="006D75AE" w:rsidRPr="003D2C87">
        <w:rPr>
          <w:rFonts w:ascii="Garamond" w:eastAsiaTheme="minorHAnsi" w:hAnsi="Garamond"/>
          <w:color w:val="000000"/>
          <w:sz w:val="24"/>
          <w:szCs w:val="24"/>
          <w:lang w:val="sq-AL"/>
        </w:rPr>
        <w:t xml:space="preserve"> regjistrit kadastral) brenda</w:t>
      </w:r>
      <w:r w:rsidR="009E7590">
        <w:rPr>
          <w:rFonts w:ascii="Garamond" w:eastAsiaTheme="minorHAnsi" w:hAnsi="Garamond"/>
          <w:color w:val="000000"/>
          <w:sz w:val="24"/>
          <w:szCs w:val="24"/>
          <w:lang w:val="sq-AL"/>
        </w:rPr>
        <w:t xml:space="preserve"> </w:t>
      </w:r>
      <w:r w:rsidRPr="003D2C87">
        <w:rPr>
          <w:rFonts w:ascii="Garamond" w:eastAsiaTheme="minorHAnsi" w:hAnsi="Garamond"/>
          <w:color w:val="000000"/>
          <w:sz w:val="24"/>
          <w:szCs w:val="24"/>
          <w:lang w:val="sq-AL"/>
        </w:rPr>
        <w:t>zonës së stimuluar;</w:t>
      </w:r>
    </w:p>
    <w:p w14:paraId="1FE85DE7" w14:textId="18AD5D50"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b) të dhënat nga dokumentacioni për miratimin e zonës së stimuluar;</w:t>
      </w:r>
    </w:p>
    <w:p w14:paraId="30673572" w14:textId="5D11DF8A"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c) të dhënat për kërkesat e paraqitura për kalimin e pronësisë;</w:t>
      </w:r>
    </w:p>
    <w:p w14:paraId="027A17AE" w14:textId="5956E14D"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ç) të dhënat për vendimmarrje për njohje, kthim apo kompensim në kuadër të legjislacionit për trajtimin e pronës dhe përfundimin e proc</w:t>
      </w:r>
      <w:r w:rsidR="009E7590">
        <w:rPr>
          <w:rFonts w:ascii="Garamond" w:eastAsiaTheme="minorHAnsi" w:hAnsi="Garamond"/>
          <w:color w:val="000000"/>
          <w:sz w:val="24"/>
          <w:szCs w:val="24"/>
          <w:lang w:val="sq-AL"/>
        </w:rPr>
        <w:t>esit të kompensimit të pronave.</w:t>
      </w:r>
    </w:p>
    <w:p w14:paraId="78ABC0C5" w14:textId="28800447"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4. Drejtoria vendore e ASHK-së, kompetente për zonat e stimuluara, harton planin e rilevimit dhe relacionin shpjegues, jo më vonë se 60 (gjashtëdhjetë) ditë nga data e përfundimit të verifikimit në terren të zonës së stimuluar.</w:t>
      </w:r>
    </w:p>
    <w:p w14:paraId="157E621C" w14:textId="3D075AF7" w:rsidR="00BB33F8" w:rsidRPr="003D2C87" w:rsidRDefault="00BB33F8" w:rsidP="00BB33F8">
      <w:pPr>
        <w:autoSpaceDE w:val="0"/>
        <w:autoSpaceDN w:val="0"/>
        <w:adjustRightInd w:val="0"/>
        <w:ind w:left="0" w:firstLine="284"/>
        <w:rPr>
          <w:rFonts w:ascii="Garamond" w:eastAsiaTheme="minorHAnsi" w:hAnsi="Garamond"/>
          <w:b/>
          <w:bCs/>
          <w:color w:val="000000"/>
          <w:sz w:val="24"/>
          <w:szCs w:val="24"/>
          <w:lang w:val="sq-AL"/>
        </w:rPr>
      </w:pPr>
      <w:r w:rsidRPr="003D2C87">
        <w:rPr>
          <w:rFonts w:ascii="Garamond" w:eastAsiaTheme="minorHAnsi" w:hAnsi="Garamond"/>
          <w:color w:val="000000"/>
          <w:sz w:val="24"/>
          <w:szCs w:val="24"/>
          <w:lang w:val="sq-AL"/>
        </w:rPr>
        <w:t>5. Plani i rilevimit në format digjital e manual dhe relacioni shpjegues i përcillet drejtorisë vendore të ASHK-së, kompetente për territorin ku ndodhet zona e stimuluar, e cila përgatit kart</w:t>
      </w:r>
      <w:r w:rsidR="009E7590">
        <w:rPr>
          <w:rFonts w:ascii="Garamond" w:eastAsiaTheme="minorHAnsi" w:hAnsi="Garamond"/>
          <w:color w:val="000000"/>
          <w:sz w:val="24"/>
          <w:szCs w:val="24"/>
          <w:lang w:val="sq-AL"/>
        </w:rPr>
        <w:t>elat e pasurive të paluajtshme.</w:t>
      </w:r>
    </w:p>
    <w:p w14:paraId="3EF2D3F1" w14:textId="5E397D49" w:rsidR="00BB33F8" w:rsidRPr="003D2C87" w:rsidRDefault="00BB33F8" w:rsidP="00BB33F8">
      <w:pPr>
        <w:autoSpaceDE w:val="0"/>
        <w:autoSpaceDN w:val="0"/>
        <w:adjustRightInd w:val="0"/>
        <w:ind w:left="0" w:firstLine="284"/>
        <w:rPr>
          <w:rFonts w:ascii="Garamond" w:eastAsiaTheme="minorHAnsi" w:hAnsi="Garamond"/>
          <w:b/>
          <w:bCs/>
          <w:color w:val="000000"/>
          <w:sz w:val="24"/>
          <w:szCs w:val="24"/>
          <w:lang w:val="sq-AL"/>
        </w:rPr>
      </w:pPr>
      <w:r w:rsidRPr="003D2C87">
        <w:rPr>
          <w:rFonts w:ascii="Garamond" w:eastAsiaTheme="minorHAnsi" w:hAnsi="Garamond"/>
          <w:color w:val="000000"/>
          <w:sz w:val="24"/>
          <w:szCs w:val="24"/>
          <w:lang w:val="sq-AL"/>
        </w:rPr>
        <w:t>6. Në zonat kadastrale, ku ka përfunduar regjistrimi fillestar, kur konstatohet se ka mospërputhje ndërmjet hartës kadastrale dhe planit të rilevimit, drejtoria vendore e ASHK-së, kompetente për territorin ku ndodhet zona e stimuluar, kryen procedurat e përmirësimit të regjistrit sipas planit të rilevimit, në përputhje me kreun VI, të ligjit nr.</w:t>
      </w:r>
      <w:r w:rsidR="009E7590">
        <w:rPr>
          <w:rFonts w:ascii="Garamond" w:eastAsiaTheme="minorHAnsi" w:hAnsi="Garamond"/>
          <w:color w:val="000000"/>
          <w:sz w:val="24"/>
          <w:szCs w:val="24"/>
          <w:lang w:val="sq-AL"/>
        </w:rPr>
        <w:t xml:space="preserve"> </w:t>
      </w:r>
      <w:r w:rsidRPr="003D2C87">
        <w:rPr>
          <w:rFonts w:ascii="Garamond" w:eastAsiaTheme="minorHAnsi" w:hAnsi="Garamond"/>
          <w:color w:val="000000"/>
          <w:sz w:val="24"/>
          <w:szCs w:val="24"/>
          <w:lang w:val="sq-AL"/>
        </w:rPr>
        <w:t>111/2018, “Për kadastrën”.</w:t>
      </w:r>
    </w:p>
    <w:p w14:paraId="60BBEB76" w14:textId="432B87D1" w:rsidR="00BB33F8" w:rsidRPr="003D2C87" w:rsidRDefault="009E7590" w:rsidP="00BB33F8">
      <w:pPr>
        <w:autoSpaceDE w:val="0"/>
        <w:autoSpaceDN w:val="0"/>
        <w:adjustRightInd w:val="0"/>
        <w:ind w:left="0" w:firstLine="284"/>
        <w:rPr>
          <w:rFonts w:ascii="Garamond" w:eastAsiaTheme="minorHAnsi" w:hAnsi="Garamond"/>
          <w:color w:val="000000"/>
          <w:sz w:val="24"/>
          <w:szCs w:val="24"/>
          <w:lang w:val="sq-AL"/>
        </w:rPr>
      </w:pPr>
      <w:r>
        <w:rPr>
          <w:rFonts w:ascii="Garamond" w:eastAsiaTheme="minorHAnsi" w:hAnsi="Garamond"/>
          <w:color w:val="000000"/>
          <w:sz w:val="24"/>
          <w:szCs w:val="24"/>
          <w:lang w:val="sq-AL"/>
        </w:rPr>
        <w:t xml:space="preserve">7. </w:t>
      </w:r>
      <w:r w:rsidR="00BB33F8" w:rsidRPr="003D2C87">
        <w:rPr>
          <w:rFonts w:ascii="Garamond" w:eastAsiaTheme="minorHAnsi" w:hAnsi="Garamond"/>
          <w:color w:val="000000"/>
          <w:sz w:val="24"/>
          <w:szCs w:val="24"/>
          <w:lang w:val="sq-AL"/>
        </w:rPr>
        <w:t>Plani i rilevimit dhe lista e përfituesve me të dhënat nga kartela e pasurisë së paluajtshme, hartuar sipar pikës 5, të këtij vendimi, i nënshtrohen procesit të konsultimit publik, në përputhje me nenin 31, të ligjit nr.</w:t>
      </w:r>
      <w:r>
        <w:rPr>
          <w:rFonts w:ascii="Garamond" w:eastAsiaTheme="minorHAnsi" w:hAnsi="Garamond"/>
          <w:color w:val="000000"/>
          <w:sz w:val="24"/>
          <w:szCs w:val="24"/>
          <w:lang w:val="sq-AL"/>
        </w:rPr>
        <w:t xml:space="preserve"> </w:t>
      </w:r>
      <w:r w:rsidR="00BB33F8" w:rsidRPr="003D2C87">
        <w:rPr>
          <w:rFonts w:ascii="Garamond" w:eastAsiaTheme="minorHAnsi" w:hAnsi="Garamond"/>
          <w:color w:val="000000"/>
          <w:sz w:val="24"/>
          <w:szCs w:val="24"/>
          <w:lang w:val="sq-AL"/>
        </w:rPr>
        <w:t>111/2018, “Për kadastrën”. Procedurat e konsultimit publik ndiqen nga drejtoria vendore e ASHK-së, kompetente për zonat e stimuluara.</w:t>
      </w:r>
    </w:p>
    <w:p w14:paraId="07A420F1" w14:textId="4C6DB080"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8. Nga data e përcjelljes së planit të rilevimit nga drejtoria vendore kompetente për zonat e stimuluara, sipas pikës 5, të këtij vendimi,</w:t>
      </w:r>
      <w:r w:rsidRPr="003D2C87">
        <w:rPr>
          <w:rFonts w:ascii="Garamond" w:eastAsiaTheme="minorHAnsi" w:hAnsi="Garamond"/>
          <w:color w:val="FF0000"/>
          <w:sz w:val="24"/>
          <w:szCs w:val="24"/>
          <w:lang w:val="sq-AL"/>
        </w:rPr>
        <w:t xml:space="preserve"> </w:t>
      </w:r>
      <w:r w:rsidRPr="003D2C87">
        <w:rPr>
          <w:rFonts w:ascii="Garamond" w:eastAsiaTheme="minorHAnsi" w:hAnsi="Garamond"/>
          <w:color w:val="000000"/>
          <w:sz w:val="24"/>
          <w:szCs w:val="24"/>
          <w:lang w:val="sq-AL"/>
        </w:rPr>
        <w:t>dhe deri në përfundimin e procedurës së konsultimit publik, drejtoria vendore e ASHK-së, kompetente për territorin ku ndodhet zona e stimuluar, duhet të pezullojë veprimet me pasuritë brenda zonës së stimuluar.</w:t>
      </w:r>
    </w:p>
    <w:p w14:paraId="43DA4768" w14:textId="20983894"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9. Pas përfundimit të konsultimit publik dhe trajtimit të ankesave, harta, kartelat e pasurive të paluajtshme dhe dokumentacioni tekniko-ligjor legjitimohen nga drejtoria vendore e ASHK-së, kompetente për territorin ku ndodhet zona e stimuluar. Me legjitimim kuptohet miratimi nga drejtoria ven</w:t>
      </w:r>
      <w:r w:rsidR="009E7590">
        <w:rPr>
          <w:rFonts w:ascii="Garamond" w:eastAsiaTheme="minorHAnsi" w:hAnsi="Garamond"/>
          <w:color w:val="000000"/>
          <w:sz w:val="24"/>
          <w:szCs w:val="24"/>
          <w:lang w:val="sq-AL"/>
        </w:rPr>
        <w:t xml:space="preserve">dore e ASHK-së, kompetente për </w:t>
      </w:r>
      <w:r w:rsidRPr="003D2C87">
        <w:rPr>
          <w:rFonts w:ascii="Garamond" w:eastAsiaTheme="minorHAnsi" w:hAnsi="Garamond"/>
          <w:color w:val="000000"/>
          <w:sz w:val="24"/>
          <w:szCs w:val="24"/>
          <w:lang w:val="sq-AL"/>
        </w:rPr>
        <w:t xml:space="preserve">territorin ku ndodhet zona e stimuluar, i planit të </w:t>
      </w:r>
      <w:r w:rsidRPr="003D2C87">
        <w:rPr>
          <w:rFonts w:ascii="Garamond" w:eastAsiaTheme="minorHAnsi" w:hAnsi="Garamond"/>
          <w:color w:val="000000"/>
          <w:sz w:val="24"/>
          <w:szCs w:val="24"/>
          <w:lang w:val="sq-AL"/>
        </w:rPr>
        <w:lastRenderedPageBreak/>
        <w:t>rilevimit dhe listës së përfituesve me të dhënat nga kartela e pasurisë së paluajtshme, që i është nënshtruar konsultimit publik, dhe përfshirja e tij në bazën e të dhënave.</w:t>
      </w:r>
    </w:p>
    <w:p w14:paraId="15159C89" w14:textId="52D20465"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10. Kur për shkak të sipërfaqes apo pozicionimit të zonës së stimuluar drejtoria kompetente vendore e ASHK-së e ka të pamundur kryerjen e procesit të verifikimit në terren, në kuadër të hartimit të planit të rilevimit, ky proces mund të kryhet nga subjekte private të licencuara në fushat përkatëse, në përputhje me legjislacionin në fuqi për prokurimin publik.</w:t>
      </w:r>
    </w:p>
    <w:p w14:paraId="4EC2C2E1" w14:textId="2E10A7FA"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 xml:space="preserve">11. Kur gjendja faktike, e pasqyruar në planin e rilevimit të miratuar përpara hyrjes në fuqi të këtij vendimi, por të paregjistruar në regjistrat kadastralë, ka pësuar ndryshime, drejtoria vendore e ASHK-së, kompetente për zonat e stimuluara, mund të rishikojë planin e rilevimit. Plani i rishikuar do t’u nënshtrohet rregullave të hartimit </w:t>
      </w:r>
      <w:r w:rsidR="009E7590">
        <w:rPr>
          <w:rFonts w:ascii="Garamond" w:eastAsiaTheme="minorHAnsi" w:hAnsi="Garamond"/>
          <w:color w:val="000000"/>
          <w:sz w:val="24"/>
          <w:szCs w:val="24"/>
          <w:lang w:val="sq-AL"/>
        </w:rPr>
        <w:t>të parashikuara në këtë vendim.</w:t>
      </w:r>
    </w:p>
    <w:p w14:paraId="45D15ABE" w14:textId="5008FCDC" w:rsidR="00BB33F8" w:rsidRPr="003D2C87" w:rsidRDefault="00BB33F8" w:rsidP="00BB33F8">
      <w:pPr>
        <w:autoSpaceDE w:val="0"/>
        <w:autoSpaceDN w:val="0"/>
        <w:adjustRightInd w:val="0"/>
        <w:ind w:left="0" w:firstLine="284"/>
        <w:rPr>
          <w:rFonts w:ascii="Garamond" w:eastAsiaTheme="minorHAnsi" w:hAnsi="Garamond"/>
          <w:b/>
          <w:bCs/>
          <w:color w:val="000000"/>
          <w:sz w:val="24"/>
          <w:szCs w:val="24"/>
          <w:lang w:val="sq-AL"/>
        </w:rPr>
      </w:pPr>
      <w:r w:rsidRPr="003D2C87">
        <w:rPr>
          <w:rFonts w:ascii="Garamond" w:eastAsiaTheme="minorHAnsi" w:hAnsi="Garamond"/>
          <w:color w:val="000000"/>
          <w:sz w:val="24"/>
          <w:szCs w:val="24"/>
          <w:lang w:val="sq-AL"/>
        </w:rPr>
        <w:t>12. Nëse plani i rilevimit i miratuar përpara hyrjes në fuqi të këtij vendimi është pasqyruar në regjistrat kadastralë dhe një pjesë e pasurive në të kanë pësuar ndryshime, drejtoria vendore e ASHK-së, kompetente për zonat e stimuluara, nis procesin e përmirësimit për bllokun kadastral, i cili është prekur nga ndryshimet, proces që përfundohet nga drejtoria vendore e ASHK-së, kompetente për territorin ku ndodhet zona e stimuluar, në përputhje me kreun VI, të ligjit nr.</w:t>
      </w:r>
      <w:r w:rsidR="009E7590">
        <w:rPr>
          <w:rFonts w:ascii="Garamond" w:eastAsiaTheme="minorHAnsi" w:hAnsi="Garamond"/>
          <w:color w:val="000000"/>
          <w:sz w:val="24"/>
          <w:szCs w:val="24"/>
          <w:lang w:val="sq-AL"/>
        </w:rPr>
        <w:t xml:space="preserve"> </w:t>
      </w:r>
      <w:r w:rsidRPr="003D2C87">
        <w:rPr>
          <w:rFonts w:ascii="Garamond" w:eastAsiaTheme="minorHAnsi" w:hAnsi="Garamond"/>
          <w:color w:val="000000"/>
          <w:sz w:val="24"/>
          <w:szCs w:val="24"/>
          <w:lang w:val="sq-AL"/>
        </w:rPr>
        <w:t>111/2018, “Për kadastrën”.</w:t>
      </w:r>
    </w:p>
    <w:p w14:paraId="24228D75" w14:textId="4BD013AA"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13. Paraqitja grafike e planit të rilevimit për zonat e stimuluara miratohet me urdhër të drejtorit të Përgjithshëm të ASHK-së.</w:t>
      </w:r>
    </w:p>
    <w:p w14:paraId="07DE7F34" w14:textId="7D14EB3B"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14. Ngarkohet Agjencia Shtetërore e Kadastrës për zbatimin e këtij vendimi.</w:t>
      </w:r>
    </w:p>
    <w:p w14:paraId="2CC13B53" w14:textId="6EC646ED" w:rsidR="00BB33F8" w:rsidRPr="003D2C87" w:rsidRDefault="00BB33F8" w:rsidP="00BB33F8">
      <w:pPr>
        <w:autoSpaceDE w:val="0"/>
        <w:autoSpaceDN w:val="0"/>
        <w:adjustRightInd w:val="0"/>
        <w:ind w:left="0" w:firstLine="284"/>
        <w:rPr>
          <w:rFonts w:ascii="Garamond" w:eastAsiaTheme="minorHAnsi" w:hAnsi="Garamond"/>
          <w:color w:val="000000"/>
          <w:sz w:val="24"/>
          <w:szCs w:val="24"/>
          <w:lang w:val="sq-AL"/>
        </w:rPr>
      </w:pPr>
      <w:r w:rsidRPr="003D2C87">
        <w:rPr>
          <w:rFonts w:ascii="Garamond" w:eastAsiaTheme="minorHAnsi" w:hAnsi="Garamond"/>
          <w:color w:val="000000"/>
          <w:sz w:val="24"/>
          <w:szCs w:val="24"/>
          <w:lang w:val="sq-AL"/>
        </w:rPr>
        <w:t>Ky vendim hyn në fuqi pas botimit në Fletoren Zyrtare.</w:t>
      </w:r>
    </w:p>
    <w:p w14:paraId="0C0DACB5" w14:textId="77777777" w:rsidR="00BB33F8" w:rsidRPr="003D2C87" w:rsidRDefault="00BB33F8" w:rsidP="00BB33F8">
      <w:pPr>
        <w:autoSpaceDE w:val="0"/>
        <w:autoSpaceDN w:val="0"/>
        <w:adjustRightInd w:val="0"/>
        <w:ind w:left="0" w:firstLine="284"/>
        <w:jc w:val="center"/>
        <w:rPr>
          <w:rFonts w:ascii="Garamond" w:eastAsiaTheme="minorHAnsi" w:hAnsi="Garamond"/>
          <w:b/>
          <w:bCs/>
          <w:color w:val="000000"/>
          <w:sz w:val="24"/>
          <w:szCs w:val="24"/>
          <w:lang w:val="sq-AL"/>
        </w:rPr>
      </w:pPr>
    </w:p>
    <w:p w14:paraId="44947C3C" w14:textId="77777777" w:rsidR="00BB33F8" w:rsidRPr="003D2C87" w:rsidRDefault="00BB33F8" w:rsidP="00BB33F8">
      <w:pPr>
        <w:autoSpaceDE w:val="0"/>
        <w:autoSpaceDN w:val="0"/>
        <w:adjustRightInd w:val="0"/>
        <w:ind w:left="0" w:firstLine="284"/>
        <w:jc w:val="right"/>
        <w:rPr>
          <w:rFonts w:ascii="Garamond" w:eastAsiaTheme="minorHAnsi" w:hAnsi="Garamond"/>
          <w:bCs/>
          <w:color w:val="000000"/>
          <w:sz w:val="24"/>
          <w:szCs w:val="24"/>
          <w:lang w:val="sq-AL"/>
        </w:rPr>
      </w:pPr>
      <w:r w:rsidRPr="003D2C87">
        <w:rPr>
          <w:rFonts w:ascii="Garamond" w:eastAsiaTheme="minorHAnsi" w:hAnsi="Garamond"/>
          <w:bCs/>
          <w:color w:val="000000"/>
          <w:sz w:val="24"/>
          <w:szCs w:val="24"/>
          <w:lang w:val="sq-AL"/>
        </w:rPr>
        <w:t>ZËVENDËSKRYEMINISTËR</w:t>
      </w:r>
    </w:p>
    <w:p w14:paraId="2CAC8F8D" w14:textId="75CC03C2" w:rsidR="00BB33F8" w:rsidRPr="003D2C87" w:rsidRDefault="00BB33F8" w:rsidP="00BB33F8">
      <w:pPr>
        <w:autoSpaceDE w:val="0"/>
        <w:autoSpaceDN w:val="0"/>
        <w:adjustRightInd w:val="0"/>
        <w:ind w:left="0" w:firstLine="284"/>
        <w:jc w:val="right"/>
        <w:rPr>
          <w:rFonts w:ascii="Garamond" w:eastAsiaTheme="minorHAnsi" w:hAnsi="Garamond" w:cs="Times New Roman Bold"/>
          <w:color w:val="000000"/>
          <w:sz w:val="24"/>
          <w:szCs w:val="24"/>
          <w:lang w:val="sq-AL"/>
        </w:rPr>
      </w:pPr>
      <w:r w:rsidRPr="003D2C87">
        <w:rPr>
          <w:rFonts w:ascii="Garamond" w:eastAsiaTheme="minorHAnsi" w:hAnsi="Garamond"/>
          <w:b/>
          <w:bCs/>
          <w:color w:val="000000"/>
          <w:sz w:val="24"/>
          <w:szCs w:val="24"/>
          <w:lang w:val="sq-AL"/>
        </w:rPr>
        <w:t xml:space="preserve">Erion Braçe </w:t>
      </w:r>
    </w:p>
    <w:p w14:paraId="48C9C6D2" w14:textId="77777777" w:rsidR="00C800C6" w:rsidRPr="003D2C87" w:rsidRDefault="00C800C6" w:rsidP="00BB33F8">
      <w:pPr>
        <w:ind w:left="0" w:firstLine="284"/>
        <w:jc w:val="right"/>
        <w:rPr>
          <w:rFonts w:ascii="Garamond" w:hAnsi="Garamond"/>
          <w:sz w:val="24"/>
          <w:szCs w:val="24"/>
          <w:lang w:val="sq-AL"/>
        </w:rPr>
      </w:pPr>
    </w:p>
    <w:sectPr w:rsidR="00C800C6" w:rsidRPr="003D2C87" w:rsidSect="005F70F4">
      <w:headerReference w:type="default" r:id="rId13"/>
      <w:footerReference w:type="default" r:id="rId14"/>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100705" w14:textId="77777777" w:rsidR="009E7590" w:rsidRDefault="009E7590" w:rsidP="00512E75">
      <w:r>
        <w:separator/>
      </w:r>
    </w:p>
  </w:endnote>
  <w:endnote w:type="continuationSeparator" w:id="0">
    <w:p w14:paraId="4CBE1C04" w14:textId="77777777" w:rsidR="009E7590" w:rsidRDefault="009E7590" w:rsidP="00512E75">
      <w:r>
        <w:continuationSeparator/>
      </w:r>
    </w:p>
  </w:endnote>
  <w:endnote w:type="continuationNotice" w:id="1">
    <w:p w14:paraId="6C64A448" w14:textId="77777777" w:rsidR="009E7590" w:rsidRDefault="009E75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861732"/>
      <w:docPartObj>
        <w:docPartGallery w:val="Page Numbers (Bottom of Page)"/>
        <w:docPartUnique/>
      </w:docPartObj>
    </w:sdtPr>
    <w:sdtEndPr>
      <w:rPr>
        <w:noProof/>
      </w:rPr>
    </w:sdtEndPr>
    <w:sdtContent>
      <w:p w14:paraId="48C9C6DB" w14:textId="77777777" w:rsidR="009E7590" w:rsidRDefault="009E7590">
        <w:pPr>
          <w:pStyle w:val="Footer"/>
          <w:jc w:val="right"/>
        </w:pPr>
        <w:r>
          <w:fldChar w:fldCharType="begin"/>
        </w:r>
        <w:r>
          <w:instrText xml:space="preserve"> PAGE   \* MERGEFORMAT </w:instrText>
        </w:r>
        <w:r>
          <w:fldChar w:fldCharType="separate"/>
        </w:r>
        <w:r w:rsidR="00AD7C2A">
          <w:rPr>
            <w:noProof/>
          </w:rPr>
          <w:t>2</w:t>
        </w:r>
        <w:r>
          <w:rPr>
            <w:noProof/>
          </w:rPr>
          <w:fldChar w:fldCharType="end"/>
        </w:r>
      </w:p>
    </w:sdtContent>
  </w:sdt>
  <w:p w14:paraId="48C9C6DC" w14:textId="77777777" w:rsidR="009E7590" w:rsidRDefault="009E75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91B12A" w14:textId="77777777" w:rsidR="009E7590" w:rsidRDefault="009E7590" w:rsidP="00512E75">
      <w:r>
        <w:separator/>
      </w:r>
    </w:p>
  </w:footnote>
  <w:footnote w:type="continuationSeparator" w:id="0">
    <w:p w14:paraId="426EF375" w14:textId="77777777" w:rsidR="009E7590" w:rsidRDefault="009E7590" w:rsidP="00512E75">
      <w:r>
        <w:continuationSeparator/>
      </w:r>
    </w:p>
  </w:footnote>
  <w:footnote w:type="continuationNotice" w:id="1">
    <w:p w14:paraId="545C275C" w14:textId="77777777" w:rsidR="009E7590" w:rsidRDefault="009E759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18C28C" w14:textId="77777777" w:rsidR="009E7590" w:rsidRDefault="009E759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81FF4"/>
    <w:multiLevelType w:val="hybridMultilevel"/>
    <w:tmpl w:val="93A0D5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25CF77E">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D367174"/>
    <w:multiLevelType w:val="hybridMultilevel"/>
    <w:tmpl w:val="4DA08774"/>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
    <w:nsid w:val="0FFD08B4"/>
    <w:multiLevelType w:val="multilevel"/>
    <w:tmpl w:val="413AE3E2"/>
    <w:lvl w:ilvl="0">
      <w:start w:val="1"/>
      <w:numFmt w:val="decimal"/>
      <w:lvlText w:val="%1."/>
      <w:lvlJc w:val="left"/>
      <w:pPr>
        <w:ind w:left="360" w:hanging="360"/>
      </w:pPr>
      <w:rPr>
        <w:rFonts w:hint="default"/>
        <w:b w:val="0"/>
        <w:color w:val="auto"/>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
    <w:nsid w:val="1B1F1BDC"/>
    <w:multiLevelType w:val="hybridMultilevel"/>
    <w:tmpl w:val="1B7CD36C"/>
    <w:lvl w:ilvl="0" w:tplc="041C0019">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
    <w:nsid w:val="32233162"/>
    <w:multiLevelType w:val="multilevel"/>
    <w:tmpl w:val="0214FEC0"/>
    <w:lvl w:ilvl="0">
      <w:start w:val="5"/>
      <w:numFmt w:val="decimal"/>
      <w:lvlText w:val="%1"/>
      <w:lvlJc w:val="left"/>
      <w:pPr>
        <w:ind w:left="375" w:hanging="375"/>
      </w:pPr>
      <w:rPr>
        <w:rFonts w:eastAsia="MS Mincho" w:hint="default"/>
        <w:b w:val="0"/>
      </w:rPr>
    </w:lvl>
    <w:lvl w:ilvl="1">
      <w:start w:val="1"/>
      <w:numFmt w:val="decimal"/>
      <w:lvlText w:val="%1.%2"/>
      <w:lvlJc w:val="left"/>
      <w:pPr>
        <w:ind w:left="375" w:hanging="375"/>
      </w:pPr>
      <w:rPr>
        <w:rFonts w:eastAsia="MS Mincho" w:hint="default"/>
        <w:b/>
        <w:bCs w:val="0"/>
      </w:rPr>
    </w:lvl>
    <w:lvl w:ilvl="2">
      <w:start w:val="1"/>
      <w:numFmt w:val="decimal"/>
      <w:lvlText w:val="%1.%2.%3"/>
      <w:lvlJc w:val="left"/>
      <w:pPr>
        <w:ind w:left="720" w:hanging="720"/>
      </w:pPr>
      <w:rPr>
        <w:rFonts w:eastAsia="MS Mincho" w:hint="default"/>
        <w:b w:val="0"/>
      </w:rPr>
    </w:lvl>
    <w:lvl w:ilvl="3">
      <w:start w:val="1"/>
      <w:numFmt w:val="decimal"/>
      <w:lvlText w:val="%1.%2.%3.%4"/>
      <w:lvlJc w:val="left"/>
      <w:pPr>
        <w:ind w:left="1080" w:hanging="1080"/>
      </w:pPr>
      <w:rPr>
        <w:rFonts w:eastAsia="MS Mincho" w:hint="default"/>
        <w:b w:val="0"/>
      </w:rPr>
    </w:lvl>
    <w:lvl w:ilvl="4">
      <w:start w:val="1"/>
      <w:numFmt w:val="decimal"/>
      <w:lvlText w:val="%1.%2.%3.%4.%5"/>
      <w:lvlJc w:val="left"/>
      <w:pPr>
        <w:ind w:left="1080" w:hanging="1080"/>
      </w:pPr>
      <w:rPr>
        <w:rFonts w:eastAsia="MS Mincho" w:hint="default"/>
        <w:b w:val="0"/>
      </w:rPr>
    </w:lvl>
    <w:lvl w:ilvl="5">
      <w:start w:val="1"/>
      <w:numFmt w:val="decimal"/>
      <w:lvlText w:val="%1.%2.%3.%4.%5.%6"/>
      <w:lvlJc w:val="left"/>
      <w:pPr>
        <w:ind w:left="1440" w:hanging="1440"/>
      </w:pPr>
      <w:rPr>
        <w:rFonts w:eastAsia="MS Mincho" w:hint="default"/>
        <w:b w:val="0"/>
      </w:rPr>
    </w:lvl>
    <w:lvl w:ilvl="6">
      <w:start w:val="1"/>
      <w:numFmt w:val="decimal"/>
      <w:lvlText w:val="%1.%2.%3.%4.%5.%6.%7"/>
      <w:lvlJc w:val="left"/>
      <w:pPr>
        <w:ind w:left="1440" w:hanging="1440"/>
      </w:pPr>
      <w:rPr>
        <w:rFonts w:eastAsia="MS Mincho" w:hint="default"/>
        <w:b w:val="0"/>
      </w:rPr>
    </w:lvl>
    <w:lvl w:ilvl="7">
      <w:start w:val="1"/>
      <w:numFmt w:val="decimal"/>
      <w:lvlText w:val="%1.%2.%3.%4.%5.%6.%7.%8"/>
      <w:lvlJc w:val="left"/>
      <w:pPr>
        <w:ind w:left="1800" w:hanging="1800"/>
      </w:pPr>
      <w:rPr>
        <w:rFonts w:eastAsia="MS Mincho" w:hint="default"/>
        <w:b w:val="0"/>
      </w:rPr>
    </w:lvl>
    <w:lvl w:ilvl="8">
      <w:start w:val="1"/>
      <w:numFmt w:val="decimal"/>
      <w:lvlText w:val="%1.%2.%3.%4.%5.%6.%7.%8.%9"/>
      <w:lvlJc w:val="left"/>
      <w:pPr>
        <w:ind w:left="2160" w:hanging="2160"/>
      </w:pPr>
      <w:rPr>
        <w:rFonts w:eastAsia="MS Mincho" w:hint="default"/>
        <w:b w:val="0"/>
      </w:rPr>
    </w:lvl>
  </w:abstractNum>
  <w:abstractNum w:abstractNumId="5">
    <w:nsid w:val="34141433"/>
    <w:multiLevelType w:val="hybridMultilevel"/>
    <w:tmpl w:val="38DCBD2C"/>
    <w:lvl w:ilvl="0" w:tplc="0409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nsid w:val="345C6FE9"/>
    <w:multiLevelType w:val="hybridMultilevel"/>
    <w:tmpl w:val="E98A0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82C39A5"/>
    <w:multiLevelType w:val="hybridMultilevel"/>
    <w:tmpl w:val="914CBEAA"/>
    <w:lvl w:ilvl="0" w:tplc="F00810F4">
      <w:start w:val="13"/>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9EE1B68"/>
    <w:multiLevelType w:val="hybridMultilevel"/>
    <w:tmpl w:val="7BD4070E"/>
    <w:lvl w:ilvl="0" w:tplc="FE827C14">
      <w:start w:val="1"/>
      <w:numFmt w:val="decimal"/>
      <w:lvlText w:val="%1."/>
      <w:lvlJc w:val="left"/>
      <w:pPr>
        <w:ind w:left="720" w:hanging="360"/>
      </w:pPr>
      <w:rPr>
        <w:b w:val="0"/>
        <w:bCs/>
      </w:rPr>
    </w:lvl>
    <w:lvl w:ilvl="1" w:tplc="041C0019">
      <w:start w:val="1"/>
      <w:numFmt w:val="lowerLetter"/>
      <w:lvlText w:val="%2."/>
      <w:lvlJc w:val="left"/>
      <w:pPr>
        <w:ind w:left="1440" w:hanging="360"/>
      </w:pPr>
    </w:lvl>
    <w:lvl w:ilvl="2" w:tplc="025CF77E">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
    <w:nsid w:val="4AE450B3"/>
    <w:multiLevelType w:val="hybridMultilevel"/>
    <w:tmpl w:val="D948550A"/>
    <w:lvl w:ilvl="0" w:tplc="A4361952">
      <w:start w:val="1"/>
      <w:numFmt w:val="upperRoman"/>
      <w:lvlText w:val="%1."/>
      <w:lvlJc w:val="left"/>
      <w:pPr>
        <w:ind w:left="173" w:hanging="720"/>
      </w:pPr>
      <w:rPr>
        <w:rFonts w:hint="default"/>
      </w:rPr>
    </w:lvl>
    <w:lvl w:ilvl="1" w:tplc="041C0019" w:tentative="1">
      <w:start w:val="1"/>
      <w:numFmt w:val="lowerLetter"/>
      <w:lvlText w:val="%2."/>
      <w:lvlJc w:val="left"/>
      <w:pPr>
        <w:ind w:left="533" w:hanging="360"/>
      </w:pPr>
    </w:lvl>
    <w:lvl w:ilvl="2" w:tplc="041C001B" w:tentative="1">
      <w:start w:val="1"/>
      <w:numFmt w:val="lowerRoman"/>
      <w:lvlText w:val="%3."/>
      <w:lvlJc w:val="right"/>
      <w:pPr>
        <w:ind w:left="1253" w:hanging="180"/>
      </w:pPr>
    </w:lvl>
    <w:lvl w:ilvl="3" w:tplc="041C000F" w:tentative="1">
      <w:start w:val="1"/>
      <w:numFmt w:val="decimal"/>
      <w:lvlText w:val="%4."/>
      <w:lvlJc w:val="left"/>
      <w:pPr>
        <w:ind w:left="1973" w:hanging="360"/>
      </w:pPr>
    </w:lvl>
    <w:lvl w:ilvl="4" w:tplc="041C0019" w:tentative="1">
      <w:start w:val="1"/>
      <w:numFmt w:val="lowerLetter"/>
      <w:lvlText w:val="%5."/>
      <w:lvlJc w:val="left"/>
      <w:pPr>
        <w:ind w:left="2693" w:hanging="360"/>
      </w:pPr>
    </w:lvl>
    <w:lvl w:ilvl="5" w:tplc="041C001B" w:tentative="1">
      <w:start w:val="1"/>
      <w:numFmt w:val="lowerRoman"/>
      <w:lvlText w:val="%6."/>
      <w:lvlJc w:val="right"/>
      <w:pPr>
        <w:ind w:left="3413" w:hanging="180"/>
      </w:pPr>
    </w:lvl>
    <w:lvl w:ilvl="6" w:tplc="041C000F" w:tentative="1">
      <w:start w:val="1"/>
      <w:numFmt w:val="decimal"/>
      <w:lvlText w:val="%7."/>
      <w:lvlJc w:val="left"/>
      <w:pPr>
        <w:ind w:left="4133" w:hanging="360"/>
      </w:pPr>
    </w:lvl>
    <w:lvl w:ilvl="7" w:tplc="041C0019" w:tentative="1">
      <w:start w:val="1"/>
      <w:numFmt w:val="lowerLetter"/>
      <w:lvlText w:val="%8."/>
      <w:lvlJc w:val="left"/>
      <w:pPr>
        <w:ind w:left="4853" w:hanging="360"/>
      </w:pPr>
    </w:lvl>
    <w:lvl w:ilvl="8" w:tplc="041C001B" w:tentative="1">
      <w:start w:val="1"/>
      <w:numFmt w:val="lowerRoman"/>
      <w:lvlText w:val="%9."/>
      <w:lvlJc w:val="right"/>
      <w:pPr>
        <w:ind w:left="5573" w:hanging="180"/>
      </w:pPr>
    </w:lvl>
  </w:abstractNum>
  <w:abstractNum w:abstractNumId="10">
    <w:nsid w:val="4AFB4700"/>
    <w:multiLevelType w:val="hybridMultilevel"/>
    <w:tmpl w:val="D14623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1">
    <w:nsid w:val="4C8B2CBF"/>
    <w:multiLevelType w:val="hybridMultilevel"/>
    <w:tmpl w:val="86526E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nsid w:val="4FC03780"/>
    <w:multiLevelType w:val="hybridMultilevel"/>
    <w:tmpl w:val="E26E5254"/>
    <w:lvl w:ilvl="0" w:tplc="8D6E56D6">
      <w:start w:val="12"/>
      <w:numFmt w:val="decimal"/>
      <w:lvlText w:val="%1."/>
      <w:lvlJc w:val="left"/>
      <w:pPr>
        <w:ind w:left="465" w:hanging="375"/>
      </w:pPr>
      <w:rPr>
        <w:rFonts w:hint="default"/>
        <w:b w:val="0"/>
      </w:rPr>
    </w:lvl>
    <w:lvl w:ilvl="1" w:tplc="08090019" w:tentative="1">
      <w:start w:val="1"/>
      <w:numFmt w:val="lowerLetter"/>
      <w:lvlText w:val="%2."/>
      <w:lvlJc w:val="left"/>
      <w:pPr>
        <w:ind w:left="1170" w:hanging="360"/>
      </w:pPr>
    </w:lvl>
    <w:lvl w:ilvl="2" w:tplc="0809001B" w:tentative="1">
      <w:start w:val="1"/>
      <w:numFmt w:val="lowerRoman"/>
      <w:lvlText w:val="%3."/>
      <w:lvlJc w:val="right"/>
      <w:pPr>
        <w:ind w:left="1890" w:hanging="180"/>
      </w:pPr>
    </w:lvl>
    <w:lvl w:ilvl="3" w:tplc="0809000F" w:tentative="1">
      <w:start w:val="1"/>
      <w:numFmt w:val="decimal"/>
      <w:lvlText w:val="%4."/>
      <w:lvlJc w:val="left"/>
      <w:pPr>
        <w:ind w:left="2610" w:hanging="360"/>
      </w:pPr>
    </w:lvl>
    <w:lvl w:ilvl="4" w:tplc="08090019" w:tentative="1">
      <w:start w:val="1"/>
      <w:numFmt w:val="lowerLetter"/>
      <w:lvlText w:val="%5."/>
      <w:lvlJc w:val="left"/>
      <w:pPr>
        <w:ind w:left="3330" w:hanging="360"/>
      </w:pPr>
    </w:lvl>
    <w:lvl w:ilvl="5" w:tplc="0809001B" w:tentative="1">
      <w:start w:val="1"/>
      <w:numFmt w:val="lowerRoman"/>
      <w:lvlText w:val="%6."/>
      <w:lvlJc w:val="right"/>
      <w:pPr>
        <w:ind w:left="4050" w:hanging="180"/>
      </w:pPr>
    </w:lvl>
    <w:lvl w:ilvl="6" w:tplc="0809000F" w:tentative="1">
      <w:start w:val="1"/>
      <w:numFmt w:val="decimal"/>
      <w:lvlText w:val="%7."/>
      <w:lvlJc w:val="left"/>
      <w:pPr>
        <w:ind w:left="4770" w:hanging="360"/>
      </w:pPr>
    </w:lvl>
    <w:lvl w:ilvl="7" w:tplc="08090019" w:tentative="1">
      <w:start w:val="1"/>
      <w:numFmt w:val="lowerLetter"/>
      <w:lvlText w:val="%8."/>
      <w:lvlJc w:val="left"/>
      <w:pPr>
        <w:ind w:left="5490" w:hanging="360"/>
      </w:pPr>
    </w:lvl>
    <w:lvl w:ilvl="8" w:tplc="0809001B" w:tentative="1">
      <w:start w:val="1"/>
      <w:numFmt w:val="lowerRoman"/>
      <w:lvlText w:val="%9."/>
      <w:lvlJc w:val="right"/>
      <w:pPr>
        <w:ind w:left="6210" w:hanging="180"/>
      </w:pPr>
    </w:lvl>
  </w:abstractNum>
  <w:abstractNum w:abstractNumId="13">
    <w:nsid w:val="54EE7E62"/>
    <w:multiLevelType w:val="hybridMultilevel"/>
    <w:tmpl w:val="518255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5D1253D7"/>
    <w:multiLevelType w:val="hybridMultilevel"/>
    <w:tmpl w:val="BAD030A0"/>
    <w:lvl w:ilvl="0" w:tplc="C0CE39B4">
      <w:start w:val="8"/>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62A47E58"/>
    <w:multiLevelType w:val="hybridMultilevel"/>
    <w:tmpl w:val="8176EC84"/>
    <w:lvl w:ilvl="0" w:tplc="FE827C14">
      <w:start w:val="1"/>
      <w:numFmt w:val="decimal"/>
      <w:lvlText w:val="%1."/>
      <w:lvlJc w:val="left"/>
      <w:pPr>
        <w:ind w:left="720" w:hanging="360"/>
      </w:pPr>
      <w:rPr>
        <w:b w:val="0"/>
        <w:bCs/>
      </w:rPr>
    </w:lvl>
    <w:lvl w:ilvl="1" w:tplc="04090017">
      <w:start w:val="1"/>
      <w:numFmt w:val="lowerLetter"/>
      <w:lvlText w:val="%2)"/>
      <w:lvlJc w:val="left"/>
      <w:pPr>
        <w:ind w:left="1440" w:hanging="360"/>
      </w:pPr>
    </w:lvl>
    <w:lvl w:ilvl="2" w:tplc="025CF77E">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nsid w:val="67CB212E"/>
    <w:multiLevelType w:val="hybridMultilevel"/>
    <w:tmpl w:val="18468F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7">
    <w:nsid w:val="6ABE4BC6"/>
    <w:multiLevelType w:val="hybridMultilevel"/>
    <w:tmpl w:val="4E8838E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1"/>
  </w:num>
  <w:num w:numId="4">
    <w:abstractNumId w:val="13"/>
  </w:num>
  <w:num w:numId="5">
    <w:abstractNumId w:val="16"/>
  </w:num>
  <w:num w:numId="6">
    <w:abstractNumId w:val="17"/>
  </w:num>
  <w:num w:numId="7">
    <w:abstractNumId w:val="10"/>
  </w:num>
  <w:num w:numId="8">
    <w:abstractNumId w:val="1"/>
  </w:num>
  <w:num w:numId="9">
    <w:abstractNumId w:val="8"/>
  </w:num>
  <w:num w:numId="10">
    <w:abstractNumId w:val="9"/>
  </w:num>
  <w:num w:numId="11">
    <w:abstractNumId w:val="3"/>
  </w:num>
  <w:num w:numId="12">
    <w:abstractNumId w:val="0"/>
  </w:num>
  <w:num w:numId="13">
    <w:abstractNumId w:val="2"/>
  </w:num>
  <w:num w:numId="14">
    <w:abstractNumId w:val="4"/>
  </w:num>
  <w:num w:numId="15">
    <w:abstractNumId w:val="6"/>
  </w:num>
  <w:num w:numId="16">
    <w:abstractNumId w:val="14"/>
  </w:num>
  <w:num w:numId="17">
    <w:abstractNumId w:val="7"/>
  </w:num>
  <w:num w:numId="18">
    <w:abstractNumId w:val="12"/>
  </w:num>
  <w:num w:numId="19">
    <w:abstractNumId w:val="5"/>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C2F"/>
    <w:rsid w:val="000006E9"/>
    <w:rsid w:val="0000574E"/>
    <w:rsid w:val="0001796F"/>
    <w:rsid w:val="00023FBC"/>
    <w:rsid w:val="00040AD2"/>
    <w:rsid w:val="0004185A"/>
    <w:rsid w:val="000436FF"/>
    <w:rsid w:val="0008618B"/>
    <w:rsid w:val="000A6FBB"/>
    <w:rsid w:val="000C6A9D"/>
    <w:rsid w:val="001008D7"/>
    <w:rsid w:val="00112BAF"/>
    <w:rsid w:val="0011328A"/>
    <w:rsid w:val="0011667F"/>
    <w:rsid w:val="00125615"/>
    <w:rsid w:val="00132CF4"/>
    <w:rsid w:val="00172A3B"/>
    <w:rsid w:val="00173397"/>
    <w:rsid w:val="001849A3"/>
    <w:rsid w:val="001913F7"/>
    <w:rsid w:val="001947BE"/>
    <w:rsid w:val="00195713"/>
    <w:rsid w:val="001A3361"/>
    <w:rsid w:val="001A5478"/>
    <w:rsid w:val="001B514A"/>
    <w:rsid w:val="001C76AD"/>
    <w:rsid w:val="001D468F"/>
    <w:rsid w:val="0021356F"/>
    <w:rsid w:val="00213D62"/>
    <w:rsid w:val="002618C1"/>
    <w:rsid w:val="00262ABD"/>
    <w:rsid w:val="0027494A"/>
    <w:rsid w:val="00282DD0"/>
    <w:rsid w:val="00294443"/>
    <w:rsid w:val="002A49DF"/>
    <w:rsid w:val="002B1CA9"/>
    <w:rsid w:val="002B224E"/>
    <w:rsid w:val="002C4A98"/>
    <w:rsid w:val="002C6EB0"/>
    <w:rsid w:val="002D1D80"/>
    <w:rsid w:val="002D50FD"/>
    <w:rsid w:val="002E0CA6"/>
    <w:rsid w:val="002E39CE"/>
    <w:rsid w:val="002F1679"/>
    <w:rsid w:val="002F3E9C"/>
    <w:rsid w:val="002F7D58"/>
    <w:rsid w:val="002F7E45"/>
    <w:rsid w:val="00312F44"/>
    <w:rsid w:val="0031401B"/>
    <w:rsid w:val="00321FDF"/>
    <w:rsid w:val="00323E11"/>
    <w:rsid w:val="003252AE"/>
    <w:rsid w:val="003418B6"/>
    <w:rsid w:val="003428BA"/>
    <w:rsid w:val="003438A7"/>
    <w:rsid w:val="00344A0A"/>
    <w:rsid w:val="003454F4"/>
    <w:rsid w:val="003462B3"/>
    <w:rsid w:val="00350C2F"/>
    <w:rsid w:val="0036694D"/>
    <w:rsid w:val="00382283"/>
    <w:rsid w:val="00390327"/>
    <w:rsid w:val="003A41A0"/>
    <w:rsid w:val="003A5E1F"/>
    <w:rsid w:val="003A644B"/>
    <w:rsid w:val="003A7EE7"/>
    <w:rsid w:val="003B00E3"/>
    <w:rsid w:val="003B735B"/>
    <w:rsid w:val="003B7689"/>
    <w:rsid w:val="003C4A77"/>
    <w:rsid w:val="003D2C87"/>
    <w:rsid w:val="003D57FF"/>
    <w:rsid w:val="003D780E"/>
    <w:rsid w:val="003E2383"/>
    <w:rsid w:val="003F7B89"/>
    <w:rsid w:val="00403CB2"/>
    <w:rsid w:val="00411617"/>
    <w:rsid w:val="00424976"/>
    <w:rsid w:val="00440FBE"/>
    <w:rsid w:val="004431F9"/>
    <w:rsid w:val="00450E1E"/>
    <w:rsid w:val="004515F3"/>
    <w:rsid w:val="0046669A"/>
    <w:rsid w:val="004A77B0"/>
    <w:rsid w:val="004B36FB"/>
    <w:rsid w:val="004B5B1A"/>
    <w:rsid w:val="004C3004"/>
    <w:rsid w:val="004C4759"/>
    <w:rsid w:val="004E08B3"/>
    <w:rsid w:val="004E0E4C"/>
    <w:rsid w:val="004F06F0"/>
    <w:rsid w:val="004F0CF1"/>
    <w:rsid w:val="004F1760"/>
    <w:rsid w:val="00510910"/>
    <w:rsid w:val="00510E2A"/>
    <w:rsid w:val="00512E75"/>
    <w:rsid w:val="00516139"/>
    <w:rsid w:val="00534190"/>
    <w:rsid w:val="005463EB"/>
    <w:rsid w:val="00553B20"/>
    <w:rsid w:val="005626F2"/>
    <w:rsid w:val="00573222"/>
    <w:rsid w:val="005822CE"/>
    <w:rsid w:val="00585E0C"/>
    <w:rsid w:val="005A0A45"/>
    <w:rsid w:val="005B7CF0"/>
    <w:rsid w:val="005C1044"/>
    <w:rsid w:val="005C4ADE"/>
    <w:rsid w:val="005D277F"/>
    <w:rsid w:val="005D6A87"/>
    <w:rsid w:val="005F0962"/>
    <w:rsid w:val="005F6A0D"/>
    <w:rsid w:val="005F70F4"/>
    <w:rsid w:val="00605EC1"/>
    <w:rsid w:val="0061500B"/>
    <w:rsid w:val="00643498"/>
    <w:rsid w:val="00655ED5"/>
    <w:rsid w:val="00656E00"/>
    <w:rsid w:val="0067560E"/>
    <w:rsid w:val="00681F20"/>
    <w:rsid w:val="00695AE7"/>
    <w:rsid w:val="006A5298"/>
    <w:rsid w:val="006D75AE"/>
    <w:rsid w:val="006F73A8"/>
    <w:rsid w:val="0071466F"/>
    <w:rsid w:val="00717454"/>
    <w:rsid w:val="0071754E"/>
    <w:rsid w:val="00735E01"/>
    <w:rsid w:val="00745EB8"/>
    <w:rsid w:val="007477BF"/>
    <w:rsid w:val="00752432"/>
    <w:rsid w:val="00756C21"/>
    <w:rsid w:val="007A11C5"/>
    <w:rsid w:val="007A28E2"/>
    <w:rsid w:val="007A74A1"/>
    <w:rsid w:val="007D42D8"/>
    <w:rsid w:val="007D4B28"/>
    <w:rsid w:val="007E05D2"/>
    <w:rsid w:val="007E4AB8"/>
    <w:rsid w:val="007E56EC"/>
    <w:rsid w:val="0080564F"/>
    <w:rsid w:val="00822591"/>
    <w:rsid w:val="0083443B"/>
    <w:rsid w:val="008377C6"/>
    <w:rsid w:val="00843008"/>
    <w:rsid w:val="00843286"/>
    <w:rsid w:val="0085216A"/>
    <w:rsid w:val="00853A49"/>
    <w:rsid w:val="008563DB"/>
    <w:rsid w:val="00870689"/>
    <w:rsid w:val="008748D7"/>
    <w:rsid w:val="00877CF0"/>
    <w:rsid w:val="00881404"/>
    <w:rsid w:val="00896123"/>
    <w:rsid w:val="008962E1"/>
    <w:rsid w:val="008B3F3B"/>
    <w:rsid w:val="008B4A4B"/>
    <w:rsid w:val="008B4F41"/>
    <w:rsid w:val="008B6E24"/>
    <w:rsid w:val="008C3AE1"/>
    <w:rsid w:val="008E7369"/>
    <w:rsid w:val="008F0D12"/>
    <w:rsid w:val="008F2D03"/>
    <w:rsid w:val="008F2F62"/>
    <w:rsid w:val="009142C8"/>
    <w:rsid w:val="00945ECB"/>
    <w:rsid w:val="009572A1"/>
    <w:rsid w:val="009760B5"/>
    <w:rsid w:val="00992FA7"/>
    <w:rsid w:val="009968C6"/>
    <w:rsid w:val="009B5145"/>
    <w:rsid w:val="009B53C1"/>
    <w:rsid w:val="009D0B2A"/>
    <w:rsid w:val="009D27B8"/>
    <w:rsid w:val="009D36A4"/>
    <w:rsid w:val="009D6A27"/>
    <w:rsid w:val="009E7590"/>
    <w:rsid w:val="009F7665"/>
    <w:rsid w:val="00A02720"/>
    <w:rsid w:val="00A36117"/>
    <w:rsid w:val="00A36AFC"/>
    <w:rsid w:val="00A449B5"/>
    <w:rsid w:val="00A46567"/>
    <w:rsid w:val="00A60178"/>
    <w:rsid w:val="00A708E2"/>
    <w:rsid w:val="00A8546D"/>
    <w:rsid w:val="00A951CF"/>
    <w:rsid w:val="00A97941"/>
    <w:rsid w:val="00AD1359"/>
    <w:rsid w:val="00AD7C2A"/>
    <w:rsid w:val="00AE3400"/>
    <w:rsid w:val="00AF7A2E"/>
    <w:rsid w:val="00B0593A"/>
    <w:rsid w:val="00B112AB"/>
    <w:rsid w:val="00B25C0B"/>
    <w:rsid w:val="00B678AA"/>
    <w:rsid w:val="00B743DA"/>
    <w:rsid w:val="00B76509"/>
    <w:rsid w:val="00B93B4F"/>
    <w:rsid w:val="00BA45A5"/>
    <w:rsid w:val="00BB0A6A"/>
    <w:rsid w:val="00BB1654"/>
    <w:rsid w:val="00BB33F8"/>
    <w:rsid w:val="00BB5417"/>
    <w:rsid w:val="00BC0002"/>
    <w:rsid w:val="00BC293C"/>
    <w:rsid w:val="00BC558A"/>
    <w:rsid w:val="00C069AA"/>
    <w:rsid w:val="00C11AC8"/>
    <w:rsid w:val="00C14EC0"/>
    <w:rsid w:val="00C40C82"/>
    <w:rsid w:val="00C4362D"/>
    <w:rsid w:val="00C451CF"/>
    <w:rsid w:val="00C54272"/>
    <w:rsid w:val="00C63FDC"/>
    <w:rsid w:val="00C77A5C"/>
    <w:rsid w:val="00C77D59"/>
    <w:rsid w:val="00C800C6"/>
    <w:rsid w:val="00C87293"/>
    <w:rsid w:val="00C876FF"/>
    <w:rsid w:val="00C92A01"/>
    <w:rsid w:val="00CA1CCF"/>
    <w:rsid w:val="00CC08C2"/>
    <w:rsid w:val="00D05CBC"/>
    <w:rsid w:val="00D1590E"/>
    <w:rsid w:val="00D17B77"/>
    <w:rsid w:val="00D2748B"/>
    <w:rsid w:val="00D303F2"/>
    <w:rsid w:val="00D51A14"/>
    <w:rsid w:val="00D5650D"/>
    <w:rsid w:val="00D97FD2"/>
    <w:rsid w:val="00DF69E2"/>
    <w:rsid w:val="00E06F95"/>
    <w:rsid w:val="00E134E9"/>
    <w:rsid w:val="00E22031"/>
    <w:rsid w:val="00E24E99"/>
    <w:rsid w:val="00E33AD8"/>
    <w:rsid w:val="00E34D1A"/>
    <w:rsid w:val="00E358FD"/>
    <w:rsid w:val="00E417F0"/>
    <w:rsid w:val="00E42938"/>
    <w:rsid w:val="00E4645D"/>
    <w:rsid w:val="00E502EF"/>
    <w:rsid w:val="00E535DE"/>
    <w:rsid w:val="00E61073"/>
    <w:rsid w:val="00E64BCF"/>
    <w:rsid w:val="00E7456C"/>
    <w:rsid w:val="00E871B6"/>
    <w:rsid w:val="00E937DF"/>
    <w:rsid w:val="00E962F1"/>
    <w:rsid w:val="00EA389E"/>
    <w:rsid w:val="00EC06E2"/>
    <w:rsid w:val="00ED1426"/>
    <w:rsid w:val="00EE484C"/>
    <w:rsid w:val="00EE594E"/>
    <w:rsid w:val="00EF2331"/>
    <w:rsid w:val="00EF5A1D"/>
    <w:rsid w:val="00F04459"/>
    <w:rsid w:val="00F070A2"/>
    <w:rsid w:val="00F12378"/>
    <w:rsid w:val="00F42540"/>
    <w:rsid w:val="00F47FCE"/>
    <w:rsid w:val="00F52B62"/>
    <w:rsid w:val="00F53181"/>
    <w:rsid w:val="00F54BB3"/>
    <w:rsid w:val="00F70FFF"/>
    <w:rsid w:val="00F812E3"/>
    <w:rsid w:val="00F85683"/>
    <w:rsid w:val="00FA0A3C"/>
    <w:rsid w:val="00FA5BF6"/>
    <w:rsid w:val="00FB1129"/>
    <w:rsid w:val="00FB2A71"/>
    <w:rsid w:val="00FC7C50"/>
    <w:rsid w:val="00FD5083"/>
    <w:rsid w:val="00FE5088"/>
    <w:rsid w:val="00FF1E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C68C"/>
  <w15:docId w15:val="{6042120C-EB2C-4971-B174-8AEF8F06E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277F"/>
    <w:pPr>
      <w:spacing w:after="0" w:line="240" w:lineRule="auto"/>
      <w:ind w:left="851" w:hanging="851"/>
      <w:jc w:val="both"/>
    </w:pPr>
    <w:rPr>
      <w:rFonts w:ascii="Times New Roman" w:eastAsia="MS Mincho"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277F"/>
    <w:pPr>
      <w:ind w:left="720"/>
      <w:contextualSpacing/>
    </w:pPr>
  </w:style>
  <w:style w:type="paragraph" w:styleId="NormalWeb">
    <w:name w:val="Normal (Web)"/>
    <w:basedOn w:val="Normal"/>
    <w:unhideWhenUsed/>
    <w:rsid w:val="001C76AD"/>
    <w:pPr>
      <w:spacing w:before="100" w:beforeAutospacing="1" w:after="100" w:afterAutospacing="1"/>
      <w:ind w:left="0" w:firstLine="0"/>
      <w:jc w:val="left"/>
    </w:pPr>
    <w:rPr>
      <w:rFonts w:eastAsia="Times New Roman"/>
      <w:sz w:val="24"/>
      <w:szCs w:val="24"/>
    </w:rPr>
  </w:style>
  <w:style w:type="paragraph" w:styleId="BalloonText">
    <w:name w:val="Balloon Text"/>
    <w:basedOn w:val="Normal"/>
    <w:link w:val="BalloonTextChar"/>
    <w:uiPriority w:val="99"/>
    <w:semiHidden/>
    <w:unhideWhenUsed/>
    <w:rsid w:val="00655ED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5ED5"/>
    <w:rPr>
      <w:rFonts w:ascii="Segoe UI" w:eastAsia="MS Mincho" w:hAnsi="Segoe UI" w:cs="Segoe UI"/>
      <w:sz w:val="18"/>
      <w:szCs w:val="18"/>
    </w:rPr>
  </w:style>
  <w:style w:type="paragraph" w:customStyle="1" w:styleId="Default">
    <w:name w:val="Default"/>
    <w:uiPriority w:val="99"/>
    <w:rsid w:val="003B735B"/>
    <w:pPr>
      <w:autoSpaceDE w:val="0"/>
      <w:autoSpaceDN w:val="0"/>
      <w:adjustRightInd w:val="0"/>
      <w:spacing w:after="0" w:line="240" w:lineRule="auto"/>
    </w:pPr>
    <w:rPr>
      <w:rFonts w:ascii="Garamond" w:hAnsi="Garamond" w:cs="Garamond"/>
      <w:color w:val="000000"/>
      <w:sz w:val="24"/>
      <w:szCs w:val="24"/>
    </w:rPr>
  </w:style>
  <w:style w:type="paragraph" w:styleId="Header">
    <w:name w:val="header"/>
    <w:basedOn w:val="Normal"/>
    <w:link w:val="HeaderChar"/>
    <w:uiPriority w:val="99"/>
    <w:unhideWhenUsed/>
    <w:rsid w:val="00512E75"/>
    <w:pPr>
      <w:tabs>
        <w:tab w:val="center" w:pos="4513"/>
        <w:tab w:val="right" w:pos="9026"/>
      </w:tabs>
    </w:pPr>
  </w:style>
  <w:style w:type="character" w:customStyle="1" w:styleId="HeaderChar">
    <w:name w:val="Header Char"/>
    <w:basedOn w:val="DefaultParagraphFont"/>
    <w:link w:val="Header"/>
    <w:uiPriority w:val="99"/>
    <w:rsid w:val="00512E75"/>
    <w:rPr>
      <w:rFonts w:ascii="Times New Roman" w:eastAsia="MS Mincho" w:hAnsi="Times New Roman" w:cs="Times New Roman"/>
      <w:sz w:val="20"/>
      <w:szCs w:val="20"/>
    </w:rPr>
  </w:style>
  <w:style w:type="paragraph" w:styleId="Footer">
    <w:name w:val="footer"/>
    <w:basedOn w:val="Normal"/>
    <w:link w:val="FooterChar"/>
    <w:uiPriority w:val="99"/>
    <w:unhideWhenUsed/>
    <w:rsid w:val="00512E75"/>
    <w:pPr>
      <w:tabs>
        <w:tab w:val="center" w:pos="4513"/>
        <w:tab w:val="right" w:pos="9026"/>
      </w:tabs>
    </w:pPr>
  </w:style>
  <w:style w:type="character" w:customStyle="1" w:styleId="FooterChar">
    <w:name w:val="Footer Char"/>
    <w:basedOn w:val="DefaultParagraphFont"/>
    <w:link w:val="Footer"/>
    <w:uiPriority w:val="99"/>
    <w:rsid w:val="00512E75"/>
    <w:rPr>
      <w:rFonts w:ascii="Times New Roman" w:eastAsia="MS Mincho" w:hAnsi="Times New Roman" w:cs="Times New Roman"/>
      <w:sz w:val="20"/>
      <w:szCs w:val="20"/>
    </w:rPr>
  </w:style>
  <w:style w:type="character" w:styleId="CommentReference">
    <w:name w:val="annotation reference"/>
    <w:basedOn w:val="DefaultParagraphFont"/>
    <w:uiPriority w:val="99"/>
    <w:semiHidden/>
    <w:unhideWhenUsed/>
    <w:rsid w:val="00344A0A"/>
    <w:rPr>
      <w:sz w:val="16"/>
      <w:szCs w:val="16"/>
    </w:rPr>
  </w:style>
  <w:style w:type="paragraph" w:styleId="CommentText">
    <w:name w:val="annotation text"/>
    <w:basedOn w:val="Normal"/>
    <w:link w:val="CommentTextChar"/>
    <w:uiPriority w:val="99"/>
    <w:semiHidden/>
    <w:unhideWhenUsed/>
    <w:rsid w:val="00344A0A"/>
  </w:style>
  <w:style w:type="character" w:customStyle="1" w:styleId="CommentTextChar">
    <w:name w:val="Comment Text Char"/>
    <w:basedOn w:val="DefaultParagraphFont"/>
    <w:link w:val="CommentText"/>
    <w:uiPriority w:val="99"/>
    <w:semiHidden/>
    <w:rsid w:val="00344A0A"/>
    <w:rPr>
      <w:rFonts w:ascii="Times New Roman" w:eastAsia="MS Mincho"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44A0A"/>
    <w:rPr>
      <w:b/>
      <w:bCs/>
    </w:rPr>
  </w:style>
  <w:style w:type="character" w:customStyle="1" w:styleId="CommentSubjectChar">
    <w:name w:val="Comment Subject Char"/>
    <w:basedOn w:val="CommentTextChar"/>
    <w:link w:val="CommentSubject"/>
    <w:uiPriority w:val="99"/>
    <w:semiHidden/>
    <w:rsid w:val="00344A0A"/>
    <w:rPr>
      <w:rFonts w:ascii="Times New Roman" w:eastAsia="MS Mincho" w:hAnsi="Times New Roman" w:cs="Times New Roman"/>
      <w:b/>
      <w:bCs/>
      <w:sz w:val="20"/>
      <w:szCs w:val="20"/>
    </w:rPr>
  </w:style>
  <w:style w:type="paragraph" w:styleId="Revision">
    <w:name w:val="Revision"/>
    <w:hidden/>
    <w:uiPriority w:val="99"/>
    <w:semiHidden/>
    <w:rsid w:val="003438A7"/>
    <w:pPr>
      <w:spacing w:after="0" w:line="240" w:lineRule="auto"/>
    </w:pPr>
    <w:rPr>
      <w:rFonts w:ascii="Times New Roman" w:eastAsia="MS Mincho"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350001">
      <w:bodyDiv w:val="1"/>
      <w:marLeft w:val="0"/>
      <w:marRight w:val="0"/>
      <w:marTop w:val="0"/>
      <w:marBottom w:val="0"/>
      <w:divBdr>
        <w:top w:val="none" w:sz="0" w:space="0" w:color="auto"/>
        <w:left w:val="none" w:sz="0" w:space="0" w:color="auto"/>
        <w:bottom w:val="none" w:sz="0" w:space="0" w:color="auto"/>
        <w:right w:val="none" w:sz="0" w:space="0" w:color="auto"/>
      </w:divBdr>
    </w:div>
    <w:div w:id="604925655">
      <w:bodyDiv w:val="1"/>
      <w:marLeft w:val="0"/>
      <w:marRight w:val="0"/>
      <w:marTop w:val="0"/>
      <w:marBottom w:val="0"/>
      <w:divBdr>
        <w:top w:val="none" w:sz="0" w:space="0" w:color="auto"/>
        <w:left w:val="none" w:sz="0" w:space="0" w:color="auto"/>
        <w:bottom w:val="none" w:sz="0" w:space="0" w:color="auto"/>
        <w:right w:val="none" w:sz="0" w:space="0" w:color="auto"/>
      </w:divBdr>
    </w:div>
    <w:div w:id="1001086512">
      <w:bodyDiv w:val="1"/>
      <w:marLeft w:val="0"/>
      <w:marRight w:val="0"/>
      <w:marTop w:val="0"/>
      <w:marBottom w:val="0"/>
      <w:divBdr>
        <w:top w:val="none" w:sz="0" w:space="0" w:color="auto"/>
        <w:left w:val="none" w:sz="0" w:space="0" w:color="auto"/>
        <w:bottom w:val="none" w:sz="0" w:space="0" w:color="auto"/>
        <w:right w:val="none" w:sz="0" w:space="0" w:color="auto"/>
      </w:divBdr>
    </w:div>
    <w:div w:id="114184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D5924B1FC6841B7ABC5066AC75DE5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429</Nr_x002e__x0020_akti>
    <Data_x0020_e_x0020_Krijimit xmlns="0e656187-b300-4fb0-8bf4-3a50f872073c">2021-07-15T12:28:10Z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2021-07-14T22:00:00Z</Date_x0020_protokolli>
    <Titulli xmlns="0e656187-b300-4fb0-8bf4-3a50f872073c">Për përcaktimin e rregullave të hollësishme të hartimit të planit të rilevimit për zonat e stimuluara</Titulli>
    <Modifikuesi xmlns="0e656187-b300-4fb0-8bf4-3a50f872073c">nevila.samarxhi</Modifikuesi>
    <Nr_x002e__x0020_prot_x0020_QBZ xmlns="0e656187-b300-4fb0-8bf4-3a50f872073c">1043</Nr_x002e__x0020_prot_x0020_QBZ>
    <Data_x0020_e_x0020_Modifikimit xmlns="0e656187-b300-4fb0-8bf4-3a50f872073c">2021-07-16T06:58:48Z</Data_x0020_e_x0020_Modifikimit>
    <Dekretuar xmlns="0e656187-b300-4fb0-8bf4-3a50f872073c">false</Dekretuar>
    <Data xmlns="0e656187-b300-4fb0-8bf4-3a50f872073c">2021-07-14T22:00:00Z</Data>
    <Nr_x002e__x0020_protokolli_x0020_i_x0020_aktit xmlns="0e656187-b300-4fb0-8bf4-3a50f872073c">2274/2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D5924B1FC6841B7ABC5066AC75DE5E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3B9BAE-738D-4FBE-A886-57137E2760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5437779-9151-4C5C-B06B-FE397D948FC5}">
  <ds:schemaRefs>
    <ds:schemaRef ds:uri="http://purl.org/dc/dcmitype/"/>
    <ds:schemaRef ds:uri="0e656187-b300-4fb0-8bf4-3a50f872073c"/>
    <ds:schemaRef ds:uri="http://schemas.microsoft.com/office/2006/documentManagement/types"/>
    <ds:schemaRef ds:uri="http://www.w3.org/XML/1998/namespace"/>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D327F91B-98C2-4A4F-A57C-597A8EC37B33}">
  <ds:schemaRefs>
    <ds:schemaRef ds:uri="http://schemas.microsoft.com/sharepoint/v3/contenttype/forms"/>
  </ds:schemaRefs>
</ds:datastoreItem>
</file>

<file path=customXml/itemProps4.xml><?xml version="1.0" encoding="utf-8"?>
<ds:datastoreItem xmlns:ds="http://schemas.openxmlformats.org/officeDocument/2006/customXml" ds:itemID="{6D8E9712-73F5-4754-AB11-146C99692C29}">
  <ds:schemaRefs>
    <ds:schemaRef ds:uri="http://schemas.microsoft.com/sharepoint/v3/contenttype/forms"/>
  </ds:schemaRefs>
</ds:datastoreItem>
</file>

<file path=customXml/itemProps5.xml><?xml version="1.0" encoding="utf-8"?>
<ds:datastoreItem xmlns:ds="http://schemas.openxmlformats.org/officeDocument/2006/customXml" ds:itemID="{2246B73E-8DDB-499F-ADCC-1C5F69ACC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7CFD7BA-BA61-4C0F-8440-5F64DB28F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749</Words>
  <Characters>4270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Për përcaktimin e rregullave të hollësishme të hartimit të planit të rilevimit për zonat e stimuluara</vt:lpstr>
    </vt:vector>
  </TitlesOfParts>
  <Company/>
  <LinksUpToDate>false</LinksUpToDate>
  <CharactersWithSpaces>5009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të hartimit të planit të rilevimit për zonat e stimuluara</dc:title>
  <dc:creator>User</dc:creator>
  <cp:lastModifiedBy>Fjora Cahani</cp:lastModifiedBy>
  <cp:revision>6</cp:revision>
  <cp:lastPrinted>2021-07-15T08:16:00Z</cp:lastPrinted>
  <dcterms:created xsi:type="dcterms:W3CDTF">2021-07-15T12:32:00Z</dcterms:created>
  <dcterms:modified xsi:type="dcterms:W3CDTF">2021-07-16T08:26:00Z</dcterms:modified>
</cp:coreProperties>
</file>