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B9139" w14:textId="77777777" w:rsidR="005A5FCA" w:rsidRPr="005A5FCA" w:rsidRDefault="005A5FCA" w:rsidP="005A5FCA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VENDIM</w:t>
      </w:r>
    </w:p>
    <w:p w14:paraId="294F1D63" w14:textId="22B186D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Nr.</w:t>
      </w:r>
      <w:r w:rsidR="0071011F">
        <w:rPr>
          <w:rFonts w:ascii="Garamond" w:eastAsiaTheme="minorHAnsi" w:hAnsi="Garamond" w:cs="Times New Roman"/>
          <w:b/>
          <w:bC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501, datë 25.8.2021</w:t>
      </w:r>
    </w:p>
    <w:p w14:paraId="5B27252C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6831DD43" w14:textId="09CC173E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PËR</w:t>
      </w:r>
      <w:r w:rsidRPr="005A5FCA">
        <w:rPr>
          <w:rFonts w:ascii="Garamond" w:eastAsiaTheme="minorHAnsi" w:hAnsi="Garamond" w:cs="Times New Roman"/>
          <w:b/>
          <w:bCs/>
          <w:caps/>
          <w:color w:val="000000"/>
        </w:rPr>
        <w:t xml:space="preserve"> 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DHËNIEN E MBROJTJES SË PËRKOHSHME SHTETASVE AFGANË 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>DHE PERSONAVE PA SHTETËSI</w:t>
      </w:r>
      <w:r w:rsidR="00490F92">
        <w:rPr>
          <w:rFonts w:ascii="Garamond" w:eastAsiaTheme="minorHAnsi" w:hAnsi="Garamond" w:cs="Times New Roman"/>
          <w:b/>
          <w:bCs/>
          <w:color w:val="000000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</w:rPr>
        <w:t xml:space="preserve"> ME V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>ENDQËNDRIM TË PËRKOHSHËM OSE TË PËRHERSHËM NË REPUBLIKËN ISLAMIKE TË AFGANISTANIT</w:t>
      </w:r>
      <w:r w:rsidR="00490F92">
        <w:rPr>
          <w:rFonts w:ascii="Garamond" w:eastAsiaTheme="minorHAnsi" w:hAnsi="Garamond" w:cs="Times New Roman"/>
          <w:b/>
          <w:bCs/>
          <w:color w:val="000000"/>
          <w:spacing w:val="-15"/>
        </w:rPr>
        <w:t>,</w:t>
      </w:r>
      <w:r w:rsidRPr="005A5FCA">
        <w:rPr>
          <w:rFonts w:ascii="Garamond" w:eastAsiaTheme="minorHAnsi" w:hAnsi="Garamond" w:cs="Times New Roman"/>
          <w:b/>
          <w:bCs/>
          <w:color w:val="000000"/>
          <w:spacing w:val="-15"/>
        </w:rPr>
        <w:t xml:space="preserve"> DHE PËR KRIJIMIN E TASK-FORCËS PËR MENAXHIMIN E FLUKSIT TË KËRKUESVE TË MBROJTJES NDËRKOMBËTARE</w:t>
      </w:r>
    </w:p>
    <w:p w14:paraId="5BB2AF5E" w14:textId="77777777" w:rsidR="008A13AB" w:rsidRPr="008A13AB" w:rsidRDefault="008A13AB" w:rsidP="008A13AB">
      <w:pPr>
        <w:ind w:firstLine="284"/>
        <w:jc w:val="center"/>
        <w:rPr>
          <w:rFonts w:ascii="Garamond" w:hAnsi="Garamond"/>
          <w:i/>
        </w:rPr>
      </w:pPr>
      <w:r w:rsidRPr="008A13AB">
        <w:rPr>
          <w:rFonts w:ascii="Garamond" w:hAnsi="Garamond"/>
          <w:i/>
        </w:rPr>
        <w:t>(Ndryshuar me vendimin n</w:t>
      </w:r>
      <w:r w:rsidRPr="008A13AB">
        <w:rPr>
          <w:rFonts w:ascii="Garamond" w:hAnsi="Garamond"/>
          <w:i/>
        </w:rPr>
        <w:t>r. 570, datë 25.8.2022</w:t>
      </w:r>
      <w:r w:rsidRPr="008A13AB">
        <w:rPr>
          <w:rFonts w:ascii="Garamond" w:hAnsi="Garamond"/>
          <w:i/>
        </w:rPr>
        <w:t>)</w:t>
      </w:r>
    </w:p>
    <w:p w14:paraId="697838CF" w14:textId="01E63A11" w:rsidR="008A13AB" w:rsidRPr="008A13AB" w:rsidRDefault="008A13AB" w:rsidP="008A13AB">
      <w:pPr>
        <w:ind w:firstLine="284"/>
        <w:jc w:val="right"/>
        <w:rPr>
          <w:rFonts w:ascii="Garamond" w:hAnsi="Garamond"/>
          <w:i/>
        </w:rPr>
      </w:pPr>
      <w:r w:rsidRPr="008A13AB">
        <w:rPr>
          <w:rFonts w:ascii="Garamond" w:hAnsi="Garamond"/>
          <w:i/>
        </w:rPr>
        <w:t>( I përditësuar)</w:t>
      </w:r>
    </w:p>
    <w:p w14:paraId="5C02327F" w14:textId="77777777" w:rsidR="005A5FCA" w:rsidRPr="008A13AB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/>
        </w:rPr>
      </w:pPr>
    </w:p>
    <w:p w14:paraId="5B582633" w14:textId="45186CAD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  <w:spacing w:val="-15"/>
        </w:rPr>
        <w:t xml:space="preserve">Në mbështetje </w:t>
      </w:r>
      <w:r w:rsidR="00490F92">
        <w:rPr>
          <w:rFonts w:ascii="Garamond" w:eastAsiaTheme="minorHAnsi" w:hAnsi="Garamond" w:cs="Times New Roman"/>
        </w:rPr>
        <w:t>të nen</w:t>
      </w:r>
      <w:r w:rsidRPr="005A5FCA">
        <w:rPr>
          <w:rFonts w:ascii="Garamond" w:eastAsiaTheme="minorHAnsi" w:hAnsi="Garamond" w:cs="Times New Roman"/>
        </w:rPr>
        <w:t>it 100 të Kushtetutës dhe të nenit 82,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Shqipërisë”, me propozimin e ministrit të Brendshëm dhe të ministrit për Evropën dhe Punët e Jashtme, Këshilli i Ministrave</w:t>
      </w:r>
    </w:p>
    <w:p w14:paraId="5FBE5A3A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24984BE6" w14:textId="0F2E9635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spacing w:val="-15"/>
        </w:rPr>
      </w:pPr>
      <w:r>
        <w:rPr>
          <w:rFonts w:ascii="Garamond" w:eastAsiaTheme="minorHAnsi" w:hAnsi="Garamond" w:cs="Times New Roman"/>
          <w:bCs/>
          <w:spacing w:val="-15"/>
        </w:rPr>
        <w:t>VENDOS</w:t>
      </w:r>
      <w:r w:rsidRPr="005A5FCA">
        <w:rPr>
          <w:rFonts w:ascii="Garamond" w:eastAsiaTheme="minorHAnsi" w:hAnsi="Garamond" w:cs="Times New Roman"/>
          <w:bCs/>
          <w:spacing w:val="-15"/>
        </w:rPr>
        <w:t>I:</w:t>
      </w:r>
    </w:p>
    <w:p w14:paraId="01A46E75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</w:rPr>
      </w:pPr>
    </w:p>
    <w:p w14:paraId="1C2E1EF3" w14:textId="6CC5A5E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1. Dhënien e mbrojtjes së përkohshme shtetasve me shtetësi apo kombësi afgane dhe personave pa shtetësi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me v</w:t>
      </w:r>
      <w:r w:rsidRPr="005A5FCA">
        <w:rPr>
          <w:rFonts w:ascii="Garamond" w:eastAsiaTheme="minorHAnsi" w:hAnsi="Garamond" w:cs="Times New Roman"/>
          <w:spacing w:val="-15"/>
        </w:rPr>
        <w:t xml:space="preserve">endqëndrim të përkohshëm ose të përhershëm në Republikën Islamike të Afganistanit, </w:t>
      </w:r>
      <w:r w:rsidRPr="005A5FCA">
        <w:rPr>
          <w:rFonts w:ascii="Garamond" w:eastAsiaTheme="minorHAnsi" w:hAnsi="Garamond" w:cs="Times New Roman"/>
        </w:rPr>
        <w:t>që hyjnë masivisht dhe të koordinuar me partnerët ndërkombëtarë në territorin e Republikës së Shqipërisë, për arsye të luftës, situatës së ngjashme, dhunës së përgjithshme dhe konfliktit të brendshëm, të karakterizuara nga shkelje të të drejtave të njeriut dhe që kërkojnë mbroj</w:t>
      </w:r>
      <w:r w:rsidR="00490F92">
        <w:rPr>
          <w:rFonts w:ascii="Garamond" w:eastAsiaTheme="minorHAnsi" w:hAnsi="Garamond" w:cs="Times New Roman"/>
        </w:rPr>
        <w:t>tje nga Republika e Shqipërisë.</w:t>
      </w:r>
    </w:p>
    <w:p w14:paraId="58681538" w14:textId="5D8C1890" w:rsid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2. Mbrojtja e përkohshme për këta shtetas fillon nga momenti i hyrjes në Republikën e Shqipërisë për një afat 1-vjeçar.</w:t>
      </w:r>
    </w:p>
    <w:p w14:paraId="716B30A6" w14:textId="5CC00A45" w:rsidR="008A13AB" w:rsidRPr="008A13AB" w:rsidRDefault="008A13AB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i/>
        </w:rPr>
      </w:pPr>
      <w:bookmarkStart w:id="0" w:name="_GoBack"/>
      <w:r w:rsidRPr="008A13AB">
        <w:rPr>
          <w:rFonts w:ascii="Garamond" w:hAnsi="Garamond" w:cs="Times New Roman"/>
          <w:i/>
        </w:rPr>
        <w:t>2/1. Me përfundimin e afatit të përcaktuar në pikën 2, të këtij vendimi, personave, që ndodhen ende në territorin e Republikës së Shqipërisë, u shtyhet qëndrimi dhe</w:t>
      </w:r>
      <w:r w:rsidRPr="008A13AB">
        <w:rPr>
          <w:rFonts w:ascii="Garamond" w:hAnsi="Garamond" w:cs="Times New Roman"/>
          <w:i/>
        </w:rPr>
        <w:t xml:space="preserve"> me 6 (gjashtë) muaj të tjerë.</w:t>
      </w:r>
    </w:p>
    <w:bookmarkEnd w:id="0"/>
    <w:p w14:paraId="08A9E813" w14:textId="6AA0390F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3. Përjashtohen nga e d</w:t>
      </w:r>
      <w:r w:rsidR="00490F92">
        <w:rPr>
          <w:rFonts w:ascii="Garamond" w:eastAsiaTheme="minorHAnsi" w:hAnsi="Garamond" w:cs="Times New Roman"/>
        </w:rPr>
        <w:t>rejta e mbrojtjes së përkohshme</w:t>
      </w:r>
      <w:r w:rsidRPr="005A5FCA">
        <w:rPr>
          <w:rFonts w:ascii="Garamond" w:eastAsiaTheme="minorHAnsi" w:hAnsi="Garamond" w:cs="Times New Roman"/>
        </w:rPr>
        <w:t xml:space="preserve"> të gjithë personat të cilët plotësojnë një nga kushtet e përcaktuara në nenin 83,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141020B9" w14:textId="3DF8C0A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4. Autoriteti përgjegjës për azilin dhe refugjatët mund të vendosë që kërkuesit t’i kufizohet liria e lëvizjes, nëse e konsideron të nevojshme, bazuar në vlerësimin individual të secilit rast</w:t>
      </w:r>
      <w:r w:rsidR="00490F92">
        <w:rPr>
          <w:rFonts w:ascii="Garamond" w:eastAsiaTheme="minorHAnsi" w:hAnsi="Garamond" w:cs="Times New Roman"/>
        </w:rPr>
        <w:t>,</w:t>
      </w:r>
      <w:r w:rsidRPr="005A5FCA">
        <w:rPr>
          <w:rFonts w:ascii="Garamond" w:eastAsiaTheme="minorHAnsi" w:hAnsi="Garamond" w:cs="Times New Roman"/>
        </w:rPr>
        <w:t xml:space="preserve"> sipas përcaktimeve të neneve 46 dhe 47, të ligjit nr.</w:t>
      </w:r>
      <w:r w:rsidR="00490F92">
        <w:rPr>
          <w:rFonts w:ascii="Garamond" w:eastAsiaTheme="minorHAnsi" w:hAnsi="Garamond" w:cs="Times New Roman"/>
        </w:rPr>
        <w:t xml:space="preserve"> </w:t>
      </w:r>
      <w:r w:rsidRPr="005A5FCA">
        <w:rPr>
          <w:rFonts w:ascii="Garamond" w:eastAsiaTheme="minorHAnsi" w:hAnsi="Garamond" w:cs="Times New Roman"/>
        </w:rPr>
        <w:t>10/2021, “Për azilin në Republikën e Shqipërisë”.</w:t>
      </w:r>
    </w:p>
    <w:p w14:paraId="03FBC6A9" w14:textId="0B03938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5. Krijimin e Task-Forcës, si një strukturë e posaçme e përkohshme, për menaxhimin e fluksit të kërkesave për mbrojtje ndërkombëtare 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5846261D" w14:textId="31EAC36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6. Task-Forca kryesohet nga ministri për Evropën dhe Punët e Jashtme dhe ka në përbërje, si më poshtë vijon:</w:t>
      </w:r>
    </w:p>
    <w:p w14:paraId="73C81370" w14:textId="032545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Brendshëm;</w:t>
      </w:r>
    </w:p>
    <w:p w14:paraId="5D9E9C42" w14:textId="0B0D2041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Mbrojtjes;</w:t>
      </w:r>
    </w:p>
    <w:p w14:paraId="28DD7176" w14:textId="05CBF288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c)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Financave dhe Ekonomisë;</w:t>
      </w:r>
    </w:p>
    <w:p w14:paraId="52567B68" w14:textId="6E61E4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ç)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Arsimit, Sportit dhe Rinisë;</w:t>
      </w:r>
    </w:p>
    <w:p w14:paraId="5AC91FD1" w14:textId="1A6D1C12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Shëndetësisë dhe Mbrojtjes Sociale;</w:t>
      </w:r>
    </w:p>
    <w:p w14:paraId="70D6895D" w14:textId="6E95FDDB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dh) </w:t>
      </w:r>
      <w:r w:rsidR="00490F92" w:rsidRPr="005A5FCA">
        <w:rPr>
          <w:rFonts w:ascii="Garamond" w:eastAsiaTheme="minorHAnsi" w:hAnsi="Garamond" w:cs="Times New Roman"/>
        </w:rPr>
        <w:t>m</w:t>
      </w:r>
      <w:r w:rsidRPr="005A5FCA">
        <w:rPr>
          <w:rFonts w:ascii="Garamond" w:eastAsiaTheme="minorHAnsi" w:hAnsi="Garamond" w:cs="Times New Roman"/>
        </w:rPr>
        <w:t>inistrin e Turizmit dhe Mjedisit.</w:t>
      </w:r>
    </w:p>
    <w:p w14:paraId="21D91007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Sipas nevojave ftohen të marrin pjesë përfaqësues të institucioneve të tjera me kërkesë të kryetarit të Task-Forcës.</w:t>
      </w:r>
    </w:p>
    <w:p w14:paraId="3FC98A78" w14:textId="10765A7A" w:rsidR="005A5FCA" w:rsidRPr="005A5FC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7. Task-Forca ka këto detyra:</w:t>
      </w:r>
    </w:p>
    <w:p w14:paraId="5E4AB7CA" w14:textId="3A2B108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a) </w:t>
      </w:r>
      <w:r w:rsidR="00490F92">
        <w:rPr>
          <w:rFonts w:ascii="Garamond" w:eastAsiaTheme="minorHAnsi" w:hAnsi="Garamond" w:cs="Times New Roman"/>
        </w:rPr>
        <w:t>n</w:t>
      </w:r>
      <w:r w:rsidRPr="005A5FCA">
        <w:rPr>
          <w:rFonts w:ascii="Garamond" w:eastAsiaTheme="minorHAnsi" w:hAnsi="Garamond" w:cs="Times New Roman"/>
        </w:rPr>
        <w:t>egocion me partnerët ndërkombëtar</w:t>
      </w:r>
      <w:r w:rsidR="00490F92">
        <w:rPr>
          <w:rFonts w:ascii="Garamond" w:eastAsiaTheme="minorHAnsi" w:hAnsi="Garamond" w:cs="Times New Roman"/>
        </w:rPr>
        <w:t>ë</w:t>
      </w:r>
      <w:r w:rsidRPr="005A5FCA">
        <w:rPr>
          <w:rFonts w:ascii="Garamond" w:eastAsiaTheme="minorHAnsi" w:hAnsi="Garamond" w:cs="Times New Roman"/>
        </w:rPr>
        <w:t xml:space="preserve"> për çështjet që lidhen me objektin e këtij vendimi;</w:t>
      </w:r>
    </w:p>
    <w:p w14:paraId="7379A575" w14:textId="536ED860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b) </w:t>
      </w:r>
      <w:r w:rsidR="00490F92">
        <w:rPr>
          <w:rFonts w:ascii="Garamond" w:eastAsiaTheme="minorHAnsi" w:hAnsi="Garamond" w:cs="Times New Roman"/>
        </w:rPr>
        <w:t>h</w:t>
      </w:r>
      <w:r w:rsidRPr="005A5FCA">
        <w:rPr>
          <w:rFonts w:ascii="Garamond" w:eastAsiaTheme="minorHAnsi" w:hAnsi="Garamond" w:cs="Times New Roman"/>
        </w:rPr>
        <w:t>arton planin e veprimit për menaxhimin e fluksit të kërkuesve të mbrojtjes ndërkombëtare;</w:t>
      </w:r>
    </w:p>
    <w:p w14:paraId="1CCD7AFC" w14:textId="7A875E1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lastRenderedPageBreak/>
        <w:t xml:space="preserve">c) </w:t>
      </w:r>
      <w:r w:rsidR="00490F92">
        <w:rPr>
          <w:rFonts w:ascii="Garamond" w:eastAsiaTheme="minorHAnsi" w:hAnsi="Garamond" w:cs="Times New Roman"/>
        </w:rPr>
        <w:t>k</w:t>
      </w:r>
      <w:r w:rsidRPr="005A5FCA">
        <w:rPr>
          <w:rFonts w:ascii="Garamond" w:eastAsiaTheme="minorHAnsi" w:hAnsi="Garamond" w:cs="Times New Roman"/>
        </w:rPr>
        <w:t xml:space="preserve">oordinon situatën e pritjes dhe të akomodimit të </w:t>
      </w:r>
      <w:r w:rsidRPr="005A5FCA">
        <w:rPr>
          <w:rFonts w:ascii="Garamond" w:eastAsiaTheme="minorHAnsi" w:hAnsi="Garamond" w:cs="Times New Roman"/>
          <w:color w:val="000000"/>
        </w:rPr>
        <w:t>shtetasve afganë dhe personave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Afganistanit;</w:t>
      </w:r>
    </w:p>
    <w:p w14:paraId="11F3C43B" w14:textId="454FAE55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 xml:space="preserve">ç) </w:t>
      </w:r>
      <w:r w:rsidR="00490F92">
        <w:rPr>
          <w:rFonts w:ascii="Garamond" w:eastAsiaTheme="minorHAnsi" w:hAnsi="Garamond" w:cs="Times New Roman"/>
          <w:color w:val="000000"/>
        </w:rPr>
        <w:t>e</w:t>
      </w:r>
      <w:r w:rsidRPr="005A5FCA">
        <w:rPr>
          <w:rFonts w:ascii="Garamond" w:eastAsiaTheme="minorHAnsi" w:hAnsi="Garamond" w:cs="Times New Roman"/>
          <w:color w:val="000000"/>
        </w:rPr>
        <w:t>videnton nevojat emergjente për t’i paraprirë punës me ndryshimet e mundshme të kuadrit ligjor, nënligjor e rregullator, të cilat ndikojnë në përmirësimin në këtë funksion;</w:t>
      </w:r>
    </w:p>
    <w:p w14:paraId="4FBBC521" w14:textId="75DC88F6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d) </w:t>
      </w:r>
      <w:r w:rsidR="00490F92">
        <w:rPr>
          <w:rFonts w:ascii="Garamond" w:eastAsiaTheme="minorHAnsi" w:hAnsi="Garamond" w:cs="Times New Roman"/>
        </w:rPr>
        <w:t>a</w:t>
      </w:r>
      <w:r w:rsidRPr="005A5FCA">
        <w:rPr>
          <w:rFonts w:ascii="Garamond" w:eastAsiaTheme="minorHAnsi" w:hAnsi="Garamond" w:cs="Times New Roman"/>
        </w:rPr>
        <w:t>nalizon kërkesat shtesë buxhetore për funksionimin, shpenzimet dhe bazën e nevojshme materiale, si dhe koordinon fo</w:t>
      </w:r>
      <w:r w:rsidR="00490F92">
        <w:rPr>
          <w:rFonts w:ascii="Garamond" w:eastAsiaTheme="minorHAnsi" w:hAnsi="Garamond" w:cs="Times New Roman"/>
        </w:rPr>
        <w:t>ndet e donatorëve për këtë qëll</w:t>
      </w:r>
      <w:r w:rsidRPr="005A5FCA">
        <w:rPr>
          <w:rFonts w:ascii="Garamond" w:eastAsiaTheme="minorHAnsi" w:hAnsi="Garamond" w:cs="Times New Roman"/>
        </w:rPr>
        <w:t>im.</w:t>
      </w:r>
    </w:p>
    <w:p w14:paraId="49DACBBD" w14:textId="161FB8C9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  <w:color w:val="000000"/>
        </w:rPr>
        <w:t>8. Task-Forca ndihmohet nga sekretariati teknik në detyrat administrative. Ministri për Evropën dhe Punët e Jashtme dhe ministri i Brendshëm janë përgjegjës për ngritjen e këtij sekretariati, përcaktimin e përbërjes dhe të mënyrës së funksionimit të tij.</w:t>
      </w:r>
    </w:p>
    <w:p w14:paraId="1230BD8D" w14:textId="2125680E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 xml:space="preserve">9. Periudha e veprimit të Task-Forcës është deri në përfundimin e shqyrtimit të kërkesave për mbrojtje ndërkombëtare </w:t>
      </w:r>
      <w:r w:rsidRPr="005A5FCA">
        <w:rPr>
          <w:rFonts w:ascii="Garamond" w:eastAsiaTheme="minorHAnsi" w:hAnsi="Garamond" w:cs="Times New Roman"/>
          <w:color w:val="000000"/>
        </w:rPr>
        <w:t>nga shtetasit afganë dhe personat pa shtetësi</w:t>
      </w:r>
      <w:r w:rsidR="00490F92">
        <w:rPr>
          <w:rFonts w:ascii="Garamond" w:eastAsiaTheme="minorHAnsi" w:hAnsi="Garamond" w:cs="Times New Roman"/>
          <w:color w:val="000000"/>
        </w:rPr>
        <w:t>,</w:t>
      </w:r>
      <w:r w:rsidRPr="005A5FCA">
        <w:rPr>
          <w:rFonts w:ascii="Garamond" w:eastAsiaTheme="minorHAnsi" w:hAnsi="Garamond" w:cs="Times New Roman"/>
          <w:color w:val="000000"/>
        </w:rPr>
        <w:t xml:space="preserve"> me vendqëndrim të përkohshëm ose të përhershëm në Republikën Islamike të Afganistanit.</w:t>
      </w:r>
    </w:p>
    <w:p w14:paraId="430D49D2" w14:textId="7EC37D9C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pacing w:val="-15"/>
        </w:rPr>
      </w:pPr>
      <w:r w:rsidRPr="005A5FCA">
        <w:rPr>
          <w:rFonts w:ascii="Garamond" w:eastAsiaTheme="minorHAnsi" w:hAnsi="Garamond" w:cs="Times New Roman"/>
          <w:color w:val="000000"/>
        </w:rPr>
        <w:t xml:space="preserve">10. Ngarkohen Ministria e Brendshme, Ministria </w:t>
      </w:r>
      <w:r w:rsidRPr="005A5FCA">
        <w:rPr>
          <w:rFonts w:ascii="Garamond" w:eastAsiaTheme="minorHAnsi" w:hAnsi="Garamond" w:cs="Times New Roman"/>
          <w:spacing w:val="-15"/>
        </w:rPr>
        <w:t xml:space="preserve">për Evropën dhe Punët e Jashtme, </w:t>
      </w:r>
      <w:r w:rsidRPr="005A5FCA">
        <w:rPr>
          <w:rFonts w:ascii="Garamond" w:eastAsiaTheme="minorHAnsi" w:hAnsi="Garamond" w:cs="Times New Roman"/>
        </w:rPr>
        <w:t xml:space="preserve">Ministria e Shëndetësisë dhe Mbrojtjes Sociale, Ministria e Mbrojtjes, Ministria e Arsimit, Sportit dhe Rinisë, </w:t>
      </w:r>
      <w:r w:rsidRPr="005A5FCA">
        <w:rPr>
          <w:rFonts w:ascii="Garamond" w:eastAsiaTheme="minorHAnsi" w:hAnsi="Garamond" w:cs="Times New Roman"/>
          <w:spacing w:val="-15"/>
        </w:rPr>
        <w:t xml:space="preserve">Ministria e Drejtësisë, </w:t>
      </w:r>
      <w:r w:rsidRPr="005A5FCA">
        <w:rPr>
          <w:rFonts w:ascii="Garamond" w:eastAsiaTheme="minorHAnsi" w:hAnsi="Garamond" w:cs="Times New Roman"/>
        </w:rPr>
        <w:t xml:space="preserve">Ministria e Turizmit dhe Mjedisit </w:t>
      </w:r>
      <w:r w:rsidRPr="005A5FCA">
        <w:rPr>
          <w:rFonts w:ascii="Garamond" w:eastAsiaTheme="minorHAnsi" w:hAnsi="Garamond" w:cs="Times New Roman"/>
          <w:spacing w:val="-15"/>
        </w:rPr>
        <w:t xml:space="preserve">dhe </w:t>
      </w:r>
      <w:r w:rsidRPr="005A5FCA">
        <w:rPr>
          <w:rFonts w:ascii="Garamond" w:eastAsiaTheme="minorHAnsi" w:hAnsi="Garamond" w:cs="Times New Roman"/>
        </w:rPr>
        <w:t>Ministria e Financave dhe Ekonomisë</w:t>
      </w:r>
      <w:r w:rsidRPr="005A5FCA">
        <w:rPr>
          <w:rFonts w:ascii="Garamond" w:eastAsiaTheme="minorHAnsi" w:hAnsi="Garamond" w:cs="Times New Roman"/>
          <w:spacing w:val="-15"/>
        </w:rPr>
        <w:t xml:space="preserve"> </w:t>
      </w:r>
      <w:r w:rsidRPr="005A5FCA">
        <w:rPr>
          <w:rFonts w:ascii="Garamond" w:eastAsiaTheme="minorHAnsi" w:hAnsi="Garamond" w:cs="Times New Roman"/>
        </w:rPr>
        <w:t>për zbatimin e këtij vendimi.</w:t>
      </w:r>
    </w:p>
    <w:p w14:paraId="7851EE2D" w14:textId="63850154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  <w:r w:rsidRPr="005A5FCA">
        <w:rPr>
          <w:rFonts w:ascii="Garamond" w:eastAsiaTheme="minorHAnsi" w:hAnsi="Garamond" w:cs="Times New Roman"/>
        </w:rPr>
        <w:t>Ky vendim hyn në</w:t>
      </w:r>
      <w:r>
        <w:rPr>
          <w:rFonts w:ascii="Garamond" w:eastAsiaTheme="minorHAnsi" w:hAnsi="Garamond" w:cs="Times New Roman"/>
        </w:rPr>
        <w:t xml:space="preserve"> fuqi menjëherë dhe botohet në Fletoren Zyrtare</w:t>
      </w:r>
      <w:r w:rsidRPr="005A5FCA">
        <w:rPr>
          <w:rFonts w:ascii="Garamond" w:eastAsiaTheme="minorHAnsi" w:hAnsi="Garamond" w:cs="Times New Roman"/>
        </w:rPr>
        <w:t>.</w:t>
      </w:r>
    </w:p>
    <w:p w14:paraId="7A2B300D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</w:rPr>
      </w:pPr>
    </w:p>
    <w:p w14:paraId="4541F716" w14:textId="6FD3A563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</w:rPr>
      </w:pPr>
      <w:r>
        <w:rPr>
          <w:rFonts w:ascii="Garamond" w:eastAsiaTheme="minorHAnsi" w:hAnsi="Garamond" w:cs="Times New Roman"/>
          <w:bCs/>
          <w:color w:val="000000"/>
        </w:rPr>
        <w:t>KRYEMIN</w:t>
      </w:r>
      <w:r w:rsidRPr="005A5FCA">
        <w:rPr>
          <w:rFonts w:ascii="Garamond" w:eastAsiaTheme="minorHAnsi" w:hAnsi="Garamond" w:cs="Times New Roman"/>
          <w:bCs/>
          <w:color w:val="000000"/>
        </w:rPr>
        <w:t>I</w:t>
      </w:r>
      <w:r>
        <w:rPr>
          <w:rFonts w:ascii="Garamond" w:eastAsiaTheme="minorHAnsi" w:hAnsi="Garamond" w:cs="Times New Roman"/>
          <w:bCs/>
          <w:color w:val="000000"/>
        </w:rPr>
        <w:t>S</w:t>
      </w:r>
      <w:r w:rsidRPr="005A5FCA">
        <w:rPr>
          <w:rFonts w:ascii="Garamond" w:eastAsiaTheme="minorHAnsi" w:hAnsi="Garamond" w:cs="Times New Roman"/>
          <w:bCs/>
          <w:color w:val="000000"/>
        </w:rPr>
        <w:t>TËR</w:t>
      </w:r>
    </w:p>
    <w:p w14:paraId="48BEA0BA" w14:textId="1F0444AE" w:rsidR="005A5FCA" w:rsidRPr="005A5FC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</w:rPr>
      </w:pPr>
      <w:r w:rsidRPr="005A5FCA">
        <w:rPr>
          <w:rFonts w:ascii="Garamond" w:eastAsiaTheme="minorHAnsi" w:hAnsi="Garamond" w:cs="Times New Roman"/>
          <w:b/>
          <w:bCs/>
          <w:color w:val="000000"/>
        </w:rPr>
        <w:t>Edi Rama</w:t>
      </w:r>
    </w:p>
    <w:p w14:paraId="5428CB06" w14:textId="77777777" w:rsidR="005A5FCA" w:rsidRPr="005A5FC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</w:rPr>
      </w:pPr>
    </w:p>
    <w:p w14:paraId="79A035D2" w14:textId="77777777" w:rsidR="007547CD" w:rsidRPr="005A5FCA" w:rsidRDefault="007547CD" w:rsidP="005A5FCA">
      <w:pPr>
        <w:ind w:firstLine="284"/>
        <w:rPr>
          <w:rFonts w:ascii="Garamond" w:hAnsi="Garamond"/>
        </w:rPr>
      </w:pPr>
    </w:p>
    <w:sectPr w:rsidR="007547CD" w:rsidRPr="005A5FCA" w:rsidSect="00152D26">
      <w:headerReference w:type="default" r:id="rId14"/>
      <w:footerReference w:type="default" r:id="rId15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5431A" w14:textId="77777777" w:rsidR="0097719D" w:rsidRDefault="0097719D" w:rsidP="00A23FB0">
      <w:r>
        <w:separator/>
      </w:r>
    </w:p>
  </w:endnote>
  <w:endnote w:type="continuationSeparator" w:id="0">
    <w:p w14:paraId="5BDFCED8" w14:textId="77777777" w:rsidR="0097719D" w:rsidRDefault="0097719D" w:rsidP="00A23FB0">
      <w:r>
        <w:continuationSeparator/>
      </w:r>
    </w:p>
  </w:endnote>
  <w:endnote w:type="continuationNotice" w:id="1">
    <w:p w14:paraId="430EC291" w14:textId="77777777" w:rsidR="0097719D" w:rsidRDefault="009771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305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A035DB" w14:textId="77777777" w:rsidR="003A30F9" w:rsidRPr="00D31193" w:rsidRDefault="003A30F9">
        <w:pPr>
          <w:pStyle w:val="Footer"/>
          <w:jc w:val="right"/>
          <w:rPr>
            <w:rFonts w:ascii="Times New Roman" w:hAnsi="Times New Roman" w:cs="Times New Roman"/>
          </w:rPr>
        </w:pPr>
        <w:r w:rsidRPr="00D31193">
          <w:rPr>
            <w:rFonts w:ascii="Times New Roman" w:hAnsi="Times New Roman" w:cs="Times New Roman"/>
          </w:rPr>
          <w:fldChar w:fldCharType="begin"/>
        </w:r>
        <w:r w:rsidRPr="00D31193">
          <w:rPr>
            <w:rFonts w:ascii="Times New Roman" w:hAnsi="Times New Roman" w:cs="Times New Roman"/>
          </w:rPr>
          <w:instrText>PAGE   \* MERGEFORMAT</w:instrText>
        </w:r>
        <w:r w:rsidRPr="00D31193">
          <w:rPr>
            <w:rFonts w:ascii="Times New Roman" w:hAnsi="Times New Roman" w:cs="Times New Roman"/>
          </w:rPr>
          <w:fldChar w:fldCharType="separate"/>
        </w:r>
        <w:r w:rsidR="008A13AB">
          <w:rPr>
            <w:rFonts w:ascii="Times New Roman" w:hAnsi="Times New Roman" w:cs="Times New Roman"/>
            <w:noProof/>
          </w:rPr>
          <w:t>1</w:t>
        </w:r>
        <w:r w:rsidRPr="00D31193">
          <w:rPr>
            <w:rFonts w:ascii="Times New Roman" w:hAnsi="Times New Roman" w:cs="Times New Roman"/>
          </w:rPr>
          <w:fldChar w:fldCharType="end"/>
        </w:r>
      </w:p>
    </w:sdtContent>
  </w:sdt>
  <w:p w14:paraId="79A035DC" w14:textId="77777777" w:rsidR="003A30F9" w:rsidRDefault="003A3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D6CE3" w14:textId="77777777" w:rsidR="0097719D" w:rsidRDefault="0097719D" w:rsidP="00A23FB0">
      <w:r>
        <w:separator/>
      </w:r>
    </w:p>
  </w:footnote>
  <w:footnote w:type="continuationSeparator" w:id="0">
    <w:p w14:paraId="700AB3DC" w14:textId="77777777" w:rsidR="0097719D" w:rsidRDefault="0097719D" w:rsidP="00A23FB0">
      <w:r>
        <w:continuationSeparator/>
      </w:r>
    </w:p>
  </w:footnote>
  <w:footnote w:type="continuationNotice" w:id="1">
    <w:p w14:paraId="3778D383" w14:textId="77777777" w:rsidR="0097719D" w:rsidRDefault="009771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3F783F" w14:textId="77777777" w:rsidR="003A30F9" w:rsidRDefault="003A30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E5B77"/>
    <w:multiLevelType w:val="hybridMultilevel"/>
    <w:tmpl w:val="44106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443DA"/>
    <w:multiLevelType w:val="hybridMultilevel"/>
    <w:tmpl w:val="AD04F9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8A08C7"/>
    <w:multiLevelType w:val="hybridMultilevel"/>
    <w:tmpl w:val="E1EE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C2E7F"/>
    <w:multiLevelType w:val="hybridMultilevel"/>
    <w:tmpl w:val="E9BA3DDE"/>
    <w:lvl w:ilvl="0" w:tplc="0FDE2C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9046F"/>
    <w:multiLevelType w:val="hybridMultilevel"/>
    <w:tmpl w:val="FC04EC2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16C8F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23B88FC4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17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9A14B0"/>
    <w:multiLevelType w:val="hybridMultilevel"/>
    <w:tmpl w:val="9D0AFD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65BB3"/>
    <w:multiLevelType w:val="hybridMultilevel"/>
    <w:tmpl w:val="DFA0B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8683B"/>
    <w:multiLevelType w:val="hybridMultilevel"/>
    <w:tmpl w:val="F5C06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A35CC"/>
    <w:multiLevelType w:val="hybridMultilevel"/>
    <w:tmpl w:val="F80EE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35"/>
    <w:rsid w:val="000364E6"/>
    <w:rsid w:val="00051901"/>
    <w:rsid w:val="000609B7"/>
    <w:rsid w:val="000A1935"/>
    <w:rsid w:val="000B35AE"/>
    <w:rsid w:val="000B4126"/>
    <w:rsid w:val="00112EE6"/>
    <w:rsid w:val="00125DC8"/>
    <w:rsid w:val="00152D26"/>
    <w:rsid w:val="00152FE3"/>
    <w:rsid w:val="001540BA"/>
    <w:rsid w:val="00170A1B"/>
    <w:rsid w:val="00176ACB"/>
    <w:rsid w:val="00195805"/>
    <w:rsid w:val="001B5C84"/>
    <w:rsid w:val="001E7F21"/>
    <w:rsid w:val="001F047B"/>
    <w:rsid w:val="001F16AA"/>
    <w:rsid w:val="00247DBB"/>
    <w:rsid w:val="00250EF2"/>
    <w:rsid w:val="00253DC4"/>
    <w:rsid w:val="002638EA"/>
    <w:rsid w:val="00264008"/>
    <w:rsid w:val="00266360"/>
    <w:rsid w:val="00286070"/>
    <w:rsid w:val="002A4BAA"/>
    <w:rsid w:val="00311261"/>
    <w:rsid w:val="003310AE"/>
    <w:rsid w:val="003333C4"/>
    <w:rsid w:val="003669EC"/>
    <w:rsid w:val="00385E69"/>
    <w:rsid w:val="00391698"/>
    <w:rsid w:val="00395372"/>
    <w:rsid w:val="003A30F9"/>
    <w:rsid w:val="003E1CC8"/>
    <w:rsid w:val="003F1B4F"/>
    <w:rsid w:val="004403B5"/>
    <w:rsid w:val="00443ECA"/>
    <w:rsid w:val="0045554C"/>
    <w:rsid w:val="00490AF6"/>
    <w:rsid w:val="00490F92"/>
    <w:rsid w:val="004B5F9F"/>
    <w:rsid w:val="004D2E16"/>
    <w:rsid w:val="00523660"/>
    <w:rsid w:val="00527993"/>
    <w:rsid w:val="00556EBF"/>
    <w:rsid w:val="00565C63"/>
    <w:rsid w:val="0057215F"/>
    <w:rsid w:val="00597748"/>
    <w:rsid w:val="005A4F16"/>
    <w:rsid w:val="005A5FCA"/>
    <w:rsid w:val="005B5492"/>
    <w:rsid w:val="005C0336"/>
    <w:rsid w:val="005F3559"/>
    <w:rsid w:val="006266B0"/>
    <w:rsid w:val="006412C1"/>
    <w:rsid w:val="0068029E"/>
    <w:rsid w:val="00681728"/>
    <w:rsid w:val="006B22EA"/>
    <w:rsid w:val="006B3F80"/>
    <w:rsid w:val="006D056A"/>
    <w:rsid w:val="006E7FE4"/>
    <w:rsid w:val="006F1F79"/>
    <w:rsid w:val="006F283A"/>
    <w:rsid w:val="00704B61"/>
    <w:rsid w:val="0071011F"/>
    <w:rsid w:val="00733462"/>
    <w:rsid w:val="00750B66"/>
    <w:rsid w:val="007547CD"/>
    <w:rsid w:val="0076535D"/>
    <w:rsid w:val="00772DF7"/>
    <w:rsid w:val="007B2135"/>
    <w:rsid w:val="007D1A75"/>
    <w:rsid w:val="007D475C"/>
    <w:rsid w:val="007D503D"/>
    <w:rsid w:val="007F12DA"/>
    <w:rsid w:val="007F30EB"/>
    <w:rsid w:val="008261B6"/>
    <w:rsid w:val="008461D8"/>
    <w:rsid w:val="00847420"/>
    <w:rsid w:val="00856832"/>
    <w:rsid w:val="008662ED"/>
    <w:rsid w:val="008743DB"/>
    <w:rsid w:val="00875A0B"/>
    <w:rsid w:val="00877AD4"/>
    <w:rsid w:val="008A13AB"/>
    <w:rsid w:val="0091166F"/>
    <w:rsid w:val="0094479D"/>
    <w:rsid w:val="00973176"/>
    <w:rsid w:val="00973B46"/>
    <w:rsid w:val="0097719D"/>
    <w:rsid w:val="009A377D"/>
    <w:rsid w:val="00A0426E"/>
    <w:rsid w:val="00A0759B"/>
    <w:rsid w:val="00A07D98"/>
    <w:rsid w:val="00A10061"/>
    <w:rsid w:val="00A15D2A"/>
    <w:rsid w:val="00A23FB0"/>
    <w:rsid w:val="00A401F2"/>
    <w:rsid w:val="00A67C32"/>
    <w:rsid w:val="00A96BC7"/>
    <w:rsid w:val="00AA4368"/>
    <w:rsid w:val="00AB550E"/>
    <w:rsid w:val="00AD1484"/>
    <w:rsid w:val="00AD6B34"/>
    <w:rsid w:val="00AD7812"/>
    <w:rsid w:val="00AF5B31"/>
    <w:rsid w:val="00B02850"/>
    <w:rsid w:val="00B13D59"/>
    <w:rsid w:val="00B2127A"/>
    <w:rsid w:val="00B35FA6"/>
    <w:rsid w:val="00B67671"/>
    <w:rsid w:val="00BE6636"/>
    <w:rsid w:val="00C17364"/>
    <w:rsid w:val="00C32A8E"/>
    <w:rsid w:val="00C479F3"/>
    <w:rsid w:val="00C64F52"/>
    <w:rsid w:val="00C74F20"/>
    <w:rsid w:val="00C75EC8"/>
    <w:rsid w:val="00C773D7"/>
    <w:rsid w:val="00C94268"/>
    <w:rsid w:val="00CE710B"/>
    <w:rsid w:val="00D0540E"/>
    <w:rsid w:val="00D31193"/>
    <w:rsid w:val="00D72B28"/>
    <w:rsid w:val="00D91250"/>
    <w:rsid w:val="00D962AB"/>
    <w:rsid w:val="00DB7012"/>
    <w:rsid w:val="00DF4F7C"/>
    <w:rsid w:val="00E01FBE"/>
    <w:rsid w:val="00E119B5"/>
    <w:rsid w:val="00E3054C"/>
    <w:rsid w:val="00E71A0F"/>
    <w:rsid w:val="00EA3667"/>
    <w:rsid w:val="00EC6509"/>
    <w:rsid w:val="00EC7489"/>
    <w:rsid w:val="00EE6CD8"/>
    <w:rsid w:val="00EF1DC8"/>
    <w:rsid w:val="00F12649"/>
    <w:rsid w:val="00F36AA6"/>
    <w:rsid w:val="00F84335"/>
    <w:rsid w:val="00FC15E0"/>
    <w:rsid w:val="00FD15E6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8D"/>
  <w15:docId w15:val="{ACAE0EC9-5636-4981-853D-AB09251C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2021-08-26T11:23:05Z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2021-08-27T07:15:24Z</Data_x0020_e_x0020_Modifikimit>
    <Dekretuar xmlns="0e656187-b300-4fb0-8bf4-3a50f872073c">false</Dekretuar>
    <Data xmlns="0e656187-b300-4fb0-8bf4-3a50f872073c">2021-08-24T22:00:00Z</Data>
    <Nr_x002e__x0020_protokolli_x0020_i_x0020_aktit xmlns="0e656187-b300-4fb0-8bf4-3a50f872073c">4046/1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947E9-B5BE-412A-8915-8EF9A75DB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FF4BBE-F486-435D-935B-CF50EE07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CE0B1B-F891-49C4-8228-7C4F670295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A291A-DE03-41FF-B12D-F0C5A7D623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391F54-EC77-4274-B205-83EA7EB634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E180560-BAD1-4217-A43D-7C24F4C784E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D1B7093-78B9-481B-AB2F-06EC2B52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mbrojtjes së përkohshme shtetasve afganë dhe personave pa shtetësi me vendqëndrim të përkohshëm ose të përhershëm në Republikën Islamike të Afganistanit dhe për krijimin e task-forcës për menaxhimin e fluksit të kërkuesve të mbrojtjes ndërko</vt:lpstr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dc:title>
  <dc:creator>Ismail Shehu</dc:creator>
  <cp:lastModifiedBy>Sara Mborja</cp:lastModifiedBy>
  <cp:revision>2</cp:revision>
  <cp:lastPrinted>2021-08-25T09:44:00Z</cp:lastPrinted>
  <dcterms:created xsi:type="dcterms:W3CDTF">2022-09-07T10:29:00Z</dcterms:created>
  <dcterms:modified xsi:type="dcterms:W3CDTF">2022-09-07T10:29:00Z</dcterms:modified>
</cp:coreProperties>
</file>