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90F8B4" w14:textId="6D83A768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6A3B664" w14:textId="385B11CF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DA487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54C5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618, datë 20.10.2021</w:t>
      </w:r>
    </w:p>
    <w:p w14:paraId="65BED1A4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AA39349" w14:textId="66E4FB1D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051FB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54C5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KRIJIMIN, ORGANIZIMIN E FUNKSIONIMIN E RRJETIT</w:t>
      </w:r>
      <w:r w:rsidR="00051FB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54C5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KOORDINATORËVE KUNDËR KORRUPSIONIT</w:t>
      </w:r>
    </w:p>
    <w:p w14:paraId="1056273F" w14:textId="7317A796" w:rsidR="00154C55" w:rsidRPr="00FA45C3" w:rsidRDefault="00FA45C3" w:rsidP="00FA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FA45C3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(Ndryshuar me vendimin nr. </w:t>
      </w:r>
      <w:r w:rsidRPr="00FA45C3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657, datë 3.11.2021</w:t>
      </w:r>
      <w:r w:rsidRPr="00FA45C3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)</w:t>
      </w:r>
    </w:p>
    <w:p w14:paraId="6D852B76" w14:textId="77777777" w:rsidR="00FA45C3" w:rsidRDefault="00FA45C3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8E14561" w14:textId="50D59A1E" w:rsidR="00FA45C3" w:rsidRPr="00FA45C3" w:rsidRDefault="00FA45C3" w:rsidP="00FA45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FA45C3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2D86621E" w14:textId="77777777" w:rsidR="00FA45C3" w:rsidRDefault="00FA45C3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42C598D" w14:textId="18C70E5D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nenit 24, të ligjit nr.</w:t>
      </w:r>
      <w:r w:rsidR="00DA487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90/2012, “Për organizimin dhe funksionimin e administratës shtetërore”, me propozimin e ministrit të Drejtësisë, Këshilli i Ministrave</w:t>
      </w:r>
    </w:p>
    <w:p w14:paraId="447462DE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001C706" w14:textId="4B85FA3C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F3D0BFF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401EED0" w14:textId="60DB77CB" w:rsidR="00154C55" w:rsidRPr="00E2536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2536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I. DISPOZITA TË PËRGJITHSHME</w:t>
      </w:r>
    </w:p>
    <w:p w14:paraId="1EF96D56" w14:textId="5A669C96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Krijimin e Rrjetit të Koordinatorëve kundër Korrupsionit (në vijim </w:t>
      </w:r>
      <w:r w:rsidR="00912C0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Rrjeti i Koordinatorëve</w:t>
      </w:r>
      <w:r w:rsidR="00912C0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), nën drejtimin e ministrit të Drejtësisë, në cilësinë e Koordinatorit Kombëtar kundër Korrupsionit.</w:t>
      </w:r>
    </w:p>
    <w:p w14:paraId="0C8E3A6C" w14:textId="4BB6BC8C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Rrjeti i Koordinatorëve përbëhet nga koordinatorët kundër korrupsionit (në vijim </w:t>
      </w:r>
      <w:r w:rsidR="003A453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koordinatorët</w:t>
      </w:r>
      <w:r w:rsidR="003A4536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) dhe struktura përgjegjëse kundër korrupsionit në Ministrinë e Drejtësisë.</w:t>
      </w:r>
    </w:p>
    <w:p w14:paraId="5FA467D1" w14:textId="3FC8D3BA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3. Misioni i Rrjetit të Koordinatorëve është mbledhja, analizimi, koordinimi, verifikimi dhe hetimi administrativ i të gjithë informacionit për rastet korruptive, praktikat abuzive dhe arbitrare, kryesisht nga vetë koordinatori ose struktura përgjegjëse kundër korrupsionit në Ministrinë e Drejtësisë ose</w:t>
      </w:r>
      <w:r w:rsidR="00A21B6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kërkesë të çdo autoriteti publik ose pale të tretë, duke përfshirë dhe rastet korruptive të referuara nga platforma “Për Shqipërinë që duam” për institucionet, pjesë e Rrjetit të Koordinatorëve, me qëllim parandalimin e goditjen e korrupsionit në institucionet e administratës shtetërore, si dhe vlerësimin e rrezikut kundër korrupsionit e propozimin e masave, të rregullave dhe të procedurave për menaxhimin e këtij rreziku. </w:t>
      </w:r>
    </w:p>
    <w:p w14:paraId="5998104C" w14:textId="499330A9" w:rsidR="00154C55" w:rsidRPr="00E2536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2536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II. ORGANIZIMI DHE FUNKSIONIMI I RRJETIT TË </w:t>
      </w:r>
      <w:r w:rsidR="00DA487C" w:rsidRPr="00E2536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KOORDINATOR</w:t>
      </w:r>
      <w:r w:rsidR="00A21B6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DA487C" w:rsidRPr="00E2536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</w:t>
      </w:r>
      <w:r w:rsidRPr="00E2536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1928DB33" w14:textId="4992EB4E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Rrjeti i Koordinatorëve ka në përbërje, në rolin e koordinatorit, përfaqësues nga institucione në nivel qendror e në nivel rajonal. </w:t>
      </w:r>
    </w:p>
    <w:p w14:paraId="49F5987D" w14:textId="2886F2B2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Institucionet, ku shtrihet Rrjeti i Koordinatorëve, në nivel qendror janë: </w:t>
      </w:r>
    </w:p>
    <w:p w14:paraId="6EB19954" w14:textId="518E9521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Agjencia e Administrimit të Pasurive të Sekuestruara dhe Konfiskuara;</w:t>
      </w:r>
    </w:p>
    <w:p w14:paraId="2E5415FD" w14:textId="0C9C93FC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Agjencia e Blerjeve të Përqendruara;</w:t>
      </w:r>
    </w:p>
    <w:p w14:paraId="6ADC6918" w14:textId="26DF59B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Agjencia Kombëtare e Barnave dhe Pajisjeve Mjekësore;</w:t>
      </w:r>
    </w:p>
    <w:p w14:paraId="24B8A3EC" w14:textId="41A107F3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Agjencia Kombëtare e Bregdetit; </w:t>
      </w:r>
    </w:p>
    <w:p w14:paraId="5A756548" w14:textId="6BABE5F8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Agjencia Kombëtare e Burimeve Natyrore;</w:t>
      </w:r>
    </w:p>
    <w:p w14:paraId="64BB5F1C" w14:textId="39116153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Agjencia Kombëtare e Mjedisit;</w:t>
      </w:r>
    </w:p>
    <w:p w14:paraId="033C9ADB" w14:textId="37D0A08E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Agjencia Kombëtare e Zonave të Mbrojtura; </w:t>
      </w:r>
    </w:p>
    <w:p w14:paraId="470D6354" w14:textId="41877690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Agjencia për Sigurimin e Cilësisë në Arsimin e Lartë;</w:t>
      </w:r>
    </w:p>
    <w:p w14:paraId="67A867F4" w14:textId="1017E03A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Agjencia për Zhvillim Bujqësor dhe Rural; </w:t>
      </w:r>
    </w:p>
    <w:p w14:paraId="42A8F5B3" w14:textId="014E4700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Agjencia Shtetërore e Kadastrës; </w:t>
      </w:r>
    </w:p>
    <w:p w14:paraId="66E6A9BE" w14:textId="09CD3F1B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154C5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AlbControl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</w:t>
      </w:r>
      <w:r w:rsidR="007A278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A0AD66F" w14:textId="26F43EE9" w:rsidR="00154C55" w:rsidRPr="00154C55" w:rsidRDefault="00D964D8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- Albpetrol</w:t>
      </w:r>
      <w:r w:rsidR="00154C55"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sh.a.;</w:t>
      </w:r>
    </w:p>
    <w:p w14:paraId="4CD13631" w14:textId="13EED1E6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Autoriteti i Aviacionit Civil;</w:t>
      </w:r>
    </w:p>
    <w:p w14:paraId="1118D5CA" w14:textId="6538D059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Autoriteti Kombëtar i Ushqimit; </w:t>
      </w:r>
    </w:p>
    <w:p w14:paraId="00CE4DA6" w14:textId="7352191A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Autoriteti Portual Durrës;</w:t>
      </w:r>
    </w:p>
    <w:p w14:paraId="058593AD" w14:textId="3CD0767D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Autoriteti Rrugor Shqiptar;</w:t>
      </w:r>
    </w:p>
    <w:p w14:paraId="707F1A6E" w14:textId="56D70BA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Drejtoria e Përgjithshme e Tatimeve; </w:t>
      </w:r>
    </w:p>
    <w:p w14:paraId="5725D758" w14:textId="40A5D28B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Drejtoria e Përgjithshme e Doganave; </w:t>
      </w:r>
    </w:p>
    <w:p w14:paraId="61C31C6A" w14:textId="501E472B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- Drejtoria e Përgjithshme e Arsimit Parauniversitar; </w:t>
      </w:r>
    </w:p>
    <w:p w14:paraId="1525F95C" w14:textId="0845AC1F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Drejtoria e Përgjithshme e Gjendjes Civile; </w:t>
      </w:r>
    </w:p>
    <w:p w14:paraId="6CDBF2A5" w14:textId="47BFF69D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Drejtoria e Përgjithshme e Shërbimeve të Transportit Rrugor; </w:t>
      </w:r>
    </w:p>
    <w:p w14:paraId="4CF894EF" w14:textId="778DD6F0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Fondi i Sigurimit të Detyrueshëm të Kujdesit Shëndetësor;</w:t>
      </w:r>
    </w:p>
    <w:p w14:paraId="77766B5D" w14:textId="7F9FD26F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Instituti i Sigurimeve Shoqërore;</w:t>
      </w:r>
    </w:p>
    <w:p w14:paraId="1501C71F" w14:textId="3B402B2C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Instituti i Shëndetit Publik;</w:t>
      </w:r>
    </w:p>
    <w:p w14:paraId="0040BF51" w14:textId="4E4E5E62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Inspektorati Kombëtar për Mbrojtjen e Territorit; </w:t>
      </w:r>
    </w:p>
    <w:p w14:paraId="4EF82BBD" w14:textId="058D1AC4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Inspektorati Shtetëror i Punës dhe Shërbimeve Shoqërore; </w:t>
      </w:r>
    </w:p>
    <w:p w14:paraId="21B2DD09" w14:textId="278F67F1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Inspektorati Shtetëror Shëndetësor;</w:t>
      </w:r>
    </w:p>
    <w:p w14:paraId="65D66F4B" w14:textId="07B6CD91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Inspektorati Shtetëror Teknik dhe Industrial;</w:t>
      </w:r>
    </w:p>
    <w:p w14:paraId="6E7885F5" w14:textId="0786CED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Operatori i Sistemit të Shpërndarjes së Energjisë; </w:t>
      </w:r>
    </w:p>
    <w:p w14:paraId="20B7EF8F" w14:textId="43DA3E9B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Operatori i Sistemit të Transmetimit; </w:t>
      </w:r>
    </w:p>
    <w:p w14:paraId="4B6DF5A0" w14:textId="7AC20FEA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Operatori i Shërbimeve të Kujdesit Shëndetësor; </w:t>
      </w:r>
    </w:p>
    <w:p w14:paraId="5474C933" w14:textId="1ACFE6B0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Porti Detar Sarandë sh.a.;</w:t>
      </w:r>
    </w:p>
    <w:p w14:paraId="1F578DB5" w14:textId="798267AA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Porti Detar Shëngjin sh.a.;</w:t>
      </w:r>
    </w:p>
    <w:p w14:paraId="7CE42CF8" w14:textId="34D1A03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Porti Detar Vlorë sh.a.;</w:t>
      </w:r>
    </w:p>
    <w:p w14:paraId="589E2C97" w14:textId="17A37F33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Posta Shqiptare;</w:t>
      </w:r>
    </w:p>
    <w:p w14:paraId="4721787E" w14:textId="7A6C3500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Qendra Spitalore Universitare “Nënë Tereza”;</w:t>
      </w:r>
    </w:p>
    <w:p w14:paraId="6A18593B" w14:textId="678E5489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Spitali Obstetrik Gjinekologjik “Mbretëresha Geraldinë”;</w:t>
      </w:r>
    </w:p>
    <w:p w14:paraId="43241602" w14:textId="7C626154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Spitali Universitar i Traumës;</w:t>
      </w:r>
    </w:p>
    <w:p w14:paraId="5A6D21F1" w14:textId="680EFCF9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Spitali Universitar Obstetrik Gjinekologjik “Koço Gliozheni”;</w:t>
      </w:r>
    </w:p>
    <w:p w14:paraId="27BC04E0" w14:textId="392ED2D2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Spitali Universitar “Shefqet Ndroqi”;</w:t>
      </w:r>
    </w:p>
    <w:p w14:paraId="7313D58C" w14:textId="3349CDFB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Spitali Psikiatrik “Ali Mihali”, Vlorë;</w:t>
      </w:r>
    </w:p>
    <w:p w14:paraId="5AF44356" w14:textId="2BFF22E2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Spitali Psikiatrik “Sadik Dinci”, Elbasan;</w:t>
      </w:r>
    </w:p>
    <w:p w14:paraId="67C80E3C" w14:textId="2C86215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Shërbimi Social Shtetëror;</w:t>
      </w:r>
    </w:p>
    <w:p w14:paraId="00D70564" w14:textId="68FC333F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 Korporata Elektroenergjetike Shqiptare sh.a.</w:t>
      </w:r>
    </w:p>
    <w:p w14:paraId="34D49832" w14:textId="27B0DB2D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Institucionet, ku shtrihet Rrjeti i Koordinatorëve, në nivel rajonal janë: </w:t>
      </w:r>
    </w:p>
    <w:p w14:paraId="4E2B61F5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në çdo drejtori vendore të Agjencisë Shtetërore të Kadastrës; </w:t>
      </w:r>
    </w:p>
    <w:p w14:paraId="7159CB84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drejtoritë rajonale të Operatorit të Shërbimeve të Kujdesit Shëndetësor; </w:t>
      </w:r>
    </w:p>
    <w:p w14:paraId="1CE18D27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c) drejtoritë rajonale të Arsimit Parauniversitar;</w:t>
      </w:r>
    </w:p>
    <w:p w14:paraId="13F0D0EF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ç) spitalet rajonale.</w:t>
      </w:r>
    </w:p>
    <w:p w14:paraId="5443997E" w14:textId="75006B26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4. Në institucionet në nivel rajonal, sipas shkronjave “b”, “c” dhe “ç”, të pikës 3, të këtij kreu, caktohen 4 (katër) koordinatorë rajonalë, që mbulojnë një grupim rajonal të institucioneve vendore/degëve territoriale. Grupimi i institucioneve vendore/degëve territoriale, si dhe vendi ku koordinatori rajonal ushtron veprimtarinë e tij, brenda fushës së përgjegjësisë së koordinatorit rajonal, miratohet me urdhër të Koordinatorit Kombëtar kundër Korrupsionit.</w:t>
      </w:r>
    </w:p>
    <w:p w14:paraId="652D34EB" w14:textId="34701283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051F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institucionet e administratës shtetërore, entet publike dhe shoqëritë tregtare me kapital shtetëror, pjesë e Rrjetit të Koordinatorëve, krijohet pozicioni “Koordinator i Rrjetit të Koordinatorëve kundër Korrupsionit”, i cili emërohet nga titullari i institucionit, për një afat 2-vjeçar, pas propozimit të Koordinatorit Kombëtar Kundër Korrupsionit. </w:t>
      </w:r>
    </w:p>
    <w:p w14:paraId="3D2065B1" w14:textId="1B74CCAD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051F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institucionet e administratës shtetërore, entet publike dhe shoqëritë tregtare me kapital shtetëror, të përcaktuara në pikën 2, të këtij kreu, pagat e të cilëve miratohen nga një organ i ndryshëm nga Këshilli i Ministrave, niveli i pozicionit “Koordinator i Rrjetit të Koordinatorëve kundër Korrupsionit” është i njëjtë me nivelin e punonjësit më të lartë pas titullarit të institucionit ku është emëruar. </w:t>
      </w:r>
    </w:p>
    <w:p w14:paraId="1241DF0A" w14:textId="3284BE91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051F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Emërimi dhe lirimi nga detyra i koordinatorit bëhet nga titullari i institucionit ose shoqërisë tregtare me kapital shtetëror, sipas propozimit të Koordinatorit Kombëtar kundër Korrupsionit. </w:t>
      </w:r>
    </w:p>
    <w:p w14:paraId="66E99684" w14:textId="0133B92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051F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Koordinatori përgjigjet para Koordinatorit Kombëtar Kundër Korrupsionit për të gjithë veprimtarinë e ushtruar në rolin e koordinatorit.</w:t>
      </w:r>
    </w:p>
    <w:p w14:paraId="7ED31E12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9. Marrëdhëniet e punës së koordinatorit rregullohen në bazë të dispozitave të Kodit të Punës.</w:t>
      </w:r>
    </w:p>
    <w:p w14:paraId="16822ABD" w14:textId="49F6E8B9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10. Procedurat e përzgjedhjes e të rekrutimit të kandidatëve për koordinator përcaktohen në rregulloren e brendshme të Rrjetit të Koordinatorëve, të miratuar me urdhër të Koordinatorit Kombëtar kundër Korrupsionit.</w:t>
      </w:r>
    </w:p>
    <w:p w14:paraId="2A855EBA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Veprimtaria dhe kryerja e detyrave të koordinatorit monitorohen nga struktura përgjegjëse kundër korrupsionit në Ministrinë e Drejtësisë. </w:t>
      </w:r>
    </w:p>
    <w:p w14:paraId="7B2DA258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Struktura përgjegjëse kundër korrupsionit në Ministrinë e Drejtësisë vë në dijeni Koordinatorin Kombëtar kundër Korrupsionit, në rast se konstaton parregullsi gjatë ushtrimit të detyrave nga koordinatori. </w:t>
      </w:r>
    </w:p>
    <w:p w14:paraId="1CE5A325" w14:textId="72241424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13. Koordinatori Kombëtar kundër Korrupsionit, në varësi të shkeljes së konstatuar, i propozon titullarit të institucionit apo shoqërisë tregtare me kapital shtetëror pezullimin e koordinatorit ose marrjen e masës disiplinore për largimin nga funksioni. </w:t>
      </w:r>
    </w:p>
    <w:p w14:paraId="7D8B9FD3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14. Koordinatori raporton për veprimtarinë e kryer prej tij, çdo 3 (tre) muaj, pranë strukturës përgjegjëse kundër korrupsionit në Ministrinë e Drejtësisë dhe sa herë kërkohet nga kjo e fundit. </w:t>
      </w:r>
    </w:p>
    <w:p w14:paraId="5EFCE135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15. Struktura përgjegjëse kundër korrupsionit në Ministrinë e Drejtësisë, çdo 6 (gjashtë) muaj, kryen vlerësimin e punës së koordinatorëve dhe i raporton Koordinatorit Kombëtar Kundër Korrupsionit. </w:t>
      </w:r>
    </w:p>
    <w:p w14:paraId="2F9D390B" w14:textId="5843A7D5" w:rsidR="00154C55" w:rsidRPr="00051FB4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51FB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III. PËRGJEGJËSITË FUNKSIONALE TË RRJETIT TË KOORDINATORËVE</w:t>
      </w:r>
    </w:p>
    <w:p w14:paraId="12700BD0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Koordinatori ushtron këto detyra: </w:t>
      </w:r>
    </w:p>
    <w:p w14:paraId="67DECCE2" w14:textId="4112A6A8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051F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3673B"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mbledh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informacion për veprimtaritë korruptive, praktikat abuzive apo arbitrare nga burime të ndryshme dhe kryen hetime administrative brenda fushës së përgjegjësisë së institucionit apo shoqërisë tregtare me kapital shtetëror;</w:t>
      </w:r>
    </w:p>
    <w:p w14:paraId="6966F103" w14:textId="174713E3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051F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3673B"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bashkëpunon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me strukturat e brendshme të institucionit për shqyrtimin e rasteve të korrupsionit;</w:t>
      </w:r>
    </w:p>
    <w:p w14:paraId="2D38E40C" w14:textId="6EB1A99F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D3673B"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këshillon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, udhëzon e ndërgjegjëson nëpunësit dhe qytetarët për identifikimin e adresimin e rasteve korruptive pranë institucioneve të tyre;</w:t>
      </w:r>
    </w:p>
    <w:p w14:paraId="7A915FAC" w14:textId="4DCB19E9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="00D3673B"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vlerëson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rrezikun e korrupsionit në institucionin e administratës shtetërore ku bën pjesë, duke analizuar mundësitë e shfaqjes së formave të veçanta të korrupsionit, në përputhje me llojin e funksioneve publike apo administrative që institucioni ushtron;</w:t>
      </w:r>
    </w:p>
    <w:p w14:paraId="361035FB" w14:textId="262778FA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051F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3673B"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harton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raportin përfundimtar të rastit, objekt verifikimi, dhe e përcjell atë pranë strukturës përgjegjëse kundër korrupsionit në Ministrinë e Drejtësisë;</w:t>
      </w:r>
    </w:p>
    <w:p w14:paraId="26F3B8A0" w14:textId="52297AA0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</w:t>
      </w:r>
      <w:r w:rsidR="00D3673B"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raporton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punën e performancën e Rrjetit të Koordinatorëve në institucionin përkatës, pranë strukturës përgjegjëse kundër korrupsionit në Ministrinë e Drejtësisë, si dhe harton raportin periodik javor për fazën në të cilën ndodhen rastet në proces; </w:t>
      </w:r>
    </w:p>
    <w:p w14:paraId="6EFE8ED0" w14:textId="3367DDF6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051F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3673B"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kryen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çdo detyrë tjetër të parashikuar në këtë vendim ose të deleguar nga Koordinatori Kombëtar kundër Korrupsionit apo nga struktura përgjegjëse kundër korrupsionit në Ministrinë e Drejtësisë, në përputhje me kompetencat e tij;</w:t>
      </w:r>
    </w:p>
    <w:p w14:paraId="36B9C6B6" w14:textId="6B03AB0C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ë) </w:t>
      </w:r>
      <w:r w:rsidR="00D3673B"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çdo rast, ndjek e raporton pranë strukturës përgjegjëse kundër korrupsionit në Ministrinë e Drejtësisë zbatimin e rekomandimeve të marra nga institucioni përkatës;</w:t>
      </w:r>
    </w:p>
    <w:p w14:paraId="1009056B" w14:textId="0DEABAD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051F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3673B"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kërkon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hetim të thelluar, sipas rastit, nga struktura përgjegjëse kundër korrupsionit në Ministrinë e Drejtësisë. </w:t>
      </w:r>
    </w:p>
    <w:p w14:paraId="33AE3BB4" w14:textId="48AF1A29" w:rsidR="00154C55" w:rsidRPr="00051FB4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51FB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IV. ORGANIZIMI DHE FUNKSIONI I STRUKTURËS PËRGJEGJËSE KUNDËR KORRUPSIONIT NË MINISTRINË E DREJTËSISË</w:t>
      </w:r>
    </w:p>
    <w:p w14:paraId="19D65EA8" w14:textId="0167E2DA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Struktura përgjegjëse kundër korrupsionit në Ministrinë e Drejtësisë organizohet në nivelin e drejtorisë së përgjithshme dhe drejtohet nga drejtori i përgjithshëm, i cili organizon e drejton të gjithë veprimtarinë e strukturës dhe përgjigjet përpara Koordinatorit Kombëtar kundër Korrupsionit. </w:t>
      </w:r>
    </w:p>
    <w:p w14:paraId="4517E390" w14:textId="1F904C36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Metodat e brendshme të punës dhe sjellja e nëpunësve të kësaj strukture përcaktohen në rregulloren e brendshme të Rrjetit të Koordinatorëve, që miratohet me urdhër të Koordinatorit Kombëtar Kundër Korrupsionit. </w:t>
      </w:r>
    </w:p>
    <w:p w14:paraId="5351EE8E" w14:textId="55EEA85C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Misioni i strukturës përgjegjëse kundër korrupsionit në Ministrinë e Drejtësisë është kryerja e verifikimit (hetimit administrativ) të denoncimeve/ankesave për praktika abuzive, korruptive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apo arbitrare për zbatimin e ligjshmërisë, si dhe identifikimi i punonjësit e institucioneve, pjesë e Rrjetit të Koordinatorëve, të cilët, me veprime apo mosveprime, kanë kryer shkelje të akteve ligjore/nënligjore në fuqi, si dhe njëkohësisht zhvillimi i projekteve dhe </w:t>
      </w:r>
      <w:r w:rsidR="00A02D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programeve në fushën e kundër korrupsionit, planifikimi, koordinimi e përcaktimi i instrumenteve të domosdoshme për implementimin e politikave të fushës kundër korrupsionit. </w:t>
      </w:r>
    </w:p>
    <w:p w14:paraId="0033F0A1" w14:textId="6601F9A2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Struktura përgjegjëse kundër korrupsionit në Ministrinë e Drejtësisë, me urdhër të Koordinatorit Kombëtar kundër Korrupsionit, kryen verifikime dhe kontrolle (hetim administrativ) pranë të gjitha institucioneve, pjesë e Rrjetit të Koordinatorëve. </w:t>
      </w:r>
    </w:p>
    <w:p w14:paraId="7F5A9238" w14:textId="532EFAA3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Në rastet e hetimeve të thelluara, për shkak të njohurive të veçanta që kërkon hetimi ose verifikimi i një çështjeje, në grupin e punës së strukturës përgjegjëse kundër korrupsionit në Ministrinë e Drejtësisë mund të përfshihen edhe ekspertë të administratës shtetërore. </w:t>
      </w:r>
    </w:p>
    <w:p w14:paraId="69C81578" w14:textId="05CE71CB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Në rastin kur është e nevojshme përfshirja e ekspertëve nga administrata shtetërore, Koordinatori Kombëtar kundër Korrupsionit paraqet kërkesën për vendosje në dispozicion të ekspertit/ekspertëve, i cili/të cilët kanë kualifikimet e cilësitë e kërkuara për kryerjen e hetimeve. </w:t>
      </w:r>
    </w:p>
    <w:p w14:paraId="7A5468D0" w14:textId="2A167EC6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Titullarët duhet të vendosin në dispozicion ekspertë nga administrata shtetërore, të cilët përmbushin kriteret përkatëse. Ekspertët e administratës shtetërore e ushtrojnë veprimtarinë e tyre nën drejtimin e drejtuesit të grupit të hetimit të thelluar, sipas përcaktimeve të urdhrit të Koordinatorit Kombëtar kundër Korrupsionit dhe brenda afatit të përcaktuar në këtë urdhër. </w:t>
      </w:r>
    </w:p>
    <w:p w14:paraId="79F98229" w14:textId="706BA8DC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Ekspertët e administratës shtetërore, të angazhuar në hetime të thelluara sipas përcaktimeve të këtij kreu, nënshkruajnë deklaratë konfidencialiteti. </w:t>
      </w:r>
    </w:p>
    <w:p w14:paraId="410DAC46" w14:textId="62048153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9. Në përfundim të hetimit të thelluar administrativ nga struktura përgjegjëse kundër korrupsionit në Ministrinë e Drejtësisë, hartohet raport përfundimtar, i cili i propozohet për miratim Koordinatorit Kombëtar kundër Korrupsionit.</w:t>
      </w:r>
    </w:p>
    <w:p w14:paraId="694ACEB4" w14:textId="3C326D9E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Procedura e hetimit administrativ apo verifikimit nga struktura përgjegjëse kundër korrupsionit në Ministrinë e Drejtësisë kryhet në bazë të kreut V, të këtij vendimi. </w:t>
      </w:r>
    </w:p>
    <w:p w14:paraId="7A6EC591" w14:textId="34C61236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Struktura përgjegjëse kundër korrupsionit në Ministrinë e Drejtësisë monitoron veprimtarinë e Rrjetit të Koordinatorëve dhe raporton pranë Koordinatorit Kombëtar kundër Korrupsionit. </w:t>
      </w:r>
    </w:p>
    <w:p w14:paraId="013C4F37" w14:textId="26370A36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Nëpunësit e strukturës përgjegjëse kundër korrupsionit në Ministrinë e Drejtësisë nënshkruajnë deklaratë konfidencialiteti. </w:t>
      </w:r>
    </w:p>
    <w:p w14:paraId="7BC59E57" w14:textId="26388B44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13. Nëpunësit e angazhuar në hetimet e thelluara dhe në monitorimin e Rrjetit të Koordinatorëve pranë strukturës përgjegjëse kundër korrupsionit në Ministrinë e Drejtësisë pajisen me certifikatë sigurie, sipas legjislacionit në fuqi.</w:t>
      </w:r>
    </w:p>
    <w:p w14:paraId="675864E7" w14:textId="3A84C872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14. Struktura përgjegjëse kundër korrupsionit në Ministrinë e Drejtësisë përfaqëson në gjykatë Ministrinë e Drejtësisë për çështjet që lidhen me raportet e marra në cilësinë e Koordinatorit Kombëtar kundër Korrupsionit.</w:t>
      </w:r>
      <w:r w:rsidR="00051F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ACDD1D3" w14:textId="39EF019F" w:rsid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15. Struktura përgjegjëse kundër korrupsionit në Ministrinë e Drejtësisë kryen rolin e koordinatorit kundër korrupsionit në ato struktura kur vendi i koordinatorit mbetet bosh, deri në plotësimin e tij. </w:t>
      </w:r>
    </w:p>
    <w:p w14:paraId="259F61EB" w14:textId="77777777" w:rsidR="00FA45C3" w:rsidRPr="00FA45C3" w:rsidRDefault="00FA45C3" w:rsidP="00FA45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bookmarkStart w:id="0" w:name="_GoBack"/>
      <w:r w:rsidRPr="00FA45C3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16. Përveç pagës mujore, nëpunësit në strukturën përgjegjëse kundër korrupsionit në Ministrinë e Drejtësisë përfitojnë një shtesë për natyrë të veçantë pune, në masën: </w:t>
      </w:r>
    </w:p>
    <w:p w14:paraId="6E7C4E35" w14:textId="77777777" w:rsidR="00FA45C3" w:rsidRPr="00FA45C3" w:rsidRDefault="00FA45C3" w:rsidP="00FA45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FA45C3">
        <w:rPr>
          <w:rFonts w:ascii="Garamond" w:hAnsi="Garamond" w:cs="Times New Roman"/>
          <w:i/>
          <w:color w:val="000000"/>
          <w:sz w:val="24"/>
          <w:szCs w:val="24"/>
          <w:lang w:val="sq-AL"/>
        </w:rPr>
        <w:t>a) 60 000 (gjashtëdhjetë mijë) lekë në muaj, në pozicionet “drejtor i përgjithshëm”, si dhe “drejtor drejtorie”, “përgjegjës sektori” e “specialist”, në drejtorinë që mbulon Rrjetin e Koordinatorëve Kundër Korrupsionit;</w:t>
      </w:r>
    </w:p>
    <w:p w14:paraId="31D13F4A" w14:textId="77777777" w:rsidR="00FA45C3" w:rsidRPr="00FA45C3" w:rsidRDefault="00FA45C3" w:rsidP="00FA45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FA45C3">
        <w:rPr>
          <w:rFonts w:ascii="Garamond" w:hAnsi="Garamond" w:cs="Times New Roman"/>
          <w:i/>
          <w:color w:val="000000"/>
          <w:sz w:val="24"/>
          <w:szCs w:val="24"/>
          <w:lang w:val="sq-AL"/>
        </w:rPr>
        <w:t>b) 75 000 (shtatëdhjetë e pesë mijë) lekë në muaj, në pozicionet “drejtor drejtorie” dhe “specialist”, në drejtorinë që mbulon njësinë operacionale të verifikimit në terren;</w:t>
      </w:r>
    </w:p>
    <w:p w14:paraId="2C2514E5" w14:textId="1031EEE4" w:rsidR="00FA45C3" w:rsidRPr="00FA45C3" w:rsidRDefault="00FA45C3" w:rsidP="00FA45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FA45C3">
        <w:rPr>
          <w:rFonts w:ascii="Garamond" w:hAnsi="Garamond" w:cs="Times New Roman"/>
          <w:i/>
          <w:color w:val="000000"/>
          <w:sz w:val="24"/>
          <w:szCs w:val="24"/>
          <w:lang w:val="sq-AL"/>
        </w:rPr>
        <w:t>c) 40 000 (dyzet mijë) lekë në muaj, në pozicionet “drejtor drejtorie”, “përgjegjës sektori” dhe “specialist”, në drejtorinë që mbulon projektet e programet n</w:t>
      </w:r>
      <w:r w:rsidRPr="00FA45C3">
        <w:rPr>
          <w:rFonts w:ascii="Garamond" w:hAnsi="Garamond" w:cs="Times New Roman"/>
          <w:i/>
          <w:color w:val="000000"/>
          <w:sz w:val="24"/>
          <w:szCs w:val="24"/>
          <w:lang w:val="sq-AL"/>
        </w:rPr>
        <w:t>ë fushën kundër korrupsionit.</w:t>
      </w:r>
    </w:p>
    <w:bookmarkEnd w:id="0"/>
    <w:p w14:paraId="69E7C18F" w14:textId="14F1B101" w:rsidR="00154C55" w:rsidRPr="00051FB4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1FB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V. PROCEDURA E VERIFIKIMIT, ADMINISTRIMI DHE DOKUMENTIMI</w:t>
      </w:r>
    </w:p>
    <w:p w14:paraId="4E851512" w14:textId="49957FB9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1. Koordinatori/struktura përgjegjëse kundër korrupsionit në Ministrinë e Drejtësisë kanë pavarësi gjatë verifikimit të rasteve korruptive, praktikave abuzive apo arbitrare.</w:t>
      </w:r>
    </w:p>
    <w:p w14:paraId="4EF54604" w14:textId="64CD3B83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2. Koordinatori/struktura përgjegjëse kundër korrupsionit në Ministrinë e Drejtësisë fillon procedurën e verifikimit kryesisht dhe/ose bazuar në informacione, ankesa apo denoncime, të cilat administrohen nga koordinatori apo përcillen nga burime të ndryshme. </w:t>
      </w:r>
    </w:p>
    <w:p w14:paraId="3B770A1C" w14:textId="7A146AA4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Informacionet, ankesat dhe denoncimet anonime trajtohen vetëm në rastet kur të dhënat e paraqitura pranë koordinatorit sigurojnë bazë të mjaftueshme për të filluar procedurën e verifikimit. </w:t>
      </w:r>
    </w:p>
    <w:p w14:paraId="7DE89CE6" w14:textId="0F7359D1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4. Për çdo procedurë hetimi apo verifikimi, koordinatori/struktura përgjegjëse kundër korrupsionit në Ministrinë e Drejtësisë hap një dosje të veçantë, e cila përmban çdo dokumentacion të ardhur, të marrë apo të mbledhur, lidhur me praktikën në fjalë. Në përfundim të kontrollit, materiali i dosjes ruhet e administrohet sipas legjislacionit në fuqi për arkivat.</w:t>
      </w:r>
    </w:p>
    <w:p w14:paraId="03E04435" w14:textId="3759CDD8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5. Koordinatori/struktura përgjegjëse kundër korrupsionit në Ministrinë e Drejtësisë dokumenton çdo sqarim apo shpjegim, që i jepet nga personi denoncues. Për të provuar shkeljen, koordinatori mund të kërkojë ballafaqimin e personit denoncues me nëpunësin e institucionit, në rastin kur pranon të mos i ruhet anonimati.</w:t>
      </w:r>
    </w:p>
    <w:p w14:paraId="5B91AC5F" w14:textId="65FBB202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Në rastet kur denoncimi vjen nga nëpunës të institucionit, i cili kërkon që identiteti i tij të mos zbulohet, koordinatori/struktura përgjegjëse kundër korrupsionit në Ministrinë e Drejtësisë duhet të marrë të gjitha masat e nevojshme për të parandaluar zbulimin e identitetit të tij, edhe nëse nga vlerësimi i rastit nuk konstatohen shkelje. </w:t>
      </w:r>
    </w:p>
    <w:p w14:paraId="404EE452" w14:textId="16B58F6B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Gjatë verifikimit, koordinatori/struktura përgjegjëse kundër korrupsionit në Ministrinë e Drejtësisë ka të drejtë të mbledhë informacione dhe dokumente, të cilat bëhen pjesë e dosjes së verifikimit. </w:t>
      </w:r>
    </w:p>
    <w:p w14:paraId="08B1D6A9" w14:textId="210129F4" w:rsidR="00154C55" w:rsidRPr="00154C55" w:rsidRDefault="00154C55" w:rsidP="00154C55">
      <w:pPr>
        <w:tabs>
          <w:tab w:val="left" w:pos="540"/>
          <w:tab w:val="left" w:pos="620"/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Kur koordinatori/struktura përgjegjëse kundër korrupsionit në Ministrinë e Drejtësisë gjykon se informacionet e faktet e mbledhura mund të tjetërsohen apo do të shërbejnë për të vazhduar procedura të mëtejshme administrative apo penale, kërkon nga subjekti njësimin me origjinalin të dokumenteve që provojnë parregullsitë e konstatuara, sipas rregullave të parashikuara në Kodin e Procedurave Administrative. </w:t>
      </w:r>
    </w:p>
    <w:p w14:paraId="67365D06" w14:textId="5805949C" w:rsidR="00154C55" w:rsidRPr="00154C55" w:rsidRDefault="00154C55" w:rsidP="00154C55">
      <w:pPr>
        <w:tabs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9. Nëpunësi, të cilit i është kërkuar dorëzimi i dokumenteve të shkruara dhe/ose materiale të tjera pranë koordinatorit/strukturës përgjegjëse kundër korrupsionit në Ministrinë e Drejtësisë, duhet të sigurojë që materiali i kërkuar t’i dorëzohet koordinatorit menjëherë dhe, në çdo rast, jo më vonë se 3 (tri) ditë pune nga paraqitja e kërkesës.</w:t>
      </w:r>
    </w:p>
    <w:p w14:paraId="0CAFEAC8" w14:textId="00792306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10. Për çdo rast, kur fillon një procedurë verifikimi, koordinatori/struktura përgjegjëse kundër korrupsionit në Ministrinë e Drejtësisë mban procesverbal me personin përgjegjës, në të cilin përshkruhet gjetja, baza ligjore dhe të dhënat e dokumenteve të verifikuara dhe të administruara për qëllime të verifikimit.</w:t>
      </w:r>
    </w:p>
    <w:p w14:paraId="3923B53C" w14:textId="71F92F6C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Në përfundim të hetimit ose të verifikimit dhe përpara formulimit të raportit përfundimtar, nëpunësit përgjegjës i vihet në dispozicion aktkonstatimi nëpërmjet protokollit apo </w:t>
      </w:r>
      <w:r w:rsidR="00051FB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</w:t>
      </w:r>
      <w:r w:rsidRPr="00154C5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mail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-it zyrtar dhe i kërkohet të dokumentojë komente, sqarime apo shpjegime, për çështje që lidhen me objektin e verifikimit, si dhe për fakte e rrethana të tjera që kanë lidhje me to brenda 3 (tri) ditëve. Komentet, sqarimet shpjegimet apo dokumentacioni shtesë i nëpunësit përgjegjës bëhet pjesë e dosjes së verifikimit dhe pasqyrohet në raportin përfundimtar. Në rast refuzimi nga nëpunësi përgjegjës për të dhënë sqarime, koordinatori/struktura përgjegjëse kundër korrupsionit në Ministrinë e Drejtësisë dokumenton refuzimin e vijon me hartimin e raportit përfundimtar.</w:t>
      </w:r>
    </w:p>
    <w:p w14:paraId="7263D102" w14:textId="4C208867" w:rsidR="00154C55" w:rsidRPr="00154C55" w:rsidRDefault="00154C55" w:rsidP="00154C55">
      <w:pPr>
        <w:tabs>
          <w:tab w:val="left" w:pos="3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Pas përfundimit të procedurës së verifikimit, koordinatori harton raportin përfundimtar të arsyetuar, i cili përmban metodologjinë e verifikimit të kryer, gjetjet, si dhe rekomandimet për ecurinë e trajtimit të rastit dhe e përcjell pranë strukturës përgjegjëse kundër korrupsionit në Ministrinë e Drejtësisë. </w:t>
      </w:r>
    </w:p>
    <w:p w14:paraId="572D45E6" w14:textId="69FD98F2" w:rsidR="00154C55" w:rsidRPr="00154C55" w:rsidRDefault="00154C55" w:rsidP="00154C55">
      <w:pPr>
        <w:tabs>
          <w:tab w:val="left" w:pos="980"/>
          <w:tab w:val="left" w:pos="3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13. Në rast se struktura përgjegjëse kundër korrupsionit në Ministrinë e Drejtësisë vlerëson se raporti përfundimtar i hartuar nga koordinatori nuk është i plotë apo ka mangësi në referimin e dokumenteve provuese, kthen praktikën dhe udhëzon koordinatorin për vazhdimin e verifikimeve për rastin. </w:t>
      </w:r>
    </w:p>
    <w:p w14:paraId="5CDF7691" w14:textId="24FEC119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14. Në rast se struktura përgjegjëse kundër korrupsionit në Ministrinë e Drejtësisë, bazuar në raportin përfundimtar të hartuar nga koordinatori, vlerëson se nuk ka shkelje administrative apo elemente të veprës penale, i propozon Koordinatorit Kombëtar kundër Korrupsionit mbylljen dhe arkivimin e çështjes. </w:t>
      </w:r>
    </w:p>
    <w:p w14:paraId="098774A0" w14:textId="04D72118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15. Në rast se struktura përgjegjëse kundër korrupsionit në Ministrinë e Drejtësisë, bazuar në raportin përfundimtar të hartuar nga koordinatori, vlerëson se ka shkelje administrative, i propozon Koordinatorit Kombëtar kundër Korrupsionit miratimin e raportit dhe përcjelljen e tij pranë drejtuesit të institucionit përgjegjës.</w:t>
      </w:r>
    </w:p>
    <w:p w14:paraId="742AEFB2" w14:textId="19AABF0E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16. Në rastin kur raporti përfundimtar i hartuar nga koordinatori përmban elemente të veprës penale, struktura përgjegjëse kundër korrupsionit në Ministrinë e Drejtësisë i propozon Koordinatorit Kombëtar kundër Korrupsionit përcjelljen e çështjes në organin e Prokurorisë, së bashku me të gjithë dokumentacionin e administruar.</w:t>
      </w:r>
    </w:p>
    <w:p w14:paraId="15313A6F" w14:textId="5B97F98F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17. Gjatë procesit të verifikimit, administrimit dhe dokumentimit, për çështjet që nuk parashikohen në këtë vendim, koordinatori/struktura përgjegjëse kundër korrupsionit në Ministrinë e Drejtësisë respekton parimet e përgjithshme dhe dispozitat e Kodit të Procedurave Administrative. </w:t>
      </w:r>
    </w:p>
    <w:p w14:paraId="11151335" w14:textId="70A6CAAF" w:rsidR="00154C55" w:rsidRPr="00051FB4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51FB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VI. BASHKËPUNIMI</w:t>
      </w:r>
    </w:p>
    <w:p w14:paraId="29BE1DA6" w14:textId="131A1F88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1. Koordinatori Kombëtar kundër Korrupsionit raporton drejtpërdrejt para Kryeministrit për veprimtarinë e Rrjetit të Koordinatorëve sa herë kërkohet nga ky i fundit, si dhe me kërkesën e Kryeministrit, nëpërmjet strukturës përgjegjëse kundër korrupsionit në Ministrinë e Drejtësisë, kryen të gjithë procedurën e hetimit administrativ të përcaktuar në këtë vendim, në ministritë e linjës.</w:t>
      </w:r>
    </w:p>
    <w:p w14:paraId="51CC6542" w14:textId="7F9D4654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Struktura përgjegjëse kundër korrupsionit në Ministrinë e Drejtësisë bashkëpunon me Agjencinë për Dialog dhe Bashkëqeverisje dhe/ose çdo platformë tjetër të ankesave publike </w:t>
      </w:r>
      <w:r w:rsidRPr="00154C5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online. </w:t>
      </w:r>
    </w:p>
    <w:p w14:paraId="4C752603" w14:textId="4F001FA9" w:rsidR="00154C55" w:rsidRPr="00154C55" w:rsidRDefault="00154C55" w:rsidP="00154C5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3. Struktura përgjegjëse kundër korrupsionit në Ministrinë e Drejtësisë bashkëpunon e merr informacion nga njësitë e vetëqeverisjes vendore dhe kryen të gjithë procedurën e hetimit administrativ të përcaktuar në këtë vendim për raste korruptive.</w:t>
      </w:r>
    </w:p>
    <w:p w14:paraId="49109A37" w14:textId="6022108A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Koordinatori Kombëtar kundër Korrupsionit lidh marrëveshje bashkëpunimi, me qëllim luftën kundër korrupsionit, me Inspektoratin e Lartë të Deklarimit dhe Kontrollit të Pasurive dhe Konfliktit të Interesave, Prokurorinë e Përgjithshme, Prokurorinë e Posaçme, Agjencinë e Prokurimit Publik, Drejtorinë e Përgjithshme për Parandalimin e Pastrimit të Parave, Kontrollin e Lartë të Shtetit, si dhe çdo institucion tjetër të administratës publike, sipas fushave të përgjegjësisë, për nxitjen e bashkëpunimit për çështje të luftës kundër korrupsionit. </w:t>
      </w:r>
    </w:p>
    <w:p w14:paraId="1B89F17A" w14:textId="01EFF203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5. Struktura përgjegjëse kundër korrupsionit në Ministrinë e Drejtësisë bashkëpunon me struktura të vendeve të tjera, përgjegjëse për çështjet kundër korrupsionit, sipas marrëveshjeve të lidhura për këtë qëllim. Në këtë rast, marrëveshjet bëhen nëpërmjet ministrit të Drejtësisë.</w:t>
      </w:r>
    </w:p>
    <w:p w14:paraId="56C3EAEE" w14:textId="1A2C6CE8" w:rsidR="00154C55" w:rsidRPr="00154C55" w:rsidRDefault="00154C55" w:rsidP="00154C5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Rrjeti i Koordinatorëve/struktura përgjegjëse kundër korrupsionit në Ministrinë e Drejtësisë asistohen në veprimtarinë e tyre nga stafi i strukturave të administratës shtetërore, ku zhvillojnë hetimin administrativ. </w:t>
      </w:r>
    </w:p>
    <w:p w14:paraId="0CEFDB17" w14:textId="75A314A5" w:rsidR="00154C55" w:rsidRPr="00154C55" w:rsidRDefault="00154C55" w:rsidP="00154C55">
      <w:pPr>
        <w:tabs>
          <w:tab w:val="left" w:pos="720"/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Institucionet dhe njësitë organizative, pjesë e Rrjetit të Koordinatorëve, vendosin në dispozicion të koordinatorit/strukturës përgjegjëse kundër korrupsionit të gjitha aktet e materialet e kërkuara ose kopje të njësuara me origjinalin e tyre në kohën dhe në mënyrën e kërkuar. Në rastet kur informacioni i kërkuar është i klasifikuar, marrja dhe përdorimi i tij bëhen sipas legjislacionit në fuqi për informacionin e klasifikuar “sekret shtetëror”. </w:t>
      </w:r>
    </w:p>
    <w:p w14:paraId="795BCC19" w14:textId="3C26D1BF" w:rsidR="00154C55" w:rsidRPr="00154C55" w:rsidRDefault="00154C55" w:rsidP="00154C55">
      <w:pPr>
        <w:tabs>
          <w:tab w:val="left" w:pos="720"/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Institucionet, pjesë e Rrjetit të Koordinatorëve, bashkëpunojnë me koordinatorin dhe asistojnë atë për përmbushjen e misionit dhe realizimin e qëllimit për të cilin është krijuar Rrjeti i Koordinatorëve, si dhe krijojnë infrastrukturën e nevojshme për aksesin e qytetarëve pranë zyrës së koordinatorit, sipas orareve të përcaktuara nga këta të fundit. </w:t>
      </w:r>
    </w:p>
    <w:p w14:paraId="2CD4ECAF" w14:textId="71FABB37" w:rsidR="00154C55" w:rsidRPr="00154C55" w:rsidRDefault="00154C55" w:rsidP="00154C55">
      <w:pPr>
        <w:tabs>
          <w:tab w:val="left" w:pos="720"/>
          <w:tab w:val="left" w:pos="84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9. Koordinatorit i krijohet akses në bazën e të dhënave të institucionit dhe shoqërisë tregtare me kapital shtetëror pranë të cilit ushtron detyrën, në të njëjtin nivel me punonjësit e auditimit të brendshëm apo të strukturave kundër korrupsionit.</w:t>
      </w:r>
    </w:p>
    <w:p w14:paraId="3E368AEE" w14:textId="36222A4F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Mosdhënia e informacionit të kërkuar, pengimi i koordinatorit/strukturës përgjegjëse kundër korrupsionit në Ministrinë e Drejtësisë në kryerjen e detyrave dhe çdo shkelje lidhur me dhënien e dokumentacionit apo të informacionit të kërkuar përbën shkak për të propozuar fillimin e procedimit disiplinor ndaj nëpunësit përgjegjës dhe, në rast të përsëritur, informohet institucioni epror për marrjen e masave përkatëse. </w:t>
      </w:r>
    </w:p>
    <w:p w14:paraId="429FE2A9" w14:textId="2D730548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Mosfillimi i procedurave për ndjekjen e rekomandimeve dhe masave të propozuara nga Koordinatori Kombëtar kundër Korrupsionit përbën shkak për të propozuar fillimin e procedimit disiplinor të titullarit përgjegjës nga institucioni epror, ku institucioni përgjegjës ka varësinë. </w:t>
      </w:r>
    </w:p>
    <w:p w14:paraId="1B188E0E" w14:textId="458BBF64" w:rsidR="00154C55" w:rsidRPr="00051FB4" w:rsidRDefault="00154C55" w:rsidP="00154C55">
      <w:pPr>
        <w:tabs>
          <w:tab w:val="left" w:pos="3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51FB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VII. DISPOZITA TË FUNDIT DHE KALIMTARE </w:t>
      </w:r>
    </w:p>
    <w:p w14:paraId="7ECA933C" w14:textId="4FA00DB5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1. Vendimi nr.</w:t>
      </w:r>
      <w:r w:rsidR="00051F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209, datë 26.2.2020, i Këshillit të Ministrave, “Për ngritjen dhe funksionimin e njësisë speciale antikorrupsion dhe antievazion”, shfuqizohet.</w:t>
      </w:r>
    </w:p>
    <w:p w14:paraId="7D4A0EA4" w14:textId="4A3AC912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2. Vendimi nr.</w:t>
      </w:r>
      <w:r w:rsidR="00051F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94, datë 15.2.2006, i Këshillit të Ministrave, “Për miratimin e rregullores për funksionet dhe procedurat e kontrollit të brendshëm administrativ dhe antikorrupsion të Këshillit të Ministrave”, shfuqizohet.</w:t>
      </w:r>
    </w:p>
    <w:p w14:paraId="096BCBFD" w14:textId="498607EC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3. Në vendimin nr.</w:t>
      </w:r>
      <w:r w:rsidR="00410B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247, datë 20.3.2015, të Këshillit të Ministrave, “Për miratimin e strategjisë ndërsektoriale kundër korrupsionit 2015-2023”, të ndryshuar, të bëhen këto ndryshime:</w:t>
      </w:r>
    </w:p>
    <w:p w14:paraId="71E615C2" w14:textId="3A055D6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a) Pikat 5, 6, 7, 8, 9, 10 e 12 shfuqizohen;</w:t>
      </w:r>
    </w:p>
    <w:p w14:paraId="22DDBA59" w14:textId="7B97A77D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b) Kudo në anekset 1 dhe 2, bash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këlidhur këtij vendimi, fjalët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“... Task-Forcës Ndërinstitucionale Antikorrupsion </w:t>
      </w:r>
      <w:r w:rsidR="00051FB4">
        <w:rPr>
          <w:rFonts w:ascii="Garamond" w:hAnsi="Garamond" w:cs="Times New Roman"/>
          <w:color w:val="000000"/>
          <w:sz w:val="24"/>
          <w:szCs w:val="24"/>
          <w:lang w:val="sq-AL"/>
        </w:rPr>
        <w:t>...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” hiqen.</w:t>
      </w:r>
    </w:p>
    <w:p w14:paraId="2EDAE6C3" w14:textId="4C409C18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4. Urdhri nr.</w:t>
      </w:r>
      <w:r w:rsidR="00051F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106, datë 25.7.2019, i Kryeministrit, “Për krijimin, përbërjen dhe funksionimin e Rrjetit të Koordinatorëve Antikorrupsion”, i ndryshuar, shfuqizohet.</w:t>
      </w:r>
    </w:p>
    <w:p w14:paraId="3549E198" w14:textId="74ED795A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5. Ngarkohen institucionet e administratës shtetërore dhe shoqëritë tregtare me kapital shtetëror, pjesë e Rrjetit të Koordinatorëve, të fillojnë procedurën për ndryshimet në strukturat dhe organikat e tyre, me qëllim përfshirjen në to të pozicionit “Koordinator i Rrjetit të Koordinatorëve kundër Korrupsionit”. Procedura e miratimit të strukturave dhe organikave të këtyre institucioneve të përfundojë jo më vonë se 3 (tre) muaj nga hyrja në fuqi e këtij vendimi.</w:t>
      </w:r>
    </w:p>
    <w:p w14:paraId="0113C1FD" w14:textId="475EB490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Ngarkohen Ministria e Drejtësisë, Koordinatori Kombëtar kundër Korrupsionit, koordinatorët e Rrjetit të Koordinatorëve kundër Korrupsionit, Kryeministria, ministritë e linjës, si dhe institucionet e administratës shtetërore dhe shoqëritë tregtare me kapital shtetëror, pjesë e Rrjetit të Koordinatorëve, për zbatimin e këtij vendimi. </w:t>
      </w:r>
    </w:p>
    <w:p w14:paraId="6CE3389A" w14:textId="45C92C10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Ky ven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dim hyn në fuqi pas botimit në Fletoren Zyrtare</w:t>
      </w:r>
      <w:r w:rsidRPr="00154C5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3FF5644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D34F706" w14:textId="263B080D" w:rsidR="00154C55" w:rsidRPr="00154C55" w:rsidRDefault="00154C55" w:rsidP="00154C55">
      <w:pPr>
        <w:tabs>
          <w:tab w:val="left" w:pos="5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1E0F82E0" w14:textId="351A8FC6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  <w:r w:rsidRPr="00154C55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>Edi Rama</w:t>
      </w:r>
    </w:p>
    <w:p w14:paraId="541C8DC3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</w:p>
    <w:p w14:paraId="5B78314B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D07E7AF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34FEB75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C08BAE6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5F6E9C4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C72C05E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94AD0E2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63C35F6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EEED943" w14:textId="77777777" w:rsidR="00154C55" w:rsidRPr="00154C55" w:rsidRDefault="00154C55" w:rsidP="00154C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FA0B6EE" w14:textId="77777777" w:rsidR="002B2600" w:rsidRPr="00154C55" w:rsidRDefault="002B2600" w:rsidP="00154C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2B2600" w:rsidRPr="00154C55" w:rsidSect="00372B73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3A087F" w14:textId="77777777" w:rsidR="005A47B1" w:rsidRDefault="005A47B1" w:rsidP="002024FB">
      <w:pPr>
        <w:spacing w:after="0" w:line="240" w:lineRule="auto"/>
      </w:pPr>
      <w:r>
        <w:separator/>
      </w:r>
    </w:p>
  </w:endnote>
  <w:endnote w:type="continuationSeparator" w:id="0">
    <w:p w14:paraId="2311C61C" w14:textId="77777777" w:rsidR="005A47B1" w:rsidRDefault="005A47B1" w:rsidP="002024FB">
      <w:pPr>
        <w:spacing w:after="0" w:line="240" w:lineRule="auto"/>
      </w:pPr>
      <w:r>
        <w:continuationSeparator/>
      </w:r>
    </w:p>
  </w:endnote>
  <w:endnote w:type="continuationNotice" w:id="1">
    <w:p w14:paraId="54B135BE" w14:textId="77777777" w:rsidR="005A47B1" w:rsidRDefault="005A47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36814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A0B6F7" w14:textId="77777777" w:rsidR="00DA487C" w:rsidRDefault="00DA487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45C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FA0B6F8" w14:textId="77777777" w:rsidR="00DA487C" w:rsidRDefault="00DA48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59D5E9" w14:textId="77777777" w:rsidR="005A47B1" w:rsidRDefault="005A47B1" w:rsidP="002024FB">
      <w:pPr>
        <w:spacing w:after="0" w:line="240" w:lineRule="auto"/>
      </w:pPr>
      <w:r>
        <w:separator/>
      </w:r>
    </w:p>
  </w:footnote>
  <w:footnote w:type="continuationSeparator" w:id="0">
    <w:p w14:paraId="6A786FF9" w14:textId="77777777" w:rsidR="005A47B1" w:rsidRDefault="005A47B1" w:rsidP="002024FB">
      <w:pPr>
        <w:spacing w:after="0" w:line="240" w:lineRule="auto"/>
      </w:pPr>
      <w:r>
        <w:continuationSeparator/>
      </w:r>
    </w:p>
  </w:footnote>
  <w:footnote w:type="continuationNotice" w:id="1">
    <w:p w14:paraId="462E8ED2" w14:textId="77777777" w:rsidR="005A47B1" w:rsidRDefault="005A47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98A9A1" w14:textId="77777777" w:rsidR="00DA487C" w:rsidRDefault="00DA48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70CD"/>
    <w:multiLevelType w:val="hybridMultilevel"/>
    <w:tmpl w:val="94D4F44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C23E6"/>
    <w:multiLevelType w:val="hybridMultilevel"/>
    <w:tmpl w:val="82C0745C"/>
    <w:lvl w:ilvl="0" w:tplc="F3D48C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F6536F"/>
    <w:multiLevelType w:val="hybridMultilevel"/>
    <w:tmpl w:val="2C123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9F74F8"/>
    <w:multiLevelType w:val="multilevel"/>
    <w:tmpl w:val="81983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4">
    <w:nsid w:val="1A5E4DD2"/>
    <w:multiLevelType w:val="hybridMultilevel"/>
    <w:tmpl w:val="2E4A1918"/>
    <w:lvl w:ilvl="0" w:tplc="36129F4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2931DB4"/>
    <w:multiLevelType w:val="hybridMultilevel"/>
    <w:tmpl w:val="90489706"/>
    <w:lvl w:ilvl="0" w:tplc="4CD4E3A8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4B1939"/>
    <w:multiLevelType w:val="hybridMultilevel"/>
    <w:tmpl w:val="86E0E826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D56DE3"/>
    <w:multiLevelType w:val="hybridMultilevel"/>
    <w:tmpl w:val="4E080774"/>
    <w:lvl w:ilvl="0" w:tplc="A31E51B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320F02"/>
    <w:multiLevelType w:val="multilevel"/>
    <w:tmpl w:val="C9823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0B61044"/>
    <w:multiLevelType w:val="hybridMultilevel"/>
    <w:tmpl w:val="DC16BB28"/>
    <w:lvl w:ilvl="0" w:tplc="04090011">
      <w:start w:val="1"/>
      <w:numFmt w:val="decimal"/>
      <w:lvlText w:val="%1)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699" w:hanging="360"/>
      </w:pPr>
    </w:lvl>
    <w:lvl w:ilvl="2" w:tplc="0409001B" w:tentative="1">
      <w:start w:val="1"/>
      <w:numFmt w:val="lowerRoman"/>
      <w:lvlText w:val="%3."/>
      <w:lvlJc w:val="right"/>
      <w:pPr>
        <w:ind w:left="2419" w:hanging="180"/>
      </w:pPr>
    </w:lvl>
    <w:lvl w:ilvl="3" w:tplc="0409000F" w:tentative="1">
      <w:start w:val="1"/>
      <w:numFmt w:val="decimal"/>
      <w:lvlText w:val="%4."/>
      <w:lvlJc w:val="left"/>
      <w:pPr>
        <w:ind w:left="3139" w:hanging="360"/>
      </w:pPr>
    </w:lvl>
    <w:lvl w:ilvl="4" w:tplc="04090019" w:tentative="1">
      <w:start w:val="1"/>
      <w:numFmt w:val="lowerLetter"/>
      <w:lvlText w:val="%5."/>
      <w:lvlJc w:val="left"/>
      <w:pPr>
        <w:ind w:left="3859" w:hanging="360"/>
      </w:pPr>
    </w:lvl>
    <w:lvl w:ilvl="5" w:tplc="0409001B" w:tentative="1">
      <w:start w:val="1"/>
      <w:numFmt w:val="lowerRoman"/>
      <w:lvlText w:val="%6."/>
      <w:lvlJc w:val="right"/>
      <w:pPr>
        <w:ind w:left="4579" w:hanging="180"/>
      </w:pPr>
    </w:lvl>
    <w:lvl w:ilvl="6" w:tplc="0409000F" w:tentative="1">
      <w:start w:val="1"/>
      <w:numFmt w:val="decimal"/>
      <w:lvlText w:val="%7."/>
      <w:lvlJc w:val="left"/>
      <w:pPr>
        <w:ind w:left="5299" w:hanging="360"/>
      </w:pPr>
    </w:lvl>
    <w:lvl w:ilvl="7" w:tplc="04090019" w:tentative="1">
      <w:start w:val="1"/>
      <w:numFmt w:val="lowerLetter"/>
      <w:lvlText w:val="%8."/>
      <w:lvlJc w:val="left"/>
      <w:pPr>
        <w:ind w:left="6019" w:hanging="360"/>
      </w:pPr>
    </w:lvl>
    <w:lvl w:ilvl="8" w:tplc="0409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10">
    <w:nsid w:val="5AEF544B"/>
    <w:multiLevelType w:val="hybridMultilevel"/>
    <w:tmpl w:val="BB62319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1C0019" w:tentative="1">
      <w:start w:val="1"/>
      <w:numFmt w:val="lowerLetter"/>
      <w:lvlText w:val="%2."/>
      <w:lvlJc w:val="left"/>
      <w:pPr>
        <w:ind w:left="3150" w:hanging="360"/>
      </w:pPr>
    </w:lvl>
    <w:lvl w:ilvl="2" w:tplc="041C001B" w:tentative="1">
      <w:start w:val="1"/>
      <w:numFmt w:val="lowerRoman"/>
      <w:lvlText w:val="%3."/>
      <w:lvlJc w:val="right"/>
      <w:pPr>
        <w:ind w:left="3870" w:hanging="180"/>
      </w:pPr>
    </w:lvl>
    <w:lvl w:ilvl="3" w:tplc="041C000F" w:tentative="1">
      <w:start w:val="1"/>
      <w:numFmt w:val="decimal"/>
      <w:lvlText w:val="%4."/>
      <w:lvlJc w:val="left"/>
      <w:pPr>
        <w:ind w:left="4590" w:hanging="360"/>
      </w:pPr>
    </w:lvl>
    <w:lvl w:ilvl="4" w:tplc="041C0019" w:tentative="1">
      <w:start w:val="1"/>
      <w:numFmt w:val="lowerLetter"/>
      <w:lvlText w:val="%5."/>
      <w:lvlJc w:val="left"/>
      <w:pPr>
        <w:ind w:left="5310" w:hanging="360"/>
      </w:pPr>
    </w:lvl>
    <w:lvl w:ilvl="5" w:tplc="041C001B" w:tentative="1">
      <w:start w:val="1"/>
      <w:numFmt w:val="lowerRoman"/>
      <w:lvlText w:val="%6."/>
      <w:lvlJc w:val="right"/>
      <w:pPr>
        <w:ind w:left="6030" w:hanging="180"/>
      </w:pPr>
    </w:lvl>
    <w:lvl w:ilvl="6" w:tplc="041C000F" w:tentative="1">
      <w:start w:val="1"/>
      <w:numFmt w:val="decimal"/>
      <w:lvlText w:val="%7."/>
      <w:lvlJc w:val="left"/>
      <w:pPr>
        <w:ind w:left="6750" w:hanging="360"/>
      </w:pPr>
    </w:lvl>
    <w:lvl w:ilvl="7" w:tplc="041C0019" w:tentative="1">
      <w:start w:val="1"/>
      <w:numFmt w:val="lowerLetter"/>
      <w:lvlText w:val="%8."/>
      <w:lvlJc w:val="left"/>
      <w:pPr>
        <w:ind w:left="7470" w:hanging="360"/>
      </w:pPr>
    </w:lvl>
    <w:lvl w:ilvl="8" w:tplc="041C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1">
    <w:nsid w:val="5E3C776B"/>
    <w:multiLevelType w:val="hybridMultilevel"/>
    <w:tmpl w:val="32B6FC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137DAC"/>
    <w:multiLevelType w:val="hybridMultilevel"/>
    <w:tmpl w:val="2736B102"/>
    <w:lvl w:ilvl="0" w:tplc="4530A2D8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1C74AD"/>
    <w:multiLevelType w:val="hybridMultilevel"/>
    <w:tmpl w:val="CB1C8D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342521"/>
    <w:multiLevelType w:val="hybridMultilevel"/>
    <w:tmpl w:val="439C3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6E11C2"/>
    <w:multiLevelType w:val="hybridMultilevel"/>
    <w:tmpl w:val="0A8AC48E"/>
    <w:lvl w:ilvl="0" w:tplc="24A89E66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5"/>
  </w:num>
  <w:num w:numId="5">
    <w:abstractNumId w:val="12"/>
  </w:num>
  <w:num w:numId="6">
    <w:abstractNumId w:val="14"/>
  </w:num>
  <w:num w:numId="7">
    <w:abstractNumId w:val="15"/>
  </w:num>
  <w:num w:numId="8">
    <w:abstractNumId w:val="6"/>
  </w:num>
  <w:num w:numId="9">
    <w:abstractNumId w:val="7"/>
  </w:num>
  <w:num w:numId="10">
    <w:abstractNumId w:val="3"/>
  </w:num>
  <w:num w:numId="11">
    <w:abstractNumId w:val="9"/>
  </w:num>
  <w:num w:numId="12">
    <w:abstractNumId w:val="0"/>
  </w:num>
  <w:num w:numId="13">
    <w:abstractNumId w:val="11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67F"/>
    <w:rsid w:val="000103BD"/>
    <w:rsid w:val="00016FAE"/>
    <w:rsid w:val="00024490"/>
    <w:rsid w:val="000250F4"/>
    <w:rsid w:val="00032018"/>
    <w:rsid w:val="00033650"/>
    <w:rsid w:val="00034E5A"/>
    <w:rsid w:val="000403DF"/>
    <w:rsid w:val="00051FB4"/>
    <w:rsid w:val="000529A5"/>
    <w:rsid w:val="00056E10"/>
    <w:rsid w:val="000639DC"/>
    <w:rsid w:val="00070624"/>
    <w:rsid w:val="000733B3"/>
    <w:rsid w:val="0008024E"/>
    <w:rsid w:val="00082001"/>
    <w:rsid w:val="00083FCA"/>
    <w:rsid w:val="000950BD"/>
    <w:rsid w:val="00097631"/>
    <w:rsid w:val="000A265F"/>
    <w:rsid w:val="000B6637"/>
    <w:rsid w:val="000D063E"/>
    <w:rsid w:val="000E3030"/>
    <w:rsid w:val="000E67CC"/>
    <w:rsid w:val="000E69FA"/>
    <w:rsid w:val="000F1D27"/>
    <w:rsid w:val="000F1EC4"/>
    <w:rsid w:val="000F220F"/>
    <w:rsid w:val="000F29AA"/>
    <w:rsid w:val="000F3CF0"/>
    <w:rsid w:val="000F6FCB"/>
    <w:rsid w:val="0014109A"/>
    <w:rsid w:val="00141AD8"/>
    <w:rsid w:val="00143330"/>
    <w:rsid w:val="00145F94"/>
    <w:rsid w:val="00154C55"/>
    <w:rsid w:val="00155BD7"/>
    <w:rsid w:val="00155D0C"/>
    <w:rsid w:val="00155E28"/>
    <w:rsid w:val="0015767F"/>
    <w:rsid w:val="0016442B"/>
    <w:rsid w:val="001659B6"/>
    <w:rsid w:val="00183FE1"/>
    <w:rsid w:val="00190AF6"/>
    <w:rsid w:val="00190C39"/>
    <w:rsid w:val="001927CF"/>
    <w:rsid w:val="001930AE"/>
    <w:rsid w:val="001A150B"/>
    <w:rsid w:val="001B1694"/>
    <w:rsid w:val="001C495A"/>
    <w:rsid w:val="001C5FFF"/>
    <w:rsid w:val="001D04C7"/>
    <w:rsid w:val="001D6F55"/>
    <w:rsid w:val="001E0CB6"/>
    <w:rsid w:val="001E1FDE"/>
    <w:rsid w:val="002024FB"/>
    <w:rsid w:val="00211960"/>
    <w:rsid w:val="002155DA"/>
    <w:rsid w:val="00216AA2"/>
    <w:rsid w:val="00226857"/>
    <w:rsid w:val="0023594A"/>
    <w:rsid w:val="002371AB"/>
    <w:rsid w:val="00237D00"/>
    <w:rsid w:val="0025169B"/>
    <w:rsid w:val="00253346"/>
    <w:rsid w:val="0025422B"/>
    <w:rsid w:val="0025781E"/>
    <w:rsid w:val="002613B3"/>
    <w:rsid w:val="00264447"/>
    <w:rsid w:val="002703B5"/>
    <w:rsid w:val="002757AD"/>
    <w:rsid w:val="0028564B"/>
    <w:rsid w:val="00285C29"/>
    <w:rsid w:val="00295C5F"/>
    <w:rsid w:val="002A28B5"/>
    <w:rsid w:val="002A2ABD"/>
    <w:rsid w:val="002B16B8"/>
    <w:rsid w:val="002B2600"/>
    <w:rsid w:val="002C3E66"/>
    <w:rsid w:val="002D11E7"/>
    <w:rsid w:val="002D5593"/>
    <w:rsid w:val="002E0D78"/>
    <w:rsid w:val="002F1538"/>
    <w:rsid w:val="0030073C"/>
    <w:rsid w:val="0030098E"/>
    <w:rsid w:val="0030186D"/>
    <w:rsid w:val="003072F5"/>
    <w:rsid w:val="00311DF0"/>
    <w:rsid w:val="0031258E"/>
    <w:rsid w:val="00317B9D"/>
    <w:rsid w:val="003263BC"/>
    <w:rsid w:val="00326FFA"/>
    <w:rsid w:val="00331DD4"/>
    <w:rsid w:val="00340240"/>
    <w:rsid w:val="00340BA5"/>
    <w:rsid w:val="00340D93"/>
    <w:rsid w:val="0035091E"/>
    <w:rsid w:val="0035484A"/>
    <w:rsid w:val="00363662"/>
    <w:rsid w:val="00372B73"/>
    <w:rsid w:val="0037668C"/>
    <w:rsid w:val="00387841"/>
    <w:rsid w:val="003A1380"/>
    <w:rsid w:val="003A4536"/>
    <w:rsid w:val="003A4950"/>
    <w:rsid w:val="003A5C0C"/>
    <w:rsid w:val="003B1293"/>
    <w:rsid w:val="003E5684"/>
    <w:rsid w:val="003F3084"/>
    <w:rsid w:val="003F6183"/>
    <w:rsid w:val="003F6992"/>
    <w:rsid w:val="003F6A6E"/>
    <w:rsid w:val="003F77B5"/>
    <w:rsid w:val="00410BE7"/>
    <w:rsid w:val="004148B6"/>
    <w:rsid w:val="00423AF1"/>
    <w:rsid w:val="00425892"/>
    <w:rsid w:val="0043248B"/>
    <w:rsid w:val="00442517"/>
    <w:rsid w:val="00442A84"/>
    <w:rsid w:val="004578E2"/>
    <w:rsid w:val="004653D3"/>
    <w:rsid w:val="004714D1"/>
    <w:rsid w:val="00477DE2"/>
    <w:rsid w:val="00486A6D"/>
    <w:rsid w:val="00496C8F"/>
    <w:rsid w:val="004A4C5D"/>
    <w:rsid w:val="004C104E"/>
    <w:rsid w:val="004C1CCE"/>
    <w:rsid w:val="004C44DD"/>
    <w:rsid w:val="004C691B"/>
    <w:rsid w:val="004C7A99"/>
    <w:rsid w:val="004D79E9"/>
    <w:rsid w:val="004D7A6F"/>
    <w:rsid w:val="004E5B43"/>
    <w:rsid w:val="004E6702"/>
    <w:rsid w:val="00510416"/>
    <w:rsid w:val="005145DD"/>
    <w:rsid w:val="00517E5E"/>
    <w:rsid w:val="005252AC"/>
    <w:rsid w:val="00533ECB"/>
    <w:rsid w:val="00550BE7"/>
    <w:rsid w:val="0055512F"/>
    <w:rsid w:val="00555BCA"/>
    <w:rsid w:val="00566645"/>
    <w:rsid w:val="00587348"/>
    <w:rsid w:val="005942D7"/>
    <w:rsid w:val="005A47B1"/>
    <w:rsid w:val="005A78C4"/>
    <w:rsid w:val="005B425C"/>
    <w:rsid w:val="005B529E"/>
    <w:rsid w:val="005B63F5"/>
    <w:rsid w:val="005B68EE"/>
    <w:rsid w:val="005C57BC"/>
    <w:rsid w:val="005D2ECE"/>
    <w:rsid w:val="005D38C7"/>
    <w:rsid w:val="005D3E3F"/>
    <w:rsid w:val="005E6D59"/>
    <w:rsid w:val="005F630B"/>
    <w:rsid w:val="00612F10"/>
    <w:rsid w:val="0061323C"/>
    <w:rsid w:val="00613374"/>
    <w:rsid w:val="0061348C"/>
    <w:rsid w:val="006237A0"/>
    <w:rsid w:val="00631C12"/>
    <w:rsid w:val="006349C5"/>
    <w:rsid w:val="00646156"/>
    <w:rsid w:val="00651634"/>
    <w:rsid w:val="006517F1"/>
    <w:rsid w:val="00652F42"/>
    <w:rsid w:val="006563A4"/>
    <w:rsid w:val="00663715"/>
    <w:rsid w:val="00682F86"/>
    <w:rsid w:val="006855BC"/>
    <w:rsid w:val="00685A17"/>
    <w:rsid w:val="006A153D"/>
    <w:rsid w:val="006C5EC7"/>
    <w:rsid w:val="006C73C5"/>
    <w:rsid w:val="006F367D"/>
    <w:rsid w:val="00717AE2"/>
    <w:rsid w:val="00721E54"/>
    <w:rsid w:val="00734DFB"/>
    <w:rsid w:val="00735DC8"/>
    <w:rsid w:val="007540C9"/>
    <w:rsid w:val="00755A5C"/>
    <w:rsid w:val="007959BD"/>
    <w:rsid w:val="007A2784"/>
    <w:rsid w:val="007A4BCB"/>
    <w:rsid w:val="007A7804"/>
    <w:rsid w:val="007B0D9B"/>
    <w:rsid w:val="007B0E6D"/>
    <w:rsid w:val="007B19AA"/>
    <w:rsid w:val="007C3B14"/>
    <w:rsid w:val="007D4170"/>
    <w:rsid w:val="007D7BDF"/>
    <w:rsid w:val="007E0048"/>
    <w:rsid w:val="007E51E4"/>
    <w:rsid w:val="007E5C51"/>
    <w:rsid w:val="007F03CC"/>
    <w:rsid w:val="007F60DE"/>
    <w:rsid w:val="008065F1"/>
    <w:rsid w:val="00817934"/>
    <w:rsid w:val="00827B6F"/>
    <w:rsid w:val="0083210F"/>
    <w:rsid w:val="00840EE3"/>
    <w:rsid w:val="00845C83"/>
    <w:rsid w:val="00875396"/>
    <w:rsid w:val="008935E0"/>
    <w:rsid w:val="0089589C"/>
    <w:rsid w:val="00895C36"/>
    <w:rsid w:val="008C5E88"/>
    <w:rsid w:val="008C5FC4"/>
    <w:rsid w:val="008D2886"/>
    <w:rsid w:val="008F53C6"/>
    <w:rsid w:val="008F5C03"/>
    <w:rsid w:val="0090384A"/>
    <w:rsid w:val="009054FF"/>
    <w:rsid w:val="0090740D"/>
    <w:rsid w:val="00912C01"/>
    <w:rsid w:val="009130DB"/>
    <w:rsid w:val="0091439F"/>
    <w:rsid w:val="009223B1"/>
    <w:rsid w:val="0094480A"/>
    <w:rsid w:val="00945880"/>
    <w:rsid w:val="00953EB3"/>
    <w:rsid w:val="00957009"/>
    <w:rsid w:val="00961F35"/>
    <w:rsid w:val="00962DBD"/>
    <w:rsid w:val="00974EBB"/>
    <w:rsid w:val="00981F32"/>
    <w:rsid w:val="009852C6"/>
    <w:rsid w:val="00987B95"/>
    <w:rsid w:val="009A3349"/>
    <w:rsid w:val="009B0E4E"/>
    <w:rsid w:val="009B3403"/>
    <w:rsid w:val="009C1875"/>
    <w:rsid w:val="009E0477"/>
    <w:rsid w:val="009F0B97"/>
    <w:rsid w:val="009F43B7"/>
    <w:rsid w:val="00A02D16"/>
    <w:rsid w:val="00A2001F"/>
    <w:rsid w:val="00A21B62"/>
    <w:rsid w:val="00A310BA"/>
    <w:rsid w:val="00A34362"/>
    <w:rsid w:val="00A3635F"/>
    <w:rsid w:val="00A4183F"/>
    <w:rsid w:val="00A53BE7"/>
    <w:rsid w:val="00A5526D"/>
    <w:rsid w:val="00A5565D"/>
    <w:rsid w:val="00A636CF"/>
    <w:rsid w:val="00A91F88"/>
    <w:rsid w:val="00A971DE"/>
    <w:rsid w:val="00AB1075"/>
    <w:rsid w:val="00AB47CB"/>
    <w:rsid w:val="00AC41A5"/>
    <w:rsid w:val="00AD1F72"/>
    <w:rsid w:val="00AD7908"/>
    <w:rsid w:val="00AE08DF"/>
    <w:rsid w:val="00AF243B"/>
    <w:rsid w:val="00B04B01"/>
    <w:rsid w:val="00B11520"/>
    <w:rsid w:val="00B12640"/>
    <w:rsid w:val="00B14EF7"/>
    <w:rsid w:val="00B20284"/>
    <w:rsid w:val="00B26773"/>
    <w:rsid w:val="00B32EFA"/>
    <w:rsid w:val="00B44B4E"/>
    <w:rsid w:val="00B5229E"/>
    <w:rsid w:val="00B667EE"/>
    <w:rsid w:val="00B71577"/>
    <w:rsid w:val="00B80BE8"/>
    <w:rsid w:val="00B821C8"/>
    <w:rsid w:val="00B8428C"/>
    <w:rsid w:val="00B863DA"/>
    <w:rsid w:val="00B90550"/>
    <w:rsid w:val="00B958EA"/>
    <w:rsid w:val="00BB1FFA"/>
    <w:rsid w:val="00BC4BD9"/>
    <w:rsid w:val="00BE2E6C"/>
    <w:rsid w:val="00BE7DFA"/>
    <w:rsid w:val="00BF1ACD"/>
    <w:rsid w:val="00BF58CE"/>
    <w:rsid w:val="00BF6F8E"/>
    <w:rsid w:val="00C0496B"/>
    <w:rsid w:val="00C050F4"/>
    <w:rsid w:val="00C11BF6"/>
    <w:rsid w:val="00C23661"/>
    <w:rsid w:val="00C26540"/>
    <w:rsid w:val="00C30C00"/>
    <w:rsid w:val="00C3354D"/>
    <w:rsid w:val="00C400F8"/>
    <w:rsid w:val="00C7264C"/>
    <w:rsid w:val="00C734A5"/>
    <w:rsid w:val="00CA2BDF"/>
    <w:rsid w:val="00CA5553"/>
    <w:rsid w:val="00CA55D3"/>
    <w:rsid w:val="00CC5388"/>
    <w:rsid w:val="00CD03EE"/>
    <w:rsid w:val="00CD4EEE"/>
    <w:rsid w:val="00CD52CB"/>
    <w:rsid w:val="00CE4466"/>
    <w:rsid w:val="00CE4B70"/>
    <w:rsid w:val="00CE76E3"/>
    <w:rsid w:val="00CE7D66"/>
    <w:rsid w:val="00D25490"/>
    <w:rsid w:val="00D25D00"/>
    <w:rsid w:val="00D26C9F"/>
    <w:rsid w:val="00D3128F"/>
    <w:rsid w:val="00D366EA"/>
    <w:rsid w:val="00D3673B"/>
    <w:rsid w:val="00D36906"/>
    <w:rsid w:val="00D43407"/>
    <w:rsid w:val="00D455C3"/>
    <w:rsid w:val="00D5187F"/>
    <w:rsid w:val="00D66760"/>
    <w:rsid w:val="00D71851"/>
    <w:rsid w:val="00D73EE6"/>
    <w:rsid w:val="00D75055"/>
    <w:rsid w:val="00D75D87"/>
    <w:rsid w:val="00D76099"/>
    <w:rsid w:val="00D8298B"/>
    <w:rsid w:val="00D964D8"/>
    <w:rsid w:val="00DA487C"/>
    <w:rsid w:val="00DB5F11"/>
    <w:rsid w:val="00DC50AE"/>
    <w:rsid w:val="00DD1EEB"/>
    <w:rsid w:val="00DD31AC"/>
    <w:rsid w:val="00DD4850"/>
    <w:rsid w:val="00DE1271"/>
    <w:rsid w:val="00DE1861"/>
    <w:rsid w:val="00DF6C0D"/>
    <w:rsid w:val="00E25365"/>
    <w:rsid w:val="00E43668"/>
    <w:rsid w:val="00E46FB8"/>
    <w:rsid w:val="00E47706"/>
    <w:rsid w:val="00E47CF3"/>
    <w:rsid w:val="00E51246"/>
    <w:rsid w:val="00E51945"/>
    <w:rsid w:val="00E57B6B"/>
    <w:rsid w:val="00E73AA7"/>
    <w:rsid w:val="00E85F71"/>
    <w:rsid w:val="00E86854"/>
    <w:rsid w:val="00E87489"/>
    <w:rsid w:val="00E93045"/>
    <w:rsid w:val="00E9495F"/>
    <w:rsid w:val="00EB4897"/>
    <w:rsid w:val="00EB4F4A"/>
    <w:rsid w:val="00EE0BD3"/>
    <w:rsid w:val="00EE336E"/>
    <w:rsid w:val="00EE39EE"/>
    <w:rsid w:val="00EE48B9"/>
    <w:rsid w:val="00EF08AB"/>
    <w:rsid w:val="00EF1F49"/>
    <w:rsid w:val="00EF48CF"/>
    <w:rsid w:val="00EF596E"/>
    <w:rsid w:val="00F01DEA"/>
    <w:rsid w:val="00F10CF8"/>
    <w:rsid w:val="00F232C6"/>
    <w:rsid w:val="00F35A8B"/>
    <w:rsid w:val="00F43D8D"/>
    <w:rsid w:val="00F448E6"/>
    <w:rsid w:val="00F456E0"/>
    <w:rsid w:val="00F47D6E"/>
    <w:rsid w:val="00F51B20"/>
    <w:rsid w:val="00F52499"/>
    <w:rsid w:val="00F53DE3"/>
    <w:rsid w:val="00F5511A"/>
    <w:rsid w:val="00F60927"/>
    <w:rsid w:val="00F75E4B"/>
    <w:rsid w:val="00F83156"/>
    <w:rsid w:val="00F84854"/>
    <w:rsid w:val="00F90CE3"/>
    <w:rsid w:val="00F92358"/>
    <w:rsid w:val="00F92640"/>
    <w:rsid w:val="00F97266"/>
    <w:rsid w:val="00FA1FA9"/>
    <w:rsid w:val="00FA3EBF"/>
    <w:rsid w:val="00FA45C3"/>
    <w:rsid w:val="00FA67F1"/>
    <w:rsid w:val="00FB3EFE"/>
    <w:rsid w:val="00FB6527"/>
    <w:rsid w:val="00FB6A3B"/>
    <w:rsid w:val="00FD2716"/>
    <w:rsid w:val="00FD5203"/>
    <w:rsid w:val="00FD79F7"/>
    <w:rsid w:val="00FE3C65"/>
    <w:rsid w:val="00FE4211"/>
    <w:rsid w:val="00FE49F7"/>
    <w:rsid w:val="00FF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0B5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6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15767F"/>
    <w:rPr>
      <w:rFonts w:ascii="Times New Roman" w:eastAsia="MS Mincho" w:hAnsi="Times New Roman" w:cs="Times New Roman"/>
      <w:sz w:val="24"/>
      <w:szCs w:val="24"/>
    </w:rPr>
  </w:style>
  <w:style w:type="paragraph" w:styleId="NoSpacing">
    <w:name w:val="No Spacing"/>
    <w:link w:val="NoSpacingChar"/>
    <w:uiPriority w:val="99"/>
    <w:qFormat/>
    <w:rsid w:val="0015767F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ListParagraph">
    <w:name w:val="List Paragraph"/>
    <w:aliases w:val="Normal 1,List Paragraph1,List Paragraph Char Char,Dot pt,F5 List Paragraph,Indicator Text,Colorful List - Accent 11,Numbered Para 1,Bullet 1,Bullet Points,MAIN CONTENT,Párrafo de lista,Recommendation,List Paragraph2,No Spacing1,List Pa"/>
    <w:basedOn w:val="Normal"/>
    <w:link w:val="ListParagraphChar"/>
    <w:uiPriority w:val="34"/>
    <w:qFormat/>
    <w:rsid w:val="0015767F"/>
    <w:pPr>
      <w:ind w:left="720"/>
      <w:contextualSpacing/>
    </w:pPr>
  </w:style>
  <w:style w:type="character" w:customStyle="1" w:styleId="ListParagraphChar">
    <w:name w:val="List Paragraph Char"/>
    <w:aliases w:val="Normal 1 Char,List Paragraph1 Char,List Paragraph Char Char Char,Dot pt Char,F5 List Paragraph Char,Indicator Text Char,Colorful List - Accent 11 Char,Numbered Para 1 Char,Bullet 1 Char,Bullet Points Char,MAIN CONTENT Char"/>
    <w:link w:val="ListParagraph"/>
    <w:uiPriority w:val="34"/>
    <w:qFormat/>
    <w:locked/>
    <w:rsid w:val="0015767F"/>
  </w:style>
  <w:style w:type="paragraph" w:styleId="BalloonText">
    <w:name w:val="Balloon Text"/>
    <w:basedOn w:val="Normal"/>
    <w:link w:val="BalloonTextChar"/>
    <w:uiPriority w:val="99"/>
    <w:semiHidden/>
    <w:unhideWhenUsed/>
    <w:rsid w:val="00594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2D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25D0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5D0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5D0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D0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D0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A6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02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4FB"/>
  </w:style>
  <w:style w:type="paragraph" w:styleId="Footer">
    <w:name w:val="footer"/>
    <w:basedOn w:val="Normal"/>
    <w:link w:val="FooterChar"/>
    <w:uiPriority w:val="99"/>
    <w:unhideWhenUsed/>
    <w:rsid w:val="00202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4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6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15767F"/>
    <w:rPr>
      <w:rFonts w:ascii="Times New Roman" w:eastAsia="MS Mincho" w:hAnsi="Times New Roman" w:cs="Times New Roman"/>
      <w:sz w:val="24"/>
      <w:szCs w:val="24"/>
    </w:rPr>
  </w:style>
  <w:style w:type="paragraph" w:styleId="NoSpacing">
    <w:name w:val="No Spacing"/>
    <w:link w:val="NoSpacingChar"/>
    <w:uiPriority w:val="99"/>
    <w:qFormat/>
    <w:rsid w:val="0015767F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ListParagraph">
    <w:name w:val="List Paragraph"/>
    <w:aliases w:val="Normal 1,List Paragraph1,List Paragraph Char Char,Dot pt,F5 List Paragraph,Indicator Text,Colorful List - Accent 11,Numbered Para 1,Bullet 1,Bullet Points,MAIN CONTENT,Párrafo de lista,Recommendation,List Paragraph2,No Spacing1,List Pa"/>
    <w:basedOn w:val="Normal"/>
    <w:link w:val="ListParagraphChar"/>
    <w:uiPriority w:val="34"/>
    <w:qFormat/>
    <w:rsid w:val="0015767F"/>
    <w:pPr>
      <w:ind w:left="720"/>
      <w:contextualSpacing/>
    </w:pPr>
  </w:style>
  <w:style w:type="character" w:customStyle="1" w:styleId="ListParagraphChar">
    <w:name w:val="List Paragraph Char"/>
    <w:aliases w:val="Normal 1 Char,List Paragraph1 Char,List Paragraph Char Char Char,Dot pt Char,F5 List Paragraph Char,Indicator Text Char,Colorful List - Accent 11 Char,Numbered Para 1 Char,Bullet 1 Char,Bullet Points Char,MAIN CONTENT Char"/>
    <w:link w:val="ListParagraph"/>
    <w:uiPriority w:val="34"/>
    <w:qFormat/>
    <w:locked/>
    <w:rsid w:val="0015767F"/>
  </w:style>
  <w:style w:type="paragraph" w:styleId="BalloonText">
    <w:name w:val="Balloon Text"/>
    <w:basedOn w:val="Normal"/>
    <w:link w:val="BalloonTextChar"/>
    <w:uiPriority w:val="99"/>
    <w:semiHidden/>
    <w:unhideWhenUsed/>
    <w:rsid w:val="00594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2D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25D0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5D0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5D0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D0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D0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A6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02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4FB"/>
  </w:style>
  <w:style w:type="paragraph" w:styleId="Footer">
    <w:name w:val="footer"/>
    <w:basedOn w:val="Normal"/>
    <w:link w:val="FooterChar"/>
    <w:uiPriority w:val="99"/>
    <w:unhideWhenUsed/>
    <w:rsid w:val="00202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6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9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618</Nr_x002e__x0020_akti>
    <Data_x0020_e_x0020_Krijimit xmlns="0e656187-b300-4fb0-8bf4-3a50f872073c">2021-10-27T09:38:54Z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2021-10-26T22:00:00Z</Date_x0020_protokolli>
    <Titulli xmlns="0e656187-b300-4fb0-8bf4-3a50f872073c">Për krijimin, organizimin e funksionimin e rrjetit të koordinatorëve kundër korrupsionit</Titulli>
    <Modifikuesi xmlns="0e656187-b300-4fb0-8bf4-3a50f872073c">ermira.bukaci</Modifikuesi>
    <Nr_x002e__x0020_prot_x0020_QBZ xmlns="0e656187-b300-4fb0-8bf4-3a50f872073c">1450</Nr_x002e__x0020_prot_x0020_QBZ>
    <Data_x0020_e_x0020_Modifikimit xmlns="0e656187-b300-4fb0-8bf4-3a50f872073c">2021-10-27T09:45:49Z</Data_x0020_e_x0020_Modifikimit>
    <Dekretuar xmlns="0e656187-b300-4fb0-8bf4-3a50f872073c">false</Dekretuar>
    <Data xmlns="0e656187-b300-4fb0-8bf4-3a50f872073c">2021-10-19T22:00:00Z</Data>
    <Nr_x002e__x0020_protokolli_x0020_i_x0020_aktit xmlns="0e656187-b300-4fb0-8bf4-3a50f872073c">5061/1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1432C24FE345CE83DF746CB109ED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1432C24FE345CE83DF746CB109ED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5ACAE-59C8-4BBC-9252-CD905B2EAA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5FD354-DDAD-41D3-90A1-DCD2B0C1A97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B3C5665-3680-40A2-9625-745A0458A1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F9288F-5C64-411C-A024-C412C5218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F2E028B-2115-4C8A-BEFD-8C6A592A94A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9745A2B-E1D2-4BF1-ABC4-B716F795A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3647</Words>
  <Characters>20788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krijimin, organizimin e funksionimin e rrjetit të koordinatorëve kundër korrupsionit</vt:lpstr>
    </vt:vector>
  </TitlesOfParts>
  <Company/>
  <LinksUpToDate>false</LinksUpToDate>
  <CharactersWithSpaces>24387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krijimin, organizimin e funksionimin e rrjetit të koordinatorëve kundër korrupsionit</dc:title>
  <dc:creator>Erald Delilaj</dc:creator>
  <cp:lastModifiedBy>Vilma Belishta</cp:lastModifiedBy>
  <cp:revision>2</cp:revision>
  <cp:lastPrinted>2021-10-26T07:39:00Z</cp:lastPrinted>
  <dcterms:created xsi:type="dcterms:W3CDTF">2021-11-12T08:30:00Z</dcterms:created>
  <dcterms:modified xsi:type="dcterms:W3CDTF">2021-11-12T08:30:00Z</dcterms:modified>
</cp:coreProperties>
</file>